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1F31" w14:textId="5CE9EDB0" w:rsidR="00E05560" w:rsidRPr="005A1CAE" w:rsidRDefault="00A93DE4" w:rsidP="009A1A09">
      <w:pPr>
        <w:pStyle w:val="Pagedecouverture"/>
        <w:rPr>
          <w:noProof/>
        </w:rPr>
      </w:pPr>
      <w:r>
        <w:rPr>
          <w:noProof/>
        </w:rPr>
        <w:drawing>
          <wp:inline distT="0" distB="0" distL="0" distR="0" wp14:anchorId="48A0F158" wp14:editId="3A8D61B3">
            <wp:extent cx="5783580" cy="5280660"/>
            <wp:effectExtent l="0" t="0" r="0" b="0"/>
            <wp:docPr id="1" name="Obraz 1" descr="26B4961D-E976-4701-94AA-423805841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6B4961D-E976-4701-94AA-423805841F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580" cy="5280660"/>
                    </a:xfrm>
                    <a:prstGeom prst="rect">
                      <a:avLst/>
                    </a:prstGeom>
                    <a:noFill/>
                    <a:ln>
                      <a:noFill/>
                    </a:ln>
                  </pic:spPr>
                </pic:pic>
              </a:graphicData>
            </a:graphic>
          </wp:inline>
        </w:drawing>
      </w:r>
    </w:p>
    <w:p w14:paraId="327C8786" w14:textId="77777777" w:rsidR="005D4F6B" w:rsidRPr="005A1CAE" w:rsidRDefault="005D4F6B" w:rsidP="005D4F6B">
      <w:pPr>
        <w:rPr>
          <w:noProof/>
        </w:rPr>
        <w:sectPr w:rsidR="005D4F6B" w:rsidRPr="005A1CAE" w:rsidSect="009A1A09">
          <w:footerReference w:type="even" r:id="rId9"/>
          <w:footerReference w:type="default" r:id="rId10"/>
          <w:pgSz w:w="11907" w:h="16839"/>
          <w:pgMar w:top="1134" w:right="1417" w:bottom="1134" w:left="1417" w:header="709" w:footer="709" w:gutter="0"/>
          <w:pgNumType w:start="0"/>
          <w:cols w:space="720"/>
          <w:docGrid w:linePitch="360"/>
        </w:sectPr>
      </w:pPr>
    </w:p>
    <w:p w14:paraId="6E67E8A8" w14:textId="77777777" w:rsidR="005E5FA7" w:rsidRPr="005A1CAE" w:rsidRDefault="005E5FA7" w:rsidP="005E5FA7">
      <w:pPr>
        <w:pStyle w:val="Exposdesmotifstitre"/>
        <w:rPr>
          <w:noProof/>
        </w:rPr>
      </w:pPr>
      <w:r w:rsidRPr="005A1CAE">
        <w:rPr>
          <w:noProof/>
        </w:rPr>
        <w:lastRenderedPageBreak/>
        <w:t>UZASADNIENIE</w:t>
      </w:r>
    </w:p>
    <w:p w14:paraId="23557217" w14:textId="77777777" w:rsidR="00D0690F" w:rsidRPr="005A1CAE" w:rsidRDefault="00D0690F" w:rsidP="009F612D">
      <w:pPr>
        <w:pStyle w:val="ManualHeading1"/>
        <w:rPr>
          <w:noProof/>
        </w:rPr>
      </w:pPr>
      <w:r w:rsidRPr="005A1CAE">
        <w:rPr>
          <w:noProof/>
        </w:rPr>
        <w:t>1.</w:t>
      </w:r>
      <w:r w:rsidRPr="005A1CAE">
        <w:rPr>
          <w:noProof/>
        </w:rPr>
        <w:tab/>
        <w:t>KONTEKST WNIOSKU</w:t>
      </w:r>
    </w:p>
    <w:p w14:paraId="200695FA" w14:textId="65C75F06" w:rsidR="00D0690F" w:rsidRPr="005A1CAE" w:rsidRDefault="00D0690F" w:rsidP="009F612D">
      <w:pPr>
        <w:pStyle w:val="ManualHeading2"/>
        <w:rPr>
          <w:rFonts w:eastAsia="Arial Unicode MS"/>
          <w:noProof/>
        </w:rPr>
      </w:pPr>
      <w:r w:rsidRPr="005A1CAE">
        <w:rPr>
          <w:noProof/>
          <w:color w:val="000000"/>
          <w:u w:color="000000"/>
          <w:bdr w:val="nil"/>
        </w:rPr>
        <w:t>•</w:t>
      </w:r>
      <w:r w:rsidRPr="005A1CAE">
        <w:rPr>
          <w:noProof/>
        </w:rPr>
        <w:tab/>
        <w:t>Przyczyny</w:t>
      </w:r>
      <w:r w:rsidR="005A1CAE" w:rsidRPr="005A1CAE">
        <w:rPr>
          <w:noProof/>
        </w:rPr>
        <w:t xml:space="preserve"> i</w:t>
      </w:r>
      <w:r w:rsidR="005A1CAE">
        <w:rPr>
          <w:noProof/>
        </w:rPr>
        <w:t> </w:t>
      </w:r>
      <w:r w:rsidR="005A1CAE" w:rsidRPr="005A1CAE">
        <w:rPr>
          <w:noProof/>
        </w:rPr>
        <w:t>cel</w:t>
      </w:r>
      <w:r w:rsidRPr="005A1CAE">
        <w:rPr>
          <w:noProof/>
        </w:rPr>
        <w:t>e wniosku</w:t>
      </w:r>
    </w:p>
    <w:p w14:paraId="37B46572" w14:textId="2A2A6C02" w:rsidR="00BE3E96" w:rsidRPr="005A1CAE" w:rsidRDefault="00BE3E96" w:rsidP="00BE3E96">
      <w:pPr>
        <w:rPr>
          <w:noProof/>
        </w:rPr>
      </w:pPr>
      <w:r w:rsidRPr="005A1CAE">
        <w:rPr>
          <w:noProof/>
        </w:rPr>
        <w:t>Rozporządzenie (UE) 2023/956 ustanawiające mechanizm dostosowywania cen na granicach</w:t>
      </w:r>
      <w:r w:rsidR="005A1CAE" w:rsidRPr="005A1CAE">
        <w:rPr>
          <w:noProof/>
        </w:rPr>
        <w:t xml:space="preserve"> z</w:t>
      </w:r>
      <w:r w:rsidR="005A1CAE">
        <w:rPr>
          <w:noProof/>
        </w:rPr>
        <w:t> </w:t>
      </w:r>
      <w:r w:rsidR="005A1CAE" w:rsidRPr="005A1CAE">
        <w:rPr>
          <w:noProof/>
        </w:rPr>
        <w:t>uwz</w:t>
      </w:r>
      <w:r w:rsidRPr="005A1CAE">
        <w:rPr>
          <w:noProof/>
        </w:rPr>
        <w:t>ględnieniem emisji CO</w:t>
      </w:r>
      <w:r w:rsidRPr="005A1CAE">
        <w:rPr>
          <w:noProof/>
          <w:vertAlign w:val="subscript"/>
        </w:rPr>
        <w:t>2</w:t>
      </w:r>
      <w:r w:rsidRPr="005A1CAE">
        <w:rPr>
          <w:noProof/>
        </w:rPr>
        <w:t xml:space="preserve"> („rozporządzenie</w:t>
      </w:r>
      <w:r w:rsidR="005A1CAE" w:rsidRPr="005A1CAE">
        <w:rPr>
          <w:noProof/>
        </w:rPr>
        <w:t xml:space="preserve"> w</w:t>
      </w:r>
      <w:r w:rsidR="005A1CAE">
        <w:rPr>
          <w:noProof/>
        </w:rPr>
        <w:t> </w:t>
      </w:r>
      <w:r w:rsidR="005A1CAE" w:rsidRPr="005A1CAE">
        <w:rPr>
          <w:noProof/>
        </w:rPr>
        <w:t>spr</w:t>
      </w:r>
      <w:r w:rsidRPr="005A1CAE">
        <w:rPr>
          <w:noProof/>
        </w:rPr>
        <w:t>awie CBAM”)</w:t>
      </w:r>
      <w:r w:rsidRPr="005A1CAE">
        <w:rPr>
          <w:rStyle w:val="Odwoanieprzypisudolnego"/>
          <w:rFonts w:eastAsia="Times New Roman"/>
          <w:noProof/>
          <w:szCs w:val="24"/>
        </w:rPr>
        <w:footnoteReference w:id="2"/>
      </w:r>
      <w:r w:rsidRPr="005A1CAE">
        <w:rPr>
          <w:noProof/>
        </w:rPr>
        <w:t xml:space="preserve"> weszło</w:t>
      </w:r>
      <w:r w:rsidR="005A1CAE" w:rsidRPr="005A1CAE">
        <w:rPr>
          <w:noProof/>
        </w:rPr>
        <w:t xml:space="preserve"> w</w:t>
      </w:r>
      <w:r w:rsidR="005A1CAE">
        <w:rPr>
          <w:noProof/>
        </w:rPr>
        <w:t> </w:t>
      </w:r>
      <w:r w:rsidR="005A1CAE" w:rsidRPr="005A1CAE">
        <w:rPr>
          <w:noProof/>
        </w:rPr>
        <w:t>życ</w:t>
      </w:r>
      <w:r w:rsidRPr="005A1CAE">
        <w:rPr>
          <w:noProof/>
        </w:rPr>
        <w:t>ie 1 października 2023</w:t>
      </w:r>
      <w:r w:rsidR="005A1CAE" w:rsidRPr="005A1CAE">
        <w:rPr>
          <w:noProof/>
        </w:rPr>
        <w:t> </w:t>
      </w:r>
      <w:r w:rsidRPr="005A1CAE">
        <w:rPr>
          <w:noProof/>
        </w:rPr>
        <w:t>r. CBAM zapewnia, aby ambicje klimatyczne UE nie zostały osłabione przez ucieczkę emisji gazów cieplarnianych, która ma miejsce, gdy przedsiębiorstwa</w:t>
      </w:r>
      <w:r w:rsidR="005A1CAE" w:rsidRPr="005A1CAE">
        <w:rPr>
          <w:noProof/>
        </w:rPr>
        <w:t xml:space="preserve"> z</w:t>
      </w:r>
      <w:r w:rsidR="005A1CAE">
        <w:rPr>
          <w:noProof/>
        </w:rPr>
        <w:t> </w:t>
      </w:r>
      <w:r w:rsidR="005A1CAE" w:rsidRPr="005A1CAE">
        <w:rPr>
          <w:noProof/>
        </w:rPr>
        <w:t>sie</w:t>
      </w:r>
      <w:r w:rsidRPr="005A1CAE">
        <w:rPr>
          <w:noProof/>
        </w:rPr>
        <w:t>dzibą w UE przenoszą produkcję towarów, która wiąże się</w:t>
      </w:r>
      <w:r w:rsidR="005A1CAE" w:rsidRPr="005A1CAE">
        <w:rPr>
          <w:noProof/>
        </w:rPr>
        <w:t xml:space="preserve"> z</w:t>
      </w:r>
      <w:r w:rsidR="005A1CAE">
        <w:rPr>
          <w:noProof/>
        </w:rPr>
        <w:t> </w:t>
      </w:r>
      <w:r w:rsidR="005A1CAE" w:rsidRPr="005A1CAE">
        <w:rPr>
          <w:noProof/>
        </w:rPr>
        <w:t>wys</w:t>
      </w:r>
      <w:r w:rsidRPr="005A1CAE">
        <w:rPr>
          <w:noProof/>
        </w:rPr>
        <w:t>okimi emisjami, do państw trzecich,</w:t>
      </w:r>
      <w:r w:rsidR="005A1CAE" w:rsidRPr="005A1CAE">
        <w:rPr>
          <w:noProof/>
        </w:rPr>
        <w:t xml:space="preserve"> w</w:t>
      </w:r>
      <w:r w:rsidR="005A1CAE">
        <w:rPr>
          <w:noProof/>
        </w:rPr>
        <w:t> </w:t>
      </w:r>
      <w:r w:rsidR="005A1CAE" w:rsidRPr="005A1CAE">
        <w:rPr>
          <w:noProof/>
        </w:rPr>
        <w:t>któ</w:t>
      </w:r>
      <w:r w:rsidRPr="005A1CAE">
        <w:rPr>
          <w:noProof/>
        </w:rPr>
        <w:t>rych polityka klimatyczna jest mniej rygorystyczna. Może się to również zdarzyć, gdy produkty z UE zostaną zastąpione tańszymi wyrobami</w:t>
      </w:r>
      <w:r w:rsidR="005A1CAE" w:rsidRPr="005A1CAE">
        <w:rPr>
          <w:noProof/>
        </w:rPr>
        <w:t xml:space="preserve"> z</w:t>
      </w:r>
      <w:r w:rsidR="005A1CAE">
        <w:rPr>
          <w:noProof/>
        </w:rPr>
        <w:t> </w:t>
      </w:r>
      <w:r w:rsidR="005A1CAE" w:rsidRPr="005A1CAE">
        <w:rPr>
          <w:noProof/>
        </w:rPr>
        <w:t>imp</w:t>
      </w:r>
      <w:r w:rsidRPr="005A1CAE">
        <w:rPr>
          <w:noProof/>
        </w:rPr>
        <w:t>ortu, których produkcja wiąże się</w:t>
      </w:r>
      <w:r w:rsidR="005A1CAE" w:rsidRPr="005A1CAE">
        <w:rPr>
          <w:noProof/>
        </w:rPr>
        <w:t xml:space="preserve"> z</w:t>
      </w:r>
      <w:r w:rsidR="005A1CAE">
        <w:rPr>
          <w:noProof/>
        </w:rPr>
        <w:t> </w:t>
      </w:r>
      <w:r w:rsidR="005A1CAE" w:rsidRPr="005A1CAE">
        <w:rPr>
          <w:noProof/>
        </w:rPr>
        <w:t>wyż</w:t>
      </w:r>
      <w:r w:rsidRPr="005A1CAE">
        <w:rPr>
          <w:noProof/>
        </w:rPr>
        <w:t>szymi emisjami. Ucieczka emisji prowadzi zatem do przenoszenia emisji z UE do państw trzecich,</w:t>
      </w:r>
      <w:r w:rsidR="005A1CAE" w:rsidRPr="005A1CAE">
        <w:rPr>
          <w:noProof/>
        </w:rPr>
        <w:t xml:space="preserve"> a</w:t>
      </w:r>
      <w:r w:rsidR="005A1CAE">
        <w:rPr>
          <w:noProof/>
        </w:rPr>
        <w:t> </w:t>
      </w:r>
      <w:r w:rsidR="005A1CAE" w:rsidRPr="005A1CAE">
        <w:rPr>
          <w:noProof/>
        </w:rPr>
        <w:t>nie</w:t>
      </w:r>
      <w:r w:rsidRPr="005A1CAE">
        <w:rPr>
          <w:noProof/>
        </w:rPr>
        <w:t xml:space="preserve"> do zamierzonego ograniczenia globalnych emisji dwutlenku węgla. CBAM przeciwdziała temu ryzyku, zapewniając, aby przywóz do UE towarów, których produkcja wiąże się</w:t>
      </w:r>
      <w:r w:rsidR="005A1CAE" w:rsidRPr="005A1CAE">
        <w:rPr>
          <w:noProof/>
        </w:rPr>
        <w:t xml:space="preserve"> z</w:t>
      </w:r>
      <w:r w:rsidR="005A1CAE">
        <w:rPr>
          <w:noProof/>
        </w:rPr>
        <w:t> </w:t>
      </w:r>
      <w:r w:rsidR="005A1CAE" w:rsidRPr="005A1CAE">
        <w:rPr>
          <w:noProof/>
        </w:rPr>
        <w:t>wys</w:t>
      </w:r>
      <w:r w:rsidRPr="005A1CAE">
        <w:rPr>
          <w:noProof/>
        </w:rPr>
        <w:t>okimi emisjami, podlegał opłacie emisyjnej równoważnej opłacie, jaką ponoszą producenci wewnątrzunijni</w:t>
      </w:r>
      <w:r w:rsidR="005A1CAE" w:rsidRPr="005A1CAE">
        <w:rPr>
          <w:noProof/>
        </w:rPr>
        <w:t xml:space="preserve"> w</w:t>
      </w:r>
      <w:r w:rsidR="005A1CAE">
        <w:rPr>
          <w:noProof/>
        </w:rPr>
        <w:t> </w:t>
      </w:r>
      <w:r w:rsidR="005A1CAE" w:rsidRPr="005A1CAE">
        <w:rPr>
          <w:noProof/>
        </w:rPr>
        <w:t>ram</w:t>
      </w:r>
      <w:r w:rsidRPr="005A1CAE">
        <w:rPr>
          <w:noProof/>
        </w:rPr>
        <w:t>ach unijnego systemu handlu uprawnieniami do emisji („EU ETS”)</w:t>
      </w:r>
      <w:r w:rsidRPr="005A1CAE">
        <w:rPr>
          <w:rStyle w:val="Odwoanieprzypisudolnego"/>
          <w:noProof/>
          <w:lang w:eastAsia="en-GB"/>
        </w:rPr>
        <w:footnoteReference w:id="3"/>
      </w:r>
      <w:r w:rsidRPr="005A1CAE">
        <w:rPr>
          <w:noProof/>
        </w:rPr>
        <w:t>. Po okresie przejściowym obowiązującym od października 2023</w:t>
      </w:r>
      <w:r w:rsidR="005A1CAE" w:rsidRPr="005A1CAE">
        <w:rPr>
          <w:noProof/>
        </w:rPr>
        <w:t> </w:t>
      </w:r>
      <w:r w:rsidRPr="005A1CAE">
        <w:rPr>
          <w:noProof/>
        </w:rPr>
        <w:t>r. kolejny etap CBAM rozpoczyna się</w:t>
      </w:r>
      <w:r w:rsidR="005A1CAE" w:rsidRPr="005A1CAE">
        <w:rPr>
          <w:noProof/>
        </w:rPr>
        <w:t xml:space="preserve"> w</w:t>
      </w:r>
      <w:r w:rsidR="005A1CAE">
        <w:rPr>
          <w:noProof/>
        </w:rPr>
        <w:t> </w:t>
      </w:r>
      <w:r w:rsidR="005A1CAE" w:rsidRPr="005A1CAE">
        <w:rPr>
          <w:noProof/>
        </w:rPr>
        <w:t>sty</w:t>
      </w:r>
      <w:r w:rsidRPr="005A1CAE">
        <w:rPr>
          <w:noProof/>
        </w:rPr>
        <w:t>czniu 2026</w:t>
      </w:r>
      <w:r w:rsidR="005A1CAE" w:rsidRPr="005A1CAE">
        <w:rPr>
          <w:noProof/>
        </w:rPr>
        <w:t> </w:t>
      </w:r>
      <w:r w:rsidRPr="005A1CAE">
        <w:rPr>
          <w:noProof/>
        </w:rPr>
        <w:t>r., wraz ze stopniowym wprowadzaniem opłat emisyjnych</w:t>
      </w:r>
      <w:r w:rsidR="005A1CAE" w:rsidRPr="005A1CAE">
        <w:rPr>
          <w:noProof/>
        </w:rPr>
        <w:t xml:space="preserve"> w</w:t>
      </w:r>
      <w:r w:rsidR="005A1CAE">
        <w:rPr>
          <w:noProof/>
        </w:rPr>
        <w:t> </w:t>
      </w:r>
      <w:r w:rsidR="005A1CAE" w:rsidRPr="005A1CAE">
        <w:rPr>
          <w:noProof/>
        </w:rPr>
        <w:t>odn</w:t>
      </w:r>
      <w:r w:rsidRPr="005A1CAE">
        <w:rPr>
          <w:noProof/>
        </w:rPr>
        <w:t>iesieniu do importowanych emisji wbudowanych.</w:t>
      </w:r>
    </w:p>
    <w:p w14:paraId="1EA4A726" w14:textId="3EAB3F55" w:rsidR="00BE3E96" w:rsidRPr="005A1CAE" w:rsidRDefault="00BE3E96" w:rsidP="00BE3E96">
      <w:pPr>
        <w:rPr>
          <w:noProof/>
        </w:rPr>
      </w:pPr>
      <w:r w:rsidRPr="005A1CAE">
        <w:rPr>
          <w:noProof/>
        </w:rPr>
        <w:t>Ogólnym celem wniosku ustawodawczego jest zwiększenie skuteczności CBAM,</w:t>
      </w:r>
      <w:r w:rsidR="005A1CAE" w:rsidRPr="005A1CAE">
        <w:rPr>
          <w:noProof/>
        </w:rPr>
        <w:t xml:space="preserve"> a</w:t>
      </w:r>
      <w:r w:rsidR="005A1CAE">
        <w:rPr>
          <w:noProof/>
        </w:rPr>
        <w:t> </w:t>
      </w:r>
      <w:r w:rsidR="005A1CAE" w:rsidRPr="005A1CAE">
        <w:rPr>
          <w:noProof/>
        </w:rPr>
        <w:t>tym</w:t>
      </w:r>
      <w:r w:rsidRPr="005A1CAE">
        <w:rPr>
          <w:noProof/>
        </w:rPr>
        <w:t xml:space="preserve"> samym redukcja emisji gazów cieplarnianych</w:t>
      </w:r>
      <w:r w:rsidR="005A1CAE" w:rsidRPr="005A1CAE">
        <w:rPr>
          <w:noProof/>
        </w:rPr>
        <w:t xml:space="preserve"> i</w:t>
      </w:r>
      <w:r w:rsidR="005A1CAE">
        <w:rPr>
          <w:noProof/>
        </w:rPr>
        <w:t> </w:t>
      </w:r>
      <w:r w:rsidR="005A1CAE" w:rsidRPr="005A1CAE">
        <w:rPr>
          <w:noProof/>
        </w:rPr>
        <w:t>prz</w:t>
      </w:r>
      <w:r w:rsidRPr="005A1CAE">
        <w:rPr>
          <w:noProof/>
        </w:rPr>
        <w:t>eciwdziałanie zmianie klimatu na całym świecie.</w:t>
      </w:r>
    </w:p>
    <w:p w14:paraId="2DAD2363" w14:textId="4BB675EA" w:rsidR="00BE3E96" w:rsidRPr="005A1CAE" w:rsidRDefault="00BE3E96" w:rsidP="00BE3E96">
      <w:pPr>
        <w:rPr>
          <w:noProof/>
          <w:highlight w:val="yellow"/>
        </w:rPr>
      </w:pPr>
      <w:r w:rsidRPr="005A1CAE">
        <w:rPr>
          <w:noProof/>
        </w:rPr>
        <w:t>Aby zapewnić skuteczne wdrożenie CBAM, wniosek zmieni rozporządzenie</w:t>
      </w:r>
      <w:r w:rsidR="005A1CAE" w:rsidRPr="005A1CAE">
        <w:rPr>
          <w:noProof/>
        </w:rPr>
        <w:t xml:space="preserve"> w</w:t>
      </w:r>
      <w:r w:rsidR="005A1CAE">
        <w:rPr>
          <w:noProof/>
        </w:rPr>
        <w:t> </w:t>
      </w:r>
      <w:r w:rsidR="005A1CAE" w:rsidRPr="005A1CAE">
        <w:rPr>
          <w:noProof/>
        </w:rPr>
        <w:t>spr</w:t>
      </w:r>
      <w:r w:rsidRPr="005A1CAE">
        <w:rPr>
          <w:noProof/>
        </w:rPr>
        <w:t>awie CBAM</w:t>
      </w:r>
      <w:r w:rsidR="005A1CAE" w:rsidRPr="005A1CAE">
        <w:rPr>
          <w:noProof/>
        </w:rPr>
        <w:t xml:space="preserve"> w</w:t>
      </w:r>
      <w:r w:rsidR="005A1CAE">
        <w:rPr>
          <w:noProof/>
        </w:rPr>
        <w:t> </w:t>
      </w:r>
      <w:r w:rsidR="005A1CAE" w:rsidRPr="005A1CAE">
        <w:rPr>
          <w:noProof/>
        </w:rPr>
        <w:t>cel</w:t>
      </w:r>
      <w:r w:rsidRPr="005A1CAE">
        <w:rPr>
          <w:noProof/>
        </w:rPr>
        <w:t>u rozwiązania trzech głównych problemów. Po pierwsze, rozszerzy zakres CBAM, aby przeciwdziałać ryzyku ucieczki emisji</w:t>
      </w:r>
      <w:r w:rsidR="005A1CAE" w:rsidRPr="005A1CAE">
        <w:rPr>
          <w:noProof/>
        </w:rPr>
        <w:t xml:space="preserve"> w</w:t>
      </w:r>
      <w:r w:rsidR="005A1CAE">
        <w:rPr>
          <w:noProof/>
        </w:rPr>
        <w:t> </w:t>
      </w:r>
      <w:r w:rsidR="005A1CAE" w:rsidRPr="005A1CAE">
        <w:rPr>
          <w:noProof/>
        </w:rPr>
        <w:t>odn</w:t>
      </w:r>
      <w:r w:rsidRPr="005A1CAE">
        <w:rPr>
          <w:noProof/>
        </w:rPr>
        <w:t>iesieniu do produktów znajdujących się dalej</w:t>
      </w:r>
      <w:r w:rsidR="005A1CAE" w:rsidRPr="005A1CAE">
        <w:rPr>
          <w:noProof/>
        </w:rPr>
        <w:t xml:space="preserve"> w</w:t>
      </w:r>
      <w:r w:rsidR="005A1CAE">
        <w:rPr>
          <w:noProof/>
        </w:rPr>
        <w:t> </w:t>
      </w:r>
      <w:r w:rsidR="005A1CAE" w:rsidRPr="005A1CAE">
        <w:rPr>
          <w:noProof/>
        </w:rPr>
        <w:t>łań</w:t>
      </w:r>
      <w:r w:rsidRPr="005A1CAE">
        <w:rPr>
          <w:noProof/>
        </w:rPr>
        <w:t>cuchu wartości produktów ze stali</w:t>
      </w:r>
      <w:r w:rsidR="005A1CAE" w:rsidRPr="005A1CAE">
        <w:rPr>
          <w:noProof/>
        </w:rPr>
        <w:t xml:space="preserve"> i</w:t>
      </w:r>
      <w:r w:rsidR="005A1CAE">
        <w:rPr>
          <w:noProof/>
        </w:rPr>
        <w:t> </w:t>
      </w:r>
      <w:r w:rsidR="005A1CAE" w:rsidRPr="005A1CAE">
        <w:rPr>
          <w:noProof/>
        </w:rPr>
        <w:t>alu</w:t>
      </w:r>
      <w:r w:rsidRPr="005A1CAE">
        <w:rPr>
          <w:noProof/>
        </w:rPr>
        <w:t>minium objętych obecnie zakresem CBAM. Po drugie, zajmie się próbami uniknięcia przestrzegania obowiązku CBAM. Po trzecie, wniosek udoskonali przepisy techniczne dotyczące przypisywania emisji do energii elektrycznej, aby zachęcić do obniżania emisyjności importu energii elektrycznej</w:t>
      </w:r>
      <w:r w:rsidR="005A1CAE" w:rsidRPr="005A1CAE">
        <w:rPr>
          <w:noProof/>
        </w:rPr>
        <w:t>. W</w:t>
      </w:r>
      <w:r w:rsidR="005A1CAE">
        <w:rPr>
          <w:noProof/>
        </w:rPr>
        <w:t> </w:t>
      </w:r>
      <w:r w:rsidR="005A1CAE" w:rsidRPr="005A1CAE">
        <w:rPr>
          <w:noProof/>
        </w:rPr>
        <w:t>raz</w:t>
      </w:r>
      <w:r w:rsidRPr="005A1CAE">
        <w:rPr>
          <w:noProof/>
        </w:rPr>
        <w:t>ie potrzeby wniosek zapewni również szereg niewielkich uproszczeń</w:t>
      </w:r>
      <w:r w:rsidR="005A1CAE" w:rsidRPr="005A1CAE">
        <w:rPr>
          <w:noProof/>
        </w:rPr>
        <w:t xml:space="preserve"> i</w:t>
      </w:r>
      <w:r w:rsidR="005A1CAE">
        <w:rPr>
          <w:noProof/>
        </w:rPr>
        <w:t> </w:t>
      </w:r>
      <w:r w:rsidR="005A1CAE" w:rsidRPr="005A1CAE">
        <w:rPr>
          <w:noProof/>
        </w:rPr>
        <w:t>usp</w:t>
      </w:r>
      <w:r w:rsidRPr="005A1CAE">
        <w:rPr>
          <w:noProof/>
        </w:rPr>
        <w:t>rawnień</w:t>
      </w:r>
      <w:r w:rsidR="005A1CAE" w:rsidRPr="005A1CAE">
        <w:rPr>
          <w:noProof/>
        </w:rPr>
        <w:t xml:space="preserve"> w</w:t>
      </w:r>
      <w:r w:rsidR="005A1CAE">
        <w:rPr>
          <w:noProof/>
        </w:rPr>
        <w:t> </w:t>
      </w:r>
      <w:r w:rsidR="005A1CAE" w:rsidRPr="005A1CAE">
        <w:rPr>
          <w:noProof/>
        </w:rPr>
        <w:t>sto</w:t>
      </w:r>
      <w:r w:rsidRPr="005A1CAE">
        <w:rPr>
          <w:noProof/>
        </w:rPr>
        <w:t>sowaniu mechanizmu oraz umożliwi utworzenie obszaru CBAM zintegrowanego</w:t>
      </w:r>
      <w:r w:rsidR="005A1CAE" w:rsidRPr="005A1CAE">
        <w:rPr>
          <w:noProof/>
        </w:rPr>
        <w:t xml:space="preserve"> z</w:t>
      </w:r>
      <w:r w:rsidR="005A1CAE">
        <w:rPr>
          <w:noProof/>
        </w:rPr>
        <w:t> </w:t>
      </w:r>
      <w:r w:rsidR="005A1CAE" w:rsidRPr="005A1CAE">
        <w:rPr>
          <w:noProof/>
        </w:rPr>
        <w:t>pań</w:t>
      </w:r>
      <w:r w:rsidRPr="005A1CAE">
        <w:rPr>
          <w:noProof/>
        </w:rPr>
        <w:t>stwami EOG-EFTA.</w:t>
      </w:r>
    </w:p>
    <w:p w14:paraId="66336AD9" w14:textId="64F35766" w:rsidR="00BE3E96" w:rsidRPr="005A1CAE" w:rsidRDefault="00BE3E96" w:rsidP="00BE3E96">
      <w:pPr>
        <w:rPr>
          <w:rFonts w:eastAsia="Times New Roman"/>
          <w:noProof/>
        </w:rPr>
      </w:pPr>
      <w:r w:rsidRPr="005A1CAE">
        <w:rPr>
          <w:noProof/>
        </w:rPr>
        <w:t>CBAM ma obecnie zastosowanie do ograniczonego zestawu podstawowych towarów materialnych wymienionych</w:t>
      </w:r>
      <w:r w:rsidR="005A1CAE" w:rsidRPr="005A1CAE">
        <w:rPr>
          <w:noProof/>
        </w:rPr>
        <w:t xml:space="preserve"> w</w:t>
      </w:r>
      <w:r w:rsidR="005A1CAE">
        <w:rPr>
          <w:noProof/>
        </w:rPr>
        <w:t> </w:t>
      </w:r>
      <w:r w:rsidR="005A1CAE" w:rsidRPr="005A1CAE">
        <w:rPr>
          <w:noProof/>
        </w:rPr>
        <w:t>zał</w:t>
      </w:r>
      <w:r w:rsidRPr="005A1CAE">
        <w:rPr>
          <w:noProof/>
        </w:rPr>
        <w:t>ączniku I do rozporządzenia</w:t>
      </w:r>
      <w:r w:rsidR="005A1CAE" w:rsidRPr="005A1CAE">
        <w:rPr>
          <w:noProof/>
        </w:rPr>
        <w:t xml:space="preserve"> w</w:t>
      </w:r>
      <w:r w:rsidR="005A1CAE">
        <w:rPr>
          <w:noProof/>
        </w:rPr>
        <w:t> </w:t>
      </w:r>
      <w:r w:rsidR="005A1CAE" w:rsidRPr="005A1CAE">
        <w:rPr>
          <w:noProof/>
        </w:rPr>
        <w:t>spr</w:t>
      </w:r>
      <w:r w:rsidRPr="005A1CAE">
        <w:rPr>
          <w:noProof/>
        </w:rPr>
        <w:t>awie CBAM (aluminium, cement, energia elektryczna, nawozy, wodór oraz żelazo</w:t>
      </w:r>
      <w:r w:rsidR="005A1CAE" w:rsidRPr="005A1CAE">
        <w:rPr>
          <w:noProof/>
        </w:rPr>
        <w:t xml:space="preserve"> i</w:t>
      </w:r>
      <w:r w:rsidR="005A1CAE">
        <w:rPr>
          <w:noProof/>
        </w:rPr>
        <w:t> </w:t>
      </w:r>
      <w:r w:rsidR="005A1CAE" w:rsidRPr="005A1CAE">
        <w:rPr>
          <w:noProof/>
        </w:rPr>
        <w:t>sta</w:t>
      </w:r>
      <w:r w:rsidRPr="005A1CAE">
        <w:rPr>
          <w:noProof/>
        </w:rPr>
        <w:t>l). Te materiały podstawowe są często wykorzystywane jako dobra</w:t>
      </w:r>
      <w:r w:rsidR="005A1CAE" w:rsidRPr="005A1CAE">
        <w:rPr>
          <w:noProof/>
        </w:rPr>
        <w:t xml:space="preserve"> i</w:t>
      </w:r>
      <w:r w:rsidR="005A1CAE">
        <w:rPr>
          <w:noProof/>
        </w:rPr>
        <w:t> </w:t>
      </w:r>
      <w:r w:rsidR="005A1CAE" w:rsidRPr="005A1CAE">
        <w:rPr>
          <w:noProof/>
        </w:rPr>
        <w:t>usł</w:t>
      </w:r>
      <w:r w:rsidRPr="005A1CAE">
        <w:rPr>
          <w:noProof/>
        </w:rPr>
        <w:t>ugi zaopatrzeniowe</w:t>
      </w:r>
      <w:r w:rsidR="005A1CAE" w:rsidRPr="005A1CAE">
        <w:rPr>
          <w:noProof/>
        </w:rPr>
        <w:t xml:space="preserve"> w</w:t>
      </w:r>
      <w:r w:rsidR="005A1CAE">
        <w:rPr>
          <w:noProof/>
        </w:rPr>
        <w:t> </w:t>
      </w:r>
      <w:r w:rsidR="005A1CAE" w:rsidRPr="005A1CAE">
        <w:rPr>
          <w:noProof/>
        </w:rPr>
        <w:t>pro</w:t>
      </w:r>
      <w:r w:rsidRPr="005A1CAE">
        <w:rPr>
          <w:noProof/>
        </w:rPr>
        <w:t>dukcji towarów znajdujących się dalej</w:t>
      </w:r>
      <w:r w:rsidR="005A1CAE" w:rsidRPr="005A1CAE">
        <w:rPr>
          <w:noProof/>
        </w:rPr>
        <w:t xml:space="preserve"> w</w:t>
      </w:r>
      <w:r w:rsidR="005A1CAE">
        <w:rPr>
          <w:noProof/>
        </w:rPr>
        <w:t> </w:t>
      </w:r>
      <w:r w:rsidR="005A1CAE" w:rsidRPr="005A1CAE">
        <w:rPr>
          <w:noProof/>
        </w:rPr>
        <w:t>łań</w:t>
      </w:r>
      <w:r w:rsidRPr="005A1CAE">
        <w:rPr>
          <w:noProof/>
        </w:rPr>
        <w:t>cuchu wartości (produktów rynku niższego szczebla). Unijni producenci tych produktów rynku niższego szczebla mają do czynienia</w:t>
      </w:r>
      <w:r w:rsidR="005A1CAE" w:rsidRPr="005A1CAE">
        <w:rPr>
          <w:noProof/>
        </w:rPr>
        <w:t xml:space="preserve"> z</w:t>
      </w:r>
      <w:r w:rsidR="005A1CAE">
        <w:rPr>
          <w:noProof/>
        </w:rPr>
        <w:t> </w:t>
      </w:r>
      <w:r w:rsidR="005A1CAE" w:rsidRPr="005A1CAE">
        <w:rPr>
          <w:noProof/>
        </w:rPr>
        <w:t>pod</w:t>
      </w:r>
      <w:r w:rsidRPr="005A1CAE">
        <w:rPr>
          <w:noProof/>
        </w:rPr>
        <w:t>wójnym wzrostem kosztów, co zachęcałoby do przenoszenia produkcji,</w:t>
      </w:r>
      <w:r w:rsidR="005A1CAE" w:rsidRPr="005A1CAE">
        <w:rPr>
          <w:noProof/>
        </w:rPr>
        <w:t xml:space="preserve"> 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czy</w:t>
      </w:r>
      <w:r w:rsidRPr="005A1CAE">
        <w:rPr>
          <w:noProof/>
        </w:rPr>
        <w:t>m UE „eksportowałaby” swoje emisje za granicę, niwecząc skuteczność unijnej polityki klimatycznej. Po pierwsze, oczekuje się, że ambitniejsze cele klimatyczne UE</w:t>
      </w:r>
      <w:r w:rsidR="005A1CAE" w:rsidRPr="005A1CAE">
        <w:rPr>
          <w:noProof/>
        </w:rPr>
        <w:t xml:space="preserve"> i</w:t>
      </w:r>
      <w:r w:rsidR="005A1CAE">
        <w:rPr>
          <w:noProof/>
        </w:rPr>
        <w:t> </w:t>
      </w:r>
      <w:r w:rsidR="005A1CAE" w:rsidRPr="005A1CAE">
        <w:rPr>
          <w:noProof/>
        </w:rPr>
        <w:t>sto</w:t>
      </w:r>
      <w:r w:rsidRPr="005A1CAE">
        <w:rPr>
          <w:noProof/>
        </w:rPr>
        <w:t>pniowe wycofywanie bezpłatnych uprawnień</w:t>
      </w:r>
      <w:r w:rsidR="005A1CAE" w:rsidRPr="005A1CAE">
        <w:rPr>
          <w:noProof/>
        </w:rPr>
        <w:t xml:space="preserve"> w</w:t>
      </w:r>
      <w:r w:rsidR="005A1CAE">
        <w:rPr>
          <w:noProof/>
        </w:rPr>
        <w:t> </w:t>
      </w:r>
      <w:r w:rsidR="005A1CAE" w:rsidRPr="005A1CAE">
        <w:rPr>
          <w:noProof/>
        </w:rPr>
        <w:t>ram</w:t>
      </w:r>
      <w:r w:rsidRPr="005A1CAE">
        <w:rPr>
          <w:noProof/>
        </w:rPr>
        <w:t>ach EU ETS zwiększą koszty materiałów podstawowych pochodzenia krajowego</w:t>
      </w:r>
      <w:r w:rsidRPr="005A1CAE">
        <w:rPr>
          <w:rStyle w:val="Odwoanieprzypisudolnego"/>
          <w:noProof/>
        </w:rPr>
        <w:footnoteReference w:id="4"/>
      </w:r>
      <w:r w:rsidRPr="005A1CAE">
        <w:rPr>
          <w:noProof/>
        </w:rPr>
        <w:t xml:space="preserve">. Po drugie, </w:t>
      </w:r>
      <w:r w:rsidRPr="005A1CAE">
        <w:rPr>
          <w:noProof/>
        </w:rPr>
        <w:lastRenderedPageBreak/>
        <w:t>oczekuje się, że stopniowe wprowadzanie CBAM zwiększy koszty przywożonych materiałów podstawowych objętych jego zakresem</w:t>
      </w:r>
      <w:r w:rsidR="005A1CAE" w:rsidRPr="005A1CAE">
        <w:rPr>
          <w:noProof/>
        </w:rPr>
        <w:t>. W</w:t>
      </w:r>
      <w:r w:rsidR="005A1CAE">
        <w:rPr>
          <w:noProof/>
        </w:rPr>
        <w:t> </w:t>
      </w:r>
      <w:r w:rsidR="005A1CAE" w:rsidRPr="005A1CAE">
        <w:rPr>
          <w:noProof/>
        </w:rPr>
        <w:t>wyn</w:t>
      </w:r>
      <w:r w:rsidRPr="005A1CAE">
        <w:rPr>
          <w:noProof/>
        </w:rPr>
        <w:t>iku tego podwójnego wzrostu kosztów istnieje coraz większa różnica między całkowitymi kosztami emisji dwutlenku węgla ponoszonymi przez krajowych producentów niższego szczebla</w:t>
      </w:r>
      <w:r w:rsidR="005A1CAE" w:rsidRPr="005A1CAE">
        <w:rPr>
          <w:noProof/>
        </w:rPr>
        <w:t xml:space="preserve"> a</w:t>
      </w:r>
      <w:r w:rsidR="005A1CAE">
        <w:rPr>
          <w:noProof/>
        </w:rPr>
        <w:t> </w:t>
      </w:r>
      <w:r w:rsidR="005A1CAE" w:rsidRPr="005A1CAE">
        <w:rPr>
          <w:noProof/>
        </w:rPr>
        <w:t>kos</w:t>
      </w:r>
      <w:r w:rsidRPr="005A1CAE">
        <w:rPr>
          <w:noProof/>
        </w:rPr>
        <w:t>ztami emisji dwutlenku węgla ponoszonymi przez producentów</w:t>
      </w:r>
      <w:r w:rsidR="005A1CAE" w:rsidRPr="005A1CAE">
        <w:rPr>
          <w:noProof/>
        </w:rPr>
        <w:t xml:space="preserve"> z</w:t>
      </w:r>
      <w:r w:rsidR="005A1CAE">
        <w:rPr>
          <w:noProof/>
        </w:rPr>
        <w:t> </w:t>
      </w:r>
      <w:r w:rsidR="005A1CAE" w:rsidRPr="005A1CAE">
        <w:rPr>
          <w:noProof/>
        </w:rPr>
        <w:t>pań</w:t>
      </w:r>
      <w:r w:rsidRPr="005A1CAE">
        <w:rPr>
          <w:noProof/>
        </w:rPr>
        <w:t>stw trzecich. Powoduje to znaczne ryzyko ucieczki emisji</w:t>
      </w:r>
      <w:r w:rsidR="005A1CAE" w:rsidRPr="005A1CAE">
        <w:rPr>
          <w:noProof/>
        </w:rPr>
        <w:t xml:space="preserve"> w</w:t>
      </w:r>
      <w:r w:rsidR="005A1CAE">
        <w:rPr>
          <w:noProof/>
        </w:rPr>
        <w:t> </w:t>
      </w:r>
      <w:r w:rsidR="005A1CAE" w:rsidRPr="005A1CAE">
        <w:rPr>
          <w:noProof/>
        </w:rPr>
        <w:t>prz</w:t>
      </w:r>
      <w:r w:rsidRPr="005A1CAE">
        <w:rPr>
          <w:noProof/>
        </w:rPr>
        <w:t>ypadku niektórych produktów rynku niższego szczebla.</w:t>
      </w:r>
    </w:p>
    <w:p w14:paraId="5D96F786" w14:textId="65C0538D" w:rsidR="00BE3E96" w:rsidRPr="005A1CAE" w:rsidRDefault="00BE3E96" w:rsidP="00BE3E96">
      <w:pPr>
        <w:rPr>
          <w:noProof/>
        </w:rPr>
      </w:pPr>
      <w:r w:rsidRPr="005A1CAE">
        <w:rPr>
          <w:noProof/>
        </w:rPr>
        <w:t>Uznając to ryzyko,</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30 ust.</w:t>
      </w:r>
      <w:r w:rsidR="005A1CAE" w:rsidRPr="005A1CAE">
        <w:rPr>
          <w:noProof/>
        </w:rPr>
        <w:t> </w:t>
      </w:r>
      <w:r w:rsidRPr="005A1CAE">
        <w:rPr>
          <w:noProof/>
        </w:rPr>
        <w:t>3 rozporządzenia</w:t>
      </w:r>
      <w:r w:rsidR="005A1CAE" w:rsidRPr="005A1CAE">
        <w:rPr>
          <w:noProof/>
        </w:rPr>
        <w:t xml:space="preserve"> w</w:t>
      </w:r>
      <w:r w:rsidR="005A1CAE">
        <w:rPr>
          <w:noProof/>
        </w:rPr>
        <w:t> </w:t>
      </w:r>
      <w:r w:rsidR="005A1CAE" w:rsidRPr="005A1CAE">
        <w:rPr>
          <w:noProof/>
        </w:rPr>
        <w:t>spr</w:t>
      </w:r>
      <w:r w:rsidRPr="005A1CAE">
        <w:rPr>
          <w:noProof/>
        </w:rPr>
        <w:t>awie CBAM nałożono na Komisję obowiązek określania produktów rynku niższego szczebla,</w:t>
      </w:r>
      <w:r w:rsidR="005A1CAE" w:rsidRPr="005A1CAE">
        <w:rPr>
          <w:noProof/>
        </w:rPr>
        <w:t xml:space="preserve"> w</w:t>
      </w:r>
      <w:r w:rsidR="005A1CAE">
        <w:rPr>
          <w:noProof/>
        </w:rPr>
        <w:t> </w:t>
      </w:r>
      <w:r w:rsidR="005A1CAE" w:rsidRPr="005A1CAE">
        <w:rPr>
          <w:noProof/>
        </w:rPr>
        <w:t>prz</w:t>
      </w:r>
      <w:r w:rsidRPr="005A1CAE">
        <w:rPr>
          <w:noProof/>
        </w:rPr>
        <w:t>ypadku których istnieje ryzyko ucieczki emisji,</w:t>
      </w:r>
      <w:r w:rsidR="005A1CAE" w:rsidRPr="005A1CAE">
        <w:rPr>
          <w:noProof/>
        </w:rPr>
        <w:t xml:space="preserve"> w</w:t>
      </w:r>
      <w:r w:rsidR="005A1CAE">
        <w:rPr>
          <w:noProof/>
        </w:rPr>
        <w:t> </w:t>
      </w:r>
      <w:r w:rsidR="005A1CAE" w:rsidRPr="005A1CAE">
        <w:rPr>
          <w:noProof/>
        </w:rPr>
        <w:t>cel</w:t>
      </w:r>
      <w:r w:rsidRPr="005A1CAE">
        <w:rPr>
          <w:noProof/>
        </w:rPr>
        <w:t>u ewentualnego włączenia ich</w:t>
      </w:r>
      <w:r w:rsidR="005A1CAE" w:rsidRPr="005A1CAE">
        <w:rPr>
          <w:noProof/>
        </w:rPr>
        <w:t xml:space="preserve"> w</w:t>
      </w:r>
      <w:r w:rsidR="005A1CAE">
        <w:rPr>
          <w:noProof/>
        </w:rPr>
        <w:t> </w:t>
      </w:r>
      <w:r w:rsidR="005A1CAE" w:rsidRPr="005A1CAE">
        <w:rPr>
          <w:noProof/>
        </w:rPr>
        <w:t>zak</w:t>
      </w:r>
      <w:r w:rsidRPr="005A1CAE">
        <w:rPr>
          <w:noProof/>
        </w:rPr>
        <w:t>res CBAM</w:t>
      </w:r>
      <w:r w:rsidR="005A1CAE" w:rsidRPr="005A1CAE">
        <w:rPr>
          <w:noProof/>
        </w:rPr>
        <w:t>. W</w:t>
      </w:r>
      <w:r w:rsidR="005A1CAE">
        <w:rPr>
          <w:noProof/>
        </w:rPr>
        <w:t> </w:t>
      </w:r>
      <w:r w:rsidR="005A1CAE" w:rsidRPr="005A1CAE">
        <w:rPr>
          <w:noProof/>
        </w:rPr>
        <w:t>opr</w:t>
      </w:r>
      <w:r w:rsidRPr="005A1CAE">
        <w:rPr>
          <w:noProof/>
        </w:rPr>
        <w:t>acowanym przez Komisję Europejskim planie działania</w:t>
      </w:r>
      <w:r w:rsidR="005A1CAE" w:rsidRPr="005A1CAE">
        <w:rPr>
          <w:noProof/>
        </w:rPr>
        <w:t xml:space="preserve"> w</w:t>
      </w:r>
      <w:r w:rsidR="005A1CAE">
        <w:rPr>
          <w:noProof/>
        </w:rPr>
        <w:t> </w:t>
      </w:r>
      <w:r w:rsidR="005A1CAE" w:rsidRPr="005A1CAE">
        <w:rPr>
          <w:noProof/>
        </w:rPr>
        <w:t>zak</w:t>
      </w:r>
      <w:r w:rsidRPr="005A1CAE">
        <w:rPr>
          <w:noProof/>
        </w:rPr>
        <w:t>resie stali</w:t>
      </w:r>
      <w:r w:rsidR="005A1CAE" w:rsidRPr="005A1CAE">
        <w:rPr>
          <w:noProof/>
        </w:rPr>
        <w:t xml:space="preserve"> i</w:t>
      </w:r>
      <w:r w:rsidR="005A1CAE">
        <w:rPr>
          <w:noProof/>
        </w:rPr>
        <w:t> </w:t>
      </w:r>
      <w:r w:rsidR="005A1CAE" w:rsidRPr="005A1CAE">
        <w:rPr>
          <w:noProof/>
        </w:rPr>
        <w:t>met</w:t>
      </w:r>
      <w:r w:rsidRPr="005A1CAE">
        <w:rPr>
          <w:noProof/>
        </w:rPr>
        <w:t>ali</w:t>
      </w:r>
      <w:r w:rsidRPr="005A1CAE">
        <w:rPr>
          <w:rStyle w:val="Odwoanieprzypisudolnego"/>
          <w:noProof/>
        </w:rPr>
        <w:footnoteReference w:id="5"/>
      </w:r>
      <w:r w:rsidRPr="005A1CAE">
        <w:rPr>
          <w:noProof/>
        </w:rPr>
        <w:t xml:space="preserve"> określono cele rozszerzenia zakresu CBAM, ze szczególnym uwzględnieniem produktów rynku niższego szczebla wymagających intensywnego wykorzystania stali</w:t>
      </w:r>
      <w:r w:rsidR="005A1CAE" w:rsidRPr="005A1CAE">
        <w:rPr>
          <w:noProof/>
        </w:rPr>
        <w:t xml:space="preserve"> i</w:t>
      </w:r>
      <w:r w:rsidR="005A1CAE">
        <w:rPr>
          <w:noProof/>
        </w:rPr>
        <w:t> </w:t>
      </w:r>
      <w:r w:rsidR="005A1CAE" w:rsidRPr="005A1CAE">
        <w:rPr>
          <w:noProof/>
        </w:rPr>
        <w:t>alu</w:t>
      </w:r>
      <w:r w:rsidRPr="005A1CAE">
        <w:rPr>
          <w:noProof/>
        </w:rPr>
        <w:t>minium. Zgodnie</w:t>
      </w:r>
      <w:r w:rsidR="005A1CAE" w:rsidRPr="005A1CAE">
        <w:rPr>
          <w:noProof/>
        </w:rPr>
        <w:t xml:space="preserve"> z</w:t>
      </w:r>
      <w:r w:rsidR="005A1CAE">
        <w:rPr>
          <w:noProof/>
        </w:rPr>
        <w:t> </w:t>
      </w:r>
      <w:r w:rsidR="005A1CAE" w:rsidRPr="005A1CAE">
        <w:rPr>
          <w:noProof/>
        </w:rPr>
        <w:t>tym</w:t>
      </w:r>
      <w:r w:rsidRPr="005A1CAE">
        <w:rPr>
          <w:noProof/>
        </w:rPr>
        <w:t xml:space="preserve"> celem i na podstawie oceny określającej produkty rynku niższego szczebla,</w:t>
      </w:r>
      <w:r w:rsidR="005A1CAE" w:rsidRPr="005A1CAE">
        <w:rPr>
          <w:noProof/>
        </w:rPr>
        <w:t xml:space="preserve"> w</w:t>
      </w:r>
      <w:r w:rsidR="005A1CAE">
        <w:rPr>
          <w:noProof/>
        </w:rPr>
        <w:t> </w:t>
      </w:r>
      <w:r w:rsidR="005A1CAE" w:rsidRPr="005A1CAE">
        <w:rPr>
          <w:noProof/>
        </w:rPr>
        <w:t>prz</w:t>
      </w:r>
      <w:r w:rsidRPr="005A1CAE">
        <w:rPr>
          <w:noProof/>
        </w:rPr>
        <w:t>ypadku których istnieje największe ryzyko ucieczki emisji</w:t>
      </w:r>
      <w:r w:rsidR="005A1CAE" w:rsidRPr="005A1CAE">
        <w:rPr>
          <w:noProof/>
        </w:rPr>
        <w:t xml:space="preserve"> i</w:t>
      </w:r>
      <w:r w:rsidR="005A1CAE">
        <w:rPr>
          <w:noProof/>
        </w:rPr>
        <w:t> </w:t>
      </w:r>
      <w:r w:rsidR="005A1CAE" w:rsidRPr="005A1CAE">
        <w:rPr>
          <w:noProof/>
        </w:rPr>
        <w:t>któ</w:t>
      </w:r>
      <w:r w:rsidRPr="005A1CAE">
        <w:rPr>
          <w:noProof/>
        </w:rPr>
        <w:t>re zawierają znaczną część towarów objętych CBAM, niniejszy wniosek rozszerzy zakres CBAM na wybrane produkty rynku niższego szczebla wymagające intensywnego wykorzystania stali</w:t>
      </w:r>
      <w:r w:rsidR="005A1CAE" w:rsidRPr="005A1CAE">
        <w:rPr>
          <w:noProof/>
        </w:rPr>
        <w:t xml:space="preserve"> i</w:t>
      </w:r>
      <w:r w:rsidR="005A1CAE">
        <w:rPr>
          <w:noProof/>
        </w:rPr>
        <w:t> </w:t>
      </w:r>
      <w:r w:rsidR="005A1CAE" w:rsidRPr="005A1CAE">
        <w:rPr>
          <w:noProof/>
        </w:rPr>
        <w:t>alu</w:t>
      </w:r>
      <w:r w:rsidRPr="005A1CAE">
        <w:rPr>
          <w:noProof/>
        </w:rPr>
        <w:t>minium. Ewentualne rozszerzenie na produkty rynku niższego szczebla</w:t>
      </w:r>
      <w:r w:rsidR="005A1CAE" w:rsidRPr="005A1CAE">
        <w:rPr>
          <w:noProof/>
        </w:rPr>
        <w:t xml:space="preserve"> w</w:t>
      </w:r>
      <w:r w:rsidR="005A1CAE">
        <w:rPr>
          <w:noProof/>
        </w:rPr>
        <w:t> </w:t>
      </w:r>
      <w:r w:rsidR="005A1CAE" w:rsidRPr="005A1CAE">
        <w:rPr>
          <w:noProof/>
        </w:rPr>
        <w:t>inn</w:t>
      </w:r>
      <w:r w:rsidRPr="005A1CAE">
        <w:rPr>
          <w:noProof/>
        </w:rPr>
        <w:t>ych sektorach objętych CBAM,</w:t>
      </w:r>
      <w:r w:rsidR="005A1CAE" w:rsidRPr="005A1CAE">
        <w:rPr>
          <w:noProof/>
        </w:rPr>
        <w:t xml:space="preserve"> a</w:t>
      </w:r>
      <w:r w:rsidR="005A1CAE">
        <w:rPr>
          <w:noProof/>
        </w:rPr>
        <w:t> </w:t>
      </w:r>
      <w:r w:rsidR="005A1CAE" w:rsidRPr="005A1CAE">
        <w:rPr>
          <w:noProof/>
        </w:rPr>
        <w:t>mia</w:t>
      </w:r>
      <w:r w:rsidRPr="005A1CAE">
        <w:rPr>
          <w:noProof/>
        </w:rPr>
        <w:t>nowicie tych związanych</w:t>
      </w:r>
      <w:r w:rsidR="005A1CAE" w:rsidRPr="005A1CAE">
        <w:rPr>
          <w:noProof/>
        </w:rPr>
        <w:t xml:space="preserve"> z</w:t>
      </w:r>
      <w:r w:rsidR="005A1CAE">
        <w:rPr>
          <w:noProof/>
        </w:rPr>
        <w:t> </w:t>
      </w:r>
      <w:r w:rsidR="005A1CAE" w:rsidRPr="005A1CAE">
        <w:rPr>
          <w:noProof/>
        </w:rPr>
        <w:t>cem</w:t>
      </w:r>
      <w:r w:rsidRPr="005A1CAE">
        <w:rPr>
          <w:noProof/>
        </w:rPr>
        <w:t>entem, nawozami</w:t>
      </w:r>
      <w:r w:rsidR="005A1CAE" w:rsidRPr="005A1CAE">
        <w:rPr>
          <w:noProof/>
        </w:rPr>
        <w:t xml:space="preserve"> i</w:t>
      </w:r>
      <w:r w:rsidR="005A1CAE">
        <w:rPr>
          <w:noProof/>
        </w:rPr>
        <w:t> </w:t>
      </w:r>
      <w:r w:rsidR="005A1CAE" w:rsidRPr="005A1CAE">
        <w:rPr>
          <w:noProof/>
        </w:rPr>
        <w:t>wod</w:t>
      </w:r>
      <w:r w:rsidRPr="005A1CAE">
        <w:rPr>
          <w:noProof/>
        </w:rPr>
        <w:t>orem, omówiono</w:t>
      </w:r>
      <w:r w:rsidR="005A1CAE" w:rsidRPr="005A1CAE">
        <w:rPr>
          <w:noProof/>
        </w:rPr>
        <w:t xml:space="preserve"> w</w:t>
      </w:r>
      <w:r w:rsidR="005A1CAE">
        <w:rPr>
          <w:noProof/>
        </w:rPr>
        <w:t> </w:t>
      </w:r>
      <w:r w:rsidR="005A1CAE" w:rsidRPr="005A1CAE">
        <w:rPr>
          <w:noProof/>
        </w:rPr>
        <w:t>spr</w:t>
      </w:r>
      <w:r w:rsidRPr="005A1CAE">
        <w:rPr>
          <w:noProof/>
        </w:rPr>
        <w:t>awozdaniu Komisji</w:t>
      </w:r>
      <w:r w:rsidR="005A1CAE" w:rsidRPr="005A1CAE">
        <w:rPr>
          <w:noProof/>
        </w:rPr>
        <w:t xml:space="preserve"> z</w:t>
      </w:r>
      <w:r w:rsidR="005A1CAE">
        <w:rPr>
          <w:noProof/>
        </w:rPr>
        <w:t> </w:t>
      </w:r>
      <w:r w:rsidR="005A1CAE" w:rsidRPr="005A1CAE">
        <w:rPr>
          <w:noProof/>
        </w:rPr>
        <w:t>prz</w:t>
      </w:r>
      <w:r w:rsidRPr="005A1CAE">
        <w:rPr>
          <w:noProof/>
        </w:rPr>
        <w:t>eglądu określonym</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30 ust.</w:t>
      </w:r>
      <w:r w:rsidR="005A1CAE" w:rsidRPr="005A1CAE">
        <w:rPr>
          <w:noProof/>
        </w:rPr>
        <w:t> </w:t>
      </w:r>
      <w:r w:rsidRPr="005A1CAE">
        <w:rPr>
          <w:noProof/>
        </w:rPr>
        <w:t>2 rozporządzenia</w:t>
      </w:r>
      <w:r w:rsidR="005A1CAE" w:rsidRPr="005A1CAE">
        <w:rPr>
          <w:noProof/>
        </w:rPr>
        <w:t xml:space="preserve"> w</w:t>
      </w:r>
      <w:r w:rsidR="005A1CAE">
        <w:rPr>
          <w:noProof/>
        </w:rPr>
        <w:t> </w:t>
      </w:r>
      <w:r w:rsidR="005A1CAE" w:rsidRPr="005A1CAE">
        <w:rPr>
          <w:noProof/>
        </w:rPr>
        <w:t>spr</w:t>
      </w:r>
      <w:r w:rsidRPr="005A1CAE">
        <w:rPr>
          <w:noProof/>
        </w:rPr>
        <w:t>awie CBAM. Rozszerzenie na te towary zostanie rozważone</w:t>
      </w:r>
      <w:r w:rsidR="005A1CAE" w:rsidRPr="005A1CAE">
        <w:rPr>
          <w:noProof/>
        </w:rPr>
        <w:t xml:space="preserve"> w</w:t>
      </w:r>
      <w:r w:rsidR="005A1CAE">
        <w:rPr>
          <w:noProof/>
        </w:rPr>
        <w:t> </w:t>
      </w:r>
      <w:r w:rsidR="005A1CAE" w:rsidRPr="005A1CAE">
        <w:rPr>
          <w:noProof/>
        </w:rPr>
        <w:t>ram</w:t>
      </w:r>
      <w:r w:rsidRPr="005A1CAE">
        <w:rPr>
          <w:noProof/>
        </w:rPr>
        <w:t>ach przyszłego przeglądu legislacyjnego.</w:t>
      </w:r>
    </w:p>
    <w:p w14:paraId="03A2B0B7" w14:textId="026D77B8" w:rsidR="00BE3E96" w:rsidRPr="005A1CAE" w:rsidRDefault="00BE3E96" w:rsidP="00BE3E96">
      <w:pPr>
        <w:rPr>
          <w:noProof/>
        </w:rPr>
      </w:pPr>
      <w:r w:rsidRPr="005A1CAE">
        <w:rPr>
          <w:noProof/>
        </w:rPr>
        <w:t>W Europejskim planie działania</w:t>
      </w:r>
      <w:r w:rsidR="005A1CAE" w:rsidRPr="005A1CAE">
        <w:rPr>
          <w:noProof/>
        </w:rPr>
        <w:t xml:space="preserve"> w</w:t>
      </w:r>
      <w:r w:rsidR="005A1CAE">
        <w:rPr>
          <w:noProof/>
        </w:rPr>
        <w:t> </w:t>
      </w:r>
      <w:r w:rsidR="005A1CAE" w:rsidRPr="005A1CAE">
        <w:rPr>
          <w:noProof/>
        </w:rPr>
        <w:t>zak</w:t>
      </w:r>
      <w:r w:rsidRPr="005A1CAE">
        <w:rPr>
          <w:noProof/>
        </w:rPr>
        <w:t>resie stali</w:t>
      </w:r>
      <w:r w:rsidR="005A1CAE" w:rsidRPr="005A1CAE">
        <w:rPr>
          <w:noProof/>
        </w:rPr>
        <w:t xml:space="preserve"> i</w:t>
      </w:r>
      <w:r w:rsidR="005A1CAE">
        <w:rPr>
          <w:noProof/>
        </w:rPr>
        <w:t> </w:t>
      </w:r>
      <w:r w:rsidR="005A1CAE" w:rsidRPr="005A1CAE">
        <w:rPr>
          <w:noProof/>
        </w:rPr>
        <w:t>met</w:t>
      </w:r>
      <w:r w:rsidRPr="005A1CAE">
        <w:rPr>
          <w:noProof/>
        </w:rPr>
        <w:t>ali podkreślono również znaczenie wyeliminowania ryzyka obchodzenia przepisów</w:t>
      </w:r>
      <w:r w:rsidR="005A1CAE" w:rsidRPr="005A1CAE">
        <w:rPr>
          <w:noProof/>
        </w:rPr>
        <w:t xml:space="preserve"> i</w:t>
      </w:r>
      <w:r w:rsidR="005A1CAE">
        <w:rPr>
          <w:noProof/>
        </w:rPr>
        <w:t> </w:t>
      </w:r>
      <w:r w:rsidR="005A1CAE" w:rsidRPr="005A1CAE">
        <w:rPr>
          <w:noProof/>
        </w:rPr>
        <w:t>uni</w:t>
      </w:r>
      <w:r w:rsidRPr="005A1CAE">
        <w:rPr>
          <w:noProof/>
        </w:rPr>
        <w:t>kania CBAM, które mogłyby osłabić skuteczność CBAM</w:t>
      </w:r>
      <w:r w:rsidR="005A1CAE" w:rsidRPr="005A1CAE">
        <w:rPr>
          <w:noProof/>
        </w:rPr>
        <w:t xml:space="preserve"> w</w:t>
      </w:r>
      <w:r w:rsidR="005A1CAE">
        <w:rPr>
          <w:noProof/>
        </w:rPr>
        <w:t> </w:t>
      </w:r>
      <w:r w:rsidR="005A1CAE" w:rsidRPr="005A1CAE">
        <w:rPr>
          <w:noProof/>
        </w:rPr>
        <w:t>zap</w:t>
      </w:r>
      <w:r w:rsidRPr="005A1CAE">
        <w:rPr>
          <w:noProof/>
        </w:rPr>
        <w:t>obieganiu ryzyku ucieczki emisji. Obecne ramy egzekwowania CBAM zapewniają już szereg zabezpieczeń przed obchodzeniem przepisów,</w:t>
      </w:r>
      <w:r w:rsidR="005A1CAE" w:rsidRPr="005A1CAE">
        <w:rPr>
          <w:noProof/>
        </w:rPr>
        <w:t xml:space="preserve"> w</w:t>
      </w:r>
      <w:r w:rsidR="005A1CAE">
        <w:rPr>
          <w:noProof/>
        </w:rPr>
        <w:t> </w:t>
      </w:r>
      <w:r w:rsidR="005A1CAE" w:rsidRPr="005A1CAE">
        <w:rPr>
          <w:noProof/>
        </w:rPr>
        <w:t>tym w</w:t>
      </w:r>
      <w:r w:rsidR="005A1CAE">
        <w:rPr>
          <w:noProof/>
        </w:rPr>
        <w:t> </w:t>
      </w:r>
      <w:r w:rsidR="005A1CAE" w:rsidRPr="005A1CAE">
        <w:rPr>
          <w:noProof/>
        </w:rPr>
        <w:t>cel</w:t>
      </w:r>
      <w:r w:rsidRPr="005A1CAE">
        <w:rPr>
          <w:noProof/>
        </w:rPr>
        <w:t>u przeciwdziałania ryzyku błędnej klasyfikacji</w:t>
      </w:r>
      <w:r w:rsidR="005A1CAE" w:rsidRPr="005A1CAE">
        <w:rPr>
          <w:noProof/>
        </w:rPr>
        <w:t xml:space="preserve"> i</w:t>
      </w:r>
      <w:r w:rsidR="005A1CAE">
        <w:rPr>
          <w:noProof/>
        </w:rPr>
        <w:t> </w:t>
      </w:r>
      <w:r w:rsidR="005A1CAE" w:rsidRPr="005A1CAE">
        <w:rPr>
          <w:noProof/>
        </w:rPr>
        <w:t>zan</w:t>
      </w:r>
      <w:r w:rsidRPr="005A1CAE">
        <w:rPr>
          <w:noProof/>
        </w:rPr>
        <w:t>iżania deklaracji towarów</w:t>
      </w:r>
      <w:r w:rsidR="005A1CAE" w:rsidRPr="005A1CAE">
        <w:rPr>
          <w:noProof/>
        </w:rPr>
        <w:t>. W</w:t>
      </w:r>
      <w:r w:rsidR="005A1CAE">
        <w:rPr>
          <w:noProof/>
        </w:rPr>
        <w:t> </w:t>
      </w:r>
      <w:r w:rsidR="005A1CAE" w:rsidRPr="005A1CAE">
        <w:rPr>
          <w:noProof/>
        </w:rPr>
        <w:t>okr</w:t>
      </w:r>
      <w:r w:rsidRPr="005A1CAE">
        <w:rPr>
          <w:noProof/>
        </w:rPr>
        <w:t>esie przejściowym różne zainteresowane strony (w tym właściwe organy krajowe, organy celne, stowarzyszenia przedsiębiorców,</w:t>
      </w:r>
      <w:r w:rsidR="005A1CAE" w:rsidRPr="005A1CAE">
        <w:rPr>
          <w:noProof/>
        </w:rPr>
        <w:t xml:space="preserve"> a</w:t>
      </w:r>
      <w:r w:rsidR="005A1CAE">
        <w:rPr>
          <w:noProof/>
        </w:rPr>
        <w:t> </w:t>
      </w:r>
      <w:r w:rsidR="005A1CAE" w:rsidRPr="005A1CAE">
        <w:rPr>
          <w:noProof/>
        </w:rPr>
        <w:t>tak</w:t>
      </w:r>
      <w:r w:rsidRPr="005A1CAE">
        <w:rPr>
          <w:noProof/>
        </w:rPr>
        <w:t>że poszczególne przedsiębiorstwa) wyraziły jednak obawy, że rozporządzenie</w:t>
      </w:r>
      <w:r w:rsidR="005A1CAE" w:rsidRPr="005A1CAE">
        <w:rPr>
          <w:noProof/>
        </w:rPr>
        <w:t xml:space="preserve"> w</w:t>
      </w:r>
      <w:r w:rsidR="005A1CAE">
        <w:rPr>
          <w:noProof/>
        </w:rPr>
        <w:t> </w:t>
      </w:r>
      <w:r w:rsidR="005A1CAE" w:rsidRPr="005A1CAE">
        <w:rPr>
          <w:noProof/>
        </w:rPr>
        <w:t>spr</w:t>
      </w:r>
      <w:r w:rsidRPr="005A1CAE">
        <w:rPr>
          <w:noProof/>
        </w:rPr>
        <w:t>awie CBAM zawiera niewystarczające zabezpieczenia przed ryzykiem błędnej deklaracji intensywności emisji</w:t>
      </w:r>
      <w:r w:rsidR="005A1CAE" w:rsidRPr="005A1CAE">
        <w:rPr>
          <w:noProof/>
        </w:rPr>
        <w:t xml:space="preserve"> i</w:t>
      </w:r>
      <w:r w:rsidR="005A1CAE">
        <w:rPr>
          <w:noProof/>
        </w:rPr>
        <w:t> </w:t>
      </w:r>
      <w:r w:rsidR="005A1CAE" w:rsidRPr="005A1CAE">
        <w:rPr>
          <w:noProof/>
        </w:rPr>
        <w:t>ryz</w:t>
      </w:r>
      <w:r w:rsidRPr="005A1CAE">
        <w:rPr>
          <w:noProof/>
        </w:rPr>
        <w:t xml:space="preserve">ykiem wystąpienia nadużyć. Wniosek zawiera przepisy mające na celu przeciwdziałanie tym ryzykom. </w:t>
      </w:r>
    </w:p>
    <w:p w14:paraId="13621893" w14:textId="1E3327B7" w:rsidR="00BE3E96" w:rsidRPr="005A1CAE" w:rsidRDefault="00BE3E96" w:rsidP="00BE3E96">
      <w:pPr>
        <w:rPr>
          <w:noProof/>
        </w:rPr>
      </w:pPr>
      <w:r w:rsidRPr="005A1CAE">
        <w:rPr>
          <w:noProof/>
        </w:rPr>
        <w:t>Doświadczenia związane</w:t>
      </w:r>
      <w:r w:rsidR="005A1CAE" w:rsidRPr="005A1CAE">
        <w:rPr>
          <w:noProof/>
        </w:rPr>
        <w:t xml:space="preserve"> z</w:t>
      </w:r>
      <w:r w:rsidR="005A1CAE">
        <w:rPr>
          <w:noProof/>
        </w:rPr>
        <w:t> </w:t>
      </w:r>
      <w:r w:rsidR="005A1CAE" w:rsidRPr="005A1CAE">
        <w:rPr>
          <w:noProof/>
        </w:rPr>
        <w:t>wdr</w:t>
      </w:r>
      <w:r w:rsidRPr="005A1CAE">
        <w:rPr>
          <w:noProof/>
        </w:rPr>
        <w:t>ażaniem CBAM</w:t>
      </w:r>
      <w:r w:rsidR="005A1CAE" w:rsidRPr="005A1CAE">
        <w:rPr>
          <w:noProof/>
        </w:rPr>
        <w:t xml:space="preserve"> w</w:t>
      </w:r>
      <w:r w:rsidR="005A1CAE">
        <w:rPr>
          <w:noProof/>
        </w:rPr>
        <w:t> </w:t>
      </w:r>
      <w:r w:rsidR="005A1CAE" w:rsidRPr="005A1CAE">
        <w:rPr>
          <w:noProof/>
        </w:rPr>
        <w:t>okr</w:t>
      </w:r>
      <w:r w:rsidRPr="005A1CAE">
        <w:rPr>
          <w:noProof/>
        </w:rPr>
        <w:t>esie przejściowym</w:t>
      </w:r>
      <w:r w:rsidR="005A1CAE" w:rsidRPr="005A1CAE">
        <w:rPr>
          <w:noProof/>
        </w:rPr>
        <w:t xml:space="preserve"> i</w:t>
      </w:r>
      <w:r w:rsidR="005A1CAE">
        <w:rPr>
          <w:noProof/>
        </w:rPr>
        <w:t> </w:t>
      </w:r>
      <w:r w:rsidR="005A1CAE" w:rsidRPr="005A1CAE">
        <w:rPr>
          <w:noProof/>
        </w:rPr>
        <w:t>inf</w:t>
      </w:r>
      <w:r w:rsidRPr="005A1CAE">
        <w:rPr>
          <w:noProof/>
        </w:rPr>
        <w:t>ormacje zwrotne od zainteresowanych stron pokazały, że przepisy dotyczące importu energii elektrycznej są zbyt sztywne</w:t>
      </w:r>
      <w:r w:rsidR="005A1CAE" w:rsidRPr="005A1CAE">
        <w:rPr>
          <w:noProof/>
        </w:rPr>
        <w:t>. W</w:t>
      </w:r>
      <w:r w:rsidR="005A1CAE">
        <w:rPr>
          <w:noProof/>
        </w:rPr>
        <w:t> </w:t>
      </w:r>
      <w:r w:rsidR="005A1CAE" w:rsidRPr="005A1CAE">
        <w:rPr>
          <w:noProof/>
        </w:rPr>
        <w:t>szc</w:t>
      </w:r>
      <w:r w:rsidRPr="005A1CAE">
        <w:rPr>
          <w:noProof/>
        </w:rPr>
        <w:t>zególności obecne ramy nie uwzględniają</w:t>
      </w:r>
      <w:r w:rsidR="005A1CAE" w:rsidRPr="005A1CAE">
        <w:rPr>
          <w:noProof/>
        </w:rPr>
        <w:t xml:space="preserve"> w</w:t>
      </w:r>
      <w:r w:rsidR="005A1CAE">
        <w:rPr>
          <w:noProof/>
        </w:rPr>
        <w:t> </w:t>
      </w:r>
      <w:r w:rsidR="005A1CAE" w:rsidRPr="005A1CAE">
        <w:rPr>
          <w:noProof/>
        </w:rPr>
        <w:t>wys</w:t>
      </w:r>
      <w:r w:rsidRPr="005A1CAE">
        <w:rPr>
          <w:noProof/>
        </w:rPr>
        <w:t>tarczającym stopniu poczynionych przez producentów energii elektrycznej spoza UE postępów</w:t>
      </w:r>
      <w:r w:rsidR="005A1CAE" w:rsidRPr="005A1CAE">
        <w:rPr>
          <w:noProof/>
        </w:rPr>
        <w:t xml:space="preserve"> w</w:t>
      </w:r>
      <w:r w:rsidR="005A1CAE">
        <w:rPr>
          <w:noProof/>
        </w:rPr>
        <w:t> </w:t>
      </w:r>
      <w:r w:rsidR="005A1CAE" w:rsidRPr="005A1CAE">
        <w:rPr>
          <w:noProof/>
        </w:rPr>
        <w:t>zak</w:t>
      </w:r>
      <w:r w:rsidRPr="005A1CAE">
        <w:rPr>
          <w:noProof/>
        </w:rPr>
        <w:t>resie obniżania emisyjności wytwarzania energii elektrycznej, co zniechęca do handlu niskoemisyjną energią elektryczną</w:t>
      </w:r>
      <w:r w:rsidR="005A1CAE" w:rsidRPr="005A1CAE">
        <w:rPr>
          <w:noProof/>
        </w:rPr>
        <w:t xml:space="preserve"> i</w:t>
      </w:r>
      <w:r w:rsidR="005A1CAE">
        <w:rPr>
          <w:noProof/>
        </w:rPr>
        <w:t> </w:t>
      </w:r>
      <w:r w:rsidR="005A1CAE" w:rsidRPr="005A1CAE">
        <w:rPr>
          <w:noProof/>
        </w:rPr>
        <w:t>ogr</w:t>
      </w:r>
      <w:r w:rsidRPr="005A1CAE">
        <w:rPr>
          <w:noProof/>
        </w:rPr>
        <w:t>anicza zachęty dla producentów energii elektrycznej</w:t>
      </w:r>
      <w:r w:rsidR="005A1CAE" w:rsidRPr="005A1CAE">
        <w:rPr>
          <w:noProof/>
        </w:rPr>
        <w:t xml:space="preserve"> z</w:t>
      </w:r>
      <w:r w:rsidR="005A1CAE">
        <w:rPr>
          <w:noProof/>
        </w:rPr>
        <w:t> </w:t>
      </w:r>
      <w:r w:rsidR="005A1CAE" w:rsidRPr="005A1CAE">
        <w:rPr>
          <w:noProof/>
        </w:rPr>
        <w:t>pań</w:t>
      </w:r>
      <w:r w:rsidRPr="005A1CAE">
        <w:rPr>
          <w:noProof/>
        </w:rPr>
        <w:t>stw trzecich do redukcji emisji. Niedociągnięcia te wynikają</w:t>
      </w:r>
      <w:r w:rsidR="005A1CAE" w:rsidRPr="005A1CAE">
        <w:rPr>
          <w:noProof/>
        </w:rPr>
        <w:t xml:space="preserve"> z</w:t>
      </w:r>
      <w:r w:rsidR="005A1CAE">
        <w:rPr>
          <w:noProof/>
        </w:rPr>
        <w:t> </w:t>
      </w:r>
      <w:r w:rsidR="005A1CAE" w:rsidRPr="005A1CAE">
        <w:rPr>
          <w:noProof/>
        </w:rPr>
        <w:t>dwó</w:t>
      </w:r>
      <w:r w:rsidRPr="005A1CAE">
        <w:rPr>
          <w:noProof/>
        </w:rPr>
        <w:t>ch głównych kwestii. Po pierwsze, zgodnie</w:t>
      </w:r>
      <w:r w:rsidR="005A1CAE" w:rsidRPr="005A1CAE">
        <w:rPr>
          <w:noProof/>
        </w:rPr>
        <w:t xml:space="preserve"> z</w:t>
      </w:r>
      <w:r w:rsidR="005A1CAE">
        <w:rPr>
          <w:noProof/>
        </w:rPr>
        <w:t> </w:t>
      </w:r>
      <w:r w:rsidR="005A1CAE" w:rsidRPr="005A1CAE">
        <w:rPr>
          <w:noProof/>
        </w:rPr>
        <w:t>roz</w:t>
      </w:r>
      <w:r w:rsidRPr="005A1CAE">
        <w:rPr>
          <w:noProof/>
        </w:rPr>
        <w:t>porządzeniem</w:t>
      </w:r>
      <w:r w:rsidR="005A1CAE" w:rsidRPr="005A1CAE">
        <w:rPr>
          <w:noProof/>
        </w:rPr>
        <w:t xml:space="preserve"> w</w:t>
      </w:r>
      <w:r w:rsidR="005A1CAE">
        <w:rPr>
          <w:noProof/>
        </w:rPr>
        <w:t> </w:t>
      </w:r>
      <w:r w:rsidR="005A1CAE" w:rsidRPr="005A1CAE">
        <w:rPr>
          <w:noProof/>
        </w:rPr>
        <w:t>spr</w:t>
      </w:r>
      <w:r w:rsidRPr="005A1CAE">
        <w:rPr>
          <w:noProof/>
        </w:rPr>
        <w:t>awie CBAM domyślne wartości emisji</w:t>
      </w:r>
      <w:r w:rsidRPr="005A1CAE">
        <w:rPr>
          <w:rStyle w:val="Odwoanieprzypisudolnego"/>
          <w:noProof/>
        </w:rPr>
        <w:footnoteReference w:id="6"/>
      </w:r>
      <w:r w:rsidRPr="005A1CAE">
        <w:rPr>
          <w:noProof/>
        </w:rPr>
        <w:t xml:space="preserve"> dla importu energii elektrycznej odzwierciedlają jedynie wytwarzanie energii elektrycznej</w:t>
      </w:r>
      <w:r w:rsidR="005A1CAE" w:rsidRPr="005A1CAE">
        <w:rPr>
          <w:noProof/>
        </w:rPr>
        <w:t xml:space="preserve"> z</w:t>
      </w:r>
      <w:r w:rsidR="005A1CAE">
        <w:rPr>
          <w:noProof/>
        </w:rPr>
        <w:t> </w:t>
      </w:r>
      <w:r w:rsidR="005A1CAE" w:rsidRPr="005A1CAE">
        <w:rPr>
          <w:noProof/>
        </w:rPr>
        <w:t>pal</w:t>
      </w:r>
      <w:r w:rsidRPr="005A1CAE">
        <w:rPr>
          <w:noProof/>
        </w:rPr>
        <w:t>iw kopalnych. Te wartości domyślne mogą zatem prowadzić do przeszacowania wielkości emisji związanych</w:t>
      </w:r>
      <w:r w:rsidR="005A1CAE" w:rsidRPr="005A1CAE">
        <w:rPr>
          <w:noProof/>
        </w:rPr>
        <w:t xml:space="preserve"> z</w:t>
      </w:r>
      <w:r w:rsidR="005A1CAE">
        <w:rPr>
          <w:noProof/>
        </w:rPr>
        <w:t> </w:t>
      </w:r>
      <w:r w:rsidR="005A1CAE" w:rsidRPr="005A1CAE">
        <w:rPr>
          <w:noProof/>
        </w:rPr>
        <w:t>pro</w:t>
      </w:r>
      <w:r w:rsidRPr="005A1CAE">
        <w:rPr>
          <w:noProof/>
        </w:rPr>
        <w:t>dukcją energii elektrycznej</w:t>
      </w:r>
      <w:r w:rsidR="005A1CAE" w:rsidRPr="005A1CAE">
        <w:rPr>
          <w:noProof/>
        </w:rPr>
        <w:t xml:space="preserve"> z</w:t>
      </w:r>
      <w:r w:rsidR="005A1CAE">
        <w:rPr>
          <w:noProof/>
        </w:rPr>
        <w:t> </w:t>
      </w:r>
      <w:r w:rsidR="005A1CAE" w:rsidRPr="005A1CAE">
        <w:rPr>
          <w:noProof/>
        </w:rPr>
        <w:t>pań</w:t>
      </w:r>
      <w:r w:rsidRPr="005A1CAE">
        <w:rPr>
          <w:noProof/>
        </w:rPr>
        <w:t>stw trzecich, które eksportują stosunkowo czystą energię do UE. Po drugie, warunki, które należy spełnić, aby zadeklarować rzeczywiste emisje energii elektrycznej, okazały się</w:t>
      </w:r>
      <w:r w:rsidR="005A1CAE" w:rsidRPr="005A1CAE">
        <w:rPr>
          <w:noProof/>
        </w:rPr>
        <w:t xml:space="preserve"> w</w:t>
      </w:r>
      <w:r w:rsidR="005A1CAE">
        <w:rPr>
          <w:noProof/>
        </w:rPr>
        <w:t> </w:t>
      </w:r>
      <w:r w:rsidR="005A1CAE" w:rsidRPr="005A1CAE">
        <w:rPr>
          <w:noProof/>
        </w:rPr>
        <w:t>pra</w:t>
      </w:r>
      <w:r w:rsidRPr="005A1CAE">
        <w:rPr>
          <w:noProof/>
        </w:rPr>
        <w:t>ktyce bardzo trudne do spełnienia. Wniosek zawiera przepisy mające na celu rozwiązanie tych kwestii.</w:t>
      </w:r>
    </w:p>
    <w:p w14:paraId="35558CCE" w14:textId="17E572C7" w:rsidR="005839AE" w:rsidRPr="005A1CAE" w:rsidRDefault="00BE3E96" w:rsidP="0063446C">
      <w:pPr>
        <w:rPr>
          <w:noProof/>
        </w:rPr>
      </w:pPr>
      <w:r w:rsidRPr="005A1CAE">
        <w:rPr>
          <w:noProof/>
        </w:rPr>
        <w:lastRenderedPageBreak/>
        <w:t>Wniosek przewiduje ponadto również niewielkie usprawnienia</w:t>
      </w:r>
      <w:r w:rsidR="005A1CAE" w:rsidRPr="005A1CAE">
        <w:rPr>
          <w:noProof/>
        </w:rPr>
        <w:t xml:space="preserve"> w</w:t>
      </w:r>
      <w:r w:rsidR="005A1CAE">
        <w:rPr>
          <w:noProof/>
        </w:rPr>
        <w:t> </w:t>
      </w:r>
      <w:r w:rsidR="005A1CAE" w:rsidRPr="005A1CAE">
        <w:rPr>
          <w:noProof/>
        </w:rPr>
        <w:t>sto</w:t>
      </w:r>
      <w:r w:rsidRPr="005A1CAE">
        <w:rPr>
          <w:noProof/>
        </w:rPr>
        <w:t>sowaniu mechanizmu, takie jak rozszerzenie możliwości zwrócenia się</w:t>
      </w:r>
      <w:r w:rsidR="005A1CAE" w:rsidRPr="005A1CAE">
        <w:rPr>
          <w:noProof/>
        </w:rPr>
        <w:t xml:space="preserve"> o</w:t>
      </w:r>
      <w:r w:rsidR="005A1CAE">
        <w:rPr>
          <w:noProof/>
        </w:rPr>
        <w:t> </w:t>
      </w:r>
      <w:r w:rsidR="005A1CAE" w:rsidRPr="005A1CAE">
        <w:rPr>
          <w:noProof/>
        </w:rPr>
        <w:t>gwa</w:t>
      </w:r>
      <w:r w:rsidRPr="005A1CAE">
        <w:rPr>
          <w:noProof/>
        </w:rPr>
        <w:t>rancję przez właściwe organy krajowe, doprecyzowanie, że operatorzy mogą udostępniać zweryfikowane informacje dotyczące emisji innym operatorom, lub uproszczenie obowiązku prowadzenia dokumentacji przez upoważnionego zgłaszającego CBAM.</w:t>
      </w:r>
    </w:p>
    <w:p w14:paraId="2E0786AA" w14:textId="2FB7B858" w:rsidR="00D0690F" w:rsidRPr="005A1CAE" w:rsidRDefault="00D0690F" w:rsidP="009F612D">
      <w:pPr>
        <w:pStyle w:val="ManualHeading2"/>
        <w:rPr>
          <w:rFonts w:eastAsia="Arial Unicode MS"/>
          <w:noProof/>
          <w:color w:val="000000"/>
          <w:u w:color="000000"/>
          <w:bdr w:val="nil"/>
        </w:rPr>
      </w:pPr>
      <w:r w:rsidRPr="005A1CAE">
        <w:rPr>
          <w:noProof/>
          <w:color w:val="000000"/>
          <w:u w:color="000000"/>
          <w:bdr w:val="nil"/>
        </w:rPr>
        <w:t>•</w:t>
      </w:r>
      <w:r w:rsidRPr="005A1CAE">
        <w:rPr>
          <w:noProof/>
        </w:rPr>
        <w:tab/>
        <w:t>Spójność</w:t>
      </w:r>
      <w:r w:rsidR="005A1CAE" w:rsidRPr="005A1CAE">
        <w:rPr>
          <w:noProof/>
        </w:rPr>
        <w:t xml:space="preserve"> z</w:t>
      </w:r>
      <w:r w:rsidR="005A1CAE">
        <w:rPr>
          <w:noProof/>
        </w:rPr>
        <w:t> </w:t>
      </w:r>
      <w:r w:rsidR="005A1CAE" w:rsidRPr="005A1CAE">
        <w:rPr>
          <w:noProof/>
        </w:rPr>
        <w:t>prz</w:t>
      </w:r>
      <w:r w:rsidRPr="005A1CAE">
        <w:rPr>
          <w:noProof/>
        </w:rPr>
        <w:t>episami obowiązującymi</w:t>
      </w:r>
      <w:r w:rsidR="005A1CAE" w:rsidRPr="005A1CAE">
        <w:rPr>
          <w:noProof/>
        </w:rPr>
        <w:t xml:space="preserve"> w</w:t>
      </w:r>
      <w:r w:rsidR="005A1CAE">
        <w:rPr>
          <w:noProof/>
        </w:rPr>
        <w:t> </w:t>
      </w:r>
      <w:r w:rsidR="005A1CAE" w:rsidRPr="005A1CAE">
        <w:rPr>
          <w:noProof/>
        </w:rPr>
        <w:t>tej</w:t>
      </w:r>
      <w:r w:rsidRPr="005A1CAE">
        <w:rPr>
          <w:noProof/>
        </w:rPr>
        <w:t xml:space="preserve"> dziedzinie polityki</w:t>
      </w:r>
    </w:p>
    <w:p w14:paraId="71C5FAB3" w14:textId="0EAE7C0B" w:rsidR="00BE3E96" w:rsidRPr="005A1CAE" w:rsidRDefault="00BE3E96" w:rsidP="00BE3E96">
      <w:pPr>
        <w:pBdr>
          <w:top w:val="nil"/>
          <w:left w:val="nil"/>
          <w:bottom w:val="nil"/>
          <w:right w:val="nil"/>
          <w:between w:val="nil"/>
          <w:bar w:val="nil"/>
        </w:pBdr>
        <w:spacing w:before="0" w:after="240"/>
        <w:rPr>
          <w:noProof/>
        </w:rPr>
      </w:pPr>
      <w:r w:rsidRPr="005A1CAE">
        <w:rPr>
          <w:noProof/>
        </w:rPr>
        <w:t>Wniosek, którego celem jest poprawa skuteczności CBAM, pomoże zapewnić osiągnięcie przez Unię jej ambitnych celów klimatycznych. W Europejskim prawie</w:t>
      </w:r>
      <w:r w:rsidR="005A1CAE" w:rsidRPr="005A1CAE">
        <w:rPr>
          <w:noProof/>
        </w:rPr>
        <w:t xml:space="preserve"> o</w:t>
      </w:r>
      <w:r w:rsidR="005A1CAE">
        <w:rPr>
          <w:noProof/>
        </w:rPr>
        <w:t> </w:t>
      </w:r>
      <w:r w:rsidR="005A1CAE" w:rsidRPr="005A1CAE">
        <w:rPr>
          <w:noProof/>
        </w:rPr>
        <w:t>kli</w:t>
      </w:r>
      <w:r w:rsidRPr="005A1CAE">
        <w:rPr>
          <w:noProof/>
        </w:rPr>
        <w:t>macie określono prawnie wiążący cel dla UE, jakim jest osiągnięcie neutralności klimatycznej do</w:t>
      </w:r>
      <w:r w:rsidR="005A1CAE" w:rsidRPr="005A1CAE">
        <w:rPr>
          <w:noProof/>
        </w:rPr>
        <w:t> </w:t>
      </w:r>
      <w:r w:rsidRPr="005A1CAE">
        <w:rPr>
          <w:noProof/>
        </w:rPr>
        <w:t>2050</w:t>
      </w:r>
      <w:r w:rsidR="005A1CAE" w:rsidRPr="005A1CAE">
        <w:rPr>
          <w:noProof/>
        </w:rPr>
        <w:t> </w:t>
      </w:r>
      <w:r w:rsidRPr="005A1CAE">
        <w:rPr>
          <w:noProof/>
        </w:rPr>
        <w:t>r.</w:t>
      </w:r>
      <w:r w:rsidR="005A1CAE" w:rsidRPr="005A1CAE">
        <w:rPr>
          <w:noProof/>
        </w:rPr>
        <w:t xml:space="preserve"> i</w:t>
      </w:r>
      <w:r w:rsidR="005A1CAE">
        <w:rPr>
          <w:noProof/>
        </w:rPr>
        <w:t> </w:t>
      </w:r>
      <w:r w:rsidR="005A1CAE" w:rsidRPr="005A1CAE">
        <w:rPr>
          <w:noProof/>
        </w:rPr>
        <w:t>red</w:t>
      </w:r>
      <w:r w:rsidRPr="005A1CAE">
        <w:rPr>
          <w:noProof/>
        </w:rPr>
        <w:t>ukcja emisji gazów cieplarnianych do</w:t>
      </w:r>
      <w:r w:rsidR="005A1CAE" w:rsidRPr="005A1CAE">
        <w:rPr>
          <w:noProof/>
        </w:rPr>
        <w:t> </w:t>
      </w:r>
      <w:r w:rsidRPr="005A1CAE">
        <w:rPr>
          <w:noProof/>
        </w:rPr>
        <w:t>2030</w:t>
      </w:r>
      <w:r w:rsidR="005A1CAE" w:rsidRPr="005A1CAE">
        <w:rPr>
          <w:noProof/>
        </w:rPr>
        <w:t> </w:t>
      </w:r>
      <w:r w:rsidRPr="005A1CAE">
        <w:rPr>
          <w:noProof/>
        </w:rPr>
        <w:t>r. o co najmniej 55</w:t>
      </w:r>
      <w:r w:rsidR="005A1CAE" w:rsidRPr="005A1CAE">
        <w:rPr>
          <w:noProof/>
        </w:rPr>
        <w:t> </w:t>
      </w:r>
      <w:r w:rsidRPr="005A1CAE">
        <w:rPr>
          <w:noProof/>
        </w:rPr>
        <w:t>%</w:t>
      </w:r>
      <w:r w:rsidR="005A1CAE" w:rsidRPr="005A1CAE">
        <w:rPr>
          <w:noProof/>
        </w:rPr>
        <w:t xml:space="preserve"> w</w:t>
      </w:r>
      <w:r w:rsidR="005A1CAE">
        <w:rPr>
          <w:noProof/>
        </w:rPr>
        <w:t> </w:t>
      </w:r>
      <w:r w:rsidR="005A1CAE" w:rsidRPr="005A1CAE">
        <w:rPr>
          <w:noProof/>
        </w:rPr>
        <w:t>por</w:t>
      </w:r>
      <w:r w:rsidRPr="005A1CAE">
        <w:rPr>
          <w:noProof/>
        </w:rPr>
        <w:t>ównaniu</w:t>
      </w:r>
      <w:r w:rsidR="005A1CAE" w:rsidRPr="005A1CAE">
        <w:rPr>
          <w:noProof/>
        </w:rPr>
        <w:t xml:space="preserve"> z</w:t>
      </w:r>
      <w:r w:rsidR="005A1CAE">
        <w:rPr>
          <w:noProof/>
        </w:rPr>
        <w:t> </w:t>
      </w:r>
      <w:r w:rsidR="005A1CAE" w:rsidRPr="005A1CAE">
        <w:rPr>
          <w:noProof/>
        </w:rPr>
        <w:t>poz</w:t>
      </w:r>
      <w:r w:rsidRPr="005A1CAE">
        <w:rPr>
          <w:noProof/>
        </w:rPr>
        <w:t>iomami</w:t>
      </w:r>
      <w:r w:rsidR="005A1CAE" w:rsidRPr="005A1CAE">
        <w:rPr>
          <w:noProof/>
        </w:rPr>
        <w:t xml:space="preserve"> z</w:t>
      </w:r>
      <w:r w:rsidR="005A1CAE">
        <w:rPr>
          <w:noProof/>
        </w:rPr>
        <w:t> </w:t>
      </w:r>
      <w:r w:rsidR="005A1CAE" w:rsidRPr="005A1CAE">
        <w:rPr>
          <w:noProof/>
        </w:rPr>
        <w:t>1</w:t>
      </w:r>
      <w:r w:rsidRPr="005A1CAE">
        <w:rPr>
          <w:noProof/>
        </w:rPr>
        <w:t>990</w:t>
      </w:r>
      <w:r w:rsidR="005A1CAE" w:rsidRPr="005A1CAE">
        <w:rPr>
          <w:noProof/>
        </w:rPr>
        <w:t> </w:t>
      </w:r>
      <w:r w:rsidRPr="005A1CAE">
        <w:rPr>
          <w:noProof/>
        </w:rPr>
        <w:t>r.</w:t>
      </w:r>
      <w:r w:rsidRPr="005A1CAE">
        <w:rPr>
          <w:rStyle w:val="Odwoanieprzypisudolnego"/>
          <w:noProof/>
        </w:rPr>
        <w:footnoteReference w:id="7"/>
      </w:r>
      <w:r w:rsidRPr="005A1CAE">
        <w:rPr>
          <w:noProof/>
        </w:rPr>
        <w:t xml:space="preserve"> Na początku tego roku Komisja Europejska zaproponowała ponadto cel redukcji emisji gazów cieplarnianych netto</w:t>
      </w:r>
      <w:r w:rsidR="005A1CAE" w:rsidRPr="005A1CAE">
        <w:rPr>
          <w:noProof/>
        </w:rPr>
        <w:t xml:space="preserve"> o</w:t>
      </w:r>
      <w:r w:rsidR="005A1CAE">
        <w:rPr>
          <w:noProof/>
        </w:rPr>
        <w:t> </w:t>
      </w:r>
      <w:r w:rsidR="005A1CAE" w:rsidRPr="005A1CAE">
        <w:rPr>
          <w:noProof/>
        </w:rPr>
        <w:t>9</w:t>
      </w:r>
      <w:r w:rsidRPr="005A1CAE">
        <w:rPr>
          <w:noProof/>
        </w:rPr>
        <w:t>0</w:t>
      </w:r>
      <w:r w:rsidR="005A1CAE" w:rsidRPr="005A1CAE">
        <w:rPr>
          <w:noProof/>
        </w:rPr>
        <w:t> </w:t>
      </w:r>
      <w:r w:rsidRPr="005A1CAE">
        <w:rPr>
          <w:noProof/>
        </w:rPr>
        <w:t>% do</w:t>
      </w:r>
      <w:r w:rsidR="005A1CAE" w:rsidRPr="005A1CAE">
        <w:rPr>
          <w:noProof/>
        </w:rPr>
        <w:t> </w:t>
      </w:r>
      <w:r w:rsidRPr="005A1CAE">
        <w:rPr>
          <w:noProof/>
        </w:rPr>
        <w:t>2040</w:t>
      </w:r>
      <w:r w:rsidR="005A1CAE" w:rsidRPr="005A1CAE">
        <w:rPr>
          <w:noProof/>
        </w:rPr>
        <w:t> </w:t>
      </w:r>
      <w:r w:rsidRPr="005A1CAE">
        <w:rPr>
          <w:noProof/>
        </w:rPr>
        <w:t>r. Planowane zmniejszenie ogólnej liczby uprawnień</w:t>
      </w:r>
      <w:r w:rsidR="005A1CAE" w:rsidRPr="005A1CAE">
        <w:rPr>
          <w:noProof/>
        </w:rPr>
        <w:t xml:space="preserve"> w</w:t>
      </w:r>
      <w:r w:rsidR="005A1CAE">
        <w:rPr>
          <w:noProof/>
        </w:rPr>
        <w:t> </w:t>
      </w:r>
      <w:r w:rsidR="005A1CAE" w:rsidRPr="005A1CAE">
        <w:rPr>
          <w:noProof/>
        </w:rPr>
        <w:t>ram</w:t>
      </w:r>
      <w:r w:rsidRPr="005A1CAE">
        <w:rPr>
          <w:noProof/>
        </w:rPr>
        <w:t>ach EU ETS ma spowodować wzrost opłaty emisyjnej uiszczanej za emisje w UE</w:t>
      </w:r>
      <w:r w:rsidR="005A1CAE" w:rsidRPr="005A1CAE">
        <w:rPr>
          <w:noProof/>
        </w:rPr>
        <w:t>. W</w:t>
      </w:r>
      <w:r w:rsidR="005A1CAE">
        <w:rPr>
          <w:noProof/>
        </w:rPr>
        <w:t> </w:t>
      </w:r>
      <w:r w:rsidR="005A1CAE" w:rsidRPr="005A1CAE">
        <w:rPr>
          <w:noProof/>
        </w:rPr>
        <w:t>tym</w:t>
      </w:r>
      <w:r w:rsidRPr="005A1CAE">
        <w:rPr>
          <w:noProof/>
        </w:rPr>
        <w:t xml:space="preserve"> kontekście zwiększa się potrzeba wprowadzenia skutecznych</w:t>
      </w:r>
      <w:r w:rsidR="005A1CAE" w:rsidRPr="005A1CAE">
        <w:rPr>
          <w:noProof/>
        </w:rPr>
        <w:t xml:space="preserve"> i</w:t>
      </w:r>
      <w:r w:rsidR="005A1CAE">
        <w:rPr>
          <w:noProof/>
        </w:rPr>
        <w:t> </w:t>
      </w:r>
      <w:r w:rsidR="005A1CAE" w:rsidRPr="005A1CAE">
        <w:rPr>
          <w:noProof/>
        </w:rPr>
        <w:t>wia</w:t>
      </w:r>
      <w:r w:rsidRPr="005A1CAE">
        <w:rPr>
          <w:noProof/>
        </w:rPr>
        <w:t>rygodnych instrumentów przeciwdziałania ryzyku ucieczki emisji. Większa różnica</w:t>
      </w:r>
      <w:r w:rsidR="005A1CAE" w:rsidRPr="005A1CAE">
        <w:rPr>
          <w:noProof/>
        </w:rPr>
        <w:t xml:space="preserve"> w</w:t>
      </w:r>
      <w:r w:rsidR="005A1CAE">
        <w:rPr>
          <w:noProof/>
        </w:rPr>
        <w:t> </w:t>
      </w:r>
      <w:r w:rsidR="005A1CAE" w:rsidRPr="005A1CAE">
        <w:rPr>
          <w:noProof/>
        </w:rPr>
        <w:t>kos</w:t>
      </w:r>
      <w:r w:rsidRPr="005A1CAE">
        <w:rPr>
          <w:noProof/>
        </w:rPr>
        <w:t>ztach emisji dwutlenku węgla między producentami wewnątrzunijnymi</w:t>
      </w:r>
      <w:r w:rsidR="005A1CAE" w:rsidRPr="005A1CAE">
        <w:rPr>
          <w:noProof/>
        </w:rPr>
        <w:t xml:space="preserve"> a</w:t>
      </w:r>
      <w:r w:rsidR="005A1CAE">
        <w:rPr>
          <w:noProof/>
        </w:rPr>
        <w:t> </w:t>
      </w:r>
      <w:r w:rsidR="005A1CAE" w:rsidRPr="005A1CAE">
        <w:rPr>
          <w:noProof/>
        </w:rPr>
        <w:t>pro</w:t>
      </w:r>
      <w:r w:rsidRPr="005A1CAE">
        <w:rPr>
          <w:noProof/>
        </w:rPr>
        <w:t>ducentami</w:t>
      </w:r>
      <w:r w:rsidR="005A1CAE" w:rsidRPr="005A1CAE">
        <w:rPr>
          <w:noProof/>
        </w:rPr>
        <w:t xml:space="preserve"> z</w:t>
      </w:r>
      <w:r w:rsidR="005A1CAE">
        <w:rPr>
          <w:noProof/>
        </w:rPr>
        <w:t> </w:t>
      </w:r>
      <w:r w:rsidR="005A1CAE" w:rsidRPr="005A1CAE">
        <w:rPr>
          <w:noProof/>
        </w:rPr>
        <w:t>pań</w:t>
      </w:r>
      <w:r w:rsidRPr="005A1CAE">
        <w:rPr>
          <w:noProof/>
        </w:rPr>
        <w:t>stw trzecich zwiększa zarówno ryzyko ucieczki emisji na rynku niższego szczebla, jak</w:t>
      </w:r>
      <w:r w:rsidR="005A1CAE" w:rsidRPr="005A1CAE">
        <w:rPr>
          <w:noProof/>
        </w:rPr>
        <w:t xml:space="preserve"> i</w:t>
      </w:r>
      <w:r w:rsidR="005A1CAE">
        <w:rPr>
          <w:noProof/>
        </w:rPr>
        <w:t> </w:t>
      </w:r>
      <w:r w:rsidR="005A1CAE" w:rsidRPr="005A1CAE">
        <w:rPr>
          <w:noProof/>
        </w:rPr>
        <w:t>ryz</w:t>
      </w:r>
      <w:r w:rsidRPr="005A1CAE">
        <w:rPr>
          <w:noProof/>
        </w:rPr>
        <w:t>yko unikania</w:t>
      </w:r>
      <w:r w:rsidR="005A1CAE" w:rsidRPr="005A1CAE">
        <w:rPr>
          <w:noProof/>
        </w:rPr>
        <w:t xml:space="preserve"> i</w:t>
      </w:r>
      <w:r w:rsidR="005A1CAE">
        <w:rPr>
          <w:noProof/>
        </w:rPr>
        <w:t> </w:t>
      </w:r>
      <w:r w:rsidR="005A1CAE" w:rsidRPr="005A1CAE">
        <w:rPr>
          <w:noProof/>
        </w:rPr>
        <w:t>obc</w:t>
      </w:r>
      <w:r w:rsidRPr="005A1CAE">
        <w:rPr>
          <w:noProof/>
        </w:rPr>
        <w:t>hodzenia przepisów.</w:t>
      </w:r>
    </w:p>
    <w:p w14:paraId="532FA827" w14:textId="4F1E1667" w:rsidR="00BE3E96" w:rsidRPr="005A1CAE" w:rsidRDefault="00BE3E96" w:rsidP="00BE3E96">
      <w:pPr>
        <w:pBdr>
          <w:top w:val="nil"/>
          <w:left w:val="nil"/>
          <w:bottom w:val="nil"/>
          <w:right w:val="nil"/>
          <w:between w:val="nil"/>
          <w:bar w:val="nil"/>
        </w:pBdr>
        <w:spacing w:before="0" w:after="240"/>
        <w:rPr>
          <w:rFonts w:eastAsia="Times New Roman"/>
          <w:noProof/>
        </w:rPr>
      </w:pPr>
      <w:r w:rsidRPr="005A1CAE">
        <w:rPr>
          <w:noProof/>
        </w:rPr>
        <w:t>Wniosek stanowi część szerzej zakrojonych działań mających na celu zwiększenie skuteczności CBAM. Opiera się on na rozporządzeniu (UE) 2025/2083</w:t>
      </w:r>
      <w:r w:rsidR="005A1CAE" w:rsidRPr="005A1CAE">
        <w:rPr>
          <w:noProof/>
        </w:rPr>
        <w:t xml:space="preserve"> w</w:t>
      </w:r>
      <w:r w:rsidR="005A1CAE">
        <w:rPr>
          <w:noProof/>
        </w:rPr>
        <w:t> </w:t>
      </w:r>
      <w:r w:rsidR="005A1CAE" w:rsidRPr="005A1CAE">
        <w:rPr>
          <w:noProof/>
        </w:rPr>
        <w:t>odn</w:t>
      </w:r>
      <w:r w:rsidRPr="005A1CAE">
        <w:rPr>
          <w:noProof/>
        </w:rPr>
        <w:t>iesieniu do uproszczenia</w:t>
      </w:r>
      <w:r w:rsidR="005A1CAE" w:rsidRPr="005A1CAE">
        <w:rPr>
          <w:noProof/>
        </w:rPr>
        <w:t xml:space="preserve"> i</w:t>
      </w:r>
      <w:r w:rsidR="005A1CAE">
        <w:rPr>
          <w:noProof/>
        </w:rPr>
        <w:t> </w:t>
      </w:r>
      <w:r w:rsidR="005A1CAE" w:rsidRPr="005A1CAE">
        <w:rPr>
          <w:noProof/>
        </w:rPr>
        <w:t>wzm</w:t>
      </w:r>
      <w:r w:rsidRPr="005A1CAE">
        <w:rPr>
          <w:noProof/>
        </w:rPr>
        <w:t>ocnienia CBAM</w:t>
      </w:r>
      <w:r w:rsidRPr="005A1CAE">
        <w:rPr>
          <w:rStyle w:val="Odwoanieprzypisudolnego"/>
          <w:rFonts w:eastAsia="Times New Roman"/>
          <w:noProof/>
        </w:rPr>
        <w:footnoteReference w:id="8"/>
      </w:r>
      <w:r w:rsidRPr="005A1CAE">
        <w:rPr>
          <w:noProof/>
        </w:rPr>
        <w:t xml:space="preserve"> przez wprowadzenie dodatkowych uproszczeń przy jednoczesnym zachowaniu celu środowiskowego tego mechanizmu. Na przykład niniejszy wniosek udoskonali zasady stosowania wartości domyślnych</w:t>
      </w:r>
      <w:r w:rsidR="005A1CAE" w:rsidRPr="005A1CAE">
        <w:rPr>
          <w:noProof/>
        </w:rPr>
        <w:t xml:space="preserve"> w</w:t>
      </w:r>
      <w:r w:rsidR="005A1CAE">
        <w:rPr>
          <w:noProof/>
        </w:rPr>
        <w:t> </w:t>
      </w:r>
      <w:r w:rsidR="005A1CAE" w:rsidRPr="005A1CAE">
        <w:rPr>
          <w:noProof/>
        </w:rPr>
        <w:t>odn</w:t>
      </w:r>
      <w:r w:rsidRPr="005A1CAE">
        <w:rPr>
          <w:noProof/>
        </w:rPr>
        <w:t>iesieniu do importu energii elektrycznej oraz ułatwi deklarowanie wartości rzeczywistych energii elektrycznej.</w:t>
      </w:r>
    </w:p>
    <w:p w14:paraId="6652B536" w14:textId="55DB5032" w:rsidR="008C228F" w:rsidRPr="005A1CAE" w:rsidRDefault="00BE3E96" w:rsidP="00BE3E96">
      <w:pPr>
        <w:rPr>
          <w:noProof/>
        </w:rPr>
      </w:pPr>
      <w:bookmarkStart w:id="0" w:name="_Hlk207730799"/>
      <w:r w:rsidRPr="005A1CAE">
        <w:rPr>
          <w:noProof/>
        </w:rPr>
        <w:t>Komisja przeprowadziła również szeroko zakrojony przegląd CBAM zgodnie</w:t>
      </w:r>
      <w:r w:rsidR="005A1CAE" w:rsidRPr="005A1CAE">
        <w:rPr>
          <w:noProof/>
        </w:rPr>
        <w:t xml:space="preserve"> z</w:t>
      </w:r>
      <w:r w:rsidR="005A1CAE">
        <w:rPr>
          <w:noProof/>
        </w:rPr>
        <w:t> </w:t>
      </w:r>
      <w:r w:rsidR="005A1CAE" w:rsidRPr="005A1CAE">
        <w:rPr>
          <w:noProof/>
        </w:rPr>
        <w:t>art</w:t>
      </w:r>
      <w:r w:rsidRPr="005A1CAE">
        <w:rPr>
          <w:noProof/>
        </w:rPr>
        <w:t>.</w:t>
      </w:r>
      <w:r w:rsidR="005A1CAE" w:rsidRPr="005A1CAE">
        <w:rPr>
          <w:noProof/>
        </w:rPr>
        <w:t> </w:t>
      </w:r>
      <w:r w:rsidRPr="005A1CAE">
        <w:rPr>
          <w:noProof/>
        </w:rPr>
        <w:t>30 ust.</w:t>
      </w:r>
      <w:r w:rsidR="005A1CAE" w:rsidRPr="005A1CAE">
        <w:rPr>
          <w:noProof/>
        </w:rPr>
        <w:t> </w:t>
      </w:r>
      <w:r w:rsidRPr="005A1CAE">
        <w:rPr>
          <w:noProof/>
        </w:rPr>
        <w:t>2 rozporządzenia</w:t>
      </w:r>
      <w:r w:rsidR="005A1CAE" w:rsidRPr="005A1CAE">
        <w:rPr>
          <w:noProof/>
        </w:rPr>
        <w:t xml:space="preserve"> w</w:t>
      </w:r>
      <w:r w:rsidR="005A1CAE">
        <w:rPr>
          <w:noProof/>
        </w:rPr>
        <w:t> </w:t>
      </w:r>
      <w:r w:rsidR="005A1CAE" w:rsidRPr="005A1CAE">
        <w:rPr>
          <w:noProof/>
        </w:rPr>
        <w:t>spr</w:t>
      </w:r>
      <w:r w:rsidRPr="005A1CAE">
        <w:rPr>
          <w:noProof/>
        </w:rPr>
        <w:t>awie CBAM</w:t>
      </w:r>
      <w:r w:rsidR="005A1CAE" w:rsidRPr="005A1CAE">
        <w:rPr>
          <w:noProof/>
        </w:rPr>
        <w:t>. W</w:t>
      </w:r>
      <w:r w:rsidR="005A1CAE">
        <w:rPr>
          <w:noProof/>
        </w:rPr>
        <w:t> </w:t>
      </w:r>
      <w:r w:rsidR="005A1CAE" w:rsidRPr="005A1CAE">
        <w:rPr>
          <w:noProof/>
        </w:rPr>
        <w:t>prz</w:t>
      </w:r>
      <w:r w:rsidRPr="005A1CAE">
        <w:rPr>
          <w:noProof/>
        </w:rPr>
        <w:t>eglądzie tym podsumowano dotychczasowe funkcjonowanie mechanizmu, oceniono stosunki</w:t>
      </w:r>
      <w:r w:rsidR="005A1CAE" w:rsidRPr="005A1CAE">
        <w:rPr>
          <w:noProof/>
        </w:rPr>
        <w:t xml:space="preserve"> z</w:t>
      </w:r>
      <w:r w:rsidR="005A1CAE">
        <w:rPr>
          <w:noProof/>
        </w:rPr>
        <w:t> </w:t>
      </w:r>
      <w:r w:rsidR="005A1CAE" w:rsidRPr="005A1CAE">
        <w:rPr>
          <w:noProof/>
        </w:rPr>
        <w:t>kra</w:t>
      </w:r>
      <w:r w:rsidRPr="005A1CAE">
        <w:rPr>
          <w:noProof/>
        </w:rPr>
        <w:t>jami rozwijającymi się,</w:t>
      </w:r>
      <w:r w:rsidR="005A1CAE" w:rsidRPr="005A1CAE">
        <w:rPr>
          <w:noProof/>
        </w:rPr>
        <w:t xml:space="preserve"> w</w:t>
      </w:r>
      <w:r w:rsidR="005A1CAE">
        <w:rPr>
          <w:noProof/>
        </w:rPr>
        <w:t> </w:t>
      </w:r>
      <w:r w:rsidR="005A1CAE" w:rsidRPr="005A1CAE">
        <w:rPr>
          <w:noProof/>
        </w:rPr>
        <w:t>tym z</w:t>
      </w:r>
      <w:r w:rsidR="005A1CAE">
        <w:rPr>
          <w:noProof/>
        </w:rPr>
        <w:t> </w:t>
      </w:r>
      <w:r w:rsidR="005A1CAE" w:rsidRPr="005A1CAE">
        <w:rPr>
          <w:noProof/>
        </w:rPr>
        <w:t>kra</w:t>
      </w:r>
      <w:r w:rsidRPr="005A1CAE">
        <w:rPr>
          <w:noProof/>
        </w:rPr>
        <w:t>jami najsłabiej rozwiniętymi</w:t>
      </w:r>
      <w:r w:rsidRPr="005A1CAE">
        <w:rPr>
          <w:rStyle w:val="Odwoanieprzypisudolnego"/>
          <w:noProof/>
        </w:rPr>
        <w:footnoteReference w:id="9"/>
      </w:r>
      <w:r w:rsidRPr="005A1CAE">
        <w:rPr>
          <w:noProof/>
        </w:rPr>
        <w:t>, oraz ich wpływ na te kraje,</w:t>
      </w:r>
      <w:r w:rsidR="005A1CAE" w:rsidRPr="005A1CAE">
        <w:rPr>
          <w:noProof/>
        </w:rPr>
        <w:t xml:space="preserve"> a</w:t>
      </w:r>
      <w:r w:rsidR="005A1CAE">
        <w:rPr>
          <w:noProof/>
        </w:rPr>
        <w:t> </w:t>
      </w:r>
      <w:r w:rsidR="005A1CAE" w:rsidRPr="005A1CAE">
        <w:rPr>
          <w:noProof/>
        </w:rPr>
        <w:t>tak</w:t>
      </w:r>
      <w:r w:rsidRPr="005A1CAE">
        <w:rPr>
          <w:noProof/>
        </w:rPr>
        <w:t>że rozważono możliwe dalsze kroki</w:t>
      </w:r>
      <w:r w:rsidR="005A1CAE" w:rsidRPr="005A1CAE">
        <w:rPr>
          <w:noProof/>
        </w:rPr>
        <w:t>. W</w:t>
      </w:r>
      <w:r w:rsidR="005A1CAE">
        <w:rPr>
          <w:noProof/>
        </w:rPr>
        <w:t> </w:t>
      </w:r>
      <w:r w:rsidR="005A1CAE" w:rsidRPr="005A1CAE">
        <w:rPr>
          <w:noProof/>
        </w:rPr>
        <w:t>prz</w:t>
      </w:r>
      <w:r w:rsidRPr="005A1CAE">
        <w:rPr>
          <w:noProof/>
        </w:rPr>
        <w:t>eglądzie rozważono również możliwość przyszłego rozszerzenia CBAM na inne sektory EU ETS,</w:t>
      </w:r>
      <w:r w:rsidR="005A1CAE" w:rsidRPr="005A1CAE">
        <w:rPr>
          <w:noProof/>
        </w:rPr>
        <w:t xml:space="preserve"> w</w:t>
      </w:r>
      <w:r w:rsidR="005A1CAE">
        <w:rPr>
          <w:noProof/>
        </w:rPr>
        <w:t> </w:t>
      </w:r>
      <w:r w:rsidR="005A1CAE" w:rsidRPr="005A1CAE">
        <w:rPr>
          <w:noProof/>
        </w:rPr>
        <w:t>prz</w:t>
      </w:r>
      <w:r w:rsidRPr="005A1CAE">
        <w:rPr>
          <w:noProof/>
        </w:rPr>
        <w:t>ypadku których istnieje ryzyko ucieczki emisji,</w:t>
      </w:r>
      <w:r w:rsidR="005A1CAE" w:rsidRPr="005A1CAE">
        <w:rPr>
          <w:noProof/>
        </w:rPr>
        <w:t xml:space="preserve"> a</w:t>
      </w:r>
      <w:r w:rsidR="005A1CAE">
        <w:rPr>
          <w:noProof/>
        </w:rPr>
        <w:t> </w:t>
      </w:r>
      <w:r w:rsidR="005A1CAE" w:rsidRPr="005A1CAE">
        <w:rPr>
          <w:noProof/>
        </w:rPr>
        <w:t>tak</w:t>
      </w:r>
      <w:r w:rsidRPr="005A1CAE">
        <w:rPr>
          <w:noProof/>
        </w:rPr>
        <w:t>że na produkty rynku niższego szczebla</w:t>
      </w:r>
      <w:r w:rsidR="005A1CAE" w:rsidRPr="005A1CAE">
        <w:rPr>
          <w:noProof/>
        </w:rPr>
        <w:t xml:space="preserve"> w</w:t>
      </w:r>
      <w:r w:rsidR="005A1CAE">
        <w:rPr>
          <w:noProof/>
        </w:rPr>
        <w:t> </w:t>
      </w:r>
      <w:r w:rsidR="005A1CAE" w:rsidRPr="005A1CAE">
        <w:rPr>
          <w:noProof/>
        </w:rPr>
        <w:t>inn</w:t>
      </w:r>
      <w:r w:rsidRPr="005A1CAE">
        <w:rPr>
          <w:noProof/>
        </w:rPr>
        <w:t>ych sektorach (cement, nawozy</w:t>
      </w:r>
      <w:r w:rsidR="005A1CAE" w:rsidRPr="005A1CAE">
        <w:rPr>
          <w:noProof/>
        </w:rPr>
        <w:t xml:space="preserve"> i</w:t>
      </w:r>
      <w:r w:rsidR="005A1CAE">
        <w:rPr>
          <w:noProof/>
        </w:rPr>
        <w:t> </w:t>
      </w:r>
      <w:r w:rsidR="005A1CAE" w:rsidRPr="005A1CAE">
        <w:rPr>
          <w:noProof/>
        </w:rPr>
        <w:t>wod</w:t>
      </w:r>
      <w:r w:rsidRPr="005A1CAE">
        <w:rPr>
          <w:noProof/>
        </w:rPr>
        <w:t>ór)</w:t>
      </w:r>
      <w:r w:rsidRPr="005A1CAE">
        <w:rPr>
          <w:rStyle w:val="Odwoanieprzypisudolnego"/>
          <w:noProof/>
        </w:rPr>
        <w:footnoteReference w:id="10"/>
      </w:r>
      <w:r w:rsidRPr="005A1CAE">
        <w:rPr>
          <w:noProof/>
        </w:rPr>
        <w:t xml:space="preserve">. Jednocześnie Komisja </w:t>
      </w:r>
      <w:r w:rsidRPr="005A1CAE">
        <w:rPr>
          <w:noProof/>
        </w:rPr>
        <w:lastRenderedPageBreak/>
        <w:t>Europejska przyjmuje szereg aktów wykonawczych</w:t>
      </w:r>
      <w:r w:rsidR="005A1CAE" w:rsidRPr="005A1CAE">
        <w:rPr>
          <w:noProof/>
        </w:rPr>
        <w:t xml:space="preserve"> i</w:t>
      </w:r>
      <w:r w:rsidR="005A1CAE">
        <w:rPr>
          <w:noProof/>
        </w:rPr>
        <w:t> </w:t>
      </w:r>
      <w:r w:rsidR="005A1CAE" w:rsidRPr="005A1CAE">
        <w:rPr>
          <w:noProof/>
        </w:rPr>
        <w:t>del</w:t>
      </w:r>
      <w:r w:rsidRPr="005A1CAE">
        <w:rPr>
          <w:noProof/>
        </w:rPr>
        <w:t>egowanych,</w:t>
      </w:r>
      <w:r w:rsidR="005A1CAE" w:rsidRPr="005A1CAE">
        <w:rPr>
          <w:noProof/>
        </w:rPr>
        <w:t xml:space="preserve"> w</w:t>
      </w:r>
      <w:r w:rsidR="005A1CAE">
        <w:rPr>
          <w:noProof/>
        </w:rPr>
        <w:t> </w:t>
      </w:r>
      <w:r w:rsidR="005A1CAE" w:rsidRPr="005A1CAE">
        <w:rPr>
          <w:noProof/>
        </w:rPr>
        <w:t>któ</w:t>
      </w:r>
      <w:r w:rsidRPr="005A1CAE">
        <w:rPr>
          <w:noProof/>
        </w:rPr>
        <w:t>rych określone zostaną przepisy techniczne dotyczące funkcjonowania CBAM</w:t>
      </w:r>
      <w:r w:rsidR="005A1CAE" w:rsidRPr="005A1CAE">
        <w:rPr>
          <w:noProof/>
        </w:rPr>
        <w:t xml:space="preserve"> w</w:t>
      </w:r>
      <w:r w:rsidR="005A1CAE">
        <w:rPr>
          <w:noProof/>
        </w:rPr>
        <w:t> </w:t>
      </w:r>
      <w:r w:rsidR="005A1CAE" w:rsidRPr="005A1CAE">
        <w:rPr>
          <w:noProof/>
        </w:rPr>
        <w:t>jeg</w:t>
      </w:r>
      <w:r w:rsidRPr="005A1CAE">
        <w:rPr>
          <w:noProof/>
        </w:rPr>
        <w:t>o obecnym zakresie</w:t>
      </w:r>
      <w:r w:rsidRPr="005A1CAE">
        <w:rPr>
          <w:rStyle w:val="Odwoanieprzypisudolnego"/>
          <w:rFonts w:eastAsia="Times New Roman"/>
          <w:noProof/>
        </w:rPr>
        <w:footnoteReference w:id="11"/>
      </w:r>
      <w:r w:rsidRPr="005A1CAE">
        <w:rPr>
          <w:noProof/>
        </w:rPr>
        <w:t>.</w:t>
      </w:r>
      <w:bookmarkEnd w:id="0"/>
    </w:p>
    <w:p w14:paraId="0DFEB8AE" w14:textId="34A63FA5" w:rsidR="00CD7779" w:rsidRPr="005A1CAE" w:rsidRDefault="00D0690F" w:rsidP="00EB0914">
      <w:pPr>
        <w:pStyle w:val="ManualHeading2"/>
        <w:rPr>
          <w:rFonts w:eastAsia="Times New Roman"/>
          <w:noProof/>
        </w:rPr>
      </w:pPr>
      <w:r w:rsidRPr="005A1CAE">
        <w:rPr>
          <w:noProof/>
          <w:color w:val="000000"/>
          <w:u w:color="000000"/>
          <w:bdr w:val="nil"/>
        </w:rPr>
        <w:t>•</w:t>
      </w:r>
      <w:r w:rsidRPr="005A1CAE">
        <w:rPr>
          <w:noProof/>
        </w:rPr>
        <w:tab/>
        <w:t>Spójność</w:t>
      </w:r>
      <w:r w:rsidR="005A1CAE" w:rsidRPr="005A1CAE">
        <w:rPr>
          <w:noProof/>
        </w:rPr>
        <w:t xml:space="preserve"> z</w:t>
      </w:r>
      <w:r w:rsidR="005A1CAE">
        <w:rPr>
          <w:noProof/>
        </w:rPr>
        <w:t> </w:t>
      </w:r>
      <w:r w:rsidR="005A1CAE" w:rsidRPr="005A1CAE">
        <w:rPr>
          <w:noProof/>
        </w:rPr>
        <w:t>inn</w:t>
      </w:r>
      <w:r w:rsidRPr="005A1CAE">
        <w:rPr>
          <w:noProof/>
        </w:rPr>
        <w:t>ymi politykami Unii</w:t>
      </w:r>
    </w:p>
    <w:p w14:paraId="7FFF9970" w14:textId="2FAC33C0" w:rsidR="008C228F" w:rsidRPr="005A1CAE" w:rsidRDefault="00BE3E96" w:rsidP="008C228F">
      <w:pPr>
        <w:pBdr>
          <w:top w:val="nil"/>
          <w:left w:val="nil"/>
          <w:bottom w:val="nil"/>
          <w:right w:val="nil"/>
          <w:between w:val="nil"/>
          <w:bar w:val="nil"/>
        </w:pBdr>
        <w:spacing w:before="0" w:after="240"/>
        <w:rPr>
          <w:rFonts w:eastAsia="Times New Roman"/>
          <w:noProof/>
        </w:rPr>
      </w:pPr>
      <w:r w:rsidRPr="005A1CAE">
        <w:rPr>
          <w:noProof/>
        </w:rPr>
        <w:t>Proponowana inicjatywa jest częścią Paktu dla czystego przemysłu</w:t>
      </w:r>
      <w:r w:rsidRPr="005A1CAE">
        <w:rPr>
          <w:rStyle w:val="Odwoanieprzypisudolnego"/>
          <w:rFonts w:eastAsia="Times New Roman"/>
          <w:noProof/>
        </w:rPr>
        <w:footnoteReference w:id="12"/>
      </w:r>
      <w:r w:rsidR="005A1CAE" w:rsidRPr="005A1CAE">
        <w:rPr>
          <w:noProof/>
        </w:rPr>
        <w:t xml:space="preserve"> i</w:t>
      </w:r>
      <w:r w:rsidR="005A1CAE">
        <w:rPr>
          <w:noProof/>
        </w:rPr>
        <w:t> </w:t>
      </w:r>
      <w:r w:rsidR="005A1CAE" w:rsidRPr="005A1CAE">
        <w:rPr>
          <w:noProof/>
        </w:rPr>
        <w:t>jes</w:t>
      </w:r>
      <w:r w:rsidRPr="005A1CAE">
        <w:rPr>
          <w:noProof/>
        </w:rPr>
        <w:t>t ściśle powiązana</w:t>
      </w:r>
      <w:r w:rsidR="005A1CAE" w:rsidRPr="005A1CAE">
        <w:rPr>
          <w:noProof/>
        </w:rPr>
        <w:t xml:space="preserve"> z</w:t>
      </w:r>
      <w:r w:rsidR="005A1CAE">
        <w:rPr>
          <w:noProof/>
        </w:rPr>
        <w:t> </w:t>
      </w:r>
      <w:r w:rsidR="005A1CAE" w:rsidRPr="005A1CAE">
        <w:rPr>
          <w:noProof/>
        </w:rPr>
        <w:t>cel</w:t>
      </w:r>
      <w:r w:rsidRPr="005A1CAE">
        <w:rPr>
          <w:noProof/>
        </w:rPr>
        <w:t>ami przyszłego Aktu</w:t>
      </w:r>
      <w:r w:rsidR="005A1CAE" w:rsidRPr="005A1CAE">
        <w:rPr>
          <w:noProof/>
        </w:rPr>
        <w:t xml:space="preserve"> w</w:t>
      </w:r>
      <w:r w:rsidR="005A1CAE">
        <w:rPr>
          <w:noProof/>
        </w:rPr>
        <w:t> </w:t>
      </w:r>
      <w:r w:rsidR="005A1CAE" w:rsidRPr="005A1CAE">
        <w:rPr>
          <w:noProof/>
        </w:rPr>
        <w:t>spr</w:t>
      </w:r>
      <w:r w:rsidRPr="005A1CAE">
        <w:rPr>
          <w:noProof/>
        </w:rPr>
        <w:t xml:space="preserve">awie przyspieszenia rozwoju przemysłu. </w:t>
      </w:r>
    </w:p>
    <w:p w14:paraId="0BAE60AA" w14:textId="77777777" w:rsidR="00D0690F" w:rsidRPr="005A1CAE" w:rsidRDefault="00D0690F" w:rsidP="009F612D">
      <w:pPr>
        <w:pStyle w:val="ManualHeading1"/>
        <w:rPr>
          <w:noProof/>
        </w:rPr>
      </w:pPr>
      <w:r w:rsidRPr="005A1CAE">
        <w:rPr>
          <w:noProof/>
        </w:rPr>
        <w:t>2.</w:t>
      </w:r>
      <w:r w:rsidRPr="005A1CAE">
        <w:rPr>
          <w:noProof/>
        </w:rPr>
        <w:tab/>
        <w:t>PODSTAWA PRAWNA, POMOCNICZOŚĆ I PROPORCJONALNOŚĆ</w:t>
      </w:r>
    </w:p>
    <w:p w14:paraId="3BBF20B7" w14:textId="77777777"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Podstawa prawna</w:t>
      </w:r>
    </w:p>
    <w:p w14:paraId="2E56E6D8" w14:textId="24B93D7E" w:rsidR="008C228F" w:rsidRPr="005A1CAE" w:rsidRDefault="00BE3E96" w:rsidP="009F612D">
      <w:pPr>
        <w:pBdr>
          <w:top w:val="nil"/>
          <w:left w:val="nil"/>
          <w:bottom w:val="nil"/>
          <w:right w:val="nil"/>
          <w:between w:val="nil"/>
          <w:bar w:val="nil"/>
        </w:pBdr>
        <w:spacing w:before="0" w:after="240"/>
        <w:rPr>
          <w:rFonts w:eastAsia="Arial Unicode MS"/>
          <w:noProof/>
        </w:rPr>
      </w:pPr>
      <w:r w:rsidRPr="005A1CAE">
        <w:rPr>
          <w:noProof/>
        </w:rPr>
        <w:t>Podstawą rozporządzenia</w:t>
      </w:r>
      <w:r w:rsidR="005A1CAE" w:rsidRPr="005A1CAE">
        <w:rPr>
          <w:noProof/>
        </w:rPr>
        <w:t xml:space="preserve"> w</w:t>
      </w:r>
      <w:r w:rsidR="005A1CAE">
        <w:rPr>
          <w:noProof/>
        </w:rPr>
        <w:t> </w:t>
      </w:r>
      <w:r w:rsidR="005A1CAE" w:rsidRPr="005A1CAE">
        <w:rPr>
          <w:noProof/>
        </w:rPr>
        <w:t>spr</w:t>
      </w:r>
      <w:r w:rsidRPr="005A1CAE">
        <w:rPr>
          <w:noProof/>
        </w:rPr>
        <w:t>awie CBAM jest art.</w:t>
      </w:r>
      <w:r w:rsidR="005A1CAE" w:rsidRPr="005A1CAE">
        <w:rPr>
          <w:noProof/>
        </w:rPr>
        <w:t> </w:t>
      </w:r>
      <w:r w:rsidRPr="005A1CAE">
        <w:rPr>
          <w:noProof/>
        </w:rPr>
        <w:t>192 ust.</w:t>
      </w:r>
      <w:r w:rsidR="005A1CAE" w:rsidRPr="005A1CAE">
        <w:rPr>
          <w:noProof/>
        </w:rPr>
        <w:t> </w:t>
      </w:r>
      <w:r w:rsidRPr="005A1CAE">
        <w:rPr>
          <w:noProof/>
        </w:rPr>
        <w:t>1 Traktatu</w:t>
      </w:r>
      <w:r w:rsidR="005A1CAE" w:rsidRPr="005A1CAE">
        <w:rPr>
          <w:noProof/>
        </w:rPr>
        <w:t xml:space="preserve"> o</w:t>
      </w:r>
      <w:r w:rsidR="005A1CAE">
        <w:rPr>
          <w:noProof/>
        </w:rPr>
        <w:t> </w:t>
      </w:r>
      <w:r w:rsidR="005A1CAE" w:rsidRPr="005A1CAE">
        <w:rPr>
          <w:noProof/>
        </w:rPr>
        <w:t>fun</w:t>
      </w:r>
      <w:r w:rsidRPr="005A1CAE">
        <w:rPr>
          <w:noProof/>
        </w:rPr>
        <w:t>kcjonowaniu Unii Europejskiej („TFUE”). Zgodnie</w:t>
      </w:r>
      <w:r w:rsidR="005A1CAE" w:rsidRPr="005A1CAE">
        <w:rPr>
          <w:noProof/>
        </w:rPr>
        <w:t xml:space="preserve"> z</w:t>
      </w:r>
      <w:r w:rsidR="005A1CAE">
        <w:rPr>
          <w:noProof/>
        </w:rPr>
        <w:t> </w:t>
      </w:r>
      <w:r w:rsidR="005A1CAE" w:rsidRPr="005A1CAE">
        <w:rPr>
          <w:noProof/>
        </w:rPr>
        <w:t>art</w:t>
      </w:r>
      <w:r w:rsidRPr="005A1CAE">
        <w:rPr>
          <w:noProof/>
        </w:rPr>
        <w:t>.</w:t>
      </w:r>
      <w:r w:rsidR="005A1CAE" w:rsidRPr="005A1CAE">
        <w:rPr>
          <w:noProof/>
        </w:rPr>
        <w:t> </w:t>
      </w:r>
      <w:r w:rsidRPr="005A1CAE">
        <w:rPr>
          <w:noProof/>
        </w:rPr>
        <w:t>191</w:t>
      </w:r>
      <w:r w:rsidR="005A1CAE" w:rsidRPr="005A1CAE">
        <w:rPr>
          <w:noProof/>
        </w:rPr>
        <w:t xml:space="preserve"> i</w:t>
      </w:r>
      <w:r w:rsidR="005A1CAE">
        <w:rPr>
          <w:noProof/>
        </w:rPr>
        <w:t> </w:t>
      </w:r>
      <w:r w:rsidR="005A1CAE" w:rsidRPr="005A1CAE">
        <w:rPr>
          <w:noProof/>
        </w:rPr>
        <w:t>art</w:t>
      </w:r>
      <w:r w:rsidRPr="005A1CAE">
        <w:rPr>
          <w:noProof/>
        </w:rPr>
        <w:t>.</w:t>
      </w:r>
      <w:r w:rsidR="005A1CAE" w:rsidRPr="005A1CAE">
        <w:rPr>
          <w:noProof/>
        </w:rPr>
        <w:t> </w:t>
      </w:r>
      <w:r w:rsidRPr="005A1CAE">
        <w:rPr>
          <w:noProof/>
        </w:rPr>
        <w:t>192 ust.</w:t>
      </w:r>
      <w:r w:rsidR="005A1CAE" w:rsidRPr="005A1CAE">
        <w:rPr>
          <w:noProof/>
        </w:rPr>
        <w:t> </w:t>
      </w:r>
      <w:r w:rsidRPr="005A1CAE">
        <w:rPr>
          <w:noProof/>
        </w:rPr>
        <w:t>1 TFUE Unia przyczynia się do osiągnięcia m.in. celów zachowania, ochrony</w:t>
      </w:r>
      <w:r w:rsidR="005A1CAE" w:rsidRPr="005A1CAE">
        <w:rPr>
          <w:noProof/>
        </w:rPr>
        <w:t xml:space="preserve"> i</w:t>
      </w:r>
      <w:r w:rsidR="005A1CAE">
        <w:rPr>
          <w:noProof/>
        </w:rPr>
        <w:t> </w:t>
      </w:r>
      <w:r w:rsidR="005A1CAE" w:rsidRPr="005A1CAE">
        <w:rPr>
          <w:noProof/>
        </w:rPr>
        <w:t>pop</w:t>
      </w:r>
      <w:r w:rsidRPr="005A1CAE">
        <w:rPr>
          <w:noProof/>
        </w:rPr>
        <w:t>rawy jakości środowiska, promowania na płaszczyźnie międzynarodowej środków zmierzających do rozwiązywania regionalnych lub światowych problemów</w:t>
      </w:r>
      <w:r w:rsidR="005A1CAE" w:rsidRPr="005A1CAE">
        <w:rPr>
          <w:noProof/>
        </w:rPr>
        <w:t xml:space="preserve"> w</w:t>
      </w:r>
      <w:r w:rsidR="005A1CAE">
        <w:rPr>
          <w:noProof/>
        </w:rPr>
        <w:t> </w:t>
      </w:r>
      <w:r w:rsidR="005A1CAE" w:rsidRPr="005A1CAE">
        <w:rPr>
          <w:noProof/>
        </w:rPr>
        <w:t>dzi</w:t>
      </w:r>
      <w:r w:rsidRPr="005A1CAE">
        <w:rPr>
          <w:noProof/>
        </w:rPr>
        <w:t>edzinie środowiska,</w:t>
      </w:r>
      <w:r w:rsidR="005A1CAE" w:rsidRPr="005A1CAE">
        <w:rPr>
          <w:noProof/>
        </w:rPr>
        <w:t xml:space="preserve"> w</w:t>
      </w:r>
      <w:r w:rsidR="005A1CAE">
        <w:rPr>
          <w:noProof/>
        </w:rPr>
        <w:t> </w:t>
      </w:r>
      <w:r w:rsidR="005A1CAE" w:rsidRPr="005A1CAE">
        <w:rPr>
          <w:noProof/>
        </w:rPr>
        <w:t>szc</w:t>
      </w:r>
      <w:r w:rsidRPr="005A1CAE">
        <w:rPr>
          <w:noProof/>
        </w:rPr>
        <w:t>zególności zwalczania zmian klimatu.</w:t>
      </w:r>
    </w:p>
    <w:p w14:paraId="56E2C88E" w14:textId="77777777"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 xml:space="preserve">Pomocniczość (w przypadku kompetencji niewyłącznych) </w:t>
      </w:r>
    </w:p>
    <w:p w14:paraId="5534D27E" w14:textId="6E675237" w:rsidR="00BE3E96" w:rsidRPr="005A1CAE" w:rsidRDefault="00BE3E96" w:rsidP="00BE3E96">
      <w:pPr>
        <w:rPr>
          <w:noProof/>
        </w:rPr>
      </w:pPr>
      <w:r w:rsidRPr="005A1CAE">
        <w:rPr>
          <w:noProof/>
        </w:rPr>
        <w:t>CBAM tworzy wspólne</w:t>
      </w:r>
      <w:r w:rsidR="005A1CAE" w:rsidRPr="005A1CAE">
        <w:rPr>
          <w:noProof/>
        </w:rPr>
        <w:t xml:space="preserve"> i</w:t>
      </w:r>
      <w:r w:rsidR="005A1CAE">
        <w:rPr>
          <w:noProof/>
        </w:rPr>
        <w:t> </w:t>
      </w:r>
      <w:r w:rsidR="005A1CAE" w:rsidRPr="005A1CAE">
        <w:rPr>
          <w:noProof/>
        </w:rPr>
        <w:t>jed</w:t>
      </w:r>
      <w:r w:rsidRPr="005A1CAE">
        <w:rPr>
          <w:noProof/>
        </w:rPr>
        <w:t>nolite ramy zapewniające równoważność polityki</w:t>
      </w:r>
      <w:r w:rsidR="005A1CAE" w:rsidRPr="005A1CAE">
        <w:rPr>
          <w:noProof/>
        </w:rPr>
        <w:t xml:space="preserve"> w</w:t>
      </w:r>
      <w:r w:rsidR="005A1CAE">
        <w:rPr>
          <w:noProof/>
        </w:rPr>
        <w:t> </w:t>
      </w:r>
      <w:r w:rsidR="005A1CAE" w:rsidRPr="005A1CAE">
        <w:rPr>
          <w:noProof/>
        </w:rPr>
        <w:t>zak</w:t>
      </w:r>
      <w:r w:rsidRPr="005A1CAE">
        <w:rPr>
          <w:noProof/>
        </w:rPr>
        <w:t>resie ustalania opłat za emisję gazów cieplarnianych stosowanej na unijnym rynku wewnętrznym</w:t>
      </w:r>
      <w:r w:rsidR="005A1CAE" w:rsidRPr="005A1CAE">
        <w:rPr>
          <w:noProof/>
        </w:rPr>
        <w:t xml:space="preserve"> i</w:t>
      </w:r>
      <w:r w:rsidR="005A1CAE">
        <w:rPr>
          <w:noProof/>
        </w:rPr>
        <w:t> </w:t>
      </w:r>
      <w:r w:rsidR="005A1CAE" w:rsidRPr="005A1CAE">
        <w:rPr>
          <w:noProof/>
        </w:rPr>
        <w:t>pol</w:t>
      </w:r>
      <w:r w:rsidRPr="005A1CAE">
        <w:rPr>
          <w:noProof/>
        </w:rPr>
        <w:t>ityki</w:t>
      </w:r>
      <w:r w:rsidR="005A1CAE" w:rsidRPr="005A1CAE">
        <w:rPr>
          <w:noProof/>
        </w:rPr>
        <w:t xml:space="preserve"> w</w:t>
      </w:r>
      <w:r w:rsidR="005A1CAE">
        <w:rPr>
          <w:noProof/>
        </w:rPr>
        <w:t> </w:t>
      </w:r>
      <w:r w:rsidR="005A1CAE" w:rsidRPr="005A1CAE">
        <w:rPr>
          <w:noProof/>
        </w:rPr>
        <w:t>tym</w:t>
      </w:r>
      <w:r w:rsidRPr="005A1CAE">
        <w:rPr>
          <w:noProof/>
        </w:rPr>
        <w:t xml:space="preserve"> zakresie mającej zastosowanie do przywozu. Jednolite stosowanie CBAM ma kluczowe znaczenie dla uniknięcia sytuacji,</w:t>
      </w:r>
      <w:r w:rsidR="005A1CAE" w:rsidRPr="005A1CAE">
        <w:rPr>
          <w:noProof/>
        </w:rPr>
        <w:t xml:space="preserve"> w</w:t>
      </w:r>
      <w:r w:rsidR="005A1CAE">
        <w:rPr>
          <w:noProof/>
        </w:rPr>
        <w:t> </w:t>
      </w:r>
      <w:r w:rsidR="005A1CAE" w:rsidRPr="005A1CAE">
        <w:rPr>
          <w:noProof/>
        </w:rPr>
        <w:t>któ</w:t>
      </w:r>
      <w:r w:rsidRPr="005A1CAE">
        <w:rPr>
          <w:noProof/>
        </w:rPr>
        <w:t>rej każdy towar dopuszczony do obrotu</w:t>
      </w:r>
      <w:r w:rsidR="005A1CAE" w:rsidRPr="005A1CAE">
        <w:rPr>
          <w:noProof/>
        </w:rPr>
        <w:t xml:space="preserve"> w</w:t>
      </w:r>
      <w:r w:rsidR="005A1CAE">
        <w:rPr>
          <w:noProof/>
        </w:rPr>
        <w:t> </w:t>
      </w:r>
      <w:r w:rsidR="005A1CAE" w:rsidRPr="005A1CAE">
        <w:rPr>
          <w:noProof/>
        </w:rPr>
        <w:t>Uni</w:t>
      </w:r>
      <w:r w:rsidRPr="005A1CAE">
        <w:rPr>
          <w:noProof/>
        </w:rPr>
        <w:t>i byłby objęty CBAM. Skuteczność CBAM zależy od jednolitego sygnału cenowego dotyczącego emisji dwutlenku węgla stosowanego konsekwentnie</w:t>
      </w:r>
      <w:r w:rsidR="005A1CAE" w:rsidRPr="005A1CAE">
        <w:rPr>
          <w:noProof/>
        </w:rPr>
        <w:t xml:space="preserve"> w</w:t>
      </w:r>
      <w:r w:rsidR="005A1CAE">
        <w:rPr>
          <w:noProof/>
        </w:rPr>
        <w:t> </w:t>
      </w:r>
      <w:r w:rsidR="005A1CAE" w:rsidRPr="005A1CAE">
        <w:rPr>
          <w:noProof/>
        </w:rPr>
        <w:t>odn</w:t>
      </w:r>
      <w:r w:rsidRPr="005A1CAE">
        <w:rPr>
          <w:noProof/>
        </w:rPr>
        <w:t>iesieniu do odpowiednich sektorów we wszystkich państwach członkowskich UE. Proponowane zmiany</w:t>
      </w:r>
      <w:r w:rsidR="005A1CAE" w:rsidRPr="005A1CAE">
        <w:rPr>
          <w:noProof/>
        </w:rPr>
        <w:t xml:space="preserve"> w</w:t>
      </w:r>
      <w:r w:rsidR="005A1CAE">
        <w:rPr>
          <w:noProof/>
        </w:rPr>
        <w:t> </w:t>
      </w:r>
      <w:r w:rsidR="005A1CAE" w:rsidRPr="005A1CAE">
        <w:rPr>
          <w:noProof/>
        </w:rPr>
        <w:t>roz</w:t>
      </w:r>
      <w:r w:rsidRPr="005A1CAE">
        <w:rPr>
          <w:noProof/>
        </w:rPr>
        <w:t>porządzeniu</w:t>
      </w:r>
      <w:r w:rsidR="005A1CAE" w:rsidRPr="005A1CAE">
        <w:rPr>
          <w:noProof/>
        </w:rPr>
        <w:t xml:space="preserve"> w</w:t>
      </w:r>
      <w:r w:rsidR="005A1CAE">
        <w:rPr>
          <w:noProof/>
        </w:rPr>
        <w:t> </w:t>
      </w:r>
      <w:r w:rsidR="005A1CAE" w:rsidRPr="005A1CAE">
        <w:rPr>
          <w:noProof/>
        </w:rPr>
        <w:t>spr</w:t>
      </w:r>
      <w:r w:rsidRPr="005A1CAE">
        <w:rPr>
          <w:noProof/>
        </w:rPr>
        <w:t>awie CBAM również wymagają takiego jednolitego stosowania.</w:t>
      </w:r>
    </w:p>
    <w:p w14:paraId="667BFC9E" w14:textId="77777777" w:rsidR="008C228F" w:rsidRPr="005A1CAE" w:rsidRDefault="00BE3E96" w:rsidP="009F612D">
      <w:pPr>
        <w:pBdr>
          <w:top w:val="nil"/>
          <w:left w:val="nil"/>
          <w:bottom w:val="nil"/>
          <w:right w:val="nil"/>
          <w:between w:val="nil"/>
          <w:bar w:val="nil"/>
        </w:pBdr>
        <w:spacing w:before="0" w:after="240"/>
        <w:rPr>
          <w:rFonts w:eastAsia="Arial Unicode MS"/>
          <w:noProof/>
        </w:rPr>
      </w:pPr>
      <w:r w:rsidRPr="005A1CAE">
        <w:rPr>
          <w:noProof/>
        </w:rPr>
        <w:t>Różne rodzaje narażenia na ryzyko ucieczki emisji nie stanowią wystarczającego uzasadnienia dla działań na szczeblu krajowym. Mechanizm ten jest ukierunkowany na emisje uwalniane poza Unię i, podobnie jak EU ETS, CBAM osiąga większą efektywność, gdy jest jednolicie stosowany na szerszą skalę.</w:t>
      </w:r>
    </w:p>
    <w:p w14:paraId="3D97393A" w14:textId="77777777"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Proporcjonalność</w:t>
      </w:r>
    </w:p>
    <w:p w14:paraId="6D7B3B43" w14:textId="37851CB3" w:rsidR="00BE3E96" w:rsidRPr="005A1CAE" w:rsidRDefault="00BE3E96" w:rsidP="00BE3E96">
      <w:pPr>
        <w:rPr>
          <w:noProof/>
        </w:rPr>
      </w:pPr>
      <w:r w:rsidRPr="005A1CAE">
        <w:rPr>
          <w:noProof/>
        </w:rPr>
        <w:t>Wniosek ma na celu zwiększenie skuteczności rozporządzenia</w:t>
      </w:r>
      <w:r w:rsidR="005A1CAE" w:rsidRPr="005A1CAE">
        <w:rPr>
          <w:noProof/>
        </w:rPr>
        <w:t xml:space="preserve"> w</w:t>
      </w:r>
      <w:r w:rsidR="005A1CAE">
        <w:rPr>
          <w:noProof/>
        </w:rPr>
        <w:t> </w:t>
      </w:r>
      <w:r w:rsidR="005A1CAE" w:rsidRPr="005A1CAE">
        <w:rPr>
          <w:noProof/>
        </w:rPr>
        <w:t>spr</w:t>
      </w:r>
      <w:r w:rsidRPr="005A1CAE">
        <w:rPr>
          <w:noProof/>
        </w:rPr>
        <w:t>awie CBAM</w:t>
      </w:r>
      <w:r w:rsidR="005A1CAE" w:rsidRPr="005A1CAE">
        <w:rPr>
          <w:noProof/>
        </w:rPr>
        <w:t xml:space="preserve"> z</w:t>
      </w:r>
      <w:r w:rsidR="005A1CAE">
        <w:rPr>
          <w:noProof/>
        </w:rPr>
        <w:t> </w:t>
      </w:r>
      <w:r w:rsidR="005A1CAE" w:rsidRPr="005A1CAE">
        <w:rPr>
          <w:noProof/>
        </w:rPr>
        <w:t>myś</w:t>
      </w:r>
      <w:r w:rsidRPr="005A1CAE">
        <w:rPr>
          <w:noProof/>
        </w:rPr>
        <w:t>lą</w:t>
      </w:r>
      <w:r w:rsidR="005A1CAE" w:rsidRPr="005A1CAE">
        <w:rPr>
          <w:noProof/>
        </w:rPr>
        <w:t xml:space="preserve"> o</w:t>
      </w:r>
      <w:r w:rsidR="005A1CAE">
        <w:rPr>
          <w:noProof/>
        </w:rPr>
        <w:t> </w:t>
      </w:r>
      <w:r w:rsidR="005A1CAE" w:rsidRPr="005A1CAE">
        <w:rPr>
          <w:noProof/>
        </w:rPr>
        <w:t>zac</w:t>
      </w:r>
      <w:r w:rsidRPr="005A1CAE">
        <w:rPr>
          <w:noProof/>
        </w:rPr>
        <w:t>howaniu skuteczności</w:t>
      </w:r>
      <w:r w:rsidR="005A1CAE" w:rsidRPr="005A1CAE">
        <w:rPr>
          <w:noProof/>
        </w:rPr>
        <w:t xml:space="preserve"> i</w:t>
      </w:r>
      <w:r w:rsidR="005A1CAE">
        <w:rPr>
          <w:noProof/>
        </w:rPr>
        <w:t> </w:t>
      </w:r>
      <w:r w:rsidR="005A1CAE" w:rsidRPr="005A1CAE">
        <w:rPr>
          <w:noProof/>
        </w:rPr>
        <w:t>int</w:t>
      </w:r>
      <w:r w:rsidRPr="005A1CAE">
        <w:rPr>
          <w:noProof/>
        </w:rPr>
        <w:t>egralności polityki klimatycznej UE. Jednocześnie opracowano warianty strategiczne mające na celu ograniczenie wpływu na obciążenie administracyjne przedsiębiorstw, organów</w:t>
      </w:r>
      <w:r w:rsidR="005A1CAE" w:rsidRPr="005A1CAE">
        <w:rPr>
          <w:noProof/>
        </w:rPr>
        <w:t xml:space="preserve"> i</w:t>
      </w:r>
      <w:r w:rsidR="005A1CAE">
        <w:rPr>
          <w:noProof/>
        </w:rPr>
        <w:t> </w:t>
      </w:r>
      <w:r w:rsidR="005A1CAE" w:rsidRPr="005A1CAE">
        <w:rPr>
          <w:noProof/>
        </w:rPr>
        <w:t>inn</w:t>
      </w:r>
      <w:r w:rsidRPr="005A1CAE">
        <w:rPr>
          <w:noProof/>
        </w:rPr>
        <w:t>ych zainteresowanych stron.</w:t>
      </w:r>
    </w:p>
    <w:p w14:paraId="2B9D6756" w14:textId="3B545676" w:rsidR="00BE3E96" w:rsidRPr="005A1CAE" w:rsidRDefault="00BE3E96" w:rsidP="00BE3E96">
      <w:pPr>
        <w:rPr>
          <w:noProof/>
        </w:rPr>
      </w:pPr>
      <w:r w:rsidRPr="005A1CAE">
        <w:rPr>
          <w:noProof/>
        </w:rPr>
        <w:t>Proponowane rozszerzenie zakresu CBAM na produkty niższego szczebla wymagające intensywnego wykorzystania stali</w:t>
      </w:r>
      <w:r w:rsidR="005A1CAE" w:rsidRPr="005A1CAE">
        <w:rPr>
          <w:noProof/>
        </w:rPr>
        <w:t xml:space="preserve"> i</w:t>
      </w:r>
      <w:r w:rsidR="005A1CAE">
        <w:rPr>
          <w:noProof/>
        </w:rPr>
        <w:t> </w:t>
      </w:r>
      <w:r w:rsidR="005A1CAE" w:rsidRPr="005A1CAE">
        <w:rPr>
          <w:noProof/>
        </w:rPr>
        <w:t>alu</w:t>
      </w:r>
      <w:r w:rsidRPr="005A1CAE">
        <w:rPr>
          <w:noProof/>
        </w:rPr>
        <w:t>minium opiera się na logice obecnego rozporządzenia</w:t>
      </w:r>
      <w:r w:rsidR="005A1CAE" w:rsidRPr="005A1CAE">
        <w:rPr>
          <w:noProof/>
        </w:rPr>
        <w:t xml:space="preserve"> w</w:t>
      </w:r>
      <w:r w:rsidR="005A1CAE">
        <w:rPr>
          <w:noProof/>
        </w:rPr>
        <w:t> </w:t>
      </w:r>
      <w:r w:rsidR="005A1CAE" w:rsidRPr="005A1CAE">
        <w:rPr>
          <w:noProof/>
        </w:rPr>
        <w:t>spr</w:t>
      </w:r>
      <w:r w:rsidRPr="005A1CAE">
        <w:rPr>
          <w:noProof/>
        </w:rPr>
        <w:t>awie CBAM i EU ETS, ze szczególnym uwzględnieniem produktów</w:t>
      </w:r>
      <w:r w:rsidR="005A1CAE" w:rsidRPr="005A1CAE">
        <w:rPr>
          <w:noProof/>
        </w:rPr>
        <w:t xml:space="preserve"> i</w:t>
      </w:r>
      <w:r w:rsidR="005A1CAE">
        <w:rPr>
          <w:noProof/>
        </w:rPr>
        <w:t> </w:t>
      </w:r>
      <w:r w:rsidR="005A1CAE" w:rsidRPr="005A1CAE">
        <w:rPr>
          <w:noProof/>
        </w:rPr>
        <w:t>sek</w:t>
      </w:r>
      <w:r w:rsidRPr="005A1CAE">
        <w:rPr>
          <w:noProof/>
        </w:rPr>
        <w:t>torów,</w:t>
      </w:r>
      <w:r w:rsidR="005A1CAE" w:rsidRPr="005A1CAE">
        <w:rPr>
          <w:noProof/>
        </w:rPr>
        <w:t xml:space="preserve"> w</w:t>
      </w:r>
      <w:r w:rsidR="005A1CAE">
        <w:rPr>
          <w:noProof/>
        </w:rPr>
        <w:t> </w:t>
      </w:r>
      <w:r w:rsidR="005A1CAE" w:rsidRPr="005A1CAE">
        <w:rPr>
          <w:noProof/>
        </w:rPr>
        <w:t>któ</w:t>
      </w:r>
      <w:r w:rsidRPr="005A1CAE">
        <w:rPr>
          <w:noProof/>
        </w:rPr>
        <w:t>rych emisje wbudowane</w:t>
      </w:r>
      <w:r w:rsidR="005A1CAE" w:rsidRPr="005A1CAE">
        <w:rPr>
          <w:noProof/>
        </w:rPr>
        <w:t xml:space="preserve"> i</w:t>
      </w:r>
      <w:r w:rsidR="005A1CAE">
        <w:rPr>
          <w:noProof/>
        </w:rPr>
        <w:t> </w:t>
      </w:r>
      <w:r w:rsidR="005A1CAE" w:rsidRPr="005A1CAE">
        <w:rPr>
          <w:noProof/>
        </w:rPr>
        <w:t>ryz</w:t>
      </w:r>
      <w:r w:rsidRPr="005A1CAE">
        <w:rPr>
          <w:noProof/>
        </w:rPr>
        <w:t>yko ucieczki emisji są najwyższe. Ponadto, jak opisano</w:t>
      </w:r>
      <w:r w:rsidR="005A1CAE" w:rsidRPr="005A1CAE">
        <w:rPr>
          <w:noProof/>
        </w:rPr>
        <w:t xml:space="preserve"> w</w:t>
      </w:r>
      <w:r w:rsidR="005A1CAE">
        <w:rPr>
          <w:noProof/>
        </w:rPr>
        <w:t> </w:t>
      </w:r>
      <w:r w:rsidR="005A1CAE" w:rsidRPr="005A1CAE">
        <w:rPr>
          <w:noProof/>
        </w:rPr>
        <w:t>sek</w:t>
      </w:r>
      <w:r w:rsidRPr="005A1CAE">
        <w:rPr>
          <w:noProof/>
        </w:rPr>
        <w:t>cji 8.1 oceny skutków towarzyszącej wnioskowi, warianty strategiczne oceniono pod kątem ich ewentualnego wpływu na złożoność</w:t>
      </w:r>
      <w:r w:rsidR="005A1CAE" w:rsidRPr="005A1CAE">
        <w:rPr>
          <w:noProof/>
        </w:rPr>
        <w:t xml:space="preserve"> i</w:t>
      </w:r>
      <w:r w:rsidR="005A1CAE">
        <w:rPr>
          <w:noProof/>
        </w:rPr>
        <w:t> </w:t>
      </w:r>
      <w:r w:rsidR="005A1CAE" w:rsidRPr="005A1CAE">
        <w:rPr>
          <w:noProof/>
        </w:rPr>
        <w:t>obc</w:t>
      </w:r>
      <w:r w:rsidRPr="005A1CAE">
        <w:rPr>
          <w:noProof/>
        </w:rPr>
        <w:t>iążenie administracyjne. Ocenę tę przeprowadzono przy użyciu zestawu wskaźników efektywności</w:t>
      </w:r>
      <w:r w:rsidR="005A1CAE" w:rsidRPr="005A1CAE">
        <w:rPr>
          <w:noProof/>
        </w:rPr>
        <w:t xml:space="preserve"> i</w:t>
      </w:r>
      <w:r w:rsidR="005A1CAE">
        <w:rPr>
          <w:noProof/>
        </w:rPr>
        <w:t> </w:t>
      </w:r>
      <w:r w:rsidR="005A1CAE" w:rsidRPr="005A1CAE">
        <w:rPr>
          <w:noProof/>
        </w:rPr>
        <w:t>pro</w:t>
      </w:r>
      <w:r w:rsidRPr="005A1CAE">
        <w:rPr>
          <w:noProof/>
        </w:rPr>
        <w:t>porcjonalności,</w:t>
      </w:r>
      <w:r w:rsidR="005A1CAE" w:rsidRPr="005A1CAE">
        <w:rPr>
          <w:noProof/>
        </w:rPr>
        <w:t xml:space="preserve"> w</w:t>
      </w:r>
      <w:r w:rsidR="005A1CAE">
        <w:rPr>
          <w:noProof/>
        </w:rPr>
        <w:t> </w:t>
      </w:r>
      <w:r w:rsidR="005A1CAE" w:rsidRPr="005A1CAE">
        <w:rPr>
          <w:noProof/>
        </w:rPr>
        <w:t>tym</w:t>
      </w:r>
      <w:r w:rsidRPr="005A1CAE">
        <w:rPr>
          <w:noProof/>
        </w:rPr>
        <w:t xml:space="preserve"> </w:t>
      </w:r>
      <w:r w:rsidRPr="005A1CAE">
        <w:rPr>
          <w:noProof/>
        </w:rPr>
        <w:lastRenderedPageBreak/>
        <w:t>całkowitych emisji</w:t>
      </w:r>
      <w:r w:rsidR="005A1CAE" w:rsidRPr="005A1CAE">
        <w:rPr>
          <w:noProof/>
        </w:rPr>
        <w:t xml:space="preserve"> z</w:t>
      </w:r>
      <w:r w:rsidR="005A1CAE">
        <w:rPr>
          <w:noProof/>
        </w:rPr>
        <w:t> </w:t>
      </w:r>
      <w:r w:rsidR="005A1CAE" w:rsidRPr="005A1CAE">
        <w:rPr>
          <w:noProof/>
        </w:rPr>
        <w:t>pro</w:t>
      </w:r>
      <w:r w:rsidRPr="005A1CAE">
        <w:rPr>
          <w:noProof/>
        </w:rPr>
        <w:t>dukcji</w:t>
      </w:r>
      <w:r w:rsidR="005A1CAE" w:rsidRPr="005A1CAE">
        <w:rPr>
          <w:noProof/>
        </w:rPr>
        <w:t xml:space="preserve"> i</w:t>
      </w:r>
      <w:r w:rsidR="005A1CAE">
        <w:rPr>
          <w:noProof/>
        </w:rPr>
        <w:t> </w:t>
      </w:r>
      <w:r w:rsidR="005A1CAE" w:rsidRPr="005A1CAE">
        <w:rPr>
          <w:noProof/>
        </w:rPr>
        <w:t>prz</w:t>
      </w:r>
      <w:r w:rsidRPr="005A1CAE">
        <w:rPr>
          <w:noProof/>
        </w:rPr>
        <w:t>ywozu</w:t>
      </w:r>
      <w:r w:rsidR="005A1CAE" w:rsidRPr="005A1CAE">
        <w:rPr>
          <w:noProof/>
        </w:rPr>
        <w:t xml:space="preserve"> w</w:t>
      </w:r>
      <w:r w:rsidR="005A1CAE">
        <w:rPr>
          <w:noProof/>
        </w:rPr>
        <w:t> </w:t>
      </w:r>
      <w:r w:rsidR="005A1CAE" w:rsidRPr="005A1CAE">
        <w:rPr>
          <w:noProof/>
        </w:rPr>
        <w:t>pod</w:t>
      </w:r>
      <w:r w:rsidRPr="005A1CAE">
        <w:rPr>
          <w:noProof/>
        </w:rPr>
        <w:t>ziale na kody CN oraz wskaźnika określającego skład materiałowy produktów rynku niższego szczebla. Produkty</w:t>
      </w:r>
      <w:r w:rsidR="005A1CAE" w:rsidRPr="005A1CAE">
        <w:rPr>
          <w:noProof/>
        </w:rPr>
        <w:t xml:space="preserve"> o</w:t>
      </w:r>
      <w:r w:rsidR="005A1CAE">
        <w:rPr>
          <w:noProof/>
        </w:rPr>
        <w:t> </w:t>
      </w:r>
      <w:r w:rsidR="005A1CAE" w:rsidRPr="005A1CAE">
        <w:rPr>
          <w:noProof/>
        </w:rPr>
        <w:t>wyż</w:t>
      </w:r>
      <w:r w:rsidRPr="005A1CAE">
        <w:rPr>
          <w:noProof/>
        </w:rPr>
        <w:t>szym udziale materiałów podstawowych</w:t>
      </w:r>
      <w:r w:rsidR="005A1CAE" w:rsidRPr="005A1CAE">
        <w:rPr>
          <w:noProof/>
        </w:rPr>
        <w:t xml:space="preserve"> w</w:t>
      </w:r>
      <w:r w:rsidR="005A1CAE">
        <w:rPr>
          <w:noProof/>
        </w:rPr>
        <w:t> </w:t>
      </w:r>
      <w:r w:rsidR="005A1CAE" w:rsidRPr="005A1CAE">
        <w:rPr>
          <w:noProof/>
        </w:rPr>
        <w:t>mas</w:t>
      </w:r>
      <w:r w:rsidRPr="005A1CAE">
        <w:rPr>
          <w:noProof/>
        </w:rPr>
        <w:t>ie charakteryzują się większymi emisjami wbudowanymi</w:t>
      </w:r>
      <w:r w:rsidR="005A1CAE" w:rsidRPr="005A1CAE">
        <w:rPr>
          <w:noProof/>
        </w:rPr>
        <w:t xml:space="preserve"> w</w:t>
      </w:r>
      <w:r w:rsidR="005A1CAE">
        <w:rPr>
          <w:noProof/>
        </w:rPr>
        <w:t> </w:t>
      </w:r>
      <w:r w:rsidR="005A1CAE" w:rsidRPr="005A1CAE">
        <w:rPr>
          <w:noProof/>
        </w:rPr>
        <w:t>sto</w:t>
      </w:r>
      <w:r w:rsidRPr="005A1CAE">
        <w:rPr>
          <w:noProof/>
        </w:rPr>
        <w:t>sunku do całkowitej masy produktu</w:t>
      </w:r>
      <w:r w:rsidR="005A1CAE" w:rsidRPr="005A1CAE">
        <w:rPr>
          <w:noProof/>
        </w:rPr>
        <w:t xml:space="preserve"> i</w:t>
      </w:r>
      <w:r w:rsidR="005A1CAE">
        <w:rPr>
          <w:noProof/>
        </w:rPr>
        <w:t> </w:t>
      </w:r>
      <w:r w:rsidR="005A1CAE" w:rsidRPr="005A1CAE">
        <w:rPr>
          <w:noProof/>
        </w:rPr>
        <w:t>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tym</w:t>
      </w:r>
      <w:r w:rsidRPr="005A1CAE">
        <w:rPr>
          <w:noProof/>
        </w:rPr>
        <w:t xml:space="preserve"> są zazwyczaj najbardziej narażone na ryzyko ucieczki. Wskaźniki zastosowano również po to, aby przy wyborze towarów uwzględniono również złożoność łańcuchów dostaw. Na tej podstawie we wniosku rozszerzono zakres CBAM na wybrane produkty rynku niższego szczebla wymagające intensywnego wykorzystania stali</w:t>
      </w:r>
      <w:r w:rsidR="005A1CAE" w:rsidRPr="005A1CAE">
        <w:rPr>
          <w:noProof/>
        </w:rPr>
        <w:t xml:space="preserve"> i</w:t>
      </w:r>
      <w:r w:rsidR="005A1CAE">
        <w:rPr>
          <w:noProof/>
        </w:rPr>
        <w:t> </w:t>
      </w:r>
      <w:r w:rsidR="005A1CAE" w:rsidRPr="005A1CAE">
        <w:rPr>
          <w:noProof/>
        </w:rPr>
        <w:t>alu</w:t>
      </w:r>
      <w:r w:rsidRPr="005A1CAE">
        <w:rPr>
          <w:noProof/>
        </w:rPr>
        <w:t>minium</w:t>
      </w:r>
      <w:r w:rsidR="005A1CAE" w:rsidRPr="005A1CAE">
        <w:rPr>
          <w:noProof/>
        </w:rPr>
        <w:t xml:space="preserve"> w</w:t>
      </w:r>
      <w:r w:rsidR="005A1CAE">
        <w:rPr>
          <w:noProof/>
        </w:rPr>
        <w:t> </w:t>
      </w:r>
      <w:r w:rsidR="005A1CAE" w:rsidRPr="005A1CAE">
        <w:rPr>
          <w:noProof/>
        </w:rPr>
        <w:t>spo</w:t>
      </w:r>
      <w:r w:rsidRPr="005A1CAE">
        <w:rPr>
          <w:noProof/>
        </w:rPr>
        <w:t>sób maksymalizujący korzyści dla środowiska przez uwzględnienie dodatkowych emisji, przy jednoczesnym ograniczeniu,</w:t>
      </w:r>
      <w:r w:rsidR="005A1CAE" w:rsidRPr="005A1CAE">
        <w:rPr>
          <w:noProof/>
        </w:rPr>
        <w:t xml:space="preserve"> w</w:t>
      </w:r>
      <w:r w:rsidR="005A1CAE">
        <w:rPr>
          <w:noProof/>
        </w:rPr>
        <w:t> </w:t>
      </w:r>
      <w:r w:rsidR="005A1CAE" w:rsidRPr="005A1CAE">
        <w:rPr>
          <w:noProof/>
        </w:rPr>
        <w:t>mia</w:t>
      </w:r>
      <w:r w:rsidRPr="005A1CAE">
        <w:rPr>
          <w:noProof/>
        </w:rPr>
        <w:t>rę możliwości, obciążenia administracyjnego</w:t>
      </w:r>
      <w:r w:rsidR="005A1CAE" w:rsidRPr="005A1CAE">
        <w:rPr>
          <w:noProof/>
        </w:rPr>
        <w:t xml:space="preserve"> i</w:t>
      </w:r>
      <w:r w:rsidR="005A1CAE">
        <w:rPr>
          <w:noProof/>
        </w:rPr>
        <w:t> </w:t>
      </w:r>
      <w:r w:rsidR="005A1CAE" w:rsidRPr="005A1CAE">
        <w:rPr>
          <w:noProof/>
        </w:rPr>
        <w:t>zło</w:t>
      </w:r>
      <w:r w:rsidRPr="005A1CAE">
        <w:rPr>
          <w:noProof/>
        </w:rPr>
        <w:t>żoności dla importerów</w:t>
      </w:r>
      <w:r w:rsidR="005A1CAE" w:rsidRPr="005A1CAE">
        <w:rPr>
          <w:noProof/>
        </w:rPr>
        <w:t xml:space="preserve"> i</w:t>
      </w:r>
      <w:r w:rsidR="005A1CAE">
        <w:rPr>
          <w:noProof/>
        </w:rPr>
        <w:t> </w:t>
      </w:r>
      <w:r w:rsidR="005A1CAE" w:rsidRPr="005A1CAE">
        <w:rPr>
          <w:noProof/>
        </w:rPr>
        <w:t>ope</w:t>
      </w:r>
      <w:r w:rsidRPr="005A1CAE">
        <w:rPr>
          <w:noProof/>
        </w:rPr>
        <w:t>ratorów</w:t>
      </w:r>
      <w:r w:rsidR="005A1CAE" w:rsidRPr="005A1CAE">
        <w:rPr>
          <w:noProof/>
        </w:rPr>
        <w:t xml:space="preserve"> z</w:t>
      </w:r>
      <w:r w:rsidR="005A1CAE">
        <w:rPr>
          <w:noProof/>
        </w:rPr>
        <w:t> </w:t>
      </w:r>
      <w:r w:rsidR="005A1CAE" w:rsidRPr="005A1CAE">
        <w:rPr>
          <w:noProof/>
        </w:rPr>
        <w:t>pań</w:t>
      </w:r>
      <w:r w:rsidRPr="005A1CAE">
        <w:rPr>
          <w:noProof/>
        </w:rPr>
        <w:t xml:space="preserve">stw trzecich. </w:t>
      </w:r>
    </w:p>
    <w:p w14:paraId="50921A98" w14:textId="23076F34" w:rsidR="00BE3E96" w:rsidRPr="005A1CAE" w:rsidRDefault="00BE3E96" w:rsidP="00BE3E96">
      <w:pPr>
        <w:rPr>
          <w:noProof/>
        </w:rPr>
      </w:pPr>
      <w:r w:rsidRPr="005A1CAE">
        <w:rPr>
          <w:noProof/>
        </w:rPr>
        <w:t>Wniosek dotyczący ryzyka obchodzenia przepisów</w:t>
      </w:r>
      <w:r w:rsidR="005A1CAE" w:rsidRPr="005A1CAE">
        <w:rPr>
          <w:noProof/>
        </w:rPr>
        <w:t xml:space="preserve"> i</w:t>
      </w:r>
      <w:r w:rsidR="005A1CAE">
        <w:rPr>
          <w:noProof/>
        </w:rPr>
        <w:t> </w:t>
      </w:r>
      <w:r w:rsidR="005A1CAE" w:rsidRPr="005A1CAE">
        <w:rPr>
          <w:noProof/>
        </w:rPr>
        <w:t>uni</w:t>
      </w:r>
      <w:r w:rsidRPr="005A1CAE">
        <w:rPr>
          <w:noProof/>
        </w:rPr>
        <w:t>kania ich równoważy potrzebę zapewnienia skuteczności CBAM oraz ograniczenia złożoności</w:t>
      </w:r>
      <w:r w:rsidR="005A1CAE" w:rsidRPr="005A1CAE">
        <w:rPr>
          <w:noProof/>
        </w:rPr>
        <w:t xml:space="preserve"> i</w:t>
      </w:r>
      <w:r w:rsidR="005A1CAE">
        <w:rPr>
          <w:noProof/>
        </w:rPr>
        <w:t> </w:t>
      </w:r>
      <w:r w:rsidR="005A1CAE" w:rsidRPr="005A1CAE">
        <w:rPr>
          <w:noProof/>
        </w:rPr>
        <w:t>obc</w:t>
      </w:r>
      <w:r w:rsidRPr="005A1CAE">
        <w:rPr>
          <w:noProof/>
        </w:rPr>
        <w:t>iążenia administracyjnego mechanizmu. Zastosowano</w:t>
      </w:r>
      <w:r w:rsidR="005A1CAE" w:rsidRPr="005A1CAE">
        <w:rPr>
          <w:noProof/>
        </w:rPr>
        <w:t xml:space="preserve"> w</w:t>
      </w:r>
      <w:r w:rsidR="005A1CAE">
        <w:rPr>
          <w:noProof/>
        </w:rPr>
        <w:t> </w:t>
      </w:r>
      <w:r w:rsidR="005A1CAE" w:rsidRPr="005A1CAE">
        <w:rPr>
          <w:noProof/>
        </w:rPr>
        <w:t>nim</w:t>
      </w:r>
      <w:r w:rsidRPr="005A1CAE">
        <w:rPr>
          <w:noProof/>
        </w:rPr>
        <w:t xml:space="preserve"> elastyczne</w:t>
      </w:r>
      <w:r w:rsidR="005A1CAE" w:rsidRPr="005A1CAE">
        <w:rPr>
          <w:noProof/>
        </w:rPr>
        <w:t xml:space="preserve"> i</w:t>
      </w:r>
      <w:r w:rsidR="005A1CAE">
        <w:rPr>
          <w:noProof/>
        </w:rPr>
        <w:t> </w:t>
      </w:r>
      <w:r w:rsidR="005A1CAE" w:rsidRPr="005A1CAE">
        <w:rPr>
          <w:noProof/>
        </w:rPr>
        <w:t>uki</w:t>
      </w:r>
      <w:r w:rsidRPr="005A1CAE">
        <w:rPr>
          <w:noProof/>
        </w:rPr>
        <w:t>erunkowane podejście –</w:t>
      </w:r>
      <w:r w:rsidR="005A1CAE" w:rsidRPr="005A1CAE">
        <w:rPr>
          <w:noProof/>
        </w:rPr>
        <w:t xml:space="preserve"> w</w:t>
      </w:r>
      <w:r w:rsidR="005A1CAE">
        <w:rPr>
          <w:noProof/>
        </w:rPr>
        <w:t> </w:t>
      </w:r>
      <w:r w:rsidR="005A1CAE" w:rsidRPr="005A1CAE">
        <w:rPr>
          <w:noProof/>
        </w:rPr>
        <w:t>dro</w:t>
      </w:r>
      <w:r w:rsidRPr="005A1CAE">
        <w:rPr>
          <w:noProof/>
        </w:rPr>
        <w:t>dze aktów wykonawczych</w:t>
      </w:r>
      <w:r w:rsidR="005A1CAE" w:rsidRPr="005A1CAE">
        <w:rPr>
          <w:noProof/>
        </w:rPr>
        <w:t xml:space="preserve"> i</w:t>
      </w:r>
      <w:r w:rsidR="005A1CAE">
        <w:rPr>
          <w:noProof/>
        </w:rPr>
        <w:t> </w:t>
      </w:r>
      <w:r w:rsidR="005A1CAE" w:rsidRPr="005A1CAE">
        <w:rPr>
          <w:noProof/>
        </w:rPr>
        <w:t>del</w:t>
      </w:r>
      <w:r w:rsidRPr="005A1CAE">
        <w:rPr>
          <w:noProof/>
        </w:rPr>
        <w:t>egowanych – służące identyfikacji przywozu,</w:t>
      </w:r>
      <w:r w:rsidR="005A1CAE" w:rsidRPr="005A1CAE">
        <w:rPr>
          <w:noProof/>
        </w:rPr>
        <w:t xml:space="preserve"> w</w:t>
      </w:r>
      <w:r w:rsidR="005A1CAE">
        <w:rPr>
          <w:noProof/>
        </w:rPr>
        <w:t> </w:t>
      </w:r>
      <w:r w:rsidR="005A1CAE" w:rsidRPr="005A1CAE">
        <w:rPr>
          <w:noProof/>
        </w:rPr>
        <w:t>prz</w:t>
      </w:r>
      <w:r w:rsidRPr="005A1CAE">
        <w:rPr>
          <w:noProof/>
        </w:rPr>
        <w:t>ypadku którego istnieje ryzyko obchodzenia przepisów lub innych praktyk mających na celu uniknięcie obowiązków związanych z CBAM,</w:t>
      </w:r>
      <w:r w:rsidR="005A1CAE" w:rsidRPr="005A1CAE">
        <w:rPr>
          <w:noProof/>
        </w:rPr>
        <w:t xml:space="preserve"> w</w:t>
      </w:r>
      <w:r w:rsidR="005A1CAE">
        <w:rPr>
          <w:noProof/>
        </w:rPr>
        <w:t> </w:t>
      </w:r>
      <w:r w:rsidR="005A1CAE" w:rsidRPr="005A1CAE">
        <w:rPr>
          <w:noProof/>
        </w:rPr>
        <w:t>odn</w:t>
      </w:r>
      <w:r w:rsidRPr="005A1CAE">
        <w:rPr>
          <w:noProof/>
        </w:rPr>
        <w:t xml:space="preserve">iesieniu do którego powinny mieć zastosowanie dodatkowe warunki dotyczące wykorzystania rzeczywistych emisji. </w:t>
      </w:r>
    </w:p>
    <w:p w14:paraId="10131695" w14:textId="75BEEA45" w:rsidR="008C228F" w:rsidRPr="005A1CAE" w:rsidRDefault="00BE3E96" w:rsidP="00BE3E96">
      <w:pPr>
        <w:rPr>
          <w:noProof/>
        </w:rPr>
      </w:pPr>
      <w:r w:rsidRPr="005A1CAE">
        <w:rPr>
          <w:noProof/>
        </w:rPr>
        <w:t>Wniosek dotyczący importu energii elektrycznej uprości warunki deklarowania rzeczywistych wartości emisji. Poprawi to skuteczność CBAM</w:t>
      </w:r>
      <w:r w:rsidR="005A1CAE" w:rsidRPr="005A1CAE">
        <w:rPr>
          <w:noProof/>
        </w:rPr>
        <w:t xml:space="preserve"> w</w:t>
      </w:r>
      <w:r w:rsidR="005A1CAE">
        <w:rPr>
          <w:noProof/>
        </w:rPr>
        <w:t> </w:t>
      </w:r>
      <w:r w:rsidR="005A1CAE" w:rsidRPr="005A1CAE">
        <w:rPr>
          <w:noProof/>
        </w:rPr>
        <w:t>zac</w:t>
      </w:r>
      <w:r w:rsidRPr="005A1CAE">
        <w:rPr>
          <w:noProof/>
        </w:rPr>
        <w:t>hęcaniu do obniżania emisyjności</w:t>
      </w:r>
      <w:r w:rsidR="005A1CAE" w:rsidRPr="005A1CAE">
        <w:rPr>
          <w:noProof/>
        </w:rPr>
        <w:t xml:space="preserve"> w</w:t>
      </w:r>
      <w:r w:rsidR="005A1CAE">
        <w:rPr>
          <w:noProof/>
        </w:rPr>
        <w:t> </w:t>
      </w:r>
      <w:r w:rsidR="005A1CAE" w:rsidRPr="005A1CAE">
        <w:rPr>
          <w:noProof/>
        </w:rPr>
        <w:t>pań</w:t>
      </w:r>
      <w:r w:rsidRPr="005A1CAE">
        <w:rPr>
          <w:noProof/>
        </w:rPr>
        <w:t>stwach trzecich oraz sprawi, że stosowanie rzeczywistych wartości emisji będzie bardziej wykonalne dla wszystkich zainteresowanych stron. Zmiany</w:t>
      </w:r>
      <w:r w:rsidR="005A1CAE" w:rsidRPr="005A1CAE">
        <w:rPr>
          <w:noProof/>
        </w:rPr>
        <w:t xml:space="preserve"> w</w:t>
      </w:r>
      <w:r w:rsidR="005A1CAE">
        <w:rPr>
          <w:noProof/>
        </w:rPr>
        <w:t> </w:t>
      </w:r>
      <w:r w:rsidR="005A1CAE" w:rsidRPr="005A1CAE">
        <w:rPr>
          <w:noProof/>
        </w:rPr>
        <w:t>pod</w:t>
      </w:r>
      <w:r w:rsidRPr="005A1CAE">
        <w:rPr>
          <w:noProof/>
        </w:rPr>
        <w:t>ejściu do wartości domyślnych dla importu energii elektrycznej nie powodują dodatkowej złożoności dla importerów ani operatorów</w:t>
      </w:r>
      <w:r w:rsidR="005A1CAE" w:rsidRPr="005A1CAE">
        <w:rPr>
          <w:noProof/>
        </w:rPr>
        <w:t xml:space="preserve"> z</w:t>
      </w:r>
      <w:r w:rsidR="005A1CAE">
        <w:rPr>
          <w:noProof/>
        </w:rPr>
        <w:t> </w:t>
      </w:r>
      <w:r w:rsidR="005A1CAE" w:rsidRPr="005A1CAE">
        <w:rPr>
          <w:noProof/>
        </w:rPr>
        <w:t>pań</w:t>
      </w:r>
      <w:r w:rsidRPr="005A1CAE">
        <w:rPr>
          <w:noProof/>
        </w:rPr>
        <w:t xml:space="preserve">stw trzecich. </w:t>
      </w:r>
    </w:p>
    <w:p w14:paraId="4756120B" w14:textId="77777777"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Wybór instrumentu</w:t>
      </w:r>
    </w:p>
    <w:p w14:paraId="4BFF0783" w14:textId="5E2AC937" w:rsidR="00BE3E96" w:rsidRPr="005A1CAE" w:rsidRDefault="00BE3E96" w:rsidP="00BE3E96">
      <w:pPr>
        <w:rPr>
          <w:noProof/>
        </w:rPr>
      </w:pPr>
      <w:r w:rsidRPr="005A1CAE">
        <w:rPr>
          <w:noProof/>
        </w:rPr>
        <w:t>Wniosek wymaga zmiany rozporządzenia</w:t>
      </w:r>
      <w:r w:rsidR="005A1CAE" w:rsidRPr="005A1CAE">
        <w:rPr>
          <w:noProof/>
        </w:rPr>
        <w:t xml:space="preserve"> w</w:t>
      </w:r>
      <w:r w:rsidR="005A1CAE">
        <w:rPr>
          <w:noProof/>
        </w:rPr>
        <w:t> </w:t>
      </w:r>
      <w:r w:rsidR="005A1CAE" w:rsidRPr="005A1CAE">
        <w:rPr>
          <w:noProof/>
        </w:rPr>
        <w:t>spr</w:t>
      </w:r>
      <w:r w:rsidRPr="005A1CAE">
        <w:rPr>
          <w:noProof/>
        </w:rPr>
        <w:t>awie CBAM. Ustanowiono</w:t>
      </w:r>
      <w:r w:rsidR="005A1CAE" w:rsidRPr="005A1CAE">
        <w:rPr>
          <w:noProof/>
        </w:rPr>
        <w:t xml:space="preserve"> w</w:t>
      </w:r>
      <w:r w:rsidR="005A1CAE">
        <w:rPr>
          <w:noProof/>
        </w:rPr>
        <w:t> </w:t>
      </w:r>
      <w:r w:rsidR="005A1CAE" w:rsidRPr="005A1CAE">
        <w:rPr>
          <w:noProof/>
        </w:rPr>
        <w:t>nim</w:t>
      </w:r>
      <w:r w:rsidRPr="005A1CAE">
        <w:rPr>
          <w:noProof/>
        </w:rPr>
        <w:t xml:space="preserve"> przepisy szczegółowe niezbędne do stosowania rozporządzenia</w:t>
      </w:r>
      <w:r w:rsidR="005A1CAE" w:rsidRPr="005A1CAE">
        <w:rPr>
          <w:noProof/>
        </w:rPr>
        <w:t xml:space="preserve"> w</w:t>
      </w:r>
      <w:r w:rsidR="005A1CAE">
        <w:rPr>
          <w:noProof/>
        </w:rPr>
        <w:t> </w:t>
      </w:r>
      <w:r w:rsidR="005A1CAE" w:rsidRPr="005A1CAE">
        <w:rPr>
          <w:noProof/>
        </w:rPr>
        <w:t>spr</w:t>
      </w:r>
      <w:r w:rsidRPr="005A1CAE">
        <w:rPr>
          <w:noProof/>
        </w:rPr>
        <w:t>awie CBAM. Niniejsze rozporządzenie wymaga ponadto jednolitego</w:t>
      </w:r>
      <w:r w:rsidR="005A1CAE" w:rsidRPr="005A1CAE">
        <w:rPr>
          <w:noProof/>
        </w:rPr>
        <w:t xml:space="preserve"> i</w:t>
      </w:r>
      <w:r w:rsidR="005A1CAE">
        <w:rPr>
          <w:noProof/>
        </w:rPr>
        <w:t> </w:t>
      </w:r>
      <w:r w:rsidR="005A1CAE" w:rsidRPr="005A1CAE">
        <w:rPr>
          <w:noProof/>
        </w:rPr>
        <w:t>spó</w:t>
      </w:r>
      <w:r w:rsidRPr="005A1CAE">
        <w:rPr>
          <w:noProof/>
        </w:rPr>
        <w:t>jnego stosowania</w:t>
      </w:r>
      <w:r w:rsidR="005A1CAE" w:rsidRPr="005A1CAE">
        <w:rPr>
          <w:noProof/>
        </w:rPr>
        <w:t xml:space="preserve"> i</w:t>
      </w:r>
      <w:r w:rsidR="005A1CAE">
        <w:rPr>
          <w:noProof/>
        </w:rPr>
        <w:t> </w:t>
      </w:r>
      <w:r w:rsidR="005A1CAE" w:rsidRPr="005A1CAE">
        <w:rPr>
          <w:noProof/>
        </w:rPr>
        <w:t>egz</w:t>
      </w:r>
      <w:r w:rsidRPr="005A1CAE">
        <w:rPr>
          <w:noProof/>
        </w:rPr>
        <w:t>ekwowania</w:t>
      </w:r>
      <w:r w:rsidR="005A1CAE" w:rsidRPr="005A1CAE">
        <w:rPr>
          <w:noProof/>
        </w:rPr>
        <w:t xml:space="preserve"> w</w:t>
      </w:r>
      <w:r w:rsidR="005A1CAE">
        <w:rPr>
          <w:noProof/>
        </w:rPr>
        <w:t> </w:t>
      </w:r>
      <w:r w:rsidR="005A1CAE" w:rsidRPr="005A1CAE">
        <w:rPr>
          <w:noProof/>
        </w:rPr>
        <w:t>cał</w:t>
      </w:r>
      <w:r w:rsidRPr="005A1CAE">
        <w:rPr>
          <w:noProof/>
        </w:rPr>
        <w:t>ej Unii, aby osiągnąć cele określone</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32 (dotyczącym wspólnego podejścia do polityki zagranicznej)</w:t>
      </w:r>
      <w:r w:rsidR="005A1CAE" w:rsidRPr="005A1CAE">
        <w:rPr>
          <w:noProof/>
        </w:rPr>
        <w:t xml:space="preserve"> i</w:t>
      </w:r>
      <w:r w:rsidR="005A1CAE">
        <w:rPr>
          <w:noProof/>
        </w:rPr>
        <w:t> </w:t>
      </w:r>
      <w:r w:rsidR="005A1CAE" w:rsidRPr="005A1CAE">
        <w:rPr>
          <w:noProof/>
        </w:rPr>
        <w:t>art</w:t>
      </w:r>
      <w:r w:rsidRPr="005A1CAE">
        <w:rPr>
          <w:noProof/>
        </w:rPr>
        <w:t>.</w:t>
      </w:r>
      <w:r w:rsidR="005A1CAE" w:rsidRPr="005A1CAE">
        <w:rPr>
          <w:noProof/>
        </w:rPr>
        <w:t> </w:t>
      </w:r>
      <w:r w:rsidRPr="005A1CAE">
        <w:rPr>
          <w:noProof/>
        </w:rPr>
        <w:t>207 TFUE (dotyczącym wspólnej polityki handlowej).</w:t>
      </w:r>
    </w:p>
    <w:p w14:paraId="11D00C6D" w14:textId="77777777" w:rsidR="008C228F" w:rsidRPr="005A1CAE" w:rsidRDefault="00BE3E96" w:rsidP="008C228F">
      <w:pPr>
        <w:rPr>
          <w:noProof/>
        </w:rPr>
      </w:pPr>
      <w:r w:rsidRPr="005A1CAE">
        <w:rPr>
          <w:noProof/>
        </w:rPr>
        <w:t>Z tego względu cele niniejszego wniosku można najlepiej osiągnąć za pomocą rozporządzenia. Zapewni to bezpośrednie stosowanie jego przepisów.</w:t>
      </w:r>
    </w:p>
    <w:p w14:paraId="75797149" w14:textId="77777777" w:rsidR="00D0690F" w:rsidRPr="005A1CAE" w:rsidRDefault="00D0690F" w:rsidP="009F612D">
      <w:pPr>
        <w:pStyle w:val="ManualHeading1"/>
        <w:rPr>
          <w:noProof/>
        </w:rPr>
      </w:pPr>
      <w:r w:rsidRPr="005A1CAE">
        <w:rPr>
          <w:noProof/>
        </w:rPr>
        <w:t>3.</w:t>
      </w:r>
      <w:r w:rsidRPr="005A1CAE">
        <w:rPr>
          <w:noProof/>
        </w:rPr>
        <w:tab/>
        <w:t xml:space="preserve">WYNIKI OCEN </w:t>
      </w:r>
      <w:r w:rsidRPr="005A1CAE">
        <w:rPr>
          <w:i/>
          <w:noProof/>
        </w:rPr>
        <w:t>EX POST</w:t>
      </w:r>
      <w:r w:rsidRPr="005A1CAE">
        <w:rPr>
          <w:noProof/>
        </w:rPr>
        <w:t>, KONSULTACJI Z ZAINTERESOWANYMI STRONAMI I OCEN SKUTKÓW</w:t>
      </w:r>
    </w:p>
    <w:p w14:paraId="4EFBE67E" w14:textId="77777777"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 xml:space="preserve">Oceny </w:t>
      </w:r>
      <w:r w:rsidRPr="005A1CAE">
        <w:rPr>
          <w:i/>
          <w:noProof/>
          <w:u w:color="000000"/>
          <w:bdr w:val="nil"/>
        </w:rPr>
        <w:t>ex post</w:t>
      </w:r>
      <w:r w:rsidRPr="005A1CAE">
        <w:rPr>
          <w:noProof/>
          <w:u w:color="000000"/>
          <w:bdr w:val="nil"/>
        </w:rPr>
        <w:t>/oceny adekwatności obowiązującego prawodawstwa</w:t>
      </w:r>
    </w:p>
    <w:p w14:paraId="30C65C0C" w14:textId="38DDC378" w:rsidR="00BE3E96" w:rsidRPr="005A1CAE" w:rsidRDefault="00BE3E96" w:rsidP="00BE3E96">
      <w:pPr>
        <w:pBdr>
          <w:top w:val="nil"/>
          <w:left w:val="nil"/>
          <w:bottom w:val="nil"/>
          <w:right w:val="nil"/>
          <w:between w:val="nil"/>
          <w:bar w:val="nil"/>
        </w:pBdr>
        <w:spacing w:before="0" w:after="240"/>
        <w:rPr>
          <w:rFonts w:eastAsia="Arial Unicode MS"/>
          <w:noProof/>
        </w:rPr>
      </w:pPr>
      <w:r w:rsidRPr="005A1CAE">
        <w:rPr>
          <w:noProof/>
        </w:rPr>
        <w:t>Wniosek oparto na doświadczeniach zdobytych podczas wdrażania rozporządzenia</w:t>
      </w:r>
      <w:r w:rsidR="005A1CAE" w:rsidRPr="005A1CAE">
        <w:rPr>
          <w:noProof/>
        </w:rPr>
        <w:t xml:space="preserve"> w</w:t>
      </w:r>
      <w:r w:rsidR="005A1CAE">
        <w:rPr>
          <w:noProof/>
        </w:rPr>
        <w:t> </w:t>
      </w:r>
      <w:r w:rsidR="005A1CAE" w:rsidRPr="005A1CAE">
        <w:rPr>
          <w:noProof/>
        </w:rPr>
        <w:t>spr</w:t>
      </w:r>
      <w:r w:rsidRPr="005A1CAE">
        <w:rPr>
          <w:noProof/>
        </w:rPr>
        <w:t>awie CBAM, którego przejściowy okres obowiązywania rozpoczął się</w:t>
      </w:r>
      <w:r w:rsidR="005A1CAE" w:rsidRPr="005A1CAE">
        <w:rPr>
          <w:noProof/>
        </w:rPr>
        <w:t> </w:t>
      </w:r>
      <w:r w:rsidRPr="005A1CAE">
        <w:rPr>
          <w:noProof/>
        </w:rPr>
        <w:t>1 października 2023</w:t>
      </w:r>
      <w:r w:rsidR="005A1CAE" w:rsidRPr="005A1CAE">
        <w:rPr>
          <w:noProof/>
        </w:rPr>
        <w:t> </w:t>
      </w:r>
      <w:r w:rsidRPr="005A1CAE">
        <w:rPr>
          <w:noProof/>
        </w:rPr>
        <w:t>r.</w:t>
      </w:r>
    </w:p>
    <w:p w14:paraId="44C5FDE5" w14:textId="1878C4EE"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Konsultacje</w:t>
      </w:r>
      <w:r w:rsidR="005A1CAE" w:rsidRPr="005A1CAE">
        <w:rPr>
          <w:noProof/>
          <w:u w:color="000000"/>
          <w:bdr w:val="nil"/>
        </w:rPr>
        <w:t xml:space="preserve"> z</w:t>
      </w:r>
      <w:r w:rsidR="005A1CAE">
        <w:rPr>
          <w:noProof/>
          <w:u w:color="000000"/>
          <w:bdr w:val="nil"/>
        </w:rPr>
        <w:t> </w:t>
      </w:r>
      <w:r w:rsidR="005A1CAE" w:rsidRPr="005A1CAE">
        <w:rPr>
          <w:noProof/>
          <w:u w:color="000000"/>
          <w:bdr w:val="nil"/>
        </w:rPr>
        <w:t>zai</w:t>
      </w:r>
      <w:r w:rsidRPr="005A1CAE">
        <w:rPr>
          <w:noProof/>
          <w:u w:color="000000"/>
          <w:bdr w:val="nil"/>
        </w:rPr>
        <w:t>nteresowanymi stronami</w:t>
      </w:r>
    </w:p>
    <w:p w14:paraId="7AAA033E" w14:textId="7D28EAC5" w:rsidR="00BE3E96" w:rsidRPr="005A1CAE" w:rsidRDefault="00BE3E96" w:rsidP="00BE3E96">
      <w:pPr>
        <w:rPr>
          <w:noProof/>
        </w:rPr>
      </w:pPr>
      <w:r w:rsidRPr="005A1CAE">
        <w:rPr>
          <w:noProof/>
        </w:rPr>
        <w:t>Od rozpoczęcia przejściowego okresu stosowania CBAM, 1 października 2023</w:t>
      </w:r>
      <w:r w:rsidR="005A1CAE" w:rsidRPr="005A1CAE">
        <w:rPr>
          <w:noProof/>
        </w:rPr>
        <w:t> </w:t>
      </w:r>
      <w:r w:rsidRPr="005A1CAE">
        <w:rPr>
          <w:noProof/>
        </w:rPr>
        <w:t>r., służby Komisji stale konsultują się wieloma kanałami komunikacji</w:t>
      </w:r>
      <w:r w:rsidR="005A1CAE" w:rsidRPr="005A1CAE">
        <w:rPr>
          <w:noProof/>
        </w:rPr>
        <w:t xml:space="preserve"> z</w:t>
      </w:r>
      <w:r w:rsidR="005A1CAE">
        <w:rPr>
          <w:noProof/>
        </w:rPr>
        <w:t> </w:t>
      </w:r>
      <w:r w:rsidR="005A1CAE" w:rsidRPr="005A1CAE">
        <w:rPr>
          <w:noProof/>
        </w:rPr>
        <w:t>zai</w:t>
      </w:r>
      <w:r w:rsidRPr="005A1CAE">
        <w:rPr>
          <w:noProof/>
        </w:rPr>
        <w:t>nteresowanymi stronami</w:t>
      </w:r>
      <w:r w:rsidR="005A1CAE" w:rsidRPr="005A1CAE">
        <w:rPr>
          <w:noProof/>
        </w:rPr>
        <w:t xml:space="preserve"> w</w:t>
      </w:r>
      <w:r w:rsidR="005A1CAE">
        <w:rPr>
          <w:noProof/>
        </w:rPr>
        <w:t> </w:t>
      </w:r>
      <w:r w:rsidR="005A1CAE" w:rsidRPr="005A1CAE">
        <w:rPr>
          <w:noProof/>
        </w:rPr>
        <w:t>Uni</w:t>
      </w:r>
      <w:r w:rsidRPr="005A1CAE">
        <w:rPr>
          <w:noProof/>
        </w:rPr>
        <w:t>i</w:t>
      </w:r>
      <w:r w:rsidR="005A1CAE" w:rsidRPr="005A1CAE">
        <w:rPr>
          <w:noProof/>
        </w:rPr>
        <w:t xml:space="preserve"> i</w:t>
      </w:r>
      <w:r w:rsidR="005A1CAE">
        <w:rPr>
          <w:noProof/>
        </w:rPr>
        <w:t> </w:t>
      </w:r>
      <w:r w:rsidR="005A1CAE" w:rsidRPr="005A1CAE">
        <w:rPr>
          <w:noProof/>
        </w:rPr>
        <w:t>pań</w:t>
      </w:r>
      <w:r w:rsidRPr="005A1CAE">
        <w:rPr>
          <w:noProof/>
        </w:rPr>
        <w:t>stwach trzecich</w:t>
      </w:r>
      <w:r w:rsidR="005A1CAE" w:rsidRPr="005A1CAE">
        <w:rPr>
          <w:noProof/>
        </w:rPr>
        <w:t>. W</w:t>
      </w:r>
      <w:r w:rsidR="005A1CAE">
        <w:rPr>
          <w:noProof/>
        </w:rPr>
        <w:t> </w:t>
      </w:r>
      <w:r w:rsidR="005A1CAE" w:rsidRPr="005A1CAE">
        <w:rPr>
          <w:noProof/>
        </w:rPr>
        <w:t>okr</w:t>
      </w:r>
      <w:r w:rsidRPr="005A1CAE">
        <w:rPr>
          <w:noProof/>
        </w:rPr>
        <w:t>esie od</w:t>
      </w:r>
      <w:r w:rsidR="005A1CAE" w:rsidRPr="005A1CAE">
        <w:rPr>
          <w:noProof/>
        </w:rPr>
        <w:t> </w:t>
      </w:r>
      <w:r w:rsidRPr="005A1CAE">
        <w:rPr>
          <w:noProof/>
        </w:rPr>
        <w:t>1 lipca do</w:t>
      </w:r>
      <w:r w:rsidR="005A1CAE" w:rsidRPr="005A1CAE">
        <w:rPr>
          <w:noProof/>
        </w:rPr>
        <w:t> </w:t>
      </w:r>
      <w:r w:rsidRPr="005A1CAE">
        <w:rPr>
          <w:noProof/>
        </w:rPr>
        <w:t>26 sierpnia 2025</w:t>
      </w:r>
      <w:r w:rsidR="005A1CAE" w:rsidRPr="005A1CAE">
        <w:rPr>
          <w:noProof/>
        </w:rPr>
        <w:t> </w:t>
      </w:r>
      <w:r w:rsidRPr="005A1CAE">
        <w:rPr>
          <w:noProof/>
        </w:rPr>
        <w:t>r. przeprowadzono zaproszenie do zgłaszania uwag</w:t>
      </w:r>
      <w:r w:rsidR="005A1CAE" w:rsidRPr="005A1CAE">
        <w:rPr>
          <w:noProof/>
        </w:rPr>
        <w:t xml:space="preserve"> i</w:t>
      </w:r>
      <w:r w:rsidR="005A1CAE">
        <w:rPr>
          <w:noProof/>
        </w:rPr>
        <w:t> </w:t>
      </w:r>
      <w:r w:rsidR="005A1CAE" w:rsidRPr="005A1CAE">
        <w:rPr>
          <w:noProof/>
        </w:rPr>
        <w:t>kon</w:t>
      </w:r>
      <w:r w:rsidRPr="005A1CAE">
        <w:rPr>
          <w:noProof/>
        </w:rPr>
        <w:t>sultacje publiczne na temat rozszerzenia zakresu na produkty rynku niższego szczebla, ryzyka obchodzenia przepisów</w:t>
      </w:r>
      <w:r w:rsidR="005A1CAE" w:rsidRPr="005A1CAE">
        <w:rPr>
          <w:noProof/>
        </w:rPr>
        <w:t xml:space="preserve"> i</w:t>
      </w:r>
      <w:r w:rsidR="005A1CAE">
        <w:rPr>
          <w:noProof/>
        </w:rPr>
        <w:t> </w:t>
      </w:r>
      <w:r w:rsidR="005A1CAE" w:rsidRPr="005A1CAE">
        <w:rPr>
          <w:noProof/>
        </w:rPr>
        <w:t>pra</w:t>
      </w:r>
      <w:r w:rsidRPr="005A1CAE">
        <w:rPr>
          <w:noProof/>
        </w:rPr>
        <w:t xml:space="preserve">ktyk, które mogłyby podważyć cele CBAM, oraz energii elektrycznej. Na podstawie wyników konsultacji publicznych większość zainteresowanych stron na rynku niższego szczeblu uważa, że istnieje </w:t>
      </w:r>
      <w:r w:rsidRPr="005A1CAE">
        <w:rPr>
          <w:noProof/>
        </w:rPr>
        <w:lastRenderedPageBreak/>
        <w:t>ryzyko ucieczki emisji ze względu na CBAM</w:t>
      </w:r>
      <w:r w:rsidR="005A1CAE" w:rsidRPr="005A1CAE">
        <w:rPr>
          <w:noProof/>
        </w:rPr>
        <w:t xml:space="preserve"> w</w:t>
      </w:r>
      <w:r w:rsidR="005A1CAE">
        <w:rPr>
          <w:noProof/>
        </w:rPr>
        <w:t> </w:t>
      </w:r>
      <w:r w:rsidR="005A1CAE" w:rsidRPr="005A1CAE">
        <w:rPr>
          <w:noProof/>
        </w:rPr>
        <w:t>sek</w:t>
      </w:r>
      <w:r w:rsidRPr="005A1CAE">
        <w:rPr>
          <w:noProof/>
        </w:rPr>
        <w:t xml:space="preserve">torach </w:t>
      </w:r>
      <w:r w:rsidRPr="005A1CAE">
        <w:rPr>
          <w:i/>
          <w:iCs/>
          <w:noProof/>
        </w:rPr>
        <w:t>downstream</w:t>
      </w:r>
      <w:r w:rsidR="005A1CAE" w:rsidRPr="005A1CAE">
        <w:rPr>
          <w:noProof/>
        </w:rPr>
        <w:t>. W</w:t>
      </w:r>
      <w:r w:rsidR="005A1CAE">
        <w:rPr>
          <w:noProof/>
        </w:rPr>
        <w:t> </w:t>
      </w:r>
      <w:r w:rsidR="005A1CAE" w:rsidRPr="005A1CAE">
        <w:rPr>
          <w:noProof/>
        </w:rPr>
        <w:t>duż</w:t>
      </w:r>
      <w:r w:rsidRPr="005A1CAE">
        <w:rPr>
          <w:noProof/>
        </w:rPr>
        <w:t>ej mierze zgadzają się, że rozszerzenie CBAM na produkty rynku niższego szczebla przyczyniłoby się do zmniejszenia ryzyka ucieczki emisji, wzmocnienia unijnej polityki klimatycznej, promowania innowacje</w:t>
      </w:r>
      <w:r w:rsidR="005A1CAE" w:rsidRPr="005A1CAE">
        <w:rPr>
          <w:noProof/>
        </w:rPr>
        <w:t xml:space="preserve"> w</w:t>
      </w:r>
      <w:r w:rsidR="005A1CAE">
        <w:rPr>
          <w:noProof/>
        </w:rPr>
        <w:t> </w:t>
      </w:r>
      <w:r w:rsidR="005A1CAE" w:rsidRPr="005A1CAE">
        <w:rPr>
          <w:noProof/>
        </w:rPr>
        <w:t>zak</w:t>
      </w:r>
      <w:r w:rsidRPr="005A1CAE">
        <w:rPr>
          <w:noProof/>
        </w:rPr>
        <w:t>resie technologii niskoemisyjnych</w:t>
      </w:r>
      <w:r w:rsidR="005A1CAE" w:rsidRPr="005A1CAE">
        <w:rPr>
          <w:noProof/>
        </w:rPr>
        <w:t xml:space="preserve"> i</w:t>
      </w:r>
      <w:r w:rsidR="005A1CAE">
        <w:rPr>
          <w:noProof/>
        </w:rPr>
        <w:t> </w:t>
      </w:r>
      <w:r w:rsidR="005A1CAE" w:rsidRPr="005A1CAE">
        <w:rPr>
          <w:noProof/>
        </w:rPr>
        <w:t>zac</w:t>
      </w:r>
      <w:r w:rsidRPr="005A1CAE">
        <w:rPr>
          <w:noProof/>
        </w:rPr>
        <w:t>hęciłoby zarówno do konsumpcji produktów niskoemisyjnych w UE, jak i do działań na rzecz wprowadzenia opłat za emisję gazów cieplarnianych na całym świecie. Większość respondentów wskazała, że obecny CBAM jest narażony na ryzyko obchodzenia przepisów, co może osłabić jego skuteczność. Większość respondentów wskazała również, że obecna metodyka obliczania wartości domyślnych dla energii elektrycznej nie jest odpowiednia, ponieważ nie uwzględnia energii elektrycznej wytwarzanej ze źródeł niekopalnych. Większość respondentów wskazała ponadto, że należy uprościć warunki stosowania rzeczywistych emisji wbudowanych związanych</w:t>
      </w:r>
      <w:r w:rsidR="005A1CAE" w:rsidRPr="005A1CAE">
        <w:rPr>
          <w:noProof/>
        </w:rPr>
        <w:t xml:space="preserve"> z</w:t>
      </w:r>
      <w:r w:rsidR="005A1CAE">
        <w:rPr>
          <w:noProof/>
        </w:rPr>
        <w:t> </w:t>
      </w:r>
      <w:r w:rsidR="005A1CAE" w:rsidRPr="005A1CAE">
        <w:rPr>
          <w:noProof/>
        </w:rPr>
        <w:t>imp</w:t>
      </w:r>
      <w:r w:rsidRPr="005A1CAE">
        <w:rPr>
          <w:noProof/>
        </w:rPr>
        <w:t>ortowaną energią elektryczną.</w:t>
      </w:r>
    </w:p>
    <w:p w14:paraId="674B658C" w14:textId="4014B452" w:rsidR="008C228F" w:rsidRPr="005A1CAE" w:rsidRDefault="00BE3E96" w:rsidP="00BE3E96">
      <w:pPr>
        <w:rPr>
          <w:noProof/>
        </w:rPr>
      </w:pPr>
      <w:r w:rsidRPr="005A1CAE">
        <w:rPr>
          <w:noProof/>
        </w:rPr>
        <w:t>Ponadto służby Komisji przeprowadziły szeroko zakrojone konsultacje</w:t>
      </w:r>
      <w:r w:rsidR="005A1CAE" w:rsidRPr="005A1CAE">
        <w:rPr>
          <w:noProof/>
        </w:rPr>
        <w:t xml:space="preserve"> z</w:t>
      </w:r>
      <w:r w:rsidR="005A1CAE">
        <w:rPr>
          <w:noProof/>
        </w:rPr>
        <w:t> </w:t>
      </w:r>
      <w:r w:rsidR="005A1CAE" w:rsidRPr="005A1CAE">
        <w:rPr>
          <w:noProof/>
        </w:rPr>
        <w:t>org</w:t>
      </w:r>
      <w:r w:rsidRPr="005A1CAE">
        <w:rPr>
          <w:noProof/>
        </w:rPr>
        <w:t>anami publicznymi w UE</w:t>
      </w:r>
      <w:r w:rsidR="005A1CAE" w:rsidRPr="005A1CAE">
        <w:rPr>
          <w:noProof/>
        </w:rPr>
        <w:t xml:space="preserve"> i</w:t>
      </w:r>
      <w:r w:rsidR="005A1CAE">
        <w:rPr>
          <w:noProof/>
        </w:rPr>
        <w:t> </w:t>
      </w:r>
      <w:r w:rsidR="005A1CAE" w:rsidRPr="005A1CAE">
        <w:rPr>
          <w:noProof/>
        </w:rPr>
        <w:t>w</w:t>
      </w:r>
      <w:r w:rsidR="005A1CAE">
        <w:rPr>
          <w:noProof/>
        </w:rPr>
        <w:t> </w:t>
      </w:r>
      <w:r w:rsidR="005A1CAE" w:rsidRPr="005A1CAE">
        <w:rPr>
          <w:noProof/>
        </w:rPr>
        <w:t>pań</w:t>
      </w:r>
      <w:r w:rsidRPr="005A1CAE">
        <w:rPr>
          <w:noProof/>
        </w:rPr>
        <w:t>stwach trzecich oraz</w:t>
      </w:r>
      <w:r w:rsidR="005A1CAE" w:rsidRPr="005A1CAE">
        <w:rPr>
          <w:noProof/>
        </w:rPr>
        <w:t xml:space="preserve"> z</w:t>
      </w:r>
      <w:r w:rsidR="005A1CAE">
        <w:rPr>
          <w:noProof/>
        </w:rPr>
        <w:t> </w:t>
      </w:r>
      <w:r w:rsidR="005A1CAE" w:rsidRPr="005A1CAE">
        <w:rPr>
          <w:noProof/>
        </w:rPr>
        <w:t>prz</w:t>
      </w:r>
      <w:r w:rsidRPr="005A1CAE">
        <w:rPr>
          <w:noProof/>
        </w:rPr>
        <w:t>edstawicielami przemysłu, przedstawicielami społeczeństwa obywatelskiego</w:t>
      </w:r>
      <w:r w:rsidR="005A1CAE" w:rsidRPr="005A1CAE">
        <w:rPr>
          <w:noProof/>
        </w:rPr>
        <w:t xml:space="preserve"> i</w:t>
      </w:r>
      <w:r w:rsidR="005A1CAE">
        <w:rPr>
          <w:noProof/>
        </w:rPr>
        <w:t> </w:t>
      </w:r>
      <w:r w:rsidR="005A1CAE" w:rsidRPr="005A1CAE">
        <w:rPr>
          <w:noProof/>
        </w:rPr>
        <w:t>org</w:t>
      </w:r>
      <w:r w:rsidRPr="005A1CAE">
        <w:rPr>
          <w:noProof/>
        </w:rPr>
        <w:t>anizacjami międzynarodowymi lub międzyrządowymi. Miały one formę spotkań dwustronnych, dyskusji</w:t>
      </w:r>
      <w:r w:rsidR="005A1CAE" w:rsidRPr="005A1CAE">
        <w:rPr>
          <w:noProof/>
        </w:rPr>
        <w:t xml:space="preserve"> w</w:t>
      </w:r>
      <w:r w:rsidR="005A1CAE">
        <w:rPr>
          <w:noProof/>
        </w:rPr>
        <w:t> </w:t>
      </w:r>
      <w:r w:rsidR="005A1CAE" w:rsidRPr="005A1CAE">
        <w:rPr>
          <w:noProof/>
        </w:rPr>
        <w:t>ram</w:t>
      </w:r>
      <w:r w:rsidRPr="005A1CAE">
        <w:rPr>
          <w:noProof/>
        </w:rPr>
        <w:t>ach grupy ekspertów ds. CBAM, wywiadów</w:t>
      </w:r>
      <w:r w:rsidR="005A1CAE" w:rsidRPr="005A1CAE">
        <w:rPr>
          <w:noProof/>
        </w:rPr>
        <w:t xml:space="preserve"> w</w:t>
      </w:r>
      <w:r w:rsidR="005A1CAE">
        <w:rPr>
          <w:noProof/>
        </w:rPr>
        <w:t> </w:t>
      </w:r>
      <w:r w:rsidR="005A1CAE" w:rsidRPr="005A1CAE">
        <w:rPr>
          <w:noProof/>
        </w:rPr>
        <w:t>kon</w:t>
      </w:r>
      <w:r w:rsidRPr="005A1CAE">
        <w:rPr>
          <w:noProof/>
        </w:rPr>
        <w:t>tekście badań poświęconych rozszerzeniu zakresu na produkty rynku niższego szczebla</w:t>
      </w:r>
      <w:r w:rsidR="005A1CAE" w:rsidRPr="005A1CAE">
        <w:rPr>
          <w:noProof/>
        </w:rPr>
        <w:t xml:space="preserve"> i</w:t>
      </w:r>
      <w:r w:rsidR="005A1CAE">
        <w:rPr>
          <w:noProof/>
        </w:rPr>
        <w:t> </w:t>
      </w:r>
      <w:r w:rsidR="005A1CAE" w:rsidRPr="005A1CAE">
        <w:rPr>
          <w:noProof/>
        </w:rPr>
        <w:t>ene</w:t>
      </w:r>
      <w:r w:rsidRPr="005A1CAE">
        <w:rPr>
          <w:noProof/>
        </w:rPr>
        <w:t>rgię elektryczną, oraz ankiet przeprowadzonych wśród właściwych organów krajowych</w:t>
      </w:r>
      <w:r w:rsidR="005A1CAE" w:rsidRPr="005A1CAE">
        <w:rPr>
          <w:noProof/>
        </w:rPr>
        <w:t xml:space="preserve"> i</w:t>
      </w:r>
      <w:r w:rsidR="005A1CAE">
        <w:rPr>
          <w:noProof/>
        </w:rPr>
        <w:t> </w:t>
      </w:r>
      <w:r w:rsidR="005A1CAE" w:rsidRPr="005A1CAE">
        <w:rPr>
          <w:noProof/>
        </w:rPr>
        <w:t>org</w:t>
      </w:r>
      <w:r w:rsidRPr="005A1CAE">
        <w:rPr>
          <w:noProof/>
        </w:rPr>
        <w:t>anów celnych</w:t>
      </w:r>
      <w:r w:rsidR="005A1CAE" w:rsidRPr="005A1CAE">
        <w:rPr>
          <w:noProof/>
        </w:rPr>
        <w:t xml:space="preserve"> w</w:t>
      </w:r>
      <w:r w:rsidR="005A1CAE">
        <w:rPr>
          <w:noProof/>
        </w:rPr>
        <w:t> </w:t>
      </w:r>
      <w:r w:rsidR="005A1CAE" w:rsidRPr="005A1CAE">
        <w:rPr>
          <w:noProof/>
        </w:rPr>
        <w:t>kon</w:t>
      </w:r>
      <w:r w:rsidRPr="005A1CAE">
        <w:rPr>
          <w:noProof/>
        </w:rPr>
        <w:t>tekście ram zarządzania ryzykiem CBAM.</w:t>
      </w:r>
    </w:p>
    <w:p w14:paraId="528387CC" w14:textId="6C48D6D0"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Gromadzenie</w:t>
      </w:r>
      <w:r w:rsidR="005A1CAE" w:rsidRPr="005A1CAE">
        <w:rPr>
          <w:noProof/>
          <w:u w:color="000000"/>
          <w:bdr w:val="nil"/>
        </w:rPr>
        <w:t xml:space="preserve"> i</w:t>
      </w:r>
      <w:r w:rsidR="005A1CAE">
        <w:rPr>
          <w:noProof/>
          <w:u w:color="000000"/>
          <w:bdr w:val="nil"/>
        </w:rPr>
        <w:t> </w:t>
      </w:r>
      <w:r w:rsidR="005A1CAE" w:rsidRPr="005A1CAE">
        <w:rPr>
          <w:noProof/>
          <w:u w:color="000000"/>
          <w:bdr w:val="nil"/>
        </w:rPr>
        <w:t>wyk</w:t>
      </w:r>
      <w:r w:rsidRPr="005A1CAE">
        <w:rPr>
          <w:noProof/>
          <w:u w:color="000000"/>
          <w:bdr w:val="nil"/>
        </w:rPr>
        <w:t>orzystanie wiedzy eksperckiej</w:t>
      </w:r>
    </w:p>
    <w:p w14:paraId="1AFD7215" w14:textId="6EB05111" w:rsidR="00BE3E96" w:rsidRPr="005A1CAE" w:rsidRDefault="00BE3E96" w:rsidP="00BE3E96">
      <w:pPr>
        <w:pBdr>
          <w:top w:val="nil"/>
          <w:left w:val="nil"/>
          <w:bottom w:val="nil"/>
          <w:right w:val="nil"/>
          <w:between w:val="nil"/>
          <w:bar w:val="nil"/>
        </w:pBdr>
        <w:spacing w:before="0" w:after="240"/>
        <w:rPr>
          <w:rFonts w:eastAsia="Arial Unicode MS"/>
          <w:noProof/>
        </w:rPr>
      </w:pPr>
      <w:r w:rsidRPr="005A1CAE">
        <w:rPr>
          <w:noProof/>
        </w:rPr>
        <w:t>Wniosek opracowano na podstawie szeregu badań</w:t>
      </w:r>
      <w:r w:rsidR="005A1CAE" w:rsidRPr="005A1CAE">
        <w:rPr>
          <w:noProof/>
        </w:rPr>
        <w:t xml:space="preserve"> i</w:t>
      </w:r>
      <w:r w:rsidR="005A1CAE">
        <w:rPr>
          <w:noProof/>
        </w:rPr>
        <w:t> </w:t>
      </w:r>
      <w:r w:rsidR="005A1CAE" w:rsidRPr="005A1CAE">
        <w:rPr>
          <w:noProof/>
        </w:rPr>
        <w:t>opi</w:t>
      </w:r>
      <w:r w:rsidRPr="005A1CAE">
        <w:rPr>
          <w:noProof/>
        </w:rPr>
        <w:t>nii ekspertów, analizując potencjalne warianty projektowe oraz ich skutki środowiskowe, społeczne</w:t>
      </w:r>
      <w:r w:rsidR="005A1CAE" w:rsidRPr="005A1CAE">
        <w:rPr>
          <w:noProof/>
        </w:rPr>
        <w:t xml:space="preserve"> i</w:t>
      </w:r>
      <w:r w:rsidR="005A1CAE">
        <w:rPr>
          <w:noProof/>
        </w:rPr>
        <w:t> </w:t>
      </w:r>
      <w:r w:rsidR="005A1CAE" w:rsidRPr="005A1CAE">
        <w:rPr>
          <w:noProof/>
        </w:rPr>
        <w:t>gos</w:t>
      </w:r>
      <w:r w:rsidRPr="005A1CAE">
        <w:rPr>
          <w:noProof/>
        </w:rPr>
        <w:t xml:space="preserve">podarcze. </w:t>
      </w:r>
    </w:p>
    <w:p w14:paraId="080E425C" w14:textId="21EF8776" w:rsidR="00BE3E96" w:rsidRPr="005A1CAE" w:rsidRDefault="00BE3E96" w:rsidP="00BE3E96">
      <w:pPr>
        <w:pBdr>
          <w:top w:val="nil"/>
          <w:left w:val="nil"/>
          <w:bottom w:val="nil"/>
          <w:right w:val="nil"/>
          <w:between w:val="nil"/>
          <w:bar w:val="nil"/>
        </w:pBdr>
        <w:spacing w:before="0" w:after="240"/>
        <w:rPr>
          <w:rFonts w:eastAsia="Arial Unicode MS"/>
          <w:noProof/>
        </w:rPr>
      </w:pPr>
      <w:r w:rsidRPr="005A1CAE">
        <w:rPr>
          <w:noProof/>
        </w:rPr>
        <w:t>Przed przygotowaniem wniosku przeprowadzono specjalne badanie uzupełniające, które koncentrowało się na rozszerzeniu zakresu CBAM na towary niższego szczebla wymagające intensywnego wykorzystania stali</w:t>
      </w:r>
      <w:r w:rsidR="005A1CAE" w:rsidRPr="005A1CAE">
        <w:rPr>
          <w:noProof/>
        </w:rPr>
        <w:t xml:space="preserve"> i</w:t>
      </w:r>
      <w:r w:rsidR="005A1CAE">
        <w:rPr>
          <w:noProof/>
        </w:rPr>
        <w:t> </w:t>
      </w:r>
      <w:r w:rsidR="005A1CAE" w:rsidRPr="005A1CAE">
        <w:rPr>
          <w:noProof/>
        </w:rPr>
        <w:t>alu</w:t>
      </w:r>
      <w:r w:rsidRPr="005A1CAE">
        <w:rPr>
          <w:noProof/>
        </w:rPr>
        <w:t>minium. Oprócz tego badania przy wsparciu działającego</w:t>
      </w:r>
      <w:r w:rsidR="005A1CAE" w:rsidRPr="005A1CAE">
        <w:rPr>
          <w:noProof/>
        </w:rPr>
        <w:t xml:space="preserve"> w</w:t>
      </w:r>
      <w:r w:rsidR="005A1CAE">
        <w:rPr>
          <w:noProof/>
        </w:rPr>
        <w:t> </w:t>
      </w:r>
      <w:r w:rsidR="005A1CAE" w:rsidRPr="005A1CAE">
        <w:rPr>
          <w:noProof/>
        </w:rPr>
        <w:t>ram</w:t>
      </w:r>
      <w:r w:rsidRPr="005A1CAE">
        <w:rPr>
          <w:noProof/>
        </w:rPr>
        <w:t>ach Komisji Europejskiej Wspólnego Centrum Badawczego przeprowadzono specjalne modelowanie skutków społeczno-gospodarczych</w:t>
      </w:r>
      <w:r w:rsidR="005A1CAE" w:rsidRPr="005A1CAE">
        <w:rPr>
          <w:noProof/>
        </w:rPr>
        <w:t xml:space="preserve"> i</w:t>
      </w:r>
      <w:r w:rsidR="005A1CAE">
        <w:rPr>
          <w:noProof/>
        </w:rPr>
        <w:t> </w:t>
      </w:r>
      <w:r w:rsidR="005A1CAE" w:rsidRPr="005A1CAE">
        <w:rPr>
          <w:noProof/>
        </w:rPr>
        <w:t>śro</w:t>
      </w:r>
      <w:r w:rsidRPr="005A1CAE">
        <w:rPr>
          <w:noProof/>
        </w:rPr>
        <w:t>dowiskowych,</w:t>
      </w:r>
      <w:r w:rsidR="005A1CAE" w:rsidRPr="005A1CAE">
        <w:rPr>
          <w:noProof/>
        </w:rPr>
        <w:t xml:space="preserve"> a</w:t>
      </w:r>
      <w:r w:rsidR="005A1CAE">
        <w:rPr>
          <w:noProof/>
        </w:rPr>
        <w:t> </w:t>
      </w:r>
      <w:r w:rsidR="005A1CAE" w:rsidRPr="005A1CAE">
        <w:rPr>
          <w:noProof/>
        </w:rPr>
        <w:t>słu</w:t>
      </w:r>
      <w:r w:rsidRPr="005A1CAE">
        <w:rPr>
          <w:noProof/>
        </w:rPr>
        <w:t>żby Komisji przeprowadziły szeroko zakrojone badanie źródeł wtórnych</w:t>
      </w:r>
      <w:r w:rsidR="005A1CAE" w:rsidRPr="005A1CAE">
        <w:rPr>
          <w:noProof/>
        </w:rPr>
        <w:t xml:space="preserve"> i</w:t>
      </w:r>
      <w:r w:rsidR="005A1CAE">
        <w:rPr>
          <w:noProof/>
        </w:rPr>
        <w:t> </w:t>
      </w:r>
      <w:r w:rsidR="005A1CAE" w:rsidRPr="005A1CAE">
        <w:rPr>
          <w:noProof/>
        </w:rPr>
        <w:t>dog</w:t>
      </w:r>
      <w:r w:rsidRPr="005A1CAE">
        <w:rPr>
          <w:noProof/>
        </w:rPr>
        <w:t>łębną analizę statystyczną</w:t>
      </w:r>
      <w:r w:rsidR="005A1CAE" w:rsidRPr="005A1CAE">
        <w:rPr>
          <w:noProof/>
        </w:rPr>
        <w:t>. W</w:t>
      </w:r>
      <w:r w:rsidR="005A1CAE">
        <w:rPr>
          <w:noProof/>
        </w:rPr>
        <w:t> </w:t>
      </w:r>
      <w:r w:rsidR="005A1CAE" w:rsidRPr="005A1CAE">
        <w:rPr>
          <w:noProof/>
        </w:rPr>
        <w:t>kon</w:t>
      </w:r>
      <w:r w:rsidRPr="005A1CAE">
        <w:rPr>
          <w:noProof/>
        </w:rPr>
        <w:t>tekście niniejszej inicjatywy uwzględniono ponadto informacje zgromadzone</w:t>
      </w:r>
      <w:r w:rsidR="005A1CAE" w:rsidRPr="005A1CAE">
        <w:rPr>
          <w:noProof/>
        </w:rPr>
        <w:t xml:space="preserve"> w</w:t>
      </w:r>
      <w:r w:rsidR="005A1CAE">
        <w:rPr>
          <w:noProof/>
        </w:rPr>
        <w:t> </w:t>
      </w:r>
      <w:r w:rsidR="005A1CAE" w:rsidRPr="005A1CAE">
        <w:rPr>
          <w:noProof/>
        </w:rPr>
        <w:t>kon</w:t>
      </w:r>
      <w:r w:rsidRPr="005A1CAE">
        <w:rPr>
          <w:noProof/>
        </w:rPr>
        <w:t>tekście badań sektorowych,</w:t>
      </w:r>
      <w:r w:rsidR="005A1CAE" w:rsidRPr="005A1CAE">
        <w:rPr>
          <w:noProof/>
        </w:rPr>
        <w:t xml:space="preserve"> w</w:t>
      </w:r>
      <w:r w:rsidR="005A1CAE">
        <w:rPr>
          <w:noProof/>
        </w:rPr>
        <w:t> </w:t>
      </w:r>
      <w:r w:rsidR="005A1CAE" w:rsidRPr="005A1CAE">
        <w:rPr>
          <w:noProof/>
        </w:rPr>
        <w:t>tym</w:t>
      </w:r>
      <w:r w:rsidRPr="005A1CAE">
        <w:rPr>
          <w:noProof/>
        </w:rPr>
        <w:t xml:space="preserve"> badania dotyczącego energii elektrycznej jako towaru objętego CBAM.</w:t>
      </w:r>
    </w:p>
    <w:p w14:paraId="261475C7" w14:textId="23C27509" w:rsidR="008C228F" w:rsidRPr="005A1CAE" w:rsidRDefault="00BE3E96" w:rsidP="009F612D">
      <w:pPr>
        <w:pBdr>
          <w:top w:val="nil"/>
          <w:left w:val="nil"/>
          <w:bottom w:val="nil"/>
          <w:right w:val="nil"/>
          <w:between w:val="nil"/>
          <w:bar w:val="nil"/>
        </w:pBdr>
        <w:spacing w:before="0" w:after="240"/>
        <w:rPr>
          <w:rFonts w:eastAsia="Arial Unicode MS"/>
          <w:noProof/>
        </w:rPr>
      </w:pPr>
      <w:r w:rsidRPr="005A1CAE">
        <w:rPr>
          <w:noProof/>
        </w:rPr>
        <w:t>W ramach powyższej analizy służby Komisji przeprowadziły ukierunkowane konsultacje</w:t>
      </w:r>
      <w:r w:rsidR="005A1CAE" w:rsidRPr="005A1CAE">
        <w:rPr>
          <w:noProof/>
        </w:rPr>
        <w:t xml:space="preserve"> z</w:t>
      </w:r>
      <w:r w:rsidR="005A1CAE">
        <w:rPr>
          <w:noProof/>
        </w:rPr>
        <w:t> </w:t>
      </w:r>
      <w:r w:rsidR="005A1CAE" w:rsidRPr="005A1CAE">
        <w:rPr>
          <w:noProof/>
        </w:rPr>
        <w:t>odp</w:t>
      </w:r>
      <w:r w:rsidRPr="005A1CAE">
        <w:rPr>
          <w:noProof/>
        </w:rPr>
        <w:t>owiednimi podmiotami gospodarczymi</w:t>
      </w:r>
      <w:r w:rsidR="005A1CAE" w:rsidRPr="005A1CAE">
        <w:rPr>
          <w:noProof/>
        </w:rPr>
        <w:t xml:space="preserve"> i</w:t>
      </w:r>
      <w:r w:rsidR="005A1CAE">
        <w:rPr>
          <w:noProof/>
        </w:rPr>
        <w:t> </w:t>
      </w:r>
      <w:r w:rsidR="005A1CAE" w:rsidRPr="005A1CAE">
        <w:rPr>
          <w:noProof/>
        </w:rPr>
        <w:t>pań</w:t>
      </w:r>
      <w:r w:rsidRPr="005A1CAE">
        <w:rPr>
          <w:noProof/>
        </w:rPr>
        <w:t>stwami członkowskimi oraz wymianę informacji</w:t>
      </w:r>
      <w:r w:rsidR="005A1CAE" w:rsidRPr="005A1CAE">
        <w:rPr>
          <w:noProof/>
        </w:rPr>
        <w:t xml:space="preserve"> z</w:t>
      </w:r>
      <w:r w:rsidR="005A1CAE">
        <w:rPr>
          <w:noProof/>
        </w:rPr>
        <w:t> </w:t>
      </w:r>
      <w:r w:rsidR="005A1CAE" w:rsidRPr="005A1CAE">
        <w:rPr>
          <w:noProof/>
        </w:rPr>
        <w:t>zai</w:t>
      </w:r>
      <w:r w:rsidRPr="005A1CAE">
        <w:rPr>
          <w:noProof/>
        </w:rPr>
        <w:t>nteresowanymi stronami za pośrednictwem grupy ekspertów ds. CBAM i na specjalnych spotkaniach</w:t>
      </w:r>
      <w:r w:rsidR="005A1CAE" w:rsidRPr="005A1CAE">
        <w:rPr>
          <w:noProof/>
        </w:rPr>
        <w:t xml:space="preserve"> z</w:t>
      </w:r>
      <w:r w:rsidR="005A1CAE">
        <w:rPr>
          <w:noProof/>
        </w:rPr>
        <w:t> </w:t>
      </w:r>
      <w:r w:rsidR="005A1CAE" w:rsidRPr="005A1CAE">
        <w:rPr>
          <w:noProof/>
        </w:rPr>
        <w:t>zai</w:t>
      </w:r>
      <w:r w:rsidRPr="005A1CAE">
        <w:rPr>
          <w:noProof/>
        </w:rPr>
        <w:t>nteresowanymi stronami. Przeanalizowały one również dane zgromadzone</w:t>
      </w:r>
      <w:r w:rsidR="005A1CAE" w:rsidRPr="005A1CAE">
        <w:rPr>
          <w:noProof/>
        </w:rPr>
        <w:t xml:space="preserve"> w</w:t>
      </w:r>
      <w:r w:rsidR="005A1CAE">
        <w:rPr>
          <w:noProof/>
        </w:rPr>
        <w:t> </w:t>
      </w:r>
      <w:r w:rsidR="005A1CAE" w:rsidRPr="005A1CAE">
        <w:rPr>
          <w:noProof/>
        </w:rPr>
        <w:t>ram</w:t>
      </w:r>
      <w:r w:rsidRPr="005A1CAE">
        <w:rPr>
          <w:noProof/>
        </w:rPr>
        <w:t>ach kwartalnego sprawozdania CBAM przedkładanego przez zgłaszających</w:t>
      </w:r>
      <w:r w:rsidR="005A1CAE" w:rsidRPr="005A1CAE">
        <w:rPr>
          <w:noProof/>
        </w:rPr>
        <w:t xml:space="preserve"> w</w:t>
      </w:r>
      <w:r w:rsidR="005A1CAE">
        <w:rPr>
          <w:noProof/>
        </w:rPr>
        <w:t> </w:t>
      </w:r>
      <w:r w:rsidR="005A1CAE" w:rsidRPr="005A1CAE">
        <w:rPr>
          <w:noProof/>
        </w:rPr>
        <w:t>okr</w:t>
      </w:r>
      <w:r w:rsidRPr="005A1CAE">
        <w:rPr>
          <w:noProof/>
        </w:rPr>
        <w:t xml:space="preserve">esie przejściowym. </w:t>
      </w:r>
    </w:p>
    <w:p w14:paraId="79F7092A" w14:textId="77777777"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Ocena skutków</w:t>
      </w:r>
    </w:p>
    <w:p w14:paraId="1527811A" w14:textId="10197E9D" w:rsidR="00BE3E96" w:rsidRPr="005A1CAE" w:rsidRDefault="00BE3E96" w:rsidP="00BE3E96">
      <w:pPr>
        <w:pBdr>
          <w:top w:val="nil"/>
          <w:left w:val="nil"/>
          <w:bottom w:val="nil"/>
          <w:right w:val="nil"/>
          <w:between w:val="nil"/>
          <w:bar w:val="nil"/>
        </w:pBdr>
        <w:spacing w:before="0" w:after="240"/>
        <w:rPr>
          <w:rFonts w:eastAsia="Arial Unicode MS"/>
          <w:noProof/>
        </w:rPr>
      </w:pPr>
      <w:r w:rsidRPr="005A1CAE">
        <w:rPr>
          <w:noProof/>
        </w:rPr>
        <w:t>Rada ds. Kontroli Regulacyjnej wydała pozytywną opinię</w:t>
      </w:r>
      <w:r w:rsidR="005A1CAE" w:rsidRPr="005A1CAE">
        <w:rPr>
          <w:noProof/>
        </w:rPr>
        <w:t xml:space="preserve"> z</w:t>
      </w:r>
      <w:r w:rsidR="005A1CAE">
        <w:rPr>
          <w:noProof/>
        </w:rPr>
        <w:t> </w:t>
      </w:r>
      <w:r w:rsidR="005A1CAE" w:rsidRPr="005A1CAE">
        <w:rPr>
          <w:noProof/>
        </w:rPr>
        <w:t>zas</w:t>
      </w:r>
      <w:r w:rsidRPr="005A1CAE">
        <w:rPr>
          <w:noProof/>
        </w:rPr>
        <w:t>trzeżeniami</w:t>
      </w:r>
      <w:r w:rsidR="005A1CAE" w:rsidRPr="005A1CAE">
        <w:rPr>
          <w:noProof/>
        </w:rPr>
        <w:t xml:space="preserve"> w</w:t>
      </w:r>
      <w:r w:rsidR="005A1CAE">
        <w:rPr>
          <w:noProof/>
        </w:rPr>
        <w:t> </w:t>
      </w:r>
      <w:r w:rsidR="005A1CAE" w:rsidRPr="005A1CAE">
        <w:rPr>
          <w:noProof/>
        </w:rPr>
        <w:t>spr</w:t>
      </w:r>
      <w:r w:rsidRPr="005A1CAE">
        <w:rPr>
          <w:noProof/>
        </w:rPr>
        <w:t>awie oceny skutków,</w:t>
      </w:r>
      <w:r w:rsidR="005A1CAE" w:rsidRPr="005A1CAE">
        <w:rPr>
          <w:noProof/>
        </w:rPr>
        <w:t xml:space="preserve"> w</w:t>
      </w:r>
      <w:r w:rsidR="005A1CAE">
        <w:rPr>
          <w:noProof/>
        </w:rPr>
        <w:t> </w:t>
      </w:r>
      <w:r w:rsidR="005A1CAE" w:rsidRPr="005A1CAE">
        <w:rPr>
          <w:noProof/>
        </w:rPr>
        <w:t>tym</w:t>
      </w:r>
      <w:r w:rsidRPr="005A1CAE">
        <w:rPr>
          <w:noProof/>
        </w:rPr>
        <w:t xml:space="preserve"> sugestie dotyczące ulepszeń. Sprawozdanie</w:t>
      </w:r>
      <w:r w:rsidR="005A1CAE" w:rsidRPr="005A1CAE">
        <w:rPr>
          <w:noProof/>
        </w:rPr>
        <w:t xml:space="preserve"> z</w:t>
      </w:r>
      <w:r w:rsidR="005A1CAE">
        <w:rPr>
          <w:noProof/>
        </w:rPr>
        <w:t> </w:t>
      </w:r>
      <w:r w:rsidR="005A1CAE" w:rsidRPr="005A1CAE">
        <w:rPr>
          <w:noProof/>
        </w:rPr>
        <w:t>oce</w:t>
      </w:r>
      <w:r w:rsidRPr="005A1CAE">
        <w:rPr>
          <w:noProof/>
        </w:rPr>
        <w:t>ny skutków poddano dalszemu przeglądowi</w:t>
      </w:r>
      <w:r w:rsidR="005A1CAE" w:rsidRPr="005A1CAE">
        <w:rPr>
          <w:noProof/>
        </w:rPr>
        <w:t xml:space="preserve"> w</w:t>
      </w:r>
      <w:r w:rsidR="005A1CAE">
        <w:rPr>
          <w:noProof/>
        </w:rPr>
        <w:t> </w:t>
      </w:r>
      <w:r w:rsidR="005A1CAE" w:rsidRPr="005A1CAE">
        <w:rPr>
          <w:noProof/>
        </w:rPr>
        <w:t>cel</w:t>
      </w:r>
      <w:r w:rsidRPr="005A1CAE">
        <w:rPr>
          <w:noProof/>
        </w:rPr>
        <w:t xml:space="preserve">u uwzględnienia tych sugestii. </w:t>
      </w:r>
    </w:p>
    <w:p w14:paraId="27908B34" w14:textId="41BC6B76" w:rsidR="00BE3E96" w:rsidRPr="005A1CAE" w:rsidRDefault="00BE3E96" w:rsidP="00BE3E96">
      <w:pPr>
        <w:rPr>
          <w:noProof/>
        </w:rPr>
      </w:pPr>
      <w:r w:rsidRPr="005A1CAE">
        <w:rPr>
          <w:noProof/>
        </w:rPr>
        <w:t>W ocenie skutków przedstawiono warianty strategiczne rozważane</w:t>
      </w:r>
      <w:r w:rsidR="005A1CAE" w:rsidRPr="005A1CAE">
        <w:rPr>
          <w:noProof/>
        </w:rPr>
        <w:t xml:space="preserve"> w</w:t>
      </w:r>
      <w:r w:rsidR="005A1CAE">
        <w:rPr>
          <w:noProof/>
        </w:rPr>
        <w:t> </w:t>
      </w:r>
      <w:r w:rsidR="005A1CAE" w:rsidRPr="005A1CAE">
        <w:rPr>
          <w:noProof/>
        </w:rPr>
        <w:t>odn</w:t>
      </w:r>
      <w:r w:rsidRPr="005A1CAE">
        <w:rPr>
          <w:noProof/>
        </w:rPr>
        <w:t>iesieniu do rozszerzenia na rynki niższego szczebla, dodatkowych zabezpieczeń przed obchodzeniem przepisów</w:t>
      </w:r>
      <w:r w:rsidR="005A1CAE" w:rsidRPr="005A1CAE">
        <w:rPr>
          <w:noProof/>
        </w:rPr>
        <w:t xml:space="preserve"> i</w:t>
      </w:r>
      <w:r w:rsidR="005A1CAE">
        <w:rPr>
          <w:noProof/>
        </w:rPr>
        <w:t> </w:t>
      </w:r>
      <w:r w:rsidR="005A1CAE" w:rsidRPr="005A1CAE">
        <w:rPr>
          <w:noProof/>
        </w:rPr>
        <w:t>pra</w:t>
      </w:r>
      <w:r w:rsidRPr="005A1CAE">
        <w:rPr>
          <w:noProof/>
        </w:rPr>
        <w:t xml:space="preserve">ktykami, które mogłyby podważyć cele CBAM, oraz zmienionych przepisów </w:t>
      </w:r>
      <w:r w:rsidRPr="005A1CAE">
        <w:rPr>
          <w:noProof/>
        </w:rPr>
        <w:lastRenderedPageBreak/>
        <w:t>dotyczących warunków stosowania rzeczywistych emisji wbudowanych związanych</w:t>
      </w:r>
      <w:r w:rsidR="005A1CAE" w:rsidRPr="005A1CAE">
        <w:rPr>
          <w:noProof/>
        </w:rPr>
        <w:t xml:space="preserve"> z</w:t>
      </w:r>
      <w:r w:rsidR="005A1CAE">
        <w:rPr>
          <w:noProof/>
        </w:rPr>
        <w:t> </w:t>
      </w:r>
      <w:r w:rsidR="005A1CAE" w:rsidRPr="005A1CAE">
        <w:rPr>
          <w:noProof/>
        </w:rPr>
        <w:t>imp</w:t>
      </w:r>
      <w:r w:rsidRPr="005A1CAE">
        <w:rPr>
          <w:noProof/>
        </w:rPr>
        <w:t>ortowaną energią elektryczną. Ocena zawiera analizę wszystkich wariantów pod względem ich skuteczności</w:t>
      </w:r>
      <w:r w:rsidR="005A1CAE" w:rsidRPr="005A1CAE">
        <w:rPr>
          <w:noProof/>
        </w:rPr>
        <w:t xml:space="preserve"> w</w:t>
      </w:r>
      <w:r w:rsidR="005A1CAE">
        <w:rPr>
          <w:noProof/>
        </w:rPr>
        <w:t> </w:t>
      </w:r>
      <w:r w:rsidR="005A1CAE" w:rsidRPr="005A1CAE">
        <w:rPr>
          <w:noProof/>
        </w:rPr>
        <w:t>roz</w:t>
      </w:r>
      <w:r w:rsidRPr="005A1CAE">
        <w:rPr>
          <w:noProof/>
        </w:rPr>
        <w:t>wiązywaniu istotnych kwestii. Opisano</w:t>
      </w:r>
      <w:r w:rsidR="005A1CAE" w:rsidRPr="005A1CAE">
        <w:rPr>
          <w:noProof/>
        </w:rPr>
        <w:t xml:space="preserve"> w</w:t>
      </w:r>
      <w:r w:rsidR="005A1CAE">
        <w:rPr>
          <w:noProof/>
        </w:rPr>
        <w:t> </w:t>
      </w:r>
      <w:r w:rsidR="005A1CAE" w:rsidRPr="005A1CAE">
        <w:rPr>
          <w:noProof/>
        </w:rPr>
        <w:t>nie</w:t>
      </w:r>
      <w:r w:rsidRPr="005A1CAE">
        <w:rPr>
          <w:noProof/>
        </w:rPr>
        <w:t>j ponadto wpływ możliwych wariantów strategicznych na wskaźniki gospodarcze</w:t>
      </w:r>
      <w:r w:rsidR="005A1CAE" w:rsidRPr="005A1CAE">
        <w:rPr>
          <w:noProof/>
        </w:rPr>
        <w:t xml:space="preserve"> i</w:t>
      </w:r>
      <w:r w:rsidR="005A1CAE">
        <w:rPr>
          <w:noProof/>
        </w:rPr>
        <w:t> </w:t>
      </w:r>
      <w:r w:rsidR="005A1CAE" w:rsidRPr="005A1CAE">
        <w:rPr>
          <w:noProof/>
        </w:rPr>
        <w:t>spo</w:t>
      </w:r>
      <w:r w:rsidRPr="005A1CAE">
        <w:rPr>
          <w:noProof/>
        </w:rPr>
        <w:t>łeczne oraz na obciążenie administracyjne, zanim sformułowano wnioski dotyczące preferowanego wariantu. Warianty strategiczne porównano ze scenariuszem odniesienia, który odzwierciedla CBAM</w:t>
      </w:r>
      <w:r w:rsidR="005A1CAE" w:rsidRPr="005A1CAE">
        <w:rPr>
          <w:noProof/>
        </w:rPr>
        <w:t xml:space="preserve"> w</w:t>
      </w:r>
      <w:r w:rsidR="005A1CAE">
        <w:rPr>
          <w:noProof/>
        </w:rPr>
        <w:t> </w:t>
      </w:r>
      <w:r w:rsidR="005A1CAE" w:rsidRPr="005A1CAE">
        <w:rPr>
          <w:noProof/>
        </w:rPr>
        <w:t>jeg</w:t>
      </w:r>
      <w:r w:rsidRPr="005A1CAE">
        <w:rPr>
          <w:noProof/>
        </w:rPr>
        <w:t>o obecnym kształcie legislacyjnym. Scenariusz odniesienia obejmuje również wdrożenie unijnego pakietu środków</w:t>
      </w:r>
      <w:r w:rsidR="005A1CAE" w:rsidRPr="005A1CAE">
        <w:rPr>
          <w:noProof/>
        </w:rPr>
        <w:t xml:space="preserve"> w</w:t>
      </w:r>
      <w:r w:rsidR="005A1CAE">
        <w:rPr>
          <w:noProof/>
        </w:rPr>
        <w:t> </w:t>
      </w:r>
      <w:r w:rsidR="005A1CAE" w:rsidRPr="005A1CAE">
        <w:rPr>
          <w:noProof/>
        </w:rPr>
        <w:t>dzi</w:t>
      </w:r>
      <w:r w:rsidRPr="005A1CAE">
        <w:rPr>
          <w:noProof/>
        </w:rPr>
        <w:t>edzinie klimatu „Gotowi na</w:t>
      </w:r>
      <w:r w:rsidR="005A1CAE" w:rsidRPr="005A1CAE">
        <w:rPr>
          <w:noProof/>
        </w:rPr>
        <w:t> </w:t>
      </w:r>
      <w:r w:rsidRPr="005A1CAE">
        <w:rPr>
          <w:noProof/>
        </w:rPr>
        <w:t>55”,</w:t>
      </w:r>
      <w:r w:rsidR="005A1CAE" w:rsidRPr="005A1CAE">
        <w:rPr>
          <w:noProof/>
        </w:rPr>
        <w:t xml:space="preserve"> w</w:t>
      </w:r>
      <w:r w:rsidR="005A1CAE">
        <w:rPr>
          <w:noProof/>
        </w:rPr>
        <w:t> </w:t>
      </w:r>
      <w:r w:rsidR="005A1CAE" w:rsidRPr="005A1CAE">
        <w:rPr>
          <w:noProof/>
        </w:rPr>
        <w:t>tym</w:t>
      </w:r>
      <w:r w:rsidRPr="005A1CAE">
        <w:rPr>
          <w:noProof/>
        </w:rPr>
        <w:t xml:space="preserve"> stopniowe wycofywanie bezpłatnych uprawnień</w:t>
      </w:r>
      <w:r w:rsidR="005A1CAE" w:rsidRPr="005A1CAE">
        <w:rPr>
          <w:noProof/>
        </w:rPr>
        <w:t xml:space="preserve"> w</w:t>
      </w:r>
      <w:r w:rsidR="005A1CAE">
        <w:rPr>
          <w:noProof/>
        </w:rPr>
        <w:t> </w:t>
      </w:r>
      <w:r w:rsidR="005A1CAE" w:rsidRPr="005A1CAE">
        <w:rPr>
          <w:noProof/>
        </w:rPr>
        <w:t>ram</w:t>
      </w:r>
      <w:r w:rsidRPr="005A1CAE">
        <w:rPr>
          <w:noProof/>
        </w:rPr>
        <w:t>ach EU ETS. Scenariusz odniesienia zakłada ponadto wdrożenie uproszczenia CBAM przyjętego</w:t>
      </w:r>
      <w:r w:rsidR="005A1CAE" w:rsidRPr="005A1CAE">
        <w:rPr>
          <w:noProof/>
        </w:rPr>
        <w:t xml:space="preserve"> w</w:t>
      </w:r>
      <w:r w:rsidR="005A1CAE">
        <w:rPr>
          <w:noProof/>
        </w:rPr>
        <w:t> </w:t>
      </w:r>
      <w:r w:rsidR="005A1CAE" w:rsidRPr="005A1CAE">
        <w:rPr>
          <w:noProof/>
        </w:rPr>
        <w:t>paź</w:t>
      </w:r>
      <w:r w:rsidRPr="005A1CAE">
        <w:rPr>
          <w:noProof/>
        </w:rPr>
        <w:t>dzierniku 2025</w:t>
      </w:r>
      <w:r w:rsidR="005A1CAE" w:rsidRPr="005A1CAE">
        <w:rPr>
          <w:noProof/>
        </w:rPr>
        <w:t> </w:t>
      </w:r>
      <w:r w:rsidRPr="005A1CAE">
        <w:rPr>
          <w:noProof/>
        </w:rPr>
        <w:t>r.,</w:t>
      </w:r>
      <w:r w:rsidR="005A1CAE" w:rsidRPr="005A1CAE">
        <w:rPr>
          <w:noProof/>
        </w:rPr>
        <w:t xml:space="preserve"> w</w:t>
      </w:r>
      <w:r w:rsidR="005A1CAE">
        <w:rPr>
          <w:noProof/>
        </w:rPr>
        <w:t> </w:t>
      </w:r>
      <w:r w:rsidR="005A1CAE" w:rsidRPr="005A1CAE">
        <w:rPr>
          <w:noProof/>
        </w:rPr>
        <w:t>tym</w:t>
      </w:r>
      <w:r w:rsidRPr="005A1CAE">
        <w:rPr>
          <w:noProof/>
        </w:rPr>
        <w:t xml:space="preserve"> próg masy </w:t>
      </w:r>
      <w:r w:rsidRPr="005A1CAE">
        <w:rPr>
          <w:i/>
          <w:iCs/>
          <w:noProof/>
        </w:rPr>
        <w:t>de minimis</w:t>
      </w:r>
      <w:r w:rsidRPr="005A1CAE">
        <w:rPr>
          <w:noProof/>
        </w:rPr>
        <w:t xml:space="preserve"> wynoszący 50 ton towarów objętych CBAM rocznie na importera (dla czterech kategorii towarów objętych CBAM).</w:t>
      </w:r>
    </w:p>
    <w:p w14:paraId="6F390BAD" w14:textId="7B04BAAA" w:rsidR="00BE3E96" w:rsidRPr="005A1CAE" w:rsidRDefault="00BE3E96" w:rsidP="00BE3E96">
      <w:pPr>
        <w:pBdr>
          <w:top w:val="nil"/>
          <w:left w:val="nil"/>
          <w:bottom w:val="nil"/>
          <w:right w:val="nil"/>
          <w:between w:val="nil"/>
          <w:bar w:val="nil"/>
        </w:pBdr>
        <w:spacing w:before="0" w:after="240"/>
        <w:rPr>
          <w:noProof/>
        </w:rPr>
      </w:pPr>
      <w:r w:rsidRPr="005A1CAE">
        <w:rPr>
          <w:noProof/>
        </w:rPr>
        <w:t>Jeżeli chodzi</w:t>
      </w:r>
      <w:r w:rsidR="005A1CAE" w:rsidRPr="005A1CAE">
        <w:rPr>
          <w:noProof/>
        </w:rPr>
        <w:t xml:space="preserve"> o</w:t>
      </w:r>
      <w:r w:rsidR="005A1CAE">
        <w:rPr>
          <w:noProof/>
        </w:rPr>
        <w:t> </w:t>
      </w:r>
      <w:r w:rsidR="005A1CAE" w:rsidRPr="005A1CAE">
        <w:rPr>
          <w:noProof/>
        </w:rPr>
        <w:t>ewe</w:t>
      </w:r>
      <w:r w:rsidRPr="005A1CAE">
        <w:rPr>
          <w:noProof/>
        </w:rPr>
        <w:t>ntualne rozszerzenie zakresu na produkty znajdujące się na niższym szczeblu</w:t>
      </w:r>
      <w:r w:rsidR="005A1CAE" w:rsidRPr="005A1CAE">
        <w:rPr>
          <w:noProof/>
        </w:rPr>
        <w:t xml:space="preserve"> w</w:t>
      </w:r>
      <w:r w:rsidR="005A1CAE">
        <w:rPr>
          <w:noProof/>
        </w:rPr>
        <w:t> </w:t>
      </w:r>
      <w:r w:rsidR="005A1CAE" w:rsidRPr="005A1CAE">
        <w:rPr>
          <w:noProof/>
        </w:rPr>
        <w:t>sto</w:t>
      </w:r>
      <w:r w:rsidRPr="005A1CAE">
        <w:rPr>
          <w:noProof/>
        </w:rPr>
        <w:t>sunku do materiałów podstawowych ze stali</w:t>
      </w:r>
      <w:r w:rsidR="005A1CAE" w:rsidRPr="005A1CAE">
        <w:rPr>
          <w:noProof/>
        </w:rPr>
        <w:t xml:space="preserve"> i</w:t>
      </w:r>
      <w:r w:rsidR="005A1CAE">
        <w:rPr>
          <w:noProof/>
        </w:rPr>
        <w:t> </w:t>
      </w:r>
      <w:r w:rsidR="005A1CAE" w:rsidRPr="005A1CAE">
        <w:rPr>
          <w:noProof/>
        </w:rPr>
        <w:t>alu</w:t>
      </w:r>
      <w:r w:rsidRPr="005A1CAE">
        <w:rPr>
          <w:noProof/>
        </w:rPr>
        <w:t>minium, ryzyko ucieczki emisji</w:t>
      </w:r>
      <w:r w:rsidR="005A1CAE" w:rsidRPr="005A1CAE">
        <w:rPr>
          <w:noProof/>
        </w:rPr>
        <w:t xml:space="preserve"> w</w:t>
      </w:r>
      <w:r w:rsidR="005A1CAE">
        <w:rPr>
          <w:noProof/>
        </w:rPr>
        <w:t> </w:t>
      </w:r>
      <w:r w:rsidR="005A1CAE" w:rsidRPr="005A1CAE">
        <w:rPr>
          <w:noProof/>
        </w:rPr>
        <w:t>prz</w:t>
      </w:r>
      <w:r w:rsidRPr="005A1CAE">
        <w:rPr>
          <w:noProof/>
        </w:rPr>
        <w:t>ypadku tych produktów oceniono na podstawie dwóch głównych kryteriów. Po pierwsze, jako wskaźnik zastępczy dla ich zbywalności przyjęto intensywność handlu</w:t>
      </w:r>
      <w:r w:rsidRPr="005A1CAE">
        <w:rPr>
          <w:rStyle w:val="Odwoanieprzypisudolnego"/>
          <w:noProof/>
        </w:rPr>
        <w:footnoteReference w:id="13"/>
      </w:r>
      <w:r w:rsidRPr="005A1CAE">
        <w:rPr>
          <w:noProof/>
        </w:rPr>
        <w:t xml:space="preserve"> towarami. Towary, które łatwiej jest wprowadzić do obrotu, są bardziej narażone na ryzyko ucieczki emisji</w:t>
      </w:r>
      <w:r w:rsidR="005A1CAE" w:rsidRPr="005A1CAE">
        <w:rPr>
          <w:noProof/>
        </w:rPr>
        <w:t xml:space="preserve"> w</w:t>
      </w:r>
      <w:r w:rsidR="005A1CAE">
        <w:rPr>
          <w:noProof/>
        </w:rPr>
        <w:t> </w:t>
      </w:r>
      <w:r w:rsidR="005A1CAE" w:rsidRPr="005A1CAE">
        <w:rPr>
          <w:noProof/>
        </w:rPr>
        <w:t>wyn</w:t>
      </w:r>
      <w:r w:rsidRPr="005A1CAE">
        <w:rPr>
          <w:noProof/>
        </w:rPr>
        <w:t>iku przesunięcia produkcji lub zastąpienia przez przywóz</w:t>
      </w:r>
      <w:r w:rsidR="005A1CAE" w:rsidRPr="005A1CAE">
        <w:rPr>
          <w:noProof/>
        </w:rPr>
        <w:t xml:space="preserve"> z</w:t>
      </w:r>
      <w:r w:rsidR="005A1CAE">
        <w:rPr>
          <w:noProof/>
        </w:rPr>
        <w:t> </w:t>
      </w:r>
      <w:r w:rsidR="005A1CAE" w:rsidRPr="005A1CAE">
        <w:rPr>
          <w:noProof/>
        </w:rPr>
        <w:t>pań</w:t>
      </w:r>
      <w:r w:rsidRPr="005A1CAE">
        <w:rPr>
          <w:noProof/>
        </w:rPr>
        <w:t>stw trzecich. Po drugie, wskaźnik wzrostu kosztów odzwierciedla,</w:t>
      </w:r>
      <w:r w:rsidR="005A1CAE" w:rsidRPr="005A1CAE">
        <w:rPr>
          <w:noProof/>
        </w:rPr>
        <w:t xml:space="preserve"> w</w:t>
      </w:r>
      <w:r w:rsidR="005A1CAE">
        <w:rPr>
          <w:noProof/>
        </w:rPr>
        <w:t> </w:t>
      </w:r>
      <w:r w:rsidR="005A1CAE" w:rsidRPr="005A1CAE">
        <w:rPr>
          <w:noProof/>
        </w:rPr>
        <w:t>jak</w:t>
      </w:r>
      <w:r w:rsidRPr="005A1CAE">
        <w:rPr>
          <w:noProof/>
        </w:rPr>
        <w:t>im stopniu koszt emisji dwutlenku węgla związany</w:t>
      </w:r>
      <w:r w:rsidR="005A1CAE" w:rsidRPr="005A1CAE">
        <w:rPr>
          <w:noProof/>
        </w:rPr>
        <w:t xml:space="preserve"> z</w:t>
      </w:r>
      <w:r w:rsidR="005A1CAE">
        <w:rPr>
          <w:noProof/>
        </w:rPr>
        <w:t> </w:t>
      </w:r>
      <w:r w:rsidR="005A1CAE" w:rsidRPr="005A1CAE">
        <w:rPr>
          <w:noProof/>
        </w:rPr>
        <w:t>nak</w:t>
      </w:r>
      <w:r w:rsidRPr="005A1CAE">
        <w:rPr>
          <w:noProof/>
        </w:rPr>
        <w:t>ładami CBAM wpływa na ogólne koszty towarów niższego szczebla</w:t>
      </w:r>
      <w:r w:rsidR="005A1CAE" w:rsidRPr="005A1CAE">
        <w:rPr>
          <w:noProof/>
        </w:rPr>
        <w:t xml:space="preserve"> w</w:t>
      </w:r>
      <w:r w:rsidR="005A1CAE">
        <w:rPr>
          <w:noProof/>
        </w:rPr>
        <w:t> </w:t>
      </w:r>
      <w:r w:rsidR="005A1CAE" w:rsidRPr="005A1CAE">
        <w:rPr>
          <w:noProof/>
        </w:rPr>
        <w:t>por</w:t>
      </w:r>
      <w:r w:rsidRPr="005A1CAE">
        <w:rPr>
          <w:noProof/>
        </w:rPr>
        <w:t>ównaniu</w:t>
      </w:r>
      <w:r w:rsidR="005A1CAE" w:rsidRPr="005A1CAE">
        <w:rPr>
          <w:noProof/>
        </w:rPr>
        <w:t xml:space="preserve"> z</w:t>
      </w:r>
      <w:r w:rsidR="005A1CAE">
        <w:rPr>
          <w:noProof/>
        </w:rPr>
        <w:t> </w:t>
      </w:r>
      <w:r w:rsidR="005A1CAE" w:rsidRPr="005A1CAE">
        <w:rPr>
          <w:noProof/>
        </w:rPr>
        <w:t>ich</w:t>
      </w:r>
      <w:r w:rsidRPr="005A1CAE">
        <w:rPr>
          <w:noProof/>
        </w:rPr>
        <w:t xml:space="preserve"> ogólną wartością dodaną. Ponadto, aby zapewnić uwzględnienie wyłącznie produktów</w:t>
      </w:r>
      <w:r w:rsidR="005A1CAE" w:rsidRPr="005A1CAE">
        <w:rPr>
          <w:noProof/>
        </w:rPr>
        <w:t xml:space="preserve"> o</w:t>
      </w:r>
      <w:r w:rsidR="005A1CAE">
        <w:rPr>
          <w:noProof/>
        </w:rPr>
        <w:t> </w:t>
      </w:r>
      <w:r w:rsidR="005A1CAE" w:rsidRPr="005A1CAE">
        <w:rPr>
          <w:noProof/>
        </w:rPr>
        <w:t>naj</w:t>
      </w:r>
      <w:r w:rsidRPr="005A1CAE">
        <w:rPr>
          <w:noProof/>
        </w:rPr>
        <w:t>większym znaczeniu dla klimatu,</w:t>
      </w:r>
      <w:r w:rsidR="005A1CAE" w:rsidRPr="005A1CAE">
        <w:rPr>
          <w:noProof/>
        </w:rPr>
        <w:t xml:space="preserve"> z</w:t>
      </w:r>
      <w:r w:rsidR="005A1CAE">
        <w:rPr>
          <w:noProof/>
        </w:rPr>
        <w:t> </w:t>
      </w:r>
      <w:r w:rsidR="005A1CAE" w:rsidRPr="005A1CAE">
        <w:rPr>
          <w:noProof/>
        </w:rPr>
        <w:t>wyb</w:t>
      </w:r>
      <w:r w:rsidRPr="005A1CAE">
        <w:rPr>
          <w:noProof/>
        </w:rPr>
        <w:t>oru wyłączono towary poniżej określonego dolnego progu całkowitego poziomu emisji wbudowanych na poziomie sektorowym. Zastosowanie różnych progów</w:t>
      </w:r>
      <w:r w:rsidR="005A1CAE" w:rsidRPr="005A1CAE">
        <w:rPr>
          <w:noProof/>
        </w:rPr>
        <w:t xml:space="preserve"> w</w:t>
      </w:r>
      <w:r w:rsidR="005A1CAE">
        <w:rPr>
          <w:noProof/>
        </w:rPr>
        <w:t> </w:t>
      </w:r>
      <w:r w:rsidR="005A1CAE" w:rsidRPr="005A1CAE">
        <w:rPr>
          <w:noProof/>
        </w:rPr>
        <w:t>odn</w:t>
      </w:r>
      <w:r w:rsidRPr="005A1CAE">
        <w:rPr>
          <w:noProof/>
        </w:rPr>
        <w:t>iesieniu do tych kryteriów zaowocowało trzema reprezentatywnymi wariantami rozszerzenia na rynki niższego szczebla. Wariant 1 obejmuje ukierunkowane rozszerzenie dotyczące wyłącznie towarów</w:t>
      </w:r>
      <w:r w:rsidR="005A1CAE" w:rsidRPr="005A1CAE">
        <w:rPr>
          <w:noProof/>
        </w:rPr>
        <w:t xml:space="preserve"> o</w:t>
      </w:r>
      <w:r w:rsidR="005A1CAE">
        <w:rPr>
          <w:noProof/>
        </w:rPr>
        <w:t> </w:t>
      </w:r>
      <w:r w:rsidR="005A1CAE" w:rsidRPr="005A1CAE">
        <w:rPr>
          <w:noProof/>
        </w:rPr>
        <w:t>naj</w:t>
      </w:r>
      <w:r w:rsidRPr="005A1CAE">
        <w:rPr>
          <w:noProof/>
        </w:rPr>
        <w:t>wyższym ryzyku ucieczki emisji</w:t>
      </w:r>
      <w:r w:rsidR="005A1CAE" w:rsidRPr="005A1CAE">
        <w:rPr>
          <w:noProof/>
        </w:rPr>
        <w:t xml:space="preserve"> i</w:t>
      </w:r>
      <w:r w:rsidR="005A1CAE">
        <w:rPr>
          <w:noProof/>
        </w:rPr>
        <w:t> </w:t>
      </w:r>
      <w:r w:rsidR="005A1CAE" w:rsidRPr="005A1CAE">
        <w:rPr>
          <w:noProof/>
        </w:rPr>
        <w:t>int</w:t>
      </w:r>
      <w:r w:rsidRPr="005A1CAE">
        <w:rPr>
          <w:noProof/>
        </w:rPr>
        <w:t>ensywności emisji. Wariant 2 obejmuje zrównoważone rozszerzenie koncentrujące się na narażonych na ryzyko towarach niższego szczebla</w:t>
      </w:r>
      <w:r w:rsidR="005A1CAE" w:rsidRPr="005A1CAE">
        <w:rPr>
          <w:noProof/>
        </w:rPr>
        <w:t xml:space="preserve"> o</w:t>
      </w:r>
      <w:r w:rsidR="005A1CAE">
        <w:rPr>
          <w:noProof/>
        </w:rPr>
        <w:t> </w:t>
      </w:r>
      <w:r w:rsidR="005A1CAE" w:rsidRPr="005A1CAE">
        <w:rPr>
          <w:noProof/>
        </w:rPr>
        <w:t>wys</w:t>
      </w:r>
      <w:r w:rsidRPr="005A1CAE">
        <w:rPr>
          <w:noProof/>
        </w:rPr>
        <w:t xml:space="preserve">okiej intensywności emisji. Wariant 3 obejmuje szerokie rozszerzenie na wszystkie towary niższego szczebla narażone na ryzyko. </w:t>
      </w:r>
    </w:p>
    <w:p w14:paraId="7A81D81E" w14:textId="7FA8316B" w:rsidR="00BE3E96" w:rsidRPr="005A1CAE" w:rsidRDefault="00BE3E96" w:rsidP="00BE3E96">
      <w:pPr>
        <w:pBdr>
          <w:top w:val="nil"/>
          <w:left w:val="nil"/>
          <w:bottom w:val="nil"/>
          <w:right w:val="nil"/>
          <w:between w:val="nil"/>
          <w:bar w:val="nil"/>
        </w:pBdr>
        <w:spacing w:before="0" w:after="240"/>
        <w:rPr>
          <w:noProof/>
        </w:rPr>
      </w:pPr>
      <w:r w:rsidRPr="005A1CAE">
        <w:rPr>
          <w:noProof/>
        </w:rPr>
        <w:t>W ocenie skutków stwierdzono, że wariant 2 jest wariantem preferowanym, biorąc pod uwagę cel, jakim jest maksymalizacja korzyści dla środowiska przy jednoczesnym ograniczeniu kosztów pod względem dodatkowej złożoności</w:t>
      </w:r>
      <w:r w:rsidR="005A1CAE" w:rsidRPr="005A1CAE">
        <w:rPr>
          <w:noProof/>
        </w:rPr>
        <w:t xml:space="preserve"> i</w:t>
      </w:r>
      <w:r w:rsidR="005A1CAE">
        <w:rPr>
          <w:noProof/>
        </w:rPr>
        <w:t> </w:t>
      </w:r>
      <w:r w:rsidR="005A1CAE" w:rsidRPr="005A1CAE">
        <w:rPr>
          <w:noProof/>
        </w:rPr>
        <w:t>obc</w:t>
      </w:r>
      <w:r w:rsidRPr="005A1CAE">
        <w:rPr>
          <w:noProof/>
        </w:rPr>
        <w:t>iążenia administracyjnego</w:t>
      </w:r>
      <w:r w:rsidR="005A1CAE" w:rsidRPr="005A1CAE">
        <w:rPr>
          <w:noProof/>
        </w:rPr>
        <w:t>. W</w:t>
      </w:r>
      <w:r w:rsidR="005A1CAE">
        <w:rPr>
          <w:noProof/>
        </w:rPr>
        <w:t> </w:t>
      </w:r>
      <w:r w:rsidR="005A1CAE" w:rsidRPr="005A1CAE">
        <w:rPr>
          <w:noProof/>
        </w:rPr>
        <w:t>ram</w:t>
      </w:r>
      <w:r w:rsidRPr="005A1CAE">
        <w:rPr>
          <w:noProof/>
        </w:rPr>
        <w:t>ach tego wariantu korzyści dla środowiska pod względem objętych nim emisji, redukcji ucieczki emisji</w:t>
      </w:r>
      <w:r w:rsidR="005A1CAE" w:rsidRPr="005A1CAE">
        <w:rPr>
          <w:noProof/>
        </w:rPr>
        <w:t xml:space="preserve"> i</w:t>
      </w:r>
      <w:r w:rsidR="005A1CAE">
        <w:rPr>
          <w:noProof/>
        </w:rPr>
        <w:t> </w:t>
      </w:r>
      <w:r w:rsidR="005A1CAE" w:rsidRPr="005A1CAE">
        <w:rPr>
          <w:noProof/>
        </w:rPr>
        <w:t>sza</w:t>
      </w:r>
      <w:r w:rsidRPr="005A1CAE">
        <w:rPr>
          <w:noProof/>
        </w:rPr>
        <w:t>cowanej redukcji emisji znacznie przewyższają korzyści wynikające</w:t>
      </w:r>
      <w:r w:rsidR="005A1CAE" w:rsidRPr="005A1CAE">
        <w:rPr>
          <w:noProof/>
        </w:rPr>
        <w:t xml:space="preserve"> z</w:t>
      </w:r>
      <w:r w:rsidR="005A1CAE">
        <w:rPr>
          <w:noProof/>
        </w:rPr>
        <w:t> </w:t>
      </w:r>
      <w:r w:rsidR="005A1CAE" w:rsidRPr="005A1CAE">
        <w:rPr>
          <w:noProof/>
        </w:rPr>
        <w:t>war</w:t>
      </w:r>
      <w:r w:rsidRPr="005A1CAE">
        <w:rPr>
          <w:noProof/>
        </w:rPr>
        <w:t>iantu 1. Jednocześnie korzyści dla środowiska wynikające</w:t>
      </w:r>
      <w:r w:rsidR="005A1CAE" w:rsidRPr="005A1CAE">
        <w:rPr>
          <w:noProof/>
        </w:rPr>
        <w:t xml:space="preserve"> z</w:t>
      </w:r>
      <w:r w:rsidR="005A1CAE">
        <w:rPr>
          <w:noProof/>
        </w:rPr>
        <w:t> </w:t>
      </w:r>
      <w:r w:rsidR="005A1CAE" w:rsidRPr="005A1CAE">
        <w:rPr>
          <w:noProof/>
        </w:rPr>
        <w:t>war</w:t>
      </w:r>
      <w:r w:rsidRPr="005A1CAE">
        <w:rPr>
          <w:noProof/>
        </w:rPr>
        <w:t>iantu 2 są podobne do korzyści wynikających</w:t>
      </w:r>
      <w:r w:rsidR="005A1CAE" w:rsidRPr="005A1CAE">
        <w:rPr>
          <w:noProof/>
        </w:rPr>
        <w:t xml:space="preserve"> z</w:t>
      </w:r>
      <w:r w:rsidR="005A1CAE">
        <w:rPr>
          <w:noProof/>
        </w:rPr>
        <w:t> </w:t>
      </w:r>
      <w:r w:rsidR="005A1CAE" w:rsidRPr="005A1CAE">
        <w:rPr>
          <w:noProof/>
        </w:rPr>
        <w:t>war</w:t>
      </w:r>
      <w:r w:rsidRPr="005A1CAE">
        <w:rPr>
          <w:noProof/>
        </w:rPr>
        <w:t>iantu 3,</w:t>
      </w:r>
      <w:r w:rsidR="005A1CAE" w:rsidRPr="005A1CAE">
        <w:rPr>
          <w:noProof/>
        </w:rPr>
        <w:t xml:space="preserve"> a</w:t>
      </w:r>
      <w:r w:rsidR="005A1CAE">
        <w:rPr>
          <w:noProof/>
        </w:rPr>
        <w:t> </w:t>
      </w:r>
      <w:r w:rsidR="005A1CAE" w:rsidRPr="005A1CAE">
        <w:rPr>
          <w:noProof/>
        </w:rPr>
        <w:t>prz</w:t>
      </w:r>
      <w:r w:rsidRPr="005A1CAE">
        <w:rPr>
          <w:noProof/>
        </w:rPr>
        <w:t>ewidywane koszty są znacznie bardziej ograniczone</w:t>
      </w:r>
      <w:r w:rsidR="005A1CAE" w:rsidRPr="005A1CAE">
        <w:rPr>
          <w:noProof/>
        </w:rPr>
        <w:t>. W</w:t>
      </w:r>
      <w:r w:rsidR="005A1CAE">
        <w:rPr>
          <w:noProof/>
        </w:rPr>
        <w:t> </w:t>
      </w:r>
      <w:r w:rsidR="005A1CAE" w:rsidRPr="005A1CAE">
        <w:rPr>
          <w:noProof/>
        </w:rPr>
        <w:t>por</w:t>
      </w:r>
      <w:r w:rsidRPr="005A1CAE">
        <w:rPr>
          <w:noProof/>
        </w:rPr>
        <w:t>ównaniu</w:t>
      </w:r>
      <w:r w:rsidR="005A1CAE" w:rsidRPr="005A1CAE">
        <w:rPr>
          <w:noProof/>
        </w:rPr>
        <w:t xml:space="preserve"> z</w:t>
      </w:r>
      <w:r w:rsidR="005A1CAE">
        <w:rPr>
          <w:noProof/>
        </w:rPr>
        <w:t> </w:t>
      </w:r>
      <w:r w:rsidR="005A1CAE" w:rsidRPr="005A1CAE">
        <w:rPr>
          <w:noProof/>
        </w:rPr>
        <w:t>war</w:t>
      </w:r>
      <w:r w:rsidRPr="005A1CAE">
        <w:rPr>
          <w:noProof/>
        </w:rPr>
        <w:t>iantem 3 wariant 2 ma wpływ na mniejszą liczbę importerów, obejmuje mniej nowych kodów CN</w:t>
      </w:r>
      <w:r w:rsidR="005A1CAE" w:rsidRPr="005A1CAE">
        <w:rPr>
          <w:noProof/>
        </w:rPr>
        <w:t xml:space="preserve"> i</w:t>
      </w:r>
      <w:r w:rsidR="005A1CAE">
        <w:rPr>
          <w:noProof/>
        </w:rPr>
        <w:t> </w:t>
      </w:r>
      <w:r w:rsidR="005A1CAE" w:rsidRPr="005A1CAE">
        <w:rPr>
          <w:noProof/>
        </w:rPr>
        <w:t>zas</w:t>
      </w:r>
      <w:r w:rsidRPr="005A1CAE">
        <w:rPr>
          <w:noProof/>
        </w:rPr>
        <w:t>adniczo dotyczy towarów</w:t>
      </w:r>
      <w:r w:rsidR="005A1CAE" w:rsidRPr="005A1CAE">
        <w:rPr>
          <w:noProof/>
        </w:rPr>
        <w:t xml:space="preserve"> o</w:t>
      </w:r>
      <w:r w:rsidR="005A1CAE">
        <w:rPr>
          <w:noProof/>
        </w:rPr>
        <w:t> </w:t>
      </w:r>
      <w:r w:rsidR="005A1CAE" w:rsidRPr="005A1CAE">
        <w:rPr>
          <w:noProof/>
        </w:rPr>
        <w:t>mni</w:t>
      </w:r>
      <w:r w:rsidRPr="005A1CAE">
        <w:rPr>
          <w:noProof/>
        </w:rPr>
        <w:t>ejszej złożoności przy obliczaniu emisji wbudowanych.</w:t>
      </w:r>
    </w:p>
    <w:p w14:paraId="624CE2DE" w14:textId="7D6580E2" w:rsidR="00BE3E96" w:rsidRPr="005A1CAE" w:rsidRDefault="00BE3E96" w:rsidP="00BE3E96">
      <w:pPr>
        <w:pBdr>
          <w:top w:val="nil"/>
          <w:left w:val="nil"/>
          <w:bottom w:val="nil"/>
          <w:right w:val="nil"/>
          <w:between w:val="nil"/>
          <w:bar w:val="nil"/>
        </w:pBdr>
        <w:spacing w:before="0" w:after="240"/>
        <w:rPr>
          <w:rFonts w:eastAsia="Times New Roman"/>
          <w:noProof/>
        </w:rPr>
      </w:pPr>
      <w:r w:rsidRPr="005A1CAE">
        <w:rPr>
          <w:noProof/>
        </w:rPr>
        <w:t>Aby dalej przeciwdziałać ryzyku ucieczki emisji rozważono dwa główne warianty dotyczące złomu. Wariant 1 przewiduje włączenie złomu przedkonsumenckiego do zakresu CBAM jako prekursora CBAM. Wariant 2 obejmuje zarówno złom przedkonsumencki, jak</w:t>
      </w:r>
      <w:r w:rsidR="005A1CAE" w:rsidRPr="005A1CAE">
        <w:rPr>
          <w:noProof/>
        </w:rPr>
        <w:t xml:space="preserve"> i</w:t>
      </w:r>
      <w:r w:rsidR="005A1CAE">
        <w:rPr>
          <w:noProof/>
        </w:rPr>
        <w:t> </w:t>
      </w:r>
      <w:r w:rsidR="005A1CAE" w:rsidRPr="005A1CAE">
        <w:rPr>
          <w:noProof/>
        </w:rPr>
        <w:t>pok</w:t>
      </w:r>
      <w:r w:rsidRPr="005A1CAE">
        <w:rPr>
          <w:noProof/>
        </w:rPr>
        <w:t>onsumencki jako prekursory CBAM</w:t>
      </w:r>
      <w:r w:rsidR="005A1CAE" w:rsidRPr="005A1CAE">
        <w:rPr>
          <w:noProof/>
        </w:rPr>
        <w:t>. W</w:t>
      </w:r>
      <w:r w:rsidR="005A1CAE">
        <w:rPr>
          <w:noProof/>
        </w:rPr>
        <w:t> </w:t>
      </w:r>
      <w:r w:rsidR="005A1CAE" w:rsidRPr="005A1CAE">
        <w:rPr>
          <w:noProof/>
        </w:rPr>
        <w:t>oce</w:t>
      </w:r>
      <w:r w:rsidRPr="005A1CAE">
        <w:rPr>
          <w:noProof/>
        </w:rPr>
        <w:t>nie skutków stwierdzono, że wariant 1 odzwierciedla najlepsze podejście ogólne, ukierunkowane wyłącznie na obszary wysokiego ryzyka, co pozwala zminimalizować zbędne obciążenie administracyjne</w:t>
      </w:r>
      <w:r w:rsidR="005A1CAE" w:rsidRPr="005A1CAE">
        <w:rPr>
          <w:noProof/>
        </w:rPr>
        <w:t>. W</w:t>
      </w:r>
      <w:r w:rsidR="005A1CAE">
        <w:rPr>
          <w:noProof/>
        </w:rPr>
        <w:t> </w:t>
      </w:r>
      <w:r w:rsidR="005A1CAE" w:rsidRPr="005A1CAE">
        <w:rPr>
          <w:noProof/>
        </w:rPr>
        <w:t>szc</w:t>
      </w:r>
      <w:r w:rsidRPr="005A1CAE">
        <w:rPr>
          <w:noProof/>
        </w:rPr>
        <w:t xml:space="preserve">zególności </w:t>
      </w:r>
      <w:r w:rsidRPr="005A1CAE">
        <w:rPr>
          <w:noProof/>
        </w:rPr>
        <w:lastRenderedPageBreak/>
        <w:t>uznano, że włączenie złomu pokonsumenckiego jako prekursora CBAM, jak zaproponowano</w:t>
      </w:r>
      <w:r w:rsidR="005A1CAE" w:rsidRPr="005A1CAE">
        <w:rPr>
          <w:noProof/>
        </w:rPr>
        <w:t xml:space="preserve"> w</w:t>
      </w:r>
      <w:r w:rsidR="005A1CAE">
        <w:rPr>
          <w:noProof/>
        </w:rPr>
        <w:t> </w:t>
      </w:r>
      <w:r w:rsidR="005A1CAE" w:rsidRPr="005A1CAE">
        <w:rPr>
          <w:noProof/>
        </w:rPr>
        <w:t>war</w:t>
      </w:r>
      <w:r w:rsidRPr="005A1CAE">
        <w:rPr>
          <w:noProof/>
        </w:rPr>
        <w:t>iancie 2, mogłoby zniechęcić do gospodarki</w:t>
      </w:r>
      <w:r w:rsidR="005A1CAE" w:rsidRPr="005A1CAE">
        <w:rPr>
          <w:noProof/>
        </w:rPr>
        <w:t xml:space="preserve"> o</w:t>
      </w:r>
      <w:r w:rsidR="005A1CAE">
        <w:rPr>
          <w:noProof/>
        </w:rPr>
        <w:t> </w:t>
      </w:r>
      <w:r w:rsidR="005A1CAE" w:rsidRPr="005A1CAE">
        <w:rPr>
          <w:noProof/>
        </w:rPr>
        <w:t>obi</w:t>
      </w:r>
      <w:r w:rsidRPr="005A1CAE">
        <w:rPr>
          <w:noProof/>
        </w:rPr>
        <w:t>egu zamkniętym</w:t>
      </w:r>
      <w:r w:rsidR="005A1CAE" w:rsidRPr="005A1CAE">
        <w:rPr>
          <w:noProof/>
        </w:rPr>
        <w:t xml:space="preserve"> i</w:t>
      </w:r>
      <w:r w:rsidR="005A1CAE">
        <w:rPr>
          <w:noProof/>
        </w:rPr>
        <w:t> </w:t>
      </w:r>
      <w:r w:rsidR="005A1CAE" w:rsidRPr="005A1CAE">
        <w:rPr>
          <w:noProof/>
        </w:rPr>
        <w:t>nie</w:t>
      </w:r>
      <w:r w:rsidRPr="005A1CAE">
        <w:rPr>
          <w:noProof/>
        </w:rPr>
        <w:t xml:space="preserve"> byłoby spójne</w:t>
      </w:r>
      <w:r w:rsidR="005A1CAE" w:rsidRPr="005A1CAE">
        <w:rPr>
          <w:noProof/>
        </w:rPr>
        <w:t xml:space="preserve"> z</w:t>
      </w:r>
      <w:r w:rsidR="005A1CAE">
        <w:rPr>
          <w:noProof/>
        </w:rPr>
        <w:t> </w:t>
      </w:r>
      <w:r w:rsidR="005A1CAE" w:rsidRPr="005A1CAE">
        <w:rPr>
          <w:noProof/>
        </w:rPr>
        <w:t>kil</w:t>
      </w:r>
      <w:r w:rsidRPr="005A1CAE">
        <w:rPr>
          <w:noProof/>
        </w:rPr>
        <w:t>koma politykami UE</w:t>
      </w:r>
      <w:r w:rsidR="005A1CAE" w:rsidRPr="005A1CAE">
        <w:rPr>
          <w:noProof/>
        </w:rPr>
        <w:t xml:space="preserve"> w</w:t>
      </w:r>
      <w:r w:rsidR="005A1CAE">
        <w:rPr>
          <w:noProof/>
        </w:rPr>
        <w:t> </w:t>
      </w:r>
      <w:r w:rsidR="005A1CAE" w:rsidRPr="005A1CAE">
        <w:rPr>
          <w:noProof/>
        </w:rPr>
        <w:t>tej</w:t>
      </w:r>
      <w:r w:rsidRPr="005A1CAE">
        <w:rPr>
          <w:noProof/>
        </w:rPr>
        <w:t xml:space="preserve"> dziedzinie.</w:t>
      </w:r>
    </w:p>
    <w:p w14:paraId="3AA8551C" w14:textId="0611F04A" w:rsidR="00BE3E96" w:rsidRPr="005A1CAE" w:rsidRDefault="00BE3E96" w:rsidP="00BE3E96">
      <w:pPr>
        <w:rPr>
          <w:noProof/>
        </w:rPr>
      </w:pPr>
      <w:r w:rsidRPr="005A1CAE">
        <w:rPr>
          <w:noProof/>
        </w:rPr>
        <w:t>W odniesieniu do praktyk obchodzenia przepisów, które mogłyby podważyć cele CBAM, rozważono dwa warianty strategiczne, przy czym</w:t>
      </w:r>
      <w:r w:rsidR="005A1CAE" w:rsidRPr="005A1CAE">
        <w:rPr>
          <w:noProof/>
        </w:rPr>
        <w:t xml:space="preserve"> w</w:t>
      </w:r>
      <w:r w:rsidR="005A1CAE">
        <w:rPr>
          <w:noProof/>
        </w:rPr>
        <w:t> </w:t>
      </w:r>
      <w:r w:rsidR="005A1CAE" w:rsidRPr="005A1CAE">
        <w:rPr>
          <w:noProof/>
        </w:rPr>
        <w:t>obu</w:t>
      </w:r>
      <w:r w:rsidRPr="005A1CAE">
        <w:rPr>
          <w:noProof/>
        </w:rPr>
        <w:t xml:space="preserve"> przypadkach zastosowano wspólny zestaw środków.</w:t>
      </w:r>
    </w:p>
    <w:p w14:paraId="66D5F3AD" w14:textId="35009E8D" w:rsidR="721B85A8" w:rsidRPr="005A1CAE" w:rsidRDefault="721B85A8" w:rsidP="223760DF">
      <w:pPr>
        <w:spacing w:before="240" w:after="0"/>
        <w:rPr>
          <w:rFonts w:eastAsia="Times New Roman"/>
          <w:noProof/>
        </w:rPr>
      </w:pPr>
      <w:r w:rsidRPr="005A1CAE">
        <w:rPr>
          <w:noProof/>
        </w:rPr>
        <w:t>Wspólny zestaw środków polega, po pierwsze, na uprawnieniu Komisji do dalszego uszczegółowienia kodów CN</w:t>
      </w:r>
      <w:r w:rsidR="005A1CAE" w:rsidRPr="005A1CAE">
        <w:rPr>
          <w:noProof/>
        </w:rPr>
        <w:t xml:space="preserve"> w</w:t>
      </w:r>
      <w:r w:rsidR="005A1CAE">
        <w:rPr>
          <w:noProof/>
        </w:rPr>
        <w:t> </w:t>
      </w:r>
      <w:r w:rsidR="005A1CAE" w:rsidRPr="005A1CAE">
        <w:rPr>
          <w:noProof/>
        </w:rPr>
        <w:t>cel</w:t>
      </w:r>
      <w:r w:rsidRPr="005A1CAE">
        <w:rPr>
          <w:noProof/>
        </w:rPr>
        <w:t>u lepszego uwzględnienia szczególnego składu poszczególnych produktów objętych danym kodem CN objętym zakresem CBAM. Dzięki temu uprawnieniu możliwe będzie ujęcie odpowiednich składów produktów objętych tym samym kodem CN. Po drugie, uprawniono</w:t>
      </w:r>
      <w:r w:rsidR="005A1CAE" w:rsidRPr="005A1CAE">
        <w:rPr>
          <w:noProof/>
        </w:rPr>
        <w:t xml:space="preserve"> w</w:t>
      </w:r>
      <w:r w:rsidR="005A1CAE">
        <w:rPr>
          <w:noProof/>
        </w:rPr>
        <w:t> </w:t>
      </w:r>
      <w:r w:rsidR="005A1CAE" w:rsidRPr="005A1CAE">
        <w:rPr>
          <w:noProof/>
        </w:rPr>
        <w:t>nim</w:t>
      </w:r>
      <w:r w:rsidRPr="005A1CAE">
        <w:rPr>
          <w:noProof/>
        </w:rPr>
        <w:t xml:space="preserve"> Komisję do obwarowania wykorzystania rzeczywistych emisji</w:t>
      </w:r>
      <w:r w:rsidR="005A1CAE" w:rsidRPr="005A1CAE">
        <w:rPr>
          <w:noProof/>
        </w:rPr>
        <w:t xml:space="preserve"> w</w:t>
      </w:r>
      <w:r w:rsidR="005A1CAE">
        <w:rPr>
          <w:noProof/>
        </w:rPr>
        <w:t> </w:t>
      </w:r>
      <w:r w:rsidR="005A1CAE" w:rsidRPr="005A1CAE">
        <w:rPr>
          <w:noProof/>
        </w:rPr>
        <w:t>odn</w:t>
      </w:r>
      <w:r w:rsidRPr="005A1CAE">
        <w:rPr>
          <w:noProof/>
        </w:rPr>
        <w:t>iesieniu do niektórych kodów CN/instalacji</w:t>
      </w:r>
      <w:r w:rsidR="005A1CAE" w:rsidRPr="005A1CAE">
        <w:rPr>
          <w:noProof/>
        </w:rPr>
        <w:t xml:space="preserve"> w</w:t>
      </w:r>
      <w:r w:rsidR="005A1CAE">
        <w:rPr>
          <w:noProof/>
        </w:rPr>
        <w:t> </w:t>
      </w:r>
      <w:r w:rsidR="005A1CAE" w:rsidRPr="005A1CAE">
        <w:rPr>
          <w:noProof/>
        </w:rPr>
        <w:t>pań</w:t>
      </w:r>
      <w:r w:rsidRPr="005A1CAE">
        <w:rPr>
          <w:noProof/>
        </w:rPr>
        <w:t>stwach trzecich dodatkowymi warunkami</w:t>
      </w:r>
      <w:r w:rsidR="005A1CAE" w:rsidRPr="005A1CAE">
        <w:rPr>
          <w:noProof/>
        </w:rPr>
        <w:t xml:space="preserve"> w</w:t>
      </w:r>
      <w:r w:rsidR="005A1CAE">
        <w:rPr>
          <w:noProof/>
        </w:rPr>
        <w:t> </w:t>
      </w:r>
      <w:r w:rsidR="005A1CAE" w:rsidRPr="005A1CAE">
        <w:rPr>
          <w:noProof/>
        </w:rPr>
        <w:t>prz</w:t>
      </w:r>
      <w:r w:rsidRPr="005A1CAE">
        <w:rPr>
          <w:noProof/>
        </w:rPr>
        <w:t>ypadku wysokiego ryzyka wystąpienia nadużyć. Umożliwi to wprowadzenie dodatkowych warunków, które należy spełnić</w:t>
      </w:r>
      <w:r w:rsidR="005A1CAE" w:rsidRPr="005A1CAE">
        <w:rPr>
          <w:noProof/>
        </w:rPr>
        <w:t xml:space="preserve"> w</w:t>
      </w:r>
      <w:r w:rsidR="005A1CAE">
        <w:rPr>
          <w:noProof/>
        </w:rPr>
        <w:t> </w:t>
      </w:r>
      <w:r w:rsidR="005A1CAE" w:rsidRPr="005A1CAE">
        <w:rPr>
          <w:noProof/>
        </w:rPr>
        <w:t>odn</w:t>
      </w:r>
      <w:r w:rsidRPr="005A1CAE">
        <w:rPr>
          <w:noProof/>
        </w:rPr>
        <w:t>iesieniu do stosowania rzeczywistych zweryfikowanych wartości odnoszących się do konkretnych przypadków towarów,</w:t>
      </w:r>
      <w:r w:rsidR="005A1CAE" w:rsidRPr="005A1CAE">
        <w:rPr>
          <w:noProof/>
        </w:rPr>
        <w:t xml:space="preserve"> a</w:t>
      </w:r>
      <w:r w:rsidR="005A1CAE">
        <w:rPr>
          <w:noProof/>
        </w:rPr>
        <w:t> </w:t>
      </w:r>
      <w:r w:rsidR="005A1CAE" w:rsidRPr="005A1CAE">
        <w:rPr>
          <w:noProof/>
        </w:rPr>
        <w:t>tak</w:t>
      </w:r>
      <w:r w:rsidRPr="005A1CAE">
        <w:rPr>
          <w:noProof/>
        </w:rPr>
        <w:t>że dowodów wykazujących, że nie doszło do wystąpienia nadużyć. Te warunki</w:t>
      </w:r>
      <w:r w:rsidR="005A1CAE" w:rsidRPr="005A1CAE">
        <w:rPr>
          <w:noProof/>
        </w:rPr>
        <w:t xml:space="preserve"> i</w:t>
      </w:r>
      <w:r w:rsidR="005A1CAE">
        <w:rPr>
          <w:noProof/>
        </w:rPr>
        <w:t> </w:t>
      </w:r>
      <w:r w:rsidR="005A1CAE" w:rsidRPr="005A1CAE">
        <w:rPr>
          <w:noProof/>
        </w:rPr>
        <w:t>dow</w:t>
      </w:r>
      <w:r w:rsidRPr="005A1CAE">
        <w:rPr>
          <w:noProof/>
        </w:rPr>
        <w:t>ody należy opracować</w:t>
      </w:r>
      <w:r w:rsidR="005A1CAE" w:rsidRPr="005A1CAE">
        <w:rPr>
          <w:noProof/>
        </w:rPr>
        <w:t xml:space="preserve"> w</w:t>
      </w:r>
      <w:r w:rsidR="005A1CAE">
        <w:rPr>
          <w:noProof/>
        </w:rPr>
        <w:t> </w:t>
      </w:r>
      <w:r w:rsidR="005A1CAE" w:rsidRPr="005A1CAE">
        <w:rPr>
          <w:noProof/>
        </w:rPr>
        <w:t>spo</w:t>
      </w:r>
      <w:r w:rsidRPr="005A1CAE">
        <w:rPr>
          <w:noProof/>
        </w:rPr>
        <w:t>sób proporcjonalny</w:t>
      </w:r>
      <w:r w:rsidR="005A1CAE" w:rsidRPr="005A1CAE">
        <w:rPr>
          <w:noProof/>
        </w:rPr>
        <w:t xml:space="preserve"> i</w:t>
      </w:r>
      <w:r w:rsidR="005A1CAE">
        <w:rPr>
          <w:noProof/>
        </w:rPr>
        <w:t> </w:t>
      </w:r>
      <w:r w:rsidR="005A1CAE" w:rsidRPr="005A1CAE">
        <w:rPr>
          <w:noProof/>
        </w:rPr>
        <w:t>nie</w:t>
      </w:r>
      <w:r w:rsidRPr="005A1CAE">
        <w:rPr>
          <w:noProof/>
        </w:rPr>
        <w:t>powodujący niepotrzebnych obciążeń dla operatorów</w:t>
      </w:r>
      <w:r w:rsidR="005A1CAE" w:rsidRPr="005A1CAE">
        <w:rPr>
          <w:noProof/>
        </w:rPr>
        <w:t xml:space="preserve"> i</w:t>
      </w:r>
      <w:r w:rsidR="005A1CAE">
        <w:rPr>
          <w:noProof/>
        </w:rPr>
        <w:t> </w:t>
      </w:r>
      <w:r w:rsidR="005A1CAE" w:rsidRPr="005A1CAE">
        <w:rPr>
          <w:noProof/>
        </w:rPr>
        <w:t>imp</w:t>
      </w:r>
      <w:r w:rsidRPr="005A1CAE">
        <w:rPr>
          <w:noProof/>
        </w:rPr>
        <w:t>orterów.</w:t>
      </w:r>
    </w:p>
    <w:p w14:paraId="38F23241" w14:textId="64110E9C" w:rsidR="00656D3F" w:rsidRPr="005A1CAE" w:rsidRDefault="721B85A8">
      <w:pPr>
        <w:spacing w:before="240" w:after="0"/>
        <w:rPr>
          <w:noProof/>
        </w:rPr>
      </w:pPr>
      <w:r w:rsidRPr="005A1CAE">
        <w:rPr>
          <w:noProof/>
        </w:rPr>
        <w:t>W wariancie 1 proponuje się włączenie złomu przedkonsumenckiego aluminium</w:t>
      </w:r>
      <w:r w:rsidR="005A1CAE" w:rsidRPr="005A1CAE">
        <w:rPr>
          <w:noProof/>
        </w:rPr>
        <w:t xml:space="preserve"> i</w:t>
      </w:r>
      <w:r w:rsidR="005A1CAE">
        <w:rPr>
          <w:noProof/>
        </w:rPr>
        <w:t> </w:t>
      </w:r>
      <w:r w:rsidR="005A1CAE" w:rsidRPr="005A1CAE">
        <w:rPr>
          <w:noProof/>
        </w:rPr>
        <w:t>sta</w:t>
      </w:r>
      <w:r w:rsidRPr="005A1CAE">
        <w:rPr>
          <w:noProof/>
        </w:rPr>
        <w:t>li jako prekursora, umożliwiając tym samym przypisanie emisji do złomu jako prekursora. Uprawniono</w:t>
      </w:r>
      <w:r w:rsidR="005A1CAE" w:rsidRPr="005A1CAE">
        <w:rPr>
          <w:noProof/>
        </w:rPr>
        <w:t xml:space="preserve"> w</w:t>
      </w:r>
      <w:r w:rsidR="005A1CAE">
        <w:rPr>
          <w:noProof/>
        </w:rPr>
        <w:t> </w:t>
      </w:r>
      <w:r w:rsidR="005A1CAE" w:rsidRPr="005A1CAE">
        <w:rPr>
          <w:noProof/>
        </w:rPr>
        <w:t>nim</w:t>
      </w:r>
      <w:r w:rsidRPr="005A1CAE">
        <w:rPr>
          <w:noProof/>
        </w:rPr>
        <w:t xml:space="preserve"> również Komisję do zwrócenia się</w:t>
      </w:r>
      <w:r w:rsidR="005A1CAE" w:rsidRPr="005A1CAE">
        <w:rPr>
          <w:noProof/>
        </w:rPr>
        <w:t xml:space="preserve"> o</w:t>
      </w:r>
      <w:r w:rsidR="005A1CAE">
        <w:rPr>
          <w:noProof/>
        </w:rPr>
        <w:t> </w:t>
      </w:r>
      <w:r w:rsidR="005A1CAE" w:rsidRPr="005A1CAE">
        <w:rPr>
          <w:noProof/>
        </w:rPr>
        <w:t>dod</w:t>
      </w:r>
      <w:r w:rsidRPr="005A1CAE">
        <w:rPr>
          <w:noProof/>
        </w:rPr>
        <w:t>atkowe dowody potwierdzające miejsce produkcji,</w:t>
      </w:r>
      <w:r w:rsidR="005A1CAE" w:rsidRPr="005A1CAE">
        <w:rPr>
          <w:noProof/>
        </w:rPr>
        <w:t xml:space="preserve"> a</w:t>
      </w:r>
      <w:r w:rsidR="005A1CAE">
        <w:rPr>
          <w:noProof/>
        </w:rPr>
        <w:t> </w:t>
      </w:r>
      <w:r w:rsidR="005A1CAE" w:rsidRPr="005A1CAE">
        <w:rPr>
          <w:noProof/>
        </w:rPr>
        <w:t>tym</w:t>
      </w:r>
      <w:r w:rsidRPr="005A1CAE">
        <w:rPr>
          <w:noProof/>
        </w:rPr>
        <w:t xml:space="preserve"> samym do wyeliminowania ryzyka błędnej deklaracji intensywności emisji ze względu na brak identyfikowalności. Wymóg przedstawienia dodatkowych dowodów dotyczyłby przywozu określonych kodów CN</w:t>
      </w:r>
      <w:r w:rsidR="005A1CAE" w:rsidRPr="005A1CAE">
        <w:rPr>
          <w:noProof/>
        </w:rPr>
        <w:t xml:space="preserve"> i</w:t>
      </w:r>
      <w:r w:rsidR="005A1CAE">
        <w:rPr>
          <w:noProof/>
        </w:rPr>
        <w:t> </w:t>
      </w:r>
      <w:r w:rsidR="005A1CAE" w:rsidRPr="005A1CAE">
        <w:rPr>
          <w:noProof/>
        </w:rPr>
        <w:t>poc</w:t>
      </w:r>
      <w:r w:rsidRPr="005A1CAE">
        <w:rPr>
          <w:noProof/>
        </w:rPr>
        <w:t>hodzeń,</w:t>
      </w:r>
      <w:r w:rsidR="005A1CAE" w:rsidRPr="005A1CAE">
        <w:rPr>
          <w:noProof/>
        </w:rPr>
        <w:t xml:space="preserve"> w</w:t>
      </w:r>
      <w:r w:rsidR="005A1CAE">
        <w:rPr>
          <w:noProof/>
        </w:rPr>
        <w:t> </w:t>
      </w:r>
      <w:r w:rsidR="005A1CAE" w:rsidRPr="005A1CAE">
        <w:rPr>
          <w:noProof/>
        </w:rPr>
        <w:t>prz</w:t>
      </w:r>
      <w:r w:rsidRPr="005A1CAE">
        <w:rPr>
          <w:noProof/>
        </w:rPr>
        <w:t>ypadku których istnieje największe ryzyko obejścia przepisów wynikające</w:t>
      </w:r>
      <w:r w:rsidR="005A1CAE" w:rsidRPr="005A1CAE">
        <w:rPr>
          <w:noProof/>
        </w:rPr>
        <w:t xml:space="preserve"> z</w:t>
      </w:r>
      <w:r w:rsidR="005A1CAE">
        <w:rPr>
          <w:noProof/>
        </w:rPr>
        <w:t> </w:t>
      </w:r>
      <w:r w:rsidR="005A1CAE" w:rsidRPr="005A1CAE">
        <w:rPr>
          <w:noProof/>
        </w:rPr>
        <w:t>błę</w:t>
      </w:r>
      <w:r w:rsidRPr="005A1CAE">
        <w:rPr>
          <w:noProof/>
        </w:rPr>
        <w:t>dnej deklaracji intensywności emisji.</w:t>
      </w:r>
    </w:p>
    <w:p w14:paraId="3E7EAB80" w14:textId="6803EDD4" w:rsidR="1F0A092B" w:rsidRPr="005A1CAE" w:rsidRDefault="721B85A8" w:rsidP="00656D3F">
      <w:pPr>
        <w:spacing w:before="240" w:after="0"/>
        <w:rPr>
          <w:noProof/>
        </w:rPr>
      </w:pPr>
      <w:r w:rsidRPr="005A1CAE">
        <w:rPr>
          <w:noProof/>
        </w:rPr>
        <w:t>Wariant 2 opiera się na wariancie 1, ale dodatkowo rozszerza zakres środków</w:t>
      </w:r>
      <w:r w:rsidR="005A1CAE" w:rsidRPr="005A1CAE">
        <w:rPr>
          <w:noProof/>
        </w:rPr>
        <w:t xml:space="preserve"> z</w:t>
      </w:r>
      <w:r w:rsidR="005A1CAE">
        <w:rPr>
          <w:noProof/>
        </w:rPr>
        <w:t> </w:t>
      </w:r>
      <w:r w:rsidR="005A1CAE" w:rsidRPr="005A1CAE">
        <w:rPr>
          <w:noProof/>
        </w:rPr>
        <w:t>zak</w:t>
      </w:r>
      <w:r w:rsidRPr="005A1CAE">
        <w:rPr>
          <w:noProof/>
        </w:rPr>
        <w:t>resu polityki. Oprócz złomu przedkonsumenckiego wariant ten obejmowałby również złom pokonsumencki jako prekursor CBAM. Wymóg przedstawienia dowodu miejsca produkcji miałby zastosowanie do wszystkich kodów CN lub pochodzeń. Miałby zatem wpływ na wszystkie deklaracje CBAM oparte na wartościach rzeczywistych emisji.</w:t>
      </w:r>
    </w:p>
    <w:p w14:paraId="1C8616B5" w14:textId="64EB9FF2" w:rsidR="007E778A" w:rsidRPr="005A1CAE" w:rsidRDefault="001F440B" w:rsidP="00656D3F">
      <w:pPr>
        <w:spacing w:before="240" w:after="0"/>
        <w:rPr>
          <w:noProof/>
        </w:rPr>
      </w:pPr>
      <w:r w:rsidRPr="005A1CAE">
        <w:rPr>
          <w:noProof/>
        </w:rPr>
        <w:t>Preferowanym wariantem jest wariant 1 ze względu na jego zrównoważone</w:t>
      </w:r>
      <w:r w:rsidR="005A1CAE" w:rsidRPr="005A1CAE">
        <w:rPr>
          <w:noProof/>
        </w:rPr>
        <w:t xml:space="preserve"> i</w:t>
      </w:r>
      <w:r w:rsidR="005A1CAE">
        <w:rPr>
          <w:noProof/>
        </w:rPr>
        <w:t> </w:t>
      </w:r>
      <w:r w:rsidR="005A1CAE" w:rsidRPr="005A1CAE">
        <w:rPr>
          <w:noProof/>
        </w:rPr>
        <w:t>pro</w:t>
      </w:r>
      <w:r w:rsidRPr="005A1CAE">
        <w:rPr>
          <w:noProof/>
        </w:rPr>
        <w:t>porcjonalne podejście umożliwiające skuteczne przeciwdziałanie ryzyku obchodzenia środków.</w:t>
      </w:r>
    </w:p>
    <w:p w14:paraId="5F21E2FC" w14:textId="47CBB092" w:rsidR="00BE3E96" w:rsidRPr="005A1CAE" w:rsidRDefault="00BE3E96" w:rsidP="00656D3F">
      <w:pPr>
        <w:spacing w:before="240" w:after="0"/>
        <w:rPr>
          <w:noProof/>
        </w:rPr>
      </w:pPr>
      <w:r w:rsidRPr="005A1CAE">
        <w:rPr>
          <w:noProof/>
        </w:rPr>
        <w:t>Aby zaradzić niedociągnięciom</w:t>
      </w:r>
      <w:r w:rsidR="005A1CAE" w:rsidRPr="005A1CAE">
        <w:rPr>
          <w:noProof/>
        </w:rPr>
        <w:t xml:space="preserve"> w</w:t>
      </w:r>
      <w:r w:rsidR="005A1CAE">
        <w:rPr>
          <w:noProof/>
        </w:rPr>
        <w:t> </w:t>
      </w:r>
      <w:r w:rsidR="005A1CAE" w:rsidRPr="005A1CAE">
        <w:rPr>
          <w:noProof/>
        </w:rPr>
        <w:t>tra</w:t>
      </w:r>
      <w:r w:rsidRPr="005A1CAE">
        <w:rPr>
          <w:noProof/>
        </w:rPr>
        <w:t>ktowaniu importu energii elektrycznej rozważono cztery warianty. Warianty te różnią się pod względem metodyki stosowanej do obliczania współczynnika emisji oraz warunków deklarowania wartości rzeczywistych. Obejmują one poszczególne kombinacje dwóch głównych wariantów strategicznych: (i) utrzymanie obecnego podejścia do współczynnika emisji CO</w:t>
      </w:r>
      <w:r w:rsidRPr="005A1CAE">
        <w:rPr>
          <w:noProof/>
          <w:vertAlign w:val="subscript"/>
        </w:rPr>
        <w:t>2</w:t>
      </w:r>
      <w:r w:rsidRPr="005A1CAE">
        <w:rPr>
          <w:noProof/>
        </w:rPr>
        <w:t xml:space="preserve"> opartego na paliwach kopalnych</w:t>
      </w:r>
      <w:r w:rsidR="005A1CAE" w:rsidRPr="005A1CAE">
        <w:rPr>
          <w:noProof/>
        </w:rPr>
        <w:t xml:space="preserve"> w</w:t>
      </w:r>
      <w:r w:rsidR="005A1CAE">
        <w:rPr>
          <w:noProof/>
        </w:rPr>
        <w:t> </w:t>
      </w:r>
      <w:r w:rsidR="005A1CAE" w:rsidRPr="005A1CAE">
        <w:rPr>
          <w:noProof/>
        </w:rPr>
        <w:t>pań</w:t>
      </w:r>
      <w:r w:rsidRPr="005A1CAE">
        <w:rPr>
          <w:noProof/>
        </w:rPr>
        <w:t>stwie wywozu lub przejście na średni współczynnik emisji</w:t>
      </w:r>
      <w:r w:rsidR="005A1CAE" w:rsidRPr="005A1CAE">
        <w:rPr>
          <w:noProof/>
        </w:rPr>
        <w:t xml:space="preserve"> z</w:t>
      </w:r>
      <w:r w:rsidR="005A1CAE">
        <w:rPr>
          <w:noProof/>
        </w:rPr>
        <w:t> </w:t>
      </w:r>
      <w:r w:rsidR="005A1CAE" w:rsidRPr="005A1CAE">
        <w:rPr>
          <w:noProof/>
        </w:rPr>
        <w:t>sie</w:t>
      </w:r>
      <w:r w:rsidRPr="005A1CAE">
        <w:rPr>
          <w:noProof/>
        </w:rPr>
        <w:t>ci</w:t>
      </w:r>
      <w:r w:rsidR="005A1CAE" w:rsidRPr="005A1CAE">
        <w:rPr>
          <w:noProof/>
        </w:rPr>
        <w:t xml:space="preserve"> w</w:t>
      </w:r>
      <w:r w:rsidR="005A1CAE">
        <w:rPr>
          <w:noProof/>
        </w:rPr>
        <w:t> </w:t>
      </w:r>
      <w:r w:rsidR="005A1CAE" w:rsidRPr="005A1CAE">
        <w:rPr>
          <w:noProof/>
        </w:rPr>
        <w:t>pań</w:t>
      </w:r>
      <w:r w:rsidRPr="005A1CAE">
        <w:rPr>
          <w:noProof/>
        </w:rPr>
        <w:t>stwie wywozu; (ii) zmiana kryterium związanego</w:t>
      </w:r>
      <w:r w:rsidR="005A1CAE" w:rsidRPr="005A1CAE">
        <w:rPr>
          <w:noProof/>
        </w:rPr>
        <w:t xml:space="preserve"> z</w:t>
      </w:r>
      <w:r w:rsidR="005A1CAE">
        <w:rPr>
          <w:noProof/>
        </w:rPr>
        <w:t> </w:t>
      </w:r>
      <w:r w:rsidR="005A1CAE" w:rsidRPr="005A1CAE">
        <w:rPr>
          <w:noProof/>
        </w:rPr>
        <w:t>ogr</w:t>
      </w:r>
      <w:r w:rsidRPr="005A1CAE">
        <w:rPr>
          <w:noProof/>
        </w:rPr>
        <w:t>aniczeniami przesyłowymi przez odniesienie do braku ograniczeń strukturalnych lub jego całkowite usunięcie. Ponadto dwa elementy mają również zastosowanie do wszystkich wariantów. Po pierwsze, zmieniono kryterium</w:t>
      </w:r>
      <w:r w:rsidR="005A1CAE" w:rsidRPr="005A1CAE">
        <w:rPr>
          <w:noProof/>
        </w:rPr>
        <w:t xml:space="preserve"> i</w:t>
      </w:r>
      <w:r w:rsidR="005A1CAE">
        <w:rPr>
          <w:noProof/>
        </w:rPr>
        <w:t> </w:t>
      </w:r>
      <w:r w:rsidR="005A1CAE" w:rsidRPr="005A1CAE">
        <w:rPr>
          <w:noProof/>
        </w:rPr>
        <w:t>dop</w:t>
      </w:r>
      <w:r w:rsidRPr="005A1CAE">
        <w:rPr>
          <w:noProof/>
        </w:rPr>
        <w:t>recyzowano, że umowy zakupu energii elektrycznej (PPA) obejmują wyłącznie fizyczne PPA, oraz dopuszczono stosowanie pośrednich PPA. Po drugie, zmieniono warunek dotyczący nominacji przepustowości – ma on zastosowanie wyłącznie</w:t>
      </w:r>
      <w:r w:rsidR="005A1CAE" w:rsidRPr="005A1CAE">
        <w:rPr>
          <w:noProof/>
        </w:rPr>
        <w:t xml:space="preserve"> w</w:t>
      </w:r>
      <w:r w:rsidR="005A1CAE">
        <w:rPr>
          <w:noProof/>
        </w:rPr>
        <w:t> </w:t>
      </w:r>
      <w:r w:rsidR="005A1CAE" w:rsidRPr="005A1CAE">
        <w:rPr>
          <w:noProof/>
        </w:rPr>
        <w:t>prz</w:t>
      </w:r>
      <w:r w:rsidRPr="005A1CAE">
        <w:rPr>
          <w:noProof/>
        </w:rPr>
        <w:t>ypadku alokacji zdolności przesyłowych typu „explicit”.</w:t>
      </w:r>
    </w:p>
    <w:p w14:paraId="320DD775" w14:textId="7408108F" w:rsidR="001C3ED8" w:rsidRPr="005A1CAE" w:rsidRDefault="00BE3E96" w:rsidP="00656D3F">
      <w:pPr>
        <w:spacing w:before="240" w:after="0"/>
        <w:rPr>
          <w:noProof/>
        </w:rPr>
      </w:pPr>
      <w:r w:rsidRPr="005A1CAE">
        <w:rPr>
          <w:noProof/>
        </w:rPr>
        <w:lastRenderedPageBreak/>
        <w:t>Preferowanym wariantem</w:t>
      </w:r>
      <w:r w:rsidR="005A1CAE" w:rsidRPr="005A1CAE">
        <w:rPr>
          <w:noProof/>
        </w:rPr>
        <w:t xml:space="preserve"> w</w:t>
      </w:r>
      <w:r w:rsidR="005A1CAE">
        <w:rPr>
          <w:noProof/>
        </w:rPr>
        <w:t> </w:t>
      </w:r>
      <w:r w:rsidR="005A1CAE" w:rsidRPr="005A1CAE">
        <w:rPr>
          <w:noProof/>
        </w:rPr>
        <w:t>odn</w:t>
      </w:r>
      <w:r w:rsidRPr="005A1CAE">
        <w:rPr>
          <w:noProof/>
        </w:rPr>
        <w:t>iesieniu do importu energii elektrycznej jest zmiana średniego współczynnika emisji</w:t>
      </w:r>
      <w:r w:rsidR="005A1CAE" w:rsidRPr="005A1CAE">
        <w:rPr>
          <w:noProof/>
        </w:rPr>
        <w:t xml:space="preserve"> z</w:t>
      </w:r>
      <w:r w:rsidR="005A1CAE">
        <w:rPr>
          <w:noProof/>
        </w:rPr>
        <w:t> </w:t>
      </w:r>
      <w:r w:rsidR="005A1CAE" w:rsidRPr="005A1CAE">
        <w:rPr>
          <w:noProof/>
        </w:rPr>
        <w:t>sie</w:t>
      </w:r>
      <w:r w:rsidRPr="005A1CAE">
        <w:rPr>
          <w:noProof/>
        </w:rPr>
        <w:t>ci dla krajów eksportujących oraz usunięcie kryterium stosowania rzeczywistych wartości emisji związanych</w:t>
      </w:r>
      <w:r w:rsidR="005A1CAE" w:rsidRPr="005A1CAE">
        <w:rPr>
          <w:noProof/>
        </w:rPr>
        <w:t xml:space="preserve"> z</w:t>
      </w:r>
      <w:r w:rsidR="005A1CAE">
        <w:rPr>
          <w:noProof/>
        </w:rPr>
        <w:t> </w:t>
      </w:r>
      <w:r w:rsidR="005A1CAE" w:rsidRPr="005A1CAE">
        <w:rPr>
          <w:noProof/>
        </w:rPr>
        <w:t>ogr</w:t>
      </w:r>
      <w:r w:rsidRPr="005A1CAE">
        <w:rPr>
          <w:noProof/>
        </w:rPr>
        <w:t>aniczeniami przesyłowymi. Średni współczynnik emisji</w:t>
      </w:r>
      <w:r w:rsidR="005A1CAE" w:rsidRPr="005A1CAE">
        <w:rPr>
          <w:noProof/>
        </w:rPr>
        <w:t xml:space="preserve"> z</w:t>
      </w:r>
      <w:r w:rsidR="005A1CAE">
        <w:rPr>
          <w:noProof/>
        </w:rPr>
        <w:t> </w:t>
      </w:r>
      <w:r w:rsidR="005A1CAE" w:rsidRPr="005A1CAE">
        <w:rPr>
          <w:noProof/>
        </w:rPr>
        <w:t>sie</w:t>
      </w:r>
      <w:r w:rsidRPr="005A1CAE">
        <w:rPr>
          <w:noProof/>
        </w:rPr>
        <w:t>ci będzie lepiej odzwierciedlał tendencję do obniżania emisyjności</w:t>
      </w:r>
      <w:r w:rsidR="005A1CAE" w:rsidRPr="005A1CAE">
        <w:rPr>
          <w:noProof/>
        </w:rPr>
        <w:t xml:space="preserve"> w</w:t>
      </w:r>
      <w:r w:rsidR="005A1CAE">
        <w:rPr>
          <w:noProof/>
        </w:rPr>
        <w:t> </w:t>
      </w:r>
      <w:r w:rsidR="005A1CAE" w:rsidRPr="005A1CAE">
        <w:rPr>
          <w:noProof/>
        </w:rPr>
        <w:t>pań</w:t>
      </w:r>
      <w:r w:rsidRPr="005A1CAE">
        <w:rPr>
          <w:noProof/>
        </w:rPr>
        <w:t>stwie pochodzenia, ponieważ uwzględniona zostanie również energia elektryczna wytwarzana ze źródeł odnawialnych. Wraz ze zmianami warunków dotyczących umów PPA</w:t>
      </w:r>
      <w:r w:rsidR="005A1CAE" w:rsidRPr="005A1CAE">
        <w:rPr>
          <w:noProof/>
        </w:rPr>
        <w:t xml:space="preserve"> i</w:t>
      </w:r>
      <w:r w:rsidR="005A1CAE">
        <w:rPr>
          <w:noProof/>
        </w:rPr>
        <w:t> </w:t>
      </w:r>
      <w:r w:rsidR="005A1CAE" w:rsidRPr="005A1CAE">
        <w:rPr>
          <w:noProof/>
        </w:rPr>
        <w:t>nom</w:t>
      </w:r>
      <w:r w:rsidRPr="005A1CAE">
        <w:rPr>
          <w:noProof/>
        </w:rPr>
        <w:t>inacji przepustowości usunięcie warunku braku przeciążenia sieci jeszcze bardziej ułatwi zgłaszanie wartości rzeczywistych.</w:t>
      </w:r>
    </w:p>
    <w:p w14:paraId="580F6B49" w14:textId="0DBBE8AF"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Sprawność regulacyjna</w:t>
      </w:r>
      <w:r w:rsidR="005A1CAE" w:rsidRPr="005A1CAE">
        <w:rPr>
          <w:noProof/>
          <w:u w:color="000000"/>
          <w:bdr w:val="nil"/>
        </w:rPr>
        <w:t xml:space="preserve"> i</w:t>
      </w:r>
      <w:r w:rsidR="005A1CAE">
        <w:rPr>
          <w:noProof/>
          <w:u w:color="000000"/>
          <w:bdr w:val="nil"/>
        </w:rPr>
        <w:t> </w:t>
      </w:r>
      <w:r w:rsidR="005A1CAE" w:rsidRPr="005A1CAE">
        <w:rPr>
          <w:noProof/>
          <w:u w:color="000000"/>
          <w:bdr w:val="nil"/>
        </w:rPr>
        <w:t>upr</w:t>
      </w:r>
      <w:r w:rsidRPr="005A1CAE">
        <w:rPr>
          <w:noProof/>
          <w:u w:color="000000"/>
          <w:bdr w:val="nil"/>
        </w:rPr>
        <w:t>oszczenie</w:t>
      </w:r>
    </w:p>
    <w:p w14:paraId="6293A9CE" w14:textId="31C0C680" w:rsidR="00BE3E96" w:rsidRPr="005A1CAE" w:rsidRDefault="00BE3E96" w:rsidP="00BE3E96">
      <w:pPr>
        <w:spacing w:after="0"/>
        <w:rPr>
          <w:noProof/>
        </w:rPr>
      </w:pPr>
      <w:r w:rsidRPr="005A1CAE">
        <w:rPr>
          <w:noProof/>
        </w:rPr>
        <w:t>Uproszczenie mechanizmu przyjęte</w:t>
      </w:r>
      <w:r w:rsidR="005A1CAE" w:rsidRPr="005A1CAE">
        <w:rPr>
          <w:noProof/>
        </w:rPr>
        <w:t xml:space="preserve"> w</w:t>
      </w:r>
      <w:r w:rsidR="005A1CAE">
        <w:rPr>
          <w:noProof/>
        </w:rPr>
        <w:t> </w:t>
      </w:r>
      <w:r w:rsidR="005A1CAE" w:rsidRPr="005A1CAE">
        <w:rPr>
          <w:noProof/>
        </w:rPr>
        <w:t>paź</w:t>
      </w:r>
      <w:r w:rsidRPr="005A1CAE">
        <w:rPr>
          <w:noProof/>
        </w:rPr>
        <w:t>dzierniku 2025</w:t>
      </w:r>
      <w:r w:rsidR="005A1CAE" w:rsidRPr="005A1CAE">
        <w:rPr>
          <w:noProof/>
        </w:rPr>
        <w:t> </w:t>
      </w:r>
      <w:r w:rsidRPr="005A1CAE">
        <w:rPr>
          <w:noProof/>
        </w:rPr>
        <w:t>r. korzystnie wpływa na rozszerzenie zakresu CBAM na produkty przemysłu niższego szczebla wymagające intensywnego wykorzystania stali</w:t>
      </w:r>
      <w:r w:rsidR="005A1CAE" w:rsidRPr="005A1CAE">
        <w:rPr>
          <w:noProof/>
        </w:rPr>
        <w:t xml:space="preserve"> i</w:t>
      </w:r>
      <w:r w:rsidR="005A1CAE">
        <w:rPr>
          <w:noProof/>
        </w:rPr>
        <w:t> </w:t>
      </w:r>
      <w:r w:rsidR="005A1CAE" w:rsidRPr="005A1CAE">
        <w:rPr>
          <w:noProof/>
        </w:rPr>
        <w:t>alu</w:t>
      </w:r>
      <w:r w:rsidRPr="005A1CAE">
        <w:rPr>
          <w:noProof/>
        </w:rPr>
        <w:t>minium</w:t>
      </w:r>
      <w:r w:rsidRPr="005A1CAE">
        <w:rPr>
          <w:rStyle w:val="Odwoanieprzypisudolnego"/>
          <w:noProof/>
        </w:rPr>
        <w:footnoteReference w:id="14"/>
      </w:r>
      <w:r w:rsidRPr="005A1CAE">
        <w:rPr>
          <w:noProof/>
        </w:rPr>
        <w:t xml:space="preserve">. Próg </w:t>
      </w:r>
      <w:r w:rsidRPr="005A1CAE">
        <w:rPr>
          <w:i/>
          <w:iCs/>
          <w:noProof/>
        </w:rPr>
        <w:t>de minimis</w:t>
      </w:r>
      <w:r w:rsidRPr="005A1CAE">
        <w:rPr>
          <w:noProof/>
        </w:rPr>
        <w:t xml:space="preserve"> wynoszący 50 ton przywożonych towarów objętych CBAM wyłącza około 182 000 importerów</w:t>
      </w:r>
      <w:r w:rsidR="005A1CAE" w:rsidRPr="005A1CAE">
        <w:rPr>
          <w:noProof/>
        </w:rPr>
        <w:t xml:space="preserve"> z</w:t>
      </w:r>
      <w:r w:rsidR="005A1CAE">
        <w:rPr>
          <w:noProof/>
        </w:rPr>
        <w:t> </w:t>
      </w:r>
      <w:r w:rsidR="005A1CAE" w:rsidRPr="005A1CAE">
        <w:rPr>
          <w:noProof/>
        </w:rPr>
        <w:t>obe</w:t>
      </w:r>
      <w:r w:rsidRPr="005A1CAE">
        <w:rPr>
          <w:noProof/>
        </w:rPr>
        <w:t>cnego zakresu CBAM, co zmniejsza koszty administracyjne ponoszone przez importerów</w:t>
      </w:r>
      <w:r w:rsidR="005A1CAE" w:rsidRPr="005A1CAE">
        <w:rPr>
          <w:noProof/>
        </w:rPr>
        <w:t xml:space="preserve"> o</w:t>
      </w:r>
      <w:r w:rsidR="005A1CAE">
        <w:rPr>
          <w:noProof/>
        </w:rPr>
        <w:t> </w:t>
      </w:r>
      <w:r w:rsidR="005A1CAE" w:rsidRPr="005A1CAE">
        <w:rPr>
          <w:noProof/>
        </w:rPr>
        <w:t>sza</w:t>
      </w:r>
      <w:r w:rsidRPr="005A1CAE">
        <w:rPr>
          <w:noProof/>
        </w:rPr>
        <w:t>cunkowo 1 123 mln EUR rocznie</w:t>
      </w:r>
      <w:r w:rsidRPr="005A1CAE">
        <w:rPr>
          <w:rStyle w:val="Odwoanieprzypisudolnego"/>
          <w:noProof/>
        </w:rPr>
        <w:footnoteReference w:id="15"/>
      </w:r>
      <w:r w:rsidRPr="005A1CAE">
        <w:rPr>
          <w:noProof/>
        </w:rPr>
        <w:t xml:space="preserve">. Próg </w:t>
      </w:r>
      <w:r w:rsidRPr="005A1CAE">
        <w:rPr>
          <w:i/>
          <w:iCs/>
          <w:noProof/>
        </w:rPr>
        <w:t>de minimis</w:t>
      </w:r>
      <w:r w:rsidRPr="005A1CAE">
        <w:rPr>
          <w:noProof/>
        </w:rPr>
        <w:t xml:space="preserve"> przynosi również korzyści importerom niższego szczebla, przy czym ponad 90</w:t>
      </w:r>
      <w:r w:rsidR="005A1CAE" w:rsidRPr="005A1CAE">
        <w:rPr>
          <w:noProof/>
        </w:rPr>
        <w:t> </w:t>
      </w:r>
      <w:r w:rsidRPr="005A1CAE">
        <w:rPr>
          <w:noProof/>
        </w:rPr>
        <w:t>% importerów prowadzących działalność</w:t>
      </w:r>
      <w:r w:rsidR="005A1CAE" w:rsidRPr="005A1CAE">
        <w:rPr>
          <w:noProof/>
        </w:rPr>
        <w:t xml:space="preserve"> w</w:t>
      </w:r>
      <w:r w:rsidR="005A1CAE">
        <w:rPr>
          <w:noProof/>
        </w:rPr>
        <w:t> </w:t>
      </w:r>
      <w:r w:rsidR="005A1CAE" w:rsidRPr="005A1CAE">
        <w:rPr>
          <w:noProof/>
        </w:rPr>
        <w:t>sek</w:t>
      </w:r>
      <w:r w:rsidRPr="005A1CAE">
        <w:rPr>
          <w:noProof/>
        </w:rPr>
        <w:t>torach objętych rozszerzeniem na podstawie niniejszego wniosku jest zwolnionych</w:t>
      </w:r>
      <w:r w:rsidR="005A1CAE" w:rsidRPr="005A1CAE">
        <w:rPr>
          <w:noProof/>
        </w:rPr>
        <w:t xml:space="preserve"> z</w:t>
      </w:r>
      <w:r w:rsidR="005A1CAE">
        <w:rPr>
          <w:noProof/>
        </w:rPr>
        <w:t> </w:t>
      </w:r>
      <w:r w:rsidR="005A1CAE" w:rsidRPr="005A1CAE">
        <w:rPr>
          <w:noProof/>
        </w:rPr>
        <w:t>obo</w:t>
      </w:r>
      <w:r w:rsidRPr="005A1CAE">
        <w:rPr>
          <w:noProof/>
        </w:rPr>
        <w:t>wiązków związanych z CBAM, przy jednoczesnym utrzymaniu zakresu ponad 99</w:t>
      </w:r>
      <w:r w:rsidR="005A1CAE" w:rsidRPr="005A1CAE">
        <w:rPr>
          <w:noProof/>
        </w:rPr>
        <w:t> </w:t>
      </w:r>
      <w:r w:rsidRPr="005A1CAE">
        <w:rPr>
          <w:noProof/>
        </w:rPr>
        <w:t>% emisji.</w:t>
      </w:r>
    </w:p>
    <w:p w14:paraId="55E63F51" w14:textId="57385184" w:rsidR="00BE3E96" w:rsidRPr="005A1CAE" w:rsidRDefault="00BE3E96" w:rsidP="00BE3E96">
      <w:pPr>
        <w:spacing w:after="0"/>
        <w:rPr>
          <w:noProof/>
        </w:rPr>
      </w:pPr>
      <w:r w:rsidRPr="005A1CAE">
        <w:rPr>
          <w:noProof/>
        </w:rPr>
        <w:t>Wpływ wszystkich rozważanych wariantów strategicznych (opisanych</w:t>
      </w:r>
      <w:r w:rsidR="005A1CAE" w:rsidRPr="005A1CAE">
        <w:rPr>
          <w:noProof/>
        </w:rPr>
        <w:t xml:space="preserve"> w</w:t>
      </w:r>
      <w:r w:rsidR="005A1CAE">
        <w:rPr>
          <w:noProof/>
        </w:rPr>
        <w:t> </w:t>
      </w:r>
      <w:r w:rsidR="005A1CAE" w:rsidRPr="005A1CAE">
        <w:rPr>
          <w:noProof/>
        </w:rPr>
        <w:t>sek</w:t>
      </w:r>
      <w:r w:rsidRPr="005A1CAE">
        <w:rPr>
          <w:noProof/>
        </w:rPr>
        <w:t>cji dotyczącej oceny skutków) poddano dokładnej ocenie pod kątem ich wpływu na obciążenie administracyjne. Pakiet strategiczny zawarty</w:t>
      </w:r>
      <w:r w:rsidR="005A1CAE" w:rsidRPr="005A1CAE">
        <w:rPr>
          <w:noProof/>
        </w:rPr>
        <w:t xml:space="preserve"> w</w:t>
      </w:r>
      <w:r w:rsidR="005A1CAE">
        <w:rPr>
          <w:noProof/>
        </w:rPr>
        <w:t> </w:t>
      </w:r>
      <w:r w:rsidR="005A1CAE" w:rsidRPr="005A1CAE">
        <w:rPr>
          <w:noProof/>
        </w:rPr>
        <w:t>nin</w:t>
      </w:r>
      <w:r w:rsidRPr="005A1CAE">
        <w:rPr>
          <w:noProof/>
        </w:rPr>
        <w:t>iejszym wniosku wybrano po rozważeniu korzyści dla środowiska oraz potrzeby ograniczenia dodatkowego obciążenia administracyjnego</w:t>
      </w:r>
      <w:r w:rsidR="005A1CAE" w:rsidRPr="005A1CAE">
        <w:rPr>
          <w:noProof/>
        </w:rPr>
        <w:t xml:space="preserve"> i</w:t>
      </w:r>
      <w:r w:rsidR="005A1CAE">
        <w:rPr>
          <w:noProof/>
        </w:rPr>
        <w:t> </w:t>
      </w:r>
      <w:r w:rsidR="005A1CAE" w:rsidRPr="005A1CAE">
        <w:rPr>
          <w:noProof/>
        </w:rPr>
        <w:t>uni</w:t>
      </w:r>
      <w:r w:rsidRPr="005A1CAE">
        <w:rPr>
          <w:noProof/>
        </w:rPr>
        <w:t>knięcia zwiększenia złożoności CBAM. Kwestię tę również opisano</w:t>
      </w:r>
      <w:r w:rsidR="005A1CAE" w:rsidRPr="005A1CAE">
        <w:rPr>
          <w:noProof/>
        </w:rPr>
        <w:t xml:space="preserve"> w</w:t>
      </w:r>
      <w:r w:rsidR="005A1CAE">
        <w:rPr>
          <w:noProof/>
        </w:rPr>
        <w:t> </w:t>
      </w:r>
      <w:r w:rsidR="005A1CAE" w:rsidRPr="005A1CAE">
        <w:rPr>
          <w:noProof/>
        </w:rPr>
        <w:t>sek</w:t>
      </w:r>
      <w:r w:rsidRPr="005A1CAE">
        <w:rPr>
          <w:noProof/>
        </w:rPr>
        <w:t>cji dotyczącej proporcjonalności oraz</w:t>
      </w:r>
      <w:r w:rsidR="005A1CAE" w:rsidRPr="005A1CAE">
        <w:rPr>
          <w:noProof/>
        </w:rPr>
        <w:t xml:space="preserve"> w</w:t>
      </w:r>
      <w:r w:rsidR="005A1CAE">
        <w:rPr>
          <w:noProof/>
        </w:rPr>
        <w:t> </w:t>
      </w:r>
      <w:r w:rsidR="005A1CAE" w:rsidRPr="005A1CAE">
        <w:rPr>
          <w:noProof/>
        </w:rPr>
        <w:t>pod</w:t>
      </w:r>
      <w:r w:rsidRPr="005A1CAE">
        <w:rPr>
          <w:noProof/>
        </w:rPr>
        <w:t>sumowaniu oceny skutków zawartym</w:t>
      </w:r>
      <w:r w:rsidR="005A1CAE" w:rsidRPr="005A1CAE">
        <w:rPr>
          <w:noProof/>
        </w:rPr>
        <w:t xml:space="preserve"> w</w:t>
      </w:r>
      <w:r w:rsidR="005A1CAE">
        <w:rPr>
          <w:noProof/>
        </w:rPr>
        <w:t> </w:t>
      </w:r>
      <w:r w:rsidR="005A1CAE" w:rsidRPr="005A1CAE">
        <w:rPr>
          <w:noProof/>
        </w:rPr>
        <w:t>nin</w:t>
      </w:r>
      <w:r w:rsidRPr="005A1CAE">
        <w:rPr>
          <w:noProof/>
        </w:rPr>
        <w:t>iejszym uzasadnieniu.</w:t>
      </w:r>
    </w:p>
    <w:p w14:paraId="7D17ED73" w14:textId="60EA2FF2" w:rsidR="008C228F" w:rsidRPr="005A1CAE" w:rsidRDefault="00BE3E96" w:rsidP="00BE3E96">
      <w:pPr>
        <w:spacing w:after="0"/>
        <w:rPr>
          <w:rFonts w:eastAsia="Arial Unicode MS"/>
          <w:noProof/>
        </w:rPr>
      </w:pPr>
      <w:r w:rsidRPr="005A1CAE">
        <w:rPr>
          <w:noProof/>
        </w:rPr>
        <w:t>Rozszerzenie CBAM na rynki niższego szczebla ma umiarkowany wpływ na liczbę importerów</w:t>
      </w:r>
      <w:r w:rsidR="005A1CAE" w:rsidRPr="005A1CAE">
        <w:rPr>
          <w:noProof/>
        </w:rPr>
        <w:t xml:space="preserve"> z</w:t>
      </w:r>
      <w:r w:rsidR="005A1CAE">
        <w:rPr>
          <w:noProof/>
        </w:rPr>
        <w:t> </w:t>
      </w:r>
      <w:r w:rsidR="005A1CAE" w:rsidRPr="005A1CAE">
        <w:rPr>
          <w:noProof/>
        </w:rPr>
        <w:t>sek</w:t>
      </w:r>
      <w:r w:rsidRPr="005A1CAE">
        <w:rPr>
          <w:noProof/>
        </w:rPr>
        <w:t>tora MŚP (i producentów</w:t>
      </w:r>
      <w:r w:rsidR="005A1CAE" w:rsidRPr="005A1CAE">
        <w:rPr>
          <w:noProof/>
        </w:rPr>
        <w:t xml:space="preserve"> z</w:t>
      </w:r>
      <w:r w:rsidR="005A1CAE">
        <w:rPr>
          <w:noProof/>
        </w:rPr>
        <w:t> </w:t>
      </w:r>
      <w:r w:rsidR="005A1CAE" w:rsidRPr="005A1CAE">
        <w:rPr>
          <w:noProof/>
        </w:rPr>
        <w:t>sek</w:t>
      </w:r>
      <w:r w:rsidRPr="005A1CAE">
        <w:rPr>
          <w:noProof/>
        </w:rPr>
        <w:t>tora MŚP</w:t>
      </w:r>
      <w:r w:rsidR="005A1CAE" w:rsidRPr="005A1CAE">
        <w:rPr>
          <w:noProof/>
        </w:rPr>
        <w:t xml:space="preserve"> z</w:t>
      </w:r>
      <w:r w:rsidR="005A1CAE">
        <w:rPr>
          <w:noProof/>
        </w:rPr>
        <w:t> </w:t>
      </w:r>
      <w:r w:rsidR="005A1CAE" w:rsidRPr="005A1CAE">
        <w:rPr>
          <w:noProof/>
        </w:rPr>
        <w:t>pań</w:t>
      </w:r>
      <w:r w:rsidRPr="005A1CAE">
        <w:rPr>
          <w:noProof/>
        </w:rPr>
        <w:t>stw trzecich) objętych zakresem CBAM, przy czym około połowa nowych importerów objętych zakresem CBAM to MŚP. Oznacza to, że</w:t>
      </w:r>
      <w:r w:rsidR="005A1CAE" w:rsidRPr="005A1CAE">
        <w:rPr>
          <w:noProof/>
        </w:rPr>
        <w:t xml:space="preserve"> w</w:t>
      </w:r>
      <w:r w:rsidR="005A1CAE">
        <w:rPr>
          <w:noProof/>
        </w:rPr>
        <w:t> </w:t>
      </w:r>
      <w:r w:rsidR="005A1CAE" w:rsidRPr="005A1CAE">
        <w:rPr>
          <w:noProof/>
        </w:rPr>
        <w:t>sum</w:t>
      </w:r>
      <w:r w:rsidRPr="005A1CAE">
        <w:rPr>
          <w:noProof/>
        </w:rPr>
        <w:t>ie około 3 800–3 900 dodatkowych MŚP zostanie objętych obowiązkami związanymi z CBAM.</w:t>
      </w:r>
    </w:p>
    <w:p w14:paraId="19FD4B9E" w14:textId="77777777"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Prawa podstawowe</w:t>
      </w:r>
    </w:p>
    <w:p w14:paraId="254AA32C" w14:textId="646DEE8F" w:rsidR="009722D0" w:rsidRPr="005A1CAE" w:rsidRDefault="00BE3E96" w:rsidP="00BE3E96">
      <w:pPr>
        <w:rPr>
          <w:noProof/>
        </w:rPr>
      </w:pPr>
      <w:r w:rsidRPr="005A1CAE">
        <w:rPr>
          <w:noProof/>
        </w:rPr>
        <w:t>Wniosek przygotowano</w:t>
      </w:r>
      <w:r w:rsidR="005A1CAE" w:rsidRPr="005A1CAE">
        <w:rPr>
          <w:noProof/>
        </w:rPr>
        <w:t xml:space="preserve"> z</w:t>
      </w:r>
      <w:r w:rsidR="005A1CAE">
        <w:rPr>
          <w:noProof/>
        </w:rPr>
        <w:t> </w:t>
      </w:r>
      <w:r w:rsidR="005A1CAE" w:rsidRPr="005A1CAE">
        <w:rPr>
          <w:noProof/>
        </w:rPr>
        <w:t>pos</w:t>
      </w:r>
      <w:r w:rsidRPr="005A1CAE">
        <w:rPr>
          <w:noProof/>
        </w:rPr>
        <w:t>zanowaniem praw podstawowych</w:t>
      </w:r>
      <w:r w:rsidR="005A1CAE" w:rsidRPr="005A1CAE">
        <w:rPr>
          <w:noProof/>
        </w:rPr>
        <w:t xml:space="preserve"> i</w:t>
      </w:r>
      <w:r w:rsidR="005A1CAE">
        <w:rPr>
          <w:noProof/>
        </w:rPr>
        <w:t> </w:t>
      </w:r>
      <w:r w:rsidR="005A1CAE" w:rsidRPr="005A1CAE">
        <w:rPr>
          <w:noProof/>
        </w:rPr>
        <w:t>zas</w:t>
      </w:r>
      <w:r w:rsidRPr="005A1CAE">
        <w:rPr>
          <w:noProof/>
        </w:rPr>
        <w:t>ad uznanych</w:t>
      </w:r>
      <w:r w:rsidR="005A1CAE" w:rsidRPr="005A1CAE">
        <w:rPr>
          <w:noProof/>
        </w:rPr>
        <w:t xml:space="preserve"> w</w:t>
      </w:r>
      <w:r w:rsidR="005A1CAE">
        <w:rPr>
          <w:noProof/>
        </w:rPr>
        <w:t> </w:t>
      </w:r>
      <w:r w:rsidR="005A1CAE" w:rsidRPr="005A1CAE">
        <w:rPr>
          <w:noProof/>
        </w:rPr>
        <w:t>szc</w:t>
      </w:r>
      <w:r w:rsidRPr="005A1CAE">
        <w:rPr>
          <w:noProof/>
        </w:rPr>
        <w:t>zególności</w:t>
      </w:r>
      <w:r w:rsidR="005A1CAE" w:rsidRPr="005A1CAE">
        <w:rPr>
          <w:noProof/>
        </w:rPr>
        <w:t xml:space="preserve"> w</w:t>
      </w:r>
      <w:r w:rsidR="005A1CAE">
        <w:rPr>
          <w:noProof/>
        </w:rPr>
        <w:t> </w:t>
      </w:r>
      <w:r w:rsidR="005A1CAE" w:rsidRPr="005A1CAE">
        <w:rPr>
          <w:noProof/>
        </w:rPr>
        <w:t>Kar</w:t>
      </w:r>
      <w:r w:rsidRPr="005A1CAE">
        <w:rPr>
          <w:noProof/>
        </w:rPr>
        <w:t>cie praw podstawowych Unii Europejskiej</w:t>
      </w:r>
      <w:r w:rsidR="005A1CAE" w:rsidRPr="005A1CAE">
        <w:rPr>
          <w:noProof/>
        </w:rPr>
        <w:t>. W</w:t>
      </w:r>
      <w:r w:rsidR="005A1CAE">
        <w:rPr>
          <w:noProof/>
        </w:rPr>
        <w:t> </w:t>
      </w:r>
      <w:r w:rsidR="005A1CAE" w:rsidRPr="005A1CAE">
        <w:rPr>
          <w:noProof/>
        </w:rPr>
        <w:t>szc</w:t>
      </w:r>
      <w:r w:rsidRPr="005A1CAE">
        <w:rPr>
          <w:noProof/>
        </w:rPr>
        <w:t>zególności przyczynia się on do osiągnięcia celu dotyczącego wysokiego poziomu ochrony środowiska zgodnie</w:t>
      </w:r>
      <w:r w:rsidR="005A1CAE" w:rsidRPr="005A1CAE">
        <w:rPr>
          <w:noProof/>
        </w:rPr>
        <w:t xml:space="preserve"> z</w:t>
      </w:r>
      <w:r w:rsidR="005A1CAE">
        <w:rPr>
          <w:noProof/>
        </w:rPr>
        <w:t> </w:t>
      </w:r>
      <w:r w:rsidR="005A1CAE" w:rsidRPr="005A1CAE">
        <w:rPr>
          <w:noProof/>
        </w:rPr>
        <w:t>zas</w:t>
      </w:r>
      <w:r w:rsidRPr="005A1CAE">
        <w:rPr>
          <w:noProof/>
        </w:rPr>
        <w:t>adą zrównoważonego rozwoju,</w:t>
      </w:r>
      <w:r w:rsidR="005A1CAE" w:rsidRPr="005A1CAE">
        <w:rPr>
          <w:noProof/>
        </w:rPr>
        <w:t xml:space="preserve"> o</w:t>
      </w:r>
      <w:r w:rsidR="005A1CAE">
        <w:rPr>
          <w:noProof/>
        </w:rPr>
        <w:t> </w:t>
      </w:r>
      <w:r w:rsidR="005A1CAE" w:rsidRPr="005A1CAE">
        <w:rPr>
          <w:noProof/>
        </w:rPr>
        <w:t>któ</w:t>
      </w:r>
      <w:r w:rsidRPr="005A1CAE">
        <w:rPr>
          <w:noProof/>
        </w:rPr>
        <w:t>rej mowa</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 xml:space="preserve">37 Karty. </w:t>
      </w:r>
    </w:p>
    <w:p w14:paraId="3B62A05B" w14:textId="77777777" w:rsidR="00D0690F" w:rsidRPr="005A1CAE" w:rsidRDefault="00D0690F" w:rsidP="009F612D">
      <w:pPr>
        <w:pStyle w:val="ManualHeading1"/>
        <w:rPr>
          <w:noProof/>
        </w:rPr>
      </w:pPr>
      <w:r w:rsidRPr="005A1CAE">
        <w:rPr>
          <w:noProof/>
        </w:rPr>
        <w:t>4.</w:t>
      </w:r>
      <w:r w:rsidRPr="005A1CAE">
        <w:rPr>
          <w:noProof/>
        </w:rPr>
        <w:tab/>
        <w:t>WPŁYW NA BUDŻET</w:t>
      </w:r>
    </w:p>
    <w:p w14:paraId="51AEA6F0" w14:textId="77526724" w:rsidR="00656D3F" w:rsidRPr="005A1CAE" w:rsidRDefault="00BE3E96" w:rsidP="00BE3E96">
      <w:pPr>
        <w:rPr>
          <w:noProof/>
        </w:rPr>
      </w:pPr>
      <w:r w:rsidRPr="005A1CAE">
        <w:rPr>
          <w:noProof/>
        </w:rPr>
        <w:t>Rozszerzenie na rynki niższego szczebla nie ma na celu generowania dochodów, lecz raczej zwiększenie skuteczności CBAM</w:t>
      </w:r>
      <w:r w:rsidR="005A1CAE" w:rsidRPr="005A1CAE">
        <w:rPr>
          <w:noProof/>
        </w:rPr>
        <w:t xml:space="preserve"> w</w:t>
      </w:r>
      <w:r w:rsidR="005A1CAE">
        <w:rPr>
          <w:noProof/>
        </w:rPr>
        <w:t> </w:t>
      </w:r>
      <w:r w:rsidR="005A1CAE" w:rsidRPr="005A1CAE">
        <w:rPr>
          <w:noProof/>
        </w:rPr>
        <w:t>zak</w:t>
      </w:r>
      <w:r w:rsidRPr="005A1CAE">
        <w:rPr>
          <w:noProof/>
        </w:rPr>
        <w:t>resie przeciwdziałania ucieczce emisji. Zgodnie</w:t>
      </w:r>
      <w:r w:rsidR="005A1CAE" w:rsidRPr="005A1CAE">
        <w:rPr>
          <w:noProof/>
        </w:rPr>
        <w:t xml:space="preserve"> z</w:t>
      </w:r>
      <w:r w:rsidR="005A1CAE">
        <w:rPr>
          <w:noProof/>
        </w:rPr>
        <w:t> </w:t>
      </w:r>
      <w:r w:rsidR="005A1CAE" w:rsidRPr="005A1CAE">
        <w:rPr>
          <w:noProof/>
        </w:rPr>
        <w:t>oce</w:t>
      </w:r>
      <w:r w:rsidRPr="005A1CAE">
        <w:rPr>
          <w:noProof/>
        </w:rPr>
        <w:t>ną skutków przewiduje się, że do</w:t>
      </w:r>
      <w:r w:rsidR="005A1CAE" w:rsidRPr="005A1CAE">
        <w:rPr>
          <w:noProof/>
        </w:rPr>
        <w:t> </w:t>
      </w:r>
      <w:r w:rsidRPr="005A1CAE">
        <w:rPr>
          <w:noProof/>
        </w:rPr>
        <w:t>2030</w:t>
      </w:r>
      <w:r w:rsidR="005A1CAE" w:rsidRPr="005A1CAE">
        <w:rPr>
          <w:noProof/>
        </w:rPr>
        <w:t> </w:t>
      </w:r>
      <w:r w:rsidRPr="005A1CAE">
        <w:rPr>
          <w:noProof/>
        </w:rPr>
        <w:t>r. wniosek przyniesie roczne dochody</w:t>
      </w:r>
      <w:r w:rsidR="005A1CAE" w:rsidRPr="005A1CAE">
        <w:rPr>
          <w:noProof/>
        </w:rPr>
        <w:t xml:space="preserve"> w</w:t>
      </w:r>
      <w:r w:rsidR="005A1CAE">
        <w:rPr>
          <w:noProof/>
        </w:rPr>
        <w:t> </w:t>
      </w:r>
      <w:r w:rsidR="005A1CAE" w:rsidRPr="005A1CAE">
        <w:rPr>
          <w:noProof/>
        </w:rPr>
        <w:t>wys</w:t>
      </w:r>
      <w:r w:rsidRPr="005A1CAE">
        <w:rPr>
          <w:noProof/>
        </w:rPr>
        <w:t>okości około 0,58 mld EUR. Po 2030</w:t>
      </w:r>
      <w:r w:rsidR="005A1CAE" w:rsidRPr="005A1CAE">
        <w:rPr>
          <w:noProof/>
        </w:rPr>
        <w:t> </w:t>
      </w:r>
      <w:r w:rsidRPr="005A1CAE">
        <w:rPr>
          <w:noProof/>
        </w:rPr>
        <w:t>r.,</w:t>
      </w:r>
      <w:r w:rsidR="005A1CAE" w:rsidRPr="005A1CAE">
        <w:rPr>
          <w:noProof/>
        </w:rPr>
        <w:t xml:space="preserve"> 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wyc</w:t>
      </w:r>
      <w:r w:rsidRPr="005A1CAE">
        <w:rPr>
          <w:noProof/>
        </w:rPr>
        <w:t>ofywaniem bezpłatnych uprawnień</w:t>
      </w:r>
      <w:r w:rsidR="005A1CAE" w:rsidRPr="005A1CAE">
        <w:rPr>
          <w:noProof/>
        </w:rPr>
        <w:t xml:space="preserve"> w</w:t>
      </w:r>
      <w:r w:rsidR="005A1CAE">
        <w:rPr>
          <w:noProof/>
        </w:rPr>
        <w:t> </w:t>
      </w:r>
      <w:r w:rsidR="005A1CAE" w:rsidRPr="005A1CAE">
        <w:rPr>
          <w:noProof/>
        </w:rPr>
        <w:t>ram</w:t>
      </w:r>
      <w:r w:rsidRPr="005A1CAE">
        <w:rPr>
          <w:noProof/>
        </w:rPr>
        <w:t>ach EU ETS</w:t>
      </w:r>
      <w:r w:rsidR="005A1CAE" w:rsidRPr="005A1CAE">
        <w:rPr>
          <w:noProof/>
        </w:rPr>
        <w:t xml:space="preserve"> i</w:t>
      </w:r>
      <w:r w:rsidR="005A1CAE">
        <w:rPr>
          <w:noProof/>
        </w:rPr>
        <w:t> </w:t>
      </w:r>
      <w:r w:rsidR="005A1CAE" w:rsidRPr="005A1CAE">
        <w:rPr>
          <w:noProof/>
        </w:rPr>
        <w:t>sto</w:t>
      </w:r>
      <w:r w:rsidRPr="005A1CAE">
        <w:rPr>
          <w:noProof/>
        </w:rPr>
        <w:t>pniowym wprowadzaniem CBAM, dochody powinny nadal rosnąć</w:t>
      </w:r>
      <w:r w:rsidR="005A1CAE" w:rsidRPr="005A1CAE">
        <w:rPr>
          <w:noProof/>
        </w:rPr>
        <w:t xml:space="preserve"> i</w:t>
      </w:r>
      <w:r w:rsidR="005A1CAE">
        <w:rPr>
          <w:noProof/>
        </w:rPr>
        <w:t> </w:t>
      </w:r>
      <w:r w:rsidR="005A1CAE" w:rsidRPr="005A1CAE">
        <w:rPr>
          <w:noProof/>
        </w:rPr>
        <w:t>wed</w:t>
      </w:r>
      <w:r w:rsidRPr="005A1CAE">
        <w:rPr>
          <w:noProof/>
        </w:rPr>
        <w:t>ług szacunków wynieść 0,69 mld EUR do</w:t>
      </w:r>
      <w:r w:rsidR="005A1CAE" w:rsidRPr="005A1CAE">
        <w:rPr>
          <w:noProof/>
        </w:rPr>
        <w:t> </w:t>
      </w:r>
      <w:r w:rsidRPr="005A1CAE">
        <w:rPr>
          <w:noProof/>
        </w:rPr>
        <w:t>2035</w:t>
      </w:r>
      <w:r w:rsidR="005A1CAE" w:rsidRPr="005A1CAE">
        <w:rPr>
          <w:noProof/>
        </w:rPr>
        <w:t> </w:t>
      </w:r>
      <w:r w:rsidRPr="005A1CAE">
        <w:rPr>
          <w:noProof/>
        </w:rPr>
        <w:t xml:space="preserve">r. Według szacunków wpływ na </w:t>
      </w:r>
      <w:r w:rsidRPr="005A1CAE">
        <w:rPr>
          <w:noProof/>
        </w:rPr>
        <w:lastRenderedPageBreak/>
        <w:t>budżet UE wyniesie średnio na</w:t>
      </w:r>
      <w:r w:rsidR="005A1CAE" w:rsidRPr="005A1CAE">
        <w:rPr>
          <w:noProof/>
        </w:rPr>
        <w:t> </w:t>
      </w:r>
      <w:r w:rsidRPr="005A1CAE">
        <w:rPr>
          <w:noProof/>
        </w:rPr>
        <w:t>0,2 mld EUR rocznie</w:t>
      </w:r>
      <w:r w:rsidR="005A1CAE" w:rsidRPr="005A1CAE">
        <w:rPr>
          <w:noProof/>
        </w:rPr>
        <w:t xml:space="preserve"> w</w:t>
      </w:r>
      <w:r w:rsidR="005A1CAE">
        <w:rPr>
          <w:noProof/>
        </w:rPr>
        <w:t> </w:t>
      </w:r>
      <w:r w:rsidR="005A1CAE" w:rsidRPr="005A1CAE">
        <w:rPr>
          <w:noProof/>
        </w:rPr>
        <w:t>lat</w:t>
      </w:r>
      <w:r w:rsidRPr="005A1CAE">
        <w:rPr>
          <w:noProof/>
        </w:rPr>
        <w:t>ach 2028–2034 zgodnie</w:t>
      </w:r>
      <w:r w:rsidR="005A1CAE" w:rsidRPr="005A1CAE">
        <w:rPr>
          <w:noProof/>
        </w:rPr>
        <w:t xml:space="preserve"> z</w:t>
      </w:r>
      <w:r w:rsidR="005A1CAE">
        <w:rPr>
          <w:noProof/>
        </w:rPr>
        <w:t> </w:t>
      </w:r>
      <w:r w:rsidR="005A1CAE" w:rsidRPr="005A1CAE">
        <w:rPr>
          <w:noProof/>
        </w:rPr>
        <w:t>wni</w:t>
      </w:r>
      <w:r w:rsidRPr="005A1CAE">
        <w:rPr>
          <w:noProof/>
        </w:rPr>
        <w:t>oskiem Komisji dotyczącym wieloletnich ram finansowych na lata 2028–2034.</w:t>
      </w:r>
    </w:p>
    <w:p w14:paraId="344723E6" w14:textId="2CC0BA3C" w:rsidR="009722D0" w:rsidRPr="005A1CAE" w:rsidRDefault="00656D3F" w:rsidP="00BE3E96">
      <w:pPr>
        <w:rPr>
          <w:noProof/>
        </w:rPr>
      </w:pPr>
      <w:r w:rsidRPr="005A1CAE">
        <w:rPr>
          <w:noProof/>
        </w:rPr>
        <w:t>Środki wprowadzone</w:t>
      </w:r>
      <w:r w:rsidR="005A1CAE" w:rsidRPr="005A1CAE">
        <w:rPr>
          <w:noProof/>
        </w:rPr>
        <w:t xml:space="preserve"> w</w:t>
      </w:r>
      <w:r w:rsidR="005A1CAE">
        <w:rPr>
          <w:noProof/>
        </w:rPr>
        <w:t> </w:t>
      </w:r>
      <w:r w:rsidR="005A1CAE" w:rsidRPr="005A1CAE">
        <w:rPr>
          <w:noProof/>
        </w:rPr>
        <w:t>cel</w:t>
      </w:r>
      <w:r w:rsidRPr="005A1CAE">
        <w:rPr>
          <w:noProof/>
        </w:rPr>
        <w:t>u przeciwdziałania ryzyku unikania</w:t>
      </w:r>
      <w:r w:rsidR="005A1CAE" w:rsidRPr="005A1CAE">
        <w:rPr>
          <w:noProof/>
        </w:rPr>
        <w:t xml:space="preserve"> i</w:t>
      </w:r>
      <w:r w:rsidR="005A1CAE">
        <w:rPr>
          <w:noProof/>
        </w:rPr>
        <w:t> </w:t>
      </w:r>
      <w:r w:rsidR="005A1CAE" w:rsidRPr="005A1CAE">
        <w:rPr>
          <w:noProof/>
        </w:rPr>
        <w:t>obc</w:t>
      </w:r>
      <w:r w:rsidRPr="005A1CAE">
        <w:rPr>
          <w:noProof/>
        </w:rPr>
        <w:t>hodzenia przepisów umożliwią osiągnięcie prognozowanych dochodów</w:t>
      </w:r>
      <w:r w:rsidR="005A1CAE" w:rsidRPr="005A1CAE">
        <w:rPr>
          <w:noProof/>
        </w:rPr>
        <w:t xml:space="preserve"> w</w:t>
      </w:r>
      <w:r w:rsidR="005A1CAE">
        <w:rPr>
          <w:noProof/>
        </w:rPr>
        <w:t> </w:t>
      </w:r>
      <w:r w:rsidR="005A1CAE" w:rsidRPr="005A1CAE">
        <w:rPr>
          <w:noProof/>
        </w:rPr>
        <w:t>pra</w:t>
      </w:r>
      <w:r w:rsidRPr="005A1CAE">
        <w:rPr>
          <w:noProof/>
        </w:rPr>
        <w:t>ktyce.</w:t>
      </w:r>
    </w:p>
    <w:p w14:paraId="2838F8CF" w14:textId="77777777" w:rsidR="00D0690F" w:rsidRPr="005A1CAE" w:rsidRDefault="00D0690F" w:rsidP="009F612D">
      <w:pPr>
        <w:pStyle w:val="ManualHeading1"/>
        <w:rPr>
          <w:noProof/>
        </w:rPr>
      </w:pPr>
      <w:r w:rsidRPr="005A1CAE">
        <w:rPr>
          <w:noProof/>
        </w:rPr>
        <w:t>5.</w:t>
      </w:r>
      <w:r w:rsidRPr="005A1CAE">
        <w:rPr>
          <w:noProof/>
        </w:rPr>
        <w:tab/>
        <w:t>ELEMENTY FAKULTATYWNE</w:t>
      </w:r>
    </w:p>
    <w:p w14:paraId="2CADF744" w14:textId="2B8279A8"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Plany wdrożenia</w:t>
      </w:r>
      <w:r w:rsidR="005A1CAE" w:rsidRPr="005A1CAE">
        <w:rPr>
          <w:noProof/>
          <w:u w:color="000000"/>
          <w:bdr w:val="nil"/>
        </w:rPr>
        <w:t xml:space="preserve"> i</w:t>
      </w:r>
      <w:r w:rsidR="005A1CAE">
        <w:rPr>
          <w:noProof/>
          <w:u w:color="000000"/>
          <w:bdr w:val="nil"/>
        </w:rPr>
        <w:t> </w:t>
      </w:r>
      <w:r w:rsidR="005A1CAE" w:rsidRPr="005A1CAE">
        <w:rPr>
          <w:noProof/>
          <w:u w:color="000000"/>
          <w:bdr w:val="nil"/>
        </w:rPr>
        <w:t>mon</w:t>
      </w:r>
      <w:r w:rsidRPr="005A1CAE">
        <w:rPr>
          <w:noProof/>
          <w:u w:color="000000"/>
          <w:bdr w:val="nil"/>
        </w:rPr>
        <w:t>itorowanie, ocena</w:t>
      </w:r>
      <w:r w:rsidR="005A1CAE" w:rsidRPr="005A1CAE">
        <w:rPr>
          <w:noProof/>
          <w:u w:color="000000"/>
          <w:bdr w:val="nil"/>
        </w:rPr>
        <w:t xml:space="preserve"> i</w:t>
      </w:r>
      <w:r w:rsidR="005A1CAE">
        <w:rPr>
          <w:noProof/>
          <w:u w:color="000000"/>
          <w:bdr w:val="nil"/>
        </w:rPr>
        <w:t> </w:t>
      </w:r>
      <w:r w:rsidR="005A1CAE" w:rsidRPr="005A1CAE">
        <w:rPr>
          <w:noProof/>
          <w:u w:color="000000"/>
          <w:bdr w:val="nil"/>
        </w:rPr>
        <w:t>spr</w:t>
      </w:r>
      <w:r w:rsidRPr="005A1CAE">
        <w:rPr>
          <w:noProof/>
          <w:u w:color="000000"/>
          <w:bdr w:val="nil"/>
        </w:rPr>
        <w:t>awozdania</w:t>
      </w:r>
    </w:p>
    <w:p w14:paraId="28F3ABEB" w14:textId="27FE5A15" w:rsidR="00BE3E96" w:rsidRPr="005A1CAE" w:rsidRDefault="00BE3E96" w:rsidP="00BE3E96">
      <w:pPr>
        <w:rPr>
          <w:noProof/>
        </w:rPr>
      </w:pPr>
      <w:r w:rsidRPr="005A1CAE">
        <w:rPr>
          <w:noProof/>
        </w:rPr>
        <w:t>Okres przejściowy CBAM ma zastosowanie do końca 2025</w:t>
      </w:r>
      <w:r w:rsidR="005A1CAE" w:rsidRPr="005A1CAE">
        <w:rPr>
          <w:noProof/>
        </w:rPr>
        <w:t> </w:t>
      </w:r>
      <w:r w:rsidRPr="005A1CAE">
        <w:rPr>
          <w:noProof/>
        </w:rPr>
        <w:t>r.,</w:t>
      </w:r>
      <w:r w:rsidR="005A1CAE" w:rsidRPr="005A1CAE">
        <w:rPr>
          <w:noProof/>
        </w:rPr>
        <w:t xml:space="preserve"> a</w:t>
      </w:r>
      <w:r w:rsidR="005A1CAE">
        <w:rPr>
          <w:noProof/>
        </w:rPr>
        <w:t> </w:t>
      </w:r>
      <w:r w:rsidR="005A1CAE" w:rsidRPr="005A1CAE">
        <w:rPr>
          <w:noProof/>
        </w:rPr>
        <w:t>okr</w:t>
      </w:r>
      <w:r w:rsidRPr="005A1CAE">
        <w:rPr>
          <w:noProof/>
        </w:rPr>
        <w:t>es docelowy rozpocznie się</w:t>
      </w:r>
      <w:r w:rsidR="005A1CAE" w:rsidRPr="005A1CAE">
        <w:rPr>
          <w:noProof/>
        </w:rPr>
        <w:t xml:space="preserve"> w</w:t>
      </w:r>
      <w:r w:rsidR="005A1CAE">
        <w:rPr>
          <w:noProof/>
        </w:rPr>
        <w:t> </w:t>
      </w:r>
      <w:r w:rsidR="005A1CAE" w:rsidRPr="005A1CAE">
        <w:rPr>
          <w:noProof/>
        </w:rPr>
        <w:t>2</w:t>
      </w:r>
      <w:r w:rsidRPr="005A1CAE">
        <w:rPr>
          <w:noProof/>
        </w:rPr>
        <w:t>026</w:t>
      </w:r>
      <w:r w:rsidR="005A1CAE" w:rsidRPr="005A1CAE">
        <w:rPr>
          <w:noProof/>
        </w:rPr>
        <w:t> </w:t>
      </w:r>
      <w:r w:rsidRPr="005A1CAE">
        <w:rPr>
          <w:noProof/>
        </w:rPr>
        <w:t xml:space="preserve">r. </w:t>
      </w:r>
    </w:p>
    <w:p w14:paraId="27172366" w14:textId="6D500F04" w:rsidR="00BE3E96" w:rsidRPr="005A1CAE" w:rsidRDefault="00BE3E96" w:rsidP="00BE3E96">
      <w:pPr>
        <w:rPr>
          <w:rFonts w:eastAsia="Times New Roman"/>
          <w:noProof/>
        </w:rPr>
      </w:pPr>
      <w:r w:rsidRPr="005A1CAE">
        <w:rPr>
          <w:noProof/>
        </w:rPr>
        <w:t>Przed zakończeniem okresu przejściowego</w:t>
      </w:r>
      <w:r w:rsidR="005A1CAE" w:rsidRPr="005A1CAE">
        <w:rPr>
          <w:noProof/>
        </w:rPr>
        <w:t xml:space="preserve"> i</w:t>
      </w:r>
      <w:r w:rsidR="005A1CAE">
        <w:rPr>
          <w:noProof/>
        </w:rPr>
        <w:t> </w:t>
      </w:r>
      <w:r w:rsidR="005A1CAE" w:rsidRPr="005A1CAE">
        <w:rPr>
          <w:noProof/>
        </w:rPr>
        <w:t>zgo</w:t>
      </w:r>
      <w:r w:rsidRPr="005A1CAE">
        <w:rPr>
          <w:noProof/>
        </w:rPr>
        <w:t>dnie</w:t>
      </w:r>
      <w:r w:rsidR="005A1CAE" w:rsidRPr="005A1CAE">
        <w:rPr>
          <w:noProof/>
        </w:rPr>
        <w:t xml:space="preserve"> z</w:t>
      </w:r>
      <w:r w:rsidR="005A1CAE">
        <w:rPr>
          <w:noProof/>
        </w:rPr>
        <w:t> </w:t>
      </w:r>
      <w:r w:rsidR="005A1CAE" w:rsidRPr="005A1CAE">
        <w:rPr>
          <w:noProof/>
        </w:rPr>
        <w:t>art</w:t>
      </w:r>
      <w:r w:rsidRPr="005A1CAE">
        <w:rPr>
          <w:noProof/>
        </w:rPr>
        <w:t>.</w:t>
      </w:r>
      <w:r w:rsidR="005A1CAE" w:rsidRPr="005A1CAE">
        <w:rPr>
          <w:noProof/>
        </w:rPr>
        <w:t> </w:t>
      </w:r>
      <w:r w:rsidRPr="005A1CAE">
        <w:rPr>
          <w:noProof/>
        </w:rPr>
        <w:t>30 ust.</w:t>
      </w:r>
      <w:r w:rsidR="005A1CAE" w:rsidRPr="005A1CAE">
        <w:rPr>
          <w:noProof/>
        </w:rPr>
        <w:t> </w:t>
      </w:r>
      <w:r w:rsidRPr="005A1CAE">
        <w:rPr>
          <w:noProof/>
        </w:rPr>
        <w:t>2 rozporządzenia</w:t>
      </w:r>
      <w:r w:rsidR="005A1CAE" w:rsidRPr="005A1CAE">
        <w:rPr>
          <w:noProof/>
        </w:rPr>
        <w:t xml:space="preserve"> w</w:t>
      </w:r>
      <w:r w:rsidR="005A1CAE">
        <w:rPr>
          <w:noProof/>
        </w:rPr>
        <w:t> </w:t>
      </w:r>
      <w:r w:rsidR="005A1CAE" w:rsidRPr="005A1CAE">
        <w:rPr>
          <w:noProof/>
        </w:rPr>
        <w:t>spr</w:t>
      </w:r>
      <w:r w:rsidRPr="005A1CAE">
        <w:rPr>
          <w:noProof/>
        </w:rPr>
        <w:t>awie CBAM Komisja jest zobowiązana przedłożyć Parlamentowi Europejskiemu</w:t>
      </w:r>
      <w:r w:rsidR="005A1CAE" w:rsidRPr="005A1CAE">
        <w:rPr>
          <w:noProof/>
        </w:rPr>
        <w:t xml:space="preserve"> i</w:t>
      </w:r>
      <w:r w:rsidR="005A1CAE">
        <w:rPr>
          <w:noProof/>
        </w:rPr>
        <w:t> </w:t>
      </w:r>
      <w:r w:rsidR="005A1CAE" w:rsidRPr="005A1CAE">
        <w:rPr>
          <w:noProof/>
        </w:rPr>
        <w:t>Rad</w:t>
      </w:r>
      <w:r w:rsidRPr="005A1CAE">
        <w:rPr>
          <w:noProof/>
        </w:rPr>
        <w:t>zie kompleksowe sprawozdanie</w:t>
      </w:r>
      <w:r w:rsidR="005A1CAE" w:rsidRPr="005A1CAE">
        <w:rPr>
          <w:noProof/>
        </w:rPr>
        <w:t xml:space="preserve"> z</w:t>
      </w:r>
      <w:r w:rsidR="005A1CAE">
        <w:rPr>
          <w:noProof/>
        </w:rPr>
        <w:t> </w:t>
      </w:r>
      <w:r w:rsidR="005A1CAE" w:rsidRPr="005A1CAE">
        <w:rPr>
          <w:noProof/>
        </w:rPr>
        <w:t>prz</w:t>
      </w:r>
      <w:r w:rsidRPr="005A1CAE">
        <w:rPr>
          <w:noProof/>
        </w:rPr>
        <w:t>eglądu wniosków wyciągniętych</w:t>
      </w:r>
      <w:r w:rsidR="005A1CAE" w:rsidRPr="005A1CAE">
        <w:rPr>
          <w:noProof/>
        </w:rPr>
        <w:t xml:space="preserve"> z</w:t>
      </w:r>
      <w:r w:rsidR="005A1CAE">
        <w:rPr>
          <w:noProof/>
        </w:rPr>
        <w:t> </w:t>
      </w:r>
      <w:r w:rsidR="005A1CAE" w:rsidRPr="005A1CAE">
        <w:rPr>
          <w:noProof/>
        </w:rPr>
        <w:t>okr</w:t>
      </w:r>
      <w:r w:rsidRPr="005A1CAE">
        <w:rPr>
          <w:noProof/>
        </w:rPr>
        <w:t>esu przejściowego</w:t>
      </w:r>
      <w:r w:rsidR="005A1CAE" w:rsidRPr="005A1CAE">
        <w:rPr>
          <w:noProof/>
        </w:rPr>
        <w:t>. W</w:t>
      </w:r>
      <w:r w:rsidR="005A1CAE">
        <w:rPr>
          <w:noProof/>
        </w:rPr>
        <w:t> </w:t>
      </w:r>
      <w:r w:rsidR="005A1CAE" w:rsidRPr="005A1CAE">
        <w:rPr>
          <w:noProof/>
        </w:rPr>
        <w:t>spr</w:t>
      </w:r>
      <w:r w:rsidRPr="005A1CAE">
        <w:rPr>
          <w:noProof/>
        </w:rPr>
        <w:t>awozdaniu tym przedstawione zostaną również możliwe przyszłe kroki</w:t>
      </w:r>
      <w:r w:rsidR="005A1CAE" w:rsidRPr="005A1CAE">
        <w:rPr>
          <w:noProof/>
        </w:rPr>
        <w:t xml:space="preserve"> w</w:t>
      </w:r>
      <w:r w:rsidR="005A1CAE">
        <w:rPr>
          <w:noProof/>
        </w:rPr>
        <w:t> </w:t>
      </w:r>
      <w:r w:rsidR="005A1CAE" w:rsidRPr="005A1CAE">
        <w:rPr>
          <w:noProof/>
        </w:rPr>
        <w:t>zak</w:t>
      </w:r>
      <w:r w:rsidRPr="005A1CAE">
        <w:rPr>
          <w:noProof/>
        </w:rPr>
        <w:t>resie dalszych zmian</w:t>
      </w:r>
      <w:r w:rsidR="005A1CAE" w:rsidRPr="005A1CAE">
        <w:rPr>
          <w:noProof/>
        </w:rPr>
        <w:t xml:space="preserve"> i</w:t>
      </w:r>
      <w:r w:rsidR="005A1CAE">
        <w:rPr>
          <w:noProof/>
        </w:rPr>
        <w:t> </w:t>
      </w:r>
      <w:r w:rsidR="005A1CAE" w:rsidRPr="005A1CAE">
        <w:rPr>
          <w:noProof/>
        </w:rPr>
        <w:t>roz</w:t>
      </w:r>
      <w:r w:rsidRPr="005A1CAE">
        <w:rPr>
          <w:noProof/>
        </w:rPr>
        <w:t>szerzenia zakresu. Komisja Europejska przygotowuje ponadto przyjęcie szeregu aktów wykonawczych</w:t>
      </w:r>
      <w:r w:rsidR="005A1CAE" w:rsidRPr="005A1CAE">
        <w:rPr>
          <w:noProof/>
        </w:rPr>
        <w:t xml:space="preserve"> i</w:t>
      </w:r>
      <w:r w:rsidR="005A1CAE">
        <w:rPr>
          <w:noProof/>
        </w:rPr>
        <w:t> </w:t>
      </w:r>
      <w:r w:rsidR="005A1CAE" w:rsidRPr="005A1CAE">
        <w:rPr>
          <w:noProof/>
        </w:rPr>
        <w:t>del</w:t>
      </w:r>
      <w:r w:rsidRPr="005A1CAE">
        <w:rPr>
          <w:noProof/>
        </w:rPr>
        <w:t>egowanych,</w:t>
      </w:r>
      <w:r w:rsidR="005A1CAE" w:rsidRPr="005A1CAE">
        <w:rPr>
          <w:noProof/>
        </w:rPr>
        <w:t xml:space="preserve"> w</w:t>
      </w:r>
      <w:r w:rsidR="005A1CAE">
        <w:rPr>
          <w:noProof/>
        </w:rPr>
        <w:t> </w:t>
      </w:r>
      <w:r w:rsidR="005A1CAE" w:rsidRPr="005A1CAE">
        <w:rPr>
          <w:noProof/>
        </w:rPr>
        <w:t>któ</w:t>
      </w:r>
      <w:r w:rsidRPr="005A1CAE">
        <w:rPr>
          <w:noProof/>
        </w:rPr>
        <w:t>rych określone zostaną przepisy techniczne dotyczące funkcjonowania CBAM</w:t>
      </w:r>
      <w:r w:rsidR="005A1CAE" w:rsidRPr="005A1CAE">
        <w:rPr>
          <w:noProof/>
        </w:rPr>
        <w:t xml:space="preserve"> w</w:t>
      </w:r>
      <w:r w:rsidR="005A1CAE">
        <w:rPr>
          <w:noProof/>
        </w:rPr>
        <w:t> </w:t>
      </w:r>
      <w:r w:rsidR="005A1CAE" w:rsidRPr="005A1CAE">
        <w:rPr>
          <w:noProof/>
        </w:rPr>
        <w:t>jeg</w:t>
      </w:r>
      <w:r w:rsidRPr="005A1CAE">
        <w:rPr>
          <w:noProof/>
        </w:rPr>
        <w:t>o obecnym zakresie.</w:t>
      </w:r>
    </w:p>
    <w:p w14:paraId="3DB5CF67" w14:textId="0154A926" w:rsidR="007D586D" w:rsidRPr="005A1CAE" w:rsidRDefault="00BE3E96" w:rsidP="00BE3E96">
      <w:pPr>
        <w:rPr>
          <w:noProof/>
        </w:rPr>
      </w:pPr>
      <w:r w:rsidRPr="005A1CAE">
        <w:rPr>
          <w:noProof/>
        </w:rPr>
        <w:t>Komisja będzie nadal monitorować</w:t>
      </w:r>
      <w:r w:rsidR="005A1CAE" w:rsidRPr="005A1CAE">
        <w:rPr>
          <w:noProof/>
        </w:rPr>
        <w:t xml:space="preserve"> i</w:t>
      </w:r>
      <w:r w:rsidR="005A1CAE">
        <w:rPr>
          <w:noProof/>
        </w:rPr>
        <w:t> </w:t>
      </w:r>
      <w:r w:rsidR="005A1CAE" w:rsidRPr="005A1CAE">
        <w:rPr>
          <w:noProof/>
        </w:rPr>
        <w:t>oce</w:t>
      </w:r>
      <w:r w:rsidRPr="005A1CAE">
        <w:rPr>
          <w:noProof/>
        </w:rPr>
        <w:t>niać wdrażanie CBAM</w:t>
      </w:r>
      <w:r w:rsidR="005A1CAE" w:rsidRPr="005A1CAE">
        <w:rPr>
          <w:noProof/>
        </w:rPr>
        <w:t xml:space="preserve"> i</w:t>
      </w:r>
      <w:r w:rsidR="005A1CAE">
        <w:rPr>
          <w:noProof/>
        </w:rPr>
        <w:t> </w:t>
      </w:r>
      <w:r w:rsidR="005A1CAE" w:rsidRPr="005A1CAE">
        <w:rPr>
          <w:noProof/>
        </w:rPr>
        <w:t>prz</w:t>
      </w:r>
      <w:r w:rsidRPr="005A1CAE">
        <w:rPr>
          <w:noProof/>
        </w:rPr>
        <w:t>edstawi sprawozdanie na ten temat zgodnie</w:t>
      </w:r>
      <w:r w:rsidR="005A1CAE" w:rsidRPr="005A1CAE">
        <w:rPr>
          <w:noProof/>
        </w:rPr>
        <w:t xml:space="preserve"> z</w:t>
      </w:r>
      <w:r w:rsidR="005A1CAE">
        <w:rPr>
          <w:noProof/>
        </w:rPr>
        <w:t> </w:t>
      </w:r>
      <w:r w:rsidR="005A1CAE" w:rsidRPr="005A1CAE">
        <w:rPr>
          <w:noProof/>
        </w:rPr>
        <w:t>wym</w:t>
      </w:r>
      <w:r w:rsidRPr="005A1CAE">
        <w:rPr>
          <w:noProof/>
        </w:rPr>
        <w:t>ogami rozporządzenia</w:t>
      </w:r>
      <w:r w:rsidR="005A1CAE" w:rsidRPr="005A1CAE">
        <w:rPr>
          <w:noProof/>
        </w:rPr>
        <w:t xml:space="preserve"> w</w:t>
      </w:r>
      <w:r w:rsidR="005A1CAE">
        <w:rPr>
          <w:noProof/>
        </w:rPr>
        <w:t> </w:t>
      </w:r>
      <w:r w:rsidR="005A1CAE" w:rsidRPr="005A1CAE">
        <w:rPr>
          <w:noProof/>
        </w:rPr>
        <w:t>spr</w:t>
      </w:r>
      <w:r w:rsidRPr="005A1CAE">
        <w:rPr>
          <w:noProof/>
        </w:rPr>
        <w:t>awie CBAM.</w:t>
      </w:r>
    </w:p>
    <w:p w14:paraId="02E289F9" w14:textId="77777777" w:rsidR="00D0690F" w:rsidRPr="005A1CAE" w:rsidRDefault="00D0690F" w:rsidP="009F612D">
      <w:pPr>
        <w:pStyle w:val="ManualHeading2"/>
        <w:rPr>
          <w:rFonts w:eastAsia="Arial Unicode MS"/>
          <w:noProof/>
          <w:u w:color="000000"/>
          <w:bdr w:val="nil"/>
        </w:rPr>
      </w:pPr>
      <w:r w:rsidRPr="005A1CAE">
        <w:rPr>
          <w:noProof/>
          <w:u w:color="000000"/>
          <w:bdr w:val="nil"/>
        </w:rPr>
        <w:t>•</w:t>
      </w:r>
      <w:r w:rsidRPr="005A1CAE">
        <w:rPr>
          <w:noProof/>
        </w:rPr>
        <w:tab/>
      </w:r>
      <w:r w:rsidRPr="005A1CAE">
        <w:rPr>
          <w:noProof/>
          <w:u w:color="000000"/>
          <w:bdr w:val="nil"/>
        </w:rPr>
        <w:t>Szczegółowe objaśnienia poszczególnych przepisów wniosku</w:t>
      </w:r>
    </w:p>
    <w:p w14:paraId="47D3C9FB" w14:textId="52E342DA" w:rsidR="00BE3E96" w:rsidRPr="005A1CAE" w:rsidRDefault="00BE3E96" w:rsidP="00BE3E96">
      <w:pPr>
        <w:rPr>
          <w:rFonts w:eastAsia="Times New Roman"/>
          <w:noProof/>
        </w:rPr>
      </w:pPr>
      <w:r w:rsidRPr="005A1CAE">
        <w:rPr>
          <w:noProof/>
        </w:rPr>
        <w:t>Niniejsze rozporządzenie wprowadza następujące zmiany</w:t>
      </w:r>
      <w:r w:rsidR="005A1CAE" w:rsidRPr="005A1CAE">
        <w:rPr>
          <w:noProof/>
        </w:rPr>
        <w:t xml:space="preserve"> w</w:t>
      </w:r>
      <w:r w:rsidR="005A1CAE">
        <w:rPr>
          <w:noProof/>
        </w:rPr>
        <w:t> </w:t>
      </w:r>
      <w:r w:rsidR="005A1CAE" w:rsidRPr="005A1CAE">
        <w:rPr>
          <w:noProof/>
        </w:rPr>
        <w:t>roz</w:t>
      </w:r>
      <w:r w:rsidRPr="005A1CAE">
        <w:rPr>
          <w:noProof/>
        </w:rPr>
        <w:t>porządzeniu (UE) 2023/956:</w:t>
      </w:r>
    </w:p>
    <w:p w14:paraId="22F888B1" w14:textId="6C801CC7" w:rsidR="00821B6C"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 precyzuje się stosowanie rozporządzenia (UE) 2023/956 po jego uwzględnieniu</w:t>
      </w:r>
      <w:r w:rsidR="005A1CAE" w:rsidRPr="005A1CAE">
        <w:rPr>
          <w:noProof/>
        </w:rPr>
        <w:t xml:space="preserve"> w</w:t>
      </w:r>
      <w:r w:rsidR="005A1CAE">
        <w:rPr>
          <w:noProof/>
        </w:rPr>
        <w:t> </w:t>
      </w:r>
      <w:r w:rsidR="005A1CAE" w:rsidRPr="005A1CAE">
        <w:rPr>
          <w:noProof/>
        </w:rPr>
        <w:t>Por</w:t>
      </w:r>
      <w:r w:rsidRPr="005A1CAE">
        <w:rPr>
          <w:noProof/>
        </w:rPr>
        <w:t>ozumieniu EOG</w:t>
      </w:r>
      <w:r w:rsidR="005A1CAE" w:rsidRPr="005A1CAE">
        <w:rPr>
          <w:noProof/>
        </w:rPr>
        <w:t xml:space="preserve"> i</w:t>
      </w:r>
      <w:r w:rsidR="005A1CAE">
        <w:rPr>
          <w:noProof/>
        </w:rPr>
        <w:t> </w:t>
      </w:r>
      <w:r w:rsidR="005A1CAE" w:rsidRPr="005A1CAE">
        <w:rPr>
          <w:noProof/>
        </w:rPr>
        <w:t>upr</w:t>
      </w:r>
      <w:r w:rsidRPr="005A1CAE">
        <w:rPr>
          <w:noProof/>
        </w:rPr>
        <w:t>awniono Komisję do przyjmowania aktów wykonawczych</w:t>
      </w:r>
      <w:r w:rsidR="005A1CAE" w:rsidRPr="005A1CAE">
        <w:rPr>
          <w:noProof/>
        </w:rPr>
        <w:t xml:space="preserve"> w</w:t>
      </w:r>
      <w:r w:rsidR="005A1CAE">
        <w:rPr>
          <w:noProof/>
        </w:rPr>
        <w:t> </w:t>
      </w:r>
      <w:r w:rsidR="005A1CAE" w:rsidRPr="005A1CAE">
        <w:rPr>
          <w:noProof/>
        </w:rPr>
        <w:t>cel</w:t>
      </w:r>
      <w:r w:rsidRPr="005A1CAE">
        <w:rPr>
          <w:noProof/>
        </w:rPr>
        <w:t>u odpowiedniej zmiany załącznika III do tego rozporządzenia.</w:t>
      </w:r>
    </w:p>
    <w:p w14:paraId="0E40CB4E" w14:textId="57C11EB8" w:rsidR="009C4E61" w:rsidRPr="005A1CAE" w:rsidRDefault="009C4E61"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 lit.</w:t>
      </w:r>
      <w:r w:rsidR="005A1CAE" w:rsidRPr="005A1CAE">
        <w:rPr>
          <w:noProof/>
        </w:rPr>
        <w:t> </w:t>
      </w:r>
      <w:r w:rsidRPr="005A1CAE">
        <w:rPr>
          <w:noProof/>
        </w:rPr>
        <w:t>c) i d) przewidziano możliwość uznania transpozycji odpowiedniego dorobku prawnego UE dotyczącego rynku energii elektrycznej</w:t>
      </w:r>
      <w:r w:rsidR="005A1CAE" w:rsidRPr="005A1CAE">
        <w:rPr>
          <w:noProof/>
        </w:rPr>
        <w:t xml:space="preserve"> w</w:t>
      </w:r>
      <w:r w:rsidR="005A1CAE">
        <w:rPr>
          <w:noProof/>
        </w:rPr>
        <w:t> </w:t>
      </w:r>
      <w:r w:rsidR="005A1CAE" w:rsidRPr="005A1CAE">
        <w:rPr>
          <w:noProof/>
        </w:rPr>
        <w:t>cel</w:t>
      </w:r>
      <w:r w:rsidRPr="005A1CAE">
        <w:rPr>
          <w:noProof/>
        </w:rPr>
        <w:t>u zwrócenia się</w:t>
      </w:r>
      <w:r w:rsidR="005A1CAE" w:rsidRPr="005A1CAE">
        <w:rPr>
          <w:noProof/>
        </w:rPr>
        <w:t xml:space="preserve"> o</w:t>
      </w:r>
      <w:r w:rsidR="005A1CAE">
        <w:rPr>
          <w:noProof/>
        </w:rPr>
        <w:t> </w:t>
      </w:r>
      <w:r w:rsidR="005A1CAE" w:rsidRPr="005A1CAE">
        <w:rPr>
          <w:noProof/>
        </w:rPr>
        <w:t>int</w:t>
      </w:r>
      <w:r w:rsidRPr="005A1CAE">
        <w:rPr>
          <w:noProof/>
        </w:rPr>
        <w:t>egrację rynku energii elektrycznej państwa trzeciego</w:t>
      </w:r>
      <w:r w:rsidR="005A1CAE" w:rsidRPr="005A1CAE">
        <w:rPr>
          <w:noProof/>
        </w:rPr>
        <w:t xml:space="preserve"> z</w:t>
      </w:r>
      <w:r w:rsidR="005A1CAE">
        <w:rPr>
          <w:noProof/>
        </w:rPr>
        <w:t> </w:t>
      </w:r>
      <w:r w:rsidR="005A1CAE" w:rsidRPr="005A1CAE">
        <w:rPr>
          <w:noProof/>
        </w:rPr>
        <w:t>ryn</w:t>
      </w:r>
      <w:r w:rsidRPr="005A1CAE">
        <w:rPr>
          <w:noProof/>
        </w:rPr>
        <w:t>kiem Unii przez łączenie rynków,</w:t>
      </w:r>
      <w:r w:rsidR="005A1CAE" w:rsidRPr="005A1CAE">
        <w:rPr>
          <w:noProof/>
        </w:rPr>
        <w:t xml:space="preserve"> w</w:t>
      </w:r>
      <w:r w:rsidR="005A1CAE">
        <w:rPr>
          <w:noProof/>
        </w:rPr>
        <w:t> </w:t>
      </w:r>
      <w:r w:rsidR="005A1CAE" w:rsidRPr="005A1CAE">
        <w:rPr>
          <w:noProof/>
        </w:rPr>
        <w:t>dro</w:t>
      </w:r>
      <w:r w:rsidRPr="005A1CAE">
        <w:rPr>
          <w:noProof/>
        </w:rPr>
        <w:t>dze protokołu ustaleń między Komisją</w:t>
      </w:r>
      <w:r w:rsidR="005A1CAE" w:rsidRPr="005A1CAE">
        <w:rPr>
          <w:noProof/>
        </w:rPr>
        <w:t xml:space="preserve"> a</w:t>
      </w:r>
      <w:r w:rsidR="005A1CAE">
        <w:rPr>
          <w:noProof/>
        </w:rPr>
        <w:t> </w:t>
      </w:r>
      <w:r w:rsidR="005A1CAE" w:rsidRPr="005A1CAE">
        <w:rPr>
          <w:noProof/>
        </w:rPr>
        <w:t>pań</w:t>
      </w:r>
      <w:r w:rsidRPr="005A1CAE">
        <w:rPr>
          <w:noProof/>
        </w:rPr>
        <w:t xml:space="preserve">stwami trzecimi. </w:t>
      </w:r>
    </w:p>
    <w:p w14:paraId="6A187681" w14:textId="61FFE665" w:rsidR="00B30820" w:rsidRPr="005A1CAE" w:rsidRDefault="00B30820"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 lit.</w:t>
      </w:r>
      <w:r w:rsidR="005A1CAE" w:rsidRPr="005A1CAE">
        <w:rPr>
          <w:noProof/>
        </w:rPr>
        <w:t> </w:t>
      </w:r>
      <w:r w:rsidRPr="005A1CAE">
        <w:rPr>
          <w:noProof/>
        </w:rPr>
        <w:t>e)</w:t>
      </w:r>
      <w:r w:rsidR="005A1CAE" w:rsidRPr="005A1CAE">
        <w:rPr>
          <w:noProof/>
        </w:rPr>
        <w:t xml:space="preserve"> i</w:t>
      </w:r>
      <w:r w:rsidR="005A1CAE">
        <w:rPr>
          <w:noProof/>
        </w:rPr>
        <w:t> </w:t>
      </w:r>
      <w:r w:rsidR="005A1CAE" w:rsidRPr="005A1CAE">
        <w:rPr>
          <w:noProof/>
        </w:rPr>
        <w:t>art</w:t>
      </w:r>
      <w:r w:rsidRPr="005A1CAE">
        <w:rPr>
          <w:noProof/>
        </w:rPr>
        <w:t>.</w:t>
      </w:r>
      <w:r w:rsidR="005A1CAE" w:rsidRPr="005A1CAE">
        <w:rPr>
          <w:noProof/>
        </w:rPr>
        <w:t> </w:t>
      </w:r>
      <w:r w:rsidRPr="005A1CAE">
        <w:rPr>
          <w:noProof/>
        </w:rPr>
        <w:t>1 pkt</w:t>
      </w:r>
      <w:r w:rsidR="005A1CAE" w:rsidRPr="005A1CAE">
        <w:rPr>
          <w:noProof/>
        </w:rPr>
        <w:t> </w:t>
      </w:r>
      <w:r w:rsidRPr="005A1CAE">
        <w:rPr>
          <w:noProof/>
        </w:rPr>
        <w:t>19 przewidziano możliwość przyjmowania aktów delegowanych</w:t>
      </w:r>
      <w:r w:rsidR="005A1CAE" w:rsidRPr="005A1CAE">
        <w:rPr>
          <w:noProof/>
        </w:rPr>
        <w:t xml:space="preserve"> w</w:t>
      </w:r>
      <w:r w:rsidR="005A1CAE">
        <w:rPr>
          <w:noProof/>
        </w:rPr>
        <w:t> </w:t>
      </w:r>
      <w:r w:rsidR="005A1CAE" w:rsidRPr="005A1CAE">
        <w:rPr>
          <w:noProof/>
        </w:rPr>
        <w:t>try</w:t>
      </w:r>
      <w:r w:rsidRPr="005A1CAE">
        <w:rPr>
          <w:noProof/>
        </w:rPr>
        <w:t>bie pilnym</w:t>
      </w:r>
      <w:r w:rsidR="005A1CAE" w:rsidRPr="005A1CAE">
        <w:rPr>
          <w:noProof/>
        </w:rPr>
        <w:t xml:space="preserve"> w</w:t>
      </w:r>
      <w:r w:rsidR="005A1CAE">
        <w:rPr>
          <w:noProof/>
        </w:rPr>
        <w:t> </w:t>
      </w:r>
      <w:r w:rsidR="005A1CAE" w:rsidRPr="005A1CAE">
        <w:rPr>
          <w:noProof/>
        </w:rPr>
        <w:t>cel</w:t>
      </w:r>
      <w:r w:rsidRPr="005A1CAE">
        <w:rPr>
          <w:noProof/>
        </w:rPr>
        <w:t>u dodania państwa trzeciego lub terytorium trzeciego do wykazu zwolnionych państw trzecich lub terytoriów trzecich</w:t>
      </w:r>
      <w:r w:rsidR="005A1CAE" w:rsidRPr="005A1CAE">
        <w:rPr>
          <w:noProof/>
        </w:rPr>
        <w:t xml:space="preserve"> w</w:t>
      </w:r>
      <w:r w:rsidR="005A1CAE">
        <w:rPr>
          <w:noProof/>
        </w:rPr>
        <w:t> </w:t>
      </w:r>
      <w:r w:rsidR="005A1CAE" w:rsidRPr="005A1CAE">
        <w:rPr>
          <w:noProof/>
        </w:rPr>
        <w:t>zał</w:t>
      </w:r>
      <w:r w:rsidRPr="005A1CAE">
        <w:rPr>
          <w:noProof/>
        </w:rPr>
        <w:t>ączniku III do rozporządzenia (UE) 2023/956.</w:t>
      </w:r>
    </w:p>
    <w:p w14:paraId="2FB43EAC" w14:textId="7AAC5536" w:rsidR="009C4E61" w:rsidRPr="005A1CAE" w:rsidRDefault="009C4E61"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 lit.</w:t>
      </w:r>
      <w:r w:rsidR="005A1CAE" w:rsidRPr="005A1CAE">
        <w:rPr>
          <w:noProof/>
        </w:rPr>
        <w:t> </w:t>
      </w:r>
      <w:r w:rsidRPr="005A1CAE">
        <w:rPr>
          <w:noProof/>
        </w:rPr>
        <w:t>e) przewidziano możliwość zawierania przez Unię umów</w:t>
      </w:r>
      <w:r w:rsidR="005A1CAE" w:rsidRPr="005A1CAE">
        <w:rPr>
          <w:noProof/>
        </w:rPr>
        <w:t xml:space="preserve"> z</w:t>
      </w:r>
      <w:r w:rsidR="005A1CAE">
        <w:rPr>
          <w:noProof/>
        </w:rPr>
        <w:t> </w:t>
      </w:r>
      <w:r w:rsidR="005A1CAE" w:rsidRPr="005A1CAE">
        <w:rPr>
          <w:noProof/>
        </w:rPr>
        <w:t>pań</w:t>
      </w:r>
      <w:r w:rsidRPr="005A1CAE">
        <w:rPr>
          <w:noProof/>
        </w:rPr>
        <w:t>stwami trzecimi</w:t>
      </w:r>
      <w:r w:rsidR="005A1CAE" w:rsidRPr="005A1CAE">
        <w:rPr>
          <w:noProof/>
        </w:rPr>
        <w:t xml:space="preserve"> w</w:t>
      </w:r>
      <w:r w:rsidR="005A1CAE">
        <w:rPr>
          <w:noProof/>
        </w:rPr>
        <w:t> </w:t>
      </w:r>
      <w:r w:rsidR="005A1CAE" w:rsidRPr="005A1CAE">
        <w:rPr>
          <w:noProof/>
        </w:rPr>
        <w:t>cel</w:t>
      </w:r>
      <w:r w:rsidRPr="005A1CAE">
        <w:rPr>
          <w:noProof/>
        </w:rPr>
        <w:t>u uwzględnienia mechanizmu wprowadzania opłat emisyjnych oraz wzajemnego uznawania jednostek akredytujących.</w:t>
      </w:r>
    </w:p>
    <w:p w14:paraId="33A0A500" w14:textId="3B581D07"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3, art.</w:t>
      </w:r>
      <w:r w:rsidR="005A1CAE" w:rsidRPr="005A1CAE">
        <w:rPr>
          <w:noProof/>
        </w:rPr>
        <w:t> </w:t>
      </w:r>
      <w:r w:rsidRPr="005A1CAE">
        <w:rPr>
          <w:noProof/>
        </w:rPr>
        <w:t>1 pkt</w:t>
      </w:r>
      <w:r w:rsidR="005A1CAE" w:rsidRPr="005A1CAE">
        <w:rPr>
          <w:noProof/>
        </w:rPr>
        <w:t> </w:t>
      </w:r>
      <w:r w:rsidRPr="005A1CAE">
        <w:rPr>
          <w:noProof/>
        </w:rPr>
        <w:t>5 lit.</w:t>
      </w:r>
      <w:r w:rsidR="005A1CAE" w:rsidRPr="005A1CAE">
        <w:rPr>
          <w:noProof/>
        </w:rPr>
        <w:t> </w:t>
      </w:r>
      <w:r w:rsidRPr="005A1CAE">
        <w:rPr>
          <w:noProof/>
        </w:rPr>
        <w:t>a) ppkt 2</w:t>
      </w:r>
      <w:r w:rsidR="005A1CAE" w:rsidRPr="005A1CAE">
        <w:rPr>
          <w:noProof/>
        </w:rPr>
        <w:t xml:space="preserve"> i</w:t>
      </w:r>
      <w:r w:rsidR="005A1CAE">
        <w:rPr>
          <w:noProof/>
        </w:rPr>
        <w:t> </w:t>
      </w:r>
      <w:r w:rsidR="005A1CAE" w:rsidRPr="005A1CAE">
        <w:rPr>
          <w:noProof/>
        </w:rPr>
        <w:t>art</w:t>
      </w:r>
      <w:r w:rsidRPr="005A1CAE">
        <w:rPr>
          <w:noProof/>
        </w:rPr>
        <w:t>.</w:t>
      </w:r>
      <w:r w:rsidR="005A1CAE" w:rsidRPr="005A1CAE">
        <w:rPr>
          <w:noProof/>
        </w:rPr>
        <w:t> </w:t>
      </w:r>
      <w:r w:rsidRPr="005A1CAE">
        <w:rPr>
          <w:noProof/>
        </w:rPr>
        <w:t>1 pkt</w:t>
      </w:r>
      <w:r w:rsidR="005A1CAE" w:rsidRPr="005A1CAE">
        <w:rPr>
          <w:noProof/>
        </w:rPr>
        <w:t> </w:t>
      </w:r>
      <w:r w:rsidRPr="005A1CAE">
        <w:rPr>
          <w:noProof/>
        </w:rPr>
        <w:t>5 lit.</w:t>
      </w:r>
      <w:r w:rsidR="005A1CAE" w:rsidRPr="005A1CAE">
        <w:rPr>
          <w:noProof/>
        </w:rPr>
        <w:t> </w:t>
      </w:r>
      <w:r w:rsidRPr="005A1CAE">
        <w:rPr>
          <w:noProof/>
        </w:rPr>
        <w:t>c) oraz art.</w:t>
      </w:r>
      <w:r w:rsidR="005A1CAE" w:rsidRPr="005A1CAE">
        <w:rPr>
          <w:noProof/>
        </w:rPr>
        <w:t> </w:t>
      </w:r>
      <w:r w:rsidRPr="005A1CAE">
        <w:rPr>
          <w:noProof/>
        </w:rPr>
        <w:t>1 pkt</w:t>
      </w:r>
      <w:r w:rsidR="005A1CAE" w:rsidRPr="005A1CAE">
        <w:rPr>
          <w:noProof/>
        </w:rPr>
        <w:t> </w:t>
      </w:r>
      <w:r w:rsidRPr="005A1CAE">
        <w:rPr>
          <w:noProof/>
        </w:rPr>
        <w:t>8 lit.</w:t>
      </w:r>
      <w:r w:rsidR="005A1CAE" w:rsidRPr="005A1CAE">
        <w:rPr>
          <w:noProof/>
        </w:rPr>
        <w:t> </w:t>
      </w:r>
      <w:r w:rsidRPr="005A1CAE">
        <w:rPr>
          <w:noProof/>
        </w:rPr>
        <w:t>b) i c) uprawniono Komisję do przyjmowania aktów delegowanych wymagających,</w:t>
      </w:r>
      <w:r w:rsidR="005A1CAE" w:rsidRPr="005A1CAE">
        <w:rPr>
          <w:noProof/>
        </w:rPr>
        <w:t xml:space="preserve"> w</w:t>
      </w:r>
      <w:r w:rsidR="005A1CAE">
        <w:rPr>
          <w:noProof/>
        </w:rPr>
        <w:t> </w:t>
      </w:r>
      <w:r w:rsidR="005A1CAE" w:rsidRPr="005A1CAE">
        <w:rPr>
          <w:noProof/>
        </w:rPr>
        <w:t>prz</w:t>
      </w:r>
      <w:r w:rsidRPr="005A1CAE">
        <w:rPr>
          <w:noProof/>
        </w:rPr>
        <w:t>ypadkach gdy istnieją wystarczające dowody wskazujące na wysokie ryzyko wystąpienia nadużyć,</w:t>
      </w:r>
      <w:r w:rsidR="005A1CAE" w:rsidRPr="005A1CAE">
        <w:rPr>
          <w:noProof/>
        </w:rPr>
        <w:t xml:space="preserve"> w</w:t>
      </w:r>
      <w:r w:rsidR="005A1CAE">
        <w:rPr>
          <w:noProof/>
        </w:rPr>
        <w:t> </w:t>
      </w:r>
      <w:r w:rsidR="005A1CAE" w:rsidRPr="005A1CAE">
        <w:rPr>
          <w:noProof/>
        </w:rPr>
        <w:t>odn</w:t>
      </w:r>
      <w:r w:rsidRPr="005A1CAE">
        <w:rPr>
          <w:noProof/>
        </w:rPr>
        <w:t>iesieniu do podzbioru kodów CN</w:t>
      </w:r>
      <w:r w:rsidR="005A1CAE" w:rsidRPr="005A1CAE">
        <w:rPr>
          <w:noProof/>
        </w:rPr>
        <w:t xml:space="preserve"> i</w:t>
      </w:r>
      <w:r w:rsidR="005A1CAE">
        <w:rPr>
          <w:noProof/>
        </w:rPr>
        <w:t> </w:t>
      </w:r>
      <w:r w:rsidR="005A1CAE" w:rsidRPr="005A1CAE">
        <w:rPr>
          <w:noProof/>
        </w:rPr>
        <w:t>poc</w:t>
      </w:r>
      <w:r w:rsidRPr="005A1CAE">
        <w:rPr>
          <w:noProof/>
        </w:rPr>
        <w:t>hodzeń, przedstawienia dodatkowych dowodów</w:t>
      </w:r>
      <w:r w:rsidR="005A1CAE" w:rsidRPr="005A1CAE">
        <w:rPr>
          <w:noProof/>
        </w:rPr>
        <w:t xml:space="preserve"> w</w:t>
      </w:r>
      <w:r w:rsidR="005A1CAE">
        <w:rPr>
          <w:noProof/>
        </w:rPr>
        <w:t> </w:t>
      </w:r>
      <w:r w:rsidR="005A1CAE" w:rsidRPr="005A1CAE">
        <w:rPr>
          <w:noProof/>
        </w:rPr>
        <w:t>cel</w:t>
      </w:r>
      <w:r w:rsidRPr="005A1CAE">
        <w:rPr>
          <w:noProof/>
        </w:rPr>
        <w:t>u wykazania, że takie nadużycia nie wystąpiły.</w:t>
      </w:r>
    </w:p>
    <w:p w14:paraId="34E6BB68" w14:textId="0EFC488F"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2, art.</w:t>
      </w:r>
      <w:r w:rsidR="005A1CAE" w:rsidRPr="005A1CAE">
        <w:rPr>
          <w:noProof/>
        </w:rPr>
        <w:t> </w:t>
      </w:r>
      <w:r w:rsidRPr="005A1CAE">
        <w:rPr>
          <w:noProof/>
        </w:rPr>
        <w:t>1 pkt</w:t>
      </w:r>
      <w:r w:rsidR="005A1CAE" w:rsidRPr="005A1CAE">
        <w:rPr>
          <w:noProof/>
        </w:rPr>
        <w:t> </w:t>
      </w:r>
      <w:r w:rsidRPr="005A1CAE">
        <w:rPr>
          <w:noProof/>
        </w:rPr>
        <w:t>6 lit.</w:t>
      </w:r>
      <w:r w:rsidR="005A1CAE" w:rsidRPr="005A1CAE">
        <w:rPr>
          <w:noProof/>
        </w:rPr>
        <w:t> </w:t>
      </w:r>
      <w:r w:rsidRPr="005A1CAE">
        <w:rPr>
          <w:noProof/>
        </w:rPr>
        <w:t>c) oraz art.</w:t>
      </w:r>
      <w:r w:rsidR="005A1CAE" w:rsidRPr="005A1CAE">
        <w:rPr>
          <w:noProof/>
        </w:rPr>
        <w:t> </w:t>
      </w:r>
      <w:r w:rsidRPr="005A1CAE">
        <w:rPr>
          <w:noProof/>
        </w:rPr>
        <w:t>1 pkt</w:t>
      </w:r>
      <w:r w:rsidR="005A1CAE" w:rsidRPr="005A1CAE">
        <w:rPr>
          <w:noProof/>
        </w:rPr>
        <w:t> </w:t>
      </w:r>
      <w:r w:rsidRPr="005A1CAE">
        <w:rPr>
          <w:noProof/>
        </w:rPr>
        <w:t>21–23 lit.</w:t>
      </w:r>
      <w:r w:rsidR="005A1CAE" w:rsidRPr="005A1CAE">
        <w:rPr>
          <w:noProof/>
        </w:rPr>
        <w:t> </w:t>
      </w:r>
      <w:r w:rsidRPr="005A1CAE">
        <w:rPr>
          <w:noProof/>
        </w:rPr>
        <w:t>b) rozszerzono zakres stosowania rozporządzenia (UE) 2023/956 na niektóre towary niższego szczebla wymagające intensywnego wykorzystania stali</w:t>
      </w:r>
      <w:r w:rsidR="005A1CAE" w:rsidRPr="005A1CAE">
        <w:rPr>
          <w:noProof/>
        </w:rPr>
        <w:t xml:space="preserve"> i</w:t>
      </w:r>
      <w:r w:rsidR="005A1CAE">
        <w:rPr>
          <w:noProof/>
        </w:rPr>
        <w:t> </w:t>
      </w:r>
      <w:r w:rsidR="005A1CAE" w:rsidRPr="005A1CAE">
        <w:rPr>
          <w:noProof/>
        </w:rPr>
        <w:t>alu</w:t>
      </w:r>
      <w:r w:rsidRPr="005A1CAE">
        <w:rPr>
          <w:noProof/>
        </w:rPr>
        <w:t>minium oraz przewidziano możliwość stosowania stopniowego narzutu</w:t>
      </w:r>
      <w:r w:rsidR="005A1CAE" w:rsidRPr="005A1CAE">
        <w:rPr>
          <w:noProof/>
        </w:rPr>
        <w:t xml:space="preserve"> w</w:t>
      </w:r>
      <w:r w:rsidR="005A1CAE">
        <w:rPr>
          <w:noProof/>
        </w:rPr>
        <w:t> </w:t>
      </w:r>
      <w:r w:rsidR="005A1CAE" w:rsidRPr="005A1CAE">
        <w:rPr>
          <w:noProof/>
        </w:rPr>
        <w:t>odn</w:t>
      </w:r>
      <w:r w:rsidRPr="005A1CAE">
        <w:rPr>
          <w:noProof/>
        </w:rPr>
        <w:t>iesieniu do niektórych</w:t>
      </w:r>
      <w:r w:rsidR="005A1CAE" w:rsidRPr="005A1CAE">
        <w:rPr>
          <w:noProof/>
        </w:rPr>
        <w:t xml:space="preserve"> z</w:t>
      </w:r>
      <w:r w:rsidR="005A1CAE">
        <w:rPr>
          <w:noProof/>
        </w:rPr>
        <w:t> </w:t>
      </w:r>
      <w:r w:rsidR="005A1CAE" w:rsidRPr="005A1CAE">
        <w:rPr>
          <w:noProof/>
        </w:rPr>
        <w:t>tyc</w:t>
      </w:r>
      <w:r w:rsidRPr="005A1CAE">
        <w:rPr>
          <w:noProof/>
        </w:rPr>
        <w:t xml:space="preserve">h towarów. </w:t>
      </w:r>
    </w:p>
    <w:p w14:paraId="66E30C37" w14:textId="150C2342" w:rsidR="008E19CB" w:rsidRPr="005A1CAE" w:rsidRDefault="00401CD8" w:rsidP="00BE3E96">
      <w:pPr>
        <w:rPr>
          <w:rFonts w:eastAsia="Times New Roman"/>
          <w:noProof/>
        </w:rPr>
      </w:pPr>
      <w:r w:rsidRPr="005A1CAE">
        <w:rPr>
          <w:noProof/>
        </w:rPr>
        <w:lastRenderedPageBreak/>
        <w:t>W art.</w:t>
      </w:r>
      <w:r w:rsidR="005A1CAE" w:rsidRPr="005A1CAE">
        <w:rPr>
          <w:noProof/>
        </w:rPr>
        <w:t> </w:t>
      </w:r>
      <w:r w:rsidRPr="005A1CAE">
        <w:rPr>
          <w:noProof/>
        </w:rPr>
        <w:t>1 pkt</w:t>
      </w:r>
      <w:r w:rsidR="005A1CAE" w:rsidRPr="005A1CAE">
        <w:rPr>
          <w:noProof/>
        </w:rPr>
        <w:t> </w:t>
      </w:r>
      <w:r w:rsidRPr="005A1CAE">
        <w:rPr>
          <w:noProof/>
        </w:rPr>
        <w:t>4 dodano wymóg, aby pośredni przedstawiciel celny składający wniosek</w:t>
      </w:r>
      <w:r w:rsidR="005A1CAE" w:rsidRPr="005A1CAE">
        <w:rPr>
          <w:noProof/>
        </w:rPr>
        <w:t xml:space="preserve"> o</w:t>
      </w:r>
      <w:r w:rsidR="005A1CAE">
        <w:rPr>
          <w:noProof/>
        </w:rPr>
        <w:t> </w:t>
      </w:r>
      <w:r w:rsidR="005A1CAE" w:rsidRPr="005A1CAE">
        <w:rPr>
          <w:noProof/>
        </w:rPr>
        <w:t>udz</w:t>
      </w:r>
      <w:r w:rsidRPr="005A1CAE">
        <w:rPr>
          <w:noProof/>
        </w:rPr>
        <w:t>ielenie upoważnienia wskazał we wniosku numer EORI lub inny krajowy numer identyfikacyjny reprezentowanych importerów.</w:t>
      </w:r>
    </w:p>
    <w:p w14:paraId="454F1B36" w14:textId="5D2958E1"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5 lit.</w:t>
      </w:r>
      <w:r w:rsidR="005A1CAE" w:rsidRPr="005A1CAE">
        <w:rPr>
          <w:noProof/>
        </w:rPr>
        <w:t> </w:t>
      </w:r>
      <w:r w:rsidRPr="005A1CAE">
        <w:rPr>
          <w:noProof/>
        </w:rPr>
        <w:t>a) ppkt 1</w:t>
      </w:r>
      <w:r w:rsidR="005A1CAE" w:rsidRPr="005A1CAE">
        <w:rPr>
          <w:noProof/>
        </w:rPr>
        <w:t xml:space="preserve"> i</w:t>
      </w:r>
      <w:r w:rsidR="005A1CAE">
        <w:rPr>
          <w:noProof/>
        </w:rPr>
        <w:t> </w:t>
      </w:r>
      <w:r w:rsidR="005A1CAE" w:rsidRPr="005A1CAE">
        <w:rPr>
          <w:noProof/>
        </w:rPr>
        <w:t>art</w:t>
      </w:r>
      <w:r w:rsidRPr="005A1CAE">
        <w:rPr>
          <w:noProof/>
        </w:rPr>
        <w:t>.</w:t>
      </w:r>
      <w:r w:rsidR="005A1CAE" w:rsidRPr="005A1CAE">
        <w:rPr>
          <w:noProof/>
        </w:rPr>
        <w:t> </w:t>
      </w:r>
      <w:r w:rsidRPr="005A1CAE">
        <w:rPr>
          <w:noProof/>
        </w:rPr>
        <w:t>1 pkt</w:t>
      </w:r>
      <w:r w:rsidR="005A1CAE" w:rsidRPr="005A1CAE">
        <w:rPr>
          <w:noProof/>
        </w:rPr>
        <w:t> </w:t>
      </w:r>
      <w:r w:rsidRPr="005A1CAE">
        <w:rPr>
          <w:noProof/>
        </w:rPr>
        <w:t>8 lit.</w:t>
      </w:r>
      <w:r w:rsidR="005A1CAE" w:rsidRPr="005A1CAE">
        <w:rPr>
          <w:noProof/>
        </w:rPr>
        <w:t> </w:t>
      </w:r>
      <w:r w:rsidRPr="005A1CAE">
        <w:rPr>
          <w:noProof/>
        </w:rPr>
        <w:t>a) przewidziano rejestrację operatora</w:t>
      </w:r>
      <w:r w:rsidR="005A1CAE" w:rsidRPr="005A1CAE">
        <w:rPr>
          <w:noProof/>
        </w:rPr>
        <w:t xml:space="preserve"> w</w:t>
      </w:r>
      <w:r w:rsidR="005A1CAE">
        <w:rPr>
          <w:noProof/>
        </w:rPr>
        <w:t> </w:t>
      </w:r>
      <w:r w:rsidR="005A1CAE" w:rsidRPr="005A1CAE">
        <w:rPr>
          <w:noProof/>
        </w:rPr>
        <w:t>rej</w:t>
      </w:r>
      <w:r w:rsidRPr="005A1CAE">
        <w:rPr>
          <w:noProof/>
        </w:rPr>
        <w:t xml:space="preserve">estrze CBAM do celów określenia poziomu emisji wbudowanych na podstawie rzeczywistych zweryfikowanych emisji. </w:t>
      </w:r>
    </w:p>
    <w:p w14:paraId="06D3CB53" w14:textId="5C526EC3"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5 lit.</w:t>
      </w:r>
      <w:r w:rsidR="005A1CAE" w:rsidRPr="005A1CAE">
        <w:rPr>
          <w:noProof/>
        </w:rPr>
        <w:t> </w:t>
      </w:r>
      <w:r w:rsidRPr="005A1CAE">
        <w:rPr>
          <w:noProof/>
        </w:rPr>
        <w:t>b) i c) wymaga się, aby upoważniony zgłaszający CBAM przedstawił,</w:t>
      </w:r>
      <w:r w:rsidR="005A1CAE" w:rsidRPr="005A1CAE">
        <w:rPr>
          <w:noProof/>
        </w:rPr>
        <w:t xml:space="preserve"> w</w:t>
      </w:r>
      <w:r w:rsidR="005A1CAE">
        <w:rPr>
          <w:noProof/>
        </w:rPr>
        <w:t> </w:t>
      </w:r>
      <w:r w:rsidR="005A1CAE" w:rsidRPr="005A1CAE">
        <w:rPr>
          <w:noProof/>
        </w:rPr>
        <w:t>sto</w:t>
      </w:r>
      <w:r w:rsidRPr="005A1CAE">
        <w:rPr>
          <w:noProof/>
        </w:rPr>
        <w:t>sownych przypadkach, dowody potwierdzające miejsce</w:t>
      </w:r>
      <w:r w:rsidR="005A1CAE" w:rsidRPr="005A1CAE">
        <w:rPr>
          <w:noProof/>
        </w:rPr>
        <w:t xml:space="preserve"> i</w:t>
      </w:r>
      <w:r w:rsidR="005A1CAE">
        <w:rPr>
          <w:noProof/>
        </w:rPr>
        <w:t> </w:t>
      </w:r>
      <w:r w:rsidR="005A1CAE" w:rsidRPr="005A1CAE">
        <w:rPr>
          <w:noProof/>
        </w:rPr>
        <w:t>cza</w:t>
      </w:r>
      <w:r w:rsidRPr="005A1CAE">
        <w:rPr>
          <w:noProof/>
        </w:rPr>
        <w:t>s produkcji towarów zgłoszonych na podstawie rzeczywistych emisji.</w:t>
      </w:r>
    </w:p>
    <w:p w14:paraId="062BE76D" w14:textId="2D026027"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5 lit.</w:t>
      </w:r>
      <w:r w:rsidR="005A1CAE" w:rsidRPr="005A1CAE">
        <w:rPr>
          <w:noProof/>
        </w:rPr>
        <w:t> </w:t>
      </w:r>
      <w:r w:rsidRPr="005A1CAE">
        <w:rPr>
          <w:noProof/>
        </w:rPr>
        <w:t xml:space="preserve">b) precyzuje się, że Komisja jest uprawniona do przyjmowania aktów wykonawczych dotyczących procedur przeglądu deklaracji CBAM. </w:t>
      </w:r>
    </w:p>
    <w:p w14:paraId="5D5A03E2" w14:textId="0AA5B08F"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6 lit.</w:t>
      </w:r>
      <w:r w:rsidR="005A1CAE" w:rsidRPr="005A1CAE">
        <w:rPr>
          <w:noProof/>
        </w:rPr>
        <w:t> </w:t>
      </w:r>
      <w:r w:rsidRPr="005A1CAE">
        <w:rPr>
          <w:noProof/>
        </w:rPr>
        <w:t>a)</w:t>
      </w:r>
      <w:r w:rsidR="005A1CAE" w:rsidRPr="005A1CAE">
        <w:rPr>
          <w:noProof/>
        </w:rPr>
        <w:t xml:space="preserve"> i</w:t>
      </w:r>
      <w:r w:rsidR="005A1CAE">
        <w:rPr>
          <w:noProof/>
        </w:rPr>
        <w:t> </w:t>
      </w:r>
      <w:r w:rsidR="005A1CAE" w:rsidRPr="005A1CAE">
        <w:rPr>
          <w:noProof/>
        </w:rPr>
        <w:t>art</w:t>
      </w:r>
      <w:r w:rsidRPr="005A1CAE">
        <w:rPr>
          <w:noProof/>
        </w:rPr>
        <w:t>.</w:t>
      </w:r>
      <w:r w:rsidR="005A1CAE" w:rsidRPr="005A1CAE">
        <w:rPr>
          <w:noProof/>
        </w:rPr>
        <w:t> </w:t>
      </w:r>
      <w:r w:rsidRPr="005A1CAE">
        <w:rPr>
          <w:noProof/>
        </w:rPr>
        <w:t>1 pkt</w:t>
      </w:r>
      <w:r w:rsidR="005A1CAE" w:rsidRPr="005A1CAE">
        <w:rPr>
          <w:noProof/>
        </w:rPr>
        <w:t> </w:t>
      </w:r>
      <w:r w:rsidRPr="005A1CAE">
        <w:rPr>
          <w:noProof/>
        </w:rPr>
        <w:t>24 przewidziano włączenie materiałów wsadowych (prekursorów) do metodyki określania poziomu emisji wbudowanych związanych</w:t>
      </w:r>
      <w:r w:rsidR="005A1CAE" w:rsidRPr="005A1CAE">
        <w:rPr>
          <w:noProof/>
        </w:rPr>
        <w:t xml:space="preserve"> z</w:t>
      </w:r>
      <w:r w:rsidR="005A1CAE">
        <w:rPr>
          <w:noProof/>
        </w:rPr>
        <w:t> </w:t>
      </w:r>
      <w:r w:rsidR="005A1CAE" w:rsidRPr="005A1CAE">
        <w:rPr>
          <w:noProof/>
        </w:rPr>
        <w:t>tow</w:t>
      </w:r>
      <w:r w:rsidRPr="005A1CAE">
        <w:rPr>
          <w:noProof/>
        </w:rPr>
        <w:t xml:space="preserve">arami. </w:t>
      </w:r>
    </w:p>
    <w:p w14:paraId="6153D349" w14:textId="3F3284F8"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6 lit.</w:t>
      </w:r>
      <w:r w:rsidR="005A1CAE" w:rsidRPr="005A1CAE">
        <w:rPr>
          <w:noProof/>
        </w:rPr>
        <w:t> </w:t>
      </w:r>
      <w:r w:rsidRPr="005A1CAE">
        <w:rPr>
          <w:noProof/>
        </w:rPr>
        <w:t>b), art.</w:t>
      </w:r>
      <w:r w:rsidR="005A1CAE" w:rsidRPr="005A1CAE">
        <w:rPr>
          <w:noProof/>
        </w:rPr>
        <w:t> </w:t>
      </w:r>
      <w:r w:rsidRPr="005A1CAE">
        <w:rPr>
          <w:noProof/>
        </w:rPr>
        <w:t>1 pkt</w:t>
      </w:r>
      <w:r w:rsidR="005A1CAE" w:rsidRPr="005A1CAE">
        <w:rPr>
          <w:noProof/>
        </w:rPr>
        <w:t> </w:t>
      </w:r>
      <w:r w:rsidRPr="005A1CAE">
        <w:rPr>
          <w:noProof/>
        </w:rPr>
        <w:t>8 lit.</w:t>
      </w:r>
      <w:r w:rsidR="005A1CAE" w:rsidRPr="005A1CAE">
        <w:rPr>
          <w:noProof/>
        </w:rPr>
        <w:t> </w:t>
      </w:r>
      <w:r w:rsidRPr="005A1CAE">
        <w:rPr>
          <w:noProof/>
        </w:rPr>
        <w:t>d)</w:t>
      </w:r>
      <w:r w:rsidR="005A1CAE" w:rsidRPr="005A1CAE">
        <w:rPr>
          <w:noProof/>
        </w:rPr>
        <w:t xml:space="preserve"> i</w:t>
      </w:r>
      <w:r w:rsidR="005A1CAE">
        <w:rPr>
          <w:noProof/>
        </w:rPr>
        <w:t> </w:t>
      </w:r>
      <w:r w:rsidR="005A1CAE" w:rsidRPr="005A1CAE">
        <w:rPr>
          <w:noProof/>
        </w:rPr>
        <w:t>art</w:t>
      </w:r>
      <w:r w:rsidRPr="005A1CAE">
        <w:rPr>
          <w:noProof/>
        </w:rPr>
        <w:t>.</w:t>
      </w:r>
      <w:r w:rsidR="005A1CAE" w:rsidRPr="005A1CAE">
        <w:rPr>
          <w:noProof/>
        </w:rPr>
        <w:t> </w:t>
      </w:r>
      <w:r w:rsidRPr="005A1CAE">
        <w:rPr>
          <w:noProof/>
        </w:rPr>
        <w:t>1 pkt</w:t>
      </w:r>
      <w:r w:rsidR="005A1CAE" w:rsidRPr="005A1CAE">
        <w:rPr>
          <w:noProof/>
        </w:rPr>
        <w:t> </w:t>
      </w:r>
      <w:r w:rsidRPr="005A1CAE">
        <w:rPr>
          <w:noProof/>
        </w:rPr>
        <w:t>23 przewidziano możliwość ujawnienia przez operatora upoważnionemu zgłaszającemu CBAM jedynie podzbioru elementów danych wymaganych do zgłaszania, obliczania</w:t>
      </w:r>
      <w:r w:rsidR="005A1CAE" w:rsidRPr="005A1CAE">
        <w:rPr>
          <w:noProof/>
        </w:rPr>
        <w:t xml:space="preserve"> i</w:t>
      </w:r>
      <w:r w:rsidR="005A1CAE">
        <w:rPr>
          <w:noProof/>
        </w:rPr>
        <w:t> </w:t>
      </w:r>
      <w:r w:rsidR="005A1CAE" w:rsidRPr="005A1CAE">
        <w:rPr>
          <w:noProof/>
        </w:rPr>
        <w:t>wer</w:t>
      </w:r>
      <w:r w:rsidRPr="005A1CAE">
        <w:rPr>
          <w:noProof/>
        </w:rPr>
        <w:t>yfikacji rzeczywistych emisji.</w:t>
      </w:r>
    </w:p>
    <w:p w14:paraId="67DD7DB8" w14:textId="05EB1939"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7 precyzuje się, że Komisja jest uprawniona do przyjmowania aktów wykonawczych dotyczących warunków ustalania kwalifikacji niezależnej osoby odpowiedzialnej za poświadczanie uiszczonej opłaty emisyjnej,</w:t>
      </w:r>
      <w:r w:rsidR="005A1CAE" w:rsidRPr="005A1CAE">
        <w:rPr>
          <w:noProof/>
        </w:rPr>
        <w:t xml:space="preserve"> w</w:t>
      </w:r>
      <w:r w:rsidR="005A1CAE">
        <w:rPr>
          <w:noProof/>
        </w:rPr>
        <w:t> </w:t>
      </w:r>
      <w:r w:rsidR="005A1CAE" w:rsidRPr="005A1CAE">
        <w:rPr>
          <w:noProof/>
        </w:rPr>
        <w:t>tym</w:t>
      </w:r>
      <w:r w:rsidRPr="005A1CAE">
        <w:rPr>
          <w:noProof/>
        </w:rPr>
        <w:t xml:space="preserve"> uzyskiwania akredytacji od krajowej jednostki akredytującej.</w:t>
      </w:r>
    </w:p>
    <w:p w14:paraId="372CF2C1" w14:textId="40B78955" w:rsidR="000A2391" w:rsidRPr="005A1CAE" w:rsidRDefault="000A2391"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9 lit.</w:t>
      </w:r>
      <w:r w:rsidR="005A1CAE" w:rsidRPr="005A1CAE">
        <w:rPr>
          <w:noProof/>
        </w:rPr>
        <w:t> </w:t>
      </w:r>
      <w:r w:rsidRPr="005A1CAE">
        <w:rPr>
          <w:noProof/>
        </w:rPr>
        <w:t>b) precyzuje się, że Komisja jest uprawniona do przyjmowania aktów wykonawczych</w:t>
      </w:r>
      <w:r w:rsidR="005A1CAE" w:rsidRPr="005A1CAE">
        <w:rPr>
          <w:noProof/>
        </w:rPr>
        <w:t xml:space="preserve"> w</w:t>
      </w:r>
      <w:r w:rsidR="005A1CAE">
        <w:rPr>
          <w:noProof/>
        </w:rPr>
        <w:t> </w:t>
      </w:r>
      <w:r w:rsidR="005A1CAE" w:rsidRPr="005A1CAE">
        <w:rPr>
          <w:noProof/>
        </w:rPr>
        <w:t>cel</w:t>
      </w:r>
      <w:r w:rsidRPr="005A1CAE">
        <w:rPr>
          <w:noProof/>
        </w:rPr>
        <w:t>u rozliczania opłaty emisyjnej uiszczonej za granicą na podstawie zasady równoważności</w:t>
      </w:r>
      <w:r w:rsidR="005A1CAE" w:rsidRPr="005A1CAE">
        <w:rPr>
          <w:noProof/>
        </w:rPr>
        <w:t xml:space="preserve"> i</w:t>
      </w:r>
      <w:r w:rsidR="005A1CAE">
        <w:rPr>
          <w:noProof/>
        </w:rPr>
        <w:t> </w:t>
      </w:r>
      <w:r w:rsidR="005A1CAE" w:rsidRPr="005A1CAE">
        <w:rPr>
          <w:noProof/>
        </w:rPr>
        <w:t>z</w:t>
      </w:r>
      <w:r w:rsidR="005A1CAE">
        <w:rPr>
          <w:noProof/>
        </w:rPr>
        <w:t> </w:t>
      </w:r>
      <w:r w:rsidR="005A1CAE" w:rsidRPr="005A1CAE">
        <w:rPr>
          <w:noProof/>
        </w:rPr>
        <w:t>uwz</w:t>
      </w:r>
      <w:r w:rsidRPr="005A1CAE">
        <w:rPr>
          <w:noProof/>
        </w:rPr>
        <w:t>ględnieniem działań podjętych</w:t>
      </w:r>
      <w:r w:rsidR="005A1CAE" w:rsidRPr="005A1CAE">
        <w:rPr>
          <w:noProof/>
        </w:rPr>
        <w:t xml:space="preserve"> w</w:t>
      </w:r>
      <w:r w:rsidR="005A1CAE">
        <w:rPr>
          <w:noProof/>
        </w:rPr>
        <w:t> </w:t>
      </w:r>
      <w:r w:rsidR="005A1CAE" w:rsidRPr="005A1CAE">
        <w:rPr>
          <w:noProof/>
        </w:rPr>
        <w:t>zak</w:t>
      </w:r>
      <w:r w:rsidRPr="005A1CAE">
        <w:rPr>
          <w:noProof/>
        </w:rPr>
        <w:t>resie jednostek emisji dwutlenku węgla.</w:t>
      </w:r>
    </w:p>
    <w:p w14:paraId="5269BA11" w14:textId="3842C902"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8 lit.</w:t>
      </w:r>
      <w:r w:rsidR="005A1CAE" w:rsidRPr="005A1CAE">
        <w:rPr>
          <w:noProof/>
        </w:rPr>
        <w:t> </w:t>
      </w:r>
      <w:r w:rsidRPr="005A1CAE">
        <w:rPr>
          <w:noProof/>
        </w:rPr>
        <w:t>c) precyzuje się, że operator może ujawnić innemu operatorowi informacje dotyczące weryfikacji emisji wbudowanych związanych</w:t>
      </w:r>
      <w:r w:rsidR="005A1CAE" w:rsidRPr="005A1CAE">
        <w:rPr>
          <w:noProof/>
        </w:rPr>
        <w:t xml:space="preserve"> z</w:t>
      </w:r>
      <w:r w:rsidR="005A1CAE">
        <w:rPr>
          <w:noProof/>
        </w:rPr>
        <w:t> </w:t>
      </w:r>
      <w:r w:rsidR="005A1CAE" w:rsidRPr="005A1CAE">
        <w:rPr>
          <w:noProof/>
        </w:rPr>
        <w:t>mat</w:t>
      </w:r>
      <w:r w:rsidRPr="005A1CAE">
        <w:rPr>
          <w:noProof/>
        </w:rPr>
        <w:t>eriałami wsadowymi (prekursorami).</w:t>
      </w:r>
    </w:p>
    <w:p w14:paraId="3D1403DB" w14:textId="7B343CC1" w:rsidR="00BE3E96" w:rsidRPr="005A1CAE" w:rsidRDefault="00BE3E96" w:rsidP="00BE3E96">
      <w:pPr>
        <w:rPr>
          <w:rFonts w:eastAsia="Times New Roman"/>
          <w:noProof/>
        </w:rPr>
      </w:pPr>
      <w:r w:rsidRPr="005A1CAE">
        <w:rPr>
          <w:noProof/>
        </w:rPr>
        <w:t>Art. 1 pkt</w:t>
      </w:r>
      <w:r w:rsidR="005A1CAE" w:rsidRPr="005A1CAE">
        <w:rPr>
          <w:noProof/>
        </w:rPr>
        <w:t> </w:t>
      </w:r>
      <w:r w:rsidRPr="005A1CAE">
        <w:rPr>
          <w:noProof/>
        </w:rPr>
        <w:t>9 umożliwia właściwym organom wymaganie przedłożenia gwarancji</w:t>
      </w:r>
      <w:r w:rsidR="005A1CAE" w:rsidRPr="005A1CAE">
        <w:rPr>
          <w:noProof/>
        </w:rPr>
        <w:t xml:space="preserve"> w</w:t>
      </w:r>
      <w:r w:rsidR="005A1CAE">
        <w:rPr>
          <w:noProof/>
        </w:rPr>
        <w:t> </w:t>
      </w:r>
      <w:r w:rsidR="005A1CAE" w:rsidRPr="005A1CAE">
        <w:rPr>
          <w:noProof/>
        </w:rPr>
        <w:t>dod</w:t>
      </w:r>
      <w:r w:rsidRPr="005A1CAE">
        <w:rPr>
          <w:noProof/>
        </w:rPr>
        <w:t>atkowych przypadkach oraz na wykorzystanie jej,</w:t>
      </w:r>
      <w:r w:rsidR="005A1CAE" w:rsidRPr="005A1CAE">
        <w:rPr>
          <w:noProof/>
        </w:rPr>
        <w:t xml:space="preserve"> w</w:t>
      </w:r>
      <w:r w:rsidR="005A1CAE">
        <w:rPr>
          <w:noProof/>
        </w:rPr>
        <w:t> </w:t>
      </w:r>
      <w:r w:rsidR="005A1CAE" w:rsidRPr="005A1CAE">
        <w:rPr>
          <w:noProof/>
        </w:rPr>
        <w:t>prz</w:t>
      </w:r>
      <w:r w:rsidRPr="005A1CAE">
        <w:rPr>
          <w:noProof/>
        </w:rPr>
        <w:t>ypadku gdy upoważniony zgłaszający CBAM nie przekaże do umorzenia wystarczającej liczby certyfikatów CBAM,</w:t>
      </w:r>
      <w:r w:rsidR="005A1CAE" w:rsidRPr="005A1CAE">
        <w:rPr>
          <w:noProof/>
        </w:rPr>
        <w:t xml:space="preserve"> w</w:t>
      </w:r>
      <w:r w:rsidR="005A1CAE">
        <w:rPr>
          <w:noProof/>
        </w:rPr>
        <w:t> </w:t>
      </w:r>
      <w:r w:rsidR="005A1CAE" w:rsidRPr="005A1CAE">
        <w:rPr>
          <w:noProof/>
        </w:rPr>
        <w:t>cel</w:t>
      </w:r>
      <w:r w:rsidRPr="005A1CAE">
        <w:rPr>
          <w:noProof/>
        </w:rPr>
        <w:t>u odzyskania wszelkich zaległych wyrównań finansowych.</w:t>
      </w:r>
    </w:p>
    <w:p w14:paraId="43E4AEB1" w14:textId="0046DB1E"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 xml:space="preserve">10 precyzuje się, że Komisja jest uprawniona do przyjmowania aktów wykonawczych ustanawiających procedury weryfikacji, które mają być stosowane przez weryfikatorów. </w:t>
      </w:r>
    </w:p>
    <w:p w14:paraId="370E96BD" w14:textId="76CA3D5E"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11 precyzuje się, że Komisja lub właściwy organ mogą,</w:t>
      </w:r>
      <w:r w:rsidR="005A1CAE" w:rsidRPr="005A1CAE">
        <w:rPr>
          <w:noProof/>
        </w:rPr>
        <w:t xml:space="preserve"> w</w:t>
      </w:r>
      <w:r w:rsidR="005A1CAE">
        <w:rPr>
          <w:noProof/>
        </w:rPr>
        <w:t> </w:t>
      </w:r>
      <w:r w:rsidR="005A1CAE" w:rsidRPr="005A1CAE">
        <w:rPr>
          <w:noProof/>
        </w:rPr>
        <w:t>ram</w:t>
      </w:r>
      <w:r w:rsidRPr="005A1CAE">
        <w:rPr>
          <w:noProof/>
        </w:rPr>
        <w:t>ach przeglądu deklaracji CBAM, zwrócić się do upoważnionego zgłaszającego CBAM</w:t>
      </w:r>
      <w:r w:rsidR="005A1CAE" w:rsidRPr="005A1CAE">
        <w:rPr>
          <w:noProof/>
        </w:rPr>
        <w:t xml:space="preserve"> o</w:t>
      </w:r>
      <w:r w:rsidR="005A1CAE">
        <w:rPr>
          <w:noProof/>
        </w:rPr>
        <w:t> </w:t>
      </w:r>
      <w:r w:rsidR="005A1CAE" w:rsidRPr="005A1CAE">
        <w:rPr>
          <w:noProof/>
        </w:rPr>
        <w:t>prz</w:t>
      </w:r>
      <w:r w:rsidRPr="005A1CAE">
        <w:rPr>
          <w:noProof/>
        </w:rPr>
        <w:t>edstawienie dowodów na to, że przywiezione towary zostały wyprodukowane</w:t>
      </w:r>
      <w:r w:rsidR="005A1CAE" w:rsidRPr="005A1CAE">
        <w:rPr>
          <w:noProof/>
        </w:rPr>
        <w:t xml:space="preserve"> w</w:t>
      </w:r>
      <w:r w:rsidR="005A1CAE">
        <w:rPr>
          <w:noProof/>
        </w:rPr>
        <w:t> </w:t>
      </w:r>
      <w:r w:rsidR="005A1CAE" w:rsidRPr="005A1CAE">
        <w:rPr>
          <w:noProof/>
        </w:rPr>
        <w:t>zad</w:t>
      </w:r>
      <w:r w:rsidRPr="005A1CAE">
        <w:rPr>
          <w:noProof/>
        </w:rPr>
        <w:t>eklarowanej instalacji</w:t>
      </w:r>
      <w:r w:rsidR="005A1CAE" w:rsidRPr="005A1CAE">
        <w:rPr>
          <w:noProof/>
        </w:rPr>
        <w:t xml:space="preserve"> i</w:t>
      </w:r>
      <w:r w:rsidR="005A1CAE">
        <w:rPr>
          <w:noProof/>
        </w:rPr>
        <w:t> </w:t>
      </w:r>
      <w:r w:rsidR="005A1CAE" w:rsidRPr="005A1CAE">
        <w:rPr>
          <w:noProof/>
        </w:rPr>
        <w:t>w</w:t>
      </w:r>
      <w:r w:rsidR="005A1CAE">
        <w:rPr>
          <w:noProof/>
        </w:rPr>
        <w:t> </w:t>
      </w:r>
      <w:r w:rsidR="005A1CAE" w:rsidRPr="005A1CAE">
        <w:rPr>
          <w:noProof/>
        </w:rPr>
        <w:t>zad</w:t>
      </w:r>
      <w:r w:rsidRPr="005A1CAE">
        <w:rPr>
          <w:noProof/>
        </w:rPr>
        <w:t>eklarowanym okresie produkcji.</w:t>
      </w:r>
    </w:p>
    <w:p w14:paraId="45B9B3B7" w14:textId="60D214A7"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12 przewidziano szczegółową zasadę obliczania ceny certyfikatów CBAM,</w:t>
      </w:r>
      <w:r w:rsidR="005A1CAE" w:rsidRPr="005A1CAE">
        <w:rPr>
          <w:noProof/>
        </w:rPr>
        <w:t xml:space="preserve"> w</w:t>
      </w:r>
      <w:r w:rsidR="005A1CAE">
        <w:rPr>
          <w:noProof/>
        </w:rPr>
        <w:t> </w:t>
      </w:r>
      <w:r w:rsidR="005A1CAE" w:rsidRPr="005A1CAE">
        <w:rPr>
          <w:noProof/>
        </w:rPr>
        <w:t>prz</w:t>
      </w:r>
      <w:r w:rsidRPr="005A1CAE">
        <w:rPr>
          <w:noProof/>
        </w:rPr>
        <w:t>ypadku gdy na platformie aukcyjnej odbywa się tylko jedna aukcja.</w:t>
      </w:r>
    </w:p>
    <w:p w14:paraId="00305245" w14:textId="2F159710"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13 precyzuje się, że wymóg zapewnienia przez upoważnionych zgłaszających CBAM, aby na koniec każdego kwartału liczba certyfikatów CBAM na ich rachunku</w:t>
      </w:r>
      <w:r w:rsidR="005A1CAE" w:rsidRPr="005A1CAE">
        <w:rPr>
          <w:noProof/>
        </w:rPr>
        <w:t xml:space="preserve"> w</w:t>
      </w:r>
      <w:r w:rsidR="005A1CAE">
        <w:rPr>
          <w:noProof/>
        </w:rPr>
        <w:t> </w:t>
      </w:r>
      <w:r w:rsidR="005A1CAE" w:rsidRPr="005A1CAE">
        <w:rPr>
          <w:noProof/>
        </w:rPr>
        <w:t>rej</w:t>
      </w:r>
      <w:r w:rsidRPr="005A1CAE">
        <w:rPr>
          <w:noProof/>
        </w:rPr>
        <w:t>estrze CBAM odpowiadała co najmniej 50</w:t>
      </w:r>
      <w:r w:rsidR="005A1CAE" w:rsidRPr="005A1CAE">
        <w:rPr>
          <w:noProof/>
        </w:rPr>
        <w:t> </w:t>
      </w:r>
      <w:r w:rsidRPr="005A1CAE">
        <w:rPr>
          <w:noProof/>
        </w:rPr>
        <w:t>%, opiera się na cyklu rocznym,</w:t>
      </w:r>
      <w:r w:rsidR="005A1CAE" w:rsidRPr="005A1CAE">
        <w:rPr>
          <w:noProof/>
        </w:rPr>
        <w:t xml:space="preserve"> 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czy</w:t>
      </w:r>
      <w:r w:rsidRPr="005A1CAE">
        <w:rPr>
          <w:noProof/>
        </w:rPr>
        <w:t>m należy wyłączyć</w:t>
      </w:r>
      <w:r w:rsidR="005A1CAE" w:rsidRPr="005A1CAE">
        <w:rPr>
          <w:noProof/>
        </w:rPr>
        <w:t xml:space="preserve"> z</w:t>
      </w:r>
      <w:r w:rsidR="005A1CAE">
        <w:rPr>
          <w:noProof/>
        </w:rPr>
        <w:t> </w:t>
      </w:r>
      <w:r w:rsidR="005A1CAE" w:rsidRPr="005A1CAE">
        <w:rPr>
          <w:noProof/>
        </w:rPr>
        <w:t>obl</w:t>
      </w:r>
      <w:r w:rsidRPr="005A1CAE">
        <w:rPr>
          <w:noProof/>
        </w:rPr>
        <w:t>iczeń kwartalnych certyfikaty zakupione</w:t>
      </w:r>
      <w:r w:rsidR="005A1CAE" w:rsidRPr="005A1CAE">
        <w:rPr>
          <w:noProof/>
        </w:rPr>
        <w:t xml:space="preserve"> w</w:t>
      </w:r>
      <w:r w:rsidR="005A1CAE">
        <w:rPr>
          <w:noProof/>
        </w:rPr>
        <w:t> </w:t>
      </w:r>
      <w:r w:rsidR="005A1CAE" w:rsidRPr="005A1CAE">
        <w:rPr>
          <w:noProof/>
        </w:rPr>
        <w:t>lat</w:t>
      </w:r>
      <w:r w:rsidRPr="005A1CAE">
        <w:rPr>
          <w:noProof/>
        </w:rPr>
        <w:t>ach innych niż rok kalendarzowy.</w:t>
      </w:r>
    </w:p>
    <w:p w14:paraId="58D0CBED" w14:textId="4A6FFAFC" w:rsidR="00BE3E96" w:rsidRPr="005A1CAE" w:rsidRDefault="00BE3E96" w:rsidP="00BE3E96">
      <w:pPr>
        <w:rPr>
          <w:rFonts w:eastAsia="Times New Roman"/>
          <w:noProof/>
        </w:rPr>
      </w:pPr>
      <w:r w:rsidRPr="005A1CAE">
        <w:rPr>
          <w:noProof/>
        </w:rPr>
        <w:lastRenderedPageBreak/>
        <w:t>W art.</w:t>
      </w:r>
      <w:r w:rsidR="005A1CAE" w:rsidRPr="005A1CAE">
        <w:rPr>
          <w:noProof/>
        </w:rPr>
        <w:t> </w:t>
      </w:r>
      <w:r w:rsidRPr="005A1CAE">
        <w:rPr>
          <w:noProof/>
        </w:rPr>
        <w:t>1 pkt</w:t>
      </w:r>
      <w:r w:rsidR="005A1CAE" w:rsidRPr="005A1CAE">
        <w:rPr>
          <w:noProof/>
        </w:rPr>
        <w:t> </w:t>
      </w:r>
      <w:r w:rsidRPr="005A1CAE">
        <w:rPr>
          <w:noProof/>
        </w:rPr>
        <w:t>14 usprawniono proces odkupu przez wyłączenie Komisji</w:t>
      </w:r>
      <w:r w:rsidR="005A1CAE" w:rsidRPr="005A1CAE">
        <w:rPr>
          <w:noProof/>
        </w:rPr>
        <w:t xml:space="preserve"> z</w:t>
      </w:r>
      <w:r w:rsidR="005A1CAE">
        <w:rPr>
          <w:noProof/>
        </w:rPr>
        <w:t> </w:t>
      </w:r>
      <w:r w:rsidR="005A1CAE" w:rsidRPr="005A1CAE">
        <w:rPr>
          <w:noProof/>
        </w:rPr>
        <w:t>udz</w:t>
      </w:r>
      <w:r w:rsidRPr="005A1CAE">
        <w:rPr>
          <w:noProof/>
        </w:rPr>
        <w:t>iału</w:t>
      </w:r>
      <w:r w:rsidR="005A1CAE" w:rsidRPr="005A1CAE">
        <w:rPr>
          <w:noProof/>
        </w:rPr>
        <w:t xml:space="preserve"> w</w:t>
      </w:r>
      <w:r w:rsidR="005A1CAE">
        <w:rPr>
          <w:noProof/>
        </w:rPr>
        <w:t> </w:t>
      </w:r>
      <w:r w:rsidR="005A1CAE" w:rsidRPr="005A1CAE">
        <w:rPr>
          <w:noProof/>
        </w:rPr>
        <w:t>tym</w:t>
      </w:r>
      <w:r w:rsidRPr="005A1CAE">
        <w:rPr>
          <w:noProof/>
        </w:rPr>
        <w:t xml:space="preserve"> procesie.</w:t>
      </w:r>
    </w:p>
    <w:p w14:paraId="5D2C190A" w14:textId="7B89F628" w:rsidR="00346817" w:rsidRPr="005A1CAE" w:rsidRDefault="00346817" w:rsidP="00346817">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15 lit.</w:t>
      </w:r>
      <w:r w:rsidR="005A1CAE" w:rsidRPr="005A1CAE">
        <w:rPr>
          <w:noProof/>
        </w:rPr>
        <w:t> </w:t>
      </w:r>
      <w:r w:rsidRPr="005A1CAE">
        <w:rPr>
          <w:noProof/>
        </w:rPr>
        <w:t>a) precyzuje się rolę numeru rachunku CBAM</w:t>
      </w:r>
      <w:r w:rsidR="005A1CAE" w:rsidRPr="005A1CAE">
        <w:rPr>
          <w:noProof/>
        </w:rPr>
        <w:t xml:space="preserve"> w</w:t>
      </w:r>
      <w:r w:rsidR="005A1CAE">
        <w:rPr>
          <w:noProof/>
        </w:rPr>
        <w:t> </w:t>
      </w:r>
      <w:r w:rsidR="005A1CAE" w:rsidRPr="005A1CAE">
        <w:rPr>
          <w:noProof/>
        </w:rPr>
        <w:t>okr</w:t>
      </w:r>
      <w:r w:rsidRPr="005A1CAE">
        <w:rPr>
          <w:noProof/>
        </w:rPr>
        <w:t>eślaniu osoby odpowiedzialnej za wypełnianie obowiązków związanych z CBAM.</w:t>
      </w:r>
    </w:p>
    <w:p w14:paraId="7FC989F8" w14:textId="355FC400" w:rsidR="00BE3E96" w:rsidRPr="005A1CAE" w:rsidRDefault="00BE3E96" w:rsidP="00BE3E96">
      <w:pPr>
        <w:rPr>
          <w:rFonts w:eastAsia="Times New Roman"/>
          <w:noProof/>
        </w:rPr>
      </w:pPr>
      <w:r w:rsidRPr="005A1CAE">
        <w:rPr>
          <w:noProof/>
        </w:rPr>
        <w:t>Art. 1 pkt</w:t>
      </w:r>
      <w:r w:rsidR="005A1CAE" w:rsidRPr="005A1CAE">
        <w:rPr>
          <w:noProof/>
        </w:rPr>
        <w:t> </w:t>
      </w:r>
      <w:r w:rsidRPr="005A1CAE">
        <w:rPr>
          <w:noProof/>
        </w:rPr>
        <w:t>15 lit.</w:t>
      </w:r>
      <w:r w:rsidR="005A1CAE" w:rsidRPr="005A1CAE">
        <w:rPr>
          <w:noProof/>
        </w:rPr>
        <w:t> </w:t>
      </w:r>
      <w:r w:rsidRPr="005A1CAE">
        <w:rPr>
          <w:noProof/>
        </w:rPr>
        <w:t>b) i c) umożliwia właściwym organom zwrócenie się</w:t>
      </w:r>
      <w:r w:rsidR="005A1CAE" w:rsidRPr="005A1CAE">
        <w:rPr>
          <w:noProof/>
        </w:rPr>
        <w:t xml:space="preserve"> o</w:t>
      </w:r>
      <w:r w:rsidR="005A1CAE">
        <w:rPr>
          <w:noProof/>
        </w:rPr>
        <w:t> </w:t>
      </w:r>
      <w:r w:rsidR="005A1CAE" w:rsidRPr="005A1CAE">
        <w:rPr>
          <w:noProof/>
        </w:rPr>
        <w:t>wer</w:t>
      </w:r>
      <w:r w:rsidRPr="005A1CAE">
        <w:rPr>
          <w:noProof/>
        </w:rPr>
        <w:t>yfikację poprawności odpowiednich danych</w:t>
      </w:r>
      <w:r w:rsidR="005A1CAE" w:rsidRPr="005A1CAE">
        <w:rPr>
          <w:noProof/>
        </w:rPr>
        <w:t xml:space="preserve"> i</w:t>
      </w:r>
      <w:r w:rsidR="005A1CAE">
        <w:rPr>
          <w:noProof/>
        </w:rPr>
        <w:t> </w:t>
      </w:r>
      <w:r w:rsidR="005A1CAE" w:rsidRPr="005A1CAE">
        <w:rPr>
          <w:noProof/>
        </w:rPr>
        <w:t>inf</w:t>
      </w:r>
      <w:r w:rsidRPr="005A1CAE">
        <w:rPr>
          <w:noProof/>
        </w:rPr>
        <w:t>ormacji celnych przekazywanych za pośrednictwem rejestru CBAM, uprawnia Komisję do przyjmowania aktów wykonawczych określających skład materiałowy</w:t>
      </w:r>
      <w:r w:rsidR="005A1CAE" w:rsidRPr="005A1CAE">
        <w:rPr>
          <w:noProof/>
        </w:rPr>
        <w:t xml:space="preserve"> i</w:t>
      </w:r>
      <w:r w:rsidR="005A1CAE">
        <w:rPr>
          <w:noProof/>
        </w:rPr>
        <w:t> </w:t>
      </w:r>
      <w:r w:rsidR="005A1CAE" w:rsidRPr="005A1CAE">
        <w:rPr>
          <w:noProof/>
        </w:rPr>
        <w:t>che</w:t>
      </w:r>
      <w:r w:rsidRPr="005A1CAE">
        <w:rPr>
          <w:noProof/>
        </w:rPr>
        <w:t>miczny towaru oraz umożliwia organom celnym przekazywanie tych informacji Komisji.</w:t>
      </w:r>
    </w:p>
    <w:p w14:paraId="71BEDA2A" w14:textId="5F141560" w:rsidR="00346817" w:rsidRPr="005A1CAE" w:rsidRDefault="00346817" w:rsidP="00346817">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15 lit.</w:t>
      </w:r>
      <w:r w:rsidR="005A1CAE" w:rsidRPr="005A1CAE">
        <w:rPr>
          <w:noProof/>
        </w:rPr>
        <w:t> </w:t>
      </w:r>
      <w:r w:rsidRPr="005A1CAE">
        <w:rPr>
          <w:noProof/>
        </w:rPr>
        <w:t>a) i d) uprawniono Komisję do przyjmowania aktów wykonawczych określających skład materiałowy</w:t>
      </w:r>
      <w:r w:rsidR="005A1CAE" w:rsidRPr="005A1CAE">
        <w:rPr>
          <w:noProof/>
        </w:rPr>
        <w:t xml:space="preserve"> i</w:t>
      </w:r>
      <w:r w:rsidR="005A1CAE">
        <w:rPr>
          <w:noProof/>
        </w:rPr>
        <w:t> </w:t>
      </w:r>
      <w:r w:rsidR="005A1CAE" w:rsidRPr="005A1CAE">
        <w:rPr>
          <w:noProof/>
        </w:rPr>
        <w:t>che</w:t>
      </w:r>
      <w:r w:rsidRPr="005A1CAE">
        <w:rPr>
          <w:noProof/>
        </w:rPr>
        <w:t>miczny towaru oraz umożliwiono organom celnym przekazywanie tych informacji Komisji.</w:t>
      </w:r>
    </w:p>
    <w:p w14:paraId="41C46CD4" w14:textId="7A6B7AB1"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16 określono nową praktykę obchodzenia przepisów polegającą na sztucznym dostosowaniu łańcuchów dostaw towarów, aby towary korzystały</w:t>
      </w:r>
      <w:r w:rsidR="005A1CAE" w:rsidRPr="005A1CAE">
        <w:rPr>
          <w:noProof/>
        </w:rPr>
        <w:t xml:space="preserve"> z</w:t>
      </w:r>
      <w:r w:rsidR="005A1CAE">
        <w:rPr>
          <w:noProof/>
        </w:rPr>
        <w:t> </w:t>
      </w:r>
      <w:r w:rsidR="005A1CAE" w:rsidRPr="005A1CAE">
        <w:rPr>
          <w:noProof/>
        </w:rPr>
        <w:t>niż</w:t>
      </w:r>
      <w:r w:rsidRPr="005A1CAE">
        <w:rPr>
          <w:noProof/>
        </w:rPr>
        <w:t>szej wartości domyślnej.</w:t>
      </w:r>
    </w:p>
    <w:p w14:paraId="278FC653" w14:textId="16DAAF48"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17 uprawniono Komisję do przyjmowania aktów delegowanych</w:t>
      </w:r>
      <w:r w:rsidR="005A1CAE" w:rsidRPr="005A1CAE">
        <w:rPr>
          <w:noProof/>
        </w:rPr>
        <w:t xml:space="preserve"> w</w:t>
      </w:r>
      <w:r w:rsidR="005A1CAE">
        <w:rPr>
          <w:noProof/>
        </w:rPr>
        <w:t> </w:t>
      </w:r>
      <w:r w:rsidR="005A1CAE" w:rsidRPr="005A1CAE">
        <w:rPr>
          <w:noProof/>
        </w:rPr>
        <w:t>cel</w:t>
      </w:r>
      <w:r w:rsidRPr="005A1CAE">
        <w:rPr>
          <w:noProof/>
        </w:rPr>
        <w:t>u usunięcia towaru</w:t>
      </w:r>
      <w:r w:rsidR="005A1CAE" w:rsidRPr="005A1CAE">
        <w:rPr>
          <w:noProof/>
        </w:rPr>
        <w:t xml:space="preserve"> z</w:t>
      </w:r>
      <w:r w:rsidR="005A1CAE">
        <w:rPr>
          <w:noProof/>
        </w:rPr>
        <w:t> </w:t>
      </w:r>
      <w:r w:rsidR="005A1CAE" w:rsidRPr="005A1CAE">
        <w:rPr>
          <w:noProof/>
        </w:rPr>
        <w:t>zał</w:t>
      </w:r>
      <w:r w:rsidRPr="005A1CAE">
        <w:rPr>
          <w:noProof/>
        </w:rPr>
        <w:t>ącznika I</w:t>
      </w:r>
      <w:r w:rsidR="005A1CAE" w:rsidRPr="005A1CAE">
        <w:rPr>
          <w:noProof/>
        </w:rPr>
        <w:t xml:space="preserve"> w</w:t>
      </w:r>
      <w:r w:rsidR="005A1CAE">
        <w:rPr>
          <w:noProof/>
        </w:rPr>
        <w:t> </w:t>
      </w:r>
      <w:r w:rsidR="005A1CAE" w:rsidRPr="005A1CAE">
        <w:rPr>
          <w:noProof/>
        </w:rPr>
        <w:t>prz</w:t>
      </w:r>
      <w:r w:rsidRPr="005A1CAE">
        <w:rPr>
          <w:noProof/>
        </w:rPr>
        <w:t>ypadku zaistnienia poważnych</w:t>
      </w:r>
      <w:r w:rsidR="005A1CAE" w:rsidRPr="005A1CAE">
        <w:rPr>
          <w:noProof/>
        </w:rPr>
        <w:t xml:space="preserve"> i</w:t>
      </w:r>
      <w:r w:rsidR="005A1CAE">
        <w:rPr>
          <w:noProof/>
        </w:rPr>
        <w:t> </w:t>
      </w:r>
      <w:r w:rsidR="005A1CAE" w:rsidRPr="005A1CAE">
        <w:rPr>
          <w:noProof/>
        </w:rPr>
        <w:t>nie</w:t>
      </w:r>
      <w:r w:rsidRPr="005A1CAE">
        <w:rPr>
          <w:noProof/>
        </w:rPr>
        <w:t>przewidzianych okoliczności powodujących poważne szkody dla rynku wewnętrznego Unii.</w:t>
      </w:r>
    </w:p>
    <w:p w14:paraId="51B838AA" w14:textId="67173A64" w:rsidR="00BE3E96" w:rsidRPr="005A1CAE" w:rsidRDefault="00BE3E96" w:rsidP="00BE3E96">
      <w:pPr>
        <w:rPr>
          <w:rFonts w:eastAsia="Times New Roman"/>
          <w:noProof/>
        </w:rPr>
      </w:pPr>
      <w:r w:rsidRPr="005A1CAE">
        <w:rPr>
          <w:noProof/>
        </w:rPr>
        <w:t>Art. 1 pkt</w:t>
      </w:r>
      <w:r w:rsidR="005A1CAE" w:rsidRPr="005A1CAE">
        <w:rPr>
          <w:noProof/>
        </w:rPr>
        <w:t> </w:t>
      </w:r>
      <w:r w:rsidRPr="005A1CAE">
        <w:rPr>
          <w:noProof/>
        </w:rPr>
        <w:t>18 dotyczy zmiany przyznanych Komisji przez współprawodawców uprawnień do przyjmowania aktów delegowanych, aby uwzględnić zmiany wprowadzane niniejszym wnioskiem.</w:t>
      </w:r>
    </w:p>
    <w:p w14:paraId="2362BBC9" w14:textId="42A64442" w:rsidR="00E84EBF"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20 precyzuje się, że</w:t>
      </w:r>
      <w:r w:rsidR="005A1CAE" w:rsidRPr="005A1CAE">
        <w:rPr>
          <w:noProof/>
        </w:rPr>
        <w:t xml:space="preserve"> w</w:t>
      </w:r>
      <w:r w:rsidR="005A1CAE">
        <w:rPr>
          <w:noProof/>
        </w:rPr>
        <w:t> </w:t>
      </w:r>
      <w:r w:rsidR="005A1CAE" w:rsidRPr="005A1CAE">
        <w:rPr>
          <w:noProof/>
        </w:rPr>
        <w:t>spr</w:t>
      </w:r>
      <w:r w:rsidRPr="005A1CAE">
        <w:rPr>
          <w:noProof/>
        </w:rPr>
        <w:t>awozdaniu oceniającym funkcjonowanie CBAM należy ocenić wpływ CBAM na sektory, które mają zostać objęte CBAM</w:t>
      </w:r>
      <w:r w:rsidR="005A1CAE" w:rsidRPr="005A1CAE">
        <w:rPr>
          <w:noProof/>
        </w:rPr>
        <w:t xml:space="preserve"> w</w:t>
      </w:r>
      <w:r w:rsidR="005A1CAE">
        <w:rPr>
          <w:noProof/>
        </w:rPr>
        <w:t> </w:t>
      </w:r>
      <w:r w:rsidR="005A1CAE" w:rsidRPr="005A1CAE">
        <w:rPr>
          <w:noProof/>
        </w:rPr>
        <w:t>prz</w:t>
      </w:r>
      <w:r w:rsidRPr="005A1CAE">
        <w:rPr>
          <w:noProof/>
        </w:rPr>
        <w:t>yszłości, oraz że</w:t>
      </w:r>
      <w:r w:rsidR="005A1CAE" w:rsidRPr="005A1CAE">
        <w:rPr>
          <w:noProof/>
        </w:rPr>
        <w:t xml:space="preserve"> w</w:t>
      </w:r>
      <w:r w:rsidR="005A1CAE">
        <w:rPr>
          <w:noProof/>
        </w:rPr>
        <w:t> </w:t>
      </w:r>
      <w:r w:rsidR="005A1CAE" w:rsidRPr="005A1CAE">
        <w:rPr>
          <w:noProof/>
        </w:rPr>
        <w:t>sto</w:t>
      </w:r>
      <w:r w:rsidRPr="005A1CAE">
        <w:rPr>
          <w:noProof/>
        </w:rPr>
        <w:t>sownych przypadkach sprawozdaniu może towarzyszyć wniosek ustawodawczy.</w:t>
      </w:r>
    </w:p>
    <w:p w14:paraId="1DCAC252" w14:textId="62E464F8" w:rsidR="00BE3E96" w:rsidRPr="005A1CAE" w:rsidRDefault="00BE3E96" w:rsidP="00BE3E96">
      <w:pPr>
        <w:rPr>
          <w:rFonts w:eastAsia="Times New Roman"/>
          <w:noProof/>
        </w:rPr>
      </w:pPr>
      <w:r w:rsidRPr="005A1CAE">
        <w:rPr>
          <w:noProof/>
        </w:rPr>
        <w:t>W art.</w:t>
      </w:r>
      <w:r w:rsidR="005A1CAE" w:rsidRPr="005A1CAE">
        <w:rPr>
          <w:noProof/>
        </w:rPr>
        <w:t> </w:t>
      </w:r>
      <w:r w:rsidRPr="005A1CAE">
        <w:rPr>
          <w:noProof/>
        </w:rPr>
        <w:t>1 pkt</w:t>
      </w:r>
      <w:r w:rsidR="005A1CAE" w:rsidRPr="005A1CAE">
        <w:rPr>
          <w:noProof/>
        </w:rPr>
        <w:t> </w:t>
      </w:r>
      <w:r w:rsidRPr="005A1CAE">
        <w:rPr>
          <w:noProof/>
        </w:rPr>
        <w:t>22 zmieniono współczynnik emisji dla importowanej energii elektrycznej, aby uwzględnić energię elektryczną wytwarzaną ze wszystkich źródeł. Zmieniono również warunki stosowania rzeczywistych emisji wbudowanych związanych</w:t>
      </w:r>
      <w:r w:rsidR="005A1CAE" w:rsidRPr="005A1CAE">
        <w:rPr>
          <w:noProof/>
        </w:rPr>
        <w:t xml:space="preserve"> z</w:t>
      </w:r>
      <w:r w:rsidR="005A1CAE">
        <w:rPr>
          <w:noProof/>
        </w:rPr>
        <w:t> </w:t>
      </w:r>
      <w:r w:rsidR="005A1CAE" w:rsidRPr="005A1CAE">
        <w:rPr>
          <w:noProof/>
        </w:rPr>
        <w:t>imp</w:t>
      </w:r>
      <w:r w:rsidRPr="005A1CAE">
        <w:rPr>
          <w:noProof/>
        </w:rPr>
        <w:t>ortowaną energią elektryczną, aby zwiększyć ich elastyczność.</w:t>
      </w:r>
    </w:p>
    <w:p w14:paraId="068D9564" w14:textId="76914B12" w:rsidR="00D0690F" w:rsidRPr="005A1CAE" w:rsidRDefault="00BE3E96" w:rsidP="009F612D">
      <w:pPr>
        <w:rPr>
          <w:noProof/>
        </w:rPr>
      </w:pPr>
      <w:r w:rsidRPr="005A1CAE">
        <w:rPr>
          <w:noProof/>
        </w:rPr>
        <w:t>Art. 2 zawiera przepisy dotyczące wejścia</w:t>
      </w:r>
      <w:r w:rsidR="005A1CAE" w:rsidRPr="005A1CAE">
        <w:rPr>
          <w:noProof/>
        </w:rPr>
        <w:t xml:space="preserve"> w</w:t>
      </w:r>
      <w:r w:rsidR="005A1CAE">
        <w:rPr>
          <w:noProof/>
        </w:rPr>
        <w:t> </w:t>
      </w:r>
      <w:r w:rsidR="005A1CAE" w:rsidRPr="005A1CAE">
        <w:rPr>
          <w:noProof/>
        </w:rPr>
        <w:t>życ</w:t>
      </w:r>
      <w:r w:rsidRPr="005A1CAE">
        <w:rPr>
          <w:noProof/>
        </w:rPr>
        <w:t>ie</w:t>
      </w:r>
      <w:r w:rsidR="005A1CAE" w:rsidRPr="005A1CAE">
        <w:rPr>
          <w:noProof/>
        </w:rPr>
        <w:t xml:space="preserve"> i</w:t>
      </w:r>
      <w:r w:rsidR="005A1CAE">
        <w:rPr>
          <w:noProof/>
        </w:rPr>
        <w:t> </w:t>
      </w:r>
      <w:r w:rsidR="005A1CAE" w:rsidRPr="005A1CAE">
        <w:rPr>
          <w:noProof/>
        </w:rPr>
        <w:t>sto</w:t>
      </w:r>
      <w:r w:rsidRPr="005A1CAE">
        <w:rPr>
          <w:noProof/>
        </w:rPr>
        <w:t>sowania proponowanych środków. Aby umożliwić terminowe złożenie pierwszych deklaracji CBAM do dnia 30 września 2027</w:t>
      </w:r>
      <w:r w:rsidR="005A1CAE" w:rsidRPr="005A1CAE">
        <w:rPr>
          <w:noProof/>
        </w:rPr>
        <w:t> </w:t>
      </w:r>
      <w:r w:rsidRPr="005A1CAE">
        <w:rPr>
          <w:noProof/>
        </w:rPr>
        <w:t>r., zmiany metody stosowanej do obliczania współczynnika emisji dla importowanej energii elektrycznej oraz zmiany warunków stosowania rzeczywistych emisji wbudowanych związanych</w:t>
      </w:r>
      <w:r w:rsidR="005A1CAE" w:rsidRPr="005A1CAE">
        <w:rPr>
          <w:noProof/>
        </w:rPr>
        <w:t xml:space="preserve"> z</w:t>
      </w:r>
      <w:r w:rsidR="005A1CAE">
        <w:rPr>
          <w:noProof/>
        </w:rPr>
        <w:t> </w:t>
      </w:r>
      <w:r w:rsidR="005A1CAE" w:rsidRPr="005A1CAE">
        <w:rPr>
          <w:noProof/>
        </w:rPr>
        <w:t>imp</w:t>
      </w:r>
      <w:r w:rsidRPr="005A1CAE">
        <w:rPr>
          <w:noProof/>
        </w:rPr>
        <w:t>ortowaną energię elektryczną będą miały zastosowanie do importu energii elektrycznej, który miał miejsce od dnia 1 stycznia 2026</w:t>
      </w:r>
      <w:r w:rsidR="005A1CAE" w:rsidRPr="005A1CAE">
        <w:rPr>
          <w:noProof/>
        </w:rPr>
        <w:t> </w:t>
      </w:r>
      <w:r w:rsidRPr="005A1CAE">
        <w:rPr>
          <w:noProof/>
        </w:rPr>
        <w:t>r. Zmiany wymagające wdrożenia</w:t>
      </w:r>
      <w:r w:rsidR="005A1CAE" w:rsidRPr="005A1CAE">
        <w:rPr>
          <w:noProof/>
        </w:rPr>
        <w:t xml:space="preserve"> w</w:t>
      </w:r>
      <w:r w:rsidR="005A1CAE">
        <w:rPr>
          <w:noProof/>
        </w:rPr>
        <w:t> </w:t>
      </w:r>
      <w:r w:rsidR="005A1CAE" w:rsidRPr="005A1CAE">
        <w:rPr>
          <w:noProof/>
        </w:rPr>
        <w:t>rej</w:t>
      </w:r>
      <w:r w:rsidRPr="005A1CAE">
        <w:rPr>
          <w:noProof/>
        </w:rPr>
        <w:t>estrze CBAM lub uruchomienia na początku roku kalendarzowego,</w:t>
      </w:r>
      <w:r w:rsidR="005A1CAE" w:rsidRPr="005A1CAE">
        <w:rPr>
          <w:noProof/>
        </w:rPr>
        <w:t xml:space="preserve"> w</w:t>
      </w:r>
      <w:r w:rsidR="005A1CAE">
        <w:rPr>
          <w:noProof/>
        </w:rPr>
        <w:t> </w:t>
      </w:r>
      <w:r w:rsidR="005A1CAE" w:rsidRPr="005A1CAE">
        <w:rPr>
          <w:noProof/>
        </w:rPr>
        <w:t>tym</w:t>
      </w:r>
      <w:r w:rsidRPr="005A1CAE">
        <w:rPr>
          <w:noProof/>
        </w:rPr>
        <w:t xml:space="preserve"> rozszerzenie zakresu na produkty rynku niższego szczebla, będą miały zastosowanie od</w:t>
      </w:r>
      <w:r w:rsidR="005A1CAE" w:rsidRPr="005A1CAE">
        <w:rPr>
          <w:noProof/>
        </w:rPr>
        <w:t> </w:t>
      </w:r>
      <w:r w:rsidRPr="005A1CAE">
        <w:rPr>
          <w:noProof/>
        </w:rPr>
        <w:t>1 stycznia 2028</w:t>
      </w:r>
      <w:r w:rsidR="005A1CAE" w:rsidRPr="005A1CAE">
        <w:rPr>
          <w:noProof/>
        </w:rPr>
        <w:t> </w:t>
      </w:r>
      <w:r w:rsidRPr="005A1CAE">
        <w:rPr>
          <w:noProof/>
        </w:rPr>
        <w:t>r.</w:t>
      </w:r>
    </w:p>
    <w:p w14:paraId="00A8C964" w14:textId="77777777" w:rsidR="00BE3E96" w:rsidRPr="005A1CAE" w:rsidRDefault="00BE3E96" w:rsidP="009F612D">
      <w:pPr>
        <w:rPr>
          <w:noProof/>
        </w:rPr>
        <w:sectPr w:rsidR="00BE3E96" w:rsidRPr="005A1CAE" w:rsidSect="009A1A09">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14:paraId="6642AD4F" w14:textId="75C4AC57" w:rsidR="002E6E50" w:rsidRPr="005A1CAE" w:rsidRDefault="00A52C15" w:rsidP="00A52C15">
      <w:pPr>
        <w:pStyle w:val="Rfrenceinterinstitutionnelle"/>
        <w:rPr>
          <w:noProof/>
        </w:rPr>
      </w:pPr>
      <w:r>
        <w:rPr>
          <w:noProof/>
        </w:rPr>
        <w:lastRenderedPageBreak/>
        <w:t>2025/0419 (COD)</w:t>
      </w:r>
    </w:p>
    <w:p w14:paraId="26FFA172" w14:textId="4FE821BD" w:rsidR="00D0690F" w:rsidRPr="005A1CAE" w:rsidRDefault="00A52C15" w:rsidP="00A52C15">
      <w:pPr>
        <w:pStyle w:val="Statut"/>
        <w:rPr>
          <w:noProof/>
        </w:rPr>
      </w:pPr>
      <w:r w:rsidRPr="00A52C15">
        <w:rPr>
          <w:noProof/>
        </w:rPr>
        <w:t>Wniosek</w:t>
      </w:r>
    </w:p>
    <w:p w14:paraId="37E14704" w14:textId="52500444" w:rsidR="00D0690F" w:rsidRPr="005A1CAE" w:rsidRDefault="00A52C15" w:rsidP="00A52C15">
      <w:pPr>
        <w:pStyle w:val="Typedudocument"/>
        <w:rPr>
          <w:noProof/>
        </w:rPr>
      </w:pPr>
      <w:r w:rsidRPr="00A52C15">
        <w:rPr>
          <w:noProof/>
        </w:rPr>
        <w:t>ROZPORZĄDZENIE PARLAMENTU EUROPEJSKIEGO I RADY</w:t>
      </w:r>
    </w:p>
    <w:p w14:paraId="586E2B8F" w14:textId="0F1F3C86" w:rsidR="00D0690F" w:rsidRPr="005A1CAE" w:rsidRDefault="00A52C15" w:rsidP="00A52C15">
      <w:pPr>
        <w:pStyle w:val="Titreobjet"/>
        <w:rPr>
          <w:noProof/>
        </w:rPr>
      </w:pPr>
      <w:r w:rsidRPr="00A52C15">
        <w:rPr>
          <w:noProof/>
        </w:rPr>
        <w:t>zmieniające rozporządzenie (UE) 2023/956 w odniesieniu do rozszerzenia zakresu jego stosowania na towary niższego szczebla i środki przeciwdziałające obchodzeniu przepisów</w:t>
      </w:r>
    </w:p>
    <w:p w14:paraId="1589F541" w14:textId="066F34DB" w:rsidR="00D0690F" w:rsidRPr="005A1CAE" w:rsidRDefault="00A52C15" w:rsidP="00A52C15">
      <w:pPr>
        <w:pStyle w:val="IntrtEEE"/>
        <w:rPr>
          <w:noProof/>
        </w:rPr>
      </w:pPr>
      <w:r w:rsidRPr="00A52C15">
        <w:rPr>
          <w:noProof/>
        </w:rPr>
        <w:t>(Tekst mający znaczenie dla EOG)</w:t>
      </w:r>
    </w:p>
    <w:p w14:paraId="68926C18" w14:textId="77777777" w:rsidR="00D0690F" w:rsidRPr="005A1CAE" w:rsidRDefault="00D0690F" w:rsidP="009F612D">
      <w:pPr>
        <w:pStyle w:val="Institutionquiagit"/>
        <w:rPr>
          <w:noProof/>
        </w:rPr>
      </w:pPr>
      <w:r w:rsidRPr="005A1CAE">
        <w:rPr>
          <w:noProof/>
        </w:rPr>
        <w:t>PARLAMENT EUROPEJSKI I RADA UNII EUROPEJSKIEJ,</w:t>
      </w:r>
    </w:p>
    <w:p w14:paraId="5449B85F" w14:textId="17386C5B" w:rsidR="00D0690F" w:rsidRPr="005A1CAE" w:rsidRDefault="00D0690F" w:rsidP="009F612D">
      <w:pPr>
        <w:rPr>
          <w:noProof/>
        </w:rPr>
      </w:pPr>
      <w:r w:rsidRPr="005A1CAE">
        <w:rPr>
          <w:noProof/>
        </w:rPr>
        <w:t>uwzględniając Traktat</w:t>
      </w:r>
      <w:r w:rsidR="005A1CAE" w:rsidRPr="005A1CAE">
        <w:rPr>
          <w:noProof/>
        </w:rPr>
        <w:t xml:space="preserve"> o</w:t>
      </w:r>
      <w:r w:rsidR="005A1CAE">
        <w:rPr>
          <w:noProof/>
        </w:rPr>
        <w:t> </w:t>
      </w:r>
      <w:r w:rsidR="005A1CAE" w:rsidRPr="005A1CAE">
        <w:rPr>
          <w:noProof/>
        </w:rPr>
        <w:t>fun</w:t>
      </w:r>
      <w:r w:rsidRPr="005A1CAE">
        <w:rPr>
          <w:noProof/>
        </w:rPr>
        <w:t>kcjonowaniu Unii Europejskiej,</w:t>
      </w:r>
      <w:r w:rsidR="005A1CAE" w:rsidRPr="005A1CAE">
        <w:rPr>
          <w:noProof/>
        </w:rPr>
        <w:t xml:space="preserve"> w</w:t>
      </w:r>
      <w:r w:rsidR="005A1CAE">
        <w:rPr>
          <w:noProof/>
        </w:rPr>
        <w:t> </w:t>
      </w:r>
      <w:r w:rsidR="005A1CAE" w:rsidRPr="005A1CAE">
        <w:rPr>
          <w:noProof/>
        </w:rPr>
        <w:t>szc</w:t>
      </w:r>
      <w:r w:rsidRPr="005A1CAE">
        <w:rPr>
          <w:noProof/>
        </w:rPr>
        <w:t>zególności jego art. 192 ust. 1,</w:t>
      </w:r>
    </w:p>
    <w:p w14:paraId="2B3304AE" w14:textId="77777777" w:rsidR="00D0690F" w:rsidRPr="005A1CAE" w:rsidRDefault="00D0690F" w:rsidP="009F612D">
      <w:pPr>
        <w:rPr>
          <w:noProof/>
        </w:rPr>
      </w:pPr>
      <w:r w:rsidRPr="005A1CAE">
        <w:rPr>
          <w:noProof/>
        </w:rPr>
        <w:t>uwzględniając wniosek Komisji Europejskiej,</w:t>
      </w:r>
    </w:p>
    <w:p w14:paraId="5F475DD4" w14:textId="77777777" w:rsidR="00D0690F" w:rsidRPr="005A1CAE" w:rsidRDefault="00D0690F" w:rsidP="009F612D">
      <w:pPr>
        <w:rPr>
          <w:noProof/>
        </w:rPr>
      </w:pPr>
      <w:r w:rsidRPr="005A1CAE">
        <w:rPr>
          <w:noProof/>
        </w:rPr>
        <w:t>po przekazaniu projektu aktu ustawodawczego parlamentom narodowym,</w:t>
      </w:r>
    </w:p>
    <w:p w14:paraId="4FE766F4" w14:textId="77777777" w:rsidR="00D0690F" w:rsidRPr="005A1CAE" w:rsidRDefault="00D0690F" w:rsidP="009F612D">
      <w:pPr>
        <w:rPr>
          <w:noProof/>
        </w:rPr>
      </w:pPr>
      <w:r w:rsidRPr="005A1CAE">
        <w:rPr>
          <w:noProof/>
        </w:rPr>
        <w:t>uwzględniając opinię Europejskiego Komitetu Ekonomiczno-Społecznego</w:t>
      </w:r>
      <w:r w:rsidRPr="005A1CAE">
        <w:rPr>
          <w:rStyle w:val="Odwoanieprzypisudolnego"/>
          <w:noProof/>
        </w:rPr>
        <w:footnoteReference w:id="16"/>
      </w:r>
      <w:r w:rsidRPr="005A1CAE">
        <w:rPr>
          <w:noProof/>
        </w:rPr>
        <w:t>,</w:t>
      </w:r>
    </w:p>
    <w:p w14:paraId="7B658FC7" w14:textId="3E92BCFF" w:rsidR="00D0690F" w:rsidRPr="005A1CAE" w:rsidRDefault="00D0690F" w:rsidP="009F612D">
      <w:pPr>
        <w:rPr>
          <w:noProof/>
        </w:rPr>
      </w:pPr>
      <w:r w:rsidRPr="005A1CAE">
        <w:rPr>
          <w:noProof/>
        </w:rPr>
        <w:t>po konsultacji</w:t>
      </w:r>
      <w:r w:rsidR="005A1CAE" w:rsidRPr="005A1CAE">
        <w:rPr>
          <w:noProof/>
        </w:rPr>
        <w:t xml:space="preserve"> z</w:t>
      </w:r>
      <w:r w:rsidR="005A1CAE">
        <w:rPr>
          <w:noProof/>
        </w:rPr>
        <w:t> </w:t>
      </w:r>
      <w:r w:rsidR="005A1CAE" w:rsidRPr="005A1CAE">
        <w:rPr>
          <w:noProof/>
        </w:rPr>
        <w:t>Kom</w:t>
      </w:r>
      <w:r w:rsidRPr="005A1CAE">
        <w:rPr>
          <w:noProof/>
        </w:rPr>
        <w:t>itetem Regionów</w:t>
      </w:r>
      <w:r w:rsidRPr="005A1CAE">
        <w:rPr>
          <w:rStyle w:val="Odwoanieprzypisudolnego"/>
          <w:noProof/>
        </w:rPr>
        <w:footnoteReference w:id="17"/>
      </w:r>
      <w:r w:rsidRPr="005A1CAE">
        <w:rPr>
          <w:noProof/>
        </w:rPr>
        <w:t>,</w:t>
      </w:r>
    </w:p>
    <w:p w14:paraId="0249D024" w14:textId="77777777" w:rsidR="00D0690F" w:rsidRPr="005A1CAE" w:rsidRDefault="00D0690F" w:rsidP="009F612D">
      <w:pPr>
        <w:rPr>
          <w:noProof/>
        </w:rPr>
      </w:pPr>
      <w:r w:rsidRPr="005A1CAE">
        <w:rPr>
          <w:noProof/>
        </w:rPr>
        <w:t>stanowiąc zgodnie ze zwykłą procedurą ustawodawczą,</w:t>
      </w:r>
    </w:p>
    <w:p w14:paraId="64C29884" w14:textId="77777777" w:rsidR="00D0690F" w:rsidRPr="005A1CAE" w:rsidRDefault="00D0690F" w:rsidP="009F612D">
      <w:pPr>
        <w:rPr>
          <w:noProof/>
        </w:rPr>
      </w:pPr>
      <w:r w:rsidRPr="005A1CAE">
        <w:rPr>
          <w:noProof/>
        </w:rPr>
        <w:t>a także mając na uwadze, co następuje:</w:t>
      </w:r>
    </w:p>
    <w:p w14:paraId="1861FCF0" w14:textId="65496C9F" w:rsidR="00326E43" w:rsidRPr="005A1CAE" w:rsidRDefault="00874ACF" w:rsidP="00874ACF">
      <w:pPr>
        <w:pStyle w:val="ManualConsidrant"/>
        <w:rPr>
          <w:noProof/>
        </w:rPr>
      </w:pPr>
      <w:r w:rsidRPr="005A1CAE">
        <w:rPr>
          <w:noProof/>
        </w:rPr>
        <w:t>(1)</w:t>
      </w:r>
      <w:r w:rsidRPr="005A1CAE">
        <w:rPr>
          <w:noProof/>
        </w:rPr>
        <w:tab/>
        <w:t>Rozporządzenie Parlamentu Europejskiego</w:t>
      </w:r>
      <w:r w:rsidR="005A1CAE" w:rsidRPr="005A1CAE">
        <w:rPr>
          <w:noProof/>
        </w:rPr>
        <w:t xml:space="preserve"> i</w:t>
      </w:r>
      <w:r w:rsidR="005A1CAE">
        <w:rPr>
          <w:noProof/>
        </w:rPr>
        <w:t> </w:t>
      </w:r>
      <w:r w:rsidR="005A1CAE" w:rsidRPr="005A1CAE">
        <w:rPr>
          <w:noProof/>
        </w:rPr>
        <w:t>Rad</w:t>
      </w:r>
      <w:r w:rsidRPr="005A1CAE">
        <w:rPr>
          <w:noProof/>
        </w:rPr>
        <w:t>y (UE) 2023/956</w:t>
      </w:r>
      <w:r w:rsidRPr="005A1CAE">
        <w:rPr>
          <w:rStyle w:val="Odwoanieprzypisudolnego"/>
          <w:noProof/>
        </w:rPr>
        <w:footnoteReference w:id="18"/>
      </w:r>
      <w:r w:rsidRPr="005A1CAE">
        <w:rPr>
          <w:noProof/>
        </w:rPr>
        <w:t xml:space="preserve"> pierwotnie miało ograniczony zakres</w:t>
      </w:r>
      <w:r w:rsidR="005A1CAE" w:rsidRPr="005A1CAE">
        <w:rPr>
          <w:noProof/>
        </w:rPr>
        <w:t xml:space="preserve"> i</w:t>
      </w:r>
      <w:r w:rsidR="005A1CAE">
        <w:rPr>
          <w:noProof/>
        </w:rPr>
        <w:t> </w:t>
      </w:r>
      <w:r w:rsidR="005A1CAE" w:rsidRPr="005A1CAE">
        <w:rPr>
          <w:noProof/>
        </w:rPr>
        <w:t>obe</w:t>
      </w:r>
      <w:r w:rsidRPr="005A1CAE">
        <w:rPr>
          <w:noProof/>
        </w:rPr>
        <w:t>jmowało te towary, które są najbardziej narażone na ryzyko ucieczki emisji</w:t>
      </w:r>
      <w:r w:rsidR="005A1CAE" w:rsidRPr="005A1CAE">
        <w:rPr>
          <w:noProof/>
        </w:rPr>
        <w:t xml:space="preserve"> i</w:t>
      </w:r>
      <w:r w:rsidR="005A1CAE">
        <w:rPr>
          <w:noProof/>
        </w:rPr>
        <w:t> </w:t>
      </w:r>
      <w:r w:rsidR="005A1CAE" w:rsidRPr="005A1CAE">
        <w:rPr>
          <w:noProof/>
        </w:rPr>
        <w:t>któ</w:t>
      </w:r>
      <w:r w:rsidRPr="005A1CAE">
        <w:rPr>
          <w:noProof/>
        </w:rPr>
        <w:t xml:space="preserve">re są najbardziej </w:t>
      </w:r>
      <w:r w:rsidR="00B32D9E" w:rsidRPr="005A1CAE">
        <w:rPr>
          <w:noProof/>
        </w:rPr>
        <w:t>emisyjne. Zakres</w:t>
      </w:r>
      <w:r w:rsidRPr="005A1CAE">
        <w:rPr>
          <w:noProof/>
        </w:rPr>
        <w:t xml:space="preserve"> stosowania tego rozporządzenia należy stopniowo rozszerzać, aby objąć nim produkty znajdujące się dalej</w:t>
      </w:r>
      <w:r w:rsidR="005A1CAE" w:rsidRPr="005A1CAE">
        <w:rPr>
          <w:noProof/>
        </w:rPr>
        <w:t xml:space="preserve"> w</w:t>
      </w:r>
      <w:r w:rsidR="005A1CAE">
        <w:rPr>
          <w:noProof/>
        </w:rPr>
        <w:t> </w:t>
      </w:r>
      <w:r w:rsidR="005A1CAE" w:rsidRPr="005A1CAE">
        <w:rPr>
          <w:noProof/>
        </w:rPr>
        <w:t>łań</w:t>
      </w:r>
      <w:r w:rsidRPr="005A1CAE">
        <w:rPr>
          <w:noProof/>
        </w:rPr>
        <w:t>cuchu wartości towarów wymienionych</w:t>
      </w:r>
      <w:r w:rsidR="005A1CAE" w:rsidRPr="005A1CAE">
        <w:rPr>
          <w:noProof/>
        </w:rPr>
        <w:t xml:space="preserve"> w</w:t>
      </w:r>
      <w:r w:rsidR="005A1CAE">
        <w:rPr>
          <w:noProof/>
        </w:rPr>
        <w:t> </w:t>
      </w:r>
      <w:r w:rsidR="005A1CAE" w:rsidRPr="005A1CAE">
        <w:rPr>
          <w:noProof/>
        </w:rPr>
        <w:t>zał</w:t>
      </w:r>
      <w:r w:rsidRPr="005A1CAE">
        <w:rPr>
          <w:noProof/>
        </w:rPr>
        <w:t>ączniku I do tego rozporządzenia.</w:t>
      </w:r>
    </w:p>
    <w:p w14:paraId="02314CC5" w14:textId="6F182FBB" w:rsidR="00326E43" w:rsidRPr="005A1CAE" w:rsidRDefault="00874ACF" w:rsidP="00874ACF">
      <w:pPr>
        <w:pStyle w:val="ManualConsidrant"/>
        <w:rPr>
          <w:noProof/>
        </w:rPr>
      </w:pPr>
      <w:r w:rsidRPr="005A1CAE">
        <w:rPr>
          <w:noProof/>
        </w:rPr>
        <w:t>(2)</w:t>
      </w:r>
      <w:r w:rsidRPr="005A1CAE">
        <w:rPr>
          <w:noProof/>
        </w:rPr>
        <w:tab/>
        <w:t>W komunikacie zatytułowanym „Europejski plan działania</w:t>
      </w:r>
      <w:r w:rsidR="005A1CAE" w:rsidRPr="005A1CAE">
        <w:rPr>
          <w:noProof/>
        </w:rPr>
        <w:t xml:space="preserve"> w</w:t>
      </w:r>
      <w:r w:rsidR="005A1CAE">
        <w:rPr>
          <w:noProof/>
        </w:rPr>
        <w:t> </w:t>
      </w:r>
      <w:r w:rsidR="005A1CAE" w:rsidRPr="005A1CAE">
        <w:rPr>
          <w:noProof/>
        </w:rPr>
        <w:t>zak</w:t>
      </w:r>
      <w:r w:rsidRPr="005A1CAE">
        <w:rPr>
          <w:noProof/>
        </w:rPr>
        <w:t>resie stali</w:t>
      </w:r>
      <w:r w:rsidR="005A1CAE" w:rsidRPr="005A1CAE">
        <w:rPr>
          <w:noProof/>
        </w:rPr>
        <w:t xml:space="preserve"> i</w:t>
      </w:r>
      <w:r w:rsidR="005A1CAE">
        <w:rPr>
          <w:noProof/>
        </w:rPr>
        <w:t> </w:t>
      </w:r>
      <w:r w:rsidR="005A1CAE" w:rsidRPr="005A1CAE">
        <w:rPr>
          <w:noProof/>
        </w:rPr>
        <w:t>met</w:t>
      </w:r>
      <w:r w:rsidRPr="005A1CAE">
        <w:rPr>
          <w:noProof/>
        </w:rPr>
        <w:t>ali”</w:t>
      </w:r>
      <w:r w:rsidRPr="005A1CAE">
        <w:rPr>
          <w:rStyle w:val="Odwoanieprzypisudolnego"/>
          <w:noProof/>
        </w:rPr>
        <w:footnoteReference w:id="19"/>
      </w:r>
      <w:r w:rsidRPr="005A1CAE">
        <w:rPr>
          <w:noProof/>
        </w:rPr>
        <w:t xml:space="preserve"> Komisja określiła cele, jakimi jest rozszerzenie zakresu mechanizmu dostosowywania cen na granicach</w:t>
      </w:r>
      <w:r w:rsidR="005A1CAE" w:rsidRPr="005A1CAE">
        <w:rPr>
          <w:noProof/>
        </w:rPr>
        <w:t xml:space="preserve"> z</w:t>
      </w:r>
      <w:r w:rsidR="005A1CAE">
        <w:rPr>
          <w:noProof/>
        </w:rPr>
        <w:t> </w:t>
      </w:r>
      <w:r w:rsidR="005A1CAE" w:rsidRPr="005A1CAE">
        <w:rPr>
          <w:noProof/>
        </w:rPr>
        <w:t>uwz</w:t>
      </w:r>
      <w:r w:rsidRPr="005A1CAE">
        <w:rPr>
          <w:noProof/>
        </w:rPr>
        <w:t>ględnieniem emisji CO</w:t>
      </w:r>
      <w:r w:rsidRPr="005A1CAE">
        <w:rPr>
          <w:noProof/>
          <w:vertAlign w:val="subscript"/>
        </w:rPr>
        <w:t>2</w:t>
      </w:r>
      <w:r w:rsidRPr="005A1CAE">
        <w:rPr>
          <w:noProof/>
        </w:rPr>
        <w:t xml:space="preserve"> („CBAM”) na niektóre produkty rynku niższego szczebla wymagające intensywnego wykorzystania stali</w:t>
      </w:r>
      <w:r w:rsidR="005A1CAE" w:rsidRPr="005A1CAE">
        <w:rPr>
          <w:noProof/>
        </w:rPr>
        <w:t xml:space="preserve"> i</w:t>
      </w:r>
      <w:r w:rsidR="005A1CAE">
        <w:rPr>
          <w:noProof/>
        </w:rPr>
        <w:t> </w:t>
      </w:r>
      <w:r w:rsidR="005A1CAE" w:rsidRPr="005A1CAE">
        <w:rPr>
          <w:noProof/>
        </w:rPr>
        <w:t>alu</w:t>
      </w:r>
      <w:r w:rsidRPr="005A1CAE">
        <w:rPr>
          <w:noProof/>
        </w:rPr>
        <w:t>minium,</w:t>
      </w:r>
      <w:r w:rsidR="005A1CAE" w:rsidRPr="005A1CAE">
        <w:rPr>
          <w:noProof/>
        </w:rPr>
        <w:t xml:space="preserve"> a</w:t>
      </w:r>
      <w:r w:rsidR="005A1CAE">
        <w:rPr>
          <w:noProof/>
        </w:rPr>
        <w:t> </w:t>
      </w:r>
      <w:r w:rsidR="005A1CAE" w:rsidRPr="005A1CAE">
        <w:rPr>
          <w:noProof/>
        </w:rPr>
        <w:t>tak</w:t>
      </w:r>
      <w:r w:rsidRPr="005A1CAE">
        <w:rPr>
          <w:noProof/>
        </w:rPr>
        <w:t>że przeciwdziałanie ryzyku obchodzenia przepisów</w:t>
      </w:r>
      <w:r w:rsidR="005A1CAE" w:rsidRPr="005A1CAE">
        <w:rPr>
          <w:noProof/>
        </w:rPr>
        <w:t xml:space="preserve"> i</w:t>
      </w:r>
      <w:r w:rsidR="005A1CAE">
        <w:rPr>
          <w:noProof/>
        </w:rPr>
        <w:t> </w:t>
      </w:r>
      <w:r w:rsidR="005A1CAE" w:rsidRPr="005A1CAE">
        <w:rPr>
          <w:noProof/>
        </w:rPr>
        <w:t>pra</w:t>
      </w:r>
      <w:r w:rsidRPr="005A1CAE">
        <w:rPr>
          <w:noProof/>
        </w:rPr>
        <w:t>ktyk, które mogłyby podważyć cele CBAM,</w:t>
      </w:r>
      <w:r w:rsidR="005A1CAE" w:rsidRPr="005A1CAE">
        <w:rPr>
          <w:noProof/>
        </w:rPr>
        <w:t xml:space="preserve"> w</w:t>
      </w:r>
      <w:r w:rsidR="005A1CAE">
        <w:rPr>
          <w:noProof/>
        </w:rPr>
        <w:t> </w:t>
      </w:r>
      <w:r w:rsidR="005A1CAE" w:rsidRPr="005A1CAE">
        <w:rPr>
          <w:noProof/>
        </w:rPr>
        <w:t>tym</w:t>
      </w:r>
      <w:r w:rsidRPr="005A1CAE">
        <w:rPr>
          <w:noProof/>
        </w:rPr>
        <w:t xml:space="preserve"> przekierowanie przez państwa trzecie towarów niskoemisyjnych na rynek unijny</w:t>
      </w:r>
      <w:r w:rsidR="005A1CAE" w:rsidRPr="005A1CAE">
        <w:rPr>
          <w:noProof/>
        </w:rPr>
        <w:t xml:space="preserve"> w</w:t>
      </w:r>
      <w:r w:rsidR="005A1CAE">
        <w:rPr>
          <w:noProof/>
        </w:rPr>
        <w:t> </w:t>
      </w:r>
      <w:r w:rsidR="005A1CAE" w:rsidRPr="005A1CAE">
        <w:rPr>
          <w:noProof/>
        </w:rPr>
        <w:t>prz</w:t>
      </w:r>
      <w:r w:rsidRPr="005A1CAE">
        <w:rPr>
          <w:noProof/>
        </w:rPr>
        <w:t>ypadku braku starań</w:t>
      </w:r>
      <w:r w:rsidR="005A1CAE" w:rsidRPr="005A1CAE">
        <w:rPr>
          <w:noProof/>
        </w:rPr>
        <w:t xml:space="preserve"> o</w:t>
      </w:r>
      <w:r w:rsidR="005A1CAE">
        <w:rPr>
          <w:noProof/>
        </w:rPr>
        <w:t> </w:t>
      </w:r>
      <w:r w:rsidR="005A1CAE" w:rsidRPr="005A1CAE">
        <w:rPr>
          <w:noProof/>
        </w:rPr>
        <w:t>obn</w:t>
      </w:r>
      <w:r w:rsidRPr="005A1CAE">
        <w:rPr>
          <w:noProof/>
        </w:rPr>
        <w:t>iżanie emisyjności całej ich produkcji.</w:t>
      </w:r>
    </w:p>
    <w:p w14:paraId="385AE348" w14:textId="00CAE916" w:rsidR="00334E94" w:rsidRPr="005A1CAE" w:rsidRDefault="00874ACF" w:rsidP="00874ACF">
      <w:pPr>
        <w:pStyle w:val="ManualConsidrant"/>
        <w:rPr>
          <w:noProof/>
        </w:rPr>
      </w:pPr>
      <w:r w:rsidRPr="005A1CAE">
        <w:rPr>
          <w:noProof/>
        </w:rPr>
        <w:t>(3)</w:t>
      </w:r>
      <w:r w:rsidRPr="005A1CAE">
        <w:rPr>
          <w:noProof/>
        </w:rPr>
        <w:tab/>
        <w:t>Ponieważ CBAM ma stworzyć zachęty do redukcji emisji dla operatorów</w:t>
      </w:r>
      <w:r w:rsidR="005A1CAE" w:rsidRPr="005A1CAE">
        <w:rPr>
          <w:noProof/>
        </w:rPr>
        <w:t xml:space="preserve"> w</w:t>
      </w:r>
      <w:r w:rsidR="005A1CAE">
        <w:rPr>
          <w:noProof/>
        </w:rPr>
        <w:t> </w:t>
      </w:r>
      <w:r w:rsidR="005A1CAE" w:rsidRPr="005A1CAE">
        <w:rPr>
          <w:noProof/>
        </w:rPr>
        <w:t>pań</w:t>
      </w:r>
      <w:r w:rsidRPr="005A1CAE">
        <w:rPr>
          <w:noProof/>
        </w:rPr>
        <w:t>stwach trzecich, Unia jest zdecydowana współpracować</w:t>
      </w:r>
      <w:r w:rsidR="005A1CAE" w:rsidRPr="005A1CAE">
        <w:rPr>
          <w:noProof/>
        </w:rPr>
        <w:t xml:space="preserve"> z</w:t>
      </w:r>
      <w:r w:rsidR="005A1CAE">
        <w:rPr>
          <w:noProof/>
        </w:rPr>
        <w:t> </w:t>
      </w:r>
      <w:r w:rsidR="005A1CAE" w:rsidRPr="005A1CAE">
        <w:rPr>
          <w:noProof/>
        </w:rPr>
        <w:t>kra</w:t>
      </w:r>
      <w:r w:rsidRPr="005A1CAE">
        <w:rPr>
          <w:noProof/>
        </w:rPr>
        <w:t>jami</w:t>
      </w:r>
      <w:r w:rsidR="005A1CAE" w:rsidRPr="005A1CAE">
        <w:rPr>
          <w:noProof/>
        </w:rPr>
        <w:t xml:space="preserve"> o</w:t>
      </w:r>
      <w:r w:rsidR="005A1CAE">
        <w:rPr>
          <w:noProof/>
        </w:rPr>
        <w:t> </w:t>
      </w:r>
      <w:r w:rsidR="005A1CAE" w:rsidRPr="005A1CAE">
        <w:rPr>
          <w:noProof/>
        </w:rPr>
        <w:t>nis</w:t>
      </w:r>
      <w:r w:rsidRPr="005A1CAE">
        <w:rPr>
          <w:noProof/>
        </w:rPr>
        <w:t>kim</w:t>
      </w:r>
      <w:r w:rsidR="005A1CAE" w:rsidRPr="005A1CAE">
        <w:rPr>
          <w:noProof/>
        </w:rPr>
        <w:t xml:space="preserve"> i</w:t>
      </w:r>
      <w:r w:rsidR="005A1CAE">
        <w:rPr>
          <w:noProof/>
        </w:rPr>
        <w:t> </w:t>
      </w:r>
      <w:r w:rsidR="005A1CAE" w:rsidRPr="005A1CAE">
        <w:rPr>
          <w:noProof/>
        </w:rPr>
        <w:t>śre</w:t>
      </w:r>
      <w:r w:rsidRPr="005A1CAE">
        <w:rPr>
          <w:noProof/>
        </w:rPr>
        <w:t>dnim dochodzie</w:t>
      </w:r>
      <w:r w:rsidR="005A1CAE" w:rsidRPr="005A1CAE">
        <w:rPr>
          <w:noProof/>
        </w:rPr>
        <w:t xml:space="preserve"> i</w:t>
      </w:r>
      <w:r w:rsidR="005A1CAE">
        <w:rPr>
          <w:noProof/>
        </w:rPr>
        <w:t> </w:t>
      </w:r>
      <w:r w:rsidR="005A1CAE" w:rsidRPr="005A1CAE">
        <w:rPr>
          <w:noProof/>
        </w:rPr>
        <w:t>wsp</w:t>
      </w:r>
      <w:r w:rsidRPr="005A1CAE">
        <w:rPr>
          <w:noProof/>
        </w:rPr>
        <w:t>ierać je</w:t>
      </w:r>
      <w:r w:rsidR="005A1CAE" w:rsidRPr="005A1CAE">
        <w:rPr>
          <w:noProof/>
        </w:rPr>
        <w:t xml:space="preserve"> w</w:t>
      </w:r>
      <w:r w:rsidR="005A1CAE">
        <w:rPr>
          <w:noProof/>
        </w:rPr>
        <w:t> </w:t>
      </w:r>
      <w:r w:rsidR="005A1CAE" w:rsidRPr="005A1CAE">
        <w:rPr>
          <w:noProof/>
        </w:rPr>
        <w:t>obn</w:t>
      </w:r>
      <w:r w:rsidRPr="005A1CAE">
        <w:rPr>
          <w:noProof/>
        </w:rPr>
        <w:t>iżaniu emisyjności ich przemysłu wytwórczego</w:t>
      </w:r>
      <w:r w:rsidR="005A1CAE" w:rsidRPr="005A1CAE">
        <w:rPr>
          <w:noProof/>
        </w:rPr>
        <w:t xml:space="preserve"> w</w:t>
      </w:r>
      <w:r w:rsidR="005A1CAE">
        <w:rPr>
          <w:noProof/>
        </w:rPr>
        <w:t> </w:t>
      </w:r>
      <w:r w:rsidR="005A1CAE" w:rsidRPr="005A1CAE">
        <w:rPr>
          <w:noProof/>
        </w:rPr>
        <w:t>ram</w:t>
      </w:r>
      <w:r w:rsidRPr="005A1CAE">
        <w:rPr>
          <w:noProof/>
        </w:rPr>
        <w:t xml:space="preserve">ach </w:t>
      </w:r>
      <w:r w:rsidRPr="005A1CAE">
        <w:rPr>
          <w:noProof/>
        </w:rPr>
        <w:lastRenderedPageBreak/>
        <w:t>zewnętrznego wymiaru Europejskiego Zielonego Ładu</w:t>
      </w:r>
      <w:r w:rsidRPr="005A1CAE">
        <w:rPr>
          <w:rStyle w:val="Odwoanieprzypisudolnego"/>
          <w:noProof/>
        </w:rPr>
        <w:footnoteReference w:id="20"/>
      </w:r>
      <w:r w:rsidR="005A1CAE" w:rsidRPr="005A1CAE">
        <w:rPr>
          <w:noProof/>
        </w:rPr>
        <w:t xml:space="preserve"> i</w:t>
      </w:r>
      <w:r w:rsidR="005A1CAE">
        <w:rPr>
          <w:noProof/>
        </w:rPr>
        <w:t> </w:t>
      </w:r>
      <w:r w:rsidR="005A1CAE" w:rsidRPr="005A1CAE">
        <w:rPr>
          <w:noProof/>
        </w:rPr>
        <w:t>zgo</w:t>
      </w:r>
      <w:r w:rsidRPr="005A1CAE">
        <w:rPr>
          <w:noProof/>
        </w:rPr>
        <w:t>dnie</w:t>
      </w:r>
      <w:r w:rsidR="005A1CAE" w:rsidRPr="005A1CAE">
        <w:rPr>
          <w:noProof/>
        </w:rPr>
        <w:t xml:space="preserve"> z</w:t>
      </w:r>
      <w:r w:rsidR="005A1CAE">
        <w:rPr>
          <w:noProof/>
        </w:rPr>
        <w:t> </w:t>
      </w:r>
      <w:r w:rsidR="005A1CAE" w:rsidRPr="005A1CAE">
        <w:rPr>
          <w:noProof/>
        </w:rPr>
        <w:t>por</w:t>
      </w:r>
      <w:r w:rsidRPr="005A1CAE">
        <w:rPr>
          <w:noProof/>
        </w:rPr>
        <w:t>ozumieniem paryskim</w:t>
      </w:r>
      <w:r w:rsidRPr="005A1CAE">
        <w:rPr>
          <w:rStyle w:val="Odwoanieprzypisudolnego"/>
          <w:noProof/>
        </w:rPr>
        <w:footnoteReference w:id="21"/>
      </w:r>
      <w:r w:rsidRPr="005A1CAE">
        <w:rPr>
          <w:noProof/>
        </w:rPr>
        <w:t>. Unia powinna nadal wspierać te kraje,</w:t>
      </w:r>
      <w:r w:rsidR="005A1CAE" w:rsidRPr="005A1CAE">
        <w:rPr>
          <w:noProof/>
        </w:rPr>
        <w:t xml:space="preserve"> a</w:t>
      </w:r>
      <w:r w:rsidR="005A1CAE">
        <w:rPr>
          <w:noProof/>
        </w:rPr>
        <w:t> </w:t>
      </w:r>
      <w:r w:rsidR="005A1CAE" w:rsidRPr="005A1CAE">
        <w:rPr>
          <w:noProof/>
        </w:rPr>
        <w:t>zwł</w:t>
      </w:r>
      <w:r w:rsidRPr="005A1CAE">
        <w:rPr>
          <w:noProof/>
        </w:rPr>
        <w:t>aszcza kraje najsłabiej rozwinięte,</w:t>
      </w:r>
      <w:r w:rsidR="005A1CAE" w:rsidRPr="005A1CAE">
        <w:rPr>
          <w:noProof/>
        </w:rPr>
        <w:t xml:space="preserve"> z</w:t>
      </w:r>
      <w:r w:rsidR="005A1CAE">
        <w:rPr>
          <w:noProof/>
        </w:rPr>
        <w:t> </w:t>
      </w:r>
      <w:r w:rsidR="005A1CAE" w:rsidRPr="005A1CAE">
        <w:rPr>
          <w:noProof/>
        </w:rPr>
        <w:t>bud</w:t>
      </w:r>
      <w:r w:rsidRPr="005A1CAE">
        <w:rPr>
          <w:noProof/>
        </w:rPr>
        <w:t>żetu Unii, aby pomóc im zapewnić dostosowanie się do obowiązków wynikających</w:t>
      </w:r>
      <w:r w:rsidR="005A1CAE" w:rsidRPr="005A1CAE">
        <w:rPr>
          <w:noProof/>
        </w:rPr>
        <w:t xml:space="preserve"> z</w:t>
      </w:r>
      <w:r w:rsidR="005A1CAE">
        <w:rPr>
          <w:noProof/>
        </w:rPr>
        <w:t> </w:t>
      </w:r>
      <w:r w:rsidR="005A1CAE" w:rsidRPr="005A1CAE">
        <w:rPr>
          <w:noProof/>
        </w:rPr>
        <w:t>nin</w:t>
      </w:r>
      <w:r w:rsidRPr="005A1CAE">
        <w:rPr>
          <w:noProof/>
        </w:rPr>
        <w:t>iejszego rozporządzenia. Unia powinna nadal wspierać działania na rzecz łagodzenia zmiany klimatu</w:t>
      </w:r>
      <w:r w:rsidR="005A1CAE" w:rsidRPr="005A1CAE">
        <w:rPr>
          <w:noProof/>
        </w:rPr>
        <w:t xml:space="preserve"> i</w:t>
      </w:r>
      <w:r w:rsidR="005A1CAE">
        <w:rPr>
          <w:noProof/>
        </w:rPr>
        <w:t> </w:t>
      </w:r>
      <w:r w:rsidR="005A1CAE" w:rsidRPr="005A1CAE">
        <w:rPr>
          <w:noProof/>
        </w:rPr>
        <w:t>prz</w:t>
      </w:r>
      <w:r w:rsidRPr="005A1CAE">
        <w:rPr>
          <w:noProof/>
        </w:rPr>
        <w:t>ystosowywania się do niej</w:t>
      </w:r>
      <w:r w:rsidR="005A1CAE" w:rsidRPr="005A1CAE">
        <w:rPr>
          <w:noProof/>
        </w:rPr>
        <w:t xml:space="preserve"> w</w:t>
      </w:r>
      <w:r w:rsidR="005A1CAE">
        <w:rPr>
          <w:noProof/>
        </w:rPr>
        <w:t> </w:t>
      </w:r>
      <w:r w:rsidR="005A1CAE" w:rsidRPr="005A1CAE">
        <w:rPr>
          <w:noProof/>
        </w:rPr>
        <w:t>tyc</w:t>
      </w:r>
      <w:r w:rsidRPr="005A1CAE">
        <w:rPr>
          <w:noProof/>
        </w:rPr>
        <w:t>h krajach,</w:t>
      </w:r>
      <w:r w:rsidR="005A1CAE" w:rsidRPr="005A1CAE">
        <w:rPr>
          <w:noProof/>
        </w:rPr>
        <w:t xml:space="preserve"> w</w:t>
      </w:r>
      <w:r w:rsidR="005A1CAE">
        <w:rPr>
          <w:noProof/>
        </w:rPr>
        <w:t> </w:t>
      </w:r>
      <w:r w:rsidR="005A1CAE" w:rsidRPr="005A1CAE">
        <w:rPr>
          <w:noProof/>
        </w:rPr>
        <w:t>tym</w:t>
      </w:r>
      <w:r w:rsidRPr="005A1CAE">
        <w:rPr>
          <w:noProof/>
        </w:rPr>
        <w:t xml:space="preserve"> ich starania</w:t>
      </w:r>
      <w:r w:rsidR="005A1CAE" w:rsidRPr="005A1CAE">
        <w:rPr>
          <w:noProof/>
        </w:rPr>
        <w:t xml:space="preserve"> o</w:t>
      </w:r>
      <w:r w:rsidR="005A1CAE">
        <w:rPr>
          <w:noProof/>
        </w:rPr>
        <w:t> </w:t>
      </w:r>
      <w:r w:rsidR="005A1CAE" w:rsidRPr="005A1CAE">
        <w:rPr>
          <w:noProof/>
        </w:rPr>
        <w:t>obn</w:t>
      </w:r>
      <w:r w:rsidRPr="005A1CAE">
        <w:rPr>
          <w:noProof/>
        </w:rPr>
        <w:t>iżanie emisyjności</w:t>
      </w:r>
      <w:r w:rsidR="005A1CAE" w:rsidRPr="005A1CAE">
        <w:rPr>
          <w:noProof/>
        </w:rPr>
        <w:t xml:space="preserve"> i</w:t>
      </w:r>
      <w:r w:rsidR="005A1CAE">
        <w:rPr>
          <w:noProof/>
        </w:rPr>
        <w:t> </w:t>
      </w:r>
      <w:r w:rsidR="005A1CAE" w:rsidRPr="005A1CAE">
        <w:rPr>
          <w:noProof/>
        </w:rPr>
        <w:t>tra</w:t>
      </w:r>
      <w:r w:rsidRPr="005A1CAE">
        <w:rPr>
          <w:noProof/>
        </w:rPr>
        <w:t>nsformację ich przemysłu, do wysokości pułapu wieloletnich ram finansowych oraz wsparcia finansowego udzielanego przez Unię na rzecz międzynarodowego finansowania działań</w:t>
      </w:r>
      <w:r w:rsidR="005A1CAE" w:rsidRPr="005A1CAE">
        <w:rPr>
          <w:noProof/>
        </w:rPr>
        <w:t xml:space="preserve"> w</w:t>
      </w:r>
      <w:r w:rsidR="005A1CAE">
        <w:rPr>
          <w:noProof/>
        </w:rPr>
        <w:t> </w:t>
      </w:r>
      <w:r w:rsidR="005A1CAE" w:rsidRPr="005A1CAE">
        <w:rPr>
          <w:noProof/>
        </w:rPr>
        <w:t>zwi</w:t>
      </w:r>
      <w:r w:rsidRPr="005A1CAE">
        <w:rPr>
          <w:noProof/>
        </w:rPr>
        <w:t>ązku ze zmianą klimatu. Podkreślono to dodatkowo</w:t>
      </w:r>
      <w:r w:rsidR="005A1CAE" w:rsidRPr="005A1CAE">
        <w:rPr>
          <w:noProof/>
        </w:rPr>
        <w:t xml:space="preserve"> w</w:t>
      </w:r>
      <w:r w:rsidR="005A1CAE">
        <w:rPr>
          <w:noProof/>
        </w:rPr>
        <w:t> </w:t>
      </w:r>
      <w:r w:rsidR="005A1CAE" w:rsidRPr="005A1CAE">
        <w:rPr>
          <w:noProof/>
        </w:rPr>
        <w:t>glo</w:t>
      </w:r>
      <w:r w:rsidRPr="005A1CAE">
        <w:rPr>
          <w:noProof/>
        </w:rPr>
        <w:t>balnej wizji UE</w:t>
      </w:r>
      <w:r w:rsidR="005A1CAE" w:rsidRPr="005A1CAE">
        <w:rPr>
          <w:noProof/>
        </w:rPr>
        <w:t xml:space="preserve"> w</w:t>
      </w:r>
      <w:r w:rsidR="005A1CAE">
        <w:rPr>
          <w:noProof/>
        </w:rPr>
        <w:t> </w:t>
      </w:r>
      <w:r w:rsidR="005A1CAE" w:rsidRPr="005A1CAE">
        <w:rPr>
          <w:noProof/>
        </w:rPr>
        <w:t>zak</w:t>
      </w:r>
      <w:r w:rsidRPr="005A1CAE">
        <w:rPr>
          <w:noProof/>
        </w:rPr>
        <w:t>resie klimatu</w:t>
      </w:r>
      <w:r w:rsidR="005A1CAE" w:rsidRPr="005A1CAE">
        <w:rPr>
          <w:noProof/>
        </w:rPr>
        <w:t xml:space="preserve"> i</w:t>
      </w:r>
      <w:r w:rsidR="005A1CAE">
        <w:rPr>
          <w:noProof/>
        </w:rPr>
        <w:t> </w:t>
      </w:r>
      <w:r w:rsidR="005A1CAE" w:rsidRPr="005A1CAE">
        <w:rPr>
          <w:noProof/>
        </w:rPr>
        <w:t>ene</w:t>
      </w:r>
      <w:r w:rsidRPr="005A1CAE">
        <w:rPr>
          <w:noProof/>
        </w:rPr>
        <w:t>rgii</w:t>
      </w:r>
      <w:r w:rsidRPr="005A1CAE">
        <w:rPr>
          <w:rStyle w:val="Odwoanieprzypisudolnego"/>
          <w:noProof/>
        </w:rPr>
        <w:footnoteReference w:id="22"/>
      </w:r>
      <w:r w:rsidRPr="005A1CAE">
        <w:rPr>
          <w:noProof/>
        </w:rPr>
        <w:t>,</w:t>
      </w:r>
      <w:r w:rsidR="005A1CAE" w:rsidRPr="005A1CAE">
        <w:rPr>
          <w:noProof/>
        </w:rPr>
        <w:t xml:space="preserve"> w</w:t>
      </w:r>
      <w:r w:rsidR="005A1CAE">
        <w:rPr>
          <w:noProof/>
        </w:rPr>
        <w:t> </w:t>
      </w:r>
      <w:r w:rsidR="005A1CAE" w:rsidRPr="005A1CAE">
        <w:rPr>
          <w:noProof/>
        </w:rPr>
        <w:t>któ</w:t>
      </w:r>
      <w:r w:rsidRPr="005A1CAE">
        <w:rPr>
          <w:noProof/>
        </w:rPr>
        <w:t>rej wskazano, że UE będzie kontynuować aktywną współpracę</w:t>
      </w:r>
      <w:r w:rsidR="005A1CAE" w:rsidRPr="005A1CAE">
        <w:rPr>
          <w:noProof/>
        </w:rPr>
        <w:t xml:space="preserve"> z</w:t>
      </w:r>
      <w:r w:rsidR="005A1CAE">
        <w:rPr>
          <w:noProof/>
        </w:rPr>
        <w:t> </w:t>
      </w:r>
      <w:r w:rsidR="005A1CAE" w:rsidRPr="005A1CAE">
        <w:rPr>
          <w:noProof/>
        </w:rPr>
        <w:t>kra</w:t>
      </w:r>
      <w:r w:rsidRPr="005A1CAE">
        <w:rPr>
          <w:noProof/>
        </w:rPr>
        <w:t>jami partnerskimi, aby zapewnić większą spójność między wewnętrznymi</w:t>
      </w:r>
      <w:r w:rsidR="005A1CAE" w:rsidRPr="005A1CAE">
        <w:rPr>
          <w:noProof/>
        </w:rPr>
        <w:t xml:space="preserve"> i</w:t>
      </w:r>
      <w:r w:rsidR="005A1CAE">
        <w:rPr>
          <w:noProof/>
        </w:rPr>
        <w:t> </w:t>
      </w:r>
      <w:r w:rsidR="005A1CAE" w:rsidRPr="005A1CAE">
        <w:rPr>
          <w:noProof/>
        </w:rPr>
        <w:t>zew</w:t>
      </w:r>
      <w:r w:rsidRPr="005A1CAE">
        <w:rPr>
          <w:noProof/>
        </w:rPr>
        <w:t>nętrznymi politykami UE. Wraz ze stopniowym wdrażaniem CBAM Unia zamierza wzmocnić partnerstwa</w:t>
      </w:r>
      <w:r w:rsidR="005A1CAE" w:rsidRPr="005A1CAE">
        <w:rPr>
          <w:noProof/>
        </w:rPr>
        <w:t xml:space="preserve"> i</w:t>
      </w:r>
      <w:r w:rsidR="005A1CAE">
        <w:rPr>
          <w:noProof/>
        </w:rPr>
        <w:t> </w:t>
      </w:r>
      <w:r w:rsidR="005A1CAE" w:rsidRPr="005A1CAE">
        <w:rPr>
          <w:noProof/>
        </w:rPr>
        <w:t>wsp</w:t>
      </w:r>
      <w:r w:rsidRPr="005A1CAE">
        <w:rPr>
          <w:noProof/>
        </w:rPr>
        <w:t>ierać szerzej zakrojone działania na rzecz łagodzenia zmiany klimatu,</w:t>
      </w:r>
      <w:r w:rsidR="005A1CAE" w:rsidRPr="005A1CAE">
        <w:rPr>
          <w:noProof/>
        </w:rPr>
        <w:t xml:space="preserve"> w</w:t>
      </w:r>
      <w:r w:rsidR="005A1CAE">
        <w:rPr>
          <w:noProof/>
        </w:rPr>
        <w:t> </w:t>
      </w:r>
      <w:r w:rsidR="005A1CAE" w:rsidRPr="005A1CAE">
        <w:rPr>
          <w:noProof/>
        </w:rPr>
        <w:t>tym</w:t>
      </w:r>
      <w:r w:rsidRPr="005A1CAE">
        <w:rPr>
          <w:noProof/>
        </w:rPr>
        <w:t xml:space="preserve"> przez zapewnienie wsparcia finansowego dla działań państw na rzecz obniżania emisyjności.</w:t>
      </w:r>
    </w:p>
    <w:p w14:paraId="11CE001A" w14:textId="52A62438" w:rsidR="00AF5F7E" w:rsidRPr="005A1CAE" w:rsidDel="00D711D3" w:rsidRDefault="00874ACF" w:rsidP="00874ACF">
      <w:pPr>
        <w:pStyle w:val="ManualConsidrant"/>
        <w:rPr>
          <w:noProof/>
        </w:rPr>
      </w:pPr>
      <w:r w:rsidRPr="005A1CAE">
        <w:rPr>
          <w:noProof/>
        </w:rPr>
        <w:t>(4)</w:t>
      </w:r>
      <w:r w:rsidRPr="005A1CAE">
        <w:rPr>
          <w:noProof/>
        </w:rPr>
        <w:tab/>
        <w:t>Po uwzględnieniu rozporządzenia (UE) 2023/956</w:t>
      </w:r>
      <w:r w:rsidR="005A1CAE" w:rsidRPr="005A1CAE">
        <w:rPr>
          <w:noProof/>
        </w:rPr>
        <w:t xml:space="preserve"> w</w:t>
      </w:r>
      <w:r w:rsidR="005A1CAE">
        <w:rPr>
          <w:noProof/>
        </w:rPr>
        <w:t> </w:t>
      </w:r>
      <w:r w:rsidR="005A1CAE" w:rsidRPr="005A1CAE">
        <w:rPr>
          <w:noProof/>
        </w:rPr>
        <w:t>Por</w:t>
      </w:r>
      <w:r w:rsidRPr="005A1CAE">
        <w:rPr>
          <w:noProof/>
        </w:rPr>
        <w:t>ozumieniu EOG państw EFTA stosujących CBAM nie należy uznawać za państwa trzecie do celów niniejszego rozporządzenia</w:t>
      </w:r>
      <w:r w:rsidR="005A1CAE" w:rsidRPr="005A1CAE">
        <w:rPr>
          <w:noProof/>
        </w:rPr>
        <w:t xml:space="preserve"> i</w:t>
      </w:r>
      <w:r w:rsidR="005A1CAE">
        <w:rPr>
          <w:noProof/>
        </w:rPr>
        <w:t> </w:t>
      </w:r>
      <w:r w:rsidR="005A1CAE" w:rsidRPr="005A1CAE">
        <w:rPr>
          <w:noProof/>
        </w:rPr>
        <w:t>nal</w:t>
      </w:r>
      <w:r w:rsidRPr="005A1CAE">
        <w:rPr>
          <w:noProof/>
        </w:rPr>
        <w:t>eży je skreślić</w:t>
      </w:r>
      <w:r w:rsidR="005A1CAE" w:rsidRPr="005A1CAE">
        <w:rPr>
          <w:noProof/>
        </w:rPr>
        <w:t xml:space="preserve"> z</w:t>
      </w:r>
      <w:r w:rsidR="005A1CAE">
        <w:rPr>
          <w:noProof/>
        </w:rPr>
        <w:t> </w:t>
      </w:r>
      <w:r w:rsidR="005A1CAE" w:rsidRPr="005A1CAE">
        <w:rPr>
          <w:noProof/>
        </w:rPr>
        <w:t>zał</w:t>
      </w:r>
      <w:r w:rsidRPr="005A1CAE">
        <w:rPr>
          <w:noProof/>
        </w:rPr>
        <w:t>ącznika III do tego rozporządzenia. Wspólny obszar CBAM zostałby utworzony, gdyby próg określony</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2a rozporządzenia (UE) 2023/956 miał wspólnie zastosowanie do przywozu do Unii i na obszary celne państw EFTA stosujących CBAM.</w:t>
      </w:r>
    </w:p>
    <w:p w14:paraId="26E69FBE" w14:textId="3D351989" w:rsidR="00656D3F" w:rsidRPr="005A1CAE" w:rsidRDefault="00874ACF" w:rsidP="00874ACF">
      <w:pPr>
        <w:pStyle w:val="ManualConsidrant"/>
        <w:rPr>
          <w:noProof/>
        </w:rPr>
      </w:pPr>
      <w:r w:rsidRPr="005A1CAE">
        <w:rPr>
          <w:noProof/>
        </w:rPr>
        <w:t>(5)</w:t>
      </w:r>
      <w:r w:rsidRPr="005A1CAE">
        <w:rPr>
          <w:noProof/>
        </w:rPr>
        <w:tab/>
        <w:t>Po uwzględnieniu rozporządzenia (UE) 2023/956</w:t>
      </w:r>
      <w:r w:rsidR="005A1CAE" w:rsidRPr="005A1CAE">
        <w:rPr>
          <w:noProof/>
        </w:rPr>
        <w:t xml:space="preserve"> w</w:t>
      </w:r>
      <w:r w:rsidR="005A1CAE">
        <w:rPr>
          <w:noProof/>
        </w:rPr>
        <w:t> </w:t>
      </w:r>
      <w:r w:rsidR="005A1CAE" w:rsidRPr="005A1CAE">
        <w:rPr>
          <w:noProof/>
        </w:rPr>
        <w:t>Por</w:t>
      </w:r>
      <w:r w:rsidRPr="005A1CAE">
        <w:rPr>
          <w:noProof/>
        </w:rPr>
        <w:t>ozumieniu EOG rozporządzenie to powinno mieć zastosowanie do produktów przetworzonych</w:t>
      </w:r>
      <w:r w:rsidR="005A1CAE" w:rsidRPr="005A1CAE">
        <w:rPr>
          <w:noProof/>
        </w:rPr>
        <w:t xml:space="preserve"> z</w:t>
      </w:r>
      <w:r w:rsidR="005A1CAE">
        <w:rPr>
          <w:noProof/>
        </w:rPr>
        <w:t> </w:t>
      </w:r>
      <w:r w:rsidR="005A1CAE" w:rsidRPr="005A1CAE">
        <w:rPr>
          <w:noProof/>
        </w:rPr>
        <w:t>tow</w:t>
      </w:r>
      <w:r w:rsidRPr="005A1CAE">
        <w:rPr>
          <w:noProof/>
        </w:rPr>
        <w:t>arów wymienionych</w:t>
      </w:r>
      <w:r w:rsidR="005A1CAE" w:rsidRPr="005A1CAE">
        <w:rPr>
          <w:noProof/>
        </w:rPr>
        <w:t xml:space="preserve"> w</w:t>
      </w:r>
      <w:r w:rsidR="005A1CAE">
        <w:rPr>
          <w:noProof/>
        </w:rPr>
        <w:t> </w:t>
      </w:r>
      <w:r w:rsidR="005A1CAE" w:rsidRPr="005A1CAE">
        <w:rPr>
          <w:noProof/>
        </w:rPr>
        <w:t>zał</w:t>
      </w:r>
      <w:r w:rsidRPr="005A1CAE">
        <w:rPr>
          <w:noProof/>
        </w:rPr>
        <w:t>ączniku I pochodzących</w:t>
      </w:r>
      <w:r w:rsidR="005A1CAE" w:rsidRPr="005A1CAE">
        <w:rPr>
          <w:noProof/>
        </w:rPr>
        <w:t xml:space="preserve"> z</w:t>
      </w:r>
      <w:r w:rsidR="005A1CAE">
        <w:rPr>
          <w:noProof/>
        </w:rPr>
        <w:t> </w:t>
      </w:r>
      <w:r w:rsidR="005A1CAE" w:rsidRPr="005A1CAE">
        <w:rPr>
          <w:noProof/>
        </w:rPr>
        <w:t>pań</w:t>
      </w:r>
      <w:r w:rsidRPr="005A1CAE">
        <w:rPr>
          <w:noProof/>
        </w:rPr>
        <w:t>stwa trzeciego, które powstały</w:t>
      </w:r>
      <w:r w:rsidR="005A1CAE" w:rsidRPr="005A1CAE">
        <w:rPr>
          <w:noProof/>
        </w:rPr>
        <w:t xml:space="preserve"> w</w:t>
      </w:r>
      <w:r w:rsidR="005A1CAE">
        <w:rPr>
          <w:noProof/>
        </w:rPr>
        <w:t> </w:t>
      </w:r>
      <w:r w:rsidR="005A1CAE" w:rsidRPr="005A1CAE">
        <w:rPr>
          <w:noProof/>
        </w:rPr>
        <w:t>wyn</w:t>
      </w:r>
      <w:r w:rsidRPr="005A1CAE">
        <w:rPr>
          <w:noProof/>
        </w:rPr>
        <w:t>iku procedury uszlachetniania czynnego,</w:t>
      </w:r>
      <w:r w:rsidR="005A1CAE" w:rsidRPr="005A1CAE">
        <w:rPr>
          <w:noProof/>
        </w:rPr>
        <w:t xml:space="preserve"> o</w:t>
      </w:r>
      <w:r w:rsidR="005A1CAE">
        <w:rPr>
          <w:noProof/>
        </w:rPr>
        <w:t> </w:t>
      </w:r>
      <w:r w:rsidR="005A1CAE" w:rsidRPr="005A1CAE">
        <w:rPr>
          <w:noProof/>
        </w:rPr>
        <w:t>któ</w:t>
      </w:r>
      <w:r w:rsidRPr="005A1CAE">
        <w:rPr>
          <w:noProof/>
        </w:rPr>
        <w:t>rej mowa</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256 rozporządzenia (UE) nr</w:t>
      </w:r>
      <w:r w:rsidR="005A1CAE" w:rsidRPr="005A1CAE">
        <w:rPr>
          <w:noProof/>
        </w:rPr>
        <w:t> </w:t>
      </w:r>
      <w:r w:rsidRPr="005A1CAE">
        <w:rPr>
          <w:noProof/>
        </w:rPr>
        <w:t>952/2013,</w:t>
      </w:r>
      <w:r w:rsidR="005A1CAE" w:rsidRPr="005A1CAE">
        <w:rPr>
          <w:noProof/>
        </w:rPr>
        <w:t xml:space="preserve"> w</w:t>
      </w:r>
      <w:r w:rsidR="005A1CAE">
        <w:rPr>
          <w:noProof/>
        </w:rPr>
        <w:t> </w:t>
      </w:r>
      <w:r w:rsidR="005A1CAE" w:rsidRPr="005A1CAE">
        <w:rPr>
          <w:noProof/>
        </w:rPr>
        <w:t>prz</w:t>
      </w:r>
      <w:r w:rsidRPr="005A1CAE">
        <w:rPr>
          <w:noProof/>
        </w:rPr>
        <w:t>ypadku gdy są one powrotnie wywożone na obszar celny państwa EFTA, które uwzględniło CBAM, pod warunkiem że są przywożone na jeden</w:t>
      </w:r>
      <w:r w:rsidR="005A1CAE" w:rsidRPr="005A1CAE">
        <w:rPr>
          <w:noProof/>
        </w:rPr>
        <w:t xml:space="preserve"> z</w:t>
      </w:r>
      <w:r w:rsidR="005A1CAE">
        <w:rPr>
          <w:noProof/>
        </w:rPr>
        <w:t> </w:t>
      </w:r>
      <w:r w:rsidR="005A1CAE" w:rsidRPr="005A1CAE">
        <w:rPr>
          <w:noProof/>
        </w:rPr>
        <w:t>tyc</w:t>
      </w:r>
      <w:r w:rsidRPr="005A1CAE">
        <w:rPr>
          <w:noProof/>
        </w:rPr>
        <w:t>h obszarów celnych.</w:t>
      </w:r>
      <w:r w:rsidRPr="005A1CAE">
        <w:rPr>
          <w:noProof/>
          <w:color w:val="333333"/>
        </w:rPr>
        <w:t xml:space="preserve"> Należy powierzyć Komisji uprawnienia wykonawcze do określenia szczegółowych warunków stosowania CBAM do takich towarów.</w:t>
      </w:r>
    </w:p>
    <w:p w14:paraId="788AFBA2" w14:textId="109196CD" w:rsidR="00AF5F7E" w:rsidRPr="005A1CAE" w:rsidRDefault="00874ACF" w:rsidP="00874ACF">
      <w:pPr>
        <w:pStyle w:val="ManualConsidrant"/>
        <w:rPr>
          <w:noProof/>
        </w:rPr>
      </w:pPr>
      <w:r w:rsidRPr="005A1CAE">
        <w:rPr>
          <w:noProof/>
        </w:rPr>
        <w:t>(6)</w:t>
      </w:r>
      <w:r w:rsidRPr="005A1CAE">
        <w:rPr>
          <w:noProof/>
        </w:rPr>
        <w:tab/>
        <w:t>Po uwzględnieniu rozporządzenia (UE) 2023/956</w:t>
      </w:r>
      <w:r w:rsidR="005A1CAE" w:rsidRPr="005A1CAE">
        <w:rPr>
          <w:noProof/>
        </w:rPr>
        <w:t xml:space="preserve"> w</w:t>
      </w:r>
      <w:r w:rsidR="005A1CAE">
        <w:rPr>
          <w:noProof/>
        </w:rPr>
        <w:t> </w:t>
      </w:r>
      <w:r w:rsidR="005A1CAE" w:rsidRPr="005A1CAE">
        <w:rPr>
          <w:noProof/>
        </w:rPr>
        <w:t>Por</w:t>
      </w:r>
      <w:r w:rsidRPr="005A1CAE">
        <w:rPr>
          <w:noProof/>
        </w:rPr>
        <w:t>ozumieniu EOG należy doprecyzować, że rozporządzenie to nie ma zastosowania do towarów uprzednio dopuszczonych do obrotu na obszarze celnym państw EFTA, które uwzględniły CBAM, pod warunkiem że zgłaszający wskaże</w:t>
      </w:r>
      <w:r w:rsidR="005A1CAE" w:rsidRPr="005A1CAE">
        <w:rPr>
          <w:noProof/>
        </w:rPr>
        <w:t xml:space="preserve"> w</w:t>
      </w:r>
      <w:r w:rsidR="005A1CAE">
        <w:rPr>
          <w:noProof/>
        </w:rPr>
        <w:t> </w:t>
      </w:r>
      <w:r w:rsidR="005A1CAE" w:rsidRPr="005A1CAE">
        <w:rPr>
          <w:noProof/>
        </w:rPr>
        <w:t>kol</w:t>
      </w:r>
      <w:r w:rsidRPr="005A1CAE">
        <w:rPr>
          <w:noProof/>
        </w:rPr>
        <w:t>ejnym zgłoszeniu celnym, że towary zostały wcześniej dopuszczone do obrotu na obszarze celnym tych państw EFTA.</w:t>
      </w:r>
    </w:p>
    <w:p w14:paraId="06E47E3A" w14:textId="131CB849" w:rsidR="00D711D3" w:rsidRPr="005A1CAE" w:rsidRDefault="00874ACF" w:rsidP="00874ACF">
      <w:pPr>
        <w:pStyle w:val="ManualConsidrant"/>
        <w:rPr>
          <w:noProof/>
        </w:rPr>
      </w:pPr>
      <w:r w:rsidRPr="005A1CAE">
        <w:rPr>
          <w:noProof/>
        </w:rPr>
        <w:t>(7)</w:t>
      </w:r>
      <w:r w:rsidRPr="005A1CAE">
        <w:rPr>
          <w:noProof/>
        </w:rPr>
        <w:tab/>
        <w:t>Po uwzględnieniu rozporządzenia (UE) 2023/956</w:t>
      </w:r>
      <w:r w:rsidR="005A1CAE" w:rsidRPr="005A1CAE">
        <w:rPr>
          <w:noProof/>
        </w:rPr>
        <w:t xml:space="preserve"> w</w:t>
      </w:r>
      <w:r w:rsidR="005A1CAE">
        <w:rPr>
          <w:noProof/>
        </w:rPr>
        <w:t> </w:t>
      </w:r>
      <w:r w:rsidR="005A1CAE" w:rsidRPr="005A1CAE">
        <w:rPr>
          <w:noProof/>
        </w:rPr>
        <w:t>Por</w:t>
      </w:r>
      <w:r w:rsidRPr="005A1CAE">
        <w:rPr>
          <w:noProof/>
        </w:rPr>
        <w:t>ozumieniu EOG państw EFTA stosujących CBAM nie należy uznawać za państwa trzecie do celów niniejszego rozporządzenia</w:t>
      </w:r>
      <w:r w:rsidR="005A1CAE" w:rsidRPr="005A1CAE">
        <w:rPr>
          <w:noProof/>
        </w:rPr>
        <w:t xml:space="preserve"> i</w:t>
      </w:r>
      <w:r w:rsidR="005A1CAE">
        <w:rPr>
          <w:noProof/>
        </w:rPr>
        <w:t> </w:t>
      </w:r>
      <w:r w:rsidR="005A1CAE" w:rsidRPr="005A1CAE">
        <w:rPr>
          <w:noProof/>
        </w:rPr>
        <w:t>nal</w:t>
      </w:r>
      <w:r w:rsidRPr="005A1CAE">
        <w:rPr>
          <w:noProof/>
        </w:rPr>
        <w:t>eży je skreślić</w:t>
      </w:r>
      <w:r w:rsidR="005A1CAE" w:rsidRPr="005A1CAE">
        <w:rPr>
          <w:noProof/>
        </w:rPr>
        <w:t xml:space="preserve"> z</w:t>
      </w:r>
      <w:r w:rsidR="005A1CAE">
        <w:rPr>
          <w:noProof/>
        </w:rPr>
        <w:t> </w:t>
      </w:r>
      <w:r w:rsidR="005A1CAE" w:rsidRPr="005A1CAE">
        <w:rPr>
          <w:noProof/>
        </w:rPr>
        <w:t>zał</w:t>
      </w:r>
      <w:r w:rsidRPr="005A1CAE">
        <w:rPr>
          <w:noProof/>
        </w:rPr>
        <w:t>ącznika III do tego rozporządzenia. Wspólny obszar CBAM zostałby utworzony, gdyby próg określony</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2a rozporządzenia (UE) 2023/956 miał wspólnie zastosowanie do przywozu do Unii i na obszary celne państw EFTA stosujących CBAM.</w:t>
      </w:r>
    </w:p>
    <w:p w14:paraId="06CB1AAA" w14:textId="7965EBAD" w:rsidR="00334E94" w:rsidRPr="005A1CAE" w:rsidRDefault="00874ACF" w:rsidP="00874ACF">
      <w:pPr>
        <w:pStyle w:val="ManualConsidrant"/>
        <w:rPr>
          <w:noProof/>
        </w:rPr>
      </w:pPr>
      <w:r w:rsidRPr="005A1CAE">
        <w:rPr>
          <w:noProof/>
        </w:rPr>
        <w:t>(8)</w:t>
      </w:r>
      <w:r w:rsidRPr="005A1CAE">
        <w:rPr>
          <w:noProof/>
        </w:rPr>
        <w:tab/>
        <w:t>Przepływy energii elektrycznej</w:t>
      </w:r>
      <w:r w:rsidR="005A1CAE" w:rsidRPr="005A1CAE">
        <w:rPr>
          <w:noProof/>
        </w:rPr>
        <w:t xml:space="preserve"> z</w:t>
      </w:r>
      <w:r w:rsidR="005A1CAE">
        <w:rPr>
          <w:noProof/>
        </w:rPr>
        <w:t> </w:t>
      </w:r>
      <w:r w:rsidR="005A1CAE" w:rsidRPr="005A1CAE">
        <w:rPr>
          <w:noProof/>
        </w:rPr>
        <w:t>pań</w:t>
      </w:r>
      <w:r w:rsidRPr="005A1CAE">
        <w:rPr>
          <w:noProof/>
        </w:rPr>
        <w:t>stw trzecich wynikające</w:t>
      </w:r>
      <w:r w:rsidR="005A1CAE" w:rsidRPr="005A1CAE">
        <w:rPr>
          <w:noProof/>
        </w:rPr>
        <w:t xml:space="preserve"> z</w:t>
      </w:r>
      <w:r w:rsidR="005A1CAE">
        <w:rPr>
          <w:noProof/>
        </w:rPr>
        <w:t> </w:t>
      </w:r>
      <w:r w:rsidR="005A1CAE" w:rsidRPr="005A1CAE">
        <w:rPr>
          <w:noProof/>
        </w:rPr>
        <w:t>dzi</w:t>
      </w:r>
      <w:r w:rsidRPr="005A1CAE">
        <w:rPr>
          <w:noProof/>
        </w:rPr>
        <w:t>ałań podejmowanych przez operatorów systemów przesyłowych</w:t>
      </w:r>
      <w:r w:rsidR="005A1CAE" w:rsidRPr="005A1CAE">
        <w:rPr>
          <w:noProof/>
        </w:rPr>
        <w:t xml:space="preserve"> w</w:t>
      </w:r>
      <w:r w:rsidR="005A1CAE">
        <w:rPr>
          <w:noProof/>
        </w:rPr>
        <w:t> </w:t>
      </w:r>
      <w:r w:rsidR="005A1CAE" w:rsidRPr="005A1CAE">
        <w:rPr>
          <w:noProof/>
        </w:rPr>
        <w:t>cel</w:t>
      </w:r>
      <w:r w:rsidRPr="005A1CAE">
        <w:rPr>
          <w:noProof/>
        </w:rPr>
        <w:t>u zapewnienia bezpiecznej</w:t>
      </w:r>
      <w:r w:rsidR="005A1CAE" w:rsidRPr="005A1CAE">
        <w:rPr>
          <w:noProof/>
        </w:rPr>
        <w:t xml:space="preserve"> i</w:t>
      </w:r>
      <w:r w:rsidR="005A1CAE">
        <w:rPr>
          <w:noProof/>
        </w:rPr>
        <w:t> </w:t>
      </w:r>
      <w:r w:rsidR="005A1CAE" w:rsidRPr="005A1CAE">
        <w:rPr>
          <w:noProof/>
        </w:rPr>
        <w:t>chr</w:t>
      </w:r>
      <w:r w:rsidRPr="005A1CAE">
        <w:rPr>
          <w:noProof/>
        </w:rPr>
        <w:t>onionej eksploatacji ich sieci,</w:t>
      </w:r>
      <w:r w:rsidR="005A1CAE" w:rsidRPr="005A1CAE">
        <w:rPr>
          <w:noProof/>
        </w:rPr>
        <w:t xml:space="preserve"> w</w:t>
      </w:r>
      <w:r w:rsidR="005A1CAE">
        <w:rPr>
          <w:noProof/>
        </w:rPr>
        <w:t> </w:t>
      </w:r>
      <w:r w:rsidR="005A1CAE" w:rsidRPr="005A1CAE">
        <w:rPr>
          <w:noProof/>
        </w:rPr>
        <w:t>tym</w:t>
      </w:r>
      <w:r w:rsidRPr="005A1CAE">
        <w:rPr>
          <w:noProof/>
        </w:rPr>
        <w:t xml:space="preserve"> postępowania</w:t>
      </w:r>
      <w:r w:rsidR="005A1CAE" w:rsidRPr="005A1CAE">
        <w:rPr>
          <w:noProof/>
        </w:rPr>
        <w:t xml:space="preserve"> w</w:t>
      </w:r>
      <w:r w:rsidR="005A1CAE">
        <w:rPr>
          <w:noProof/>
        </w:rPr>
        <w:t> </w:t>
      </w:r>
      <w:r w:rsidR="005A1CAE" w:rsidRPr="005A1CAE">
        <w:rPr>
          <w:noProof/>
        </w:rPr>
        <w:t>syt</w:t>
      </w:r>
      <w:r w:rsidRPr="005A1CAE">
        <w:rPr>
          <w:noProof/>
        </w:rPr>
        <w:t>uacjach nadzwyczajnych</w:t>
      </w:r>
      <w:r w:rsidR="005A1CAE" w:rsidRPr="005A1CAE">
        <w:rPr>
          <w:noProof/>
        </w:rPr>
        <w:t xml:space="preserve"> </w:t>
      </w:r>
      <w:r w:rsidR="005A1CAE" w:rsidRPr="005A1CAE">
        <w:rPr>
          <w:noProof/>
        </w:rPr>
        <w:lastRenderedPageBreak/>
        <w:t>i</w:t>
      </w:r>
      <w:r w:rsidR="005A1CAE">
        <w:rPr>
          <w:noProof/>
        </w:rPr>
        <w:t> </w:t>
      </w:r>
      <w:r w:rsidR="005A1CAE" w:rsidRPr="005A1CAE">
        <w:rPr>
          <w:noProof/>
        </w:rPr>
        <w:t>w</w:t>
      </w:r>
      <w:r w:rsidR="005A1CAE">
        <w:rPr>
          <w:noProof/>
        </w:rPr>
        <w:t> </w:t>
      </w:r>
      <w:r w:rsidR="005A1CAE" w:rsidRPr="005A1CAE">
        <w:rPr>
          <w:noProof/>
        </w:rPr>
        <w:t>prz</w:t>
      </w:r>
      <w:r w:rsidRPr="005A1CAE">
        <w:rPr>
          <w:noProof/>
        </w:rPr>
        <w:t>ypadku nieplanowanych przepływów, nie powinny być objęte niniejszym rozporządzeniem.</w:t>
      </w:r>
    </w:p>
    <w:p w14:paraId="38CAA9F3" w14:textId="5D8EDAF3" w:rsidR="00334E94" w:rsidRPr="005A1CAE" w:rsidRDefault="00874ACF" w:rsidP="00874ACF">
      <w:pPr>
        <w:pStyle w:val="ManualConsidrant"/>
        <w:rPr>
          <w:noProof/>
        </w:rPr>
      </w:pPr>
      <w:r w:rsidRPr="005A1CAE">
        <w:rPr>
          <w:noProof/>
        </w:rPr>
        <w:t>(9)</w:t>
      </w:r>
      <w:r w:rsidRPr="005A1CAE">
        <w:rPr>
          <w:noProof/>
        </w:rPr>
        <w:tab/>
        <w:t>Należyte uznanie postępów poczynionych przez odpowiednie państwa trzecie</w:t>
      </w:r>
      <w:r w:rsidR="005A1CAE" w:rsidRPr="005A1CAE">
        <w:rPr>
          <w:noProof/>
        </w:rPr>
        <w:t xml:space="preserve"> w</w:t>
      </w:r>
      <w:r w:rsidR="005A1CAE">
        <w:rPr>
          <w:noProof/>
        </w:rPr>
        <w:t> </w:t>
      </w:r>
      <w:r w:rsidR="005A1CAE" w:rsidRPr="005A1CAE">
        <w:rPr>
          <w:noProof/>
        </w:rPr>
        <w:t>zak</w:t>
      </w:r>
      <w:r w:rsidRPr="005A1CAE">
        <w:rPr>
          <w:noProof/>
        </w:rPr>
        <w:t>resie łączenia rynków systemów elektroenergetycznych gwarantuje, że wszelkie ograniczone czasowo zwolnienia przewidziane</w:t>
      </w:r>
      <w:r w:rsidR="005A1CAE" w:rsidRPr="005A1CAE">
        <w:rPr>
          <w:noProof/>
        </w:rPr>
        <w:t xml:space="preserve"> w</w:t>
      </w:r>
      <w:r w:rsidR="005A1CAE">
        <w:rPr>
          <w:noProof/>
        </w:rPr>
        <w:t> </w:t>
      </w:r>
      <w:r w:rsidR="005A1CAE" w:rsidRPr="005A1CAE">
        <w:rPr>
          <w:noProof/>
        </w:rPr>
        <w:t>nin</w:t>
      </w:r>
      <w:r w:rsidRPr="005A1CAE">
        <w:rPr>
          <w:noProof/>
        </w:rPr>
        <w:t>iejszym rozporządzeniu są</w:t>
      </w:r>
      <w:r w:rsidR="005A1CAE" w:rsidRPr="005A1CAE">
        <w:rPr>
          <w:noProof/>
        </w:rPr>
        <w:t xml:space="preserve"> w</w:t>
      </w:r>
      <w:r w:rsidR="005A1CAE">
        <w:rPr>
          <w:noProof/>
        </w:rPr>
        <w:t> </w:t>
      </w:r>
      <w:r w:rsidR="005A1CAE" w:rsidRPr="005A1CAE">
        <w:rPr>
          <w:noProof/>
        </w:rPr>
        <w:t>peł</w:t>
      </w:r>
      <w:r w:rsidRPr="005A1CAE">
        <w:rPr>
          <w:noProof/>
        </w:rPr>
        <w:t>ni zgodne ze strategicznymi celami Unii</w:t>
      </w:r>
      <w:r w:rsidR="005A1CAE" w:rsidRPr="005A1CAE">
        <w:rPr>
          <w:noProof/>
        </w:rPr>
        <w:t xml:space="preserve"> i</w:t>
      </w:r>
      <w:r w:rsidR="005A1CAE">
        <w:rPr>
          <w:noProof/>
        </w:rPr>
        <w:t> </w:t>
      </w:r>
      <w:r w:rsidR="005A1CAE" w:rsidRPr="005A1CAE">
        <w:rPr>
          <w:noProof/>
        </w:rPr>
        <w:t>kon</w:t>
      </w:r>
      <w:r w:rsidRPr="005A1CAE">
        <w:rPr>
          <w:noProof/>
        </w:rPr>
        <w:t>kretnymi osiągnięciami tych państw trzecich. Efektywne wykorzystanie istniejącej infrastruktury elektroenergetycznej oraz integracja rynków energii elektrycznej państw trzecich</w:t>
      </w:r>
      <w:r w:rsidR="005A1CAE" w:rsidRPr="005A1CAE">
        <w:rPr>
          <w:noProof/>
        </w:rPr>
        <w:t xml:space="preserve"> z</w:t>
      </w:r>
      <w:r w:rsidR="005A1CAE">
        <w:rPr>
          <w:noProof/>
        </w:rPr>
        <w:t> </w:t>
      </w:r>
      <w:r w:rsidR="005A1CAE" w:rsidRPr="005A1CAE">
        <w:rPr>
          <w:noProof/>
        </w:rPr>
        <w:t>wew</w:t>
      </w:r>
      <w:r w:rsidRPr="005A1CAE">
        <w:rPr>
          <w:noProof/>
        </w:rPr>
        <w:t>nętrznym rynkiem energii elektrycznej Unii mają zasadnicze znaczenie dla zmniejszenia kosztów zarówno po stronie państw członkowskich, jak</w:t>
      </w:r>
      <w:r w:rsidR="005A1CAE" w:rsidRPr="005A1CAE">
        <w:rPr>
          <w:noProof/>
        </w:rPr>
        <w:t xml:space="preserve"> i</w:t>
      </w:r>
      <w:r w:rsidR="005A1CAE">
        <w:rPr>
          <w:noProof/>
        </w:rPr>
        <w:t> </w:t>
      </w:r>
      <w:r w:rsidR="005A1CAE" w:rsidRPr="005A1CAE">
        <w:rPr>
          <w:noProof/>
        </w:rPr>
        <w:t>odp</w:t>
      </w:r>
      <w:r w:rsidRPr="005A1CAE">
        <w:rPr>
          <w:noProof/>
        </w:rPr>
        <w:t>owiednich państw trzecich,</w:t>
      </w:r>
      <w:r w:rsidR="005A1CAE" w:rsidRPr="005A1CAE">
        <w:rPr>
          <w:noProof/>
        </w:rPr>
        <w:t xml:space="preserve"> a</w:t>
      </w:r>
      <w:r w:rsidR="005A1CAE">
        <w:rPr>
          <w:noProof/>
        </w:rPr>
        <w:t> </w:t>
      </w:r>
      <w:r w:rsidR="005A1CAE" w:rsidRPr="005A1CAE">
        <w:rPr>
          <w:noProof/>
        </w:rPr>
        <w:t>tak</w:t>
      </w:r>
      <w:r w:rsidRPr="005A1CAE">
        <w:rPr>
          <w:noProof/>
        </w:rPr>
        <w:t>że dla zapewnienia bezpieczeństwa dostaw. Takie uznanie powinno zostać przedstawione</w:t>
      </w:r>
      <w:r w:rsidR="005A1CAE" w:rsidRPr="005A1CAE">
        <w:rPr>
          <w:noProof/>
        </w:rPr>
        <w:t xml:space="preserve"> w</w:t>
      </w:r>
      <w:r w:rsidR="005A1CAE">
        <w:rPr>
          <w:noProof/>
        </w:rPr>
        <w:t> </w:t>
      </w:r>
      <w:r w:rsidR="005A1CAE" w:rsidRPr="005A1CAE">
        <w:rPr>
          <w:noProof/>
        </w:rPr>
        <w:t>dro</w:t>
      </w:r>
      <w:r w:rsidRPr="005A1CAE">
        <w:rPr>
          <w:noProof/>
        </w:rPr>
        <w:t>dze protokołu ustaleń między Komisją</w:t>
      </w:r>
      <w:r w:rsidR="005A1CAE" w:rsidRPr="005A1CAE">
        <w:rPr>
          <w:noProof/>
        </w:rPr>
        <w:t xml:space="preserve"> a</w:t>
      </w:r>
      <w:r w:rsidR="005A1CAE">
        <w:rPr>
          <w:noProof/>
        </w:rPr>
        <w:t> </w:t>
      </w:r>
      <w:r w:rsidR="005A1CAE" w:rsidRPr="005A1CAE">
        <w:rPr>
          <w:noProof/>
        </w:rPr>
        <w:t>pań</w:t>
      </w:r>
      <w:r w:rsidRPr="005A1CAE">
        <w:rPr>
          <w:noProof/>
        </w:rPr>
        <w:t>stwami trzecimi, które dokonały pełnej – zweryfikowanej przez Komisję – transpozycji odpowiedniego dorobku prawnego UE dotyczącego rynku energii elektrycznej</w:t>
      </w:r>
      <w:r w:rsidR="005A1CAE" w:rsidRPr="005A1CAE">
        <w:rPr>
          <w:noProof/>
        </w:rPr>
        <w:t>. W</w:t>
      </w:r>
      <w:r w:rsidR="005A1CAE">
        <w:rPr>
          <w:noProof/>
        </w:rPr>
        <w:t> </w:t>
      </w:r>
      <w:r w:rsidR="005A1CAE" w:rsidRPr="005A1CAE">
        <w:rPr>
          <w:noProof/>
        </w:rPr>
        <w:t>pro</w:t>
      </w:r>
      <w:r w:rsidRPr="005A1CAE">
        <w:rPr>
          <w:noProof/>
        </w:rPr>
        <w:t>tokole ustaleń należy określić harmonogram stosowania zwolnienia przewidzianego</w:t>
      </w:r>
      <w:r w:rsidR="005A1CAE" w:rsidRPr="005A1CAE">
        <w:rPr>
          <w:noProof/>
        </w:rPr>
        <w:t xml:space="preserve"> w</w:t>
      </w:r>
      <w:r w:rsidR="005A1CAE">
        <w:rPr>
          <w:noProof/>
        </w:rPr>
        <w:t> </w:t>
      </w:r>
      <w:r w:rsidR="005A1CAE" w:rsidRPr="005A1CAE">
        <w:rPr>
          <w:noProof/>
        </w:rPr>
        <w:t>roz</w:t>
      </w:r>
      <w:r w:rsidRPr="005A1CAE">
        <w:rPr>
          <w:noProof/>
        </w:rPr>
        <w:t>porządzeniu (UE) 2023/956, przy jednoczesnym uwzględnieniu przestrzegania odpowiednich zasad rynkowych</w:t>
      </w:r>
      <w:r w:rsidR="005A1CAE" w:rsidRPr="005A1CAE">
        <w:rPr>
          <w:noProof/>
        </w:rPr>
        <w:t xml:space="preserve"> i</w:t>
      </w:r>
      <w:r w:rsidR="005A1CAE">
        <w:rPr>
          <w:noProof/>
        </w:rPr>
        <w:t> </w:t>
      </w:r>
      <w:r w:rsidR="005A1CAE" w:rsidRPr="005A1CAE">
        <w:rPr>
          <w:noProof/>
        </w:rPr>
        <w:t>ins</w:t>
      </w:r>
      <w:r w:rsidRPr="005A1CAE">
        <w:rPr>
          <w:noProof/>
        </w:rPr>
        <w:t>tytucji operatora systemu przesyłowego (OSP) zgodnie</w:t>
      </w:r>
      <w:r w:rsidR="005A1CAE" w:rsidRPr="005A1CAE">
        <w:rPr>
          <w:noProof/>
        </w:rPr>
        <w:t xml:space="preserve"> z</w:t>
      </w:r>
      <w:r w:rsidR="005A1CAE">
        <w:rPr>
          <w:noProof/>
        </w:rPr>
        <w:t> </w:t>
      </w:r>
      <w:r w:rsidR="005A1CAE" w:rsidRPr="005A1CAE">
        <w:rPr>
          <w:noProof/>
        </w:rPr>
        <w:t>roz</w:t>
      </w:r>
      <w:r w:rsidRPr="005A1CAE">
        <w:rPr>
          <w:noProof/>
        </w:rPr>
        <w:t>porządzeniem Parlamentu Europejskiego</w:t>
      </w:r>
      <w:r w:rsidR="005A1CAE" w:rsidRPr="005A1CAE">
        <w:rPr>
          <w:noProof/>
        </w:rPr>
        <w:t xml:space="preserve"> i</w:t>
      </w:r>
      <w:r w:rsidR="005A1CAE">
        <w:rPr>
          <w:noProof/>
        </w:rPr>
        <w:t> </w:t>
      </w:r>
      <w:r w:rsidR="005A1CAE" w:rsidRPr="005A1CAE">
        <w:rPr>
          <w:noProof/>
        </w:rPr>
        <w:t>Rad</w:t>
      </w:r>
      <w:r w:rsidRPr="005A1CAE">
        <w:rPr>
          <w:noProof/>
        </w:rPr>
        <w:t>y (UE) 2019/943</w:t>
      </w:r>
      <w:r w:rsidRPr="005A1CAE">
        <w:rPr>
          <w:rStyle w:val="Odwoanieprzypisudolnego"/>
          <w:rFonts w:eastAsia="Times New Roman"/>
          <w:noProof/>
        </w:rPr>
        <w:footnoteReference w:id="23"/>
      </w:r>
      <w:r w:rsidR="005A1CAE" w:rsidRPr="005A1CAE">
        <w:rPr>
          <w:noProof/>
        </w:rPr>
        <w:t xml:space="preserve"> i</w:t>
      </w:r>
      <w:r w:rsidR="005A1CAE">
        <w:rPr>
          <w:noProof/>
        </w:rPr>
        <w:t> </w:t>
      </w:r>
      <w:r w:rsidR="005A1CAE" w:rsidRPr="005A1CAE">
        <w:rPr>
          <w:noProof/>
        </w:rPr>
        <w:t>roz</w:t>
      </w:r>
      <w:r w:rsidRPr="005A1CAE">
        <w:rPr>
          <w:noProof/>
        </w:rPr>
        <w:t>porządzeniem Komisji (UE) 2015/1222</w:t>
      </w:r>
      <w:r w:rsidRPr="005A1CAE">
        <w:rPr>
          <w:rStyle w:val="Odwoanieprzypisudolnego"/>
          <w:rFonts w:eastAsia="Times New Roman"/>
          <w:noProof/>
        </w:rPr>
        <w:footnoteReference w:id="24"/>
      </w:r>
      <w:r w:rsidRPr="005A1CAE">
        <w:rPr>
          <w:noProof/>
        </w:rPr>
        <w:t>,</w:t>
      </w:r>
      <w:r w:rsidR="005A1CAE" w:rsidRPr="005A1CAE">
        <w:rPr>
          <w:noProof/>
        </w:rPr>
        <w:t xml:space="preserve"> a</w:t>
      </w:r>
      <w:r w:rsidR="005A1CAE">
        <w:rPr>
          <w:noProof/>
        </w:rPr>
        <w:t> </w:t>
      </w:r>
      <w:r w:rsidR="005A1CAE" w:rsidRPr="005A1CAE">
        <w:rPr>
          <w:noProof/>
        </w:rPr>
        <w:t>tak</w:t>
      </w:r>
      <w:r w:rsidRPr="005A1CAE">
        <w:rPr>
          <w:noProof/>
        </w:rPr>
        <w:t>że postępy poczynione przez odpowiednie państwa</w:t>
      </w:r>
      <w:r w:rsidR="005A1CAE" w:rsidRPr="005A1CAE">
        <w:rPr>
          <w:noProof/>
        </w:rPr>
        <w:t xml:space="preserve"> w</w:t>
      </w:r>
      <w:r w:rsidR="005A1CAE">
        <w:rPr>
          <w:noProof/>
        </w:rPr>
        <w:t> </w:t>
      </w:r>
      <w:r w:rsidR="005A1CAE" w:rsidRPr="005A1CAE">
        <w:rPr>
          <w:noProof/>
        </w:rPr>
        <w:t>zak</w:t>
      </w:r>
      <w:r w:rsidRPr="005A1CAE">
        <w:rPr>
          <w:noProof/>
        </w:rPr>
        <w:t>resie instrumentów ustalania opłat za emisję gazów cieplarnianych równoważnych EU ETS</w:t>
      </w:r>
      <w:r w:rsidR="005A1CAE" w:rsidRPr="005A1CAE">
        <w:rPr>
          <w:noProof/>
        </w:rPr>
        <w:t xml:space="preserve"> w</w:t>
      </w:r>
      <w:r w:rsidR="005A1CAE">
        <w:rPr>
          <w:noProof/>
        </w:rPr>
        <w:t> </w:t>
      </w:r>
      <w:r w:rsidR="005A1CAE" w:rsidRPr="005A1CAE">
        <w:rPr>
          <w:noProof/>
        </w:rPr>
        <w:t>odn</w:t>
      </w:r>
      <w:r w:rsidRPr="005A1CAE">
        <w:rPr>
          <w:noProof/>
        </w:rPr>
        <w:t>iesieniu do wytwarzania energii elektrycznej.</w:t>
      </w:r>
    </w:p>
    <w:p w14:paraId="51E69FF9" w14:textId="1C96A752" w:rsidR="00D26D7B" w:rsidRPr="005A1CAE" w:rsidRDefault="00874ACF" w:rsidP="00874ACF">
      <w:pPr>
        <w:pStyle w:val="ManualConsidrant"/>
        <w:rPr>
          <w:noProof/>
        </w:rPr>
      </w:pPr>
      <w:r w:rsidRPr="005A1CAE">
        <w:rPr>
          <w:noProof/>
        </w:rPr>
        <w:t>(10)</w:t>
      </w:r>
      <w:r w:rsidRPr="005A1CAE">
        <w:rPr>
          <w:noProof/>
        </w:rPr>
        <w:tab/>
        <w:t>Aby zapewnić, by jednolity próg masy nie przekraczał 1</w:t>
      </w:r>
      <w:r w:rsidR="005A1CAE" w:rsidRPr="005A1CAE">
        <w:rPr>
          <w:noProof/>
        </w:rPr>
        <w:t> </w:t>
      </w:r>
      <w:r w:rsidRPr="005A1CAE">
        <w:rPr>
          <w:noProof/>
        </w:rPr>
        <w:t>% emisji wbudowanych związanych</w:t>
      </w:r>
      <w:r w:rsidR="005A1CAE" w:rsidRPr="005A1CAE">
        <w:rPr>
          <w:noProof/>
        </w:rPr>
        <w:t xml:space="preserve"> z</w:t>
      </w:r>
      <w:r w:rsidR="005A1CAE">
        <w:rPr>
          <w:noProof/>
        </w:rPr>
        <w:t> </w:t>
      </w:r>
      <w:r w:rsidR="005A1CAE" w:rsidRPr="005A1CAE">
        <w:rPr>
          <w:noProof/>
        </w:rPr>
        <w:t>tow</w:t>
      </w:r>
      <w:r w:rsidRPr="005A1CAE">
        <w:rPr>
          <w:noProof/>
        </w:rPr>
        <w:t>arami przywożonymi</w:t>
      </w:r>
      <w:r w:rsidR="005A1CAE" w:rsidRPr="005A1CAE">
        <w:rPr>
          <w:noProof/>
        </w:rPr>
        <w:t xml:space="preserve"> i</w:t>
      </w:r>
      <w:r w:rsidR="005A1CAE">
        <w:rPr>
          <w:noProof/>
        </w:rPr>
        <w:t> </w:t>
      </w:r>
      <w:r w:rsidR="005A1CAE" w:rsidRPr="005A1CAE">
        <w:rPr>
          <w:noProof/>
        </w:rPr>
        <w:t>pro</w:t>
      </w:r>
      <w:r w:rsidRPr="005A1CAE">
        <w:rPr>
          <w:noProof/>
        </w:rPr>
        <w:t>duktami przetworzonymi</w:t>
      </w:r>
      <w:r w:rsidR="005A1CAE" w:rsidRPr="005A1CAE">
        <w:rPr>
          <w:noProof/>
        </w:rPr>
        <w:t xml:space="preserve"> w</w:t>
      </w:r>
      <w:r w:rsidR="005A1CAE">
        <w:rPr>
          <w:noProof/>
        </w:rPr>
        <w:t> </w:t>
      </w:r>
      <w:r w:rsidR="005A1CAE" w:rsidRPr="005A1CAE">
        <w:rPr>
          <w:noProof/>
        </w:rPr>
        <w:t>nas</w:t>
      </w:r>
      <w:r w:rsidRPr="005A1CAE">
        <w:rPr>
          <w:noProof/>
        </w:rPr>
        <w:t>tępstwie rozszerzenia rozporządzenia (UE) 2023/956 na produkty rynku niższego szczebla, roczną ocenę tego progu</w:t>
      </w:r>
      <w:r w:rsidR="005A1CAE" w:rsidRPr="005A1CAE">
        <w:rPr>
          <w:noProof/>
        </w:rPr>
        <w:t xml:space="preserve"> w</w:t>
      </w:r>
      <w:r w:rsidR="005A1CAE">
        <w:rPr>
          <w:noProof/>
        </w:rPr>
        <w:t> </w:t>
      </w:r>
      <w:r w:rsidR="005A1CAE" w:rsidRPr="005A1CAE">
        <w:rPr>
          <w:noProof/>
        </w:rPr>
        <w:t>2</w:t>
      </w:r>
      <w:r w:rsidRPr="005A1CAE">
        <w:rPr>
          <w:noProof/>
        </w:rPr>
        <w:t>027</w:t>
      </w:r>
      <w:r w:rsidR="005A1CAE" w:rsidRPr="005A1CAE">
        <w:rPr>
          <w:noProof/>
        </w:rPr>
        <w:t> </w:t>
      </w:r>
      <w:r w:rsidRPr="005A1CAE">
        <w:rPr>
          <w:noProof/>
        </w:rPr>
        <w:t>r. należy przeprowadzić na podstawie danych dotyczących przywozu obejmujących towary niższego szczebla objęte tym rozszerzeniem.</w:t>
      </w:r>
    </w:p>
    <w:p w14:paraId="1794055A" w14:textId="2E8FADBF" w:rsidR="00AF5F7E" w:rsidRPr="005A1CAE" w:rsidRDefault="00874ACF" w:rsidP="00874ACF">
      <w:pPr>
        <w:pStyle w:val="ManualConsidrant"/>
        <w:rPr>
          <w:noProof/>
        </w:rPr>
      </w:pPr>
      <w:r w:rsidRPr="005A1CAE">
        <w:rPr>
          <w:noProof/>
        </w:rPr>
        <w:t>(11)</w:t>
      </w:r>
      <w:r w:rsidRPr="005A1CAE">
        <w:rPr>
          <w:noProof/>
        </w:rPr>
        <w:tab/>
        <w:t>CBAM ma na celu przeciwdziałanie ryzyku ucieczki emisji dzięki zapewnieniu, aby produkty, niezależnie od tego, czy są przywożone do Unii, czy</w:t>
      </w:r>
      <w:r w:rsidR="005A1CAE" w:rsidRPr="005A1CAE">
        <w:rPr>
          <w:noProof/>
        </w:rPr>
        <w:t xml:space="preserve"> w</w:t>
      </w:r>
      <w:r w:rsidR="005A1CAE">
        <w:rPr>
          <w:noProof/>
        </w:rPr>
        <w:t> </w:t>
      </w:r>
      <w:r w:rsidR="005A1CAE" w:rsidRPr="005A1CAE">
        <w:rPr>
          <w:noProof/>
        </w:rPr>
        <w:t>nie</w:t>
      </w:r>
      <w:r w:rsidRPr="005A1CAE">
        <w:rPr>
          <w:noProof/>
        </w:rPr>
        <w:t>j produkowane, podlegały równoważnej opłacie emisyjnej. Dopóki znaczna liczba międzynarodowych partnerów Unii</w:t>
      </w:r>
      <w:r w:rsidR="005A1CAE" w:rsidRPr="005A1CAE">
        <w:rPr>
          <w:noProof/>
        </w:rPr>
        <w:t xml:space="preserve"> w</w:t>
      </w:r>
      <w:r w:rsidR="005A1CAE">
        <w:rPr>
          <w:noProof/>
        </w:rPr>
        <w:t> </w:t>
      </w:r>
      <w:r w:rsidR="005A1CAE" w:rsidRPr="005A1CAE">
        <w:rPr>
          <w:noProof/>
        </w:rPr>
        <w:t>swo</w:t>
      </w:r>
      <w:r w:rsidRPr="005A1CAE">
        <w:rPr>
          <w:noProof/>
        </w:rPr>
        <w:t>jej polityce klimatycznej nie osiągnie tego samego poziomu ambicji, dopóty będzie istniało ryzyko ucieczki emisji, co spowoduje, że ogólne emisje będą wyższe niż</w:t>
      </w:r>
      <w:r w:rsidR="005A1CAE" w:rsidRPr="005A1CAE">
        <w:rPr>
          <w:noProof/>
        </w:rPr>
        <w:t xml:space="preserve"> w</w:t>
      </w:r>
      <w:r w:rsidR="005A1CAE">
        <w:rPr>
          <w:noProof/>
        </w:rPr>
        <w:t> </w:t>
      </w:r>
      <w:r w:rsidR="005A1CAE" w:rsidRPr="005A1CAE">
        <w:rPr>
          <w:noProof/>
        </w:rPr>
        <w:t>prz</w:t>
      </w:r>
      <w:r w:rsidRPr="005A1CAE">
        <w:rPr>
          <w:noProof/>
        </w:rPr>
        <w:t>ypadku braku ucieczki emisji.</w:t>
      </w:r>
    </w:p>
    <w:p w14:paraId="249E04C5" w14:textId="6D0B08D2" w:rsidR="008823A3" w:rsidRPr="005A1CAE" w:rsidRDefault="00874ACF" w:rsidP="00874ACF">
      <w:pPr>
        <w:pStyle w:val="ManualConsidrant"/>
        <w:rPr>
          <w:noProof/>
        </w:rPr>
      </w:pPr>
      <w:bookmarkStart w:id="1" w:name="_Hlk215251342"/>
      <w:r w:rsidRPr="005A1CAE">
        <w:rPr>
          <w:noProof/>
        </w:rPr>
        <w:t>(12)</w:t>
      </w:r>
      <w:r w:rsidRPr="005A1CAE">
        <w:rPr>
          <w:noProof/>
        </w:rPr>
        <w:tab/>
        <w:t>Nadużycia mogą mieć</w:t>
      </w:r>
      <w:bookmarkEnd w:id="1"/>
      <w:r w:rsidRPr="005A1CAE">
        <w:rPr>
          <w:noProof/>
        </w:rPr>
        <w:t xml:space="preserve"> miejsce, gdy podmioty nadużywają możliwości wykorzystania rzeczywistych emisji</w:t>
      </w:r>
      <w:r w:rsidR="005A1CAE" w:rsidRPr="005A1CAE">
        <w:rPr>
          <w:noProof/>
        </w:rPr>
        <w:t xml:space="preserve"> w</w:t>
      </w:r>
      <w:r w:rsidR="005A1CAE">
        <w:rPr>
          <w:noProof/>
        </w:rPr>
        <w:t> </w:t>
      </w:r>
      <w:r w:rsidR="005A1CAE" w:rsidRPr="005A1CAE">
        <w:rPr>
          <w:noProof/>
        </w:rPr>
        <w:t>cel</w:t>
      </w:r>
      <w:r w:rsidRPr="005A1CAE">
        <w:rPr>
          <w:noProof/>
        </w:rPr>
        <w:t>u uniknięcia</w:t>
      </w:r>
      <w:r w:rsidR="005A1CAE" w:rsidRPr="005A1CAE">
        <w:rPr>
          <w:noProof/>
        </w:rPr>
        <w:t xml:space="preserve"> w</w:t>
      </w:r>
      <w:r w:rsidR="005A1CAE">
        <w:rPr>
          <w:noProof/>
        </w:rPr>
        <w:t> </w:t>
      </w:r>
      <w:r w:rsidR="005A1CAE" w:rsidRPr="005A1CAE">
        <w:rPr>
          <w:noProof/>
        </w:rPr>
        <w:t>spo</w:t>
      </w:r>
      <w:r w:rsidRPr="005A1CAE">
        <w:rPr>
          <w:noProof/>
        </w:rPr>
        <w:t>sób nieuzasadniony,</w:t>
      </w:r>
      <w:r w:rsidR="005A1CAE" w:rsidRPr="005A1CAE">
        <w:rPr>
          <w:noProof/>
        </w:rPr>
        <w:t xml:space="preserve"> w</w:t>
      </w:r>
      <w:r w:rsidR="005A1CAE">
        <w:rPr>
          <w:noProof/>
        </w:rPr>
        <w:t> </w:t>
      </w:r>
      <w:r w:rsidR="005A1CAE" w:rsidRPr="005A1CAE">
        <w:rPr>
          <w:noProof/>
        </w:rPr>
        <w:t>cał</w:t>
      </w:r>
      <w:r w:rsidRPr="005A1CAE">
        <w:rPr>
          <w:noProof/>
        </w:rPr>
        <w:t>ości lub</w:t>
      </w:r>
      <w:r w:rsidR="005A1CAE" w:rsidRPr="005A1CAE">
        <w:rPr>
          <w:noProof/>
        </w:rPr>
        <w:t xml:space="preserve"> w</w:t>
      </w:r>
      <w:r w:rsidR="005A1CAE">
        <w:rPr>
          <w:noProof/>
        </w:rPr>
        <w:t> </w:t>
      </w:r>
      <w:r w:rsidR="005A1CAE" w:rsidRPr="005A1CAE">
        <w:rPr>
          <w:noProof/>
        </w:rPr>
        <w:t>czę</w:t>
      </w:r>
      <w:r w:rsidRPr="005A1CAE">
        <w:rPr>
          <w:noProof/>
        </w:rPr>
        <w:t>ści, odpowiedzialności finansowej CBAM,</w:t>
      </w:r>
      <w:r w:rsidR="005A1CAE" w:rsidRPr="005A1CAE">
        <w:rPr>
          <w:noProof/>
        </w:rPr>
        <w:t xml:space="preserve"> a</w:t>
      </w:r>
      <w:r w:rsidR="005A1CAE">
        <w:rPr>
          <w:noProof/>
        </w:rPr>
        <w:t> </w:t>
      </w:r>
      <w:r w:rsidR="005A1CAE" w:rsidRPr="005A1CAE">
        <w:rPr>
          <w:noProof/>
        </w:rPr>
        <w:t>tym</w:t>
      </w:r>
      <w:r w:rsidRPr="005A1CAE">
        <w:rPr>
          <w:noProof/>
        </w:rPr>
        <w:t xml:space="preserve"> samym osłabiają skuteczność CBAM</w:t>
      </w:r>
      <w:r w:rsidR="005A1CAE" w:rsidRPr="005A1CAE">
        <w:rPr>
          <w:noProof/>
        </w:rPr>
        <w:t xml:space="preserve"> w</w:t>
      </w:r>
      <w:r w:rsidR="005A1CAE">
        <w:rPr>
          <w:noProof/>
        </w:rPr>
        <w:t> </w:t>
      </w:r>
      <w:r w:rsidR="005A1CAE" w:rsidRPr="005A1CAE">
        <w:rPr>
          <w:noProof/>
        </w:rPr>
        <w:t>eli</w:t>
      </w:r>
      <w:r w:rsidRPr="005A1CAE">
        <w:rPr>
          <w:noProof/>
        </w:rPr>
        <w:t>minowaniu ryzyka ucieczki emisji</w:t>
      </w:r>
      <w:r w:rsidR="005A1CAE" w:rsidRPr="005A1CAE">
        <w:rPr>
          <w:noProof/>
        </w:rPr>
        <w:t xml:space="preserve"> w</w:t>
      </w:r>
      <w:r w:rsidR="005A1CAE">
        <w:rPr>
          <w:noProof/>
        </w:rPr>
        <w:t> </w:t>
      </w:r>
      <w:r w:rsidR="005A1CAE" w:rsidRPr="005A1CAE">
        <w:rPr>
          <w:noProof/>
        </w:rPr>
        <w:t>Uni</w:t>
      </w:r>
      <w:r w:rsidRPr="005A1CAE">
        <w:rPr>
          <w:noProof/>
        </w:rPr>
        <w:t>i</w:t>
      </w:r>
      <w:r w:rsidR="005A1CAE" w:rsidRPr="005A1CAE">
        <w:rPr>
          <w:noProof/>
        </w:rPr>
        <w:t xml:space="preserve"> i</w:t>
      </w:r>
      <w:r w:rsidR="005A1CAE">
        <w:rPr>
          <w:noProof/>
        </w:rPr>
        <w:t> </w:t>
      </w:r>
      <w:r w:rsidR="005A1CAE" w:rsidRPr="005A1CAE">
        <w:rPr>
          <w:noProof/>
        </w:rPr>
        <w:t>osi</w:t>
      </w:r>
      <w:r w:rsidRPr="005A1CAE">
        <w:rPr>
          <w:noProof/>
        </w:rPr>
        <w:t xml:space="preserve">ąganiu celów unijnej polityki klimatycznej. </w:t>
      </w:r>
    </w:p>
    <w:p w14:paraId="5D29C072" w14:textId="755CC5D0" w:rsidR="00656D3F" w:rsidRPr="005A1CAE" w:rsidRDefault="00874ACF" w:rsidP="00874ACF">
      <w:pPr>
        <w:pStyle w:val="ManualConsidrant"/>
        <w:rPr>
          <w:noProof/>
        </w:rPr>
      </w:pPr>
      <w:r w:rsidRPr="005A1CAE">
        <w:rPr>
          <w:noProof/>
        </w:rPr>
        <w:t>(13)</w:t>
      </w:r>
      <w:r w:rsidRPr="005A1CAE">
        <w:rPr>
          <w:noProof/>
        </w:rPr>
        <w:tab/>
        <w:t>Komisja powinna monitorować wpływ CBAM na rynek wewnętrzny Unii</w:t>
      </w:r>
      <w:r w:rsidR="005A1CAE" w:rsidRPr="005A1CAE">
        <w:rPr>
          <w:noProof/>
        </w:rPr>
        <w:t xml:space="preserve"> w</w:t>
      </w:r>
      <w:r w:rsidR="005A1CAE">
        <w:rPr>
          <w:noProof/>
        </w:rPr>
        <w:t> </w:t>
      </w:r>
      <w:r w:rsidR="005A1CAE" w:rsidRPr="005A1CAE">
        <w:rPr>
          <w:noProof/>
        </w:rPr>
        <w:t>cel</w:t>
      </w:r>
      <w:r w:rsidRPr="005A1CAE">
        <w:rPr>
          <w:noProof/>
        </w:rPr>
        <w:t xml:space="preserve">u oceny ryzyka nadużyć osłabiających skuteczność CBAM oraz potencjalnego wpływu na rynek wewnętrzny Unii, m.in. przez analizę </w:t>
      </w:r>
      <w:r w:rsidRPr="005A1CAE">
        <w:rPr>
          <w:noProof/>
          <w:color w:val="000000" w:themeColor="text1"/>
        </w:rPr>
        <w:t>zgłoszeń przywozowych</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dek</w:t>
      </w:r>
      <w:r w:rsidRPr="005A1CAE">
        <w:rPr>
          <w:noProof/>
          <w:color w:val="000000" w:themeColor="text1"/>
        </w:rPr>
        <w:t>laracji CBAM</w:t>
      </w:r>
      <w:r w:rsidRPr="005A1CAE">
        <w:rPr>
          <w:noProof/>
        </w:rPr>
        <w:t xml:space="preserve"> lub </w:t>
      </w:r>
      <w:r w:rsidRPr="005A1CAE">
        <w:rPr>
          <w:noProof/>
        </w:rPr>
        <w:lastRenderedPageBreak/>
        <w:t>na podstawie odpowiednich źródeł informacji,</w:t>
      </w:r>
      <w:r w:rsidR="005A1CAE" w:rsidRPr="005A1CAE">
        <w:rPr>
          <w:noProof/>
        </w:rPr>
        <w:t xml:space="preserve"> w</w:t>
      </w:r>
      <w:r w:rsidR="005A1CAE">
        <w:rPr>
          <w:noProof/>
        </w:rPr>
        <w:t> </w:t>
      </w:r>
      <w:r w:rsidR="005A1CAE" w:rsidRPr="005A1CAE">
        <w:rPr>
          <w:noProof/>
        </w:rPr>
        <w:t>tym</w:t>
      </w:r>
      <w:r w:rsidRPr="005A1CAE">
        <w:rPr>
          <w:noProof/>
        </w:rPr>
        <w:t xml:space="preserve"> informacji od państw członkowskich przekazywanych</w:t>
      </w:r>
      <w:r w:rsidR="005A1CAE" w:rsidRPr="005A1CAE">
        <w:rPr>
          <w:noProof/>
        </w:rPr>
        <w:t xml:space="preserve"> w</w:t>
      </w:r>
      <w:r w:rsidR="005A1CAE">
        <w:rPr>
          <w:noProof/>
        </w:rPr>
        <w:t> </w:t>
      </w:r>
      <w:r w:rsidR="005A1CAE" w:rsidRPr="005A1CAE">
        <w:rPr>
          <w:noProof/>
        </w:rPr>
        <w:t>ram</w:t>
      </w:r>
      <w:r w:rsidRPr="005A1CAE">
        <w:rPr>
          <w:noProof/>
        </w:rPr>
        <w:t>ach wymiany informacji</w:t>
      </w:r>
      <w:r w:rsidR="005A1CAE" w:rsidRPr="005A1CAE">
        <w:rPr>
          <w:noProof/>
        </w:rPr>
        <w:t xml:space="preserve"> w</w:t>
      </w:r>
      <w:r w:rsidR="005A1CAE">
        <w:rPr>
          <w:noProof/>
        </w:rPr>
        <w:t> </w:t>
      </w:r>
      <w:r w:rsidR="005A1CAE" w:rsidRPr="005A1CAE">
        <w:rPr>
          <w:noProof/>
        </w:rPr>
        <w:t>gru</w:t>
      </w:r>
      <w:r w:rsidRPr="005A1CAE">
        <w:rPr>
          <w:noProof/>
        </w:rPr>
        <w:t>pie ekspertów ds. CBAM lub innych odpowiednich wymian informacji.</w:t>
      </w:r>
    </w:p>
    <w:p w14:paraId="25C8CF2D" w14:textId="76088E5E" w:rsidR="001C575D" w:rsidRPr="005A1CAE" w:rsidRDefault="00874ACF" w:rsidP="00874ACF">
      <w:pPr>
        <w:pStyle w:val="ManualConsidrant"/>
        <w:rPr>
          <w:noProof/>
        </w:rPr>
      </w:pPr>
      <w:r w:rsidRPr="005A1CAE">
        <w:rPr>
          <w:noProof/>
        </w:rPr>
        <w:t>(14)</w:t>
      </w:r>
      <w:r w:rsidRPr="005A1CAE">
        <w:rPr>
          <w:noProof/>
        </w:rPr>
        <w:tab/>
        <w:t>Aby umożliwić szybką reakcję</w:t>
      </w:r>
      <w:r w:rsidR="005A1CAE" w:rsidRPr="005A1CAE">
        <w:rPr>
          <w:noProof/>
        </w:rPr>
        <w:t xml:space="preserve"> w</w:t>
      </w:r>
      <w:r w:rsidR="005A1CAE">
        <w:rPr>
          <w:noProof/>
        </w:rPr>
        <w:t> </w:t>
      </w:r>
      <w:r w:rsidR="005A1CAE" w:rsidRPr="005A1CAE">
        <w:rPr>
          <w:noProof/>
        </w:rPr>
        <w:t>prz</w:t>
      </w:r>
      <w:r w:rsidRPr="005A1CAE">
        <w:rPr>
          <w:noProof/>
        </w:rPr>
        <w:t>ypadku dowodów wskazujących na wysokie ryzyko wystąpienia nadużyć, Komisja powinna być uprawniona do przyjmowania aktów delegowanych</w:t>
      </w:r>
      <w:r w:rsidR="005A1CAE" w:rsidRPr="005A1CAE">
        <w:rPr>
          <w:noProof/>
        </w:rPr>
        <w:t xml:space="preserve"> w</w:t>
      </w:r>
      <w:r w:rsidR="005A1CAE">
        <w:rPr>
          <w:noProof/>
        </w:rPr>
        <w:t> </w:t>
      </w:r>
      <w:r w:rsidR="005A1CAE" w:rsidRPr="005A1CAE">
        <w:rPr>
          <w:noProof/>
        </w:rPr>
        <w:t>cel</w:t>
      </w:r>
      <w:r w:rsidRPr="005A1CAE">
        <w:rPr>
          <w:noProof/>
        </w:rPr>
        <w:t>u określenia –</w:t>
      </w:r>
      <w:r w:rsidR="005A1CAE" w:rsidRPr="005A1CAE">
        <w:rPr>
          <w:noProof/>
        </w:rPr>
        <w:t xml:space="preserve"> w</w:t>
      </w:r>
      <w:r w:rsidR="005A1CAE">
        <w:rPr>
          <w:noProof/>
        </w:rPr>
        <w:t> </w:t>
      </w:r>
      <w:r w:rsidR="005A1CAE" w:rsidRPr="005A1CAE">
        <w:rPr>
          <w:noProof/>
        </w:rPr>
        <w:t>odn</w:t>
      </w:r>
      <w:r w:rsidRPr="005A1CAE">
        <w:rPr>
          <w:noProof/>
        </w:rPr>
        <w:t>iesieniu do wykorzystania rzeczywistych emisji do kombinacji towarów</w:t>
      </w:r>
      <w:r w:rsidR="005A1CAE" w:rsidRPr="005A1CAE">
        <w:rPr>
          <w:noProof/>
        </w:rPr>
        <w:t xml:space="preserve"> i</w:t>
      </w:r>
      <w:r w:rsidR="005A1CAE">
        <w:rPr>
          <w:noProof/>
        </w:rPr>
        <w:t> </w:t>
      </w:r>
      <w:r w:rsidR="005A1CAE" w:rsidRPr="005A1CAE">
        <w:rPr>
          <w:noProof/>
        </w:rPr>
        <w:t>poc</w:t>
      </w:r>
      <w:r w:rsidRPr="005A1CAE">
        <w:rPr>
          <w:noProof/>
        </w:rPr>
        <w:t>hodzenia – informacji, które należy zgłosić,</w:t>
      </w:r>
      <w:r w:rsidR="005A1CAE" w:rsidRPr="005A1CAE">
        <w:rPr>
          <w:noProof/>
        </w:rPr>
        <w:t xml:space="preserve"> a</w:t>
      </w:r>
      <w:r w:rsidR="005A1CAE">
        <w:rPr>
          <w:noProof/>
        </w:rPr>
        <w:t> </w:t>
      </w:r>
      <w:r w:rsidR="005A1CAE" w:rsidRPr="005A1CAE">
        <w:rPr>
          <w:noProof/>
        </w:rPr>
        <w:t>tak</w:t>
      </w:r>
      <w:r w:rsidRPr="005A1CAE">
        <w:rPr>
          <w:noProof/>
        </w:rPr>
        <w:t xml:space="preserve">że dowodów wykazujących, że nie doszło do wystąpienia nadużyć. Jeżeli Komisja uzna, że istnieją wystarczające dowody </w:t>
      </w:r>
      <w:r w:rsidRPr="005A1CAE">
        <w:rPr>
          <w:noProof/>
          <w:color w:val="000000" w:themeColor="text1"/>
        </w:rPr>
        <w:t>wskazujące na wysokie ryzyko wystąpienia nadużyć, powinna być zobowiązana do podjęcia działań</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dro</w:t>
      </w:r>
      <w:r w:rsidRPr="005A1CAE">
        <w:rPr>
          <w:noProof/>
          <w:color w:val="000000" w:themeColor="text1"/>
        </w:rPr>
        <w:t>dze aktów delegowanych</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ter</w:t>
      </w:r>
      <w:r w:rsidRPr="005A1CAE">
        <w:rPr>
          <w:noProof/>
          <w:color w:val="000000" w:themeColor="text1"/>
        </w:rPr>
        <w:t xml:space="preserve">minie trzech miesięcy od stwierdzenia tego faktu. </w:t>
      </w:r>
      <w:r w:rsidRPr="005A1CAE">
        <w:rPr>
          <w:noProof/>
        </w:rPr>
        <w:t>Te warunki</w:t>
      </w:r>
      <w:r w:rsidR="005A1CAE" w:rsidRPr="005A1CAE">
        <w:rPr>
          <w:noProof/>
        </w:rPr>
        <w:t xml:space="preserve"> i</w:t>
      </w:r>
      <w:r w:rsidR="005A1CAE">
        <w:rPr>
          <w:noProof/>
        </w:rPr>
        <w:t> </w:t>
      </w:r>
      <w:r w:rsidR="005A1CAE" w:rsidRPr="005A1CAE">
        <w:rPr>
          <w:noProof/>
        </w:rPr>
        <w:t>dow</w:t>
      </w:r>
      <w:r w:rsidRPr="005A1CAE">
        <w:rPr>
          <w:noProof/>
        </w:rPr>
        <w:t>ody należy opracować</w:t>
      </w:r>
      <w:r w:rsidR="005A1CAE" w:rsidRPr="005A1CAE">
        <w:rPr>
          <w:noProof/>
        </w:rPr>
        <w:t xml:space="preserve"> w</w:t>
      </w:r>
      <w:r w:rsidR="005A1CAE">
        <w:rPr>
          <w:noProof/>
        </w:rPr>
        <w:t> </w:t>
      </w:r>
      <w:r w:rsidR="005A1CAE" w:rsidRPr="005A1CAE">
        <w:rPr>
          <w:noProof/>
        </w:rPr>
        <w:t>spo</w:t>
      </w:r>
      <w:r w:rsidRPr="005A1CAE">
        <w:rPr>
          <w:noProof/>
        </w:rPr>
        <w:t>sób proporcjonalny</w:t>
      </w:r>
      <w:r w:rsidR="005A1CAE" w:rsidRPr="005A1CAE">
        <w:rPr>
          <w:noProof/>
        </w:rPr>
        <w:t xml:space="preserve"> i</w:t>
      </w:r>
      <w:r w:rsidR="005A1CAE">
        <w:rPr>
          <w:noProof/>
        </w:rPr>
        <w:t> </w:t>
      </w:r>
      <w:r w:rsidR="005A1CAE" w:rsidRPr="005A1CAE">
        <w:rPr>
          <w:noProof/>
        </w:rPr>
        <w:t>nie</w:t>
      </w:r>
      <w:r w:rsidRPr="005A1CAE">
        <w:rPr>
          <w:noProof/>
        </w:rPr>
        <w:t>powodujący niepotrzebnych obciążeń dla operatorów</w:t>
      </w:r>
      <w:r w:rsidR="005A1CAE" w:rsidRPr="005A1CAE">
        <w:rPr>
          <w:noProof/>
        </w:rPr>
        <w:t xml:space="preserve"> i</w:t>
      </w:r>
      <w:r w:rsidR="005A1CAE">
        <w:rPr>
          <w:noProof/>
        </w:rPr>
        <w:t> </w:t>
      </w:r>
      <w:r w:rsidR="005A1CAE" w:rsidRPr="005A1CAE">
        <w:rPr>
          <w:noProof/>
        </w:rPr>
        <w:t>imp</w:t>
      </w:r>
      <w:r w:rsidRPr="005A1CAE">
        <w:rPr>
          <w:noProof/>
        </w:rPr>
        <w:t>orterów.</w:t>
      </w:r>
    </w:p>
    <w:p w14:paraId="23C0AB32" w14:textId="6A6194B4" w:rsidR="00AF5F7E" w:rsidRPr="005A1CAE" w:rsidRDefault="00874ACF" w:rsidP="00874ACF">
      <w:pPr>
        <w:pStyle w:val="ManualConsidrant"/>
        <w:rPr>
          <w:noProof/>
        </w:rPr>
      </w:pPr>
      <w:r w:rsidRPr="005A1CAE">
        <w:rPr>
          <w:noProof/>
        </w:rPr>
        <w:t>(15)</w:t>
      </w:r>
      <w:r w:rsidRPr="005A1CAE">
        <w:rPr>
          <w:noProof/>
        </w:rPr>
        <w:tab/>
        <w:t>Aby możliwa była identyfikacja importerów reprezentowanych przez pośredniego przedstawiciela celnego, wniosek</w:t>
      </w:r>
      <w:r w:rsidR="005A1CAE" w:rsidRPr="005A1CAE">
        <w:rPr>
          <w:noProof/>
        </w:rPr>
        <w:t xml:space="preserve"> o</w:t>
      </w:r>
      <w:r w:rsidR="005A1CAE">
        <w:rPr>
          <w:noProof/>
        </w:rPr>
        <w:t> </w:t>
      </w:r>
      <w:r w:rsidR="005A1CAE" w:rsidRPr="005A1CAE">
        <w:rPr>
          <w:noProof/>
        </w:rPr>
        <w:t>udz</w:t>
      </w:r>
      <w:r w:rsidRPr="005A1CAE">
        <w:rPr>
          <w:noProof/>
        </w:rPr>
        <w:t>ielenie upoważnienia powinien zawierać numer rejestracyjny</w:t>
      </w:r>
      <w:r w:rsidR="005A1CAE" w:rsidRPr="005A1CAE">
        <w:rPr>
          <w:noProof/>
        </w:rPr>
        <w:t xml:space="preserve"> i</w:t>
      </w:r>
      <w:r w:rsidR="005A1CAE">
        <w:rPr>
          <w:noProof/>
        </w:rPr>
        <w:t> </w:t>
      </w:r>
      <w:r w:rsidR="005A1CAE" w:rsidRPr="005A1CAE">
        <w:rPr>
          <w:noProof/>
        </w:rPr>
        <w:t>ide</w:t>
      </w:r>
      <w:r w:rsidRPr="005A1CAE">
        <w:rPr>
          <w:noProof/>
        </w:rPr>
        <w:t>ntyfikacyjny przedsiębiorcy (numer EORI) lub inny rodzaj krajowego numeru identyfikacyjnego reprezentowanych importerów.</w:t>
      </w:r>
    </w:p>
    <w:p w14:paraId="31745955" w14:textId="4EB2B315" w:rsidR="00AF5F7E" w:rsidRPr="005A1CAE" w:rsidRDefault="00874ACF" w:rsidP="00874ACF">
      <w:pPr>
        <w:pStyle w:val="ManualConsidrant"/>
        <w:rPr>
          <w:noProof/>
        </w:rPr>
      </w:pPr>
      <w:r w:rsidRPr="005A1CAE">
        <w:rPr>
          <w:noProof/>
        </w:rPr>
        <w:t>(16)</w:t>
      </w:r>
      <w:r w:rsidRPr="005A1CAE">
        <w:rPr>
          <w:noProof/>
        </w:rPr>
        <w:tab/>
        <w:t>Aby wyeliminować ryzyko błędnej deklaracji emisji wbudowanych określonych na podstawie rzeczywistych emisji, Komisja</w:t>
      </w:r>
      <w:r w:rsidR="005A1CAE" w:rsidRPr="005A1CAE">
        <w:rPr>
          <w:noProof/>
        </w:rPr>
        <w:t xml:space="preserve"> i</w:t>
      </w:r>
      <w:r w:rsidR="005A1CAE">
        <w:rPr>
          <w:noProof/>
        </w:rPr>
        <w:t> </w:t>
      </w:r>
      <w:r w:rsidR="005A1CAE" w:rsidRPr="005A1CAE">
        <w:rPr>
          <w:noProof/>
        </w:rPr>
        <w:t>wła</w:t>
      </w:r>
      <w:r w:rsidRPr="005A1CAE">
        <w:rPr>
          <w:noProof/>
        </w:rPr>
        <w:t>ściwy organ powinny mieć możliwość zwrócenia się do upoważnionego zgłaszającego CBAM</w:t>
      </w:r>
      <w:r w:rsidR="005A1CAE" w:rsidRPr="005A1CAE">
        <w:rPr>
          <w:noProof/>
        </w:rPr>
        <w:t xml:space="preserve"> o</w:t>
      </w:r>
      <w:r w:rsidR="005A1CAE">
        <w:rPr>
          <w:noProof/>
        </w:rPr>
        <w:t> </w:t>
      </w:r>
      <w:r w:rsidR="005A1CAE" w:rsidRPr="005A1CAE">
        <w:rPr>
          <w:noProof/>
        </w:rPr>
        <w:t>prz</w:t>
      </w:r>
      <w:r w:rsidRPr="005A1CAE">
        <w:rPr>
          <w:noProof/>
        </w:rPr>
        <w:t>edstawienie dowodów na to, że przywożone towary zostały wyprodukowane</w:t>
      </w:r>
      <w:r w:rsidR="005A1CAE" w:rsidRPr="005A1CAE">
        <w:rPr>
          <w:noProof/>
        </w:rPr>
        <w:t xml:space="preserve"> w</w:t>
      </w:r>
      <w:r w:rsidR="005A1CAE">
        <w:rPr>
          <w:noProof/>
        </w:rPr>
        <w:t> </w:t>
      </w:r>
      <w:r w:rsidR="005A1CAE" w:rsidRPr="005A1CAE">
        <w:rPr>
          <w:noProof/>
        </w:rPr>
        <w:t>zgł</w:t>
      </w:r>
      <w:r w:rsidRPr="005A1CAE">
        <w:rPr>
          <w:noProof/>
        </w:rPr>
        <w:t>oszonej instalacji</w:t>
      </w:r>
      <w:r w:rsidR="005A1CAE" w:rsidRPr="005A1CAE">
        <w:rPr>
          <w:noProof/>
        </w:rPr>
        <w:t xml:space="preserve"> i</w:t>
      </w:r>
      <w:r w:rsidR="005A1CAE">
        <w:rPr>
          <w:noProof/>
        </w:rPr>
        <w:t> </w:t>
      </w:r>
      <w:r w:rsidR="005A1CAE" w:rsidRPr="005A1CAE">
        <w:rPr>
          <w:noProof/>
        </w:rPr>
        <w:t>w</w:t>
      </w:r>
      <w:r w:rsidR="005A1CAE">
        <w:rPr>
          <w:noProof/>
        </w:rPr>
        <w:t> </w:t>
      </w:r>
      <w:r w:rsidR="005A1CAE" w:rsidRPr="005A1CAE">
        <w:rPr>
          <w:noProof/>
        </w:rPr>
        <w:t>zad</w:t>
      </w:r>
      <w:r w:rsidRPr="005A1CAE">
        <w:rPr>
          <w:noProof/>
        </w:rPr>
        <w:t>eklarowanym okresie produkcji</w:t>
      </w:r>
      <w:r w:rsidR="005A1CAE" w:rsidRPr="005A1CAE">
        <w:rPr>
          <w:noProof/>
        </w:rPr>
        <w:t>. W</w:t>
      </w:r>
      <w:r w:rsidR="005A1CAE">
        <w:rPr>
          <w:noProof/>
        </w:rPr>
        <w:t> </w:t>
      </w:r>
      <w:r w:rsidR="005A1CAE" w:rsidRPr="005A1CAE">
        <w:rPr>
          <w:noProof/>
        </w:rPr>
        <w:t>prz</w:t>
      </w:r>
      <w:r w:rsidRPr="005A1CAE">
        <w:rPr>
          <w:noProof/>
        </w:rPr>
        <w:t>ypadku niektórych towarów, takich jak towary charakteryzujące się większą heterogenicznością intensywności emisji lub tylko</w:t>
      </w:r>
      <w:r w:rsidR="005A1CAE" w:rsidRPr="005A1CAE">
        <w:rPr>
          <w:noProof/>
        </w:rPr>
        <w:t xml:space="preserve"> w</w:t>
      </w:r>
      <w:r w:rsidR="005A1CAE">
        <w:rPr>
          <w:noProof/>
        </w:rPr>
        <w:t> </w:t>
      </w:r>
      <w:r w:rsidR="005A1CAE" w:rsidRPr="005A1CAE">
        <w:rPr>
          <w:noProof/>
        </w:rPr>
        <w:t>nie</w:t>
      </w:r>
      <w:r w:rsidRPr="005A1CAE">
        <w:rPr>
          <w:noProof/>
        </w:rPr>
        <w:t>których przypadkach, dowody powinny być wymagane</w:t>
      </w:r>
      <w:r w:rsidR="005A1CAE" w:rsidRPr="005A1CAE">
        <w:rPr>
          <w:noProof/>
        </w:rPr>
        <w:t xml:space="preserve"> w</w:t>
      </w:r>
      <w:r w:rsidR="005A1CAE">
        <w:rPr>
          <w:noProof/>
        </w:rPr>
        <w:t> </w:t>
      </w:r>
      <w:r w:rsidR="005A1CAE" w:rsidRPr="005A1CAE">
        <w:rPr>
          <w:noProof/>
        </w:rPr>
        <w:t>ram</w:t>
      </w:r>
      <w:r w:rsidRPr="005A1CAE">
        <w:rPr>
          <w:noProof/>
        </w:rPr>
        <w:t>ach deklaracji CBAM. Komisja powinna być uprawniona do przyjmowania aktów wykonawczych</w:t>
      </w:r>
      <w:r w:rsidR="005A1CAE" w:rsidRPr="005A1CAE">
        <w:rPr>
          <w:noProof/>
        </w:rPr>
        <w:t xml:space="preserve"> w</w:t>
      </w:r>
      <w:r w:rsidR="005A1CAE">
        <w:rPr>
          <w:noProof/>
        </w:rPr>
        <w:t> </w:t>
      </w:r>
      <w:r w:rsidR="005A1CAE" w:rsidRPr="005A1CAE">
        <w:rPr>
          <w:noProof/>
        </w:rPr>
        <w:t>cel</w:t>
      </w:r>
      <w:r w:rsidRPr="005A1CAE">
        <w:rPr>
          <w:noProof/>
        </w:rPr>
        <w:t>u określenia towarów,</w:t>
      </w:r>
      <w:r w:rsidR="005A1CAE" w:rsidRPr="005A1CAE">
        <w:rPr>
          <w:noProof/>
        </w:rPr>
        <w:t xml:space="preserve"> w</w:t>
      </w:r>
      <w:r w:rsidR="005A1CAE">
        <w:rPr>
          <w:noProof/>
        </w:rPr>
        <w:t> </w:t>
      </w:r>
      <w:r w:rsidR="005A1CAE" w:rsidRPr="005A1CAE">
        <w:rPr>
          <w:noProof/>
        </w:rPr>
        <w:t>odn</w:t>
      </w:r>
      <w:r w:rsidRPr="005A1CAE">
        <w:rPr>
          <w:noProof/>
        </w:rPr>
        <w:t>iesieniu do których takie dowody powinny być wymagane</w:t>
      </w:r>
      <w:r w:rsidR="005A1CAE" w:rsidRPr="005A1CAE">
        <w:rPr>
          <w:noProof/>
        </w:rPr>
        <w:t xml:space="preserve"> w</w:t>
      </w:r>
      <w:r w:rsidR="005A1CAE">
        <w:rPr>
          <w:noProof/>
        </w:rPr>
        <w:t> </w:t>
      </w:r>
      <w:r w:rsidR="005A1CAE" w:rsidRPr="005A1CAE">
        <w:rPr>
          <w:noProof/>
        </w:rPr>
        <w:t>ram</w:t>
      </w:r>
      <w:r w:rsidRPr="005A1CAE">
        <w:rPr>
          <w:noProof/>
        </w:rPr>
        <w:t>ach deklaracji CBAM, oraz konkretnego rodzaju dowodów, które należy przedstawić.</w:t>
      </w:r>
    </w:p>
    <w:p w14:paraId="5793E63F" w14:textId="3524F13D" w:rsidR="00AF5F7E" w:rsidRPr="005A1CAE" w:rsidRDefault="00874ACF" w:rsidP="00874ACF">
      <w:pPr>
        <w:pStyle w:val="ManualConsidrant"/>
        <w:rPr>
          <w:noProof/>
        </w:rPr>
      </w:pPr>
      <w:r w:rsidRPr="005A1CAE">
        <w:rPr>
          <w:noProof/>
        </w:rPr>
        <w:t>(17)</w:t>
      </w:r>
      <w:r w:rsidRPr="005A1CAE">
        <w:rPr>
          <w:noProof/>
        </w:rPr>
        <w:tab/>
        <w:t>Aby ułatwić przetwarzanie informacji na temat operatorów</w:t>
      </w:r>
      <w:r w:rsidR="005A1CAE" w:rsidRPr="005A1CAE">
        <w:rPr>
          <w:noProof/>
        </w:rPr>
        <w:t xml:space="preserve"> w</w:t>
      </w:r>
      <w:r w:rsidR="005A1CAE">
        <w:rPr>
          <w:noProof/>
        </w:rPr>
        <w:t> </w:t>
      </w:r>
      <w:r w:rsidR="005A1CAE" w:rsidRPr="005A1CAE">
        <w:rPr>
          <w:noProof/>
        </w:rPr>
        <w:t>pań</w:t>
      </w:r>
      <w:r w:rsidRPr="005A1CAE">
        <w:rPr>
          <w:noProof/>
        </w:rPr>
        <w:t>stwach trzecich, zmniejszyć obciążenie administracyjne operatora</w:t>
      </w:r>
      <w:r w:rsidR="005A1CAE" w:rsidRPr="005A1CAE">
        <w:rPr>
          <w:noProof/>
        </w:rPr>
        <w:t xml:space="preserve"> i</w:t>
      </w:r>
      <w:r w:rsidR="005A1CAE">
        <w:rPr>
          <w:noProof/>
        </w:rPr>
        <w:t> </w:t>
      </w:r>
      <w:r w:rsidR="005A1CAE" w:rsidRPr="005A1CAE">
        <w:rPr>
          <w:noProof/>
        </w:rPr>
        <w:t>upo</w:t>
      </w:r>
      <w:r w:rsidRPr="005A1CAE">
        <w:rPr>
          <w:noProof/>
        </w:rPr>
        <w:t>ważnionego zgłaszającego CBAM oraz ułatwić przegląd deklaracji CBAM, rejestracja operatorów powinna być niezbędnym krokiem do określenia poziomu emisji wbudowanych na podstawie rzeczywistych zweryfikowanych emisji.</w:t>
      </w:r>
    </w:p>
    <w:p w14:paraId="5FF4ECF4" w14:textId="3772DCF2" w:rsidR="00AF5F7E" w:rsidRPr="005A1CAE" w:rsidRDefault="00874ACF" w:rsidP="00874ACF">
      <w:pPr>
        <w:pStyle w:val="ManualConsidrant"/>
        <w:rPr>
          <w:noProof/>
        </w:rPr>
      </w:pPr>
      <w:r w:rsidRPr="005A1CAE">
        <w:rPr>
          <w:noProof/>
        </w:rPr>
        <w:t>(18)</w:t>
      </w:r>
      <w:r w:rsidRPr="005A1CAE">
        <w:rPr>
          <w:noProof/>
        </w:rPr>
        <w:tab/>
        <w:t>Aby wspierać zharmonizowane podejście do przeglądu deklaracji CBAM, należy doprecyzować, że Komisja może,</w:t>
      </w:r>
      <w:r w:rsidR="005A1CAE" w:rsidRPr="005A1CAE">
        <w:rPr>
          <w:noProof/>
        </w:rPr>
        <w:t xml:space="preserve"> w</w:t>
      </w:r>
      <w:r w:rsidR="005A1CAE">
        <w:rPr>
          <w:noProof/>
        </w:rPr>
        <w:t> </w:t>
      </w:r>
      <w:r w:rsidR="005A1CAE" w:rsidRPr="005A1CAE">
        <w:rPr>
          <w:noProof/>
        </w:rPr>
        <w:t>ram</w:t>
      </w:r>
      <w:r w:rsidRPr="005A1CAE">
        <w:rPr>
          <w:noProof/>
        </w:rPr>
        <w:t>ach aktu wykonawczego dotyczącego standardowego formatu deklaracji CBAM, określić procedury przeglądu deklaracji CBAM.</w:t>
      </w:r>
    </w:p>
    <w:p w14:paraId="52334653" w14:textId="2AA41773" w:rsidR="00AF5F7E" w:rsidRPr="005A1CAE" w:rsidRDefault="00874ACF" w:rsidP="00874ACF">
      <w:pPr>
        <w:pStyle w:val="ManualConsidrant"/>
        <w:rPr>
          <w:noProof/>
        </w:rPr>
      </w:pPr>
      <w:r w:rsidRPr="005A1CAE">
        <w:rPr>
          <w:noProof/>
        </w:rPr>
        <w:t>(19)</w:t>
      </w:r>
      <w:r w:rsidRPr="005A1CAE">
        <w:rPr>
          <w:noProof/>
        </w:rPr>
        <w:tab/>
        <w:t>Emisje pochodzące</w:t>
      </w:r>
      <w:r w:rsidR="005A1CAE" w:rsidRPr="005A1CAE">
        <w:rPr>
          <w:noProof/>
        </w:rPr>
        <w:t xml:space="preserve"> z</w:t>
      </w:r>
      <w:r w:rsidR="005A1CAE">
        <w:rPr>
          <w:noProof/>
        </w:rPr>
        <w:t> </w:t>
      </w:r>
      <w:r w:rsidR="005A1CAE" w:rsidRPr="005A1CAE">
        <w:rPr>
          <w:noProof/>
        </w:rPr>
        <w:t>pro</w:t>
      </w:r>
      <w:r w:rsidRPr="005A1CAE">
        <w:rPr>
          <w:noProof/>
        </w:rPr>
        <w:t>dukcji złomu przedkonsumenckiego</w:t>
      </w:r>
      <w:r w:rsidR="005A1CAE" w:rsidRPr="005A1CAE">
        <w:rPr>
          <w:noProof/>
        </w:rPr>
        <w:t xml:space="preserve"> w</w:t>
      </w:r>
      <w:r w:rsidR="005A1CAE">
        <w:rPr>
          <w:noProof/>
        </w:rPr>
        <w:t> </w:t>
      </w:r>
      <w:r w:rsidR="005A1CAE" w:rsidRPr="005A1CAE">
        <w:rPr>
          <w:noProof/>
        </w:rPr>
        <w:t>Uni</w:t>
      </w:r>
      <w:r w:rsidRPr="005A1CAE">
        <w:rPr>
          <w:noProof/>
        </w:rPr>
        <w:t>i podlegają opłacie emisyjnej, ponieważ</w:t>
      </w:r>
      <w:r w:rsidR="005A1CAE" w:rsidRPr="005A1CAE">
        <w:rPr>
          <w:noProof/>
        </w:rPr>
        <w:t xml:space="preserve"> w</w:t>
      </w:r>
      <w:r w:rsidR="005A1CAE">
        <w:rPr>
          <w:noProof/>
        </w:rPr>
        <w:t> </w:t>
      </w:r>
      <w:r w:rsidR="005A1CAE" w:rsidRPr="005A1CAE">
        <w:rPr>
          <w:noProof/>
        </w:rPr>
        <w:t>ram</w:t>
      </w:r>
      <w:r w:rsidRPr="005A1CAE">
        <w:rPr>
          <w:noProof/>
        </w:rPr>
        <w:t>ach EU ETS emisje są mierzone na poziomie instalacji. Ponieważ przedkonsumenckiemu złomowi aluminium</w:t>
      </w:r>
      <w:r w:rsidR="005A1CAE" w:rsidRPr="005A1CAE">
        <w:rPr>
          <w:noProof/>
        </w:rPr>
        <w:t xml:space="preserve"> i</w:t>
      </w:r>
      <w:r w:rsidR="005A1CAE">
        <w:rPr>
          <w:noProof/>
        </w:rPr>
        <w:t> </w:t>
      </w:r>
      <w:r w:rsidR="005A1CAE" w:rsidRPr="005A1CAE">
        <w:rPr>
          <w:noProof/>
        </w:rPr>
        <w:t>prz</w:t>
      </w:r>
      <w:r w:rsidRPr="005A1CAE">
        <w:rPr>
          <w:noProof/>
        </w:rPr>
        <w:t>edkonsumenckiemu złomowi stalowemu na podstawie rozporządzenia (UE) 2023/956 przypisuje się zerową emisję, przywożone towary,</w:t>
      </w:r>
      <w:r w:rsidR="005A1CAE" w:rsidRPr="005A1CAE">
        <w:rPr>
          <w:noProof/>
        </w:rPr>
        <w:t xml:space="preserve"> w</w:t>
      </w:r>
      <w:r w:rsidR="005A1CAE">
        <w:rPr>
          <w:noProof/>
        </w:rPr>
        <w:t> </w:t>
      </w:r>
      <w:r w:rsidR="005A1CAE" w:rsidRPr="005A1CAE">
        <w:rPr>
          <w:noProof/>
        </w:rPr>
        <w:t>któ</w:t>
      </w:r>
      <w:r w:rsidRPr="005A1CAE">
        <w:rPr>
          <w:noProof/>
        </w:rPr>
        <w:t>rych jako materiał wsadowy wykorzystano przedkonsumencki złom aluminium</w:t>
      </w:r>
      <w:r w:rsidR="005A1CAE" w:rsidRPr="005A1CAE">
        <w:rPr>
          <w:noProof/>
        </w:rPr>
        <w:t xml:space="preserve"> i</w:t>
      </w:r>
      <w:r w:rsidR="005A1CAE">
        <w:rPr>
          <w:noProof/>
        </w:rPr>
        <w:t> </w:t>
      </w:r>
      <w:r w:rsidR="005A1CAE" w:rsidRPr="005A1CAE">
        <w:rPr>
          <w:noProof/>
        </w:rPr>
        <w:t>prz</w:t>
      </w:r>
      <w:r w:rsidRPr="005A1CAE">
        <w:rPr>
          <w:noProof/>
        </w:rPr>
        <w:t>edkonsumencki złom stalowy, podlegają niższej opłacie emisyjnej</w:t>
      </w:r>
      <w:r w:rsidR="005A1CAE" w:rsidRPr="005A1CAE">
        <w:rPr>
          <w:noProof/>
        </w:rPr>
        <w:t xml:space="preserve"> w</w:t>
      </w:r>
      <w:r w:rsidR="005A1CAE">
        <w:rPr>
          <w:noProof/>
        </w:rPr>
        <w:t> </w:t>
      </w:r>
      <w:r w:rsidR="005A1CAE" w:rsidRPr="005A1CAE">
        <w:rPr>
          <w:noProof/>
        </w:rPr>
        <w:t>por</w:t>
      </w:r>
      <w:r w:rsidRPr="005A1CAE">
        <w:rPr>
          <w:noProof/>
        </w:rPr>
        <w:t>ównaniu</w:t>
      </w:r>
      <w:r w:rsidR="005A1CAE" w:rsidRPr="005A1CAE">
        <w:rPr>
          <w:noProof/>
        </w:rPr>
        <w:t xml:space="preserve"> z</w:t>
      </w:r>
      <w:r w:rsidR="005A1CAE">
        <w:rPr>
          <w:noProof/>
        </w:rPr>
        <w:t> </w:t>
      </w:r>
      <w:r w:rsidR="005A1CAE" w:rsidRPr="005A1CAE">
        <w:rPr>
          <w:noProof/>
        </w:rPr>
        <w:t>tow</w:t>
      </w:r>
      <w:r w:rsidRPr="005A1CAE">
        <w:rPr>
          <w:noProof/>
        </w:rPr>
        <w:t>arami produkowanymi</w:t>
      </w:r>
      <w:r w:rsidR="005A1CAE" w:rsidRPr="005A1CAE">
        <w:rPr>
          <w:noProof/>
        </w:rPr>
        <w:t xml:space="preserve"> w</w:t>
      </w:r>
      <w:r w:rsidR="005A1CAE">
        <w:rPr>
          <w:noProof/>
        </w:rPr>
        <w:t> </w:t>
      </w:r>
      <w:r w:rsidR="005A1CAE" w:rsidRPr="005A1CAE">
        <w:rPr>
          <w:noProof/>
        </w:rPr>
        <w:t>Uni</w:t>
      </w:r>
      <w:r w:rsidRPr="005A1CAE">
        <w:rPr>
          <w:noProof/>
        </w:rPr>
        <w:t>i, co osłabia skuteczność CBAM</w:t>
      </w:r>
      <w:r w:rsidR="005A1CAE" w:rsidRPr="005A1CAE">
        <w:rPr>
          <w:noProof/>
        </w:rPr>
        <w:t xml:space="preserve"> w</w:t>
      </w:r>
      <w:r w:rsidR="005A1CAE">
        <w:rPr>
          <w:noProof/>
        </w:rPr>
        <w:t> </w:t>
      </w:r>
      <w:r w:rsidR="005A1CAE" w:rsidRPr="005A1CAE">
        <w:rPr>
          <w:noProof/>
        </w:rPr>
        <w:t>eli</w:t>
      </w:r>
      <w:r w:rsidRPr="005A1CAE">
        <w:rPr>
          <w:noProof/>
        </w:rPr>
        <w:t>minowaniu ryzyka ucieczki emisji</w:t>
      </w:r>
      <w:r w:rsidR="005A1CAE" w:rsidRPr="005A1CAE">
        <w:rPr>
          <w:noProof/>
        </w:rPr>
        <w:t xml:space="preserve"> w</w:t>
      </w:r>
      <w:r w:rsidR="005A1CAE">
        <w:rPr>
          <w:noProof/>
        </w:rPr>
        <w:t> </w:t>
      </w:r>
      <w:r w:rsidR="005A1CAE" w:rsidRPr="005A1CAE">
        <w:rPr>
          <w:noProof/>
        </w:rPr>
        <w:t>prz</w:t>
      </w:r>
      <w:r w:rsidRPr="005A1CAE">
        <w:rPr>
          <w:noProof/>
        </w:rPr>
        <w:t>ypadku towarów wymienionych</w:t>
      </w:r>
      <w:r w:rsidR="005A1CAE" w:rsidRPr="005A1CAE">
        <w:rPr>
          <w:noProof/>
        </w:rPr>
        <w:t xml:space="preserve"> w</w:t>
      </w:r>
      <w:r w:rsidR="005A1CAE">
        <w:rPr>
          <w:noProof/>
        </w:rPr>
        <w:t> </w:t>
      </w:r>
      <w:r w:rsidR="005A1CAE" w:rsidRPr="005A1CAE">
        <w:rPr>
          <w:noProof/>
        </w:rPr>
        <w:t>zał</w:t>
      </w:r>
      <w:r w:rsidRPr="005A1CAE">
        <w:rPr>
          <w:noProof/>
        </w:rPr>
        <w:t>ączniku I.</w:t>
      </w:r>
    </w:p>
    <w:p w14:paraId="141DB765" w14:textId="587A0557" w:rsidR="00AF5F7E" w:rsidRPr="005A1CAE" w:rsidRDefault="00874ACF" w:rsidP="00874ACF">
      <w:pPr>
        <w:pStyle w:val="ManualConsidrant"/>
        <w:rPr>
          <w:noProof/>
        </w:rPr>
      </w:pPr>
      <w:r w:rsidRPr="005A1CAE">
        <w:rPr>
          <w:noProof/>
        </w:rPr>
        <w:lastRenderedPageBreak/>
        <w:t>(20)</w:t>
      </w:r>
      <w:r w:rsidRPr="005A1CAE">
        <w:rPr>
          <w:noProof/>
        </w:rPr>
        <w:tab/>
        <w:t>Aby zwiększyć skuteczność CBAM</w:t>
      </w:r>
      <w:r w:rsidR="005A1CAE" w:rsidRPr="005A1CAE">
        <w:rPr>
          <w:noProof/>
        </w:rPr>
        <w:t xml:space="preserve"> w</w:t>
      </w:r>
      <w:r w:rsidR="005A1CAE">
        <w:rPr>
          <w:noProof/>
        </w:rPr>
        <w:t> </w:t>
      </w:r>
      <w:r w:rsidR="005A1CAE" w:rsidRPr="005A1CAE">
        <w:rPr>
          <w:noProof/>
        </w:rPr>
        <w:t>prz</w:t>
      </w:r>
      <w:r w:rsidRPr="005A1CAE">
        <w:rPr>
          <w:noProof/>
        </w:rPr>
        <w:t>eciwdziałaniu ryzyku ucieczki emisji</w:t>
      </w:r>
      <w:r w:rsidR="005A1CAE" w:rsidRPr="005A1CAE">
        <w:rPr>
          <w:noProof/>
        </w:rPr>
        <w:t xml:space="preserve"> w</w:t>
      </w:r>
      <w:r w:rsidR="005A1CAE">
        <w:rPr>
          <w:noProof/>
        </w:rPr>
        <w:t> </w:t>
      </w:r>
      <w:r w:rsidR="005A1CAE" w:rsidRPr="005A1CAE">
        <w:rPr>
          <w:noProof/>
        </w:rPr>
        <w:t>prz</w:t>
      </w:r>
      <w:r w:rsidRPr="005A1CAE">
        <w:rPr>
          <w:noProof/>
        </w:rPr>
        <w:t>ypadku towarów, przy obliczaniu emisji wbudowanych związanych</w:t>
      </w:r>
      <w:r w:rsidR="005A1CAE" w:rsidRPr="005A1CAE">
        <w:rPr>
          <w:noProof/>
        </w:rPr>
        <w:t xml:space="preserve"> z</w:t>
      </w:r>
      <w:r w:rsidR="005A1CAE">
        <w:rPr>
          <w:noProof/>
        </w:rPr>
        <w:t> </w:t>
      </w:r>
      <w:r w:rsidR="005A1CAE" w:rsidRPr="005A1CAE">
        <w:rPr>
          <w:noProof/>
        </w:rPr>
        <w:t>tow</w:t>
      </w:r>
      <w:r w:rsidRPr="005A1CAE">
        <w:rPr>
          <w:noProof/>
        </w:rPr>
        <w:t>arami należy uwzględniać emisje</w:t>
      </w:r>
      <w:r w:rsidR="005A1CAE" w:rsidRPr="005A1CAE">
        <w:rPr>
          <w:noProof/>
        </w:rPr>
        <w:t xml:space="preserve"> z</w:t>
      </w:r>
      <w:r w:rsidR="005A1CAE">
        <w:rPr>
          <w:noProof/>
        </w:rPr>
        <w:t> </w:t>
      </w:r>
      <w:r w:rsidR="005A1CAE" w:rsidRPr="005A1CAE">
        <w:rPr>
          <w:noProof/>
        </w:rPr>
        <w:t>prz</w:t>
      </w:r>
      <w:r w:rsidRPr="005A1CAE">
        <w:rPr>
          <w:noProof/>
        </w:rPr>
        <w:t>edkonsumenckiego złomu aluminium</w:t>
      </w:r>
      <w:r w:rsidR="005A1CAE" w:rsidRPr="005A1CAE">
        <w:rPr>
          <w:noProof/>
        </w:rPr>
        <w:t xml:space="preserve"> i</w:t>
      </w:r>
      <w:r w:rsidR="005A1CAE">
        <w:rPr>
          <w:noProof/>
        </w:rPr>
        <w:t> </w:t>
      </w:r>
      <w:r w:rsidR="005A1CAE" w:rsidRPr="005A1CAE">
        <w:rPr>
          <w:noProof/>
        </w:rPr>
        <w:t>prz</w:t>
      </w:r>
      <w:r w:rsidRPr="005A1CAE">
        <w:rPr>
          <w:noProof/>
        </w:rPr>
        <w:t>edkonsumenckiego złomu stalowego. Ponieważ złom przedkonsumencki jest produktem ubocznym wytwarzanym</w:t>
      </w:r>
      <w:r w:rsidR="005A1CAE" w:rsidRPr="005A1CAE">
        <w:rPr>
          <w:noProof/>
        </w:rPr>
        <w:t xml:space="preserve"> w</w:t>
      </w:r>
      <w:r w:rsidR="005A1CAE">
        <w:rPr>
          <w:noProof/>
        </w:rPr>
        <w:t> </w:t>
      </w:r>
      <w:r w:rsidR="005A1CAE" w:rsidRPr="005A1CAE">
        <w:rPr>
          <w:noProof/>
        </w:rPr>
        <w:t>spo</w:t>
      </w:r>
      <w:r w:rsidRPr="005A1CAE">
        <w:rPr>
          <w:noProof/>
        </w:rPr>
        <w:t>sób niezamierzony</w:t>
      </w:r>
      <w:r w:rsidR="005A1CAE" w:rsidRPr="005A1CAE">
        <w:rPr>
          <w:noProof/>
        </w:rPr>
        <w:t xml:space="preserve"> w</w:t>
      </w:r>
      <w:r w:rsidR="005A1CAE">
        <w:rPr>
          <w:noProof/>
        </w:rPr>
        <w:t> </w:t>
      </w:r>
      <w:r w:rsidR="005A1CAE" w:rsidRPr="005A1CAE">
        <w:rPr>
          <w:noProof/>
        </w:rPr>
        <w:t>pro</w:t>
      </w:r>
      <w:r w:rsidRPr="005A1CAE">
        <w:rPr>
          <w:noProof/>
        </w:rPr>
        <w:t>cesie produkcji towarów metalowych</w:t>
      </w:r>
      <w:r w:rsidR="005A1CAE" w:rsidRPr="005A1CAE">
        <w:rPr>
          <w:noProof/>
        </w:rPr>
        <w:t xml:space="preserve"> i</w:t>
      </w:r>
      <w:r w:rsidR="005A1CAE">
        <w:rPr>
          <w:noProof/>
        </w:rPr>
        <w:t> </w:t>
      </w:r>
      <w:r w:rsidR="005A1CAE" w:rsidRPr="005A1CAE">
        <w:rPr>
          <w:noProof/>
        </w:rPr>
        <w:t>nad</w:t>
      </w:r>
      <w:r w:rsidRPr="005A1CAE">
        <w:rPr>
          <w:noProof/>
        </w:rPr>
        <w:t>aje się do natychmiastowego ponownego użycia</w:t>
      </w:r>
      <w:r w:rsidR="005A1CAE" w:rsidRPr="005A1CAE">
        <w:rPr>
          <w:noProof/>
        </w:rPr>
        <w:t xml:space="preserve"> w</w:t>
      </w:r>
      <w:r w:rsidR="005A1CAE">
        <w:rPr>
          <w:noProof/>
        </w:rPr>
        <w:t> </w:t>
      </w:r>
      <w:r w:rsidR="005A1CAE" w:rsidRPr="005A1CAE">
        <w:rPr>
          <w:noProof/>
        </w:rPr>
        <w:t>pro</w:t>
      </w:r>
      <w:r w:rsidRPr="005A1CAE">
        <w:rPr>
          <w:noProof/>
        </w:rPr>
        <w:t>cesie produkcji, nie uznaje się, że</w:t>
      </w:r>
      <w:r w:rsidR="005A1CAE" w:rsidRPr="005A1CAE">
        <w:rPr>
          <w:noProof/>
        </w:rPr>
        <w:t xml:space="preserve"> w</w:t>
      </w:r>
      <w:r w:rsidR="005A1CAE">
        <w:rPr>
          <w:noProof/>
        </w:rPr>
        <w:t> </w:t>
      </w:r>
      <w:r w:rsidR="005A1CAE" w:rsidRPr="005A1CAE">
        <w:rPr>
          <w:noProof/>
        </w:rPr>
        <w:t>jeg</w:t>
      </w:r>
      <w:r w:rsidRPr="005A1CAE">
        <w:rPr>
          <w:noProof/>
        </w:rPr>
        <w:t>o przypadku istnieje ryzyko ucieczki emisji</w:t>
      </w:r>
      <w:r w:rsidR="005A1CAE" w:rsidRPr="005A1CAE">
        <w:rPr>
          <w:noProof/>
        </w:rPr>
        <w:t>. 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tym</w:t>
      </w:r>
      <w:r w:rsidRPr="005A1CAE">
        <w:rPr>
          <w:noProof/>
        </w:rPr>
        <w:t xml:space="preserve"> emisje przedkonsumenckiego złomu aluminium</w:t>
      </w:r>
      <w:r w:rsidR="005A1CAE" w:rsidRPr="005A1CAE">
        <w:rPr>
          <w:noProof/>
        </w:rPr>
        <w:t xml:space="preserve"> i</w:t>
      </w:r>
      <w:r w:rsidR="005A1CAE">
        <w:rPr>
          <w:noProof/>
        </w:rPr>
        <w:t> </w:t>
      </w:r>
      <w:r w:rsidR="005A1CAE" w:rsidRPr="005A1CAE">
        <w:rPr>
          <w:noProof/>
        </w:rPr>
        <w:t>prz</w:t>
      </w:r>
      <w:r w:rsidRPr="005A1CAE">
        <w:rPr>
          <w:noProof/>
        </w:rPr>
        <w:t>edkonsumenckiego złomu stalowego należy brać pod uwagę wyłącznie wtedy, gdy są wykorzystywane jako prekursor towarów wymienionych</w:t>
      </w:r>
      <w:r w:rsidR="005A1CAE" w:rsidRPr="005A1CAE">
        <w:rPr>
          <w:noProof/>
        </w:rPr>
        <w:t xml:space="preserve"> w</w:t>
      </w:r>
      <w:r w:rsidR="005A1CAE">
        <w:rPr>
          <w:noProof/>
        </w:rPr>
        <w:t> </w:t>
      </w:r>
      <w:r w:rsidR="005A1CAE" w:rsidRPr="005A1CAE">
        <w:rPr>
          <w:noProof/>
        </w:rPr>
        <w:t>zał</w:t>
      </w:r>
      <w:r w:rsidRPr="005A1CAE">
        <w:rPr>
          <w:noProof/>
        </w:rPr>
        <w:t>ączniku I do niniejszego rozporządzenia. Komisja powinna zapewnić, aby nie obchodzono monitorowania, zgłaszania</w:t>
      </w:r>
      <w:r w:rsidR="005A1CAE" w:rsidRPr="005A1CAE">
        <w:rPr>
          <w:noProof/>
        </w:rPr>
        <w:t xml:space="preserve"> i</w:t>
      </w:r>
      <w:r w:rsidR="005A1CAE">
        <w:rPr>
          <w:noProof/>
        </w:rPr>
        <w:t> </w:t>
      </w:r>
      <w:r w:rsidR="005A1CAE" w:rsidRPr="005A1CAE">
        <w:rPr>
          <w:noProof/>
        </w:rPr>
        <w:t>wer</w:t>
      </w:r>
      <w:r w:rsidRPr="005A1CAE">
        <w:rPr>
          <w:noProof/>
        </w:rPr>
        <w:t>yfikacji emisji wbudowanych związanych ze złomem przedkonsumenckim wykorzystywanym jako materiał wsadowy (prekursor), również przez błędne zgłaszanie złomu przedkonsumenckiego jako złomu pokonsumenckiego</w:t>
      </w:r>
      <w:r w:rsidR="005A1CAE" w:rsidRPr="005A1CAE">
        <w:rPr>
          <w:noProof/>
        </w:rPr>
        <w:t xml:space="preserve"> w</w:t>
      </w:r>
      <w:r w:rsidR="005A1CAE">
        <w:rPr>
          <w:noProof/>
        </w:rPr>
        <w:t> </w:t>
      </w:r>
      <w:r w:rsidR="005A1CAE" w:rsidRPr="005A1CAE">
        <w:rPr>
          <w:noProof/>
        </w:rPr>
        <w:t>cel</w:t>
      </w:r>
      <w:r w:rsidRPr="005A1CAE">
        <w:rPr>
          <w:noProof/>
        </w:rPr>
        <w:t>u obniżenia określenia poziomu emisji wbudowanych.</w:t>
      </w:r>
    </w:p>
    <w:p w14:paraId="53115DFB" w14:textId="553741CE" w:rsidR="00334E94" w:rsidRPr="005A1CAE" w:rsidRDefault="00874ACF" w:rsidP="00874ACF">
      <w:pPr>
        <w:pStyle w:val="ManualConsidrant"/>
        <w:rPr>
          <w:noProof/>
        </w:rPr>
      </w:pPr>
      <w:r w:rsidRPr="005A1CAE">
        <w:rPr>
          <w:noProof/>
        </w:rPr>
        <w:t>(21)</w:t>
      </w:r>
      <w:r w:rsidRPr="005A1CAE">
        <w:rPr>
          <w:noProof/>
        </w:rPr>
        <w:tab/>
        <w:t>Aby ułatwić stosowanie rozporządzenia (UE) 2023/956, Unia może,</w:t>
      </w:r>
      <w:r w:rsidR="005A1CAE" w:rsidRPr="005A1CAE">
        <w:rPr>
          <w:noProof/>
        </w:rPr>
        <w:t xml:space="preserve"> w</w:t>
      </w:r>
      <w:r w:rsidR="005A1CAE">
        <w:rPr>
          <w:noProof/>
        </w:rPr>
        <w:t> </w:t>
      </w:r>
      <w:r w:rsidR="005A1CAE" w:rsidRPr="005A1CAE">
        <w:rPr>
          <w:noProof/>
        </w:rPr>
        <w:t>kon</w:t>
      </w:r>
      <w:r w:rsidRPr="005A1CAE">
        <w:rPr>
          <w:noProof/>
        </w:rPr>
        <w:t>tekście rozporządzenia wykonawczego dotyczącego rozliczania opłaty emisyjnej uiszczonej za granicą, uwzględnić jednostki emisji dwutlenku węgla na podstawie art.</w:t>
      </w:r>
      <w:r w:rsidR="005A1CAE" w:rsidRPr="005A1CAE">
        <w:rPr>
          <w:noProof/>
        </w:rPr>
        <w:t> </w:t>
      </w:r>
      <w:r w:rsidRPr="005A1CAE">
        <w:rPr>
          <w:noProof/>
        </w:rPr>
        <w:t>6 porozumienia paryskiego.</w:t>
      </w:r>
    </w:p>
    <w:p w14:paraId="5C4F3A2D" w14:textId="1224710C" w:rsidR="00AF5F7E" w:rsidRPr="005A1CAE" w:rsidRDefault="00874ACF" w:rsidP="00874ACF">
      <w:pPr>
        <w:pStyle w:val="ManualConsidrant"/>
        <w:rPr>
          <w:noProof/>
        </w:rPr>
      </w:pPr>
      <w:r w:rsidRPr="005A1CAE">
        <w:rPr>
          <w:noProof/>
        </w:rPr>
        <w:t>(22)</w:t>
      </w:r>
      <w:r w:rsidRPr="005A1CAE">
        <w:rPr>
          <w:noProof/>
        </w:rPr>
        <w:tab/>
        <w:t>Należy doprecyzować, że ze względu na fakt, że niektóre elementy danych wymaganych do zgłaszania, obliczania</w:t>
      </w:r>
      <w:r w:rsidR="005A1CAE" w:rsidRPr="005A1CAE">
        <w:rPr>
          <w:noProof/>
        </w:rPr>
        <w:t xml:space="preserve"> i</w:t>
      </w:r>
      <w:r w:rsidR="005A1CAE">
        <w:rPr>
          <w:noProof/>
        </w:rPr>
        <w:t> </w:t>
      </w:r>
      <w:r w:rsidR="005A1CAE" w:rsidRPr="005A1CAE">
        <w:rPr>
          <w:noProof/>
        </w:rPr>
        <w:t>wer</w:t>
      </w:r>
      <w:r w:rsidRPr="005A1CAE">
        <w:rPr>
          <w:noProof/>
        </w:rPr>
        <w:t>yfikacji rzeczywistych emisji są szczególnie chronionymi informacjami handlowymi, operator może podjąć decyzję</w:t>
      </w:r>
      <w:r w:rsidR="005A1CAE" w:rsidRPr="005A1CAE">
        <w:rPr>
          <w:noProof/>
        </w:rPr>
        <w:t xml:space="preserve"> o</w:t>
      </w:r>
      <w:r w:rsidR="005A1CAE">
        <w:rPr>
          <w:noProof/>
        </w:rPr>
        <w:t> </w:t>
      </w:r>
      <w:r w:rsidR="005A1CAE" w:rsidRPr="005A1CAE">
        <w:rPr>
          <w:noProof/>
        </w:rPr>
        <w:t>uja</w:t>
      </w:r>
      <w:r w:rsidRPr="005A1CAE">
        <w:rPr>
          <w:noProof/>
        </w:rPr>
        <w:t>wnieniu jedynie streszczenia tych elementów, które są niezbędne do określenia</w:t>
      </w:r>
      <w:r w:rsidR="005A1CAE" w:rsidRPr="005A1CAE">
        <w:rPr>
          <w:noProof/>
        </w:rPr>
        <w:t xml:space="preserve"> i</w:t>
      </w:r>
      <w:r w:rsidR="005A1CAE">
        <w:rPr>
          <w:noProof/>
        </w:rPr>
        <w:t> </w:t>
      </w:r>
      <w:r w:rsidR="005A1CAE" w:rsidRPr="005A1CAE">
        <w:rPr>
          <w:noProof/>
        </w:rPr>
        <w:t>wer</w:t>
      </w:r>
      <w:r w:rsidRPr="005A1CAE">
        <w:rPr>
          <w:noProof/>
        </w:rPr>
        <w:t>yfikacji emisji wbudowanych oraz stosowania warunków wykorzystania rzeczywistych emisji</w:t>
      </w:r>
      <w:r w:rsidR="005A1CAE" w:rsidRPr="005A1CAE">
        <w:rPr>
          <w:noProof/>
        </w:rPr>
        <w:t xml:space="preserve"> w</w:t>
      </w:r>
      <w:r w:rsidR="005A1CAE">
        <w:rPr>
          <w:noProof/>
        </w:rPr>
        <w:t> </w:t>
      </w:r>
      <w:r w:rsidR="005A1CAE" w:rsidRPr="005A1CAE">
        <w:rPr>
          <w:noProof/>
        </w:rPr>
        <w:t>odn</w:t>
      </w:r>
      <w:r w:rsidRPr="005A1CAE">
        <w:rPr>
          <w:noProof/>
        </w:rPr>
        <w:t>iesieniu do odpowiednich kombinacji towarów</w:t>
      </w:r>
      <w:r w:rsidR="005A1CAE" w:rsidRPr="005A1CAE">
        <w:rPr>
          <w:noProof/>
        </w:rPr>
        <w:t xml:space="preserve"> i</w:t>
      </w:r>
      <w:r w:rsidR="005A1CAE">
        <w:rPr>
          <w:noProof/>
        </w:rPr>
        <w:t> </w:t>
      </w:r>
      <w:r w:rsidR="005A1CAE" w:rsidRPr="005A1CAE">
        <w:rPr>
          <w:noProof/>
        </w:rPr>
        <w:t>poc</w:t>
      </w:r>
      <w:r w:rsidRPr="005A1CAE">
        <w:rPr>
          <w:noProof/>
        </w:rPr>
        <w:t>hodzenia. Upoważniony zgłaszający CBAM powinien być zobowiązany wyłącznie do prowadzenia rejestrów ujawnionych informacji.</w:t>
      </w:r>
    </w:p>
    <w:p w14:paraId="6677C1F0" w14:textId="5F56B736" w:rsidR="00983EDC" w:rsidRPr="005A1CAE" w:rsidRDefault="00874ACF" w:rsidP="00874ACF">
      <w:pPr>
        <w:pStyle w:val="ManualConsidrant"/>
        <w:rPr>
          <w:noProof/>
        </w:rPr>
      </w:pPr>
      <w:r w:rsidRPr="005A1CAE">
        <w:rPr>
          <w:noProof/>
        </w:rPr>
        <w:t>(23)</w:t>
      </w:r>
      <w:r w:rsidRPr="005A1CAE">
        <w:rPr>
          <w:noProof/>
        </w:rPr>
        <w:tab/>
        <w:t>Szczególne wyzwania pojawiają się</w:t>
      </w:r>
      <w:r w:rsidR="005A1CAE" w:rsidRPr="005A1CAE">
        <w:rPr>
          <w:noProof/>
        </w:rPr>
        <w:t xml:space="preserve"> 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wyk</w:t>
      </w:r>
      <w:r w:rsidRPr="005A1CAE">
        <w:rPr>
          <w:noProof/>
        </w:rPr>
        <w:t>orzystaniem rzeczywistych emisji wbudowanych związanych</w:t>
      </w:r>
      <w:r w:rsidR="005A1CAE" w:rsidRPr="005A1CAE">
        <w:rPr>
          <w:noProof/>
        </w:rPr>
        <w:t xml:space="preserve"> z</w:t>
      </w:r>
      <w:r w:rsidR="005A1CAE">
        <w:rPr>
          <w:noProof/>
        </w:rPr>
        <w:t> </w:t>
      </w:r>
      <w:r w:rsidR="005A1CAE" w:rsidRPr="005A1CAE">
        <w:rPr>
          <w:noProof/>
        </w:rPr>
        <w:t>tow</w:t>
      </w:r>
      <w:r w:rsidRPr="005A1CAE">
        <w:rPr>
          <w:noProof/>
        </w:rPr>
        <w:t>arami niższego szczebla produkowanymi</w:t>
      </w:r>
      <w:r w:rsidR="005A1CAE" w:rsidRPr="005A1CAE">
        <w:rPr>
          <w:noProof/>
        </w:rPr>
        <w:t xml:space="preserve"> z</w:t>
      </w:r>
      <w:r w:rsidR="005A1CAE">
        <w:rPr>
          <w:noProof/>
        </w:rPr>
        <w:t> </w:t>
      </w:r>
      <w:r w:rsidR="005A1CAE" w:rsidRPr="005A1CAE">
        <w:rPr>
          <w:noProof/>
        </w:rPr>
        <w:t>wyk</w:t>
      </w:r>
      <w:r w:rsidRPr="005A1CAE">
        <w:rPr>
          <w:noProof/>
        </w:rPr>
        <w:t>orzystaniem wielu materiałów wsadowych (prekursorów) oraz</w:t>
      </w:r>
      <w:r w:rsidR="005A1CAE" w:rsidRPr="005A1CAE">
        <w:rPr>
          <w:noProof/>
        </w:rPr>
        <w:t xml:space="preserve"> w</w:t>
      </w:r>
      <w:r w:rsidR="005A1CAE">
        <w:rPr>
          <w:noProof/>
        </w:rPr>
        <w:t> </w:t>
      </w:r>
      <w:r w:rsidR="005A1CAE" w:rsidRPr="005A1CAE">
        <w:rPr>
          <w:noProof/>
        </w:rPr>
        <w:t>prz</w:t>
      </w:r>
      <w:r w:rsidRPr="005A1CAE">
        <w:rPr>
          <w:noProof/>
        </w:rPr>
        <w:t>ypadku gdy materiały te należą do różnych sektorów objętych CBAM lub do sektorów nieobjętych zakresem stosowania niniejszego rozporządzenia. Towary te mają zazwyczaj dłuższe</w:t>
      </w:r>
      <w:r w:rsidR="005A1CAE" w:rsidRPr="005A1CAE">
        <w:rPr>
          <w:noProof/>
        </w:rPr>
        <w:t xml:space="preserve"> i</w:t>
      </w:r>
      <w:r w:rsidR="005A1CAE">
        <w:rPr>
          <w:noProof/>
        </w:rPr>
        <w:t> </w:t>
      </w:r>
      <w:r w:rsidR="005A1CAE" w:rsidRPr="005A1CAE">
        <w:rPr>
          <w:noProof/>
        </w:rPr>
        <w:t>bar</w:t>
      </w:r>
      <w:r w:rsidRPr="005A1CAE">
        <w:rPr>
          <w:noProof/>
        </w:rPr>
        <w:t>dziej złożone globalne łańcuchy wartości,</w:t>
      </w:r>
      <w:r w:rsidR="005A1CAE" w:rsidRPr="005A1CAE">
        <w:rPr>
          <w:noProof/>
        </w:rPr>
        <w:t xml:space="preserve"> a</w:t>
      </w:r>
      <w:r w:rsidR="005A1CAE">
        <w:rPr>
          <w:noProof/>
        </w:rPr>
        <w:t> </w:t>
      </w:r>
      <w:r w:rsidR="005A1CAE" w:rsidRPr="005A1CAE">
        <w:rPr>
          <w:noProof/>
        </w:rPr>
        <w:t>ich</w:t>
      </w:r>
      <w:r w:rsidRPr="005A1CAE">
        <w:rPr>
          <w:noProof/>
        </w:rPr>
        <w:t xml:space="preserve"> produkcja obejmuje wiele etapów produkcji. Pozyskiwanie zweryfikowanych informacji na temat rzeczywistych emisji</w:t>
      </w:r>
      <w:r w:rsidR="005A1CAE" w:rsidRPr="005A1CAE">
        <w:rPr>
          <w:noProof/>
        </w:rPr>
        <w:t xml:space="preserve"> z</w:t>
      </w:r>
      <w:r w:rsidR="005A1CAE">
        <w:rPr>
          <w:noProof/>
        </w:rPr>
        <w:t> </w:t>
      </w:r>
      <w:r w:rsidR="005A1CAE" w:rsidRPr="005A1CAE">
        <w:rPr>
          <w:noProof/>
        </w:rPr>
        <w:t>mat</w:t>
      </w:r>
      <w:r w:rsidRPr="005A1CAE">
        <w:rPr>
          <w:noProof/>
        </w:rPr>
        <w:t>eriałów wsadowych (prekursorów) będzie trudne pod względem administracyjnym, co</w:t>
      </w:r>
      <w:r w:rsidR="005A1CAE" w:rsidRPr="005A1CAE">
        <w:rPr>
          <w:noProof/>
        </w:rPr>
        <w:t xml:space="preserve"> z</w:t>
      </w:r>
      <w:r w:rsidR="005A1CAE">
        <w:rPr>
          <w:noProof/>
        </w:rPr>
        <w:t> </w:t>
      </w:r>
      <w:r w:rsidR="005A1CAE" w:rsidRPr="005A1CAE">
        <w:rPr>
          <w:noProof/>
        </w:rPr>
        <w:t>kol</w:t>
      </w:r>
      <w:r w:rsidRPr="005A1CAE">
        <w:rPr>
          <w:noProof/>
        </w:rPr>
        <w:t>ei zniechęci do wykorzystania rzeczywistych emisji. Aby sprostać tym wyzwaniom, należy ułatwić stosowanie wartości domyślnych odnoszących się do tych konkretnych towarów przez niestosowanie narzutu, bez uszczerbku dla integralności środowiskowej CBAM.</w:t>
      </w:r>
    </w:p>
    <w:p w14:paraId="1B57FC1E" w14:textId="15C2F8BC" w:rsidR="002F7B93" w:rsidRPr="005A1CAE" w:rsidRDefault="00874ACF" w:rsidP="00874ACF">
      <w:pPr>
        <w:pStyle w:val="ManualConsidrant"/>
        <w:rPr>
          <w:noProof/>
        </w:rPr>
      </w:pPr>
      <w:r w:rsidRPr="005A1CAE">
        <w:rPr>
          <w:noProof/>
        </w:rPr>
        <w:t>(24)</w:t>
      </w:r>
      <w:r w:rsidRPr="005A1CAE">
        <w:rPr>
          <w:noProof/>
        </w:rPr>
        <w:tab/>
        <w:t>Ponieważ poświadczenie dokumentacji dotyczącej opłat emisyjnych może mieć miejsce przed przywozem towaru do Unii, nie należy wymagać, aby osoba poświadczająca informacje zawarte</w:t>
      </w:r>
      <w:r w:rsidR="005A1CAE" w:rsidRPr="005A1CAE">
        <w:rPr>
          <w:noProof/>
        </w:rPr>
        <w:t xml:space="preserve"> w</w:t>
      </w:r>
      <w:r w:rsidR="005A1CAE">
        <w:rPr>
          <w:noProof/>
        </w:rPr>
        <w:t> </w:t>
      </w:r>
      <w:r w:rsidR="005A1CAE" w:rsidRPr="005A1CAE">
        <w:rPr>
          <w:noProof/>
        </w:rPr>
        <w:t>dok</w:t>
      </w:r>
      <w:r w:rsidRPr="005A1CAE">
        <w:rPr>
          <w:noProof/>
        </w:rPr>
        <w:t>umentacji dotyczącej opłat emisyjnych była niezależna od upoważnionego zgłaszającego CBAM.</w:t>
      </w:r>
    </w:p>
    <w:p w14:paraId="196FBBE7" w14:textId="3CE4D238" w:rsidR="00AF5F7E" w:rsidRPr="005A1CAE" w:rsidRDefault="00874ACF" w:rsidP="00874ACF">
      <w:pPr>
        <w:pStyle w:val="ManualConsidrant"/>
        <w:rPr>
          <w:noProof/>
        </w:rPr>
      </w:pPr>
      <w:r w:rsidRPr="005A1CAE">
        <w:rPr>
          <w:noProof/>
        </w:rPr>
        <w:t>(25)</w:t>
      </w:r>
      <w:r w:rsidRPr="005A1CAE">
        <w:rPr>
          <w:noProof/>
        </w:rPr>
        <w:tab/>
        <w:t>Ponieważ odliczenie opłaty emisyjnej faktycznie uiszczonej</w:t>
      </w:r>
      <w:r w:rsidR="005A1CAE" w:rsidRPr="005A1CAE">
        <w:rPr>
          <w:noProof/>
        </w:rPr>
        <w:t xml:space="preserve"> w</w:t>
      </w:r>
      <w:r w:rsidR="005A1CAE">
        <w:rPr>
          <w:noProof/>
        </w:rPr>
        <w:t> </w:t>
      </w:r>
      <w:r w:rsidR="005A1CAE" w:rsidRPr="005A1CAE">
        <w:rPr>
          <w:noProof/>
        </w:rPr>
        <w:t>pań</w:t>
      </w:r>
      <w:r w:rsidRPr="005A1CAE">
        <w:rPr>
          <w:noProof/>
        </w:rPr>
        <w:t>stwie trzecim wymaga, aby emisje wbudowane opierały się na rzeczywistych zweryfikowanych emisjach,</w:t>
      </w:r>
      <w:r w:rsidR="005A1CAE" w:rsidRPr="005A1CAE">
        <w:rPr>
          <w:noProof/>
        </w:rPr>
        <w:t xml:space="preserve"> a</w:t>
      </w:r>
      <w:r w:rsidR="005A1CAE">
        <w:rPr>
          <w:noProof/>
        </w:rPr>
        <w:t> </w:t>
      </w:r>
      <w:r w:rsidR="005A1CAE" w:rsidRPr="005A1CAE">
        <w:rPr>
          <w:noProof/>
        </w:rPr>
        <w:t>poś</w:t>
      </w:r>
      <w:r w:rsidRPr="005A1CAE">
        <w:rPr>
          <w:noProof/>
        </w:rPr>
        <w:t>wiadczenie dokumentacji dotyczącej opłat emisyjnych musi opierać się na uprzedniej weryfikacji emisji wbudowanych, weryfikacja emisji wbudowanych</w:t>
      </w:r>
      <w:r w:rsidR="005A1CAE" w:rsidRPr="005A1CAE">
        <w:rPr>
          <w:noProof/>
        </w:rPr>
        <w:t xml:space="preserve"> i</w:t>
      </w:r>
      <w:r w:rsidR="005A1CAE">
        <w:rPr>
          <w:noProof/>
        </w:rPr>
        <w:t> </w:t>
      </w:r>
      <w:r w:rsidR="005A1CAE" w:rsidRPr="005A1CAE">
        <w:rPr>
          <w:noProof/>
        </w:rPr>
        <w:t>poś</w:t>
      </w:r>
      <w:r w:rsidRPr="005A1CAE">
        <w:rPr>
          <w:noProof/>
        </w:rPr>
        <w:t>wiadczenie opłaty emisyjnej uiszczonej za te emisje są ściśle powiązane</w:t>
      </w:r>
      <w:r w:rsidR="005A1CAE" w:rsidRPr="005A1CAE">
        <w:rPr>
          <w:noProof/>
        </w:rPr>
        <w:t xml:space="preserve"> i</w:t>
      </w:r>
      <w:r w:rsidR="005A1CAE">
        <w:rPr>
          <w:noProof/>
        </w:rPr>
        <w:t> </w:t>
      </w:r>
      <w:r w:rsidR="005A1CAE" w:rsidRPr="005A1CAE">
        <w:rPr>
          <w:noProof/>
        </w:rPr>
        <w:t>mog</w:t>
      </w:r>
      <w:r w:rsidRPr="005A1CAE">
        <w:rPr>
          <w:noProof/>
        </w:rPr>
        <w:t xml:space="preserve">ą </w:t>
      </w:r>
      <w:r w:rsidRPr="005A1CAE">
        <w:rPr>
          <w:noProof/>
        </w:rPr>
        <w:lastRenderedPageBreak/>
        <w:t>ewentualnie zostać przeprowadzone przez tę samą osobę. Poświadczenie opłaty emisyjnej powinno ponadto podlegać kontroli</w:t>
      </w:r>
      <w:r w:rsidR="005A1CAE" w:rsidRPr="005A1CAE">
        <w:rPr>
          <w:noProof/>
        </w:rPr>
        <w:t xml:space="preserve"> i</w:t>
      </w:r>
      <w:r w:rsidR="005A1CAE">
        <w:rPr>
          <w:noProof/>
        </w:rPr>
        <w:t> </w:t>
      </w:r>
      <w:r w:rsidR="005A1CAE" w:rsidRPr="005A1CAE">
        <w:rPr>
          <w:noProof/>
        </w:rPr>
        <w:t>nad</w:t>
      </w:r>
      <w:r w:rsidRPr="005A1CAE">
        <w:rPr>
          <w:noProof/>
        </w:rPr>
        <w:t>zorowi podobnym do kontroli</w:t>
      </w:r>
      <w:r w:rsidR="005A1CAE" w:rsidRPr="005A1CAE">
        <w:rPr>
          <w:noProof/>
        </w:rPr>
        <w:t xml:space="preserve"> i</w:t>
      </w:r>
      <w:r w:rsidR="005A1CAE">
        <w:rPr>
          <w:noProof/>
        </w:rPr>
        <w:t> </w:t>
      </w:r>
      <w:r w:rsidR="005A1CAE" w:rsidRPr="005A1CAE">
        <w:rPr>
          <w:noProof/>
        </w:rPr>
        <w:t>nad</w:t>
      </w:r>
      <w:r w:rsidRPr="005A1CAE">
        <w:rPr>
          <w:noProof/>
        </w:rPr>
        <w:t>zoru sprawowanych</w:t>
      </w:r>
      <w:r w:rsidR="005A1CAE" w:rsidRPr="005A1CAE">
        <w:rPr>
          <w:noProof/>
        </w:rPr>
        <w:t xml:space="preserve"> w</w:t>
      </w:r>
      <w:r w:rsidR="005A1CAE">
        <w:rPr>
          <w:noProof/>
        </w:rPr>
        <w:t> </w:t>
      </w:r>
      <w:r w:rsidR="005A1CAE" w:rsidRPr="005A1CAE">
        <w:rPr>
          <w:noProof/>
        </w:rPr>
        <w:t>odn</w:t>
      </w:r>
      <w:r w:rsidRPr="005A1CAE">
        <w:rPr>
          <w:noProof/>
        </w:rPr>
        <w:t>iesieniu do weryfikacji emisji. Należy zatem doprecyzować, że Komisja jest uprawniona do przyjmowania aktów wykonawczych dotyczących warunków ustalania kwalifikacji osoby odpowiedzialnej za poświadczanie, za pośrednictwem rejestru CBAM, informacji zawartych</w:t>
      </w:r>
      <w:r w:rsidR="005A1CAE" w:rsidRPr="005A1CAE">
        <w:rPr>
          <w:noProof/>
        </w:rPr>
        <w:t xml:space="preserve"> w</w:t>
      </w:r>
      <w:r w:rsidR="005A1CAE">
        <w:rPr>
          <w:noProof/>
        </w:rPr>
        <w:t> </w:t>
      </w:r>
      <w:r w:rsidR="005A1CAE" w:rsidRPr="005A1CAE">
        <w:rPr>
          <w:noProof/>
        </w:rPr>
        <w:t>dok</w:t>
      </w:r>
      <w:r w:rsidRPr="005A1CAE">
        <w:rPr>
          <w:noProof/>
        </w:rPr>
        <w:t>umentacji dotyczącej opłat emisyjnych,</w:t>
      </w:r>
      <w:r w:rsidR="005A1CAE" w:rsidRPr="005A1CAE">
        <w:rPr>
          <w:noProof/>
        </w:rPr>
        <w:t xml:space="preserve"> w</w:t>
      </w:r>
      <w:r w:rsidR="005A1CAE">
        <w:rPr>
          <w:noProof/>
        </w:rPr>
        <w:t> </w:t>
      </w:r>
      <w:r w:rsidR="005A1CAE" w:rsidRPr="005A1CAE">
        <w:rPr>
          <w:noProof/>
        </w:rPr>
        <w:t>tym</w:t>
      </w:r>
      <w:r w:rsidRPr="005A1CAE">
        <w:rPr>
          <w:noProof/>
        </w:rPr>
        <w:t xml:space="preserve"> przyznawania akredytacji przez krajową jednostkę akredytującą, oraz obejmujących niezbędne procedury certyfikacji</w:t>
      </w:r>
      <w:r w:rsidR="005A1CAE" w:rsidRPr="005A1CAE">
        <w:rPr>
          <w:noProof/>
        </w:rPr>
        <w:t xml:space="preserve"> i</w:t>
      </w:r>
      <w:r w:rsidR="005A1CAE">
        <w:rPr>
          <w:noProof/>
        </w:rPr>
        <w:t> </w:t>
      </w:r>
      <w:r w:rsidR="005A1CAE" w:rsidRPr="005A1CAE">
        <w:rPr>
          <w:noProof/>
        </w:rPr>
        <w:t>wym</w:t>
      </w:r>
      <w:r w:rsidRPr="005A1CAE">
        <w:rPr>
          <w:noProof/>
        </w:rPr>
        <w:t>ianę informacji.</w:t>
      </w:r>
    </w:p>
    <w:p w14:paraId="6E885ED0" w14:textId="7A1E824F" w:rsidR="00AF5F7E" w:rsidRPr="005A1CAE" w:rsidRDefault="00874ACF" w:rsidP="00874ACF">
      <w:pPr>
        <w:pStyle w:val="ManualConsidrant"/>
        <w:rPr>
          <w:noProof/>
        </w:rPr>
      </w:pPr>
      <w:r w:rsidRPr="005A1CAE">
        <w:rPr>
          <w:noProof/>
        </w:rPr>
        <w:t>(26)</w:t>
      </w:r>
      <w:r w:rsidRPr="005A1CAE">
        <w:rPr>
          <w:noProof/>
        </w:rPr>
        <w:tab/>
        <w:t>Aby ułatwić weryfikację emisji wbudowanych</w:t>
      </w:r>
      <w:r w:rsidR="005A1CAE" w:rsidRPr="005A1CAE">
        <w:rPr>
          <w:noProof/>
        </w:rPr>
        <w:t xml:space="preserve"> w</w:t>
      </w:r>
      <w:r w:rsidR="005A1CAE">
        <w:rPr>
          <w:noProof/>
        </w:rPr>
        <w:t> </w:t>
      </w:r>
      <w:r w:rsidR="005A1CAE" w:rsidRPr="005A1CAE">
        <w:rPr>
          <w:noProof/>
        </w:rPr>
        <w:t>prz</w:t>
      </w:r>
      <w:r w:rsidRPr="005A1CAE">
        <w:rPr>
          <w:noProof/>
        </w:rPr>
        <w:t>ypadku towarów złożonych, należy doprecyzować, że operator powinien mieć możliwość wymiany informacji,</w:t>
      </w:r>
      <w:r w:rsidR="005A1CAE" w:rsidRPr="005A1CAE">
        <w:rPr>
          <w:noProof/>
        </w:rPr>
        <w:t xml:space="preserve"> w</w:t>
      </w:r>
      <w:r w:rsidR="005A1CAE">
        <w:rPr>
          <w:noProof/>
        </w:rPr>
        <w:t> </w:t>
      </w:r>
      <w:r w:rsidR="005A1CAE" w:rsidRPr="005A1CAE">
        <w:rPr>
          <w:noProof/>
        </w:rPr>
        <w:t>tym</w:t>
      </w:r>
      <w:r w:rsidRPr="005A1CAE">
        <w:rPr>
          <w:noProof/>
        </w:rPr>
        <w:t xml:space="preserve"> informacji na temat weryfikacji emisji wbudowanych związanych</w:t>
      </w:r>
      <w:r w:rsidR="005A1CAE" w:rsidRPr="005A1CAE">
        <w:rPr>
          <w:noProof/>
        </w:rPr>
        <w:t xml:space="preserve"> z</w:t>
      </w:r>
      <w:r w:rsidR="005A1CAE">
        <w:rPr>
          <w:noProof/>
        </w:rPr>
        <w:t> </w:t>
      </w:r>
      <w:r w:rsidR="005A1CAE" w:rsidRPr="005A1CAE">
        <w:rPr>
          <w:noProof/>
        </w:rPr>
        <w:t>mat</w:t>
      </w:r>
      <w:r w:rsidRPr="005A1CAE">
        <w:rPr>
          <w:noProof/>
        </w:rPr>
        <w:t>eriałami wsadowymi (prekursorami),</w:t>
      </w:r>
      <w:r w:rsidR="005A1CAE" w:rsidRPr="005A1CAE">
        <w:rPr>
          <w:noProof/>
        </w:rPr>
        <w:t xml:space="preserve"> z</w:t>
      </w:r>
      <w:r w:rsidR="005A1CAE">
        <w:rPr>
          <w:noProof/>
        </w:rPr>
        <w:t> </w:t>
      </w:r>
      <w:r w:rsidR="005A1CAE" w:rsidRPr="005A1CAE">
        <w:rPr>
          <w:noProof/>
        </w:rPr>
        <w:t>inn</w:t>
      </w:r>
      <w:r w:rsidRPr="005A1CAE">
        <w:rPr>
          <w:noProof/>
        </w:rPr>
        <w:t>ym operatorem.</w:t>
      </w:r>
    </w:p>
    <w:p w14:paraId="00AA3FDC" w14:textId="32E9DB2A" w:rsidR="00AF5F7E" w:rsidRPr="005A1CAE" w:rsidRDefault="00874ACF" w:rsidP="00874ACF">
      <w:pPr>
        <w:pStyle w:val="ManualConsidrant"/>
        <w:rPr>
          <w:noProof/>
        </w:rPr>
      </w:pPr>
      <w:r w:rsidRPr="005A1CAE">
        <w:rPr>
          <w:noProof/>
        </w:rPr>
        <w:t>(27)</w:t>
      </w:r>
      <w:r w:rsidRPr="005A1CAE">
        <w:rPr>
          <w:noProof/>
        </w:rPr>
        <w:tab/>
        <w:t>Aby zapewnić zdolność finansową wnioskodawcy lub upoważnionego zgłaszającego CBAM, właściwym organom należy umożliwić wymaganie przedłożenia gwarancji</w:t>
      </w:r>
      <w:r w:rsidR="005A1CAE" w:rsidRPr="005A1CAE">
        <w:rPr>
          <w:noProof/>
        </w:rPr>
        <w:t xml:space="preserve"> w</w:t>
      </w:r>
      <w:r w:rsidR="005A1CAE">
        <w:rPr>
          <w:noProof/>
        </w:rPr>
        <w:t> </w:t>
      </w:r>
      <w:r w:rsidR="005A1CAE" w:rsidRPr="005A1CAE">
        <w:rPr>
          <w:noProof/>
        </w:rPr>
        <w:t>prz</w:t>
      </w:r>
      <w:r w:rsidRPr="005A1CAE">
        <w:rPr>
          <w:noProof/>
        </w:rPr>
        <w:t>ypadkach innych niż sytuacja,</w:t>
      </w:r>
      <w:r w:rsidR="005A1CAE" w:rsidRPr="005A1CAE">
        <w:rPr>
          <w:noProof/>
        </w:rPr>
        <w:t xml:space="preserve"> w</w:t>
      </w:r>
      <w:r w:rsidR="005A1CAE">
        <w:rPr>
          <w:noProof/>
        </w:rPr>
        <w:t> </w:t>
      </w:r>
      <w:r w:rsidR="005A1CAE" w:rsidRPr="005A1CAE">
        <w:rPr>
          <w:noProof/>
        </w:rPr>
        <w:t>któ</w:t>
      </w:r>
      <w:r w:rsidRPr="005A1CAE">
        <w:rPr>
          <w:noProof/>
        </w:rPr>
        <w:t>rej wnioskodawca nie prowadził działalności gospodarczej przez okres dwóch lat obrotowych poprzedzających rok złożenia wniosku. Aby zagwarantować właściwy pobór dochodów, należy również umożliwić właściwym organom korzystanie ze złożonej gwarancji,</w:t>
      </w:r>
      <w:r w:rsidR="005A1CAE" w:rsidRPr="005A1CAE">
        <w:rPr>
          <w:noProof/>
        </w:rPr>
        <w:t xml:space="preserve"> w</w:t>
      </w:r>
      <w:r w:rsidR="005A1CAE">
        <w:rPr>
          <w:noProof/>
        </w:rPr>
        <w:t> </w:t>
      </w:r>
      <w:r w:rsidR="005A1CAE" w:rsidRPr="005A1CAE">
        <w:rPr>
          <w:noProof/>
        </w:rPr>
        <w:t>prz</w:t>
      </w:r>
      <w:r w:rsidRPr="005A1CAE">
        <w:rPr>
          <w:noProof/>
        </w:rPr>
        <w:t>ypadku gdy upoważniony zgłaszający CBAM nie wypełnia swojego obowiązku posiadania na koniec każdego kwartału liczby certyfikatów CBAM odpowiadającej 50</w:t>
      </w:r>
      <w:r w:rsidR="005A1CAE" w:rsidRPr="005A1CAE">
        <w:rPr>
          <w:noProof/>
        </w:rPr>
        <w:t> </w:t>
      </w:r>
      <w:r w:rsidRPr="005A1CAE">
        <w:rPr>
          <w:noProof/>
        </w:rPr>
        <w:t>% emisji wbudowanych związanych</w:t>
      </w:r>
      <w:r w:rsidR="005A1CAE" w:rsidRPr="005A1CAE">
        <w:rPr>
          <w:noProof/>
        </w:rPr>
        <w:t xml:space="preserve"> z</w:t>
      </w:r>
      <w:r w:rsidR="005A1CAE">
        <w:rPr>
          <w:noProof/>
        </w:rPr>
        <w:t> </w:t>
      </w:r>
      <w:r w:rsidR="005A1CAE" w:rsidRPr="005A1CAE">
        <w:rPr>
          <w:noProof/>
        </w:rPr>
        <w:t>tow</w:t>
      </w:r>
      <w:r w:rsidRPr="005A1CAE">
        <w:rPr>
          <w:noProof/>
        </w:rPr>
        <w:t>arami, które przywiózł do Unii od początku roku.</w:t>
      </w:r>
    </w:p>
    <w:p w14:paraId="1E609CC9" w14:textId="6A5AD638" w:rsidR="00AF5F7E" w:rsidRPr="005A1CAE" w:rsidRDefault="00874ACF" w:rsidP="00874ACF">
      <w:pPr>
        <w:pStyle w:val="ManualConsidrant"/>
        <w:rPr>
          <w:noProof/>
        </w:rPr>
      </w:pPr>
      <w:r w:rsidRPr="005A1CAE">
        <w:rPr>
          <w:noProof/>
        </w:rPr>
        <w:t>(28)</w:t>
      </w:r>
      <w:r w:rsidRPr="005A1CAE">
        <w:rPr>
          <w:noProof/>
        </w:rPr>
        <w:tab/>
        <w:t>Należy doprecyzować, że aby umożliwić krajowym jednostkom akredytującym, Komisji</w:t>
      </w:r>
      <w:r w:rsidR="005A1CAE" w:rsidRPr="005A1CAE">
        <w:rPr>
          <w:noProof/>
        </w:rPr>
        <w:t xml:space="preserve"> i</w:t>
      </w:r>
      <w:r w:rsidR="005A1CAE">
        <w:rPr>
          <w:noProof/>
        </w:rPr>
        <w:t> </w:t>
      </w:r>
      <w:r w:rsidR="005A1CAE" w:rsidRPr="005A1CAE">
        <w:rPr>
          <w:noProof/>
        </w:rPr>
        <w:t>wła</w:t>
      </w:r>
      <w:r w:rsidRPr="005A1CAE">
        <w:rPr>
          <w:noProof/>
        </w:rPr>
        <w:t>ściwym organom kontrolę</w:t>
      </w:r>
      <w:r w:rsidR="005A1CAE" w:rsidRPr="005A1CAE">
        <w:rPr>
          <w:noProof/>
        </w:rPr>
        <w:t xml:space="preserve"> i</w:t>
      </w:r>
      <w:r w:rsidR="005A1CAE">
        <w:rPr>
          <w:noProof/>
        </w:rPr>
        <w:t> </w:t>
      </w:r>
      <w:r w:rsidR="005A1CAE" w:rsidRPr="005A1CAE">
        <w:rPr>
          <w:noProof/>
        </w:rPr>
        <w:t>mon</w:t>
      </w:r>
      <w:r w:rsidRPr="005A1CAE">
        <w:rPr>
          <w:noProof/>
        </w:rPr>
        <w:t>itorowanie weryfikatorów, konieczne jest ustanowienie procedur weryfikacji, które mają być stosowane przez weryfikatorów.</w:t>
      </w:r>
    </w:p>
    <w:p w14:paraId="7B6B97E5" w14:textId="37F908A7" w:rsidR="00AF5F7E" w:rsidRPr="005A1CAE" w:rsidRDefault="00874ACF" w:rsidP="00874ACF">
      <w:pPr>
        <w:pStyle w:val="ManualConsidrant"/>
        <w:rPr>
          <w:noProof/>
        </w:rPr>
      </w:pPr>
      <w:r w:rsidRPr="005A1CAE">
        <w:rPr>
          <w:noProof/>
        </w:rPr>
        <w:t>(29)</w:t>
      </w:r>
      <w:r w:rsidRPr="005A1CAE">
        <w:rPr>
          <w:noProof/>
        </w:rPr>
        <w:tab/>
        <w:t>Aby CBAM zachował skuteczność jako środek zapobiegający ucieczce emisji, Komisja ma obliczać cenę certyfikatów CBAM na podstawie cotygodniowych średnich cen uprawnień sprzedawanych na aukcji</w:t>
      </w:r>
      <w:r w:rsidR="005A1CAE" w:rsidRPr="005A1CAE">
        <w:rPr>
          <w:noProof/>
        </w:rPr>
        <w:t xml:space="preserve"> w</w:t>
      </w:r>
      <w:r w:rsidR="005A1CAE">
        <w:rPr>
          <w:noProof/>
        </w:rPr>
        <w:t> </w:t>
      </w:r>
      <w:r w:rsidR="005A1CAE" w:rsidRPr="005A1CAE">
        <w:rPr>
          <w:noProof/>
        </w:rPr>
        <w:t>ram</w:t>
      </w:r>
      <w:r w:rsidRPr="005A1CAE">
        <w:rPr>
          <w:noProof/>
        </w:rPr>
        <w:t>ach unijnego systemu handlu uprawnieniami do emisji („EU ETS”). Aby zapewnić stałe dokładne odzwierciedlenie cen ETS</w:t>
      </w:r>
      <w:r w:rsidR="005A1CAE" w:rsidRPr="005A1CAE">
        <w:rPr>
          <w:noProof/>
        </w:rPr>
        <w:t xml:space="preserve"> w</w:t>
      </w:r>
      <w:r w:rsidR="005A1CAE">
        <w:rPr>
          <w:noProof/>
        </w:rPr>
        <w:t> </w:t>
      </w:r>
      <w:r w:rsidR="005A1CAE" w:rsidRPr="005A1CAE">
        <w:rPr>
          <w:noProof/>
        </w:rPr>
        <w:t>cen</w:t>
      </w:r>
      <w:r w:rsidRPr="005A1CAE">
        <w:rPr>
          <w:noProof/>
        </w:rPr>
        <w:t>ie certyfikatu CBAM, należy ustanowić szczegółową zasadę obliczania dla tygodni kalendarzowych,</w:t>
      </w:r>
      <w:r w:rsidR="005A1CAE" w:rsidRPr="005A1CAE">
        <w:rPr>
          <w:noProof/>
        </w:rPr>
        <w:t xml:space="preserve"> w</w:t>
      </w:r>
      <w:r w:rsidR="005A1CAE">
        <w:rPr>
          <w:noProof/>
        </w:rPr>
        <w:t> </w:t>
      </w:r>
      <w:r w:rsidR="005A1CAE" w:rsidRPr="005A1CAE">
        <w:rPr>
          <w:noProof/>
        </w:rPr>
        <w:t>któ</w:t>
      </w:r>
      <w:r w:rsidRPr="005A1CAE">
        <w:rPr>
          <w:noProof/>
        </w:rPr>
        <w:t>rych na platformie aukcyjnej odbywa się tylko jedna aukcja.</w:t>
      </w:r>
    </w:p>
    <w:p w14:paraId="69AF1F77" w14:textId="0B9EF07D" w:rsidR="00AF5F7E" w:rsidRPr="005A1CAE" w:rsidRDefault="00874ACF" w:rsidP="00874ACF">
      <w:pPr>
        <w:pStyle w:val="ManualConsidrant"/>
        <w:rPr>
          <w:noProof/>
        </w:rPr>
      </w:pPr>
      <w:r w:rsidRPr="005A1CAE">
        <w:rPr>
          <w:noProof/>
        </w:rPr>
        <w:t>(30)</w:t>
      </w:r>
      <w:r w:rsidRPr="005A1CAE">
        <w:rPr>
          <w:noProof/>
        </w:rPr>
        <w:tab/>
        <w:t>Począwszy od</w:t>
      </w:r>
      <w:r w:rsidR="005A1CAE" w:rsidRPr="005A1CAE">
        <w:rPr>
          <w:noProof/>
        </w:rPr>
        <w:t> </w:t>
      </w:r>
      <w:r w:rsidRPr="005A1CAE">
        <w:rPr>
          <w:noProof/>
        </w:rPr>
        <w:t>2027</w:t>
      </w:r>
      <w:r w:rsidR="005A1CAE" w:rsidRPr="005A1CAE">
        <w:rPr>
          <w:noProof/>
        </w:rPr>
        <w:t> </w:t>
      </w:r>
      <w:r w:rsidRPr="005A1CAE">
        <w:rPr>
          <w:noProof/>
        </w:rPr>
        <w:t>r. upoważnieni zgłaszający CBAM powyżej jednolitego progu masy mają zapewnić, aby na koniec każdego kwartału liczba certyfikatów CBAM na ich rachunku</w:t>
      </w:r>
      <w:r w:rsidR="005A1CAE" w:rsidRPr="005A1CAE">
        <w:rPr>
          <w:noProof/>
        </w:rPr>
        <w:t xml:space="preserve"> w</w:t>
      </w:r>
      <w:r w:rsidR="005A1CAE">
        <w:rPr>
          <w:noProof/>
        </w:rPr>
        <w:t> </w:t>
      </w:r>
      <w:r w:rsidR="005A1CAE" w:rsidRPr="005A1CAE">
        <w:rPr>
          <w:noProof/>
        </w:rPr>
        <w:t>rej</w:t>
      </w:r>
      <w:r w:rsidRPr="005A1CAE">
        <w:rPr>
          <w:noProof/>
        </w:rPr>
        <w:t>estrze CBAM odpowiadała co najmniej 50</w:t>
      </w:r>
      <w:r w:rsidR="005A1CAE" w:rsidRPr="005A1CAE">
        <w:rPr>
          <w:noProof/>
        </w:rPr>
        <w:t> </w:t>
      </w:r>
      <w:r w:rsidRPr="005A1CAE">
        <w:rPr>
          <w:noProof/>
        </w:rPr>
        <w:t>% emisji wbudowanych związanych</w:t>
      </w:r>
      <w:r w:rsidR="005A1CAE" w:rsidRPr="005A1CAE">
        <w:rPr>
          <w:noProof/>
        </w:rPr>
        <w:t xml:space="preserve"> z</w:t>
      </w:r>
      <w:r w:rsidR="005A1CAE">
        <w:rPr>
          <w:noProof/>
        </w:rPr>
        <w:t> </w:t>
      </w:r>
      <w:r w:rsidR="005A1CAE" w:rsidRPr="005A1CAE">
        <w:rPr>
          <w:noProof/>
        </w:rPr>
        <w:t>prz</w:t>
      </w:r>
      <w:r w:rsidRPr="005A1CAE">
        <w:rPr>
          <w:noProof/>
        </w:rPr>
        <w:t>ywożonymi towarami od początku tego roku. Ponieważ zasada ta opiera się na cyklu rocznym, na którym opiera się limit odkupu certyfikatów CBAM,</w:t>
      </w:r>
      <w:r w:rsidR="005A1CAE" w:rsidRPr="005A1CAE">
        <w:rPr>
          <w:noProof/>
        </w:rPr>
        <w:t xml:space="preserve"> z</w:t>
      </w:r>
      <w:r w:rsidR="005A1CAE">
        <w:rPr>
          <w:noProof/>
        </w:rPr>
        <w:t> </w:t>
      </w:r>
      <w:r w:rsidR="005A1CAE" w:rsidRPr="005A1CAE">
        <w:rPr>
          <w:noProof/>
        </w:rPr>
        <w:t>lic</w:t>
      </w:r>
      <w:r w:rsidRPr="005A1CAE">
        <w:rPr>
          <w:noProof/>
        </w:rPr>
        <w:t>zby certyfikatów CBAM, których dotyczą obliczenia kwartalne, należy wyłączyć certyfikaty zakupione</w:t>
      </w:r>
      <w:r w:rsidR="005A1CAE" w:rsidRPr="005A1CAE">
        <w:rPr>
          <w:noProof/>
        </w:rPr>
        <w:t xml:space="preserve"> w</w:t>
      </w:r>
      <w:r w:rsidR="005A1CAE">
        <w:rPr>
          <w:noProof/>
        </w:rPr>
        <w:t> </w:t>
      </w:r>
      <w:r w:rsidR="005A1CAE" w:rsidRPr="005A1CAE">
        <w:rPr>
          <w:noProof/>
        </w:rPr>
        <w:t>lat</w:t>
      </w:r>
      <w:r w:rsidRPr="005A1CAE">
        <w:rPr>
          <w:noProof/>
        </w:rPr>
        <w:t>ach innych niż ten rok kalendarzowy.</w:t>
      </w:r>
    </w:p>
    <w:p w14:paraId="7E5716C8" w14:textId="761A4D7B" w:rsidR="00AF5F7E" w:rsidRPr="005A1CAE" w:rsidRDefault="00874ACF" w:rsidP="00874ACF">
      <w:pPr>
        <w:pStyle w:val="ManualConsidrant"/>
        <w:rPr>
          <w:noProof/>
        </w:rPr>
      </w:pPr>
      <w:r w:rsidRPr="005A1CAE">
        <w:rPr>
          <w:noProof/>
        </w:rPr>
        <w:t>(31)</w:t>
      </w:r>
      <w:r w:rsidRPr="005A1CAE">
        <w:rPr>
          <w:noProof/>
        </w:rPr>
        <w:tab/>
        <w:t>Aby usprawnić proces odkupu, zwiększyć efektywność tego procesu</w:t>
      </w:r>
      <w:r w:rsidR="005A1CAE" w:rsidRPr="005A1CAE">
        <w:rPr>
          <w:noProof/>
        </w:rPr>
        <w:t xml:space="preserve"> i</w:t>
      </w:r>
      <w:r w:rsidR="005A1CAE">
        <w:rPr>
          <w:noProof/>
        </w:rPr>
        <w:t> </w:t>
      </w:r>
      <w:r w:rsidR="005A1CAE" w:rsidRPr="005A1CAE">
        <w:rPr>
          <w:noProof/>
        </w:rPr>
        <w:t>zmn</w:t>
      </w:r>
      <w:r w:rsidRPr="005A1CAE">
        <w:rPr>
          <w:noProof/>
        </w:rPr>
        <w:t>iejszyć obciążenie administracyjne,</w:t>
      </w:r>
      <w:r w:rsidR="005A1CAE" w:rsidRPr="005A1CAE">
        <w:rPr>
          <w:noProof/>
        </w:rPr>
        <w:t xml:space="preserve"> a</w:t>
      </w:r>
      <w:r w:rsidR="005A1CAE">
        <w:rPr>
          <w:noProof/>
        </w:rPr>
        <w:t> </w:t>
      </w:r>
      <w:r w:rsidR="005A1CAE" w:rsidRPr="005A1CAE">
        <w:rPr>
          <w:noProof/>
        </w:rPr>
        <w:t>jed</w:t>
      </w:r>
      <w:r w:rsidRPr="005A1CAE">
        <w:rPr>
          <w:noProof/>
        </w:rPr>
        <w:t>nocześnie utrzymać integralność bezpieczeństwa</w:t>
      </w:r>
      <w:r w:rsidR="005A1CAE" w:rsidRPr="005A1CAE">
        <w:rPr>
          <w:noProof/>
        </w:rPr>
        <w:t xml:space="preserve"> i</w:t>
      </w:r>
      <w:r w:rsidR="005A1CAE">
        <w:rPr>
          <w:noProof/>
        </w:rPr>
        <w:t> </w:t>
      </w:r>
      <w:r w:rsidR="005A1CAE" w:rsidRPr="005A1CAE">
        <w:rPr>
          <w:noProof/>
        </w:rPr>
        <w:t>sol</w:t>
      </w:r>
      <w:r w:rsidRPr="005A1CAE">
        <w:rPr>
          <w:noProof/>
        </w:rPr>
        <w:t>idny nadzór, właściwy organ powinien mieć możliwość bezpośredniego odkupu nadwyżkowych certyfikatów CBAM od upoważnionego zgłaszającego CBAM.</w:t>
      </w:r>
    </w:p>
    <w:p w14:paraId="6E11EED7" w14:textId="79F3F9A0" w:rsidR="00AF5F7E" w:rsidRPr="005A1CAE" w:rsidRDefault="00874ACF" w:rsidP="00874ACF">
      <w:pPr>
        <w:pStyle w:val="ManualConsidrant"/>
        <w:rPr>
          <w:noProof/>
        </w:rPr>
      </w:pPr>
      <w:r w:rsidRPr="005A1CAE">
        <w:rPr>
          <w:noProof/>
        </w:rPr>
        <w:t>(32)</w:t>
      </w:r>
      <w:r w:rsidRPr="005A1CAE">
        <w:rPr>
          <w:noProof/>
        </w:rPr>
        <w:tab/>
        <w:t>W przypadku niektórych towarów, np. zawartości klinkieru</w:t>
      </w:r>
      <w:r w:rsidR="005A1CAE" w:rsidRPr="005A1CAE">
        <w:rPr>
          <w:noProof/>
        </w:rPr>
        <w:t xml:space="preserve"> w</w:t>
      </w:r>
      <w:r w:rsidR="005A1CAE">
        <w:rPr>
          <w:noProof/>
        </w:rPr>
        <w:t> </w:t>
      </w:r>
      <w:r w:rsidR="005A1CAE" w:rsidRPr="005A1CAE">
        <w:rPr>
          <w:noProof/>
        </w:rPr>
        <w:t>cem</w:t>
      </w:r>
      <w:r w:rsidRPr="005A1CAE">
        <w:rPr>
          <w:noProof/>
        </w:rPr>
        <w:t>encie, zawartości azotu</w:t>
      </w:r>
      <w:r w:rsidR="005A1CAE" w:rsidRPr="005A1CAE">
        <w:rPr>
          <w:noProof/>
        </w:rPr>
        <w:t xml:space="preserve"> w</w:t>
      </w:r>
      <w:r w:rsidR="005A1CAE">
        <w:rPr>
          <w:noProof/>
        </w:rPr>
        <w:t> </w:t>
      </w:r>
      <w:r w:rsidR="005A1CAE" w:rsidRPr="005A1CAE">
        <w:rPr>
          <w:noProof/>
        </w:rPr>
        <w:t>naw</w:t>
      </w:r>
      <w:r w:rsidRPr="005A1CAE">
        <w:rPr>
          <w:noProof/>
        </w:rPr>
        <w:t>ozach lub pierwiastków stopowych</w:t>
      </w:r>
      <w:r w:rsidR="005A1CAE" w:rsidRPr="005A1CAE">
        <w:rPr>
          <w:noProof/>
        </w:rPr>
        <w:t xml:space="preserve"> w</w:t>
      </w:r>
      <w:r w:rsidR="005A1CAE">
        <w:rPr>
          <w:noProof/>
        </w:rPr>
        <w:t> </w:t>
      </w:r>
      <w:r w:rsidR="005A1CAE" w:rsidRPr="005A1CAE">
        <w:rPr>
          <w:noProof/>
        </w:rPr>
        <w:t>sta</w:t>
      </w:r>
      <w:r w:rsidRPr="005A1CAE">
        <w:rPr>
          <w:noProof/>
        </w:rPr>
        <w:t>li, istotnym czynnikiem decydującym</w:t>
      </w:r>
      <w:r w:rsidR="005A1CAE" w:rsidRPr="005A1CAE">
        <w:rPr>
          <w:noProof/>
        </w:rPr>
        <w:t xml:space="preserve"> o</w:t>
      </w:r>
      <w:r w:rsidR="005A1CAE">
        <w:rPr>
          <w:noProof/>
        </w:rPr>
        <w:t> </w:t>
      </w:r>
      <w:r w:rsidR="005A1CAE" w:rsidRPr="005A1CAE">
        <w:rPr>
          <w:noProof/>
        </w:rPr>
        <w:t>emi</w:t>
      </w:r>
      <w:r w:rsidRPr="005A1CAE">
        <w:rPr>
          <w:noProof/>
        </w:rPr>
        <w:t>sjach wbudowanych jest skład materiałowy</w:t>
      </w:r>
      <w:r w:rsidR="005A1CAE" w:rsidRPr="005A1CAE">
        <w:rPr>
          <w:noProof/>
        </w:rPr>
        <w:t xml:space="preserve"> i</w:t>
      </w:r>
      <w:r w:rsidR="005A1CAE">
        <w:rPr>
          <w:noProof/>
        </w:rPr>
        <w:t> </w:t>
      </w:r>
      <w:r w:rsidR="005A1CAE" w:rsidRPr="005A1CAE">
        <w:rPr>
          <w:noProof/>
        </w:rPr>
        <w:t>che</w:t>
      </w:r>
      <w:r w:rsidRPr="005A1CAE">
        <w:rPr>
          <w:noProof/>
        </w:rPr>
        <w:t>miczny towaru. Aby wyeliminować ryzyko błędnej deklaracji emisji wbudowanych określonych na podstawie rzeczywistych emisji</w:t>
      </w:r>
      <w:r w:rsidR="005A1CAE" w:rsidRPr="005A1CAE">
        <w:rPr>
          <w:noProof/>
        </w:rPr>
        <w:t xml:space="preserve"> w</w:t>
      </w:r>
      <w:r w:rsidR="005A1CAE">
        <w:rPr>
          <w:noProof/>
        </w:rPr>
        <w:t> </w:t>
      </w:r>
      <w:r w:rsidR="005A1CAE" w:rsidRPr="005A1CAE">
        <w:rPr>
          <w:noProof/>
        </w:rPr>
        <w:t>odn</w:t>
      </w:r>
      <w:r w:rsidRPr="005A1CAE">
        <w:rPr>
          <w:noProof/>
        </w:rPr>
        <w:t>iesieniu do niektórych towarów,</w:t>
      </w:r>
      <w:r w:rsidR="005A1CAE" w:rsidRPr="005A1CAE">
        <w:rPr>
          <w:noProof/>
        </w:rPr>
        <w:t xml:space="preserve"> w</w:t>
      </w:r>
      <w:r w:rsidR="005A1CAE">
        <w:rPr>
          <w:noProof/>
        </w:rPr>
        <w:t> </w:t>
      </w:r>
      <w:r w:rsidR="005A1CAE" w:rsidRPr="005A1CAE">
        <w:rPr>
          <w:noProof/>
        </w:rPr>
        <w:t>prz</w:t>
      </w:r>
      <w:r w:rsidRPr="005A1CAE">
        <w:rPr>
          <w:noProof/>
        </w:rPr>
        <w:t xml:space="preserve">ypadku </w:t>
      </w:r>
      <w:r w:rsidRPr="005A1CAE">
        <w:rPr>
          <w:noProof/>
        </w:rPr>
        <w:lastRenderedPageBreak/>
        <w:t>których intensywność emisji jest bardziej niejednorodna, Komisja powinna być uprawniona do przyjmowania aktów wykonawczych</w:t>
      </w:r>
      <w:r w:rsidR="005A1CAE" w:rsidRPr="005A1CAE">
        <w:rPr>
          <w:noProof/>
        </w:rPr>
        <w:t xml:space="preserve"> w</w:t>
      </w:r>
      <w:r w:rsidR="005A1CAE">
        <w:rPr>
          <w:noProof/>
        </w:rPr>
        <w:t> </w:t>
      </w:r>
      <w:r w:rsidR="005A1CAE" w:rsidRPr="005A1CAE">
        <w:rPr>
          <w:noProof/>
        </w:rPr>
        <w:t>cel</w:t>
      </w:r>
      <w:r w:rsidRPr="005A1CAE">
        <w:rPr>
          <w:noProof/>
        </w:rPr>
        <w:t>u określenia składu materiałowego</w:t>
      </w:r>
      <w:r w:rsidR="005A1CAE" w:rsidRPr="005A1CAE">
        <w:rPr>
          <w:noProof/>
        </w:rPr>
        <w:t xml:space="preserve"> i</w:t>
      </w:r>
      <w:r w:rsidR="005A1CAE">
        <w:rPr>
          <w:noProof/>
        </w:rPr>
        <w:t> </w:t>
      </w:r>
      <w:r w:rsidR="005A1CAE" w:rsidRPr="005A1CAE">
        <w:rPr>
          <w:noProof/>
        </w:rPr>
        <w:t>che</w:t>
      </w:r>
      <w:r w:rsidRPr="005A1CAE">
        <w:rPr>
          <w:noProof/>
        </w:rPr>
        <w:t>micznego towaru</w:t>
      </w:r>
      <w:r w:rsidR="005A1CAE" w:rsidRPr="005A1CAE">
        <w:rPr>
          <w:noProof/>
        </w:rPr>
        <w:t xml:space="preserve"> w</w:t>
      </w:r>
      <w:r w:rsidR="005A1CAE">
        <w:rPr>
          <w:noProof/>
        </w:rPr>
        <w:t> </w:t>
      </w:r>
      <w:r w:rsidR="005A1CAE" w:rsidRPr="005A1CAE">
        <w:rPr>
          <w:noProof/>
        </w:rPr>
        <w:t>zgł</w:t>
      </w:r>
      <w:r w:rsidRPr="005A1CAE">
        <w:rPr>
          <w:noProof/>
        </w:rPr>
        <w:t>oszeniu celnym.</w:t>
      </w:r>
    </w:p>
    <w:p w14:paraId="4104956F" w14:textId="18AF2AA2" w:rsidR="00292B92" w:rsidRPr="005A1CAE" w:rsidRDefault="00874ACF" w:rsidP="00874ACF">
      <w:pPr>
        <w:pStyle w:val="ManualConsidrant"/>
        <w:rPr>
          <w:noProof/>
        </w:rPr>
      </w:pPr>
      <w:r w:rsidRPr="005A1CAE">
        <w:rPr>
          <w:noProof/>
        </w:rPr>
        <w:t>(33)</w:t>
      </w:r>
      <w:r w:rsidRPr="005A1CAE">
        <w:rPr>
          <w:noProof/>
        </w:rPr>
        <w:tab/>
        <w:t>Aby zapewnić właściwym organom</w:t>
      </w:r>
      <w:r w:rsidR="005A1CAE" w:rsidRPr="005A1CAE">
        <w:rPr>
          <w:noProof/>
        </w:rPr>
        <w:t xml:space="preserve"> i</w:t>
      </w:r>
      <w:r w:rsidR="005A1CAE">
        <w:rPr>
          <w:noProof/>
        </w:rPr>
        <w:t> </w:t>
      </w:r>
      <w:r w:rsidR="005A1CAE" w:rsidRPr="005A1CAE">
        <w:rPr>
          <w:noProof/>
        </w:rPr>
        <w:t>Kom</w:t>
      </w:r>
      <w:r w:rsidRPr="005A1CAE">
        <w:rPr>
          <w:noProof/>
        </w:rPr>
        <w:t>isji dostęp do wszystkich informacji</w:t>
      </w:r>
      <w:r w:rsidR="005A1CAE" w:rsidRPr="005A1CAE">
        <w:rPr>
          <w:noProof/>
        </w:rPr>
        <w:t xml:space="preserve"> i</w:t>
      </w:r>
      <w:r w:rsidR="005A1CAE">
        <w:rPr>
          <w:noProof/>
        </w:rPr>
        <w:t> </w:t>
      </w:r>
      <w:r w:rsidR="005A1CAE" w:rsidRPr="005A1CAE">
        <w:rPr>
          <w:noProof/>
        </w:rPr>
        <w:t>dan</w:t>
      </w:r>
      <w:r w:rsidRPr="005A1CAE">
        <w:rPr>
          <w:noProof/>
        </w:rPr>
        <w:t>ych celnych niezbędnych do wykonania rozporządzenia (UE) 2023/956 przez organy celne, konieczne jest określenie odpowiednich dokumentów, informacji</w:t>
      </w:r>
      <w:r w:rsidR="005A1CAE" w:rsidRPr="005A1CAE">
        <w:rPr>
          <w:noProof/>
        </w:rPr>
        <w:t xml:space="preserve"> i</w:t>
      </w:r>
      <w:r w:rsidR="005A1CAE">
        <w:rPr>
          <w:noProof/>
        </w:rPr>
        <w:t> </w:t>
      </w:r>
      <w:r w:rsidR="005A1CAE" w:rsidRPr="005A1CAE">
        <w:rPr>
          <w:noProof/>
        </w:rPr>
        <w:t>dan</w:t>
      </w:r>
      <w:r w:rsidRPr="005A1CAE">
        <w:rPr>
          <w:noProof/>
        </w:rPr>
        <w:t>ych załączanych do zgłoszenia,</w:t>
      </w:r>
      <w:r w:rsidR="005A1CAE" w:rsidRPr="005A1CAE">
        <w:rPr>
          <w:noProof/>
        </w:rPr>
        <w:t xml:space="preserve"> w</w:t>
      </w:r>
      <w:r w:rsidR="005A1CAE">
        <w:rPr>
          <w:noProof/>
        </w:rPr>
        <w:t> </w:t>
      </w:r>
      <w:r w:rsidR="005A1CAE" w:rsidRPr="005A1CAE">
        <w:rPr>
          <w:noProof/>
        </w:rPr>
        <w:t>tym</w:t>
      </w:r>
      <w:r w:rsidRPr="005A1CAE">
        <w:rPr>
          <w:noProof/>
        </w:rPr>
        <w:t xml:space="preserve"> rozliczenia zamknięcia, które mają być przekazywane przez organy celne.</w:t>
      </w:r>
    </w:p>
    <w:p w14:paraId="67E58961" w14:textId="246A090D" w:rsidR="00AF5F7E" w:rsidRPr="005A1CAE" w:rsidRDefault="00874ACF" w:rsidP="00874ACF">
      <w:pPr>
        <w:pStyle w:val="ManualConsidrant"/>
        <w:rPr>
          <w:noProof/>
        </w:rPr>
      </w:pPr>
      <w:r w:rsidRPr="005A1CAE">
        <w:rPr>
          <w:noProof/>
        </w:rPr>
        <w:t>(34)</w:t>
      </w:r>
      <w:r w:rsidRPr="005A1CAE">
        <w:rPr>
          <w:noProof/>
        </w:rPr>
        <w:tab/>
        <w:t>Należy doprecyzować, że numer rachunku CBAM zawarty</w:t>
      </w:r>
      <w:r w:rsidR="005A1CAE" w:rsidRPr="005A1CAE">
        <w:rPr>
          <w:noProof/>
        </w:rPr>
        <w:t xml:space="preserve"> w</w:t>
      </w:r>
      <w:r w:rsidR="005A1CAE">
        <w:rPr>
          <w:noProof/>
        </w:rPr>
        <w:t> </w:t>
      </w:r>
      <w:r w:rsidR="005A1CAE" w:rsidRPr="005A1CAE">
        <w:rPr>
          <w:noProof/>
        </w:rPr>
        <w:t>zgł</w:t>
      </w:r>
      <w:r w:rsidRPr="005A1CAE">
        <w:rPr>
          <w:noProof/>
        </w:rPr>
        <w:t>oszeniu celnym, rozliczeniu zamknięcia, poświadczeniu odbioru lub innym odpowiednim dokumencie celnym</w:t>
      </w:r>
      <w:r w:rsidR="005A1CAE" w:rsidRPr="005A1CAE">
        <w:rPr>
          <w:noProof/>
        </w:rPr>
        <w:t xml:space="preserve"> w</w:t>
      </w:r>
      <w:r w:rsidR="005A1CAE">
        <w:rPr>
          <w:noProof/>
        </w:rPr>
        <w:t> </w:t>
      </w:r>
      <w:r w:rsidR="005A1CAE" w:rsidRPr="005A1CAE">
        <w:rPr>
          <w:noProof/>
        </w:rPr>
        <w:t>mom</w:t>
      </w:r>
      <w:r w:rsidRPr="005A1CAE">
        <w:rPr>
          <w:noProof/>
        </w:rPr>
        <w:t>encie dopuszczenia towarów do obrotu powinien być wykorzystywany do określenia osoby odpowiedzialnej za wypełnienie obowiązków określonych</w:t>
      </w:r>
      <w:r w:rsidR="005A1CAE" w:rsidRPr="005A1CAE">
        <w:rPr>
          <w:noProof/>
        </w:rPr>
        <w:t xml:space="preserve"> w</w:t>
      </w:r>
      <w:r w:rsidR="005A1CAE">
        <w:rPr>
          <w:noProof/>
        </w:rPr>
        <w:t> </w:t>
      </w:r>
      <w:r w:rsidR="005A1CAE" w:rsidRPr="005A1CAE">
        <w:rPr>
          <w:noProof/>
        </w:rPr>
        <w:t>nin</w:t>
      </w:r>
      <w:r w:rsidRPr="005A1CAE">
        <w:rPr>
          <w:noProof/>
        </w:rPr>
        <w:t>iejszym rozporządzeniu.</w:t>
      </w:r>
    </w:p>
    <w:p w14:paraId="6BD44812" w14:textId="37323CEC" w:rsidR="00114302" w:rsidRPr="005A1CAE" w:rsidRDefault="00874ACF" w:rsidP="00874ACF">
      <w:pPr>
        <w:pStyle w:val="ManualConsidrant"/>
        <w:rPr>
          <w:noProof/>
        </w:rPr>
      </w:pPr>
      <w:r w:rsidRPr="005A1CAE">
        <w:rPr>
          <w:noProof/>
        </w:rPr>
        <w:t>(35)</w:t>
      </w:r>
      <w:r w:rsidRPr="005A1CAE">
        <w:rPr>
          <w:noProof/>
        </w:rPr>
        <w:tab/>
        <w:t>Aby zapewnić dokładność danych</w:t>
      </w:r>
      <w:r w:rsidR="005A1CAE" w:rsidRPr="005A1CAE">
        <w:rPr>
          <w:noProof/>
        </w:rPr>
        <w:t xml:space="preserve"> i</w:t>
      </w:r>
      <w:r w:rsidR="005A1CAE">
        <w:rPr>
          <w:noProof/>
        </w:rPr>
        <w:t> </w:t>
      </w:r>
      <w:r w:rsidR="005A1CAE" w:rsidRPr="005A1CAE">
        <w:rPr>
          <w:noProof/>
        </w:rPr>
        <w:t>inf</w:t>
      </w:r>
      <w:r w:rsidRPr="005A1CAE">
        <w:rPr>
          <w:noProof/>
        </w:rPr>
        <w:t>ormacji celnych dostępnych właściwym organom</w:t>
      </w:r>
      <w:r w:rsidR="005A1CAE" w:rsidRPr="005A1CAE">
        <w:rPr>
          <w:noProof/>
        </w:rPr>
        <w:t xml:space="preserve"> w</w:t>
      </w:r>
      <w:r w:rsidR="005A1CAE">
        <w:rPr>
          <w:noProof/>
        </w:rPr>
        <w:t> </w:t>
      </w:r>
      <w:r w:rsidR="005A1CAE" w:rsidRPr="005A1CAE">
        <w:rPr>
          <w:noProof/>
        </w:rPr>
        <w:t>rej</w:t>
      </w:r>
      <w:r w:rsidRPr="005A1CAE">
        <w:rPr>
          <w:noProof/>
        </w:rPr>
        <w:t>estrze CBAM, właściwe organy powinny mieć możliwość zwrócenia się do organów celnych lub Komisji</w:t>
      </w:r>
      <w:r w:rsidR="005A1CAE" w:rsidRPr="005A1CAE">
        <w:rPr>
          <w:noProof/>
        </w:rPr>
        <w:t xml:space="preserve"> o</w:t>
      </w:r>
      <w:r w:rsidR="005A1CAE">
        <w:rPr>
          <w:noProof/>
        </w:rPr>
        <w:t> </w:t>
      </w:r>
      <w:r w:rsidR="005A1CAE" w:rsidRPr="005A1CAE">
        <w:rPr>
          <w:noProof/>
        </w:rPr>
        <w:t>zat</w:t>
      </w:r>
      <w:r w:rsidRPr="005A1CAE">
        <w:rPr>
          <w:noProof/>
        </w:rPr>
        <w:t>wierdzenie tych informacji. Komisja powinna być uprawniona do przyjęcia aktów wykonawczych określających zakres informacji oraz częstotliwość, harmonogram</w:t>
      </w:r>
      <w:r w:rsidR="005A1CAE" w:rsidRPr="005A1CAE">
        <w:rPr>
          <w:noProof/>
        </w:rPr>
        <w:t xml:space="preserve"> i</w:t>
      </w:r>
      <w:r w:rsidR="005A1CAE">
        <w:rPr>
          <w:noProof/>
        </w:rPr>
        <w:t> </w:t>
      </w:r>
      <w:r w:rsidR="005A1CAE" w:rsidRPr="005A1CAE">
        <w:rPr>
          <w:noProof/>
        </w:rPr>
        <w:t>śro</w:t>
      </w:r>
      <w:r w:rsidRPr="005A1CAE">
        <w:rPr>
          <w:noProof/>
        </w:rPr>
        <w:t>dki przekazywania tych informacji.</w:t>
      </w:r>
    </w:p>
    <w:p w14:paraId="49DDC1B7" w14:textId="7AFC3593" w:rsidR="003A5D9D" w:rsidRPr="005A1CAE" w:rsidRDefault="00874ACF" w:rsidP="00874ACF">
      <w:pPr>
        <w:pStyle w:val="ManualConsidrant"/>
        <w:rPr>
          <w:noProof/>
        </w:rPr>
      </w:pPr>
      <w:r w:rsidRPr="005A1CAE">
        <w:rPr>
          <w:noProof/>
        </w:rPr>
        <w:t>(36)</w:t>
      </w:r>
      <w:r w:rsidRPr="005A1CAE">
        <w:rPr>
          <w:noProof/>
        </w:rPr>
        <w:tab/>
        <w:t>Aby zapobiec praktykom, które mogłyby utrudnić osiągnięcie celów CBAM, Komisja powinna prowadzić na poziomie Unii stały monitoring praktyk obchodzenia przepisów, które to praktyki polegają na sztucznym dostosowaniu łańcucha dostaw towarów</w:t>
      </w:r>
      <w:r w:rsidR="005A1CAE" w:rsidRPr="005A1CAE">
        <w:rPr>
          <w:noProof/>
        </w:rPr>
        <w:t xml:space="preserve"> w</w:t>
      </w:r>
      <w:r w:rsidR="005A1CAE">
        <w:rPr>
          <w:noProof/>
        </w:rPr>
        <w:t> </w:t>
      </w:r>
      <w:r w:rsidR="005A1CAE" w:rsidRPr="005A1CAE">
        <w:rPr>
          <w:noProof/>
        </w:rPr>
        <w:t>cel</w:t>
      </w:r>
      <w:r w:rsidRPr="005A1CAE">
        <w:rPr>
          <w:noProof/>
        </w:rPr>
        <w:t>u uniknięcia obowiązków określonych</w:t>
      </w:r>
      <w:r w:rsidR="005A1CAE" w:rsidRPr="005A1CAE">
        <w:rPr>
          <w:noProof/>
        </w:rPr>
        <w:t xml:space="preserve"> w</w:t>
      </w:r>
      <w:r w:rsidR="005A1CAE">
        <w:rPr>
          <w:noProof/>
        </w:rPr>
        <w:t> </w:t>
      </w:r>
      <w:r w:rsidR="005A1CAE" w:rsidRPr="005A1CAE">
        <w:rPr>
          <w:noProof/>
        </w:rPr>
        <w:t>roz</w:t>
      </w:r>
      <w:r w:rsidRPr="005A1CAE">
        <w:rPr>
          <w:noProof/>
        </w:rPr>
        <w:t>porządzeniu (UE) 2023/956.</w:t>
      </w:r>
    </w:p>
    <w:p w14:paraId="5B5D67F7" w14:textId="798B4D60" w:rsidR="00AF5F7E" w:rsidRPr="005A1CAE" w:rsidRDefault="00874ACF" w:rsidP="00874ACF">
      <w:pPr>
        <w:pStyle w:val="ManualConsidrant"/>
        <w:rPr>
          <w:noProof/>
        </w:rPr>
      </w:pPr>
      <w:r w:rsidRPr="005A1CAE">
        <w:rPr>
          <w:noProof/>
        </w:rPr>
        <w:t>(37)</w:t>
      </w:r>
      <w:r w:rsidRPr="005A1CAE">
        <w:rPr>
          <w:noProof/>
        </w:rPr>
        <w:tab/>
        <w:t>Aby umożliwić szybką reakcję</w:t>
      </w:r>
      <w:r w:rsidR="005A1CAE" w:rsidRPr="005A1CAE">
        <w:rPr>
          <w:noProof/>
        </w:rPr>
        <w:t xml:space="preserve"> w</w:t>
      </w:r>
      <w:r w:rsidR="005A1CAE">
        <w:rPr>
          <w:noProof/>
        </w:rPr>
        <w:t> </w:t>
      </w:r>
      <w:r w:rsidR="005A1CAE" w:rsidRPr="005A1CAE">
        <w:rPr>
          <w:noProof/>
        </w:rPr>
        <w:t>prz</w:t>
      </w:r>
      <w:r w:rsidRPr="005A1CAE">
        <w:rPr>
          <w:noProof/>
        </w:rPr>
        <w:t>ypadku poważnych</w:t>
      </w:r>
      <w:r w:rsidR="005A1CAE" w:rsidRPr="005A1CAE">
        <w:rPr>
          <w:noProof/>
        </w:rPr>
        <w:t xml:space="preserve"> i</w:t>
      </w:r>
      <w:r w:rsidR="005A1CAE">
        <w:rPr>
          <w:noProof/>
        </w:rPr>
        <w:t> </w:t>
      </w:r>
      <w:r w:rsidR="005A1CAE" w:rsidRPr="005A1CAE">
        <w:rPr>
          <w:noProof/>
        </w:rPr>
        <w:t>nie</w:t>
      </w:r>
      <w:r w:rsidRPr="005A1CAE">
        <w:rPr>
          <w:noProof/>
        </w:rPr>
        <w:t>przewidywalnych konsekwencji włączenia towaru do zakresu CBAM, prowadzących do poważnych szkód dla rynku wewnętrznego Unii, Komisja powinna być uprawniona do przyjmowania aktów delegowanych</w:t>
      </w:r>
      <w:r w:rsidR="005A1CAE" w:rsidRPr="005A1CAE">
        <w:rPr>
          <w:noProof/>
        </w:rPr>
        <w:t xml:space="preserve"> w</w:t>
      </w:r>
      <w:r w:rsidR="005A1CAE">
        <w:rPr>
          <w:noProof/>
        </w:rPr>
        <w:t> </w:t>
      </w:r>
      <w:r w:rsidR="005A1CAE" w:rsidRPr="005A1CAE">
        <w:rPr>
          <w:noProof/>
        </w:rPr>
        <w:t>cel</w:t>
      </w:r>
      <w:r w:rsidRPr="005A1CAE">
        <w:rPr>
          <w:noProof/>
        </w:rPr>
        <w:t>u usunięcia towaru</w:t>
      </w:r>
      <w:r w:rsidR="005A1CAE" w:rsidRPr="005A1CAE">
        <w:rPr>
          <w:noProof/>
        </w:rPr>
        <w:t xml:space="preserve"> z</w:t>
      </w:r>
      <w:r w:rsidR="005A1CAE">
        <w:rPr>
          <w:noProof/>
        </w:rPr>
        <w:t> </w:t>
      </w:r>
      <w:r w:rsidR="005A1CAE" w:rsidRPr="005A1CAE">
        <w:rPr>
          <w:noProof/>
        </w:rPr>
        <w:t>zak</w:t>
      </w:r>
      <w:r w:rsidRPr="005A1CAE">
        <w:rPr>
          <w:noProof/>
        </w:rPr>
        <w:t>resu stosowania rozporządzenia (UE) 2023/956.</w:t>
      </w:r>
    </w:p>
    <w:p w14:paraId="296A4A72" w14:textId="3985317F" w:rsidR="00AF7CC0" w:rsidRPr="005A1CAE" w:rsidRDefault="00874ACF" w:rsidP="00874ACF">
      <w:pPr>
        <w:pStyle w:val="ManualConsidrant"/>
        <w:rPr>
          <w:noProof/>
        </w:rPr>
      </w:pPr>
      <w:r w:rsidRPr="005A1CAE">
        <w:rPr>
          <w:noProof/>
        </w:rPr>
        <w:t>(38)</w:t>
      </w:r>
      <w:r w:rsidRPr="005A1CAE">
        <w:rPr>
          <w:noProof/>
        </w:rPr>
        <w:tab/>
        <w:t>Aby zapewnić lepsze dostosowanie do Nomenklatury scalonej („CN”) określonej</w:t>
      </w:r>
      <w:r w:rsidR="005A1CAE" w:rsidRPr="005A1CAE">
        <w:rPr>
          <w:noProof/>
        </w:rPr>
        <w:t xml:space="preserve"> w</w:t>
      </w:r>
      <w:r w:rsidR="005A1CAE">
        <w:rPr>
          <w:noProof/>
        </w:rPr>
        <w:t> </w:t>
      </w:r>
      <w:r w:rsidR="005A1CAE" w:rsidRPr="005A1CAE">
        <w:rPr>
          <w:noProof/>
        </w:rPr>
        <w:t>roz</w:t>
      </w:r>
      <w:r w:rsidRPr="005A1CAE">
        <w:rPr>
          <w:noProof/>
        </w:rPr>
        <w:t>porządzeniu Rady (EWG) nr</w:t>
      </w:r>
      <w:r w:rsidR="005A1CAE" w:rsidRPr="005A1CAE">
        <w:rPr>
          <w:noProof/>
        </w:rPr>
        <w:t> </w:t>
      </w:r>
      <w:r w:rsidRPr="005A1CAE">
        <w:rPr>
          <w:noProof/>
        </w:rPr>
        <w:t>2658/87</w:t>
      </w:r>
      <w:r w:rsidRPr="005A1CAE">
        <w:rPr>
          <w:rStyle w:val="Odwoanieprzypisudolnego"/>
          <w:noProof/>
        </w:rPr>
        <w:footnoteReference w:id="25"/>
      </w:r>
      <w:r w:rsidRPr="005A1CAE">
        <w:rPr>
          <w:noProof/>
        </w:rPr>
        <w:t>, należy doprecyzować opis niektórych kodów CN</w:t>
      </w:r>
      <w:r w:rsidR="005A1CAE" w:rsidRPr="005A1CAE">
        <w:rPr>
          <w:noProof/>
        </w:rPr>
        <w:t xml:space="preserve"> w</w:t>
      </w:r>
      <w:r w:rsidR="005A1CAE">
        <w:rPr>
          <w:noProof/>
        </w:rPr>
        <w:t> </w:t>
      </w:r>
      <w:r w:rsidR="005A1CAE" w:rsidRPr="005A1CAE">
        <w:rPr>
          <w:noProof/>
        </w:rPr>
        <w:t>zał</w:t>
      </w:r>
      <w:r w:rsidRPr="005A1CAE">
        <w:rPr>
          <w:noProof/>
        </w:rPr>
        <w:t>ączniku I do rozporządzenia (UE) 2023/956.</w:t>
      </w:r>
    </w:p>
    <w:p w14:paraId="6DB6B77A" w14:textId="5ADCC312" w:rsidR="007D523B" w:rsidRPr="005A1CAE" w:rsidRDefault="00874ACF" w:rsidP="00874ACF">
      <w:pPr>
        <w:pStyle w:val="ManualConsidrant"/>
        <w:rPr>
          <w:rFonts w:asciiTheme="minorHAnsi" w:eastAsiaTheme="minorEastAsia" w:hAnsiTheme="minorHAnsi" w:cstheme="minorBidi"/>
          <w:noProof/>
        </w:rPr>
      </w:pPr>
      <w:r w:rsidRPr="005A1CAE">
        <w:rPr>
          <w:noProof/>
        </w:rPr>
        <w:t>(39)</w:t>
      </w:r>
      <w:r w:rsidRPr="005A1CAE">
        <w:rPr>
          <w:noProof/>
        </w:rPr>
        <w:tab/>
        <w:t>Wraz ze stopniowym wycofywaniem przejściowego przydziału bezpłatnych uprawnień na mocy dyrektywy 2003/87/WE Parlamentu Europejskiego</w:t>
      </w:r>
      <w:r w:rsidR="005A1CAE" w:rsidRPr="005A1CAE">
        <w:rPr>
          <w:noProof/>
        </w:rPr>
        <w:t xml:space="preserve"> i</w:t>
      </w:r>
      <w:r w:rsidR="005A1CAE">
        <w:rPr>
          <w:noProof/>
        </w:rPr>
        <w:t> </w:t>
      </w:r>
      <w:r w:rsidR="005A1CAE" w:rsidRPr="005A1CAE">
        <w:rPr>
          <w:noProof/>
        </w:rPr>
        <w:t>Rad</w:t>
      </w:r>
      <w:r w:rsidRPr="005A1CAE">
        <w:rPr>
          <w:noProof/>
        </w:rPr>
        <w:t>y</w:t>
      </w:r>
      <w:r w:rsidRPr="005A1CAE">
        <w:rPr>
          <w:rStyle w:val="Odwoanieprzypisudolnego"/>
          <w:noProof/>
        </w:rPr>
        <w:footnoteReference w:id="26"/>
      </w:r>
      <w:r w:rsidRPr="005A1CAE">
        <w:rPr>
          <w:noProof/>
        </w:rPr>
        <w:t xml:space="preserve"> ustanawiającej system handlu przydziałami emisji gazów cieplarnianych</w:t>
      </w:r>
      <w:r w:rsidR="005A1CAE" w:rsidRPr="005A1CAE">
        <w:rPr>
          <w:noProof/>
        </w:rPr>
        <w:t xml:space="preserve"> w</w:t>
      </w:r>
      <w:r w:rsidR="005A1CAE">
        <w:rPr>
          <w:noProof/>
        </w:rPr>
        <w:t> </w:t>
      </w:r>
      <w:r w:rsidR="005A1CAE" w:rsidRPr="005A1CAE">
        <w:rPr>
          <w:noProof/>
        </w:rPr>
        <w:t>Uni</w:t>
      </w:r>
      <w:r w:rsidRPr="005A1CAE">
        <w:rPr>
          <w:noProof/>
        </w:rPr>
        <w:t>i („EU ETS”) oraz stopniowym wprowadzaniem CBAM ryzyko ucieczki emisji prawdopodobnie przesunie się</w:t>
      </w:r>
      <w:r w:rsidR="005A1CAE" w:rsidRPr="005A1CAE">
        <w:rPr>
          <w:noProof/>
        </w:rPr>
        <w:t xml:space="preserve"> z</w:t>
      </w:r>
      <w:r w:rsidR="005A1CAE">
        <w:rPr>
          <w:noProof/>
        </w:rPr>
        <w:t> </w:t>
      </w:r>
      <w:r w:rsidR="005A1CAE" w:rsidRPr="005A1CAE">
        <w:rPr>
          <w:noProof/>
        </w:rPr>
        <w:t>sek</w:t>
      </w:r>
      <w:r w:rsidRPr="005A1CAE">
        <w:rPr>
          <w:noProof/>
        </w:rPr>
        <w:t xml:space="preserve">torów </w:t>
      </w:r>
      <w:r w:rsidRPr="005A1CAE">
        <w:rPr>
          <w:i/>
          <w:iCs/>
          <w:noProof/>
        </w:rPr>
        <w:t>upstream</w:t>
      </w:r>
      <w:r w:rsidRPr="005A1CAE">
        <w:rPr>
          <w:noProof/>
        </w:rPr>
        <w:t xml:space="preserve"> obecnie objętych CBAM na produkty rynku niższego szczebla. Aby zachować skuteczność celów CBAM, konieczne jest zatem rozszerzenie zakresu stosowania rozporządzenia (UE) 2023/956 na produkty znajdujące się dalej</w:t>
      </w:r>
      <w:r w:rsidR="005A1CAE" w:rsidRPr="005A1CAE">
        <w:rPr>
          <w:noProof/>
        </w:rPr>
        <w:t xml:space="preserve"> w</w:t>
      </w:r>
      <w:r w:rsidR="005A1CAE">
        <w:rPr>
          <w:noProof/>
        </w:rPr>
        <w:t> </w:t>
      </w:r>
      <w:r w:rsidR="005A1CAE" w:rsidRPr="005A1CAE">
        <w:rPr>
          <w:noProof/>
        </w:rPr>
        <w:t>łań</w:t>
      </w:r>
      <w:r w:rsidRPr="005A1CAE">
        <w:rPr>
          <w:noProof/>
        </w:rPr>
        <w:t>cuchu wartości.</w:t>
      </w:r>
      <w:bookmarkStart w:id="2" w:name="_Hlk216374382"/>
    </w:p>
    <w:p w14:paraId="15A9A8C7" w14:textId="26D6B413" w:rsidR="00AF5F7E" w:rsidRPr="005A1CAE" w:rsidRDefault="00874ACF" w:rsidP="00874ACF">
      <w:pPr>
        <w:pStyle w:val="ManualConsidrant"/>
        <w:rPr>
          <w:rFonts w:asciiTheme="minorHAnsi" w:eastAsiaTheme="minorEastAsia" w:hAnsiTheme="minorHAnsi" w:cstheme="minorBidi"/>
          <w:noProof/>
        </w:rPr>
      </w:pPr>
      <w:r w:rsidRPr="005A1CAE">
        <w:rPr>
          <w:noProof/>
        </w:rPr>
        <w:t>(40)</w:t>
      </w:r>
      <w:r w:rsidRPr="005A1CAE">
        <w:rPr>
          <w:noProof/>
        </w:rPr>
        <w:tab/>
        <w:t>Zgodnie</w:t>
      </w:r>
      <w:r w:rsidR="005A1CAE" w:rsidRPr="005A1CAE">
        <w:rPr>
          <w:noProof/>
        </w:rPr>
        <w:t xml:space="preserve"> z</w:t>
      </w:r>
      <w:r w:rsidR="005A1CAE">
        <w:rPr>
          <w:noProof/>
        </w:rPr>
        <w:t> </w:t>
      </w:r>
      <w:r w:rsidR="005A1CAE" w:rsidRPr="005A1CAE">
        <w:rPr>
          <w:noProof/>
        </w:rPr>
        <w:t>Eur</w:t>
      </w:r>
      <w:r w:rsidRPr="005A1CAE">
        <w:rPr>
          <w:noProof/>
        </w:rPr>
        <w:t>opejskim planem działania</w:t>
      </w:r>
      <w:r w:rsidR="005A1CAE" w:rsidRPr="005A1CAE">
        <w:rPr>
          <w:noProof/>
        </w:rPr>
        <w:t xml:space="preserve"> w</w:t>
      </w:r>
      <w:r w:rsidR="005A1CAE">
        <w:rPr>
          <w:noProof/>
        </w:rPr>
        <w:t> </w:t>
      </w:r>
      <w:r w:rsidR="005A1CAE" w:rsidRPr="005A1CAE">
        <w:rPr>
          <w:noProof/>
        </w:rPr>
        <w:t>zak</w:t>
      </w:r>
      <w:r w:rsidRPr="005A1CAE">
        <w:rPr>
          <w:noProof/>
        </w:rPr>
        <w:t>resie stali</w:t>
      </w:r>
      <w:r w:rsidR="005A1CAE" w:rsidRPr="005A1CAE">
        <w:rPr>
          <w:noProof/>
        </w:rPr>
        <w:t xml:space="preserve"> i</w:t>
      </w:r>
      <w:r w:rsidR="005A1CAE">
        <w:rPr>
          <w:noProof/>
        </w:rPr>
        <w:t> </w:t>
      </w:r>
      <w:r w:rsidR="005A1CAE" w:rsidRPr="005A1CAE">
        <w:rPr>
          <w:noProof/>
        </w:rPr>
        <w:t>met</w:t>
      </w:r>
      <w:r w:rsidRPr="005A1CAE">
        <w:rPr>
          <w:noProof/>
        </w:rPr>
        <w:t>ali rozszerzenie zakresu stosowania rozporządzenia (UE) 2023/956 powinno koncentrować się na sektorach metali</w:t>
      </w:r>
      <w:r w:rsidR="005A1CAE" w:rsidRPr="005A1CAE">
        <w:rPr>
          <w:noProof/>
        </w:rPr>
        <w:t xml:space="preserve"> i</w:t>
      </w:r>
      <w:r w:rsidR="005A1CAE">
        <w:rPr>
          <w:noProof/>
        </w:rPr>
        <w:t> </w:t>
      </w:r>
      <w:r w:rsidR="005A1CAE" w:rsidRPr="005A1CAE">
        <w:rPr>
          <w:noProof/>
        </w:rPr>
        <w:t>tow</w:t>
      </w:r>
      <w:r w:rsidRPr="005A1CAE">
        <w:rPr>
          <w:noProof/>
        </w:rPr>
        <w:t xml:space="preserve">arach, które zawierają znaczną część produktów objętych CBAM. Powinno </w:t>
      </w:r>
      <w:r w:rsidRPr="005A1CAE">
        <w:rPr>
          <w:noProof/>
        </w:rPr>
        <w:lastRenderedPageBreak/>
        <w:t>ono zatem obejmować towary niższego szczebla wymagające intensywnego wykorzystania stali</w:t>
      </w:r>
      <w:r w:rsidR="005A1CAE" w:rsidRPr="005A1CAE">
        <w:rPr>
          <w:noProof/>
        </w:rPr>
        <w:t xml:space="preserve"> i</w:t>
      </w:r>
      <w:r w:rsidR="005A1CAE">
        <w:rPr>
          <w:noProof/>
        </w:rPr>
        <w:t> </w:t>
      </w:r>
      <w:r w:rsidR="005A1CAE" w:rsidRPr="005A1CAE">
        <w:rPr>
          <w:noProof/>
        </w:rPr>
        <w:t>alu</w:t>
      </w:r>
      <w:r w:rsidRPr="005A1CAE">
        <w:rPr>
          <w:noProof/>
        </w:rPr>
        <w:t>minium, które są najczęściej przywożone do Unii pod względem liczby, wartości</w:t>
      </w:r>
      <w:r w:rsidR="005A1CAE" w:rsidRPr="005A1CAE">
        <w:rPr>
          <w:noProof/>
        </w:rPr>
        <w:t xml:space="preserve"> i</w:t>
      </w:r>
      <w:r w:rsidR="005A1CAE">
        <w:rPr>
          <w:noProof/>
        </w:rPr>
        <w:t> </w:t>
      </w:r>
      <w:r w:rsidR="005A1CAE" w:rsidRPr="005A1CAE">
        <w:rPr>
          <w:noProof/>
        </w:rPr>
        <w:t>ilo</w:t>
      </w:r>
      <w:r w:rsidRPr="005A1CAE">
        <w:rPr>
          <w:noProof/>
        </w:rPr>
        <w:t xml:space="preserve">ści oraz które są narażone na największe ryzyko ucieczki </w:t>
      </w:r>
      <w:r w:rsidR="00B32D9E" w:rsidRPr="005A1CAE">
        <w:rPr>
          <w:noProof/>
        </w:rPr>
        <w:t>emisji. Sektory</w:t>
      </w:r>
      <w:r w:rsidRPr="005A1CAE">
        <w:rPr>
          <w:noProof/>
        </w:rPr>
        <w:t xml:space="preserve"> stali</w:t>
      </w:r>
      <w:r w:rsidR="005A1CAE" w:rsidRPr="005A1CAE">
        <w:rPr>
          <w:noProof/>
        </w:rPr>
        <w:t xml:space="preserve"> i</w:t>
      </w:r>
      <w:r w:rsidR="005A1CAE">
        <w:rPr>
          <w:noProof/>
        </w:rPr>
        <w:t> </w:t>
      </w:r>
      <w:r w:rsidR="005A1CAE" w:rsidRPr="005A1CAE">
        <w:rPr>
          <w:noProof/>
        </w:rPr>
        <w:t>alu</w:t>
      </w:r>
      <w:r w:rsidRPr="005A1CAE">
        <w:rPr>
          <w:noProof/>
        </w:rPr>
        <w:t>minium wykazują również największą techniczną wykonalność</w:t>
      </w:r>
      <w:r w:rsidR="005A1CAE" w:rsidRPr="005A1CAE">
        <w:rPr>
          <w:noProof/>
        </w:rPr>
        <w:t xml:space="preserve"> w</w:t>
      </w:r>
      <w:r w:rsidR="005A1CAE">
        <w:rPr>
          <w:noProof/>
        </w:rPr>
        <w:t> </w:t>
      </w:r>
      <w:r w:rsidR="005A1CAE" w:rsidRPr="005A1CAE">
        <w:rPr>
          <w:noProof/>
        </w:rPr>
        <w:t>zak</w:t>
      </w:r>
      <w:r w:rsidRPr="005A1CAE">
        <w:rPr>
          <w:noProof/>
        </w:rPr>
        <w:t>resie obliczania rzeczywistych emisji wbudowanych związanych</w:t>
      </w:r>
      <w:r w:rsidR="005A1CAE" w:rsidRPr="005A1CAE">
        <w:rPr>
          <w:noProof/>
        </w:rPr>
        <w:t xml:space="preserve"> z</w:t>
      </w:r>
      <w:r w:rsidR="005A1CAE">
        <w:rPr>
          <w:noProof/>
        </w:rPr>
        <w:t> </w:t>
      </w:r>
      <w:r w:rsidR="005A1CAE" w:rsidRPr="005A1CAE">
        <w:rPr>
          <w:noProof/>
        </w:rPr>
        <w:t>tow</w:t>
      </w:r>
      <w:r w:rsidRPr="005A1CAE">
        <w:rPr>
          <w:noProof/>
        </w:rPr>
        <w:t>arami</w:t>
      </w:r>
      <w:r w:rsidRPr="005A1CAE">
        <w:rPr>
          <w:rFonts w:asciiTheme="minorHAnsi" w:hAnsiTheme="minorHAnsi"/>
          <w:noProof/>
        </w:rPr>
        <w:t xml:space="preserve">. </w:t>
      </w:r>
    </w:p>
    <w:bookmarkEnd w:id="2"/>
    <w:p w14:paraId="28BC8BAC" w14:textId="7C54B7A5" w:rsidR="00AF5F7E" w:rsidRPr="005A1CAE" w:rsidRDefault="00874ACF" w:rsidP="00874ACF">
      <w:pPr>
        <w:pStyle w:val="ManualConsidrant"/>
        <w:rPr>
          <w:noProof/>
        </w:rPr>
      </w:pPr>
      <w:r w:rsidRPr="005A1CAE">
        <w:rPr>
          <w:noProof/>
        </w:rPr>
        <w:t>(41)</w:t>
      </w:r>
      <w:r w:rsidRPr="005A1CAE">
        <w:rPr>
          <w:noProof/>
        </w:rPr>
        <w:tab/>
        <w:t>Wybór towarów niższego szczebla wymagających intensywnego wykorzystania stali</w:t>
      </w:r>
      <w:r w:rsidR="005A1CAE" w:rsidRPr="005A1CAE">
        <w:rPr>
          <w:noProof/>
        </w:rPr>
        <w:t xml:space="preserve"> i</w:t>
      </w:r>
      <w:r w:rsidR="005A1CAE">
        <w:rPr>
          <w:noProof/>
        </w:rPr>
        <w:t> </w:t>
      </w:r>
      <w:r w:rsidR="005A1CAE" w:rsidRPr="005A1CAE">
        <w:rPr>
          <w:noProof/>
        </w:rPr>
        <w:t>alu</w:t>
      </w:r>
      <w:r w:rsidRPr="005A1CAE">
        <w:rPr>
          <w:noProof/>
        </w:rPr>
        <w:t>minium powinien opierać się na jasno określonych kryteriach</w:t>
      </w:r>
      <w:r w:rsidR="005A1CAE" w:rsidRPr="005A1CAE">
        <w:rPr>
          <w:noProof/>
        </w:rPr>
        <w:t xml:space="preserve"> i</w:t>
      </w:r>
      <w:r w:rsidR="005A1CAE">
        <w:rPr>
          <w:noProof/>
        </w:rPr>
        <w:t> </w:t>
      </w:r>
      <w:r w:rsidR="005A1CAE" w:rsidRPr="005A1CAE">
        <w:rPr>
          <w:noProof/>
        </w:rPr>
        <w:t>pro</w:t>
      </w:r>
      <w:r w:rsidRPr="005A1CAE">
        <w:rPr>
          <w:noProof/>
        </w:rPr>
        <w:t>gach, odzwierciedlających ryzyko ucieczki emisji związane</w:t>
      </w:r>
      <w:r w:rsidR="005A1CAE" w:rsidRPr="005A1CAE">
        <w:rPr>
          <w:noProof/>
        </w:rPr>
        <w:t xml:space="preserve"> z</w:t>
      </w:r>
      <w:r w:rsidR="005A1CAE">
        <w:rPr>
          <w:noProof/>
        </w:rPr>
        <w:t> </w:t>
      </w:r>
      <w:r w:rsidR="005A1CAE" w:rsidRPr="005A1CAE">
        <w:rPr>
          <w:noProof/>
        </w:rPr>
        <w:t>każ</w:t>
      </w:r>
      <w:r w:rsidRPr="005A1CAE">
        <w:rPr>
          <w:noProof/>
        </w:rPr>
        <w:t>dym produktem,</w:t>
      </w:r>
      <w:r w:rsidR="005A1CAE" w:rsidRPr="005A1CAE">
        <w:rPr>
          <w:noProof/>
        </w:rPr>
        <w:t xml:space="preserve"> w</w:t>
      </w:r>
      <w:r w:rsidR="005A1CAE">
        <w:rPr>
          <w:noProof/>
        </w:rPr>
        <w:t> </w:t>
      </w:r>
      <w:r w:rsidR="005A1CAE" w:rsidRPr="005A1CAE">
        <w:rPr>
          <w:noProof/>
        </w:rPr>
        <w:t>tym</w:t>
      </w:r>
      <w:r w:rsidRPr="005A1CAE">
        <w:rPr>
          <w:noProof/>
        </w:rPr>
        <w:t xml:space="preserve"> ich udział</w:t>
      </w:r>
      <w:r w:rsidR="005A1CAE" w:rsidRPr="005A1CAE">
        <w:rPr>
          <w:noProof/>
        </w:rPr>
        <w:t xml:space="preserve"> w</w:t>
      </w:r>
      <w:r w:rsidR="005A1CAE">
        <w:rPr>
          <w:noProof/>
        </w:rPr>
        <w:t> </w:t>
      </w:r>
      <w:r w:rsidR="005A1CAE" w:rsidRPr="005A1CAE">
        <w:rPr>
          <w:noProof/>
        </w:rPr>
        <w:t>emi</w:t>
      </w:r>
      <w:r w:rsidRPr="005A1CAE">
        <w:rPr>
          <w:noProof/>
        </w:rPr>
        <w:t>sjach wbudowanych, ich znaczenie dla klimatu oraz techniczną wykonalność włączenia ich</w:t>
      </w:r>
      <w:r w:rsidR="005A1CAE" w:rsidRPr="005A1CAE">
        <w:rPr>
          <w:noProof/>
        </w:rPr>
        <w:t xml:space="preserve"> w</w:t>
      </w:r>
      <w:r w:rsidR="005A1CAE">
        <w:rPr>
          <w:noProof/>
        </w:rPr>
        <w:t> </w:t>
      </w:r>
      <w:r w:rsidR="005A1CAE" w:rsidRPr="005A1CAE">
        <w:rPr>
          <w:noProof/>
        </w:rPr>
        <w:t>zak</w:t>
      </w:r>
      <w:r w:rsidRPr="005A1CAE">
        <w:rPr>
          <w:noProof/>
        </w:rPr>
        <w:t>res stosowania rozporządzenia (UE) 2023/956. Ryzyko ucieczki emisji należy ocenić zarówno</w:t>
      </w:r>
      <w:r w:rsidR="005A1CAE" w:rsidRPr="005A1CAE">
        <w:rPr>
          <w:noProof/>
        </w:rPr>
        <w:t xml:space="preserve"> w</w:t>
      </w:r>
      <w:r w:rsidR="005A1CAE">
        <w:rPr>
          <w:noProof/>
        </w:rPr>
        <w:t> </w:t>
      </w:r>
      <w:r w:rsidR="005A1CAE" w:rsidRPr="005A1CAE">
        <w:rPr>
          <w:noProof/>
        </w:rPr>
        <w:t>odn</w:t>
      </w:r>
      <w:r w:rsidRPr="005A1CAE">
        <w:rPr>
          <w:noProof/>
        </w:rPr>
        <w:t>iesieniu do intensywności handlu produktem, jak</w:t>
      </w:r>
      <w:r w:rsidR="005A1CAE" w:rsidRPr="005A1CAE">
        <w:rPr>
          <w:noProof/>
        </w:rPr>
        <w:t xml:space="preserve"> i</w:t>
      </w:r>
      <w:r w:rsidR="005A1CAE">
        <w:rPr>
          <w:noProof/>
        </w:rPr>
        <w:t> </w:t>
      </w:r>
      <w:r w:rsidR="005A1CAE" w:rsidRPr="005A1CAE">
        <w:rPr>
          <w:noProof/>
        </w:rPr>
        <w:t>por</w:t>
      </w:r>
      <w:r w:rsidRPr="005A1CAE">
        <w:rPr>
          <w:noProof/>
        </w:rPr>
        <w:t>ównania kosztu emisji dwutlenku węgla wbudowanych związanych</w:t>
      </w:r>
      <w:r w:rsidR="005A1CAE" w:rsidRPr="005A1CAE">
        <w:rPr>
          <w:noProof/>
        </w:rPr>
        <w:t xml:space="preserve"> z</w:t>
      </w:r>
      <w:r w:rsidR="005A1CAE">
        <w:rPr>
          <w:noProof/>
        </w:rPr>
        <w:t> </w:t>
      </w:r>
      <w:r w:rsidR="005A1CAE" w:rsidRPr="005A1CAE">
        <w:rPr>
          <w:noProof/>
        </w:rPr>
        <w:t>mat</w:t>
      </w:r>
      <w:r w:rsidRPr="005A1CAE">
        <w:rPr>
          <w:noProof/>
        </w:rPr>
        <w:t>eriałami wsadowymi (prekursorami)</w:t>
      </w:r>
      <w:r w:rsidR="005A1CAE" w:rsidRPr="005A1CAE">
        <w:rPr>
          <w:noProof/>
        </w:rPr>
        <w:t xml:space="preserve"> w</w:t>
      </w:r>
      <w:r w:rsidR="005A1CAE">
        <w:rPr>
          <w:noProof/>
        </w:rPr>
        <w:t> </w:t>
      </w:r>
      <w:r w:rsidR="005A1CAE" w:rsidRPr="005A1CAE">
        <w:rPr>
          <w:noProof/>
        </w:rPr>
        <w:t>pro</w:t>
      </w:r>
      <w:r w:rsidRPr="005A1CAE">
        <w:rPr>
          <w:noProof/>
        </w:rPr>
        <w:t>dukcie</w:t>
      </w:r>
      <w:r w:rsidR="005A1CAE" w:rsidRPr="005A1CAE">
        <w:rPr>
          <w:noProof/>
        </w:rPr>
        <w:t xml:space="preserve"> z</w:t>
      </w:r>
      <w:r w:rsidR="005A1CAE">
        <w:rPr>
          <w:noProof/>
        </w:rPr>
        <w:t> </w:t>
      </w:r>
      <w:r w:rsidR="005A1CAE" w:rsidRPr="005A1CAE">
        <w:rPr>
          <w:noProof/>
        </w:rPr>
        <w:t>ogó</w:t>
      </w:r>
      <w:r w:rsidRPr="005A1CAE">
        <w:rPr>
          <w:noProof/>
        </w:rPr>
        <w:t>lną wartością dodaną produktu. Na podstawie tych samych kryteriów Komisja powinna</w:t>
      </w:r>
      <w:r w:rsidR="005A1CAE" w:rsidRPr="005A1CAE">
        <w:rPr>
          <w:noProof/>
        </w:rPr>
        <w:t xml:space="preserve"> w</w:t>
      </w:r>
      <w:r w:rsidR="005A1CAE">
        <w:rPr>
          <w:noProof/>
        </w:rPr>
        <w:t> </w:t>
      </w:r>
      <w:r w:rsidR="005A1CAE" w:rsidRPr="005A1CAE">
        <w:rPr>
          <w:noProof/>
        </w:rPr>
        <w:t>prz</w:t>
      </w:r>
      <w:r w:rsidRPr="005A1CAE">
        <w:rPr>
          <w:noProof/>
        </w:rPr>
        <w:t>yszłości ocenić rozszerzenie zakresu stosowania tego rozporządzenia na dodatkowe towary niższego szczebla</w:t>
      </w:r>
      <w:r w:rsidR="005A1CAE" w:rsidRPr="005A1CAE">
        <w:rPr>
          <w:noProof/>
        </w:rPr>
        <w:t xml:space="preserve"> i</w:t>
      </w:r>
      <w:r w:rsidR="005A1CAE">
        <w:rPr>
          <w:noProof/>
        </w:rPr>
        <w:t> </w:t>
      </w:r>
      <w:r w:rsidR="005A1CAE" w:rsidRPr="005A1CAE">
        <w:rPr>
          <w:noProof/>
        </w:rPr>
        <w:t>prz</w:t>
      </w:r>
      <w:r w:rsidRPr="005A1CAE">
        <w:rPr>
          <w:noProof/>
        </w:rPr>
        <w:t>edstawić swoje wnioski</w:t>
      </w:r>
      <w:r w:rsidR="005A1CAE" w:rsidRPr="005A1CAE">
        <w:rPr>
          <w:noProof/>
        </w:rPr>
        <w:t xml:space="preserve"> w</w:t>
      </w:r>
      <w:r w:rsidR="005A1CAE">
        <w:rPr>
          <w:noProof/>
        </w:rPr>
        <w:t> </w:t>
      </w:r>
      <w:r w:rsidR="005A1CAE" w:rsidRPr="005A1CAE">
        <w:rPr>
          <w:noProof/>
        </w:rPr>
        <w:t>spr</w:t>
      </w:r>
      <w:r w:rsidRPr="005A1CAE">
        <w:rPr>
          <w:noProof/>
        </w:rPr>
        <w:t>awozdaniu dla Parlamentu Europejskiego</w:t>
      </w:r>
      <w:r w:rsidR="005A1CAE" w:rsidRPr="005A1CAE">
        <w:rPr>
          <w:noProof/>
        </w:rPr>
        <w:t xml:space="preserve"> i</w:t>
      </w:r>
      <w:r w:rsidR="005A1CAE">
        <w:rPr>
          <w:noProof/>
        </w:rPr>
        <w:t> </w:t>
      </w:r>
      <w:r w:rsidR="005A1CAE" w:rsidRPr="005A1CAE">
        <w:rPr>
          <w:noProof/>
        </w:rPr>
        <w:t>Rad</w:t>
      </w:r>
      <w:r w:rsidRPr="005A1CAE">
        <w:rPr>
          <w:noProof/>
        </w:rPr>
        <w:t>y.</w:t>
      </w:r>
    </w:p>
    <w:p w14:paraId="644713DC" w14:textId="1E671CFB" w:rsidR="00AF5F7E" w:rsidRPr="005A1CAE" w:rsidRDefault="00874ACF" w:rsidP="00874ACF">
      <w:pPr>
        <w:pStyle w:val="ManualConsidrant"/>
        <w:rPr>
          <w:noProof/>
        </w:rPr>
      </w:pPr>
      <w:r w:rsidRPr="005A1CAE">
        <w:rPr>
          <w:noProof/>
        </w:rPr>
        <w:t>(42)</w:t>
      </w:r>
      <w:r w:rsidRPr="005A1CAE">
        <w:rPr>
          <w:noProof/>
        </w:rPr>
        <w:tab/>
        <w:t>Zgodnie</w:t>
      </w:r>
      <w:r w:rsidR="005A1CAE" w:rsidRPr="005A1CAE">
        <w:rPr>
          <w:noProof/>
        </w:rPr>
        <w:t xml:space="preserve"> z</w:t>
      </w:r>
      <w:r w:rsidR="005A1CAE">
        <w:rPr>
          <w:noProof/>
        </w:rPr>
        <w:t> </w:t>
      </w:r>
      <w:r w:rsidR="005A1CAE" w:rsidRPr="005A1CAE">
        <w:rPr>
          <w:noProof/>
        </w:rPr>
        <w:t>zas</w:t>
      </w:r>
      <w:r w:rsidRPr="005A1CAE">
        <w:rPr>
          <w:noProof/>
        </w:rPr>
        <w:t>adami oraz metodami obliczeniowymi mającymi zastosowanie do innych towarów emisje wbudowane związane</w:t>
      </w:r>
      <w:r w:rsidR="005A1CAE" w:rsidRPr="005A1CAE">
        <w:rPr>
          <w:noProof/>
        </w:rPr>
        <w:t xml:space="preserve"> z</w:t>
      </w:r>
      <w:r w:rsidR="005A1CAE">
        <w:rPr>
          <w:noProof/>
        </w:rPr>
        <w:t> </w:t>
      </w:r>
      <w:r w:rsidR="005A1CAE" w:rsidRPr="005A1CAE">
        <w:rPr>
          <w:noProof/>
        </w:rPr>
        <w:t>tow</w:t>
      </w:r>
      <w:r w:rsidRPr="005A1CAE">
        <w:rPr>
          <w:noProof/>
        </w:rPr>
        <w:t>arami niższego szczebla należy obliczać na podstawie rzeczywistych emisji zweryfikowanych przez weryfikatora lub przez odniesienie do wartości domyślnych obliczonych</w:t>
      </w:r>
      <w:r w:rsidR="005A1CAE" w:rsidRPr="005A1CAE">
        <w:rPr>
          <w:noProof/>
        </w:rPr>
        <w:t xml:space="preserve"> i</w:t>
      </w:r>
      <w:r w:rsidR="005A1CAE">
        <w:rPr>
          <w:noProof/>
        </w:rPr>
        <w:t> </w:t>
      </w:r>
      <w:r w:rsidR="005A1CAE" w:rsidRPr="005A1CAE">
        <w:rPr>
          <w:noProof/>
        </w:rPr>
        <w:t>udo</w:t>
      </w:r>
      <w:r w:rsidRPr="005A1CAE">
        <w:rPr>
          <w:noProof/>
        </w:rPr>
        <w:t>stępnionych przez Komisję. Ponieważ granice systemowe procesów produkcji są ograniczone do granic systemowych procesów produkcji objętych EU ETS, przypisanie emisji wbudowanych związanych</w:t>
      </w:r>
      <w:r w:rsidR="005A1CAE" w:rsidRPr="005A1CAE">
        <w:rPr>
          <w:noProof/>
        </w:rPr>
        <w:t xml:space="preserve"> z</w:t>
      </w:r>
      <w:r w:rsidR="005A1CAE">
        <w:rPr>
          <w:noProof/>
        </w:rPr>
        <w:t> </w:t>
      </w:r>
      <w:r w:rsidR="005A1CAE" w:rsidRPr="005A1CAE">
        <w:rPr>
          <w:noProof/>
        </w:rPr>
        <w:t>tow</w:t>
      </w:r>
      <w:r w:rsidRPr="005A1CAE">
        <w:rPr>
          <w:noProof/>
        </w:rPr>
        <w:t>arami niższego szczebla należy ograniczyć do emisji zawartych</w:t>
      </w:r>
      <w:r w:rsidR="005A1CAE" w:rsidRPr="005A1CAE">
        <w:rPr>
          <w:noProof/>
        </w:rPr>
        <w:t xml:space="preserve"> w</w:t>
      </w:r>
      <w:r w:rsidR="005A1CAE">
        <w:rPr>
          <w:noProof/>
        </w:rPr>
        <w:t> </w:t>
      </w:r>
      <w:r w:rsidR="005A1CAE" w:rsidRPr="005A1CAE">
        <w:rPr>
          <w:noProof/>
        </w:rPr>
        <w:t>mat</w:t>
      </w:r>
      <w:r w:rsidRPr="005A1CAE">
        <w:rPr>
          <w:noProof/>
        </w:rPr>
        <w:t>eriałach wsadowych (prekursorach). Przy obliczaniu emisji wbudowanych należy uwzględniać materiały wsadowe (prekursory) towarów niższego szczebla, które nie są wymienione</w:t>
      </w:r>
      <w:r w:rsidR="005A1CAE" w:rsidRPr="005A1CAE">
        <w:rPr>
          <w:noProof/>
        </w:rPr>
        <w:t xml:space="preserve"> w</w:t>
      </w:r>
      <w:r w:rsidR="005A1CAE">
        <w:rPr>
          <w:noProof/>
        </w:rPr>
        <w:t> </w:t>
      </w:r>
      <w:r w:rsidR="005A1CAE" w:rsidRPr="005A1CAE">
        <w:rPr>
          <w:noProof/>
        </w:rPr>
        <w:t>zał</w:t>
      </w:r>
      <w:r w:rsidRPr="005A1CAE">
        <w:rPr>
          <w:noProof/>
        </w:rPr>
        <w:t>ączniku II do rozporządzenia (UE) 2023/956.</w:t>
      </w:r>
    </w:p>
    <w:p w14:paraId="15D1B89D" w14:textId="33C969C2" w:rsidR="00AF5F7E" w:rsidRPr="005A1CAE" w:rsidRDefault="00874ACF" w:rsidP="00874ACF">
      <w:pPr>
        <w:pStyle w:val="ManualConsidrant"/>
        <w:rPr>
          <w:noProof/>
        </w:rPr>
      </w:pPr>
      <w:r w:rsidRPr="005A1CAE">
        <w:rPr>
          <w:noProof/>
        </w:rPr>
        <w:t>(43)</w:t>
      </w:r>
      <w:r w:rsidRPr="005A1CAE">
        <w:rPr>
          <w:noProof/>
        </w:rPr>
        <w:tab/>
        <w:t>W przypadku ograniczonej liczby towarów niższego szczebla emisje wbudowane mogą,</w:t>
      </w:r>
      <w:r w:rsidR="005A1CAE" w:rsidRPr="005A1CAE">
        <w:rPr>
          <w:noProof/>
        </w:rPr>
        <w:t xml:space="preserve"> w</w:t>
      </w:r>
      <w:r w:rsidR="005A1CAE">
        <w:rPr>
          <w:noProof/>
        </w:rPr>
        <w:t> </w:t>
      </w:r>
      <w:r w:rsidR="005A1CAE" w:rsidRPr="005A1CAE">
        <w:rPr>
          <w:noProof/>
        </w:rPr>
        <w:t>zal</w:t>
      </w:r>
      <w:r w:rsidRPr="005A1CAE">
        <w:rPr>
          <w:noProof/>
        </w:rPr>
        <w:t>eżności od składu materiałowego towaru, całkowicie wykraczać poza zakres stosowania CBAM. Należy zatem określić, że towary niższego szczebla, które są wykonane wyłącznie</w:t>
      </w:r>
      <w:r w:rsidR="005A1CAE" w:rsidRPr="005A1CAE">
        <w:rPr>
          <w:noProof/>
        </w:rPr>
        <w:t xml:space="preserve"> z</w:t>
      </w:r>
      <w:r w:rsidR="005A1CAE">
        <w:rPr>
          <w:noProof/>
        </w:rPr>
        <w:t> </w:t>
      </w:r>
      <w:r w:rsidR="005A1CAE" w:rsidRPr="005A1CAE">
        <w:rPr>
          <w:noProof/>
        </w:rPr>
        <w:t>mat</w:t>
      </w:r>
      <w:r w:rsidRPr="005A1CAE">
        <w:rPr>
          <w:noProof/>
        </w:rPr>
        <w:t>eriałów nieobjętych zakresem stosowania CBAM, nie powinny być objęte zakresem załącznika I do rozporządzenia (UE) 2023/956.</w:t>
      </w:r>
    </w:p>
    <w:p w14:paraId="29A422C6" w14:textId="6CD485D4" w:rsidR="00AF5F7E" w:rsidRPr="005A1CAE" w:rsidDel="00983EDC" w:rsidRDefault="00874ACF" w:rsidP="00874ACF">
      <w:pPr>
        <w:pStyle w:val="ManualConsidrant"/>
        <w:rPr>
          <w:noProof/>
        </w:rPr>
      </w:pPr>
      <w:r w:rsidRPr="005A1CAE">
        <w:rPr>
          <w:noProof/>
        </w:rPr>
        <w:t>(44)</w:t>
      </w:r>
      <w:r w:rsidRPr="005A1CAE">
        <w:rPr>
          <w:noProof/>
        </w:rPr>
        <w:tab/>
        <w:t>Szczególne wyzwania pojawiają się</w:t>
      </w:r>
      <w:r w:rsidR="005A1CAE" w:rsidRPr="005A1CAE">
        <w:rPr>
          <w:noProof/>
        </w:rPr>
        <w:t xml:space="preserve"> 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wyk</w:t>
      </w:r>
      <w:r w:rsidRPr="005A1CAE">
        <w:rPr>
          <w:noProof/>
        </w:rPr>
        <w:t>orzystaniem rzeczywistych emisji wbudowanych związanych</w:t>
      </w:r>
      <w:r w:rsidR="005A1CAE" w:rsidRPr="005A1CAE">
        <w:rPr>
          <w:noProof/>
        </w:rPr>
        <w:t xml:space="preserve"> z</w:t>
      </w:r>
      <w:r w:rsidR="005A1CAE">
        <w:rPr>
          <w:noProof/>
        </w:rPr>
        <w:t> </w:t>
      </w:r>
      <w:r w:rsidR="005A1CAE" w:rsidRPr="005A1CAE">
        <w:rPr>
          <w:noProof/>
        </w:rPr>
        <w:t>tow</w:t>
      </w:r>
      <w:r w:rsidRPr="005A1CAE">
        <w:rPr>
          <w:noProof/>
        </w:rPr>
        <w:t>arami niższego szczebla produkowanymi</w:t>
      </w:r>
      <w:r w:rsidR="005A1CAE" w:rsidRPr="005A1CAE">
        <w:rPr>
          <w:noProof/>
        </w:rPr>
        <w:t xml:space="preserve"> z</w:t>
      </w:r>
      <w:r w:rsidR="005A1CAE">
        <w:rPr>
          <w:noProof/>
        </w:rPr>
        <w:t> </w:t>
      </w:r>
      <w:r w:rsidR="005A1CAE" w:rsidRPr="005A1CAE">
        <w:rPr>
          <w:noProof/>
        </w:rPr>
        <w:t>wyk</w:t>
      </w:r>
      <w:r w:rsidRPr="005A1CAE">
        <w:rPr>
          <w:noProof/>
        </w:rPr>
        <w:t>orzystaniem wielu materiałów wsadowych (prekursorów) oraz</w:t>
      </w:r>
      <w:r w:rsidR="005A1CAE" w:rsidRPr="005A1CAE">
        <w:rPr>
          <w:noProof/>
        </w:rPr>
        <w:t xml:space="preserve"> w</w:t>
      </w:r>
      <w:r w:rsidR="005A1CAE">
        <w:rPr>
          <w:noProof/>
        </w:rPr>
        <w:t> </w:t>
      </w:r>
      <w:r w:rsidR="005A1CAE" w:rsidRPr="005A1CAE">
        <w:rPr>
          <w:noProof/>
        </w:rPr>
        <w:t>prz</w:t>
      </w:r>
      <w:r w:rsidRPr="005A1CAE">
        <w:rPr>
          <w:noProof/>
        </w:rPr>
        <w:t>ypadku gdy materiały te należą do różnych sektorów objętych CBAM lub do sektorów nieobjętych zakresem stosowania niniejszego rozporządzenia. Towary te mają zazwyczaj dłuższe</w:t>
      </w:r>
      <w:r w:rsidR="005A1CAE" w:rsidRPr="005A1CAE">
        <w:rPr>
          <w:noProof/>
        </w:rPr>
        <w:t xml:space="preserve"> i</w:t>
      </w:r>
      <w:r w:rsidR="005A1CAE">
        <w:rPr>
          <w:noProof/>
        </w:rPr>
        <w:t> </w:t>
      </w:r>
      <w:r w:rsidR="005A1CAE" w:rsidRPr="005A1CAE">
        <w:rPr>
          <w:noProof/>
        </w:rPr>
        <w:t>bar</w:t>
      </w:r>
      <w:r w:rsidRPr="005A1CAE">
        <w:rPr>
          <w:noProof/>
        </w:rPr>
        <w:t>dziej złożone globalne łańcuchy wartości,</w:t>
      </w:r>
      <w:r w:rsidR="005A1CAE" w:rsidRPr="005A1CAE">
        <w:rPr>
          <w:noProof/>
        </w:rPr>
        <w:t xml:space="preserve"> a</w:t>
      </w:r>
      <w:r w:rsidR="005A1CAE">
        <w:rPr>
          <w:noProof/>
        </w:rPr>
        <w:t> </w:t>
      </w:r>
      <w:r w:rsidR="005A1CAE" w:rsidRPr="005A1CAE">
        <w:rPr>
          <w:noProof/>
        </w:rPr>
        <w:t>ich</w:t>
      </w:r>
      <w:r w:rsidRPr="005A1CAE">
        <w:rPr>
          <w:noProof/>
        </w:rPr>
        <w:t xml:space="preserve"> produkcja obejmuje wiele etapów produkcji. Pozyskiwanie zweryfikowanych informacji na temat rzeczywistych emisji</w:t>
      </w:r>
      <w:r w:rsidR="005A1CAE" w:rsidRPr="005A1CAE">
        <w:rPr>
          <w:noProof/>
        </w:rPr>
        <w:t xml:space="preserve"> z</w:t>
      </w:r>
      <w:r w:rsidR="005A1CAE">
        <w:rPr>
          <w:noProof/>
        </w:rPr>
        <w:t> </w:t>
      </w:r>
      <w:r w:rsidR="005A1CAE" w:rsidRPr="005A1CAE">
        <w:rPr>
          <w:noProof/>
        </w:rPr>
        <w:t>mat</w:t>
      </w:r>
      <w:r w:rsidRPr="005A1CAE">
        <w:rPr>
          <w:noProof/>
        </w:rPr>
        <w:t>eriałów wsadowych (prekursorów) będzie trudne pod względem administracyjnym, co</w:t>
      </w:r>
      <w:r w:rsidR="005A1CAE" w:rsidRPr="005A1CAE">
        <w:rPr>
          <w:noProof/>
        </w:rPr>
        <w:t xml:space="preserve"> z</w:t>
      </w:r>
      <w:r w:rsidR="005A1CAE">
        <w:rPr>
          <w:noProof/>
        </w:rPr>
        <w:t> </w:t>
      </w:r>
      <w:r w:rsidR="005A1CAE" w:rsidRPr="005A1CAE">
        <w:rPr>
          <w:noProof/>
        </w:rPr>
        <w:t>kol</w:t>
      </w:r>
      <w:r w:rsidRPr="005A1CAE">
        <w:rPr>
          <w:noProof/>
        </w:rPr>
        <w:t xml:space="preserve">ei zniechęci do wykorzystania rzeczywistych emisji. Aby sprostać tym wyzwaniom, należy ułatwić stosowanie wartości domyślnych odnoszących się do tych konkretnych towarów przez niestosowanie narzutu, bez uszczerbku dla integralności środowiskowej CBAM. </w:t>
      </w:r>
    </w:p>
    <w:p w14:paraId="18D6C133" w14:textId="4304B41B" w:rsidR="00AF5F7E" w:rsidRPr="005A1CAE" w:rsidRDefault="00874ACF" w:rsidP="00874ACF">
      <w:pPr>
        <w:pStyle w:val="ManualConsidrant"/>
        <w:rPr>
          <w:noProof/>
        </w:rPr>
      </w:pPr>
      <w:r w:rsidRPr="005A1CAE">
        <w:rPr>
          <w:noProof/>
        </w:rPr>
        <w:t>(45)</w:t>
      </w:r>
      <w:r w:rsidRPr="005A1CAE">
        <w:rPr>
          <w:noProof/>
        </w:rPr>
        <w:tab/>
        <w:t>Szczególne wyzwania pojawiają się</w:t>
      </w:r>
      <w:r w:rsidR="005A1CAE" w:rsidRPr="005A1CAE">
        <w:rPr>
          <w:noProof/>
        </w:rPr>
        <w:t xml:space="preserve"> 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wyk</w:t>
      </w:r>
      <w:r w:rsidRPr="005A1CAE">
        <w:rPr>
          <w:noProof/>
        </w:rPr>
        <w:t>orzystaniem rzeczywistych emisji wbudowanych związanych</w:t>
      </w:r>
      <w:r w:rsidR="005A1CAE" w:rsidRPr="005A1CAE">
        <w:rPr>
          <w:noProof/>
        </w:rPr>
        <w:t xml:space="preserve"> z</w:t>
      </w:r>
      <w:r w:rsidR="005A1CAE">
        <w:rPr>
          <w:noProof/>
        </w:rPr>
        <w:t> </w:t>
      </w:r>
      <w:r w:rsidR="005A1CAE" w:rsidRPr="005A1CAE">
        <w:rPr>
          <w:noProof/>
        </w:rPr>
        <w:t>tow</w:t>
      </w:r>
      <w:r w:rsidRPr="005A1CAE">
        <w:rPr>
          <w:noProof/>
        </w:rPr>
        <w:t>arami niższego szczebla objętymi sektorami „żeliwo</w:t>
      </w:r>
      <w:r w:rsidR="005A1CAE" w:rsidRPr="005A1CAE">
        <w:rPr>
          <w:noProof/>
        </w:rPr>
        <w:t xml:space="preserve"> i</w:t>
      </w:r>
      <w:r w:rsidR="005A1CAE">
        <w:rPr>
          <w:noProof/>
        </w:rPr>
        <w:t> </w:t>
      </w:r>
      <w:r w:rsidR="005A1CAE" w:rsidRPr="005A1CAE">
        <w:rPr>
          <w:noProof/>
        </w:rPr>
        <w:t>sta</w:t>
      </w:r>
      <w:r w:rsidRPr="005A1CAE">
        <w:rPr>
          <w:noProof/>
        </w:rPr>
        <w:t>l”, „aluminium” i „towary</w:t>
      </w:r>
      <w:r w:rsidR="005A1CAE" w:rsidRPr="005A1CAE">
        <w:rPr>
          <w:noProof/>
        </w:rPr>
        <w:t xml:space="preserve"> z</w:t>
      </w:r>
      <w:r w:rsidR="005A1CAE">
        <w:rPr>
          <w:noProof/>
        </w:rPr>
        <w:t> </w:t>
      </w:r>
      <w:r w:rsidR="005A1CAE" w:rsidRPr="005A1CAE">
        <w:rPr>
          <w:noProof/>
        </w:rPr>
        <w:t>met</w:t>
      </w:r>
      <w:r w:rsidRPr="005A1CAE">
        <w:rPr>
          <w:noProof/>
        </w:rPr>
        <w:t>ali łączonych”,</w:t>
      </w:r>
      <w:r w:rsidR="005A1CAE" w:rsidRPr="005A1CAE">
        <w:rPr>
          <w:noProof/>
        </w:rPr>
        <w:t xml:space="preserve"> o</w:t>
      </w:r>
      <w:r w:rsidR="005A1CAE">
        <w:rPr>
          <w:noProof/>
        </w:rPr>
        <w:t> </w:t>
      </w:r>
      <w:r w:rsidR="005A1CAE" w:rsidRPr="005A1CAE">
        <w:rPr>
          <w:noProof/>
        </w:rPr>
        <w:t>któ</w:t>
      </w:r>
      <w:r w:rsidRPr="005A1CAE">
        <w:rPr>
          <w:noProof/>
        </w:rPr>
        <w:t>rych mowa</w:t>
      </w:r>
      <w:r w:rsidR="005A1CAE" w:rsidRPr="005A1CAE">
        <w:rPr>
          <w:noProof/>
        </w:rPr>
        <w:t xml:space="preserve"> w</w:t>
      </w:r>
      <w:r w:rsidR="005A1CAE">
        <w:rPr>
          <w:noProof/>
        </w:rPr>
        <w:t> </w:t>
      </w:r>
      <w:r w:rsidR="005A1CAE" w:rsidRPr="005A1CAE">
        <w:rPr>
          <w:noProof/>
        </w:rPr>
        <w:t>zał</w:t>
      </w:r>
      <w:r w:rsidRPr="005A1CAE">
        <w:rPr>
          <w:noProof/>
        </w:rPr>
        <w:t xml:space="preserve">ączniku I do </w:t>
      </w:r>
      <w:r w:rsidRPr="005A1CAE">
        <w:rPr>
          <w:noProof/>
        </w:rPr>
        <w:lastRenderedPageBreak/>
        <w:t>rozporządzenia (UE) 2023/956. Ze względu na wyzwania związane</w:t>
      </w:r>
      <w:r w:rsidR="005A1CAE" w:rsidRPr="005A1CAE">
        <w:rPr>
          <w:noProof/>
        </w:rPr>
        <w:t xml:space="preserve"> z</w:t>
      </w:r>
      <w:r w:rsidR="005A1CAE">
        <w:rPr>
          <w:noProof/>
        </w:rPr>
        <w:t> </w:t>
      </w:r>
      <w:r w:rsidR="005A1CAE" w:rsidRPr="005A1CAE">
        <w:rPr>
          <w:noProof/>
        </w:rPr>
        <w:t>gro</w:t>
      </w:r>
      <w:r w:rsidRPr="005A1CAE">
        <w:rPr>
          <w:noProof/>
        </w:rPr>
        <w:t>madzeniem danych</w:t>
      </w:r>
      <w:r w:rsidR="005A1CAE" w:rsidRPr="005A1CAE">
        <w:rPr>
          <w:noProof/>
        </w:rPr>
        <w:t xml:space="preserve"> w</w:t>
      </w:r>
      <w:r w:rsidR="005A1CAE">
        <w:rPr>
          <w:noProof/>
        </w:rPr>
        <w:t> </w:t>
      </w:r>
      <w:r w:rsidR="005A1CAE" w:rsidRPr="005A1CAE">
        <w:rPr>
          <w:noProof/>
        </w:rPr>
        <w:t>cał</w:t>
      </w:r>
      <w:r w:rsidRPr="005A1CAE">
        <w:rPr>
          <w:noProof/>
        </w:rPr>
        <w:t>ym łańcuchu dostaw niektórych komponentów tych towarów specyficzne emisje wbudowane związane ze wszystkimi towarami objętymi tymi sekcjami należy obliczać jako funkcję emisji wbudowanych związanych</w:t>
      </w:r>
      <w:r w:rsidR="005A1CAE" w:rsidRPr="005A1CAE">
        <w:rPr>
          <w:noProof/>
        </w:rPr>
        <w:t xml:space="preserve"> z</w:t>
      </w:r>
      <w:r w:rsidR="005A1CAE">
        <w:rPr>
          <w:noProof/>
        </w:rPr>
        <w:t> </w:t>
      </w:r>
      <w:r w:rsidR="005A1CAE" w:rsidRPr="005A1CAE">
        <w:rPr>
          <w:noProof/>
        </w:rPr>
        <w:t>mat</w:t>
      </w:r>
      <w:r w:rsidRPr="005A1CAE">
        <w:rPr>
          <w:noProof/>
        </w:rPr>
        <w:t>eriałami wsadowymi (prekursorami) zawartymi</w:t>
      </w:r>
      <w:r w:rsidR="005A1CAE" w:rsidRPr="005A1CAE">
        <w:rPr>
          <w:noProof/>
        </w:rPr>
        <w:t xml:space="preserve"> w</w:t>
      </w:r>
      <w:r w:rsidR="005A1CAE">
        <w:rPr>
          <w:noProof/>
        </w:rPr>
        <w:t> </w:t>
      </w:r>
      <w:r w:rsidR="005A1CAE" w:rsidRPr="005A1CAE">
        <w:rPr>
          <w:noProof/>
        </w:rPr>
        <w:t>tow</w:t>
      </w:r>
      <w:r w:rsidRPr="005A1CAE">
        <w:rPr>
          <w:noProof/>
        </w:rPr>
        <w:t>arach.</w:t>
      </w:r>
    </w:p>
    <w:p w14:paraId="01BE8F02" w14:textId="7AA691F8" w:rsidR="00AF5F7E" w:rsidRPr="005A1CAE" w:rsidRDefault="00874ACF" w:rsidP="00874ACF">
      <w:pPr>
        <w:pStyle w:val="ManualConsidrant"/>
        <w:rPr>
          <w:noProof/>
        </w:rPr>
      </w:pPr>
      <w:r w:rsidRPr="005A1CAE">
        <w:rPr>
          <w:noProof/>
        </w:rPr>
        <w:t>(46)</w:t>
      </w:r>
      <w:r w:rsidRPr="005A1CAE">
        <w:rPr>
          <w:noProof/>
        </w:rPr>
        <w:tab/>
        <w:t>Metodę stosowaną do obliczania współczynnika emisji dla importowanej energii elektrycznej należy zmienić</w:t>
      </w:r>
      <w:r w:rsidR="005A1CAE" w:rsidRPr="005A1CAE">
        <w:rPr>
          <w:noProof/>
        </w:rPr>
        <w:t xml:space="preserve"> w</w:t>
      </w:r>
      <w:r w:rsidR="005A1CAE">
        <w:rPr>
          <w:noProof/>
        </w:rPr>
        <w:t> </w:t>
      </w:r>
      <w:r w:rsidR="005A1CAE" w:rsidRPr="005A1CAE">
        <w:rPr>
          <w:noProof/>
        </w:rPr>
        <w:t>tak</w:t>
      </w:r>
      <w:r w:rsidRPr="005A1CAE">
        <w:rPr>
          <w:noProof/>
        </w:rPr>
        <w:t>i sposób, aby uwzględniała energię elektryczną wytwarzaną ze wszystkich źródeł,</w:t>
      </w:r>
      <w:r w:rsidR="005A1CAE" w:rsidRPr="005A1CAE">
        <w:rPr>
          <w:noProof/>
        </w:rPr>
        <w:t xml:space="preserve"> w</w:t>
      </w:r>
      <w:r w:rsidR="005A1CAE">
        <w:rPr>
          <w:noProof/>
        </w:rPr>
        <w:t> </w:t>
      </w:r>
      <w:r w:rsidR="005A1CAE" w:rsidRPr="005A1CAE">
        <w:rPr>
          <w:noProof/>
        </w:rPr>
        <w:t>tym</w:t>
      </w:r>
      <w:r w:rsidRPr="005A1CAE">
        <w:rPr>
          <w:noProof/>
        </w:rPr>
        <w:t xml:space="preserve"> ze źródeł niekopalnych</w:t>
      </w:r>
      <w:r w:rsidR="005A1CAE" w:rsidRPr="005A1CAE">
        <w:rPr>
          <w:noProof/>
        </w:rPr>
        <w:t>. 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tym</w:t>
      </w:r>
      <w:r w:rsidRPr="005A1CAE">
        <w:rPr>
          <w:noProof/>
        </w:rPr>
        <w:t xml:space="preserve"> Komisja powinna obliczyć</w:t>
      </w:r>
      <w:r w:rsidR="005A1CAE" w:rsidRPr="005A1CAE">
        <w:rPr>
          <w:noProof/>
        </w:rPr>
        <w:t xml:space="preserve"> i</w:t>
      </w:r>
      <w:r w:rsidR="005A1CAE">
        <w:rPr>
          <w:noProof/>
        </w:rPr>
        <w:t> </w:t>
      </w:r>
      <w:r w:rsidR="005A1CAE" w:rsidRPr="005A1CAE">
        <w:rPr>
          <w:noProof/>
        </w:rPr>
        <w:t>udo</w:t>
      </w:r>
      <w:r w:rsidRPr="005A1CAE">
        <w:rPr>
          <w:noProof/>
        </w:rPr>
        <w:t>stępnić zmienione wartości domyślne dla importowanej energii elektrycznej.</w:t>
      </w:r>
    </w:p>
    <w:p w14:paraId="0680EC2A" w14:textId="1D4021A6" w:rsidR="00AF5F7E" w:rsidRPr="005A1CAE" w:rsidRDefault="00874ACF" w:rsidP="00874ACF">
      <w:pPr>
        <w:pStyle w:val="ManualConsidrant"/>
        <w:rPr>
          <w:noProof/>
        </w:rPr>
      </w:pPr>
      <w:r w:rsidRPr="005A1CAE">
        <w:rPr>
          <w:noProof/>
        </w:rPr>
        <w:t>(47)</w:t>
      </w:r>
      <w:r w:rsidRPr="005A1CAE">
        <w:rPr>
          <w:noProof/>
        </w:rPr>
        <w:tab/>
        <w:t>Aby zapewnić spójną metodykę</w:t>
      </w:r>
      <w:r w:rsidR="005A1CAE" w:rsidRPr="005A1CAE">
        <w:rPr>
          <w:noProof/>
        </w:rPr>
        <w:t xml:space="preserve"> w</w:t>
      </w:r>
      <w:r w:rsidR="005A1CAE">
        <w:rPr>
          <w:noProof/>
        </w:rPr>
        <w:t> </w:t>
      </w:r>
      <w:r w:rsidR="005A1CAE" w:rsidRPr="005A1CAE">
        <w:rPr>
          <w:noProof/>
        </w:rPr>
        <w:t>odn</w:t>
      </w:r>
      <w:r w:rsidRPr="005A1CAE">
        <w:rPr>
          <w:noProof/>
        </w:rPr>
        <w:t>iesieniu do wartości domyślnych dla emisji pośrednich, należy doprecyzować, że alternatywna wartość domyślna dla emisji pośrednich,</w:t>
      </w:r>
      <w:r w:rsidR="005A1CAE" w:rsidRPr="005A1CAE">
        <w:rPr>
          <w:noProof/>
        </w:rPr>
        <w:t xml:space="preserve"> w</w:t>
      </w:r>
      <w:r w:rsidR="005A1CAE">
        <w:rPr>
          <w:noProof/>
        </w:rPr>
        <w:t> </w:t>
      </w:r>
      <w:r w:rsidR="005A1CAE" w:rsidRPr="005A1CAE">
        <w:rPr>
          <w:noProof/>
        </w:rPr>
        <w:t>prz</w:t>
      </w:r>
      <w:r w:rsidRPr="005A1CAE">
        <w:rPr>
          <w:noProof/>
        </w:rPr>
        <w:t>ypadku której państwo trzecie lub grupa państw trzecich może wykazać, że jest niższa niż wartość ustalona przez Komisję, powinna opierać się na tej samej metodzie obliczeniowej co wartości domyślne dla emisji pośrednich określone przez Komisję.</w:t>
      </w:r>
    </w:p>
    <w:p w14:paraId="1AF0AFB9" w14:textId="349B28CC" w:rsidR="00AF5F7E" w:rsidRPr="005A1CAE" w:rsidRDefault="00874ACF" w:rsidP="00874ACF">
      <w:pPr>
        <w:pStyle w:val="ManualConsidrant"/>
        <w:rPr>
          <w:noProof/>
        </w:rPr>
      </w:pPr>
      <w:r w:rsidRPr="005A1CAE">
        <w:rPr>
          <w:noProof/>
        </w:rPr>
        <w:t>(48)</w:t>
      </w:r>
      <w:r w:rsidRPr="005A1CAE">
        <w:rPr>
          <w:noProof/>
        </w:rPr>
        <w:tab/>
        <w:t>Aby ułatwić określenie poziomu emisji wbudowanych związanych</w:t>
      </w:r>
      <w:r w:rsidR="005A1CAE" w:rsidRPr="005A1CAE">
        <w:rPr>
          <w:noProof/>
        </w:rPr>
        <w:t xml:space="preserve"> z</w:t>
      </w:r>
      <w:r w:rsidR="005A1CAE">
        <w:rPr>
          <w:noProof/>
        </w:rPr>
        <w:t> </w:t>
      </w:r>
      <w:r w:rsidR="005A1CAE" w:rsidRPr="005A1CAE">
        <w:rPr>
          <w:noProof/>
        </w:rPr>
        <w:t>ene</w:t>
      </w:r>
      <w:r w:rsidRPr="005A1CAE">
        <w:rPr>
          <w:noProof/>
        </w:rPr>
        <w:t>rgią elektryczną na podstawie rzeczywistych emisji, należy uelastycznić warunki stosowania rzeczywistych emisji wbudowanych związanych</w:t>
      </w:r>
      <w:r w:rsidR="005A1CAE" w:rsidRPr="005A1CAE">
        <w:rPr>
          <w:noProof/>
        </w:rPr>
        <w:t xml:space="preserve"> z</w:t>
      </w:r>
      <w:r w:rsidR="005A1CAE">
        <w:rPr>
          <w:noProof/>
        </w:rPr>
        <w:t> </w:t>
      </w:r>
      <w:r w:rsidR="005A1CAE" w:rsidRPr="005A1CAE">
        <w:rPr>
          <w:noProof/>
        </w:rPr>
        <w:t>imp</w:t>
      </w:r>
      <w:r w:rsidRPr="005A1CAE">
        <w:rPr>
          <w:noProof/>
        </w:rPr>
        <w:t>ortowaną energią elektryczną. Należy doprecyzować, że można stosować niektóre umowy zakupu energii elektrycznej zawarte między pośrednikami</w:t>
      </w:r>
      <w:r w:rsidR="005A1CAE" w:rsidRPr="005A1CAE">
        <w:rPr>
          <w:noProof/>
        </w:rPr>
        <w:t>. W</w:t>
      </w:r>
      <w:r w:rsidR="005A1CAE">
        <w:rPr>
          <w:noProof/>
        </w:rPr>
        <w:t> </w:t>
      </w:r>
      <w:r w:rsidR="005A1CAE" w:rsidRPr="005A1CAE">
        <w:rPr>
          <w:noProof/>
        </w:rPr>
        <w:t>świ</w:t>
      </w:r>
      <w:r w:rsidRPr="005A1CAE">
        <w:rPr>
          <w:noProof/>
        </w:rPr>
        <w:t>etle praktycznych trudności</w:t>
      </w:r>
      <w:r w:rsidR="005A1CAE" w:rsidRPr="005A1CAE">
        <w:rPr>
          <w:noProof/>
        </w:rPr>
        <w:t xml:space="preserve"> w</w:t>
      </w:r>
      <w:r w:rsidR="005A1CAE">
        <w:rPr>
          <w:noProof/>
        </w:rPr>
        <w:t> </w:t>
      </w:r>
      <w:r w:rsidR="005A1CAE" w:rsidRPr="005A1CAE">
        <w:rPr>
          <w:noProof/>
        </w:rPr>
        <w:t>wyk</w:t>
      </w:r>
      <w:r w:rsidRPr="005A1CAE">
        <w:rPr>
          <w:noProof/>
        </w:rPr>
        <w:t>azaniu, że</w:t>
      </w:r>
      <w:r w:rsidR="005A1CAE" w:rsidRPr="005A1CAE">
        <w:rPr>
          <w:noProof/>
        </w:rPr>
        <w:t xml:space="preserve"> w</w:t>
      </w:r>
      <w:r w:rsidR="005A1CAE">
        <w:rPr>
          <w:noProof/>
        </w:rPr>
        <w:t> </w:t>
      </w:r>
      <w:r w:rsidR="005A1CAE" w:rsidRPr="005A1CAE">
        <w:rPr>
          <w:noProof/>
        </w:rPr>
        <w:t>mom</w:t>
      </w:r>
      <w:r w:rsidRPr="005A1CAE">
        <w:rPr>
          <w:noProof/>
        </w:rPr>
        <w:t>encie przywozu nie doszło do fizycznego przeciążenia sieci</w:t>
      </w:r>
      <w:r w:rsidR="005A1CAE" w:rsidRPr="005A1CAE">
        <w:rPr>
          <w:noProof/>
        </w:rPr>
        <w:t xml:space="preserve"> w</w:t>
      </w:r>
      <w:r w:rsidR="005A1CAE">
        <w:rPr>
          <w:noProof/>
        </w:rPr>
        <w:t> </w:t>
      </w:r>
      <w:r w:rsidR="005A1CAE" w:rsidRPr="005A1CAE">
        <w:rPr>
          <w:noProof/>
        </w:rPr>
        <w:t>żad</w:t>
      </w:r>
      <w:r w:rsidRPr="005A1CAE">
        <w:rPr>
          <w:noProof/>
        </w:rPr>
        <w:t>nym punkcie sieci, należy ponadto usunąć to kryterium oraz alternatywne kryterium dotyczące wykazania bezpośredniego podłączenia do unijnego systemu przesyłowego. Nie powinno być konieczne również wykazanie stałej nominacji przydzielonej przepustowości połączeń wzajemnych, jeżeli zdolności przesyłowe są przydzielane</w:t>
      </w:r>
      <w:r w:rsidR="005A1CAE" w:rsidRPr="005A1CAE">
        <w:rPr>
          <w:noProof/>
        </w:rPr>
        <w:t xml:space="preserve"> w</w:t>
      </w:r>
      <w:r w:rsidR="005A1CAE">
        <w:rPr>
          <w:noProof/>
        </w:rPr>
        <w:t> </w:t>
      </w:r>
      <w:r w:rsidR="005A1CAE" w:rsidRPr="005A1CAE">
        <w:rPr>
          <w:noProof/>
        </w:rPr>
        <w:t>dro</w:t>
      </w:r>
      <w:r w:rsidRPr="005A1CAE">
        <w:rPr>
          <w:noProof/>
        </w:rPr>
        <w:t>dze alokacji zdolności typu „implicit”.</w:t>
      </w:r>
    </w:p>
    <w:p w14:paraId="1E9219FA" w14:textId="3A47BBF0" w:rsidR="00AF5F7E" w:rsidRPr="005A1CAE" w:rsidRDefault="00874ACF" w:rsidP="00874ACF">
      <w:pPr>
        <w:pStyle w:val="ManualConsidrant"/>
        <w:rPr>
          <w:noProof/>
        </w:rPr>
      </w:pPr>
      <w:r w:rsidRPr="005A1CAE">
        <w:rPr>
          <w:noProof/>
        </w:rPr>
        <w:t>(49)</w:t>
      </w:r>
      <w:r w:rsidRPr="005A1CAE">
        <w:rPr>
          <w:noProof/>
        </w:rPr>
        <w:tab/>
        <w:t>Ze względu na fakt, że niektóre elementy danych stanowiących podstawę weryfikacji emisji wbudowanych są szczególnie chronionymi informacjami handlowymi, sprawozdanie</w:t>
      </w:r>
      <w:r w:rsidR="005A1CAE" w:rsidRPr="005A1CAE">
        <w:rPr>
          <w:noProof/>
        </w:rPr>
        <w:t xml:space="preserve"> z</w:t>
      </w:r>
      <w:r w:rsidR="005A1CAE">
        <w:rPr>
          <w:noProof/>
        </w:rPr>
        <w:t> </w:t>
      </w:r>
      <w:r w:rsidR="005A1CAE" w:rsidRPr="005A1CAE">
        <w:rPr>
          <w:noProof/>
        </w:rPr>
        <w:t>wer</w:t>
      </w:r>
      <w:r w:rsidRPr="005A1CAE">
        <w:rPr>
          <w:noProof/>
        </w:rPr>
        <w:t>yfikacji powinno zawierać wyłącznie informacje niezbędne do ustalenia emisji wbudowanych związanych</w:t>
      </w:r>
      <w:r w:rsidR="005A1CAE" w:rsidRPr="005A1CAE">
        <w:rPr>
          <w:noProof/>
        </w:rPr>
        <w:t xml:space="preserve"> z</w:t>
      </w:r>
      <w:r w:rsidR="005A1CAE">
        <w:rPr>
          <w:noProof/>
        </w:rPr>
        <w:t> </w:t>
      </w:r>
      <w:r w:rsidR="005A1CAE" w:rsidRPr="005A1CAE">
        <w:rPr>
          <w:noProof/>
        </w:rPr>
        <w:t>tow</w:t>
      </w:r>
      <w:r w:rsidRPr="005A1CAE">
        <w:rPr>
          <w:noProof/>
        </w:rPr>
        <w:t>arami. Informacji na temat emisji uwolnionych przez instalację lub na temat towarów, które nie są objęte zakresem stosowania niniejszego rozporządzenia, mimo że podlegają przeglądowi przez weryfikatora, nie należy uwzględniać</w:t>
      </w:r>
      <w:r w:rsidR="005A1CAE" w:rsidRPr="005A1CAE">
        <w:rPr>
          <w:noProof/>
        </w:rPr>
        <w:t xml:space="preserve"> w</w:t>
      </w:r>
      <w:r w:rsidR="005A1CAE">
        <w:rPr>
          <w:noProof/>
        </w:rPr>
        <w:t> </w:t>
      </w:r>
      <w:r w:rsidR="005A1CAE" w:rsidRPr="005A1CAE">
        <w:rPr>
          <w:noProof/>
        </w:rPr>
        <w:t>spr</w:t>
      </w:r>
      <w:r w:rsidRPr="005A1CAE">
        <w:rPr>
          <w:noProof/>
        </w:rPr>
        <w:t>awozdaniu</w:t>
      </w:r>
      <w:r w:rsidR="005A1CAE" w:rsidRPr="005A1CAE">
        <w:rPr>
          <w:noProof/>
        </w:rPr>
        <w:t xml:space="preserve"> z</w:t>
      </w:r>
      <w:r w:rsidR="005A1CAE">
        <w:rPr>
          <w:noProof/>
        </w:rPr>
        <w:t> </w:t>
      </w:r>
      <w:r w:rsidR="005A1CAE" w:rsidRPr="005A1CAE">
        <w:rPr>
          <w:noProof/>
        </w:rPr>
        <w:t>wer</w:t>
      </w:r>
      <w:r w:rsidRPr="005A1CAE">
        <w:rPr>
          <w:noProof/>
        </w:rPr>
        <w:t xml:space="preserve">yfikacji. </w:t>
      </w:r>
    </w:p>
    <w:p w14:paraId="65FB44E0" w14:textId="3A34B902" w:rsidR="00AF5F7E" w:rsidRPr="005A1CAE" w:rsidRDefault="00874ACF" w:rsidP="00874ACF">
      <w:pPr>
        <w:pStyle w:val="ManualConsidrant"/>
        <w:rPr>
          <w:noProof/>
        </w:rPr>
      </w:pPr>
      <w:r w:rsidRPr="005A1CAE">
        <w:rPr>
          <w:noProof/>
        </w:rPr>
        <w:t>(50)</w:t>
      </w:r>
      <w:r w:rsidRPr="005A1CAE">
        <w:rPr>
          <w:noProof/>
        </w:rPr>
        <w:tab/>
        <w:t>W celu zmiany niektórych, innych niż istotne, elementów rozporządzenia (UE) 2023/956 należy przekazać Komisji uprawnienia do przyjmowania aktów zgodnie</w:t>
      </w:r>
      <w:r w:rsidR="005A1CAE" w:rsidRPr="005A1CAE">
        <w:rPr>
          <w:noProof/>
        </w:rPr>
        <w:t xml:space="preserve"> z</w:t>
      </w:r>
      <w:r w:rsidR="005A1CAE">
        <w:rPr>
          <w:noProof/>
        </w:rPr>
        <w:t> </w:t>
      </w:r>
      <w:r w:rsidR="005A1CAE" w:rsidRPr="005A1CAE">
        <w:rPr>
          <w:noProof/>
        </w:rPr>
        <w:t>art</w:t>
      </w:r>
      <w:r w:rsidRPr="005A1CAE">
        <w:rPr>
          <w:noProof/>
        </w:rPr>
        <w:t>.</w:t>
      </w:r>
      <w:r w:rsidR="005A1CAE" w:rsidRPr="005A1CAE">
        <w:rPr>
          <w:noProof/>
        </w:rPr>
        <w:t> </w:t>
      </w:r>
      <w:r w:rsidRPr="005A1CAE">
        <w:rPr>
          <w:noProof/>
        </w:rPr>
        <w:t>290 Traktatu</w:t>
      </w:r>
      <w:r w:rsidR="005A1CAE" w:rsidRPr="005A1CAE">
        <w:rPr>
          <w:noProof/>
        </w:rPr>
        <w:t xml:space="preserve"> o</w:t>
      </w:r>
      <w:r w:rsidR="005A1CAE">
        <w:rPr>
          <w:noProof/>
        </w:rPr>
        <w:t> </w:t>
      </w:r>
      <w:r w:rsidR="005A1CAE" w:rsidRPr="005A1CAE">
        <w:rPr>
          <w:noProof/>
        </w:rPr>
        <w:t>fun</w:t>
      </w:r>
      <w:r w:rsidRPr="005A1CAE">
        <w:rPr>
          <w:noProof/>
        </w:rPr>
        <w:t>kcjonowaniu Unii Europejskiej na potrzeby usunięcia towarów</w:t>
      </w:r>
      <w:r w:rsidR="005A1CAE" w:rsidRPr="005A1CAE">
        <w:rPr>
          <w:noProof/>
        </w:rPr>
        <w:t xml:space="preserve"> z</w:t>
      </w:r>
      <w:r w:rsidR="005A1CAE">
        <w:rPr>
          <w:noProof/>
        </w:rPr>
        <w:t> </w:t>
      </w:r>
      <w:r w:rsidR="005A1CAE" w:rsidRPr="005A1CAE">
        <w:rPr>
          <w:noProof/>
        </w:rPr>
        <w:t>zak</w:t>
      </w:r>
      <w:r w:rsidRPr="005A1CAE">
        <w:rPr>
          <w:noProof/>
        </w:rPr>
        <w:t>resu załącznika I,</w:t>
      </w:r>
      <w:r w:rsidR="005A1CAE" w:rsidRPr="005A1CAE">
        <w:rPr>
          <w:noProof/>
        </w:rPr>
        <w:t xml:space="preserve"> w</w:t>
      </w:r>
      <w:r w:rsidR="005A1CAE">
        <w:rPr>
          <w:noProof/>
        </w:rPr>
        <w:t> </w:t>
      </w:r>
      <w:r w:rsidR="005A1CAE" w:rsidRPr="005A1CAE">
        <w:rPr>
          <w:noProof/>
        </w:rPr>
        <w:t>raz</w:t>
      </w:r>
      <w:r w:rsidRPr="005A1CAE">
        <w:rPr>
          <w:noProof/>
        </w:rPr>
        <w:t>ie potrzeby,</w:t>
      </w:r>
      <w:r w:rsidR="005A1CAE" w:rsidRPr="005A1CAE">
        <w:rPr>
          <w:noProof/>
        </w:rPr>
        <w:t xml:space="preserve"> z</w:t>
      </w:r>
      <w:r w:rsidR="005A1CAE">
        <w:rPr>
          <w:noProof/>
        </w:rPr>
        <w:t> </w:t>
      </w:r>
      <w:r w:rsidR="005A1CAE" w:rsidRPr="005A1CAE">
        <w:rPr>
          <w:noProof/>
        </w:rPr>
        <w:t>pow</w:t>
      </w:r>
      <w:r w:rsidRPr="005A1CAE">
        <w:rPr>
          <w:noProof/>
        </w:rPr>
        <w:t>odu poważnych szkód dla rynku wewnętrznego Unii spowodowanych poważnymi</w:t>
      </w:r>
      <w:r w:rsidR="005A1CAE" w:rsidRPr="005A1CAE">
        <w:rPr>
          <w:noProof/>
        </w:rPr>
        <w:t xml:space="preserve"> i</w:t>
      </w:r>
      <w:r w:rsidR="005A1CAE">
        <w:rPr>
          <w:noProof/>
        </w:rPr>
        <w:t> </w:t>
      </w:r>
      <w:r w:rsidR="005A1CAE" w:rsidRPr="005A1CAE">
        <w:rPr>
          <w:noProof/>
        </w:rPr>
        <w:t>nie</w:t>
      </w:r>
      <w:r w:rsidRPr="005A1CAE">
        <w:rPr>
          <w:noProof/>
        </w:rPr>
        <w:t>przewidzianymi okolicznościami oraz do czasu ustania tych poważnych</w:t>
      </w:r>
      <w:r w:rsidR="005A1CAE" w:rsidRPr="005A1CAE">
        <w:rPr>
          <w:noProof/>
        </w:rPr>
        <w:t xml:space="preserve"> i</w:t>
      </w:r>
      <w:r w:rsidR="005A1CAE">
        <w:rPr>
          <w:noProof/>
        </w:rPr>
        <w:t> </w:t>
      </w:r>
      <w:r w:rsidR="005A1CAE" w:rsidRPr="005A1CAE">
        <w:rPr>
          <w:noProof/>
        </w:rPr>
        <w:t>nie</w:t>
      </w:r>
      <w:r w:rsidRPr="005A1CAE">
        <w:rPr>
          <w:noProof/>
        </w:rPr>
        <w:t>przewidzianych okoliczności</w:t>
      </w:r>
      <w:r w:rsidR="005A1CAE" w:rsidRPr="005A1CAE">
        <w:rPr>
          <w:noProof/>
        </w:rPr>
        <w:t>. W</w:t>
      </w:r>
      <w:r w:rsidR="005A1CAE">
        <w:rPr>
          <w:noProof/>
        </w:rPr>
        <w:t> </w:t>
      </w:r>
      <w:r w:rsidR="005A1CAE" w:rsidRPr="005A1CAE">
        <w:rPr>
          <w:noProof/>
        </w:rPr>
        <w:t>szc</w:t>
      </w:r>
      <w:r w:rsidRPr="005A1CAE">
        <w:rPr>
          <w:noProof/>
        </w:rPr>
        <w:t>zególności, aby zapewnić Parlamentowi Europejskiemu</w:t>
      </w:r>
      <w:r w:rsidR="005A1CAE" w:rsidRPr="005A1CAE">
        <w:rPr>
          <w:noProof/>
        </w:rPr>
        <w:t xml:space="preserve"> i</w:t>
      </w:r>
      <w:r w:rsidR="005A1CAE">
        <w:rPr>
          <w:noProof/>
        </w:rPr>
        <w:t> </w:t>
      </w:r>
      <w:r w:rsidR="005A1CAE" w:rsidRPr="005A1CAE">
        <w:rPr>
          <w:noProof/>
        </w:rPr>
        <w:t>Rad</w:t>
      </w:r>
      <w:r w:rsidRPr="005A1CAE">
        <w:rPr>
          <w:noProof/>
        </w:rPr>
        <w:t>zie udział na równych zasadach</w:t>
      </w:r>
      <w:r w:rsidR="005A1CAE" w:rsidRPr="005A1CAE">
        <w:rPr>
          <w:noProof/>
        </w:rPr>
        <w:t xml:space="preserve"> w</w:t>
      </w:r>
      <w:r w:rsidR="005A1CAE">
        <w:rPr>
          <w:noProof/>
        </w:rPr>
        <w:t> </w:t>
      </w:r>
      <w:r w:rsidR="005A1CAE" w:rsidRPr="005A1CAE">
        <w:rPr>
          <w:noProof/>
        </w:rPr>
        <w:t>prz</w:t>
      </w:r>
      <w:r w:rsidRPr="005A1CAE">
        <w:rPr>
          <w:noProof/>
        </w:rPr>
        <w:t>ygotowaniu aktów delegowanych, instytucje te powinny otrzymać wszelkie dokumenty</w:t>
      </w:r>
      <w:r w:rsidR="005A1CAE" w:rsidRPr="005A1CAE">
        <w:rPr>
          <w:noProof/>
        </w:rPr>
        <w:t xml:space="preserve"> w</w:t>
      </w:r>
      <w:r w:rsidR="005A1CAE">
        <w:rPr>
          <w:noProof/>
        </w:rPr>
        <w:t> </w:t>
      </w:r>
      <w:r w:rsidR="005A1CAE" w:rsidRPr="005A1CAE">
        <w:rPr>
          <w:noProof/>
        </w:rPr>
        <w:t>tym</w:t>
      </w:r>
      <w:r w:rsidRPr="005A1CAE">
        <w:rPr>
          <w:noProof/>
        </w:rPr>
        <w:t xml:space="preserve"> samym czasie co eksperci państw członkowskich,</w:t>
      </w:r>
      <w:r w:rsidR="005A1CAE" w:rsidRPr="005A1CAE">
        <w:rPr>
          <w:noProof/>
        </w:rPr>
        <w:t xml:space="preserve"> a</w:t>
      </w:r>
      <w:r w:rsidR="005A1CAE">
        <w:rPr>
          <w:noProof/>
        </w:rPr>
        <w:t> </w:t>
      </w:r>
      <w:r w:rsidR="005A1CAE" w:rsidRPr="005A1CAE">
        <w:rPr>
          <w:noProof/>
        </w:rPr>
        <w:t>eks</w:t>
      </w:r>
      <w:r w:rsidRPr="005A1CAE">
        <w:rPr>
          <w:noProof/>
        </w:rPr>
        <w:t>perci tych instytucji powinni systematycznie brać udział</w:t>
      </w:r>
      <w:r w:rsidR="005A1CAE" w:rsidRPr="005A1CAE">
        <w:rPr>
          <w:noProof/>
        </w:rPr>
        <w:t xml:space="preserve"> w</w:t>
      </w:r>
      <w:r w:rsidR="005A1CAE">
        <w:rPr>
          <w:noProof/>
        </w:rPr>
        <w:t> </w:t>
      </w:r>
      <w:r w:rsidR="005A1CAE" w:rsidRPr="005A1CAE">
        <w:rPr>
          <w:noProof/>
        </w:rPr>
        <w:t>pos</w:t>
      </w:r>
      <w:r w:rsidRPr="005A1CAE">
        <w:rPr>
          <w:noProof/>
        </w:rPr>
        <w:t>iedzeniach grup eksperckich Komisji zajmujących się przygotowaniem aktów delegowanych.</w:t>
      </w:r>
    </w:p>
    <w:p w14:paraId="738E3EA5" w14:textId="68E1D7D5" w:rsidR="00AF5F7E" w:rsidRPr="005A1CAE" w:rsidRDefault="00874ACF" w:rsidP="00874ACF">
      <w:pPr>
        <w:pStyle w:val="ManualConsidrant"/>
        <w:rPr>
          <w:noProof/>
        </w:rPr>
      </w:pPr>
      <w:r w:rsidRPr="005A1CAE">
        <w:rPr>
          <w:noProof/>
        </w:rPr>
        <w:t>(51)</w:t>
      </w:r>
      <w:r w:rsidRPr="005A1CAE">
        <w:rPr>
          <w:noProof/>
        </w:rPr>
        <w:tab/>
        <w:t>Ponieważ cele niniejszego rozporządzenia – czyli rozszerzenie zakresu mechanizmu przyjętego przez Unię</w:t>
      </w:r>
      <w:r w:rsidR="005A1CAE" w:rsidRPr="005A1CAE">
        <w:rPr>
          <w:noProof/>
        </w:rPr>
        <w:t xml:space="preserve"> w</w:t>
      </w:r>
      <w:r w:rsidR="005A1CAE">
        <w:rPr>
          <w:noProof/>
        </w:rPr>
        <w:t> </w:t>
      </w:r>
      <w:r w:rsidR="005A1CAE" w:rsidRPr="005A1CAE">
        <w:rPr>
          <w:noProof/>
        </w:rPr>
        <w:t>cel</w:t>
      </w:r>
      <w:r w:rsidRPr="005A1CAE">
        <w:rPr>
          <w:noProof/>
        </w:rPr>
        <w:t>u zapobiegania ryzyku ucieczki emisji,</w:t>
      </w:r>
      <w:r w:rsidR="005A1CAE" w:rsidRPr="005A1CAE">
        <w:rPr>
          <w:noProof/>
        </w:rPr>
        <w:t xml:space="preserve"> a</w:t>
      </w:r>
      <w:r w:rsidR="005A1CAE">
        <w:rPr>
          <w:noProof/>
        </w:rPr>
        <w:t> </w:t>
      </w:r>
      <w:r w:rsidR="005A1CAE" w:rsidRPr="005A1CAE">
        <w:rPr>
          <w:noProof/>
        </w:rPr>
        <w:t>tym</w:t>
      </w:r>
      <w:r w:rsidRPr="005A1CAE">
        <w:rPr>
          <w:noProof/>
        </w:rPr>
        <w:t xml:space="preserve"> samym ograniczenia globalnych emisji dwutlenku węgla,</w:t>
      </w:r>
      <w:r w:rsidR="005A1CAE" w:rsidRPr="005A1CAE">
        <w:rPr>
          <w:noProof/>
        </w:rPr>
        <w:t xml:space="preserve"> a</w:t>
      </w:r>
      <w:r w:rsidR="005A1CAE">
        <w:rPr>
          <w:noProof/>
        </w:rPr>
        <w:t> </w:t>
      </w:r>
      <w:r w:rsidR="005A1CAE" w:rsidRPr="005A1CAE">
        <w:rPr>
          <w:noProof/>
        </w:rPr>
        <w:t>tak</w:t>
      </w:r>
      <w:r w:rsidRPr="005A1CAE">
        <w:rPr>
          <w:noProof/>
        </w:rPr>
        <w:t xml:space="preserve">że eliminowanie ryzyka </w:t>
      </w:r>
      <w:r w:rsidRPr="005A1CAE">
        <w:rPr>
          <w:noProof/>
        </w:rPr>
        <w:lastRenderedPageBreak/>
        <w:t>obchodzenia przepisów</w:t>
      </w:r>
      <w:r w:rsidR="005A1CAE" w:rsidRPr="005A1CAE">
        <w:rPr>
          <w:noProof/>
        </w:rPr>
        <w:t xml:space="preserve"> i</w:t>
      </w:r>
      <w:r w:rsidR="005A1CAE">
        <w:rPr>
          <w:noProof/>
        </w:rPr>
        <w:t> </w:t>
      </w:r>
      <w:r w:rsidR="005A1CAE" w:rsidRPr="005A1CAE">
        <w:rPr>
          <w:noProof/>
        </w:rPr>
        <w:t>pra</w:t>
      </w:r>
      <w:r w:rsidRPr="005A1CAE">
        <w:rPr>
          <w:noProof/>
        </w:rPr>
        <w:t>ktyk, które mogłyby podważyć cele CBAM – nie mogą zostać osiągnięte</w:t>
      </w:r>
      <w:r w:rsidR="005A1CAE" w:rsidRPr="005A1CAE">
        <w:rPr>
          <w:noProof/>
        </w:rPr>
        <w:t xml:space="preserve"> w</w:t>
      </w:r>
      <w:r w:rsidR="005A1CAE">
        <w:rPr>
          <w:noProof/>
        </w:rPr>
        <w:t> </w:t>
      </w:r>
      <w:r w:rsidR="005A1CAE" w:rsidRPr="005A1CAE">
        <w:rPr>
          <w:noProof/>
        </w:rPr>
        <w:t>spo</w:t>
      </w:r>
      <w:r w:rsidRPr="005A1CAE">
        <w:rPr>
          <w:noProof/>
        </w:rPr>
        <w:t>sób wystarczający przez państwa członkowskie, natomiast ze względu na rozmiary</w:t>
      </w:r>
      <w:r w:rsidR="005A1CAE" w:rsidRPr="005A1CAE">
        <w:rPr>
          <w:noProof/>
        </w:rPr>
        <w:t xml:space="preserve"> i</w:t>
      </w:r>
      <w:r w:rsidR="005A1CAE">
        <w:rPr>
          <w:noProof/>
        </w:rPr>
        <w:t> </w:t>
      </w:r>
      <w:r w:rsidR="005A1CAE" w:rsidRPr="005A1CAE">
        <w:rPr>
          <w:noProof/>
        </w:rPr>
        <w:t>sku</w:t>
      </w:r>
      <w:r w:rsidRPr="005A1CAE">
        <w:rPr>
          <w:noProof/>
        </w:rPr>
        <w:t>tki działań możliwe jest ich lepsze osiągnięcie na poziomie Unii, Unia może podjąć działania zgodnie</w:t>
      </w:r>
      <w:r w:rsidR="005A1CAE" w:rsidRPr="005A1CAE">
        <w:rPr>
          <w:noProof/>
        </w:rPr>
        <w:t xml:space="preserve"> z</w:t>
      </w:r>
      <w:r w:rsidR="005A1CAE">
        <w:rPr>
          <w:noProof/>
        </w:rPr>
        <w:t> </w:t>
      </w:r>
      <w:r w:rsidR="005A1CAE" w:rsidRPr="005A1CAE">
        <w:rPr>
          <w:noProof/>
        </w:rPr>
        <w:t>zas</w:t>
      </w:r>
      <w:r w:rsidRPr="005A1CAE">
        <w:rPr>
          <w:noProof/>
        </w:rPr>
        <w:t>adą pomocniczości określoną</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5 Traktatu</w:t>
      </w:r>
      <w:r w:rsidR="005A1CAE" w:rsidRPr="005A1CAE">
        <w:rPr>
          <w:noProof/>
        </w:rPr>
        <w:t xml:space="preserve"> o</w:t>
      </w:r>
      <w:r w:rsidR="005A1CAE">
        <w:rPr>
          <w:noProof/>
        </w:rPr>
        <w:t> </w:t>
      </w:r>
      <w:r w:rsidR="005A1CAE" w:rsidRPr="005A1CAE">
        <w:rPr>
          <w:noProof/>
        </w:rPr>
        <w:t>Uni</w:t>
      </w:r>
      <w:r w:rsidRPr="005A1CAE">
        <w:rPr>
          <w:noProof/>
        </w:rPr>
        <w:t>i Europejskiej. Zgodnie</w:t>
      </w:r>
      <w:r w:rsidR="005A1CAE" w:rsidRPr="005A1CAE">
        <w:rPr>
          <w:noProof/>
        </w:rPr>
        <w:t xml:space="preserve"> z</w:t>
      </w:r>
      <w:r w:rsidR="005A1CAE">
        <w:rPr>
          <w:noProof/>
        </w:rPr>
        <w:t> </w:t>
      </w:r>
      <w:r w:rsidR="005A1CAE" w:rsidRPr="005A1CAE">
        <w:rPr>
          <w:noProof/>
        </w:rPr>
        <w:t>zas</w:t>
      </w:r>
      <w:r w:rsidRPr="005A1CAE">
        <w:rPr>
          <w:noProof/>
        </w:rPr>
        <w:t>adą proporcjonalności określoną</w:t>
      </w:r>
      <w:r w:rsidR="005A1CAE" w:rsidRPr="005A1CAE">
        <w:rPr>
          <w:noProof/>
        </w:rPr>
        <w:t xml:space="preserve"> w</w:t>
      </w:r>
      <w:r w:rsidR="005A1CAE">
        <w:rPr>
          <w:noProof/>
        </w:rPr>
        <w:t> </w:t>
      </w:r>
      <w:r w:rsidR="005A1CAE" w:rsidRPr="005A1CAE">
        <w:rPr>
          <w:noProof/>
        </w:rPr>
        <w:t>tym</w:t>
      </w:r>
      <w:r w:rsidRPr="005A1CAE">
        <w:rPr>
          <w:noProof/>
        </w:rPr>
        <w:t xml:space="preserve"> artykule niniejsze rozporządzenie nie wykracza poza to, co jest konieczne do osiągnięcia tych celów.</w:t>
      </w:r>
    </w:p>
    <w:p w14:paraId="33062C70" w14:textId="77504F4D" w:rsidR="002A171F" w:rsidRPr="005A1CAE" w:rsidRDefault="00874ACF" w:rsidP="00874ACF">
      <w:pPr>
        <w:pStyle w:val="ManualConsidrant"/>
        <w:rPr>
          <w:noProof/>
        </w:rPr>
      </w:pPr>
      <w:r w:rsidRPr="005A1CAE">
        <w:rPr>
          <w:noProof/>
        </w:rPr>
        <w:t>(52)</w:t>
      </w:r>
      <w:r w:rsidRPr="005A1CAE">
        <w:rPr>
          <w:noProof/>
        </w:rPr>
        <w:tab/>
        <w:t>Należy zatem odpowiednio zmienić rozporządzenie (UE) 2023/956.</w:t>
      </w:r>
    </w:p>
    <w:p w14:paraId="0EE39F21" w14:textId="4C47DAE7" w:rsidR="001B4844" w:rsidRPr="005A1CAE" w:rsidRDefault="00874ACF" w:rsidP="00874ACF">
      <w:pPr>
        <w:pStyle w:val="ManualConsidrant"/>
        <w:rPr>
          <w:noProof/>
        </w:rPr>
      </w:pPr>
      <w:r w:rsidRPr="005A1CAE">
        <w:rPr>
          <w:noProof/>
        </w:rPr>
        <w:t>(53)</w:t>
      </w:r>
      <w:r w:rsidRPr="005A1CAE">
        <w:rPr>
          <w:noProof/>
        </w:rPr>
        <w:tab/>
        <w:t>Do celów określenia poziomu emisji wbudowanych związanych</w:t>
      </w:r>
      <w:r w:rsidR="005A1CAE" w:rsidRPr="005A1CAE">
        <w:rPr>
          <w:noProof/>
        </w:rPr>
        <w:t xml:space="preserve"> z</w:t>
      </w:r>
      <w:r w:rsidR="005A1CAE">
        <w:rPr>
          <w:noProof/>
        </w:rPr>
        <w:t> </w:t>
      </w:r>
      <w:r w:rsidR="005A1CAE" w:rsidRPr="005A1CAE">
        <w:rPr>
          <w:noProof/>
        </w:rPr>
        <w:t>ene</w:t>
      </w:r>
      <w:r w:rsidRPr="005A1CAE">
        <w:rPr>
          <w:noProof/>
        </w:rPr>
        <w:t>rgią elektryczną, aby umożliwić złożenie pierwszych deklaracji CBAM do dnia 30 września 2027</w:t>
      </w:r>
      <w:r w:rsidR="005A1CAE" w:rsidRPr="005A1CAE">
        <w:rPr>
          <w:noProof/>
        </w:rPr>
        <w:t> </w:t>
      </w:r>
      <w:r w:rsidRPr="005A1CAE">
        <w:rPr>
          <w:noProof/>
        </w:rPr>
        <w:t>r. na podstawie niniejszego rozporządzenia, zmiany metody stosowanej do obliczania współczynnika emisji dla importowanej energii elektrycznej oraz zmiany warunków stosowania rzeczywistych emisji wbudowanych związanych</w:t>
      </w:r>
      <w:r w:rsidR="005A1CAE" w:rsidRPr="005A1CAE">
        <w:rPr>
          <w:noProof/>
        </w:rPr>
        <w:t xml:space="preserve"> z</w:t>
      </w:r>
      <w:r w:rsidR="005A1CAE">
        <w:rPr>
          <w:noProof/>
        </w:rPr>
        <w:t> </w:t>
      </w:r>
      <w:r w:rsidR="005A1CAE" w:rsidRPr="005A1CAE">
        <w:rPr>
          <w:noProof/>
        </w:rPr>
        <w:t>imp</w:t>
      </w:r>
      <w:r w:rsidRPr="005A1CAE">
        <w:rPr>
          <w:noProof/>
        </w:rPr>
        <w:t>ortowaną energią elektryczną powinny mieć zastosowanie do importu energii elektrycznej, który miał miejsce od dnia 1 stycznia 2026</w:t>
      </w:r>
      <w:r w:rsidR="005A1CAE" w:rsidRPr="005A1CAE">
        <w:rPr>
          <w:noProof/>
        </w:rPr>
        <w:t> </w:t>
      </w:r>
      <w:r w:rsidRPr="005A1CAE">
        <w:rPr>
          <w:noProof/>
        </w:rPr>
        <w:t>r. Aby zapewnić wystarczającą przewidywalność, rozszerzenie zakresu załącznika I do rozporządzenia (UE) 2023/956 oraz objęcie nim materiałów wsadowych (prekursorów) wymienionych</w:t>
      </w:r>
      <w:r w:rsidR="005A1CAE" w:rsidRPr="005A1CAE">
        <w:rPr>
          <w:noProof/>
        </w:rPr>
        <w:t xml:space="preserve"> w</w:t>
      </w:r>
      <w:r w:rsidR="005A1CAE">
        <w:rPr>
          <w:noProof/>
        </w:rPr>
        <w:t> </w:t>
      </w:r>
      <w:r w:rsidR="005A1CAE" w:rsidRPr="005A1CAE">
        <w:rPr>
          <w:noProof/>
        </w:rPr>
        <w:t>zał</w:t>
      </w:r>
      <w:r w:rsidRPr="005A1CAE">
        <w:rPr>
          <w:noProof/>
        </w:rPr>
        <w:t>ączniku VIII powinno mieć zastosowanie od dnia 1 stycznia 2028</w:t>
      </w:r>
      <w:r w:rsidR="005A1CAE" w:rsidRPr="005A1CAE">
        <w:rPr>
          <w:noProof/>
        </w:rPr>
        <w:t> </w:t>
      </w:r>
      <w:r w:rsidRPr="005A1CAE">
        <w:rPr>
          <w:noProof/>
        </w:rPr>
        <w:t>r.</w:t>
      </w:r>
    </w:p>
    <w:p w14:paraId="4D5C71AE" w14:textId="0613718F" w:rsidR="0032486A" w:rsidRPr="005A1CAE" w:rsidDel="002A171F" w:rsidRDefault="00874ACF" w:rsidP="00874ACF">
      <w:pPr>
        <w:pStyle w:val="ManualConsidrant"/>
        <w:rPr>
          <w:noProof/>
        </w:rPr>
      </w:pPr>
      <w:r w:rsidRPr="005A1CAE">
        <w:rPr>
          <w:noProof/>
        </w:rPr>
        <w:t>(54)</w:t>
      </w:r>
      <w:r w:rsidRPr="005A1CAE">
        <w:rPr>
          <w:noProof/>
        </w:rPr>
        <w:tab/>
        <w:t>Należy zatem odpowiednio zmienić rozporządzenie (UE) 2023/956,</w:t>
      </w:r>
    </w:p>
    <w:p w14:paraId="6E81FEFE" w14:textId="77777777" w:rsidR="00D0690F" w:rsidRPr="005A1CAE" w:rsidRDefault="00D0690F" w:rsidP="009F612D">
      <w:pPr>
        <w:pStyle w:val="Formuledadoption"/>
        <w:rPr>
          <w:noProof/>
        </w:rPr>
      </w:pPr>
      <w:r w:rsidRPr="005A1CAE">
        <w:rPr>
          <w:noProof/>
        </w:rPr>
        <w:t>PRZYJMUJĄ NINIEJSZE ROZPORZĄDZENIE:</w:t>
      </w:r>
    </w:p>
    <w:p w14:paraId="0C204DDD" w14:textId="77777777" w:rsidR="00D0690F" w:rsidRPr="005A1CAE" w:rsidRDefault="00D0690F" w:rsidP="009F612D">
      <w:pPr>
        <w:pStyle w:val="Titrearticle"/>
        <w:rPr>
          <w:noProof/>
        </w:rPr>
      </w:pPr>
      <w:r w:rsidRPr="005A1CAE">
        <w:rPr>
          <w:noProof/>
        </w:rPr>
        <w:t>Artykuł 1</w:t>
      </w:r>
    </w:p>
    <w:p w14:paraId="4E57C6DD" w14:textId="77777777" w:rsidR="00D0690F" w:rsidRPr="005A1CAE" w:rsidRDefault="00D0690F" w:rsidP="00D0690F">
      <w:pPr>
        <w:pStyle w:val="Titrearticle"/>
        <w:rPr>
          <w:b/>
          <w:bCs/>
          <w:i w:val="0"/>
          <w:iCs/>
          <w:noProof/>
        </w:rPr>
      </w:pPr>
      <w:r w:rsidRPr="005A1CAE">
        <w:rPr>
          <w:b/>
          <w:i w:val="0"/>
          <w:noProof/>
        </w:rPr>
        <w:t>Zmiany rozporządzenia (UE) 2023/956</w:t>
      </w:r>
    </w:p>
    <w:p w14:paraId="1874F33D" w14:textId="77777777" w:rsidR="00D0690F" w:rsidRPr="005A1CAE" w:rsidRDefault="00D0690F" w:rsidP="00D0690F">
      <w:pPr>
        <w:rPr>
          <w:noProof/>
          <w:color w:val="000000" w:themeColor="text1"/>
        </w:rPr>
      </w:pPr>
      <w:r w:rsidRPr="005A1CAE">
        <w:rPr>
          <w:noProof/>
          <w:color w:val="000000" w:themeColor="text1"/>
        </w:rPr>
        <w:t>W rozporządzeniu (UE) 2023/956 wprowadza się następujące zmiany: </w:t>
      </w:r>
    </w:p>
    <w:p w14:paraId="59A434AA" w14:textId="6C6B4ACB" w:rsidR="00142207" w:rsidRPr="005A1CAE" w:rsidRDefault="00874ACF" w:rsidP="00874ACF">
      <w:pPr>
        <w:pStyle w:val="Point0"/>
        <w:rPr>
          <w:noProof/>
          <w:color w:val="000000" w:themeColor="text1"/>
        </w:rPr>
      </w:pPr>
      <w:r w:rsidRPr="005A1CAE">
        <w:rPr>
          <w:noProof/>
        </w:rPr>
        <w:t>1.</w:t>
      </w:r>
      <w:r w:rsidRPr="005A1CAE">
        <w:rPr>
          <w:noProof/>
        </w:rPr>
        <w:tab/>
        <w:t>w art.</w:t>
      </w:r>
      <w:r w:rsidR="005A1CAE" w:rsidRPr="005A1CAE">
        <w:rPr>
          <w:noProof/>
        </w:rPr>
        <w:t> </w:t>
      </w:r>
      <w:r w:rsidRPr="005A1CAE">
        <w:rPr>
          <w:noProof/>
        </w:rPr>
        <w:t>2 wprowadza się następujące zmiany: </w:t>
      </w:r>
    </w:p>
    <w:p w14:paraId="0B853EDE" w14:textId="1BE47B12" w:rsidR="00142207" w:rsidRPr="005A1CAE" w:rsidRDefault="00874ACF" w:rsidP="00874ACF">
      <w:pPr>
        <w:pStyle w:val="Point1"/>
        <w:rPr>
          <w:noProof/>
        </w:rPr>
      </w:pPr>
      <w:r w:rsidRPr="005A1CAE">
        <w:rPr>
          <w:noProof/>
        </w:rPr>
        <w:t>a)</w:t>
      </w:r>
      <w:r w:rsidRPr="005A1CAE">
        <w:rPr>
          <w:noProof/>
        </w:rPr>
        <w:tab/>
        <w:t>dodaje się ust.</w:t>
      </w:r>
      <w:r w:rsidR="005A1CAE" w:rsidRPr="005A1CAE">
        <w:rPr>
          <w:noProof/>
        </w:rPr>
        <w:t> </w:t>
      </w:r>
      <w:r w:rsidRPr="005A1CAE">
        <w:rPr>
          <w:noProof/>
        </w:rPr>
        <w:t>2a</w:t>
      </w:r>
      <w:r w:rsidR="005A1CAE" w:rsidRPr="005A1CAE">
        <w:rPr>
          <w:noProof/>
        </w:rPr>
        <w:t xml:space="preserve"> w</w:t>
      </w:r>
      <w:r w:rsidR="005A1CAE">
        <w:rPr>
          <w:noProof/>
        </w:rPr>
        <w:t> </w:t>
      </w:r>
      <w:r w:rsidR="005A1CAE" w:rsidRPr="005A1CAE">
        <w:rPr>
          <w:noProof/>
        </w:rPr>
        <w:t>brz</w:t>
      </w:r>
      <w:r w:rsidRPr="005A1CAE">
        <w:rPr>
          <w:noProof/>
        </w:rPr>
        <w:t>mieniu:</w:t>
      </w:r>
    </w:p>
    <w:p w14:paraId="11C98DB6" w14:textId="52532844" w:rsidR="00BC0FAD" w:rsidRPr="005A1CAE" w:rsidRDefault="00C54770" w:rsidP="00BC0FAD">
      <w:pPr>
        <w:ind w:left="720"/>
        <w:rPr>
          <w:noProof/>
          <w:color w:val="000000" w:themeColor="text1"/>
        </w:rPr>
      </w:pPr>
      <w:r w:rsidRPr="005A1CAE">
        <w:rPr>
          <w:noProof/>
          <w:color w:val="000000" w:themeColor="text1"/>
        </w:rPr>
        <w:t>„2a. Po uwzględnieniu</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Por</w:t>
      </w:r>
      <w:r w:rsidRPr="005A1CAE">
        <w:rPr>
          <w:noProof/>
          <w:color w:val="000000" w:themeColor="text1"/>
        </w:rPr>
        <w:t>ozumieniu EOG niniejsze rozporządzenie stosuje się również do produktów przetworzonych</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tow</w:t>
      </w:r>
      <w:r w:rsidRPr="005A1CAE">
        <w:rPr>
          <w:noProof/>
          <w:color w:val="000000" w:themeColor="text1"/>
        </w:rPr>
        <w:t>arów wymienionych</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zał</w:t>
      </w:r>
      <w:r w:rsidRPr="005A1CAE">
        <w:rPr>
          <w:noProof/>
          <w:color w:val="000000" w:themeColor="text1"/>
        </w:rPr>
        <w:t>ączniku I pochodzących</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pań</w:t>
      </w:r>
      <w:r w:rsidRPr="005A1CAE">
        <w:rPr>
          <w:noProof/>
          <w:color w:val="000000" w:themeColor="text1"/>
        </w:rPr>
        <w:t>stwa trzeciego, które powstały</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wyn</w:t>
      </w:r>
      <w:r w:rsidRPr="005A1CAE">
        <w:rPr>
          <w:noProof/>
          <w:color w:val="000000" w:themeColor="text1"/>
        </w:rPr>
        <w:t>iku procedury uszlachetniania czynnego,</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rej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256 rozporządzenia (UE) nr</w:t>
      </w:r>
      <w:r w:rsidR="005A1CAE" w:rsidRPr="005A1CAE">
        <w:rPr>
          <w:noProof/>
          <w:color w:val="000000" w:themeColor="text1"/>
        </w:rPr>
        <w:t> </w:t>
      </w:r>
      <w:r w:rsidRPr="005A1CAE">
        <w:rPr>
          <w:noProof/>
          <w:color w:val="000000" w:themeColor="text1"/>
        </w:rPr>
        <w:t>952/2013,</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prz</w:t>
      </w:r>
      <w:r w:rsidRPr="005A1CAE">
        <w:rPr>
          <w:noProof/>
          <w:color w:val="000000" w:themeColor="text1"/>
        </w:rPr>
        <w:t>ypadku gdy są one powrotnie wywożone na obszar celny Norwegii lub Islandii, pod warunkiem że są przywożone do tych państw.</w:t>
      </w:r>
    </w:p>
    <w:p w14:paraId="7C4E4865" w14:textId="2F9307F3" w:rsidR="0090398B" w:rsidRPr="005A1CAE" w:rsidRDefault="00BA4FC0" w:rsidP="00BC0FAD">
      <w:pPr>
        <w:ind w:left="720"/>
        <w:rPr>
          <w:noProof/>
          <w:color w:val="000000" w:themeColor="text1"/>
        </w:rPr>
      </w:pPr>
      <w:r w:rsidRPr="005A1CAE">
        <w:rPr>
          <w:noProof/>
          <w:color w:val="000000" w:themeColor="text1"/>
        </w:rPr>
        <w:t>Komisja może przyjmować akty wykonawcze określające szczegółowe warunki stosowania CBAM do takich produktów. Te akty wykonawcze są przyjmowane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pro</w:t>
      </w:r>
      <w:r w:rsidRPr="005A1CAE">
        <w:rPr>
          <w:noProof/>
          <w:color w:val="000000" w:themeColor="text1"/>
        </w:rPr>
        <w:t>cedurą sprawdzającą,</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rej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art</w:t>
      </w:r>
      <w:r w:rsidRPr="005A1CAE">
        <w:rPr>
          <w:noProof/>
          <w:color w:val="000000" w:themeColor="text1"/>
        </w:rPr>
        <w:t>. 29 ust. 2 niniejszego rozporządzenia.”;</w:t>
      </w:r>
    </w:p>
    <w:p w14:paraId="623C3D41" w14:textId="5761C541" w:rsidR="001D03EE" w:rsidRPr="005A1CAE" w:rsidRDefault="00874ACF" w:rsidP="00874ACF">
      <w:pPr>
        <w:pStyle w:val="Point1"/>
        <w:rPr>
          <w:noProof/>
        </w:rPr>
      </w:pPr>
      <w:r w:rsidRPr="005A1CAE">
        <w:rPr>
          <w:noProof/>
        </w:rPr>
        <w:t>b)</w:t>
      </w:r>
      <w:r w:rsidRPr="005A1CAE">
        <w:rPr>
          <w:noProof/>
        </w:rPr>
        <w:tab/>
        <w:t>w ust.</w:t>
      </w:r>
      <w:r w:rsidR="005A1CAE" w:rsidRPr="005A1CAE">
        <w:rPr>
          <w:noProof/>
        </w:rPr>
        <w:t> </w:t>
      </w:r>
      <w:r w:rsidRPr="005A1CAE">
        <w:rPr>
          <w:noProof/>
        </w:rPr>
        <w:t>4 dodaje się akapit</w:t>
      </w:r>
      <w:r w:rsidR="005A1CAE" w:rsidRPr="005A1CAE">
        <w:rPr>
          <w:noProof/>
        </w:rPr>
        <w:t xml:space="preserve"> w</w:t>
      </w:r>
      <w:r w:rsidR="005A1CAE">
        <w:rPr>
          <w:noProof/>
        </w:rPr>
        <w:t> </w:t>
      </w:r>
      <w:r w:rsidR="005A1CAE" w:rsidRPr="005A1CAE">
        <w:rPr>
          <w:noProof/>
        </w:rPr>
        <w:t>brz</w:t>
      </w:r>
      <w:r w:rsidRPr="005A1CAE">
        <w:rPr>
          <w:noProof/>
        </w:rPr>
        <w:t>mieniu:</w:t>
      </w:r>
    </w:p>
    <w:p w14:paraId="0A19E39E" w14:textId="652B035C" w:rsidR="00E70FC1" w:rsidRPr="005A1CAE" w:rsidRDefault="001D03EE" w:rsidP="00E70FC1">
      <w:pPr>
        <w:ind w:left="720"/>
        <w:rPr>
          <w:noProof/>
          <w:color w:val="000000" w:themeColor="text1"/>
        </w:rPr>
      </w:pPr>
      <w:r w:rsidRPr="005A1CAE">
        <w:rPr>
          <w:noProof/>
          <w:color w:val="000000" w:themeColor="text1"/>
        </w:rPr>
        <w:t>„Po uwzględnieniu</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Por</w:t>
      </w:r>
      <w:r w:rsidRPr="005A1CAE">
        <w:rPr>
          <w:noProof/>
          <w:color w:val="000000" w:themeColor="text1"/>
        </w:rPr>
        <w:t>ozumieniu EOG, na zasadzie odstępstwa od ust.</w:t>
      </w:r>
      <w:r w:rsidR="005A1CAE" w:rsidRPr="005A1CAE">
        <w:rPr>
          <w:noProof/>
          <w:color w:val="000000" w:themeColor="text1"/>
        </w:rPr>
        <w:t> </w:t>
      </w:r>
      <w:r w:rsidRPr="005A1CAE">
        <w:rPr>
          <w:noProof/>
          <w:color w:val="000000" w:themeColor="text1"/>
        </w:rPr>
        <w:t>1</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2</w:t>
      </w:r>
      <w:r w:rsidRPr="005A1CAE">
        <w:rPr>
          <w:noProof/>
          <w:color w:val="000000" w:themeColor="text1"/>
        </w:rPr>
        <w:t>, niniejsze rozporządzenie nie ma zastosowania do towarów pochodzących</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pań</w:t>
      </w:r>
      <w:r w:rsidRPr="005A1CAE">
        <w:rPr>
          <w:noProof/>
          <w:color w:val="000000" w:themeColor="text1"/>
        </w:rPr>
        <w:t>stw trzecich uprzednio dopuszczonych do obrotu na obszarze celnym państw EFTA, które uwzględniły CBAM, pod warunkiem że zgłaszający wskaże</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kol</w:t>
      </w:r>
      <w:r w:rsidRPr="005A1CAE">
        <w:rPr>
          <w:noProof/>
          <w:color w:val="000000" w:themeColor="text1"/>
        </w:rPr>
        <w:t xml:space="preserve">ejnym zgłoszeniu celnym złożonym na obszarze celnym Unii, że towary zostały wcześniej dopuszczone do obrotu na obszarze celnym tych państw EFTA, oraz pod warunkiem że na wniosek organu celnego zgłaszający udostępni dokumentację lub informacje stanowiące dowód, że towary zostały wcześniej dopuszczone do obrotu na obszarze celnym odpowiednich </w:t>
      </w:r>
      <w:r w:rsidRPr="005A1CAE">
        <w:rPr>
          <w:noProof/>
          <w:color w:val="000000" w:themeColor="text1"/>
        </w:rPr>
        <w:lastRenderedPageBreak/>
        <w:t>państw EFTA. Zgłaszający jest odpowiedzialny za dostępność tego dowodu</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mom</w:t>
      </w:r>
      <w:r w:rsidRPr="005A1CAE">
        <w:rPr>
          <w:noProof/>
          <w:color w:val="000000" w:themeColor="text1"/>
        </w:rPr>
        <w:t>encie składania zgłoszenia celnego.”;</w:t>
      </w:r>
    </w:p>
    <w:p w14:paraId="073BEC16" w14:textId="36D17DDB" w:rsidR="008E19CB" w:rsidRPr="005A1CAE" w:rsidRDefault="00874ACF" w:rsidP="00874ACF">
      <w:pPr>
        <w:pStyle w:val="Point1"/>
        <w:rPr>
          <w:noProof/>
        </w:rPr>
      </w:pPr>
      <w:r w:rsidRPr="005A1CAE">
        <w:rPr>
          <w:noProof/>
        </w:rPr>
        <w:t>c)</w:t>
      </w:r>
      <w:r w:rsidRPr="005A1CAE">
        <w:rPr>
          <w:noProof/>
        </w:rPr>
        <w:tab/>
        <w:t>dodaje się ust. 7a</w:t>
      </w:r>
      <w:r w:rsidR="005A1CAE" w:rsidRPr="005A1CAE">
        <w:rPr>
          <w:noProof/>
        </w:rPr>
        <w:t xml:space="preserve"> w</w:t>
      </w:r>
      <w:r w:rsidR="005A1CAE">
        <w:rPr>
          <w:noProof/>
        </w:rPr>
        <w:t> </w:t>
      </w:r>
      <w:r w:rsidR="005A1CAE" w:rsidRPr="005A1CAE">
        <w:rPr>
          <w:noProof/>
        </w:rPr>
        <w:t>brz</w:t>
      </w:r>
      <w:r w:rsidRPr="005A1CAE">
        <w:rPr>
          <w:noProof/>
        </w:rPr>
        <w:t>mieniu:</w:t>
      </w:r>
    </w:p>
    <w:p w14:paraId="695DCF23" w14:textId="3AF8F427" w:rsidR="00E70FC1" w:rsidRPr="005A1CAE" w:rsidRDefault="00E70FC1">
      <w:pPr>
        <w:ind w:left="720"/>
        <w:rPr>
          <w:noProof/>
        </w:rPr>
      </w:pPr>
      <w:r w:rsidRPr="005A1CAE">
        <w:rPr>
          <w:noProof/>
        </w:rPr>
        <w:t>„Jeżeli państwo trzecie zwróciło się</w:t>
      </w:r>
      <w:r w:rsidR="005A1CAE" w:rsidRPr="005A1CAE">
        <w:rPr>
          <w:noProof/>
        </w:rPr>
        <w:t xml:space="preserve"> o</w:t>
      </w:r>
      <w:r w:rsidR="005A1CAE">
        <w:rPr>
          <w:noProof/>
        </w:rPr>
        <w:t> </w:t>
      </w:r>
      <w:r w:rsidR="005A1CAE" w:rsidRPr="005A1CAE">
        <w:rPr>
          <w:noProof/>
        </w:rPr>
        <w:t>zin</w:t>
      </w:r>
      <w:r w:rsidRPr="005A1CAE">
        <w:rPr>
          <w:noProof/>
        </w:rPr>
        <w:t>tegrowanie swojego rynku energii elektrycznej</w:t>
      </w:r>
      <w:r w:rsidR="005A1CAE" w:rsidRPr="005A1CAE">
        <w:rPr>
          <w:noProof/>
        </w:rPr>
        <w:t xml:space="preserve"> z</w:t>
      </w:r>
      <w:r w:rsidR="005A1CAE">
        <w:rPr>
          <w:noProof/>
        </w:rPr>
        <w:t> </w:t>
      </w:r>
      <w:r w:rsidR="005A1CAE" w:rsidRPr="005A1CAE">
        <w:rPr>
          <w:noProof/>
        </w:rPr>
        <w:t>ryn</w:t>
      </w:r>
      <w:r w:rsidRPr="005A1CAE">
        <w:rPr>
          <w:noProof/>
        </w:rPr>
        <w:t>kiem Unii</w:t>
      </w:r>
      <w:r w:rsidR="005A1CAE" w:rsidRPr="005A1CAE">
        <w:rPr>
          <w:noProof/>
        </w:rPr>
        <w:t xml:space="preserve"> w</w:t>
      </w:r>
      <w:r w:rsidR="005A1CAE">
        <w:rPr>
          <w:noProof/>
        </w:rPr>
        <w:t> </w:t>
      </w:r>
      <w:r w:rsidR="005A1CAE" w:rsidRPr="005A1CAE">
        <w:rPr>
          <w:noProof/>
        </w:rPr>
        <w:t>dro</w:t>
      </w:r>
      <w:r w:rsidRPr="005A1CAE">
        <w:rPr>
          <w:noProof/>
        </w:rPr>
        <w:t>dze łączenia rynków na podstawie umowy międzynarodowej, Komisja może, po ustaleniu, że dane państwo trzecie dokonało pełnej transpozycji dorobku prawnego UE dotyczącego rynku energii elektrycznej, zawrzeć</w:t>
      </w:r>
      <w:r w:rsidR="005A1CAE" w:rsidRPr="005A1CAE">
        <w:rPr>
          <w:noProof/>
        </w:rPr>
        <w:t xml:space="preserve"> z</w:t>
      </w:r>
      <w:r w:rsidR="005A1CAE">
        <w:rPr>
          <w:noProof/>
        </w:rPr>
        <w:t> </w:t>
      </w:r>
      <w:r w:rsidR="005A1CAE" w:rsidRPr="005A1CAE">
        <w:rPr>
          <w:noProof/>
        </w:rPr>
        <w:t>tym</w:t>
      </w:r>
      <w:r w:rsidRPr="005A1CAE">
        <w:rPr>
          <w:noProof/>
        </w:rPr>
        <w:t xml:space="preserve"> państwem trzecim protokół ustaleń. </w:t>
      </w:r>
    </w:p>
    <w:p w14:paraId="0D73795D" w14:textId="06F5C476" w:rsidR="00E70FC1" w:rsidRPr="005A1CAE" w:rsidRDefault="00E70FC1">
      <w:pPr>
        <w:ind w:left="720"/>
        <w:rPr>
          <w:noProof/>
        </w:rPr>
      </w:pPr>
      <w:r w:rsidRPr="005A1CAE">
        <w:rPr>
          <w:noProof/>
        </w:rPr>
        <w:t>W protokole ustaleń,</w:t>
      </w:r>
      <w:r w:rsidR="005A1CAE" w:rsidRPr="005A1CAE">
        <w:rPr>
          <w:noProof/>
        </w:rPr>
        <w:t xml:space="preserve"> o</w:t>
      </w:r>
      <w:r w:rsidR="005A1CAE">
        <w:rPr>
          <w:noProof/>
        </w:rPr>
        <w:t> </w:t>
      </w:r>
      <w:r w:rsidR="005A1CAE" w:rsidRPr="005A1CAE">
        <w:rPr>
          <w:noProof/>
        </w:rPr>
        <w:t>któ</w:t>
      </w:r>
      <w:r w:rsidRPr="005A1CAE">
        <w:rPr>
          <w:noProof/>
        </w:rPr>
        <w:t>rym mowa</w:t>
      </w:r>
      <w:r w:rsidR="005A1CAE" w:rsidRPr="005A1CAE">
        <w:rPr>
          <w:noProof/>
        </w:rPr>
        <w:t xml:space="preserve"> w</w:t>
      </w:r>
      <w:r w:rsidR="005A1CAE">
        <w:rPr>
          <w:noProof/>
        </w:rPr>
        <w:t> </w:t>
      </w:r>
      <w:r w:rsidR="005A1CAE" w:rsidRPr="005A1CAE">
        <w:rPr>
          <w:noProof/>
        </w:rPr>
        <w:t>aka</w:t>
      </w:r>
      <w:r w:rsidRPr="005A1CAE">
        <w:rPr>
          <w:noProof/>
        </w:rPr>
        <w:t>picie pierwszym, określa się harmonogram stosowania zwolnienia przewidzianego</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2 ust.</w:t>
      </w:r>
      <w:r w:rsidR="005A1CAE" w:rsidRPr="005A1CAE">
        <w:rPr>
          <w:noProof/>
        </w:rPr>
        <w:t> </w:t>
      </w:r>
      <w:r w:rsidRPr="005A1CAE">
        <w:rPr>
          <w:noProof/>
        </w:rPr>
        <w:t>7 oraz harmonogram wdrożenia instrumentu ustalania opłat za emisję gazów cieplarnianych równoważnego EU ETS</w:t>
      </w:r>
      <w:r w:rsidR="005A1CAE" w:rsidRPr="005A1CAE">
        <w:rPr>
          <w:noProof/>
        </w:rPr>
        <w:t xml:space="preserve"> w</w:t>
      </w:r>
      <w:r w:rsidR="005A1CAE">
        <w:rPr>
          <w:noProof/>
        </w:rPr>
        <w:t> </w:t>
      </w:r>
      <w:r w:rsidR="005A1CAE" w:rsidRPr="005A1CAE">
        <w:rPr>
          <w:noProof/>
        </w:rPr>
        <w:t>odn</w:t>
      </w:r>
      <w:r w:rsidRPr="005A1CAE">
        <w:rPr>
          <w:noProof/>
        </w:rPr>
        <w:t>iesieniu do wytwarzania energii elektrycznej.”;</w:t>
      </w:r>
    </w:p>
    <w:p w14:paraId="07755CE3" w14:textId="0B73F419" w:rsidR="00C34248" w:rsidRPr="005A1CAE" w:rsidRDefault="00874ACF" w:rsidP="00874ACF">
      <w:pPr>
        <w:pStyle w:val="Point1"/>
        <w:rPr>
          <w:noProof/>
        </w:rPr>
      </w:pPr>
      <w:r w:rsidRPr="005A1CAE">
        <w:rPr>
          <w:noProof/>
        </w:rPr>
        <w:t>d)</w:t>
      </w:r>
      <w:r w:rsidRPr="005A1CAE">
        <w:rPr>
          <w:noProof/>
        </w:rPr>
        <w:tab/>
        <w:t>ust.</w:t>
      </w:r>
      <w:r w:rsidR="005A1CAE" w:rsidRPr="005A1CAE">
        <w:rPr>
          <w:noProof/>
        </w:rPr>
        <w:t> </w:t>
      </w:r>
      <w:r w:rsidRPr="005A1CAE">
        <w:rPr>
          <w:noProof/>
        </w:rPr>
        <w:t>8 otrzymuje brzmienie:</w:t>
      </w:r>
    </w:p>
    <w:p w14:paraId="36E36E99" w14:textId="338EDC12" w:rsidR="00C34248" w:rsidRPr="005A1CAE" w:rsidRDefault="00C34248" w:rsidP="00AA08BE">
      <w:pPr>
        <w:ind w:left="720"/>
        <w:rPr>
          <w:noProof/>
        </w:rPr>
      </w:pPr>
      <w:r w:rsidRPr="005A1CAE">
        <w:rPr>
          <w:noProof/>
        </w:rPr>
        <w:t>„Państwo trzecie lub terytorium trzecie spełniające warunki określone</w:t>
      </w:r>
      <w:r w:rsidR="005A1CAE" w:rsidRPr="005A1CAE">
        <w:rPr>
          <w:noProof/>
        </w:rPr>
        <w:t xml:space="preserve"> w</w:t>
      </w:r>
      <w:r w:rsidR="005A1CAE">
        <w:rPr>
          <w:noProof/>
        </w:rPr>
        <w:t> </w:t>
      </w:r>
      <w:r w:rsidR="005A1CAE" w:rsidRPr="005A1CAE">
        <w:rPr>
          <w:noProof/>
        </w:rPr>
        <w:t>ust</w:t>
      </w:r>
      <w:r w:rsidRPr="005A1CAE">
        <w:rPr>
          <w:noProof/>
        </w:rPr>
        <w:t>.</w:t>
      </w:r>
      <w:r w:rsidR="005A1CAE" w:rsidRPr="005A1CAE">
        <w:rPr>
          <w:noProof/>
        </w:rPr>
        <w:t> </w:t>
      </w:r>
      <w:r w:rsidRPr="005A1CAE">
        <w:rPr>
          <w:noProof/>
        </w:rPr>
        <w:t>7 zostaje wpisane do pkt</w:t>
      </w:r>
      <w:r w:rsidR="005A1CAE" w:rsidRPr="005A1CAE">
        <w:rPr>
          <w:noProof/>
        </w:rPr>
        <w:t> </w:t>
      </w:r>
      <w:r w:rsidRPr="005A1CAE">
        <w:rPr>
          <w:noProof/>
        </w:rPr>
        <w:t>2 załącznika III. Oceniając, czy warunki określone</w:t>
      </w:r>
      <w:r w:rsidR="005A1CAE" w:rsidRPr="005A1CAE">
        <w:rPr>
          <w:noProof/>
        </w:rPr>
        <w:t xml:space="preserve"> w</w:t>
      </w:r>
      <w:r w:rsidR="005A1CAE">
        <w:rPr>
          <w:noProof/>
        </w:rPr>
        <w:t> </w:t>
      </w:r>
      <w:r w:rsidR="005A1CAE" w:rsidRPr="005A1CAE">
        <w:rPr>
          <w:noProof/>
        </w:rPr>
        <w:t>ust</w:t>
      </w:r>
      <w:r w:rsidRPr="005A1CAE">
        <w:rPr>
          <w:noProof/>
        </w:rPr>
        <w:t>.</w:t>
      </w:r>
      <w:r w:rsidR="005A1CAE" w:rsidRPr="005A1CAE">
        <w:rPr>
          <w:noProof/>
        </w:rPr>
        <w:t> </w:t>
      </w:r>
      <w:r w:rsidRPr="005A1CAE">
        <w:rPr>
          <w:noProof/>
        </w:rPr>
        <w:t>7 niniejszego artykułu zostały spełnione, Komisja uwzględnia postępy zgodnie</w:t>
      </w:r>
      <w:r w:rsidR="005A1CAE" w:rsidRPr="005A1CAE">
        <w:rPr>
          <w:noProof/>
        </w:rPr>
        <w:t xml:space="preserve"> z</w:t>
      </w:r>
      <w:r w:rsidR="005A1CAE">
        <w:rPr>
          <w:noProof/>
        </w:rPr>
        <w:t> </w:t>
      </w:r>
      <w:r w:rsidR="005A1CAE" w:rsidRPr="005A1CAE">
        <w:rPr>
          <w:noProof/>
        </w:rPr>
        <w:t>har</w:t>
      </w:r>
      <w:r w:rsidRPr="005A1CAE">
        <w:rPr>
          <w:noProof/>
        </w:rPr>
        <w:t>monogramem określonym</w:t>
      </w:r>
      <w:r w:rsidR="005A1CAE" w:rsidRPr="005A1CAE">
        <w:rPr>
          <w:noProof/>
        </w:rPr>
        <w:t xml:space="preserve"> w</w:t>
      </w:r>
      <w:r w:rsidR="005A1CAE">
        <w:rPr>
          <w:noProof/>
        </w:rPr>
        <w:t> </w:t>
      </w:r>
      <w:r w:rsidR="005A1CAE" w:rsidRPr="005A1CAE">
        <w:rPr>
          <w:noProof/>
        </w:rPr>
        <w:t>pro</w:t>
      </w:r>
      <w:r w:rsidRPr="005A1CAE">
        <w:rPr>
          <w:noProof/>
        </w:rPr>
        <w:t>tokole ustaleń na podstawie art.</w:t>
      </w:r>
      <w:r w:rsidR="005A1CAE" w:rsidRPr="005A1CAE">
        <w:rPr>
          <w:noProof/>
        </w:rPr>
        <w:t> </w:t>
      </w:r>
      <w:r w:rsidRPr="005A1CAE">
        <w:rPr>
          <w:noProof/>
        </w:rPr>
        <w:t>2 ust.</w:t>
      </w:r>
      <w:r w:rsidR="005A1CAE" w:rsidRPr="005A1CAE">
        <w:rPr>
          <w:noProof/>
        </w:rPr>
        <w:t> </w:t>
      </w:r>
      <w:r w:rsidRPr="005A1CAE">
        <w:rPr>
          <w:noProof/>
        </w:rPr>
        <w:t xml:space="preserve">7a.”; </w:t>
      </w:r>
    </w:p>
    <w:p w14:paraId="6E450371" w14:textId="1A6D38B7" w:rsidR="007E1659" w:rsidRPr="005A1CAE" w:rsidRDefault="00874ACF" w:rsidP="00874ACF">
      <w:pPr>
        <w:pStyle w:val="Point1"/>
        <w:rPr>
          <w:noProof/>
        </w:rPr>
      </w:pPr>
      <w:r w:rsidRPr="005A1CAE">
        <w:rPr>
          <w:noProof/>
        </w:rPr>
        <w:t>e)</w:t>
      </w:r>
      <w:r w:rsidRPr="005A1CAE">
        <w:rPr>
          <w:noProof/>
        </w:rPr>
        <w:tab/>
        <w:t>ust.</w:t>
      </w:r>
      <w:r w:rsidR="005A1CAE" w:rsidRPr="005A1CAE">
        <w:rPr>
          <w:noProof/>
        </w:rPr>
        <w:t> </w:t>
      </w:r>
      <w:r w:rsidRPr="005A1CAE">
        <w:rPr>
          <w:noProof/>
        </w:rPr>
        <w:t>11</w:t>
      </w:r>
      <w:r w:rsidR="005A1CAE" w:rsidRPr="005A1CAE">
        <w:rPr>
          <w:noProof/>
        </w:rPr>
        <w:t xml:space="preserve"> i</w:t>
      </w:r>
      <w:r w:rsidR="005A1CAE">
        <w:rPr>
          <w:noProof/>
        </w:rPr>
        <w:t> </w:t>
      </w:r>
      <w:r w:rsidR="005A1CAE" w:rsidRPr="005A1CAE">
        <w:rPr>
          <w:noProof/>
        </w:rPr>
        <w:t>1</w:t>
      </w:r>
      <w:r w:rsidRPr="005A1CAE">
        <w:rPr>
          <w:noProof/>
        </w:rPr>
        <w:t>2 otrzymują brzmienie:</w:t>
      </w:r>
    </w:p>
    <w:p w14:paraId="68A1FF0F" w14:textId="5AE9A1FF" w:rsidR="007E1659" w:rsidRPr="005A1CAE" w:rsidRDefault="00656D3F" w:rsidP="00326E43">
      <w:pPr>
        <w:ind w:left="720"/>
        <w:rPr>
          <w:noProof/>
          <w:color w:val="333333"/>
        </w:rPr>
      </w:pPr>
      <w:r w:rsidRPr="005A1CAE">
        <w:rPr>
          <w:noProof/>
          <w:color w:val="333333"/>
        </w:rPr>
        <w:t>„11. Komisja jest uprawniona do przyjmowania aktów delegowanych zgodnie</w:t>
      </w:r>
      <w:r w:rsidR="005A1CAE" w:rsidRPr="005A1CAE">
        <w:rPr>
          <w:noProof/>
          <w:color w:val="333333"/>
        </w:rPr>
        <w:t xml:space="preserve"> z</w:t>
      </w:r>
      <w:r w:rsidR="005A1CAE">
        <w:rPr>
          <w:noProof/>
          <w:color w:val="333333"/>
        </w:rPr>
        <w:t> </w:t>
      </w:r>
      <w:r w:rsidR="005A1CAE" w:rsidRPr="005A1CAE">
        <w:rPr>
          <w:noProof/>
          <w:color w:val="333333"/>
        </w:rPr>
        <w:t>art</w:t>
      </w:r>
      <w:r w:rsidRPr="005A1CAE">
        <w:rPr>
          <w:noProof/>
          <w:color w:val="333333"/>
        </w:rPr>
        <w:t>.</w:t>
      </w:r>
      <w:r w:rsidR="005A1CAE" w:rsidRPr="005A1CAE">
        <w:rPr>
          <w:noProof/>
          <w:color w:val="333333"/>
        </w:rPr>
        <w:t> </w:t>
      </w:r>
      <w:r w:rsidRPr="005A1CAE">
        <w:rPr>
          <w:noProof/>
          <w:color w:val="333333"/>
        </w:rPr>
        <w:t>28</w:t>
      </w:r>
      <w:r w:rsidR="005A1CAE" w:rsidRPr="005A1CAE">
        <w:rPr>
          <w:noProof/>
          <w:color w:val="333333"/>
        </w:rPr>
        <w:t xml:space="preserve"> w</w:t>
      </w:r>
      <w:r w:rsidR="005A1CAE">
        <w:rPr>
          <w:noProof/>
          <w:color w:val="333333"/>
        </w:rPr>
        <w:t> </w:t>
      </w:r>
      <w:r w:rsidR="005A1CAE" w:rsidRPr="005A1CAE">
        <w:rPr>
          <w:noProof/>
          <w:color w:val="333333"/>
        </w:rPr>
        <w:t>cel</w:t>
      </w:r>
      <w:r w:rsidRPr="005A1CAE">
        <w:rPr>
          <w:noProof/>
          <w:color w:val="333333"/>
        </w:rPr>
        <w:t>u zmiany wykazów państw trzecich lub terytoriów trzecich wymienionych</w:t>
      </w:r>
      <w:r w:rsidR="005A1CAE" w:rsidRPr="005A1CAE">
        <w:rPr>
          <w:noProof/>
          <w:color w:val="333333"/>
        </w:rPr>
        <w:t xml:space="preserve"> w</w:t>
      </w:r>
      <w:r w:rsidR="005A1CAE">
        <w:rPr>
          <w:noProof/>
          <w:color w:val="333333"/>
        </w:rPr>
        <w:t> </w:t>
      </w:r>
      <w:r w:rsidR="005A1CAE" w:rsidRPr="005A1CAE">
        <w:rPr>
          <w:noProof/>
          <w:color w:val="333333"/>
        </w:rPr>
        <w:t>pkt </w:t>
      </w:r>
      <w:r w:rsidRPr="005A1CAE">
        <w:rPr>
          <w:noProof/>
          <w:color w:val="333333"/>
        </w:rPr>
        <w:t>1 lub</w:t>
      </w:r>
      <w:r w:rsidR="005A1CAE" w:rsidRPr="005A1CAE">
        <w:rPr>
          <w:noProof/>
          <w:color w:val="333333"/>
        </w:rPr>
        <w:t> </w:t>
      </w:r>
      <w:r w:rsidRPr="005A1CAE">
        <w:rPr>
          <w:noProof/>
          <w:color w:val="333333"/>
        </w:rPr>
        <w:t>2 załącznika III przez dodanie lub usunięcie państwa trzeciego lub terytorium trzeciego</w:t>
      </w:r>
      <w:r w:rsidR="005A1CAE" w:rsidRPr="005A1CAE">
        <w:rPr>
          <w:noProof/>
          <w:color w:val="333333"/>
        </w:rPr>
        <w:t xml:space="preserve"> w</w:t>
      </w:r>
      <w:r w:rsidR="005A1CAE">
        <w:rPr>
          <w:noProof/>
          <w:color w:val="333333"/>
        </w:rPr>
        <w:t> </w:t>
      </w:r>
      <w:r w:rsidR="005A1CAE" w:rsidRPr="005A1CAE">
        <w:rPr>
          <w:noProof/>
          <w:color w:val="333333"/>
        </w:rPr>
        <w:t>zal</w:t>
      </w:r>
      <w:r w:rsidRPr="005A1CAE">
        <w:rPr>
          <w:noProof/>
          <w:color w:val="333333"/>
        </w:rPr>
        <w:t>eżności od tego, czy</w:t>
      </w:r>
      <w:r w:rsidR="005A1CAE" w:rsidRPr="005A1CAE">
        <w:rPr>
          <w:noProof/>
          <w:color w:val="333333"/>
        </w:rPr>
        <w:t xml:space="preserve"> w</w:t>
      </w:r>
      <w:r w:rsidR="005A1CAE">
        <w:rPr>
          <w:noProof/>
          <w:color w:val="333333"/>
        </w:rPr>
        <w:t> </w:t>
      </w:r>
      <w:r w:rsidR="005A1CAE" w:rsidRPr="005A1CAE">
        <w:rPr>
          <w:noProof/>
          <w:color w:val="333333"/>
        </w:rPr>
        <w:t>odn</w:t>
      </w:r>
      <w:r w:rsidRPr="005A1CAE">
        <w:rPr>
          <w:noProof/>
          <w:color w:val="333333"/>
        </w:rPr>
        <w:t>iesieniu do tego państwa trzeciego lub terytorium trzeciego zostały spełnione warunki określone</w:t>
      </w:r>
      <w:r w:rsidR="005A1CAE" w:rsidRPr="005A1CAE">
        <w:rPr>
          <w:noProof/>
          <w:color w:val="333333"/>
        </w:rPr>
        <w:t xml:space="preserve"> w</w:t>
      </w:r>
      <w:r w:rsidR="005A1CAE">
        <w:rPr>
          <w:noProof/>
          <w:color w:val="333333"/>
        </w:rPr>
        <w:t> </w:t>
      </w:r>
      <w:r w:rsidR="005A1CAE" w:rsidRPr="005A1CAE">
        <w:rPr>
          <w:noProof/>
          <w:color w:val="333333"/>
        </w:rPr>
        <w:t>ust</w:t>
      </w:r>
      <w:r w:rsidRPr="005A1CAE">
        <w:rPr>
          <w:noProof/>
          <w:color w:val="333333"/>
        </w:rPr>
        <w:t>.</w:t>
      </w:r>
      <w:r w:rsidR="005A1CAE" w:rsidRPr="005A1CAE">
        <w:rPr>
          <w:noProof/>
          <w:color w:val="333333"/>
        </w:rPr>
        <w:t> </w:t>
      </w:r>
      <w:r w:rsidRPr="005A1CAE">
        <w:rPr>
          <w:noProof/>
          <w:color w:val="333333"/>
        </w:rPr>
        <w:t>6, 7 lub</w:t>
      </w:r>
      <w:r w:rsidR="005A1CAE" w:rsidRPr="005A1CAE">
        <w:rPr>
          <w:noProof/>
          <w:color w:val="333333"/>
        </w:rPr>
        <w:t> </w:t>
      </w:r>
      <w:r w:rsidRPr="005A1CAE">
        <w:rPr>
          <w:noProof/>
          <w:color w:val="333333"/>
        </w:rPr>
        <w:t>9, lub</w:t>
      </w:r>
      <w:r w:rsidR="005A1CAE" w:rsidRPr="005A1CAE">
        <w:rPr>
          <w:noProof/>
          <w:color w:val="333333"/>
        </w:rPr>
        <w:t xml:space="preserve"> w</w:t>
      </w:r>
      <w:r w:rsidR="005A1CAE">
        <w:rPr>
          <w:noProof/>
          <w:color w:val="333333"/>
        </w:rPr>
        <w:t> </w:t>
      </w:r>
      <w:r w:rsidR="005A1CAE" w:rsidRPr="005A1CAE">
        <w:rPr>
          <w:noProof/>
          <w:color w:val="333333"/>
        </w:rPr>
        <w:t>wyn</w:t>
      </w:r>
      <w:r w:rsidRPr="005A1CAE">
        <w:rPr>
          <w:noProof/>
          <w:color w:val="333333"/>
        </w:rPr>
        <w:t>iku uwzględnienia CBAM</w:t>
      </w:r>
      <w:r w:rsidR="005A1CAE" w:rsidRPr="005A1CAE">
        <w:rPr>
          <w:noProof/>
          <w:color w:val="333333"/>
        </w:rPr>
        <w:t xml:space="preserve"> w</w:t>
      </w:r>
      <w:r w:rsidR="005A1CAE">
        <w:rPr>
          <w:noProof/>
          <w:color w:val="333333"/>
        </w:rPr>
        <w:t> </w:t>
      </w:r>
      <w:r w:rsidR="005A1CAE" w:rsidRPr="005A1CAE">
        <w:rPr>
          <w:noProof/>
          <w:color w:val="333333"/>
        </w:rPr>
        <w:t>Por</w:t>
      </w:r>
      <w:r w:rsidRPr="005A1CAE">
        <w:rPr>
          <w:noProof/>
          <w:color w:val="333333"/>
        </w:rPr>
        <w:t>ozumieniu EOG.</w:t>
      </w:r>
      <w:r w:rsidRPr="005A1CAE">
        <w:rPr>
          <w:noProof/>
        </w:rPr>
        <w:t xml:space="preserve"> </w:t>
      </w:r>
      <w:r w:rsidRPr="005A1CAE">
        <w:rPr>
          <w:noProof/>
          <w:color w:val="333333"/>
        </w:rPr>
        <w:t>Jeżeli</w:t>
      </w:r>
      <w:r w:rsidR="005A1CAE" w:rsidRPr="005A1CAE">
        <w:rPr>
          <w:noProof/>
          <w:color w:val="333333"/>
        </w:rPr>
        <w:t xml:space="preserve"> w</w:t>
      </w:r>
      <w:r w:rsidR="005A1CAE">
        <w:rPr>
          <w:noProof/>
          <w:color w:val="333333"/>
        </w:rPr>
        <w:t> </w:t>
      </w:r>
      <w:r w:rsidR="005A1CAE" w:rsidRPr="005A1CAE">
        <w:rPr>
          <w:noProof/>
          <w:color w:val="333333"/>
        </w:rPr>
        <w:t>prz</w:t>
      </w:r>
      <w:r w:rsidRPr="005A1CAE">
        <w:rPr>
          <w:noProof/>
          <w:color w:val="333333"/>
        </w:rPr>
        <w:t>ypadku dodania państwa trzeciego do wykazu państw trzecich lub terytoriów trzecich wymienionych</w:t>
      </w:r>
      <w:r w:rsidR="005A1CAE" w:rsidRPr="005A1CAE">
        <w:rPr>
          <w:noProof/>
          <w:color w:val="333333"/>
        </w:rPr>
        <w:t xml:space="preserve"> w</w:t>
      </w:r>
      <w:r w:rsidR="005A1CAE">
        <w:rPr>
          <w:noProof/>
          <w:color w:val="333333"/>
        </w:rPr>
        <w:t> </w:t>
      </w:r>
      <w:r w:rsidR="005A1CAE" w:rsidRPr="005A1CAE">
        <w:rPr>
          <w:noProof/>
          <w:color w:val="333333"/>
        </w:rPr>
        <w:t>pkt </w:t>
      </w:r>
      <w:r w:rsidRPr="005A1CAE">
        <w:rPr>
          <w:noProof/>
          <w:color w:val="333333"/>
        </w:rPr>
        <w:t>2 załącznika III jest to uzasadnione szczególnie pilną potrzebą, do aktów delegowanych przyjmowanych na podstawie niniejszego ustępu ma zastosowanie procedura przewidziana</w:t>
      </w:r>
      <w:r w:rsidR="005A1CAE" w:rsidRPr="005A1CAE">
        <w:rPr>
          <w:noProof/>
          <w:color w:val="333333"/>
        </w:rPr>
        <w:t xml:space="preserve"> w</w:t>
      </w:r>
      <w:r w:rsidR="005A1CAE">
        <w:rPr>
          <w:noProof/>
          <w:color w:val="333333"/>
        </w:rPr>
        <w:t> </w:t>
      </w:r>
      <w:r w:rsidR="005A1CAE" w:rsidRPr="005A1CAE">
        <w:rPr>
          <w:noProof/>
          <w:color w:val="333333"/>
        </w:rPr>
        <w:t>art</w:t>
      </w:r>
      <w:r w:rsidRPr="005A1CAE">
        <w:rPr>
          <w:noProof/>
          <w:color w:val="333333"/>
        </w:rPr>
        <w:t>.</w:t>
      </w:r>
      <w:r w:rsidR="005A1CAE" w:rsidRPr="005A1CAE">
        <w:rPr>
          <w:noProof/>
          <w:color w:val="333333"/>
        </w:rPr>
        <w:t> </w:t>
      </w:r>
      <w:r w:rsidRPr="005A1CAE">
        <w:rPr>
          <w:noProof/>
          <w:color w:val="333333"/>
        </w:rPr>
        <w:t>28a.</w:t>
      </w:r>
    </w:p>
    <w:p w14:paraId="4DDCA746" w14:textId="159C4615" w:rsidR="00330C39" w:rsidRPr="005A1CAE" w:rsidRDefault="00330C39" w:rsidP="003214B2">
      <w:pPr>
        <w:ind w:left="720"/>
        <w:rPr>
          <w:noProof/>
        </w:rPr>
      </w:pPr>
      <w:r w:rsidRPr="005A1CAE">
        <w:rPr>
          <w:noProof/>
        </w:rPr>
        <w:t>Unia może zawierać umowy</w:t>
      </w:r>
      <w:r w:rsidR="005A1CAE" w:rsidRPr="005A1CAE">
        <w:rPr>
          <w:noProof/>
        </w:rPr>
        <w:t xml:space="preserve"> z</w:t>
      </w:r>
      <w:r w:rsidR="005A1CAE">
        <w:rPr>
          <w:noProof/>
        </w:rPr>
        <w:t> </w:t>
      </w:r>
      <w:r w:rsidR="005A1CAE" w:rsidRPr="005A1CAE">
        <w:rPr>
          <w:noProof/>
        </w:rPr>
        <w:t>pań</w:t>
      </w:r>
      <w:r w:rsidRPr="005A1CAE">
        <w:rPr>
          <w:noProof/>
        </w:rPr>
        <w:t>stwami trzecimi lub terytoriami trzecimi</w:t>
      </w:r>
      <w:r w:rsidR="005A1CAE" w:rsidRPr="005A1CAE">
        <w:rPr>
          <w:noProof/>
        </w:rPr>
        <w:t xml:space="preserve"> w</w:t>
      </w:r>
      <w:r w:rsidR="005A1CAE">
        <w:rPr>
          <w:noProof/>
        </w:rPr>
        <w:t> </w:t>
      </w:r>
      <w:r w:rsidR="005A1CAE" w:rsidRPr="005A1CAE">
        <w:rPr>
          <w:noProof/>
        </w:rPr>
        <w:t>cel</w:t>
      </w:r>
      <w:r w:rsidRPr="005A1CAE">
        <w:rPr>
          <w:noProof/>
        </w:rPr>
        <w:t>u uwzględnienia obowiązujących</w:t>
      </w:r>
      <w:r w:rsidR="005A1CAE" w:rsidRPr="005A1CAE">
        <w:rPr>
          <w:noProof/>
        </w:rPr>
        <w:t xml:space="preserve"> w</w:t>
      </w:r>
      <w:r w:rsidR="005A1CAE">
        <w:rPr>
          <w:noProof/>
        </w:rPr>
        <w:t> </w:t>
      </w:r>
      <w:r w:rsidR="005A1CAE" w:rsidRPr="005A1CAE">
        <w:rPr>
          <w:noProof/>
        </w:rPr>
        <w:t>tak</w:t>
      </w:r>
      <w:r w:rsidRPr="005A1CAE">
        <w:rPr>
          <w:noProof/>
        </w:rPr>
        <w:t>ich państwach lub na takich terytoriach mechanizmów wprowadzania opłat emisyjnych na potrzeby stosowania art.</w:t>
      </w:r>
      <w:r w:rsidR="005A1CAE" w:rsidRPr="005A1CAE">
        <w:rPr>
          <w:noProof/>
        </w:rPr>
        <w:t> </w:t>
      </w:r>
      <w:r w:rsidRPr="005A1CAE">
        <w:rPr>
          <w:noProof/>
        </w:rPr>
        <w:t>9,</w:t>
      </w:r>
      <w:r w:rsidR="005A1CAE" w:rsidRPr="005A1CAE">
        <w:rPr>
          <w:noProof/>
        </w:rPr>
        <w:t xml:space="preserve"> a</w:t>
      </w:r>
      <w:r w:rsidR="005A1CAE">
        <w:rPr>
          <w:noProof/>
        </w:rPr>
        <w:t> </w:t>
      </w:r>
      <w:r w:rsidR="005A1CAE" w:rsidRPr="005A1CAE">
        <w:rPr>
          <w:noProof/>
        </w:rPr>
        <w:t>tak</w:t>
      </w:r>
      <w:r w:rsidRPr="005A1CAE">
        <w:rPr>
          <w:noProof/>
        </w:rPr>
        <w:t>że wzajemnego uznawania jednostek akredytujących</w:t>
      </w:r>
      <w:r w:rsidR="005A1CAE" w:rsidRPr="005A1CAE">
        <w:rPr>
          <w:noProof/>
        </w:rPr>
        <w:t xml:space="preserve"> z</w:t>
      </w:r>
      <w:r w:rsidR="005A1CAE">
        <w:rPr>
          <w:noProof/>
        </w:rPr>
        <w:t> </w:t>
      </w:r>
      <w:r w:rsidR="005A1CAE" w:rsidRPr="005A1CAE">
        <w:rPr>
          <w:noProof/>
        </w:rPr>
        <w:t>pań</w:t>
      </w:r>
      <w:r w:rsidRPr="005A1CAE">
        <w:rPr>
          <w:noProof/>
        </w:rPr>
        <w:t>stw trzecich do celów akredytacji osoby prawnej jako weryfikatora zgodnie</w:t>
      </w:r>
      <w:r w:rsidR="005A1CAE" w:rsidRPr="005A1CAE">
        <w:rPr>
          <w:noProof/>
        </w:rPr>
        <w:t xml:space="preserve"> z</w:t>
      </w:r>
      <w:r w:rsidR="005A1CAE">
        <w:rPr>
          <w:noProof/>
        </w:rPr>
        <w:t> </w:t>
      </w:r>
      <w:r w:rsidR="005A1CAE" w:rsidRPr="005A1CAE">
        <w:rPr>
          <w:noProof/>
        </w:rPr>
        <w:t>art</w:t>
      </w:r>
      <w:r w:rsidRPr="005A1CAE">
        <w:rPr>
          <w:noProof/>
        </w:rPr>
        <w:t>.</w:t>
      </w:r>
      <w:r w:rsidR="005A1CAE" w:rsidRPr="005A1CAE">
        <w:rPr>
          <w:noProof/>
        </w:rPr>
        <w:t> </w:t>
      </w:r>
      <w:r w:rsidRPr="005A1CAE">
        <w:rPr>
          <w:noProof/>
        </w:rPr>
        <w:t>18.”;</w:t>
      </w:r>
    </w:p>
    <w:p w14:paraId="582AD5D0" w14:textId="3FC33738" w:rsidR="007D6C96" w:rsidRPr="005A1CAE" w:rsidRDefault="00874ACF" w:rsidP="00874ACF">
      <w:pPr>
        <w:pStyle w:val="Point0"/>
        <w:rPr>
          <w:noProof/>
        </w:rPr>
      </w:pPr>
      <w:r w:rsidRPr="005A1CAE">
        <w:rPr>
          <w:noProof/>
        </w:rPr>
        <w:t>2.</w:t>
      </w:r>
      <w:r w:rsidRPr="005A1CAE">
        <w:rPr>
          <w:noProof/>
        </w:rPr>
        <w:tab/>
        <w:t>w art.</w:t>
      </w:r>
      <w:r w:rsidR="005A1CAE" w:rsidRPr="005A1CAE">
        <w:rPr>
          <w:noProof/>
        </w:rPr>
        <w:t> </w:t>
      </w:r>
      <w:r w:rsidRPr="005A1CAE">
        <w:rPr>
          <w:noProof/>
        </w:rPr>
        <w:t>2a ust.</w:t>
      </w:r>
      <w:r w:rsidR="005A1CAE" w:rsidRPr="005A1CAE">
        <w:rPr>
          <w:noProof/>
        </w:rPr>
        <w:t> </w:t>
      </w:r>
      <w:r w:rsidRPr="005A1CAE">
        <w:rPr>
          <w:noProof/>
        </w:rPr>
        <w:t>3 dodaje się akapit</w:t>
      </w:r>
      <w:r w:rsidR="005A1CAE" w:rsidRPr="005A1CAE">
        <w:rPr>
          <w:noProof/>
        </w:rPr>
        <w:t xml:space="preserve"> w</w:t>
      </w:r>
      <w:r w:rsidR="005A1CAE">
        <w:rPr>
          <w:noProof/>
        </w:rPr>
        <w:t> </w:t>
      </w:r>
      <w:r w:rsidR="005A1CAE" w:rsidRPr="005A1CAE">
        <w:rPr>
          <w:noProof/>
        </w:rPr>
        <w:t>brz</w:t>
      </w:r>
      <w:r w:rsidRPr="005A1CAE">
        <w:rPr>
          <w:noProof/>
        </w:rPr>
        <w:t>mieniu:</w:t>
      </w:r>
    </w:p>
    <w:p w14:paraId="23B487EA" w14:textId="1EBC87A1" w:rsidR="007D6C96" w:rsidRPr="005A1CAE" w:rsidRDefault="007D6C96" w:rsidP="00E70FC1">
      <w:pPr>
        <w:ind w:left="850"/>
        <w:rPr>
          <w:noProof/>
          <w:color w:val="000000" w:themeColor="text1"/>
        </w:rPr>
      </w:pPr>
      <w:r w:rsidRPr="005A1CAE">
        <w:rPr>
          <w:noProof/>
          <w:color w:val="000000" w:themeColor="text1"/>
        </w:rPr>
        <w:t>„Do celów oceny</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2</w:t>
      </w:r>
      <w:r w:rsidRPr="005A1CAE">
        <w:rPr>
          <w:noProof/>
          <w:color w:val="000000" w:themeColor="text1"/>
        </w:rPr>
        <w:t>027</w:t>
      </w:r>
      <w:r w:rsidR="005A1CAE" w:rsidRPr="005A1CAE">
        <w:rPr>
          <w:noProof/>
          <w:color w:val="000000" w:themeColor="text1"/>
        </w:rPr>
        <w:t> </w:t>
      </w:r>
      <w:r w:rsidRPr="005A1CAE">
        <w:rPr>
          <w:noProof/>
          <w:color w:val="000000" w:themeColor="text1"/>
        </w:rPr>
        <w:t>r., która ma zostać przeprowadzona do dnia 30 kwietnia 2027</w:t>
      </w:r>
      <w:r w:rsidR="005A1CAE" w:rsidRPr="005A1CAE">
        <w:rPr>
          <w:noProof/>
          <w:color w:val="000000" w:themeColor="text1"/>
        </w:rPr>
        <w:t> </w:t>
      </w:r>
      <w:r w:rsidRPr="005A1CAE">
        <w:rPr>
          <w:noProof/>
          <w:color w:val="000000" w:themeColor="text1"/>
        </w:rPr>
        <w:t>r., Komisja wykorzystuje dane dotyczące przywozu towarów zawarte</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zał</w:t>
      </w:r>
      <w:r w:rsidRPr="005A1CAE">
        <w:rPr>
          <w:noProof/>
          <w:color w:val="000000" w:themeColor="text1"/>
        </w:rPr>
        <w:t>ączniku I do niniejszego rozporządzenia</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w</w:t>
      </w:r>
      <w:r w:rsidR="005A1CAE">
        <w:rPr>
          <w:noProof/>
          <w:color w:val="000000" w:themeColor="text1"/>
        </w:rPr>
        <w:t> </w:t>
      </w:r>
      <w:r w:rsidR="005A1CAE" w:rsidRPr="005A1CAE">
        <w:rPr>
          <w:noProof/>
          <w:color w:val="000000" w:themeColor="text1"/>
        </w:rPr>
        <w:t>zał</w:t>
      </w:r>
      <w:r w:rsidRPr="005A1CAE">
        <w:rPr>
          <w:noProof/>
          <w:color w:val="000000" w:themeColor="text1"/>
        </w:rPr>
        <w:t>ączniku I do rozporządzenia (UE) XX/XX [rozporządzenie zmieniające].”;</w:t>
      </w:r>
    </w:p>
    <w:p w14:paraId="250A0BA3" w14:textId="7C955E71" w:rsidR="001E612F" w:rsidRPr="005A1CAE" w:rsidRDefault="00874ACF" w:rsidP="00874ACF">
      <w:pPr>
        <w:pStyle w:val="Point0"/>
        <w:rPr>
          <w:noProof/>
        </w:rPr>
      </w:pPr>
      <w:r w:rsidRPr="005A1CAE">
        <w:rPr>
          <w:noProof/>
        </w:rPr>
        <w:t>3.</w:t>
      </w:r>
      <w:r w:rsidRPr="005A1CAE">
        <w:rPr>
          <w:noProof/>
        </w:rPr>
        <w:tab/>
        <w:t>w art.</w:t>
      </w:r>
      <w:r w:rsidR="005A1CAE" w:rsidRPr="005A1CAE">
        <w:rPr>
          <w:noProof/>
        </w:rPr>
        <w:t> </w:t>
      </w:r>
      <w:r w:rsidRPr="005A1CAE">
        <w:rPr>
          <w:noProof/>
        </w:rPr>
        <w:t>3 dodaje się pkt</w:t>
      </w:r>
      <w:r w:rsidR="005A1CAE" w:rsidRPr="005A1CAE">
        <w:rPr>
          <w:noProof/>
        </w:rPr>
        <w:t> </w:t>
      </w:r>
      <w:r w:rsidRPr="005A1CAE">
        <w:rPr>
          <w:noProof/>
        </w:rPr>
        <w:t>35</w:t>
      </w:r>
      <w:r w:rsidR="005A1CAE" w:rsidRPr="005A1CAE">
        <w:rPr>
          <w:noProof/>
        </w:rPr>
        <w:t xml:space="preserve"> w</w:t>
      </w:r>
      <w:r w:rsidR="005A1CAE">
        <w:rPr>
          <w:noProof/>
        </w:rPr>
        <w:t> </w:t>
      </w:r>
      <w:r w:rsidR="005A1CAE" w:rsidRPr="005A1CAE">
        <w:rPr>
          <w:noProof/>
        </w:rPr>
        <w:t>brz</w:t>
      </w:r>
      <w:r w:rsidRPr="005A1CAE">
        <w:rPr>
          <w:noProof/>
        </w:rPr>
        <w:t>mieniu:</w:t>
      </w:r>
    </w:p>
    <w:p w14:paraId="0D6D3293" w14:textId="7E74110E" w:rsidR="00BC1DCE" w:rsidRPr="005A1CAE" w:rsidRDefault="001E612F" w:rsidP="001E612F">
      <w:pPr>
        <w:ind w:left="850"/>
        <w:rPr>
          <w:noProof/>
        </w:rPr>
      </w:pPr>
      <w:r w:rsidRPr="005A1CAE">
        <w:rPr>
          <w:noProof/>
        </w:rPr>
        <w:t>„35) »nadużycia« oznaczają praktyki stosowane przez podmiot</w:t>
      </w:r>
      <w:r w:rsidR="005A1CAE" w:rsidRPr="005A1CAE">
        <w:rPr>
          <w:noProof/>
        </w:rPr>
        <w:t xml:space="preserve"> w</w:t>
      </w:r>
      <w:r w:rsidR="005A1CAE">
        <w:rPr>
          <w:noProof/>
        </w:rPr>
        <w:t> </w:t>
      </w:r>
      <w:r w:rsidR="005A1CAE" w:rsidRPr="005A1CAE">
        <w:rPr>
          <w:noProof/>
        </w:rPr>
        <w:t>cel</w:t>
      </w:r>
      <w:r w:rsidRPr="005A1CAE">
        <w:rPr>
          <w:noProof/>
        </w:rPr>
        <w:t>u uzyskania korzyści przez uniknięcie</w:t>
      </w:r>
      <w:r w:rsidR="005A1CAE" w:rsidRPr="005A1CAE">
        <w:rPr>
          <w:noProof/>
        </w:rPr>
        <w:t xml:space="preserve"> w</w:t>
      </w:r>
      <w:r w:rsidR="005A1CAE">
        <w:rPr>
          <w:noProof/>
        </w:rPr>
        <w:t> </w:t>
      </w:r>
      <w:r w:rsidR="005A1CAE" w:rsidRPr="005A1CAE">
        <w:rPr>
          <w:noProof/>
        </w:rPr>
        <w:t>spo</w:t>
      </w:r>
      <w:r w:rsidRPr="005A1CAE">
        <w:rPr>
          <w:noProof/>
        </w:rPr>
        <w:t>sób nieuzasadniony,</w:t>
      </w:r>
      <w:r w:rsidR="005A1CAE" w:rsidRPr="005A1CAE">
        <w:rPr>
          <w:noProof/>
        </w:rPr>
        <w:t xml:space="preserve"> w</w:t>
      </w:r>
      <w:r w:rsidR="005A1CAE">
        <w:rPr>
          <w:noProof/>
        </w:rPr>
        <w:t> </w:t>
      </w:r>
      <w:r w:rsidR="005A1CAE" w:rsidRPr="005A1CAE">
        <w:rPr>
          <w:noProof/>
        </w:rPr>
        <w:t>cał</w:t>
      </w:r>
      <w:r w:rsidRPr="005A1CAE">
        <w:rPr>
          <w:noProof/>
        </w:rPr>
        <w:t>ości lub</w:t>
      </w:r>
      <w:r w:rsidR="005A1CAE" w:rsidRPr="005A1CAE">
        <w:rPr>
          <w:noProof/>
        </w:rPr>
        <w:t xml:space="preserve"> w</w:t>
      </w:r>
      <w:r w:rsidR="005A1CAE">
        <w:rPr>
          <w:noProof/>
        </w:rPr>
        <w:t> </w:t>
      </w:r>
      <w:r w:rsidR="005A1CAE" w:rsidRPr="005A1CAE">
        <w:rPr>
          <w:noProof/>
        </w:rPr>
        <w:t>czę</w:t>
      </w:r>
      <w:r w:rsidRPr="005A1CAE">
        <w:rPr>
          <w:noProof/>
        </w:rPr>
        <w:t>ści, odpowiedzialności finansowej CBAM,</w:t>
      </w:r>
      <w:r w:rsidR="005A1CAE" w:rsidRPr="005A1CAE">
        <w:rPr>
          <w:noProof/>
        </w:rPr>
        <w:t xml:space="preserve"> a</w:t>
      </w:r>
      <w:r w:rsidR="005A1CAE">
        <w:rPr>
          <w:noProof/>
        </w:rPr>
        <w:t> </w:t>
      </w:r>
      <w:r w:rsidR="005A1CAE" w:rsidRPr="005A1CAE">
        <w:rPr>
          <w:noProof/>
        </w:rPr>
        <w:t>tym</w:t>
      </w:r>
      <w:r w:rsidRPr="005A1CAE">
        <w:rPr>
          <w:noProof/>
        </w:rPr>
        <w:t xml:space="preserve"> samym osłabienie skuteczności CBAM</w:t>
      </w:r>
      <w:r w:rsidR="005A1CAE" w:rsidRPr="005A1CAE">
        <w:rPr>
          <w:noProof/>
        </w:rPr>
        <w:t xml:space="preserve"> w</w:t>
      </w:r>
      <w:r w:rsidR="005A1CAE">
        <w:rPr>
          <w:noProof/>
        </w:rPr>
        <w:t> </w:t>
      </w:r>
      <w:r w:rsidR="005A1CAE" w:rsidRPr="005A1CAE">
        <w:rPr>
          <w:noProof/>
        </w:rPr>
        <w:t>prz</w:t>
      </w:r>
      <w:r w:rsidRPr="005A1CAE">
        <w:rPr>
          <w:noProof/>
        </w:rPr>
        <w:t>eciwdziałaniu ryzyku ucieczki emisji w UE.”;</w:t>
      </w:r>
    </w:p>
    <w:p w14:paraId="3139FA62" w14:textId="7B29B391" w:rsidR="005B7BDE" w:rsidRPr="005A1CAE" w:rsidRDefault="00874ACF" w:rsidP="00874ACF">
      <w:pPr>
        <w:pStyle w:val="Point0"/>
        <w:rPr>
          <w:noProof/>
        </w:rPr>
      </w:pPr>
      <w:r w:rsidRPr="005A1CAE">
        <w:rPr>
          <w:noProof/>
        </w:rPr>
        <w:t>4.</w:t>
      </w:r>
      <w:r w:rsidRPr="005A1CAE">
        <w:rPr>
          <w:noProof/>
        </w:rPr>
        <w:tab/>
        <w:t>art.</w:t>
      </w:r>
      <w:r w:rsidR="005A1CAE" w:rsidRPr="005A1CAE">
        <w:rPr>
          <w:noProof/>
        </w:rPr>
        <w:t> </w:t>
      </w:r>
      <w:r w:rsidRPr="005A1CAE">
        <w:rPr>
          <w:noProof/>
        </w:rPr>
        <w:t>5 ust.</w:t>
      </w:r>
      <w:r w:rsidR="005A1CAE" w:rsidRPr="005A1CAE">
        <w:rPr>
          <w:noProof/>
        </w:rPr>
        <w:t> </w:t>
      </w:r>
      <w:r w:rsidRPr="005A1CAE">
        <w:rPr>
          <w:noProof/>
        </w:rPr>
        <w:t>5 lit.</w:t>
      </w:r>
      <w:r w:rsidR="005A1CAE" w:rsidRPr="005A1CAE">
        <w:rPr>
          <w:noProof/>
        </w:rPr>
        <w:t> </w:t>
      </w:r>
      <w:r w:rsidRPr="005A1CAE">
        <w:rPr>
          <w:noProof/>
        </w:rPr>
        <w:t>h) otrzymuje brzmienie:</w:t>
      </w:r>
    </w:p>
    <w:p w14:paraId="1847584C" w14:textId="13B7C7E0" w:rsidR="27490419" w:rsidRPr="005A1CAE" w:rsidRDefault="1793BA6D" w:rsidP="007E1659">
      <w:pPr>
        <w:ind w:left="720"/>
        <w:rPr>
          <w:noProof/>
          <w:color w:val="000000" w:themeColor="text1"/>
        </w:rPr>
      </w:pPr>
      <w:r w:rsidRPr="005A1CAE">
        <w:rPr>
          <w:noProof/>
          <w:color w:val="000000" w:themeColor="text1"/>
        </w:rPr>
        <w:lastRenderedPageBreak/>
        <w:t>„h)</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sto</w:t>
      </w:r>
      <w:r w:rsidRPr="005A1CAE">
        <w:rPr>
          <w:noProof/>
          <w:color w:val="000000" w:themeColor="text1"/>
        </w:rPr>
        <w:t>sownych przypadkach – numer EORI lub inny krajowy numer identyfikacyjny, imiona</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naz</w:t>
      </w:r>
      <w:r w:rsidRPr="005A1CAE">
        <w:rPr>
          <w:noProof/>
          <w:color w:val="000000" w:themeColor="text1"/>
        </w:rPr>
        <w:t>wiska lub nazwy oraz dane kontaktowe osób,</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imi</w:t>
      </w:r>
      <w:r w:rsidRPr="005A1CAE">
        <w:rPr>
          <w:noProof/>
          <w:color w:val="000000" w:themeColor="text1"/>
        </w:rPr>
        <w:t>eniu których działa wnioskodawca.”;</w:t>
      </w:r>
    </w:p>
    <w:p w14:paraId="04131529" w14:textId="256707DA" w:rsidR="0015623E" w:rsidRPr="005A1CAE" w:rsidRDefault="00874ACF" w:rsidP="00874ACF">
      <w:pPr>
        <w:pStyle w:val="Point0"/>
        <w:rPr>
          <w:noProof/>
          <w:color w:val="000000" w:themeColor="text1"/>
        </w:rPr>
      </w:pPr>
      <w:r w:rsidRPr="005A1CAE">
        <w:rPr>
          <w:noProof/>
        </w:rPr>
        <w:t>5.</w:t>
      </w:r>
      <w:r w:rsidRPr="005A1CAE">
        <w:rPr>
          <w:noProof/>
        </w:rPr>
        <w:tab/>
        <w:t>w art.</w:t>
      </w:r>
      <w:r w:rsidR="005A1CAE" w:rsidRPr="005A1CAE">
        <w:rPr>
          <w:noProof/>
        </w:rPr>
        <w:t> </w:t>
      </w:r>
      <w:r w:rsidRPr="005A1CAE">
        <w:rPr>
          <w:noProof/>
        </w:rPr>
        <w:t>6 wprowadza się następujące zmiany: </w:t>
      </w:r>
    </w:p>
    <w:p w14:paraId="6B1F6630" w14:textId="62BB6292" w:rsidR="005605E5" w:rsidRPr="005A1CAE" w:rsidRDefault="00874ACF" w:rsidP="00874ACF">
      <w:pPr>
        <w:pStyle w:val="Point1"/>
        <w:rPr>
          <w:noProof/>
        </w:rPr>
      </w:pPr>
      <w:r w:rsidRPr="005A1CAE">
        <w:rPr>
          <w:noProof/>
        </w:rPr>
        <w:t>a)</w:t>
      </w:r>
      <w:r w:rsidRPr="005A1CAE">
        <w:rPr>
          <w:noProof/>
        </w:rPr>
        <w:tab/>
        <w:t>w ust.</w:t>
      </w:r>
      <w:r w:rsidR="005A1CAE" w:rsidRPr="005A1CAE">
        <w:rPr>
          <w:noProof/>
        </w:rPr>
        <w:t> </w:t>
      </w:r>
      <w:r w:rsidRPr="005A1CAE">
        <w:rPr>
          <w:noProof/>
        </w:rPr>
        <w:t>2 wprowadza się następujące zmiany:</w:t>
      </w:r>
    </w:p>
    <w:p w14:paraId="2EA0244B" w14:textId="1AC4F7B0" w:rsidR="00A722F8" w:rsidRPr="005A1CAE" w:rsidRDefault="00874ACF" w:rsidP="00874ACF">
      <w:pPr>
        <w:pStyle w:val="Point2"/>
        <w:rPr>
          <w:noProof/>
          <w:color w:val="000000" w:themeColor="text1"/>
        </w:rPr>
      </w:pPr>
      <w:r w:rsidRPr="005A1CAE">
        <w:rPr>
          <w:noProof/>
        </w:rPr>
        <w:t>1.</w:t>
      </w:r>
      <w:r w:rsidRPr="005A1CAE">
        <w:rPr>
          <w:noProof/>
        </w:rPr>
        <w:tab/>
        <w:t>lit.</w:t>
      </w:r>
      <w:r w:rsidR="005A1CAE" w:rsidRPr="005A1CAE">
        <w:rPr>
          <w:noProof/>
        </w:rPr>
        <w:t> </w:t>
      </w:r>
      <w:r w:rsidRPr="005A1CAE">
        <w:rPr>
          <w:noProof/>
        </w:rPr>
        <w:t>b) otrzymuje brzmienie:</w:t>
      </w:r>
    </w:p>
    <w:p w14:paraId="509D179A" w14:textId="4BF37E43" w:rsidR="0015623E" w:rsidRPr="005A1CAE" w:rsidRDefault="00A722F8" w:rsidP="00A722F8">
      <w:pPr>
        <w:ind w:left="720"/>
        <w:rPr>
          <w:noProof/>
        </w:rPr>
      </w:pPr>
      <w:r w:rsidRPr="005A1CAE">
        <w:rPr>
          <w:noProof/>
        </w:rPr>
        <w:t>„b) całkowity poziom emisji wbudowanych związanych</w:t>
      </w:r>
      <w:r w:rsidR="005A1CAE" w:rsidRPr="005A1CAE">
        <w:rPr>
          <w:noProof/>
        </w:rPr>
        <w:t xml:space="preserve"> z</w:t>
      </w:r>
      <w:r w:rsidR="005A1CAE">
        <w:rPr>
          <w:noProof/>
        </w:rPr>
        <w:t> </w:t>
      </w:r>
      <w:r w:rsidR="005A1CAE" w:rsidRPr="005A1CAE">
        <w:rPr>
          <w:noProof/>
        </w:rPr>
        <w:t>tow</w:t>
      </w:r>
      <w:r w:rsidRPr="005A1CAE">
        <w:rPr>
          <w:noProof/>
        </w:rPr>
        <w:t>arami,</w:t>
      </w:r>
      <w:r w:rsidR="005A1CAE" w:rsidRPr="005A1CAE">
        <w:rPr>
          <w:noProof/>
        </w:rPr>
        <w:t xml:space="preserve"> o</w:t>
      </w:r>
      <w:r w:rsidR="005A1CAE">
        <w:rPr>
          <w:noProof/>
        </w:rPr>
        <w:t> </w:t>
      </w:r>
      <w:r w:rsidR="005A1CAE" w:rsidRPr="005A1CAE">
        <w:rPr>
          <w:noProof/>
        </w:rPr>
        <w:t>któ</w:t>
      </w:r>
      <w:r w:rsidRPr="005A1CAE">
        <w:rPr>
          <w:noProof/>
        </w:rPr>
        <w:t>rych mowa</w:t>
      </w:r>
      <w:r w:rsidR="005A1CAE" w:rsidRPr="005A1CAE">
        <w:rPr>
          <w:noProof/>
        </w:rPr>
        <w:t xml:space="preserve"> w</w:t>
      </w:r>
      <w:r w:rsidR="005A1CAE">
        <w:rPr>
          <w:noProof/>
        </w:rPr>
        <w:t> </w:t>
      </w:r>
      <w:r w:rsidR="005A1CAE" w:rsidRPr="005A1CAE">
        <w:rPr>
          <w:noProof/>
        </w:rPr>
        <w:t>lit</w:t>
      </w:r>
      <w:r w:rsidRPr="005A1CAE">
        <w:rPr>
          <w:noProof/>
        </w:rPr>
        <w:t>.</w:t>
      </w:r>
      <w:r w:rsidR="005A1CAE" w:rsidRPr="005A1CAE">
        <w:rPr>
          <w:noProof/>
        </w:rPr>
        <w:t> </w:t>
      </w:r>
      <w:r w:rsidRPr="005A1CAE">
        <w:rPr>
          <w:noProof/>
        </w:rPr>
        <w:t>a) niniejszego ustępu, wyrażony</w:t>
      </w:r>
      <w:r w:rsidR="005A1CAE" w:rsidRPr="005A1CAE">
        <w:rPr>
          <w:noProof/>
        </w:rPr>
        <w:t xml:space="preserve"> w</w:t>
      </w:r>
      <w:r w:rsidR="005A1CAE">
        <w:rPr>
          <w:noProof/>
        </w:rPr>
        <w:t> </w:t>
      </w:r>
      <w:r w:rsidR="005A1CAE" w:rsidRPr="005A1CAE">
        <w:rPr>
          <w:noProof/>
        </w:rPr>
        <w:t>ton</w:t>
      </w:r>
      <w:r w:rsidRPr="005A1CAE">
        <w:rPr>
          <w:noProof/>
        </w:rPr>
        <w:t>ach emisji ekwiwalentu CO</w:t>
      </w:r>
      <w:r w:rsidRPr="005A1CAE">
        <w:rPr>
          <w:noProof/>
          <w:vertAlign w:val="subscript"/>
        </w:rPr>
        <w:t>2</w:t>
      </w:r>
      <w:r w:rsidRPr="005A1CAE">
        <w:rPr>
          <w:noProof/>
        </w:rPr>
        <w:t xml:space="preserve"> na megawatogodzinę energii elektrycznej lub –</w:t>
      </w:r>
      <w:r w:rsidR="005A1CAE" w:rsidRPr="005A1CAE">
        <w:rPr>
          <w:noProof/>
        </w:rPr>
        <w:t xml:space="preserve"> w</w:t>
      </w:r>
      <w:r w:rsidR="005A1CAE">
        <w:rPr>
          <w:noProof/>
        </w:rPr>
        <w:t> </w:t>
      </w:r>
      <w:r w:rsidR="005A1CAE" w:rsidRPr="005A1CAE">
        <w:rPr>
          <w:noProof/>
        </w:rPr>
        <w:t>prz</w:t>
      </w:r>
      <w:r w:rsidRPr="005A1CAE">
        <w:rPr>
          <w:noProof/>
        </w:rPr>
        <w:t>ypadku innych towarów –</w:t>
      </w:r>
      <w:r w:rsidR="005A1CAE" w:rsidRPr="005A1CAE">
        <w:rPr>
          <w:noProof/>
        </w:rPr>
        <w:t xml:space="preserve"> w</w:t>
      </w:r>
      <w:r w:rsidR="005A1CAE">
        <w:rPr>
          <w:noProof/>
        </w:rPr>
        <w:t> </w:t>
      </w:r>
      <w:r w:rsidR="005A1CAE" w:rsidRPr="005A1CAE">
        <w:rPr>
          <w:noProof/>
        </w:rPr>
        <w:t>ton</w:t>
      </w:r>
      <w:r w:rsidRPr="005A1CAE">
        <w:rPr>
          <w:noProof/>
        </w:rPr>
        <w:t>ach emisji ekwiwalentu CO</w:t>
      </w:r>
      <w:r w:rsidRPr="005A1CAE">
        <w:rPr>
          <w:noProof/>
          <w:vertAlign w:val="subscript"/>
        </w:rPr>
        <w:t>2</w:t>
      </w:r>
      <w:r w:rsidRPr="005A1CAE">
        <w:rPr>
          <w:noProof/>
        </w:rPr>
        <w:t xml:space="preserve"> na tonę poszczególnych rodzajów towarów, obliczony zgodnie</w:t>
      </w:r>
      <w:r w:rsidR="005A1CAE" w:rsidRPr="005A1CAE">
        <w:rPr>
          <w:noProof/>
        </w:rPr>
        <w:t xml:space="preserve"> z</w:t>
      </w:r>
      <w:r w:rsidR="005A1CAE">
        <w:rPr>
          <w:noProof/>
        </w:rPr>
        <w:t> </w:t>
      </w:r>
      <w:r w:rsidR="005A1CAE" w:rsidRPr="005A1CAE">
        <w:rPr>
          <w:noProof/>
        </w:rPr>
        <w:t>art</w:t>
      </w:r>
      <w:r w:rsidRPr="005A1CAE">
        <w:rPr>
          <w:noProof/>
        </w:rPr>
        <w:t>.</w:t>
      </w:r>
      <w:r w:rsidR="005A1CAE" w:rsidRPr="005A1CAE">
        <w:rPr>
          <w:noProof/>
        </w:rPr>
        <w:t> </w:t>
      </w:r>
      <w:r w:rsidRPr="005A1CAE">
        <w:rPr>
          <w:noProof/>
        </w:rPr>
        <w:t>7,</w:t>
      </w:r>
      <w:r w:rsidR="005A1CAE" w:rsidRPr="005A1CAE">
        <w:rPr>
          <w:noProof/>
        </w:rPr>
        <w:t xml:space="preserve"> a</w:t>
      </w:r>
      <w:r w:rsidR="005A1CAE">
        <w:rPr>
          <w:noProof/>
        </w:rPr>
        <w:t> </w:t>
      </w:r>
      <w:r w:rsidR="005A1CAE" w:rsidRPr="005A1CAE">
        <w:rPr>
          <w:noProof/>
        </w:rPr>
        <w:t>w</w:t>
      </w:r>
      <w:r w:rsidR="005A1CAE">
        <w:rPr>
          <w:noProof/>
        </w:rPr>
        <w:t> </w:t>
      </w:r>
      <w:r w:rsidR="005A1CAE" w:rsidRPr="005A1CAE">
        <w:rPr>
          <w:noProof/>
        </w:rPr>
        <w:t>prz</w:t>
      </w:r>
      <w:r w:rsidRPr="005A1CAE">
        <w:rPr>
          <w:noProof/>
        </w:rPr>
        <w:t>ypadku gdy emisje wbudowane ustala się na podstawie rzeczywistych emisji przekazanych przez operatora za pośrednictwem rejestru CBAM zgodnie</w:t>
      </w:r>
      <w:r w:rsidR="005A1CAE" w:rsidRPr="005A1CAE">
        <w:rPr>
          <w:noProof/>
        </w:rPr>
        <w:t xml:space="preserve"> z</w:t>
      </w:r>
      <w:r w:rsidR="005A1CAE">
        <w:rPr>
          <w:noProof/>
        </w:rPr>
        <w:t> </w:t>
      </w:r>
      <w:r w:rsidR="005A1CAE" w:rsidRPr="005A1CAE">
        <w:rPr>
          <w:noProof/>
        </w:rPr>
        <w:t>art</w:t>
      </w:r>
      <w:r w:rsidRPr="005A1CAE">
        <w:rPr>
          <w:noProof/>
        </w:rPr>
        <w:t>.</w:t>
      </w:r>
      <w:r w:rsidR="005A1CAE" w:rsidRPr="005A1CAE">
        <w:rPr>
          <w:noProof/>
        </w:rPr>
        <w:t> </w:t>
      </w:r>
      <w:r w:rsidRPr="005A1CAE">
        <w:rPr>
          <w:noProof/>
        </w:rPr>
        <w:t>10, zweryfikowany zgodnie</w:t>
      </w:r>
      <w:r w:rsidR="005A1CAE" w:rsidRPr="005A1CAE">
        <w:rPr>
          <w:noProof/>
        </w:rPr>
        <w:t xml:space="preserve"> z</w:t>
      </w:r>
      <w:r w:rsidR="005A1CAE">
        <w:rPr>
          <w:noProof/>
        </w:rPr>
        <w:t> </w:t>
      </w:r>
      <w:r w:rsidR="005A1CAE" w:rsidRPr="005A1CAE">
        <w:rPr>
          <w:noProof/>
        </w:rPr>
        <w:t>art</w:t>
      </w:r>
      <w:r w:rsidRPr="005A1CAE">
        <w:rPr>
          <w:noProof/>
        </w:rPr>
        <w:t>.</w:t>
      </w:r>
      <w:r w:rsidR="005A1CAE" w:rsidRPr="005A1CAE">
        <w:rPr>
          <w:noProof/>
        </w:rPr>
        <w:t> </w:t>
      </w:r>
      <w:r w:rsidRPr="005A1CAE">
        <w:rPr>
          <w:noProof/>
        </w:rPr>
        <w:t>8;”;</w:t>
      </w:r>
    </w:p>
    <w:p w14:paraId="359F5E4A" w14:textId="03ED9F32" w:rsidR="00956397" w:rsidRPr="005A1CAE" w:rsidRDefault="00874ACF" w:rsidP="00874ACF">
      <w:pPr>
        <w:pStyle w:val="Point2"/>
        <w:rPr>
          <w:noProof/>
        </w:rPr>
      </w:pPr>
      <w:r w:rsidRPr="005A1CAE">
        <w:rPr>
          <w:noProof/>
        </w:rPr>
        <w:t>2.</w:t>
      </w:r>
      <w:r w:rsidRPr="005A1CAE">
        <w:rPr>
          <w:noProof/>
        </w:rPr>
        <w:tab/>
        <w:t>dodaje się lit.</w:t>
      </w:r>
      <w:r w:rsidR="005A1CAE" w:rsidRPr="005A1CAE">
        <w:rPr>
          <w:noProof/>
        </w:rPr>
        <w:t> </w:t>
      </w:r>
      <w:r w:rsidRPr="005A1CAE">
        <w:rPr>
          <w:noProof/>
        </w:rPr>
        <w:t>e) i f)</w:t>
      </w:r>
      <w:r w:rsidR="005A1CAE" w:rsidRPr="005A1CAE">
        <w:rPr>
          <w:noProof/>
        </w:rPr>
        <w:t xml:space="preserve"> w</w:t>
      </w:r>
      <w:r w:rsidR="005A1CAE">
        <w:rPr>
          <w:noProof/>
        </w:rPr>
        <w:t> </w:t>
      </w:r>
      <w:r w:rsidR="005A1CAE" w:rsidRPr="005A1CAE">
        <w:rPr>
          <w:noProof/>
        </w:rPr>
        <w:t>brz</w:t>
      </w:r>
      <w:r w:rsidRPr="005A1CAE">
        <w:rPr>
          <w:noProof/>
        </w:rPr>
        <w:t>mieniu:</w:t>
      </w:r>
    </w:p>
    <w:p w14:paraId="3DF11393" w14:textId="5AC747D1" w:rsidR="006A61AE" w:rsidRPr="005A1CAE" w:rsidRDefault="006A61AE" w:rsidP="006A61AE">
      <w:pPr>
        <w:ind w:left="720"/>
        <w:rPr>
          <w:noProof/>
          <w:color w:val="000000" w:themeColor="text1"/>
        </w:rPr>
      </w:pPr>
      <w:r w:rsidRPr="005A1CAE">
        <w:rPr>
          <w:noProof/>
          <w:color w:val="000000" w:themeColor="text1"/>
        </w:rPr>
        <w:t>„e)</w:t>
      </w:r>
      <w:r w:rsidR="005A1CAE" w:rsidRPr="005A1CAE">
        <w:rPr>
          <w:noProof/>
        </w:rPr>
        <w:t xml:space="preserve"> w</w:t>
      </w:r>
      <w:r w:rsidR="005A1CAE">
        <w:rPr>
          <w:noProof/>
        </w:rPr>
        <w:t> </w:t>
      </w:r>
      <w:r w:rsidR="005A1CAE" w:rsidRPr="005A1CAE">
        <w:rPr>
          <w:noProof/>
        </w:rPr>
        <w:t>sto</w:t>
      </w:r>
      <w:r w:rsidRPr="005A1CAE">
        <w:rPr>
          <w:noProof/>
        </w:rPr>
        <w:t>sownych przypadkach</w:t>
      </w:r>
      <w:r w:rsidR="005A1CAE" w:rsidRPr="005A1CAE">
        <w:rPr>
          <w:noProof/>
        </w:rPr>
        <w:t xml:space="preserve"> w</w:t>
      </w:r>
      <w:r w:rsidR="005A1CAE">
        <w:rPr>
          <w:noProof/>
        </w:rPr>
        <w:t> </w:t>
      </w:r>
      <w:r w:rsidR="005A1CAE" w:rsidRPr="005A1CAE">
        <w:rPr>
          <w:noProof/>
        </w:rPr>
        <w:t>cel</w:t>
      </w:r>
      <w:r w:rsidRPr="005A1CAE">
        <w:rPr>
          <w:noProof/>
        </w:rPr>
        <w:t>u wyeliminowania ryzyka błędnych deklaracji wynikającego</w:t>
      </w:r>
      <w:r w:rsidR="005A1CAE" w:rsidRPr="005A1CAE">
        <w:rPr>
          <w:noProof/>
        </w:rPr>
        <w:t xml:space="preserve"> z</w:t>
      </w:r>
      <w:r w:rsidR="005A1CAE">
        <w:rPr>
          <w:noProof/>
        </w:rPr>
        <w:t> </w:t>
      </w:r>
      <w:r w:rsidR="005A1CAE" w:rsidRPr="005A1CAE">
        <w:rPr>
          <w:noProof/>
        </w:rPr>
        <w:t>bra</w:t>
      </w:r>
      <w:r w:rsidRPr="005A1CAE">
        <w:rPr>
          <w:noProof/>
        </w:rPr>
        <w:t>ku identyfikowalności łańcucha dostaw</w:t>
      </w:r>
      <w:r w:rsidRPr="005A1CAE">
        <w:rPr>
          <w:noProof/>
          <w:color w:val="000000" w:themeColor="text1"/>
        </w:rPr>
        <w:t xml:space="preserve"> – dowody na to, że towary przywiezione</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pop</w:t>
      </w:r>
      <w:r w:rsidRPr="005A1CAE">
        <w:rPr>
          <w:noProof/>
          <w:color w:val="000000" w:themeColor="text1"/>
        </w:rPr>
        <w:t>rzednim roku kalendarzowym zostały wyprodukowane</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zad</w:t>
      </w:r>
      <w:r w:rsidRPr="005A1CAE">
        <w:rPr>
          <w:noProof/>
          <w:color w:val="000000" w:themeColor="text1"/>
        </w:rPr>
        <w:t>eklarowanej instalacji</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w</w:t>
      </w:r>
      <w:r w:rsidR="005A1CAE">
        <w:rPr>
          <w:noProof/>
          <w:color w:val="000000" w:themeColor="text1"/>
        </w:rPr>
        <w:t> </w:t>
      </w:r>
      <w:r w:rsidR="005A1CAE" w:rsidRPr="005A1CAE">
        <w:rPr>
          <w:noProof/>
          <w:color w:val="000000" w:themeColor="text1"/>
        </w:rPr>
        <w:t>rze</w:t>
      </w:r>
      <w:r w:rsidRPr="005A1CAE">
        <w:rPr>
          <w:noProof/>
          <w:color w:val="000000" w:themeColor="text1"/>
        </w:rPr>
        <w:t>czywistym czasie produkcji,</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rym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dek</w:t>
      </w:r>
      <w:r w:rsidRPr="005A1CAE">
        <w:rPr>
          <w:noProof/>
          <w:color w:val="000000" w:themeColor="text1"/>
        </w:rPr>
        <w:t>laracji CBAM;</w:t>
      </w:r>
    </w:p>
    <w:p w14:paraId="6488CE4F" w14:textId="4A926509" w:rsidR="00662696" w:rsidRPr="005A1CAE" w:rsidRDefault="513D6475" w:rsidP="00B96E84">
      <w:pPr>
        <w:ind w:left="720"/>
        <w:rPr>
          <w:noProof/>
        </w:rPr>
      </w:pPr>
      <w:r w:rsidRPr="005A1CAE">
        <w:rPr>
          <w:noProof/>
        </w:rPr>
        <w:t>f)</w:t>
      </w:r>
      <w:r w:rsidR="005A1CAE" w:rsidRPr="005A1CAE">
        <w:rPr>
          <w:noProof/>
        </w:rPr>
        <w:t xml:space="preserve"> w</w:t>
      </w:r>
      <w:r w:rsidR="005A1CAE">
        <w:rPr>
          <w:noProof/>
        </w:rPr>
        <w:t> </w:t>
      </w:r>
      <w:r w:rsidR="005A1CAE" w:rsidRPr="005A1CAE">
        <w:rPr>
          <w:noProof/>
        </w:rPr>
        <w:t>prz</w:t>
      </w:r>
      <w:r w:rsidRPr="005A1CAE">
        <w:rPr>
          <w:noProof/>
        </w:rPr>
        <w:t>ypadku gdy zgodnie</w:t>
      </w:r>
      <w:r w:rsidR="005A1CAE" w:rsidRPr="005A1CAE">
        <w:rPr>
          <w:noProof/>
        </w:rPr>
        <w:t xml:space="preserve"> z</w:t>
      </w:r>
      <w:r w:rsidR="005A1CAE">
        <w:rPr>
          <w:noProof/>
        </w:rPr>
        <w:t> </w:t>
      </w:r>
      <w:r w:rsidR="005A1CAE" w:rsidRPr="005A1CAE">
        <w:rPr>
          <w:noProof/>
        </w:rPr>
        <w:t>akt</w:t>
      </w:r>
      <w:r w:rsidRPr="005A1CAE">
        <w:rPr>
          <w:noProof/>
        </w:rPr>
        <w:t>em delegowanym przyjętym zgodnie</w:t>
      </w:r>
      <w:r w:rsidR="005A1CAE" w:rsidRPr="005A1CAE">
        <w:rPr>
          <w:noProof/>
        </w:rPr>
        <w:t xml:space="preserve"> z</w:t>
      </w:r>
      <w:r w:rsidR="005A1CAE">
        <w:rPr>
          <w:noProof/>
        </w:rPr>
        <w:t> </w:t>
      </w:r>
      <w:r w:rsidR="005A1CAE" w:rsidRPr="005A1CAE">
        <w:rPr>
          <w:noProof/>
        </w:rPr>
        <w:t>ust</w:t>
      </w:r>
      <w:r w:rsidRPr="005A1CAE">
        <w:rPr>
          <w:noProof/>
        </w:rPr>
        <w:t>.</w:t>
      </w:r>
      <w:r w:rsidR="005A1CAE" w:rsidRPr="005A1CAE">
        <w:rPr>
          <w:noProof/>
        </w:rPr>
        <w:t> </w:t>
      </w:r>
      <w:r w:rsidRPr="005A1CAE">
        <w:rPr>
          <w:noProof/>
        </w:rPr>
        <w:t>7 emisje wbudowane ustala się na podstawie rzeczywistych emisji</w:t>
      </w:r>
      <w:r w:rsidR="005A1CAE" w:rsidRPr="005A1CAE">
        <w:rPr>
          <w:noProof/>
        </w:rPr>
        <w:t xml:space="preserve"> w</w:t>
      </w:r>
      <w:r w:rsidR="005A1CAE">
        <w:rPr>
          <w:noProof/>
        </w:rPr>
        <w:t> </w:t>
      </w:r>
      <w:r w:rsidR="005A1CAE" w:rsidRPr="005A1CAE">
        <w:rPr>
          <w:noProof/>
        </w:rPr>
        <w:t>odn</w:t>
      </w:r>
      <w:r w:rsidRPr="005A1CAE">
        <w:rPr>
          <w:noProof/>
        </w:rPr>
        <w:t>iesieniu do kombinacji towarów</w:t>
      </w:r>
      <w:r w:rsidR="005A1CAE" w:rsidRPr="005A1CAE">
        <w:rPr>
          <w:noProof/>
        </w:rPr>
        <w:t xml:space="preserve"> i</w:t>
      </w:r>
      <w:r w:rsidR="005A1CAE">
        <w:rPr>
          <w:noProof/>
        </w:rPr>
        <w:t> </w:t>
      </w:r>
      <w:r w:rsidR="005A1CAE" w:rsidRPr="005A1CAE">
        <w:rPr>
          <w:noProof/>
        </w:rPr>
        <w:t>mie</w:t>
      </w:r>
      <w:r w:rsidRPr="005A1CAE">
        <w:rPr>
          <w:noProof/>
        </w:rPr>
        <w:t>jsc pochodzenia, które są narażone na wysokie ryzyko wystąpienia nadużyć, dowody na to, że nie wystąpiło takie ryzyko.”;</w:t>
      </w:r>
    </w:p>
    <w:p w14:paraId="6F5F99B8" w14:textId="45E939EA" w:rsidR="00662696" w:rsidRPr="005A1CAE" w:rsidRDefault="00874ACF" w:rsidP="00874ACF">
      <w:pPr>
        <w:pStyle w:val="Point1"/>
        <w:rPr>
          <w:noProof/>
        </w:rPr>
      </w:pPr>
      <w:r w:rsidRPr="005A1CAE">
        <w:rPr>
          <w:noProof/>
        </w:rPr>
        <w:t>b)</w:t>
      </w:r>
      <w:r w:rsidRPr="005A1CAE">
        <w:rPr>
          <w:noProof/>
        </w:rPr>
        <w:tab/>
        <w:t>ust.</w:t>
      </w:r>
      <w:r w:rsidR="005A1CAE" w:rsidRPr="005A1CAE">
        <w:rPr>
          <w:noProof/>
        </w:rPr>
        <w:t> </w:t>
      </w:r>
      <w:r w:rsidRPr="005A1CAE">
        <w:rPr>
          <w:noProof/>
        </w:rPr>
        <w:t>6 zdanie pierwsze otrzymuje brzmienie:</w:t>
      </w:r>
    </w:p>
    <w:p w14:paraId="41990CB3" w14:textId="6FC9E7CB" w:rsidR="00297761" w:rsidRPr="005A1CAE" w:rsidRDefault="000C5CE9" w:rsidP="00297761">
      <w:pPr>
        <w:ind w:left="720"/>
        <w:rPr>
          <w:noProof/>
          <w:color w:val="000000" w:themeColor="text1"/>
        </w:rPr>
      </w:pPr>
      <w:r w:rsidRPr="005A1CAE">
        <w:rPr>
          <w:noProof/>
          <w:color w:val="000000" w:themeColor="text1"/>
        </w:rPr>
        <w:t>„Komisja jest uprawniona do przyjmowania aktów wykonawczych dotyczących standardowego formatu deklaracji CBAM,</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tym</w:t>
      </w:r>
      <w:r w:rsidRPr="005A1CAE">
        <w:rPr>
          <w:noProof/>
          <w:color w:val="000000" w:themeColor="text1"/>
        </w:rPr>
        <w:t xml:space="preserve"> szczegółowych informacji</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pod</w:t>
      </w:r>
      <w:r w:rsidRPr="005A1CAE">
        <w:rPr>
          <w:noProof/>
          <w:color w:val="000000" w:themeColor="text1"/>
        </w:rPr>
        <w:t>ziale na instalacje, państwo pochodzenia lub inne państwo trzecie oraz rodzaj towarów podlegających zgłoszeniu, na poparcie sum,</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rych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ust</w:t>
      </w:r>
      <w:r w:rsidRPr="005A1CAE">
        <w:rPr>
          <w:noProof/>
          <w:color w:val="000000" w:themeColor="text1"/>
        </w:rPr>
        <w:t>.</w:t>
      </w:r>
      <w:r w:rsidR="005A1CAE" w:rsidRPr="005A1CAE">
        <w:rPr>
          <w:noProof/>
          <w:color w:val="000000" w:themeColor="text1"/>
        </w:rPr>
        <w:t> </w:t>
      </w:r>
      <w:r w:rsidRPr="005A1CAE">
        <w:rPr>
          <w:noProof/>
          <w:color w:val="000000" w:themeColor="text1"/>
        </w:rPr>
        <w:t>2 niniejszego artykułu,</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szc</w:t>
      </w:r>
      <w:r w:rsidRPr="005A1CAE">
        <w:rPr>
          <w:noProof/>
          <w:color w:val="000000" w:themeColor="text1"/>
        </w:rPr>
        <w:t>zególności</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odn</w:t>
      </w:r>
      <w:r w:rsidRPr="005A1CAE">
        <w:rPr>
          <w:noProof/>
          <w:color w:val="000000" w:themeColor="text1"/>
        </w:rPr>
        <w:t>iesieniu do emisji wbudowanych, uiszczonej opłaty emisyjnej, domyślnej opłaty emisyjnej do celów art.</w:t>
      </w:r>
      <w:r w:rsidR="005A1CAE" w:rsidRPr="005A1CAE">
        <w:rPr>
          <w:noProof/>
          <w:color w:val="000000" w:themeColor="text1"/>
        </w:rPr>
        <w:t> </w:t>
      </w:r>
      <w:r w:rsidRPr="005A1CAE">
        <w:rPr>
          <w:noProof/>
          <w:color w:val="000000" w:themeColor="text1"/>
        </w:rPr>
        <w:t>9 ust.</w:t>
      </w:r>
      <w:r w:rsidR="005A1CAE" w:rsidRPr="005A1CAE">
        <w:rPr>
          <w:noProof/>
          <w:color w:val="000000" w:themeColor="text1"/>
        </w:rPr>
        <w:t> </w:t>
      </w:r>
      <w:r w:rsidRPr="005A1CAE">
        <w:rPr>
          <w:noProof/>
          <w:color w:val="000000" w:themeColor="text1"/>
        </w:rPr>
        <w:t>4, procedury składania deklaracji CBAM za pośrednictwem rejestru CBAM,</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tym</w:t>
      </w:r>
      <w:r w:rsidRPr="005A1CAE">
        <w:rPr>
          <w:noProof/>
          <w:color w:val="000000" w:themeColor="text1"/>
        </w:rPr>
        <w:t xml:space="preserve"> procedur przeglądu deklaracji CBAM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19, oraz zasad przekazywania certyfikatów CBAM,</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rych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ust</w:t>
      </w:r>
      <w:r w:rsidRPr="005A1CAE">
        <w:rPr>
          <w:noProof/>
          <w:color w:val="000000" w:themeColor="text1"/>
        </w:rPr>
        <w:t>.</w:t>
      </w:r>
      <w:r w:rsidR="005A1CAE" w:rsidRPr="005A1CAE">
        <w:rPr>
          <w:noProof/>
          <w:color w:val="000000" w:themeColor="text1"/>
        </w:rPr>
        <w:t> </w:t>
      </w:r>
      <w:r w:rsidRPr="005A1CAE">
        <w:rPr>
          <w:noProof/>
          <w:color w:val="000000" w:themeColor="text1"/>
        </w:rPr>
        <w:t>2 lit.</w:t>
      </w:r>
      <w:r w:rsidR="005A1CAE" w:rsidRPr="005A1CAE">
        <w:rPr>
          <w:noProof/>
          <w:color w:val="000000" w:themeColor="text1"/>
        </w:rPr>
        <w:t> </w:t>
      </w:r>
      <w:r w:rsidRPr="005A1CAE">
        <w:rPr>
          <w:noProof/>
          <w:color w:val="000000" w:themeColor="text1"/>
        </w:rPr>
        <w:t>c), do umorzenia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22 ust.</w:t>
      </w:r>
      <w:r w:rsidR="005A1CAE" w:rsidRPr="005A1CAE">
        <w:rPr>
          <w:noProof/>
          <w:color w:val="000000" w:themeColor="text1"/>
        </w:rPr>
        <w:t> </w:t>
      </w:r>
      <w:r w:rsidRPr="005A1CAE">
        <w:rPr>
          <w:noProof/>
          <w:color w:val="000000" w:themeColor="text1"/>
        </w:rPr>
        <w:t>1,</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szc</w:t>
      </w:r>
      <w:r w:rsidRPr="005A1CAE">
        <w:rPr>
          <w:noProof/>
          <w:color w:val="000000" w:themeColor="text1"/>
        </w:rPr>
        <w:t>zególności</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odn</w:t>
      </w:r>
      <w:r w:rsidRPr="005A1CAE">
        <w:rPr>
          <w:noProof/>
          <w:color w:val="000000" w:themeColor="text1"/>
        </w:rPr>
        <w:t>iesieniu do procesu</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wyb</w:t>
      </w:r>
      <w:r w:rsidRPr="005A1CAE">
        <w:rPr>
          <w:noProof/>
          <w:color w:val="000000" w:themeColor="text1"/>
        </w:rPr>
        <w:t>oru przez upoważnionego zgłaszającego CBAM certyfikatów, które mają zostać przekazane do umorzenia.”;</w:t>
      </w:r>
    </w:p>
    <w:p w14:paraId="2788F563" w14:textId="1176ED0B" w:rsidR="00FE356F" w:rsidRPr="005A1CAE" w:rsidRDefault="00874ACF" w:rsidP="00874ACF">
      <w:pPr>
        <w:pStyle w:val="Point1"/>
        <w:rPr>
          <w:noProof/>
        </w:rPr>
      </w:pPr>
      <w:r w:rsidRPr="005A1CAE">
        <w:rPr>
          <w:noProof/>
        </w:rPr>
        <w:t>c)</w:t>
      </w:r>
      <w:r w:rsidRPr="005A1CAE">
        <w:rPr>
          <w:noProof/>
        </w:rPr>
        <w:tab/>
        <w:t>dodaje się ust.</w:t>
      </w:r>
      <w:r w:rsidR="005A1CAE" w:rsidRPr="005A1CAE">
        <w:rPr>
          <w:noProof/>
        </w:rPr>
        <w:t> </w:t>
      </w:r>
      <w:r w:rsidRPr="005A1CAE">
        <w:rPr>
          <w:noProof/>
        </w:rPr>
        <w:t>6a</w:t>
      </w:r>
      <w:r w:rsidR="005A1CAE" w:rsidRPr="005A1CAE">
        <w:rPr>
          <w:noProof/>
        </w:rPr>
        <w:t xml:space="preserve"> i</w:t>
      </w:r>
      <w:r w:rsidR="005A1CAE">
        <w:rPr>
          <w:noProof/>
        </w:rPr>
        <w:t> </w:t>
      </w:r>
      <w:r w:rsidR="005A1CAE" w:rsidRPr="005A1CAE">
        <w:rPr>
          <w:noProof/>
        </w:rPr>
        <w:t>7 w</w:t>
      </w:r>
      <w:r w:rsidR="005A1CAE">
        <w:rPr>
          <w:noProof/>
        </w:rPr>
        <w:t> </w:t>
      </w:r>
      <w:r w:rsidR="005A1CAE" w:rsidRPr="005A1CAE">
        <w:rPr>
          <w:noProof/>
        </w:rPr>
        <w:t>brz</w:t>
      </w:r>
      <w:r w:rsidRPr="005A1CAE">
        <w:rPr>
          <w:noProof/>
        </w:rPr>
        <w:t>mieniu:</w:t>
      </w:r>
    </w:p>
    <w:p w14:paraId="4C3A9FF2" w14:textId="5F702DAB" w:rsidR="0072111B" w:rsidRPr="005A1CAE" w:rsidRDefault="00AE3ED4" w:rsidP="0072111B">
      <w:pPr>
        <w:ind w:left="720"/>
        <w:rPr>
          <w:noProof/>
          <w:color w:val="000000" w:themeColor="text1"/>
        </w:rPr>
      </w:pPr>
      <w:r w:rsidRPr="005A1CAE">
        <w:rPr>
          <w:noProof/>
          <w:color w:val="000000" w:themeColor="text1"/>
        </w:rPr>
        <w:t>„6a. Komisja jest uprawniona do przyjęcia aktów wykonawczych dotyczących identyfikacji towarów lub</w:t>
      </w:r>
      <w:r w:rsidRPr="005A1CAE">
        <w:rPr>
          <w:noProof/>
        </w:rPr>
        <w:t xml:space="preserve"> kombinacji towarów</w:t>
      </w:r>
      <w:r w:rsidR="005A1CAE" w:rsidRPr="005A1CAE">
        <w:rPr>
          <w:noProof/>
        </w:rPr>
        <w:t xml:space="preserve"> i</w:t>
      </w:r>
      <w:r w:rsidR="005A1CAE">
        <w:rPr>
          <w:noProof/>
        </w:rPr>
        <w:t> </w:t>
      </w:r>
      <w:r w:rsidR="005A1CAE" w:rsidRPr="005A1CAE">
        <w:rPr>
          <w:noProof/>
        </w:rPr>
        <w:t>mie</w:t>
      </w:r>
      <w:r w:rsidRPr="005A1CAE">
        <w:rPr>
          <w:noProof/>
        </w:rPr>
        <w:t>jsc pochodzenia,</w:t>
      </w:r>
      <w:r w:rsidR="005A1CAE" w:rsidRPr="005A1CAE">
        <w:rPr>
          <w:noProof/>
        </w:rPr>
        <w:t xml:space="preserve"> w</w:t>
      </w:r>
      <w:r w:rsidR="005A1CAE">
        <w:rPr>
          <w:noProof/>
        </w:rPr>
        <w:t> </w:t>
      </w:r>
      <w:r w:rsidR="005A1CAE" w:rsidRPr="005A1CAE">
        <w:rPr>
          <w:noProof/>
        </w:rPr>
        <w:t>odn</w:t>
      </w:r>
      <w:r w:rsidRPr="005A1CAE">
        <w:rPr>
          <w:noProof/>
        </w:rPr>
        <w:t>iesieniu do których należy przedstawić dowody</w:t>
      </w:r>
      <w:r w:rsidR="005A1CAE" w:rsidRPr="005A1CAE">
        <w:rPr>
          <w:noProof/>
        </w:rPr>
        <w:t xml:space="preserve"> w</w:t>
      </w:r>
      <w:r w:rsidR="005A1CAE">
        <w:rPr>
          <w:noProof/>
        </w:rPr>
        <w:t> </w:t>
      </w:r>
      <w:r w:rsidR="005A1CAE" w:rsidRPr="005A1CAE">
        <w:rPr>
          <w:noProof/>
        </w:rPr>
        <w:t>dek</w:t>
      </w:r>
      <w:r w:rsidRPr="005A1CAE">
        <w:rPr>
          <w:noProof/>
        </w:rPr>
        <w:t>laracji CBAM zgodnie</w:t>
      </w:r>
      <w:r w:rsidR="005A1CAE" w:rsidRPr="005A1CAE">
        <w:rPr>
          <w:noProof/>
        </w:rPr>
        <w:t xml:space="preserve"> z</w:t>
      </w:r>
      <w:r w:rsidR="005A1CAE">
        <w:rPr>
          <w:noProof/>
        </w:rPr>
        <w:t> </w:t>
      </w:r>
      <w:r w:rsidR="005A1CAE" w:rsidRPr="005A1CAE">
        <w:rPr>
          <w:noProof/>
        </w:rPr>
        <w:t>ust</w:t>
      </w:r>
      <w:r w:rsidRPr="005A1CAE">
        <w:rPr>
          <w:noProof/>
        </w:rPr>
        <w:t>.</w:t>
      </w:r>
      <w:r w:rsidR="005A1CAE" w:rsidRPr="005A1CAE">
        <w:rPr>
          <w:noProof/>
        </w:rPr>
        <w:t> </w:t>
      </w:r>
      <w:r w:rsidRPr="005A1CAE">
        <w:rPr>
          <w:noProof/>
        </w:rPr>
        <w:t>2 lit.</w:t>
      </w:r>
      <w:r w:rsidR="005A1CAE" w:rsidRPr="005A1CAE">
        <w:rPr>
          <w:noProof/>
        </w:rPr>
        <w:t> </w:t>
      </w:r>
      <w:r w:rsidRPr="005A1CAE">
        <w:rPr>
          <w:noProof/>
        </w:rPr>
        <w:t>e),</w:t>
      </w:r>
      <w:r w:rsidR="005A1CAE" w:rsidRPr="005A1CAE">
        <w:rPr>
          <w:noProof/>
        </w:rPr>
        <w:t xml:space="preserve"> a</w:t>
      </w:r>
      <w:r w:rsidR="005A1CAE">
        <w:rPr>
          <w:noProof/>
        </w:rPr>
        <w:t> </w:t>
      </w:r>
      <w:r w:rsidR="005A1CAE" w:rsidRPr="005A1CAE">
        <w:rPr>
          <w:noProof/>
        </w:rPr>
        <w:t>tak</w:t>
      </w:r>
      <w:r w:rsidRPr="005A1CAE">
        <w:rPr>
          <w:noProof/>
        </w:rPr>
        <w:t xml:space="preserve">że konkretnego rodzaju dowodów, które należy przedstawić. </w:t>
      </w:r>
      <w:r w:rsidRPr="005A1CAE">
        <w:rPr>
          <w:noProof/>
          <w:color w:val="000000" w:themeColor="text1"/>
        </w:rPr>
        <w:t>Te akty wykonawcze przyjmuje się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pro</w:t>
      </w:r>
      <w:r w:rsidRPr="005A1CAE">
        <w:rPr>
          <w:noProof/>
          <w:color w:val="000000" w:themeColor="text1"/>
        </w:rPr>
        <w:t>cedurą sprawdzającą,</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rej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art</w:t>
      </w:r>
      <w:r w:rsidRPr="005A1CAE">
        <w:rPr>
          <w:noProof/>
          <w:color w:val="000000" w:themeColor="text1"/>
        </w:rPr>
        <w:t>. 29 ust. 2.</w:t>
      </w:r>
    </w:p>
    <w:p w14:paraId="0016DD9C" w14:textId="6943B130" w:rsidR="00E17A88" w:rsidRPr="005A1CAE" w:rsidRDefault="0021636D" w:rsidP="009B7E76">
      <w:pPr>
        <w:ind w:left="720"/>
        <w:rPr>
          <w:noProof/>
          <w:color w:val="000000" w:themeColor="text1"/>
        </w:rPr>
      </w:pPr>
      <w:r w:rsidRPr="005A1CAE">
        <w:rPr>
          <w:noProof/>
          <w:color w:val="000000" w:themeColor="text1"/>
        </w:rPr>
        <w:t xml:space="preserve">7. Komisja monitoruje na poziomie Unii wpływ CBAM na rynek wewnętrzny Unii. </w:t>
      </w:r>
      <w:r w:rsidRPr="005A1CAE">
        <w:rPr>
          <w:noProof/>
        </w:rPr>
        <w:t>Jeżeli Komisja, biorąc pod uwagę odpowiednie informacje,</w:t>
      </w:r>
      <w:r w:rsidR="005A1CAE" w:rsidRPr="005A1CAE">
        <w:rPr>
          <w:noProof/>
        </w:rPr>
        <w:t xml:space="preserve"> w</w:t>
      </w:r>
      <w:r w:rsidR="005A1CAE">
        <w:rPr>
          <w:noProof/>
        </w:rPr>
        <w:t> </w:t>
      </w:r>
      <w:r w:rsidR="005A1CAE" w:rsidRPr="005A1CAE">
        <w:rPr>
          <w:noProof/>
        </w:rPr>
        <w:t>tym</w:t>
      </w:r>
      <w:r w:rsidRPr="005A1CAE">
        <w:rPr>
          <w:noProof/>
        </w:rPr>
        <w:t xml:space="preserve"> informacje ze zgłoszeń przywozowych</w:t>
      </w:r>
      <w:r w:rsidR="005A1CAE" w:rsidRPr="005A1CAE">
        <w:rPr>
          <w:noProof/>
        </w:rPr>
        <w:t xml:space="preserve"> i</w:t>
      </w:r>
      <w:r w:rsidR="005A1CAE">
        <w:rPr>
          <w:noProof/>
        </w:rPr>
        <w:t> </w:t>
      </w:r>
      <w:r w:rsidR="005A1CAE" w:rsidRPr="005A1CAE">
        <w:rPr>
          <w:noProof/>
        </w:rPr>
        <w:t>dek</w:t>
      </w:r>
      <w:r w:rsidRPr="005A1CAE">
        <w:rPr>
          <w:noProof/>
        </w:rPr>
        <w:t>laracji CBAM, stwierdzi, że istnieją wystarczające dowody wskazujące na wysokie ryzyko wystąpienia nadużyć</w:t>
      </w:r>
      <w:r w:rsidR="005A1CAE" w:rsidRPr="005A1CAE">
        <w:rPr>
          <w:noProof/>
        </w:rPr>
        <w:t xml:space="preserve"> w</w:t>
      </w:r>
      <w:r w:rsidR="005A1CAE">
        <w:rPr>
          <w:noProof/>
        </w:rPr>
        <w:t> </w:t>
      </w:r>
      <w:r w:rsidR="005A1CAE" w:rsidRPr="005A1CAE">
        <w:rPr>
          <w:noProof/>
        </w:rPr>
        <w:t>odn</w:t>
      </w:r>
      <w:r w:rsidRPr="005A1CAE">
        <w:rPr>
          <w:noProof/>
        </w:rPr>
        <w:t xml:space="preserve">iesieniu do </w:t>
      </w:r>
      <w:r w:rsidRPr="005A1CAE">
        <w:rPr>
          <w:noProof/>
        </w:rPr>
        <w:lastRenderedPageBreak/>
        <w:t>kombinacji towarów</w:t>
      </w:r>
      <w:r w:rsidR="005A1CAE" w:rsidRPr="005A1CAE">
        <w:rPr>
          <w:noProof/>
        </w:rPr>
        <w:t xml:space="preserve"> i</w:t>
      </w:r>
      <w:r w:rsidR="005A1CAE">
        <w:rPr>
          <w:noProof/>
        </w:rPr>
        <w:t> </w:t>
      </w:r>
      <w:r w:rsidR="005A1CAE" w:rsidRPr="005A1CAE">
        <w:rPr>
          <w:noProof/>
        </w:rPr>
        <w:t>mie</w:t>
      </w:r>
      <w:r w:rsidRPr="005A1CAE">
        <w:rPr>
          <w:noProof/>
        </w:rPr>
        <w:t>jsc pochodzenia, może poinformować importerów</w:t>
      </w:r>
      <w:r w:rsidR="005A1CAE" w:rsidRPr="005A1CAE">
        <w:rPr>
          <w:noProof/>
        </w:rPr>
        <w:t xml:space="preserve"> i</w:t>
      </w:r>
      <w:r w:rsidR="005A1CAE">
        <w:rPr>
          <w:noProof/>
        </w:rPr>
        <w:t> </w:t>
      </w:r>
      <w:r w:rsidR="005A1CAE" w:rsidRPr="005A1CAE">
        <w:rPr>
          <w:noProof/>
        </w:rPr>
        <w:t>upo</w:t>
      </w:r>
      <w:r w:rsidRPr="005A1CAE">
        <w:rPr>
          <w:noProof/>
        </w:rPr>
        <w:t>ważnionych zgłaszających CBAM</w:t>
      </w:r>
      <w:r w:rsidR="005A1CAE" w:rsidRPr="005A1CAE">
        <w:rPr>
          <w:noProof/>
        </w:rPr>
        <w:t xml:space="preserve"> o</w:t>
      </w:r>
      <w:r w:rsidR="005A1CAE">
        <w:rPr>
          <w:noProof/>
        </w:rPr>
        <w:t> </w:t>
      </w:r>
      <w:r w:rsidR="005A1CAE" w:rsidRPr="005A1CAE">
        <w:rPr>
          <w:noProof/>
        </w:rPr>
        <w:t>tym</w:t>
      </w:r>
      <w:r w:rsidRPr="005A1CAE">
        <w:rPr>
          <w:noProof/>
        </w:rPr>
        <w:t xml:space="preserve"> ryzyku, może poinformować właściwe organy</w:t>
      </w:r>
      <w:r w:rsidR="005A1CAE" w:rsidRPr="005A1CAE">
        <w:rPr>
          <w:noProof/>
        </w:rPr>
        <w:t xml:space="preserve"> i</w:t>
      </w:r>
      <w:r w:rsidR="005A1CAE">
        <w:rPr>
          <w:noProof/>
        </w:rPr>
        <w:t> </w:t>
      </w:r>
      <w:r w:rsidR="005A1CAE" w:rsidRPr="005A1CAE">
        <w:rPr>
          <w:noProof/>
        </w:rPr>
        <w:t>org</w:t>
      </w:r>
      <w:r w:rsidRPr="005A1CAE">
        <w:rPr>
          <w:noProof/>
        </w:rPr>
        <w:t>any celne</w:t>
      </w:r>
      <w:r w:rsidR="005A1CAE" w:rsidRPr="005A1CAE">
        <w:rPr>
          <w:noProof/>
        </w:rPr>
        <w:t xml:space="preserve"> o</w:t>
      </w:r>
      <w:r w:rsidR="005A1CAE">
        <w:rPr>
          <w:noProof/>
        </w:rPr>
        <w:t> </w:t>
      </w:r>
      <w:r w:rsidR="005A1CAE" w:rsidRPr="005A1CAE">
        <w:rPr>
          <w:noProof/>
        </w:rPr>
        <w:t>tym</w:t>
      </w:r>
      <w:r w:rsidRPr="005A1CAE">
        <w:rPr>
          <w:noProof/>
        </w:rPr>
        <w:t xml:space="preserve"> ryzyku</w:t>
      </w:r>
      <w:r w:rsidR="005A1CAE" w:rsidRPr="005A1CAE">
        <w:rPr>
          <w:noProof/>
        </w:rPr>
        <w:t xml:space="preserve"> w</w:t>
      </w:r>
      <w:r w:rsidR="005A1CAE">
        <w:rPr>
          <w:noProof/>
        </w:rPr>
        <w:t> </w:t>
      </w:r>
      <w:r w:rsidR="005A1CAE" w:rsidRPr="005A1CAE">
        <w:rPr>
          <w:noProof/>
        </w:rPr>
        <w:t>cel</w:t>
      </w:r>
      <w:r w:rsidRPr="005A1CAE">
        <w:rPr>
          <w:noProof/>
        </w:rPr>
        <w:t>u zwiększenia ich poziomu kontroli oraz jest uprawniona do przyjęcia aktów delegowanych zgodnie</w:t>
      </w:r>
      <w:r w:rsidR="005A1CAE" w:rsidRPr="005A1CAE">
        <w:rPr>
          <w:noProof/>
        </w:rPr>
        <w:t xml:space="preserve"> z</w:t>
      </w:r>
      <w:r w:rsidR="005A1CAE">
        <w:rPr>
          <w:noProof/>
        </w:rPr>
        <w:t> </w:t>
      </w:r>
      <w:r w:rsidR="005A1CAE" w:rsidRPr="005A1CAE">
        <w:rPr>
          <w:noProof/>
        </w:rPr>
        <w:t>art</w:t>
      </w:r>
      <w:r w:rsidRPr="005A1CAE">
        <w:rPr>
          <w:noProof/>
        </w:rPr>
        <w:t>.</w:t>
      </w:r>
      <w:r w:rsidR="005A1CAE" w:rsidRPr="005A1CAE">
        <w:rPr>
          <w:noProof/>
        </w:rPr>
        <w:t> </w:t>
      </w:r>
      <w:r w:rsidRPr="005A1CAE">
        <w:rPr>
          <w:noProof/>
        </w:rPr>
        <w:t>28</w:t>
      </w:r>
      <w:r w:rsidR="005A1CAE" w:rsidRPr="005A1CAE">
        <w:rPr>
          <w:noProof/>
        </w:rPr>
        <w:t xml:space="preserve"> w</w:t>
      </w:r>
      <w:r w:rsidR="005A1CAE">
        <w:rPr>
          <w:noProof/>
        </w:rPr>
        <w:t> </w:t>
      </w:r>
      <w:r w:rsidR="005A1CAE" w:rsidRPr="005A1CAE">
        <w:rPr>
          <w:noProof/>
        </w:rPr>
        <w:t>cel</w:t>
      </w:r>
      <w:r w:rsidRPr="005A1CAE">
        <w:rPr>
          <w:noProof/>
        </w:rPr>
        <w:t>u uzupełnienia niniejszego rozporządzenia przez określenie metod identyfikacji kombinacji towarów</w:t>
      </w:r>
      <w:r w:rsidR="005A1CAE" w:rsidRPr="005A1CAE">
        <w:rPr>
          <w:noProof/>
        </w:rPr>
        <w:t xml:space="preserve"> i</w:t>
      </w:r>
      <w:r w:rsidR="005A1CAE">
        <w:rPr>
          <w:noProof/>
        </w:rPr>
        <w:t> </w:t>
      </w:r>
      <w:r w:rsidR="005A1CAE" w:rsidRPr="005A1CAE">
        <w:rPr>
          <w:noProof/>
        </w:rPr>
        <w:t>mie</w:t>
      </w:r>
      <w:r w:rsidRPr="005A1CAE">
        <w:rPr>
          <w:noProof/>
        </w:rPr>
        <w:t>jsc pochodzenia, informacji, które należy zgłosić do celów wykorzystania rzeczywistych emisji</w:t>
      </w:r>
      <w:r w:rsidR="005A1CAE" w:rsidRPr="005A1CAE">
        <w:rPr>
          <w:noProof/>
        </w:rPr>
        <w:t xml:space="preserve"> w</w:t>
      </w:r>
      <w:r w:rsidR="005A1CAE">
        <w:rPr>
          <w:noProof/>
        </w:rPr>
        <w:t> </w:t>
      </w:r>
      <w:r w:rsidR="005A1CAE" w:rsidRPr="005A1CAE">
        <w:rPr>
          <w:noProof/>
        </w:rPr>
        <w:t>odn</w:t>
      </w:r>
      <w:r w:rsidRPr="005A1CAE">
        <w:rPr>
          <w:noProof/>
        </w:rPr>
        <w:t>iesieniu do tych kombinacji towarów</w:t>
      </w:r>
      <w:r w:rsidR="005A1CAE" w:rsidRPr="005A1CAE">
        <w:rPr>
          <w:noProof/>
        </w:rPr>
        <w:t xml:space="preserve"> i</w:t>
      </w:r>
      <w:r w:rsidR="005A1CAE">
        <w:rPr>
          <w:noProof/>
        </w:rPr>
        <w:t> </w:t>
      </w:r>
      <w:r w:rsidR="005A1CAE" w:rsidRPr="005A1CAE">
        <w:rPr>
          <w:noProof/>
        </w:rPr>
        <w:t>mie</w:t>
      </w:r>
      <w:r w:rsidRPr="005A1CAE">
        <w:rPr>
          <w:noProof/>
        </w:rPr>
        <w:t>jsc pochodzenia,</w:t>
      </w:r>
      <w:r w:rsidR="005A1CAE" w:rsidRPr="005A1CAE">
        <w:rPr>
          <w:noProof/>
        </w:rPr>
        <w:t xml:space="preserve"> a</w:t>
      </w:r>
      <w:r w:rsidR="005A1CAE">
        <w:rPr>
          <w:noProof/>
        </w:rPr>
        <w:t> </w:t>
      </w:r>
      <w:r w:rsidR="005A1CAE" w:rsidRPr="005A1CAE">
        <w:rPr>
          <w:noProof/>
        </w:rPr>
        <w:t>tak</w:t>
      </w:r>
      <w:r w:rsidRPr="005A1CAE">
        <w:rPr>
          <w:noProof/>
        </w:rPr>
        <w:t>że dowodów, które należy przedstawić</w:t>
      </w:r>
      <w:r w:rsidR="005A1CAE" w:rsidRPr="005A1CAE">
        <w:rPr>
          <w:noProof/>
        </w:rPr>
        <w:t xml:space="preserve"> w</w:t>
      </w:r>
      <w:r w:rsidR="005A1CAE">
        <w:rPr>
          <w:noProof/>
        </w:rPr>
        <w:t> </w:t>
      </w:r>
      <w:r w:rsidR="005A1CAE" w:rsidRPr="005A1CAE">
        <w:rPr>
          <w:noProof/>
        </w:rPr>
        <w:t>cel</w:t>
      </w:r>
      <w:r w:rsidRPr="005A1CAE">
        <w:rPr>
          <w:noProof/>
        </w:rPr>
        <w:t>u wykazania, że nie doszło do nadużycia.</w:t>
      </w:r>
    </w:p>
    <w:p w14:paraId="08406338" w14:textId="3CE32877" w:rsidR="00AE3ED4" w:rsidRPr="005A1CAE" w:rsidRDefault="00E17A88" w:rsidP="00D17DB0">
      <w:pPr>
        <w:ind w:left="720"/>
        <w:rPr>
          <w:noProof/>
          <w:color w:val="000000" w:themeColor="text1"/>
        </w:rPr>
      </w:pPr>
      <w:r w:rsidRPr="005A1CAE">
        <w:rPr>
          <w:noProof/>
          <w:color w:val="000000" w:themeColor="text1"/>
        </w:rPr>
        <w:t>Komisja przyjmuje akty delegowane,</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rych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aka</w:t>
      </w:r>
      <w:r w:rsidRPr="005A1CAE">
        <w:rPr>
          <w:noProof/>
          <w:color w:val="000000" w:themeColor="text1"/>
        </w:rPr>
        <w:t>picie pierwszym,</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ter</w:t>
      </w:r>
      <w:r w:rsidRPr="005A1CAE">
        <w:rPr>
          <w:noProof/>
          <w:color w:val="000000" w:themeColor="text1"/>
        </w:rPr>
        <w:t>minie trzech miesięcy od stwierdzenia, że istnieją wystarczające dowody wskazujące na wysokie ryzyko wystąpienia nadużyć.”;</w:t>
      </w:r>
    </w:p>
    <w:p w14:paraId="292B2201" w14:textId="7448068F" w:rsidR="00927CE0" w:rsidRPr="005A1CAE" w:rsidRDefault="00874ACF" w:rsidP="00874ACF">
      <w:pPr>
        <w:pStyle w:val="Point0"/>
        <w:rPr>
          <w:noProof/>
          <w:color w:val="000000" w:themeColor="text1"/>
        </w:rPr>
      </w:pPr>
      <w:r w:rsidRPr="005A1CAE">
        <w:rPr>
          <w:noProof/>
        </w:rPr>
        <w:t>6.</w:t>
      </w:r>
      <w:r w:rsidRPr="005A1CAE">
        <w:rPr>
          <w:noProof/>
        </w:rPr>
        <w:tab/>
        <w:t>w art.</w:t>
      </w:r>
      <w:r w:rsidR="005A1CAE" w:rsidRPr="005A1CAE">
        <w:rPr>
          <w:noProof/>
        </w:rPr>
        <w:t> </w:t>
      </w:r>
      <w:r w:rsidRPr="005A1CAE">
        <w:rPr>
          <w:noProof/>
        </w:rPr>
        <w:t>7 wprowadza się następujące zmiany: </w:t>
      </w:r>
    </w:p>
    <w:p w14:paraId="76C44C82" w14:textId="5CB852E9" w:rsidR="00927CE0" w:rsidRPr="005A1CAE" w:rsidRDefault="00874ACF" w:rsidP="00874ACF">
      <w:pPr>
        <w:pStyle w:val="Point1"/>
        <w:rPr>
          <w:noProof/>
        </w:rPr>
      </w:pPr>
      <w:r w:rsidRPr="005A1CAE">
        <w:rPr>
          <w:noProof/>
        </w:rPr>
        <w:t>a)</w:t>
      </w:r>
      <w:r w:rsidRPr="005A1CAE">
        <w:rPr>
          <w:noProof/>
        </w:rPr>
        <w:tab/>
        <w:t>dodaje się ust.</w:t>
      </w:r>
      <w:r w:rsidR="005A1CAE" w:rsidRPr="005A1CAE">
        <w:rPr>
          <w:noProof/>
        </w:rPr>
        <w:t> </w:t>
      </w:r>
      <w:r w:rsidRPr="005A1CAE">
        <w:rPr>
          <w:noProof/>
        </w:rPr>
        <w:t>2a</w:t>
      </w:r>
      <w:r w:rsidR="005A1CAE" w:rsidRPr="005A1CAE">
        <w:rPr>
          <w:noProof/>
        </w:rPr>
        <w:t xml:space="preserve"> w</w:t>
      </w:r>
      <w:r w:rsidR="005A1CAE">
        <w:rPr>
          <w:noProof/>
        </w:rPr>
        <w:t> </w:t>
      </w:r>
      <w:r w:rsidR="005A1CAE" w:rsidRPr="005A1CAE">
        <w:rPr>
          <w:noProof/>
        </w:rPr>
        <w:t>brz</w:t>
      </w:r>
      <w:r w:rsidRPr="005A1CAE">
        <w:rPr>
          <w:noProof/>
        </w:rPr>
        <w:t>mieniu:</w:t>
      </w:r>
    </w:p>
    <w:p w14:paraId="63B7FE2D" w14:textId="61AF5BC5" w:rsidR="00F97CB6" w:rsidRPr="005A1CAE" w:rsidRDefault="008C1A83" w:rsidP="00F97CB6">
      <w:pPr>
        <w:ind w:left="720"/>
        <w:rPr>
          <w:noProof/>
          <w:color w:val="000000" w:themeColor="text1"/>
        </w:rPr>
      </w:pPr>
      <w:r w:rsidRPr="005A1CAE">
        <w:rPr>
          <w:noProof/>
          <w:color w:val="000000" w:themeColor="text1"/>
        </w:rPr>
        <w:t>„2a. Emisje wbudowane związane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mat</w:t>
      </w:r>
      <w:r w:rsidRPr="005A1CAE">
        <w:rPr>
          <w:noProof/>
          <w:color w:val="000000" w:themeColor="text1"/>
        </w:rPr>
        <w:t>eriałami wsadowymi (prekursorami) wymienionymi</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zał</w:t>
      </w:r>
      <w:r w:rsidRPr="005A1CAE">
        <w:rPr>
          <w:noProof/>
          <w:color w:val="000000" w:themeColor="text1"/>
        </w:rPr>
        <w:t>ączniku VIII uwzględnia się przy określaniu poziomu emisji wbudowanych związanych</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tow</w:t>
      </w:r>
      <w:r w:rsidRPr="005A1CAE">
        <w:rPr>
          <w:noProof/>
          <w:color w:val="000000" w:themeColor="text1"/>
        </w:rPr>
        <w:t>arami.”;</w:t>
      </w:r>
    </w:p>
    <w:p w14:paraId="249EF45E" w14:textId="1AB4EFAB" w:rsidR="000F4ACD" w:rsidRPr="005A1CAE" w:rsidRDefault="00874ACF" w:rsidP="00874ACF">
      <w:pPr>
        <w:pStyle w:val="Point1"/>
        <w:rPr>
          <w:noProof/>
        </w:rPr>
      </w:pPr>
      <w:r w:rsidRPr="005A1CAE">
        <w:rPr>
          <w:noProof/>
        </w:rPr>
        <w:t>b)</w:t>
      </w:r>
      <w:r w:rsidRPr="005A1CAE">
        <w:rPr>
          <w:noProof/>
        </w:rPr>
        <w:tab/>
        <w:t>ust.</w:t>
      </w:r>
      <w:r w:rsidR="005A1CAE" w:rsidRPr="005A1CAE">
        <w:rPr>
          <w:noProof/>
        </w:rPr>
        <w:t> </w:t>
      </w:r>
      <w:r w:rsidRPr="005A1CAE">
        <w:rPr>
          <w:noProof/>
        </w:rPr>
        <w:t>5 otrzymuje brzmienie:</w:t>
      </w:r>
    </w:p>
    <w:p w14:paraId="011182D5" w14:textId="42AFC23D" w:rsidR="007E5352" w:rsidRPr="005A1CAE" w:rsidRDefault="00076524" w:rsidP="007E5352">
      <w:pPr>
        <w:ind w:left="720"/>
        <w:rPr>
          <w:noProof/>
          <w:color w:val="000000" w:themeColor="text1"/>
        </w:rPr>
      </w:pPr>
      <w:r w:rsidRPr="005A1CAE">
        <w:rPr>
          <w:noProof/>
          <w:color w:val="000000" w:themeColor="text1"/>
        </w:rPr>
        <w:t>„5. Upoważniony zgłaszający CBAM prowadzi rejestry informacji ujawnionych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10 ust.</w:t>
      </w:r>
      <w:r w:rsidR="005A1CAE" w:rsidRPr="005A1CAE">
        <w:rPr>
          <w:noProof/>
          <w:color w:val="000000" w:themeColor="text1"/>
        </w:rPr>
        <w:t> </w:t>
      </w:r>
      <w:r w:rsidRPr="005A1CAE">
        <w:rPr>
          <w:noProof/>
          <w:color w:val="000000" w:themeColor="text1"/>
        </w:rPr>
        <w:t>7, które są wymagane do obliczenia emisji wbudowanych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wym</w:t>
      </w:r>
      <w:r w:rsidRPr="005A1CAE">
        <w:rPr>
          <w:noProof/>
          <w:color w:val="000000" w:themeColor="text1"/>
        </w:rPr>
        <w:t>ogami określonymi</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zał</w:t>
      </w:r>
      <w:r w:rsidRPr="005A1CAE">
        <w:rPr>
          <w:noProof/>
          <w:color w:val="000000" w:themeColor="text1"/>
        </w:rPr>
        <w:t>ączniku V. Rejestry te muszą być wystarczająco szczegółowe, aby umożliwić Komisji</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wła</w:t>
      </w:r>
      <w:r w:rsidRPr="005A1CAE">
        <w:rPr>
          <w:noProof/>
          <w:color w:val="000000" w:themeColor="text1"/>
        </w:rPr>
        <w:t>ściwemu organowi przegląd deklaracji CBAM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19 ust.</w:t>
      </w:r>
      <w:r w:rsidR="005A1CAE" w:rsidRPr="005A1CAE">
        <w:rPr>
          <w:noProof/>
          <w:color w:val="000000" w:themeColor="text1"/>
        </w:rPr>
        <w:t> </w:t>
      </w:r>
      <w:r w:rsidRPr="005A1CAE">
        <w:rPr>
          <w:noProof/>
          <w:color w:val="000000" w:themeColor="text1"/>
        </w:rPr>
        <w:t>2.”;</w:t>
      </w:r>
    </w:p>
    <w:p w14:paraId="17D4E033" w14:textId="4311F379" w:rsidR="000F4ACD" w:rsidRPr="005A1CAE" w:rsidRDefault="00874ACF" w:rsidP="00874ACF">
      <w:pPr>
        <w:pStyle w:val="Point1"/>
        <w:rPr>
          <w:noProof/>
        </w:rPr>
      </w:pPr>
      <w:r w:rsidRPr="005A1CAE">
        <w:rPr>
          <w:noProof/>
        </w:rPr>
        <w:t>c)</w:t>
      </w:r>
      <w:r w:rsidRPr="005A1CAE">
        <w:rPr>
          <w:noProof/>
        </w:rPr>
        <w:tab/>
        <w:t>w ust.</w:t>
      </w:r>
      <w:r w:rsidR="005A1CAE" w:rsidRPr="005A1CAE">
        <w:rPr>
          <w:noProof/>
        </w:rPr>
        <w:t> </w:t>
      </w:r>
      <w:r w:rsidRPr="005A1CAE">
        <w:rPr>
          <w:noProof/>
        </w:rPr>
        <w:t>7 dodaje się akapit</w:t>
      </w:r>
      <w:r w:rsidR="005A1CAE" w:rsidRPr="005A1CAE">
        <w:rPr>
          <w:noProof/>
        </w:rPr>
        <w:t xml:space="preserve"> w</w:t>
      </w:r>
      <w:r w:rsidR="005A1CAE">
        <w:rPr>
          <w:noProof/>
        </w:rPr>
        <w:t> </w:t>
      </w:r>
      <w:r w:rsidR="005A1CAE" w:rsidRPr="005A1CAE">
        <w:rPr>
          <w:noProof/>
        </w:rPr>
        <w:t>brz</w:t>
      </w:r>
      <w:r w:rsidRPr="005A1CAE">
        <w:rPr>
          <w:noProof/>
        </w:rPr>
        <w:t>mieniu:</w:t>
      </w:r>
    </w:p>
    <w:p w14:paraId="5CA9CE8E" w14:textId="60C28AAF" w:rsidR="00FE6076" w:rsidRPr="005A1CAE" w:rsidRDefault="00FE6076" w:rsidP="005459B4">
      <w:pPr>
        <w:ind w:left="720"/>
        <w:rPr>
          <w:noProof/>
        </w:rPr>
      </w:pPr>
      <w:r w:rsidRPr="005A1CAE">
        <w:rPr>
          <w:noProof/>
          <w:color w:val="000000" w:themeColor="text1"/>
        </w:rPr>
        <w:t>„Akty wykonawcze,</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rych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aka</w:t>
      </w:r>
      <w:r w:rsidRPr="005A1CAE">
        <w:rPr>
          <w:noProof/>
          <w:color w:val="000000" w:themeColor="text1"/>
        </w:rPr>
        <w:t>picie pierwszym, mogą zawierać wykaz towarów niższego szczebla,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odn</w:t>
      </w:r>
      <w:r w:rsidRPr="005A1CAE">
        <w:rPr>
          <w:noProof/>
          <w:color w:val="000000" w:themeColor="text1"/>
        </w:rPr>
        <w:t>iesieniu do których, ze względu na złożoność łańcucha dostaw</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bez</w:t>
      </w:r>
      <w:r w:rsidRPr="005A1CAE">
        <w:rPr>
          <w:noProof/>
          <w:color w:val="000000" w:themeColor="text1"/>
        </w:rPr>
        <w:t xml:space="preserve"> uszczerbku dla integralności środowiskowej CBAM, nie stosuje się narzutu.”;</w:t>
      </w:r>
    </w:p>
    <w:p w14:paraId="7966149B" w14:textId="3399A069" w:rsidR="003A16F1" w:rsidRPr="005A1CAE" w:rsidRDefault="00874ACF" w:rsidP="00874ACF">
      <w:pPr>
        <w:pStyle w:val="Point0"/>
        <w:rPr>
          <w:noProof/>
          <w:color w:val="000000" w:themeColor="text1"/>
        </w:rPr>
      </w:pPr>
      <w:r w:rsidRPr="005A1CAE">
        <w:rPr>
          <w:noProof/>
        </w:rPr>
        <w:t>7.</w:t>
      </w:r>
      <w:r w:rsidRPr="005A1CAE">
        <w:rPr>
          <w:noProof/>
        </w:rPr>
        <w:tab/>
        <w:t>w art.</w:t>
      </w:r>
      <w:r w:rsidR="005A1CAE" w:rsidRPr="005A1CAE">
        <w:rPr>
          <w:noProof/>
        </w:rPr>
        <w:t> </w:t>
      </w:r>
      <w:r w:rsidRPr="005A1CAE">
        <w:rPr>
          <w:noProof/>
        </w:rPr>
        <w:t>9 wprowadza się następujące zmiany: </w:t>
      </w:r>
    </w:p>
    <w:p w14:paraId="5C317FEF" w14:textId="7DEABED3" w:rsidR="00F63CD2" w:rsidRPr="005A1CAE" w:rsidRDefault="00874ACF" w:rsidP="00874ACF">
      <w:pPr>
        <w:pStyle w:val="Point1"/>
        <w:rPr>
          <w:noProof/>
        </w:rPr>
      </w:pPr>
      <w:r w:rsidRPr="005A1CAE">
        <w:rPr>
          <w:noProof/>
        </w:rPr>
        <w:t>a)</w:t>
      </w:r>
      <w:r w:rsidRPr="005A1CAE">
        <w:rPr>
          <w:noProof/>
        </w:rPr>
        <w:tab/>
        <w:t>w ust.</w:t>
      </w:r>
      <w:r w:rsidR="005A1CAE" w:rsidRPr="005A1CAE">
        <w:rPr>
          <w:noProof/>
        </w:rPr>
        <w:t> </w:t>
      </w:r>
      <w:r w:rsidRPr="005A1CAE">
        <w:rPr>
          <w:noProof/>
        </w:rPr>
        <w:t>2 wprowadza się następujące zmiany:</w:t>
      </w:r>
    </w:p>
    <w:p w14:paraId="7205D6F4" w14:textId="00AC1D7F" w:rsidR="00BA0A62" w:rsidRPr="005A1CAE" w:rsidRDefault="00874ACF" w:rsidP="00874ACF">
      <w:pPr>
        <w:pStyle w:val="Point2"/>
        <w:rPr>
          <w:noProof/>
        </w:rPr>
      </w:pPr>
      <w:r w:rsidRPr="005A1CAE">
        <w:rPr>
          <w:noProof/>
        </w:rPr>
        <w:t>1.</w:t>
      </w:r>
      <w:r w:rsidRPr="005A1CAE">
        <w:rPr>
          <w:noProof/>
        </w:rPr>
        <w:tab/>
        <w:t>zdanie trzecie otrzymuje brzmienie:</w:t>
      </w:r>
    </w:p>
    <w:p w14:paraId="65143464" w14:textId="03821FE1" w:rsidR="008A2FEB" w:rsidRPr="005A1CAE" w:rsidRDefault="002A14EC" w:rsidP="008A2FEB">
      <w:pPr>
        <w:ind w:left="720"/>
        <w:rPr>
          <w:rFonts w:eastAsia="Times New Roman"/>
          <w:noProof/>
        </w:rPr>
      </w:pPr>
      <w:r w:rsidRPr="005A1CAE">
        <w:rPr>
          <w:noProof/>
        </w:rPr>
        <w:t>„Informacje zawarte</w:t>
      </w:r>
      <w:r w:rsidR="005A1CAE" w:rsidRPr="005A1CAE">
        <w:rPr>
          <w:noProof/>
        </w:rPr>
        <w:t xml:space="preserve"> w</w:t>
      </w:r>
      <w:r w:rsidR="005A1CAE">
        <w:rPr>
          <w:noProof/>
        </w:rPr>
        <w:t> </w:t>
      </w:r>
      <w:r w:rsidR="005A1CAE" w:rsidRPr="005A1CAE">
        <w:rPr>
          <w:noProof/>
        </w:rPr>
        <w:t>tej</w:t>
      </w:r>
      <w:r w:rsidRPr="005A1CAE">
        <w:rPr>
          <w:noProof/>
        </w:rPr>
        <w:t xml:space="preserve"> dokumentacji poświadcza osoba niezależna od organów danego państwa trzeciego.”; </w:t>
      </w:r>
    </w:p>
    <w:p w14:paraId="532AD3F1" w14:textId="2BF0FC15" w:rsidR="001E6CC6" w:rsidRPr="005A1CAE" w:rsidRDefault="00874ACF" w:rsidP="00874ACF">
      <w:pPr>
        <w:pStyle w:val="Point2"/>
        <w:rPr>
          <w:noProof/>
        </w:rPr>
      </w:pPr>
      <w:r w:rsidRPr="005A1CAE">
        <w:rPr>
          <w:noProof/>
        </w:rPr>
        <w:t>2.</w:t>
      </w:r>
      <w:r w:rsidRPr="005A1CAE">
        <w:rPr>
          <w:noProof/>
        </w:rPr>
        <w:tab/>
        <w:t>dodaje się akapit</w:t>
      </w:r>
      <w:r w:rsidR="005A1CAE" w:rsidRPr="005A1CAE">
        <w:rPr>
          <w:noProof/>
        </w:rPr>
        <w:t xml:space="preserve"> w</w:t>
      </w:r>
      <w:r w:rsidR="005A1CAE">
        <w:rPr>
          <w:noProof/>
        </w:rPr>
        <w:t> </w:t>
      </w:r>
      <w:r w:rsidR="005A1CAE" w:rsidRPr="005A1CAE">
        <w:rPr>
          <w:noProof/>
        </w:rPr>
        <w:t>brz</w:t>
      </w:r>
      <w:r w:rsidRPr="005A1CAE">
        <w:rPr>
          <w:noProof/>
        </w:rPr>
        <w:t>mieniu:</w:t>
      </w:r>
    </w:p>
    <w:p w14:paraId="2D11A8CE" w14:textId="46F7A8BE" w:rsidR="001201CA" w:rsidRPr="005A1CAE" w:rsidRDefault="001E6CC6" w:rsidP="008A2FEB">
      <w:pPr>
        <w:ind w:left="720"/>
        <w:rPr>
          <w:noProof/>
          <w:color w:val="000000" w:themeColor="text1"/>
        </w:rPr>
      </w:pPr>
      <w:r w:rsidRPr="005A1CAE">
        <w:rPr>
          <w:noProof/>
        </w:rPr>
        <w:t>„Niezależna osoba,</w:t>
      </w:r>
      <w:r w:rsidR="005A1CAE" w:rsidRPr="005A1CAE">
        <w:rPr>
          <w:noProof/>
        </w:rPr>
        <w:t xml:space="preserve"> o</w:t>
      </w:r>
      <w:r w:rsidR="005A1CAE">
        <w:rPr>
          <w:noProof/>
        </w:rPr>
        <w:t> </w:t>
      </w:r>
      <w:r w:rsidR="005A1CAE" w:rsidRPr="005A1CAE">
        <w:rPr>
          <w:noProof/>
        </w:rPr>
        <w:t>któ</w:t>
      </w:r>
      <w:r w:rsidRPr="005A1CAE">
        <w:rPr>
          <w:noProof/>
        </w:rPr>
        <w:t>rej mowa</w:t>
      </w:r>
      <w:r w:rsidR="005A1CAE" w:rsidRPr="005A1CAE">
        <w:rPr>
          <w:noProof/>
        </w:rPr>
        <w:t xml:space="preserve"> w</w:t>
      </w:r>
      <w:r w:rsidR="005A1CAE">
        <w:rPr>
          <w:noProof/>
        </w:rPr>
        <w:t> </w:t>
      </w:r>
      <w:r w:rsidR="005A1CAE" w:rsidRPr="005A1CAE">
        <w:rPr>
          <w:noProof/>
        </w:rPr>
        <w:t>aka</w:t>
      </w:r>
      <w:r w:rsidRPr="005A1CAE">
        <w:rPr>
          <w:noProof/>
        </w:rPr>
        <w:t>picie pierwszym, może być osobą prawną, która uzyska akredytację od krajowej jednostki akredytującej</w:t>
      </w:r>
      <w:r w:rsidR="005A1CAE" w:rsidRPr="005A1CAE">
        <w:rPr>
          <w:noProof/>
        </w:rPr>
        <w:t xml:space="preserve"> w</w:t>
      </w:r>
      <w:r w:rsidR="005A1CAE">
        <w:rPr>
          <w:noProof/>
        </w:rPr>
        <w:t> </w:t>
      </w:r>
      <w:r w:rsidR="005A1CAE" w:rsidRPr="005A1CAE">
        <w:rPr>
          <w:noProof/>
        </w:rPr>
        <w:t>odp</w:t>
      </w:r>
      <w:r w:rsidRPr="005A1CAE">
        <w:rPr>
          <w:noProof/>
        </w:rPr>
        <w:t>owiednim zakresie akredytacji.”;</w:t>
      </w:r>
    </w:p>
    <w:p w14:paraId="1985C207" w14:textId="05CE49EF" w:rsidR="001201CA" w:rsidRPr="005A1CAE" w:rsidRDefault="00874ACF" w:rsidP="00874ACF">
      <w:pPr>
        <w:pStyle w:val="Point1"/>
        <w:rPr>
          <w:noProof/>
        </w:rPr>
      </w:pPr>
      <w:r w:rsidRPr="005A1CAE">
        <w:rPr>
          <w:noProof/>
        </w:rPr>
        <w:t>b)</w:t>
      </w:r>
      <w:r w:rsidRPr="005A1CAE">
        <w:rPr>
          <w:noProof/>
        </w:rPr>
        <w:tab/>
        <w:t>w ust.</w:t>
      </w:r>
      <w:r w:rsidR="005A1CAE" w:rsidRPr="005A1CAE">
        <w:rPr>
          <w:noProof/>
        </w:rPr>
        <w:t> </w:t>
      </w:r>
      <w:r w:rsidRPr="005A1CAE">
        <w:rPr>
          <w:noProof/>
        </w:rPr>
        <w:t>5 wprowadza się następujące zmiany:</w:t>
      </w:r>
    </w:p>
    <w:p w14:paraId="3B713C31" w14:textId="2A882B22" w:rsidR="00561FBF" w:rsidRPr="005A1CAE" w:rsidRDefault="00874ACF" w:rsidP="00874ACF">
      <w:pPr>
        <w:pStyle w:val="Point2"/>
        <w:rPr>
          <w:noProof/>
        </w:rPr>
      </w:pPr>
      <w:r w:rsidRPr="005A1CAE">
        <w:rPr>
          <w:noProof/>
        </w:rPr>
        <w:t>1.</w:t>
      </w:r>
      <w:r w:rsidRPr="005A1CAE">
        <w:rPr>
          <w:noProof/>
        </w:rPr>
        <w:tab/>
        <w:t>akapit pierwszy otrzymuje brzmienie:</w:t>
      </w:r>
    </w:p>
    <w:p w14:paraId="021EFFBE" w14:textId="15143D5F" w:rsidR="00561FBF" w:rsidRPr="005A1CAE" w:rsidRDefault="00F4069A" w:rsidP="00F4069A">
      <w:pPr>
        <w:ind w:left="720"/>
        <w:rPr>
          <w:noProof/>
          <w:color w:val="000000" w:themeColor="text1"/>
        </w:rPr>
      </w:pPr>
      <w:r w:rsidRPr="005A1CAE">
        <w:rPr>
          <w:noProof/>
          <w:color w:val="000000" w:themeColor="text1"/>
        </w:rPr>
        <w:t>„Komisja jest uprawniona do przyjmowania aktów wykonawczych, opartych na zasadzie równoważności, dotyczących przeliczania średniej rocznej opłaty emisyjnej faktycznie uiszczonej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ust</w:t>
      </w:r>
      <w:r w:rsidRPr="005A1CAE">
        <w:rPr>
          <w:noProof/>
          <w:color w:val="000000" w:themeColor="text1"/>
        </w:rPr>
        <w:t>.</w:t>
      </w:r>
      <w:r w:rsidR="005A1CAE" w:rsidRPr="005A1CAE">
        <w:rPr>
          <w:noProof/>
          <w:color w:val="000000" w:themeColor="text1"/>
        </w:rPr>
        <w:t> </w:t>
      </w:r>
      <w:r w:rsidRPr="005A1CAE">
        <w:rPr>
          <w:noProof/>
          <w:color w:val="000000" w:themeColor="text1"/>
        </w:rPr>
        <w:t>1 niniejszego artykułu oraz rocznych domyślnych opłat emisyjnych określonych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ust</w:t>
      </w:r>
      <w:r w:rsidRPr="005A1CAE">
        <w:rPr>
          <w:noProof/>
          <w:color w:val="000000" w:themeColor="text1"/>
        </w:rPr>
        <w:t>.</w:t>
      </w:r>
      <w:r w:rsidR="005A1CAE" w:rsidRPr="005A1CAE">
        <w:rPr>
          <w:noProof/>
          <w:color w:val="000000" w:themeColor="text1"/>
        </w:rPr>
        <w:t> </w:t>
      </w:r>
      <w:r w:rsidRPr="005A1CAE">
        <w:rPr>
          <w:noProof/>
          <w:color w:val="000000" w:themeColor="text1"/>
        </w:rPr>
        <w:t xml:space="preserve">4 niniejszego artykułu na odpowiednie </w:t>
      </w:r>
      <w:r w:rsidRPr="005A1CAE">
        <w:rPr>
          <w:noProof/>
          <w:color w:val="000000" w:themeColor="text1"/>
        </w:rPr>
        <w:lastRenderedPageBreak/>
        <w:t>zmniejszenie liczby certyfikatów CBAM, które mają zostać przekazane do umorzenia. Akty te regulują również przeliczanie kwoty opłaty emisyjnej wyrażonej</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wal</w:t>
      </w:r>
      <w:r w:rsidRPr="005A1CAE">
        <w:rPr>
          <w:noProof/>
          <w:color w:val="000000" w:themeColor="text1"/>
        </w:rPr>
        <w:t>ucie obcej na euro po średnim rocznym kursie wymiany, wymagane dowody faktycznego uiszczenia opłaty emisyjnej, przykłady wszelkich odpowiednich rabatów lub innych form rekompensaty,</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rych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ust</w:t>
      </w:r>
      <w:r w:rsidRPr="005A1CAE">
        <w:rPr>
          <w:noProof/>
          <w:color w:val="000000" w:themeColor="text1"/>
        </w:rPr>
        <w:t>.</w:t>
      </w:r>
      <w:r w:rsidR="005A1CAE" w:rsidRPr="005A1CAE">
        <w:rPr>
          <w:noProof/>
          <w:color w:val="000000" w:themeColor="text1"/>
        </w:rPr>
        <w:t> </w:t>
      </w:r>
      <w:r w:rsidRPr="005A1CAE">
        <w:rPr>
          <w:noProof/>
          <w:color w:val="000000" w:themeColor="text1"/>
        </w:rPr>
        <w:t>1 niniejszego artykułu, oraz kwalifikacje niezależnej osoby,</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rej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ust</w:t>
      </w:r>
      <w:r w:rsidRPr="005A1CAE">
        <w:rPr>
          <w:noProof/>
          <w:color w:val="000000" w:themeColor="text1"/>
        </w:rPr>
        <w:t>.</w:t>
      </w:r>
      <w:r w:rsidR="005A1CAE" w:rsidRPr="005A1CAE">
        <w:rPr>
          <w:noProof/>
          <w:color w:val="000000" w:themeColor="text1"/>
        </w:rPr>
        <w:t> </w:t>
      </w:r>
      <w:r w:rsidRPr="005A1CAE">
        <w:rPr>
          <w:noProof/>
          <w:color w:val="000000" w:themeColor="text1"/>
        </w:rPr>
        <w:t>2 niniejszego artykułu,</w:t>
      </w:r>
      <w:r w:rsidR="005A1CAE" w:rsidRPr="005A1CAE">
        <w:rPr>
          <w:noProof/>
          <w:color w:val="000000" w:themeColor="text1"/>
        </w:rPr>
        <w:t xml:space="preserve"> a</w:t>
      </w:r>
      <w:r w:rsidR="005A1CAE">
        <w:rPr>
          <w:noProof/>
          <w:color w:val="000000" w:themeColor="text1"/>
        </w:rPr>
        <w:t> </w:t>
      </w:r>
      <w:r w:rsidR="005A1CAE" w:rsidRPr="005A1CAE">
        <w:rPr>
          <w:noProof/>
          <w:color w:val="000000" w:themeColor="text1"/>
        </w:rPr>
        <w:t>tak</w:t>
      </w:r>
      <w:r w:rsidRPr="005A1CAE">
        <w:rPr>
          <w:noProof/>
          <w:color w:val="000000" w:themeColor="text1"/>
        </w:rPr>
        <w:t>że zasady ustalenia jej kwalifikacji</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nie</w:t>
      </w:r>
      <w:r w:rsidRPr="005A1CAE">
        <w:rPr>
          <w:noProof/>
          <w:color w:val="000000" w:themeColor="text1"/>
        </w:rPr>
        <w:t>zależności. Kwalifikacje,</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rych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pop</w:t>
      </w:r>
      <w:r w:rsidRPr="005A1CAE">
        <w:rPr>
          <w:noProof/>
          <w:color w:val="000000" w:themeColor="text1"/>
        </w:rPr>
        <w:t>rzednim ustępie, obejmują uzyskanie akredytacji od krajowej jednostki akredytującej, specyfikację procedur certyfikacji oraz odpowiednią wymianę informacji między niezależną osobą, krajowymi jednostkami akredytującymi, Komisją Europejską</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wła</w:t>
      </w:r>
      <w:r w:rsidRPr="005A1CAE">
        <w:rPr>
          <w:noProof/>
          <w:color w:val="000000" w:themeColor="text1"/>
        </w:rPr>
        <w:t>ściwymi organami. Komisja jest również uprawniona do regulowania warunków odliczania jednostek emisji dwutlenku węgla na podstawie art.</w:t>
      </w:r>
      <w:r w:rsidR="005A1CAE" w:rsidRPr="005A1CAE">
        <w:rPr>
          <w:noProof/>
          <w:color w:val="000000" w:themeColor="text1"/>
        </w:rPr>
        <w:t> </w:t>
      </w:r>
      <w:r w:rsidRPr="005A1CAE">
        <w:rPr>
          <w:noProof/>
          <w:color w:val="000000" w:themeColor="text1"/>
        </w:rPr>
        <w:t>6 porozumienia paryskiego. Te akty wykonawcze przyjmuje się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pro</w:t>
      </w:r>
      <w:r w:rsidRPr="005A1CAE">
        <w:rPr>
          <w:noProof/>
          <w:color w:val="000000" w:themeColor="text1"/>
        </w:rPr>
        <w:t>cedurą sprawdzającą,</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rej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art</w:t>
      </w:r>
      <w:r w:rsidRPr="005A1CAE">
        <w:rPr>
          <w:noProof/>
          <w:color w:val="000000" w:themeColor="text1"/>
        </w:rPr>
        <w:t>. 29 ust. 2.”;</w:t>
      </w:r>
    </w:p>
    <w:p w14:paraId="7A45CAA0" w14:textId="13B1EDD3" w:rsidR="0089572A" w:rsidRPr="005A1CAE" w:rsidRDefault="00874ACF" w:rsidP="00874ACF">
      <w:pPr>
        <w:pStyle w:val="Point2"/>
        <w:rPr>
          <w:noProof/>
        </w:rPr>
      </w:pPr>
      <w:r w:rsidRPr="005A1CAE">
        <w:rPr>
          <w:noProof/>
        </w:rPr>
        <w:t>2.</w:t>
      </w:r>
      <w:r w:rsidRPr="005A1CAE">
        <w:rPr>
          <w:noProof/>
        </w:rPr>
        <w:tab/>
        <w:t>dodaje się akapit</w:t>
      </w:r>
      <w:r w:rsidR="005A1CAE" w:rsidRPr="005A1CAE">
        <w:rPr>
          <w:noProof/>
        </w:rPr>
        <w:t xml:space="preserve"> w</w:t>
      </w:r>
      <w:r w:rsidR="005A1CAE">
        <w:rPr>
          <w:noProof/>
        </w:rPr>
        <w:t> </w:t>
      </w:r>
      <w:r w:rsidR="005A1CAE" w:rsidRPr="005A1CAE">
        <w:rPr>
          <w:noProof/>
        </w:rPr>
        <w:t>brz</w:t>
      </w:r>
      <w:r w:rsidRPr="005A1CAE">
        <w:rPr>
          <w:noProof/>
        </w:rPr>
        <w:t>mieniu:</w:t>
      </w:r>
    </w:p>
    <w:p w14:paraId="627B5B94" w14:textId="0D7FE532" w:rsidR="009E5E14" w:rsidRPr="005A1CAE" w:rsidRDefault="0089572A" w:rsidP="009E5E14">
      <w:pPr>
        <w:ind w:left="720"/>
        <w:rPr>
          <w:noProof/>
          <w:color w:val="000000" w:themeColor="text1"/>
        </w:rPr>
      </w:pPr>
      <w:r w:rsidRPr="005A1CAE">
        <w:rPr>
          <w:noProof/>
          <w:color w:val="000000" w:themeColor="text1"/>
        </w:rPr>
        <w:t>„Kwalifikacje,</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rych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aka</w:t>
      </w:r>
      <w:r w:rsidRPr="005A1CAE">
        <w:rPr>
          <w:noProof/>
          <w:color w:val="000000" w:themeColor="text1"/>
        </w:rPr>
        <w:t>picie pierwszym, obejmują uzyskanie akredytacji od krajowej jednostki akredytującej, specyfikację procedur certyfikacji oraz odpowiednią wymianę informacji między niezależną osobą, krajowymi jednostkami akredytującymi, Komisją</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wła</w:t>
      </w:r>
      <w:r w:rsidRPr="005A1CAE">
        <w:rPr>
          <w:noProof/>
          <w:color w:val="000000" w:themeColor="text1"/>
        </w:rPr>
        <w:t>ściwymi organami.”;</w:t>
      </w:r>
    </w:p>
    <w:p w14:paraId="31752C7C" w14:textId="40806918" w:rsidR="00B93574" w:rsidRPr="005A1CAE" w:rsidRDefault="00874ACF" w:rsidP="00874ACF">
      <w:pPr>
        <w:pStyle w:val="Point0"/>
        <w:rPr>
          <w:noProof/>
          <w:color w:val="000000" w:themeColor="text1"/>
        </w:rPr>
      </w:pPr>
      <w:r w:rsidRPr="005A1CAE">
        <w:rPr>
          <w:noProof/>
        </w:rPr>
        <w:t>8.</w:t>
      </w:r>
      <w:r w:rsidRPr="005A1CAE">
        <w:rPr>
          <w:noProof/>
        </w:rPr>
        <w:tab/>
        <w:t>w art.</w:t>
      </w:r>
      <w:r w:rsidR="005A1CAE" w:rsidRPr="005A1CAE">
        <w:rPr>
          <w:noProof/>
        </w:rPr>
        <w:t> </w:t>
      </w:r>
      <w:r w:rsidRPr="005A1CAE">
        <w:rPr>
          <w:noProof/>
        </w:rPr>
        <w:t>10 wprowadza się następujące zmiany:</w:t>
      </w:r>
    </w:p>
    <w:p w14:paraId="77386437" w14:textId="28CCACBA" w:rsidR="00B93574" w:rsidRPr="005A1CAE" w:rsidRDefault="00874ACF" w:rsidP="00874ACF">
      <w:pPr>
        <w:pStyle w:val="Point1"/>
        <w:rPr>
          <w:noProof/>
        </w:rPr>
      </w:pPr>
      <w:r w:rsidRPr="005A1CAE">
        <w:rPr>
          <w:noProof/>
        </w:rPr>
        <w:t>a)</w:t>
      </w:r>
      <w:r w:rsidRPr="005A1CAE">
        <w:rPr>
          <w:noProof/>
        </w:rPr>
        <w:tab/>
        <w:t>ust.</w:t>
      </w:r>
      <w:r w:rsidR="005A1CAE" w:rsidRPr="005A1CAE">
        <w:rPr>
          <w:noProof/>
        </w:rPr>
        <w:t> </w:t>
      </w:r>
      <w:r w:rsidRPr="005A1CAE">
        <w:rPr>
          <w:noProof/>
        </w:rPr>
        <w:t>1 otrzymuje brzmienie:</w:t>
      </w:r>
    </w:p>
    <w:p w14:paraId="496983A5" w14:textId="00D38225" w:rsidR="00B93574" w:rsidRPr="005A1CAE" w:rsidRDefault="00B93574" w:rsidP="00B93574">
      <w:pPr>
        <w:ind w:left="720"/>
        <w:rPr>
          <w:noProof/>
          <w:color w:val="000000" w:themeColor="text1"/>
        </w:rPr>
      </w:pPr>
      <w:r w:rsidRPr="005A1CAE">
        <w:rPr>
          <w:noProof/>
          <w:color w:val="000000" w:themeColor="text1"/>
        </w:rPr>
        <w:t>„1. Aby umożliwić weryfikację emisji wbudowanych na podstawie rzeczywistych emisji,</w:t>
      </w:r>
      <w:r w:rsidR="005A1CAE" w:rsidRPr="005A1CAE">
        <w:rPr>
          <w:noProof/>
          <w:color w:val="000000" w:themeColor="text1"/>
        </w:rPr>
        <w:t xml:space="preserve"> a</w:t>
      </w:r>
      <w:r w:rsidR="005A1CAE">
        <w:rPr>
          <w:noProof/>
          <w:color w:val="000000" w:themeColor="text1"/>
        </w:rPr>
        <w:t> </w:t>
      </w:r>
      <w:r w:rsidR="005A1CAE" w:rsidRPr="005A1CAE">
        <w:rPr>
          <w:noProof/>
          <w:color w:val="000000" w:themeColor="text1"/>
        </w:rPr>
        <w:t>tak</w:t>
      </w:r>
      <w:r w:rsidRPr="005A1CAE">
        <w:rPr>
          <w:noProof/>
          <w:color w:val="000000" w:themeColor="text1"/>
        </w:rPr>
        <w:t>że określenie,</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sto</w:t>
      </w:r>
      <w:r w:rsidRPr="005A1CAE">
        <w:rPr>
          <w:noProof/>
          <w:color w:val="000000" w:themeColor="text1"/>
        </w:rPr>
        <w:t>sownych przypadkach, opłaty emisyjnej uiszczonej</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pań</w:t>
      </w:r>
      <w:r w:rsidRPr="005A1CAE">
        <w:rPr>
          <w:noProof/>
          <w:color w:val="000000" w:themeColor="text1"/>
        </w:rPr>
        <w:t>stwie trzecim, Komisja – na wniosek operatora instalacji znajdującej się</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pań</w:t>
      </w:r>
      <w:r w:rsidRPr="005A1CAE">
        <w:rPr>
          <w:noProof/>
          <w:color w:val="000000" w:themeColor="text1"/>
        </w:rPr>
        <w:t>stwie trzecim – rejestruje informacje dotyczące tego operatora</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jeg</w:t>
      </w:r>
      <w:r w:rsidRPr="005A1CAE">
        <w:rPr>
          <w:noProof/>
          <w:color w:val="000000" w:themeColor="text1"/>
        </w:rPr>
        <w:t>o instalacji</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rej</w:t>
      </w:r>
      <w:r w:rsidRPr="005A1CAE">
        <w:rPr>
          <w:noProof/>
          <w:color w:val="000000" w:themeColor="text1"/>
        </w:rPr>
        <w:t>estrze CBAM,</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rym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14.”;</w:t>
      </w:r>
    </w:p>
    <w:p w14:paraId="6FEC3FE8" w14:textId="64FF0AFD" w:rsidR="00682595" w:rsidRPr="005A1CAE" w:rsidRDefault="00874ACF" w:rsidP="00874ACF">
      <w:pPr>
        <w:pStyle w:val="Point1"/>
        <w:rPr>
          <w:noProof/>
        </w:rPr>
      </w:pPr>
      <w:r w:rsidRPr="005A1CAE">
        <w:rPr>
          <w:noProof/>
        </w:rPr>
        <w:t>b)</w:t>
      </w:r>
      <w:r w:rsidRPr="005A1CAE">
        <w:rPr>
          <w:noProof/>
        </w:rPr>
        <w:tab/>
        <w:t>w ust.</w:t>
      </w:r>
      <w:r w:rsidR="005A1CAE" w:rsidRPr="005A1CAE">
        <w:rPr>
          <w:noProof/>
        </w:rPr>
        <w:t> </w:t>
      </w:r>
      <w:r w:rsidRPr="005A1CAE">
        <w:rPr>
          <w:noProof/>
        </w:rPr>
        <w:t>5 dodaje się lit.</w:t>
      </w:r>
      <w:r w:rsidR="005A1CAE" w:rsidRPr="005A1CAE">
        <w:rPr>
          <w:noProof/>
        </w:rPr>
        <w:t> </w:t>
      </w:r>
      <w:r w:rsidRPr="005A1CAE">
        <w:rPr>
          <w:noProof/>
        </w:rPr>
        <w:t>e)</w:t>
      </w:r>
      <w:r w:rsidR="005A1CAE" w:rsidRPr="005A1CAE">
        <w:rPr>
          <w:noProof/>
        </w:rPr>
        <w:t xml:space="preserve"> w</w:t>
      </w:r>
      <w:r w:rsidR="005A1CAE">
        <w:rPr>
          <w:noProof/>
        </w:rPr>
        <w:t> </w:t>
      </w:r>
      <w:r w:rsidR="005A1CAE" w:rsidRPr="005A1CAE">
        <w:rPr>
          <w:noProof/>
        </w:rPr>
        <w:t>brz</w:t>
      </w:r>
      <w:r w:rsidRPr="005A1CAE">
        <w:rPr>
          <w:noProof/>
        </w:rPr>
        <w:t>mieniu:</w:t>
      </w:r>
    </w:p>
    <w:p w14:paraId="555CA7DB" w14:textId="0110E8DC" w:rsidR="002F7F89" w:rsidRPr="005A1CAE" w:rsidRDefault="002F7F89" w:rsidP="002F7F89">
      <w:pPr>
        <w:ind w:left="720"/>
        <w:rPr>
          <w:noProof/>
          <w:color w:val="000000" w:themeColor="text1"/>
        </w:rPr>
      </w:pPr>
      <w:r w:rsidRPr="005A1CAE">
        <w:rPr>
          <w:noProof/>
          <w:color w:val="000000" w:themeColor="text1"/>
        </w:rPr>
        <w:t>„e) zapewnia,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sto</w:t>
      </w:r>
      <w:r w:rsidRPr="005A1CAE">
        <w:rPr>
          <w:noProof/>
          <w:color w:val="000000" w:themeColor="text1"/>
        </w:rPr>
        <w:t>sownych przypadkach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6 ust.</w:t>
      </w:r>
      <w:r w:rsidR="005A1CAE" w:rsidRPr="005A1CAE">
        <w:rPr>
          <w:noProof/>
          <w:color w:val="000000" w:themeColor="text1"/>
        </w:rPr>
        <w:t> </w:t>
      </w:r>
      <w:r w:rsidRPr="005A1CAE">
        <w:rPr>
          <w:noProof/>
          <w:color w:val="000000" w:themeColor="text1"/>
        </w:rPr>
        <w:t>7, spełnienie warunków wymaganych do wykorzystania rzeczywistych emisji</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odn</w:t>
      </w:r>
      <w:r w:rsidRPr="005A1CAE">
        <w:rPr>
          <w:noProof/>
          <w:color w:val="000000" w:themeColor="text1"/>
        </w:rPr>
        <w:t>iesieniu do odpowiednich kombinacji towarów</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mie</w:t>
      </w:r>
      <w:r w:rsidRPr="005A1CAE">
        <w:rPr>
          <w:noProof/>
          <w:color w:val="000000" w:themeColor="text1"/>
        </w:rPr>
        <w:t>jsc pochodzenia.”;</w:t>
      </w:r>
    </w:p>
    <w:p w14:paraId="5EA07112" w14:textId="0FC6526C" w:rsidR="0014718D" w:rsidRPr="005A1CAE" w:rsidRDefault="00874ACF" w:rsidP="00874ACF">
      <w:pPr>
        <w:pStyle w:val="Point1"/>
        <w:rPr>
          <w:noProof/>
        </w:rPr>
      </w:pPr>
      <w:r w:rsidRPr="005A1CAE">
        <w:rPr>
          <w:noProof/>
        </w:rPr>
        <w:t>c)</w:t>
      </w:r>
      <w:r w:rsidRPr="005A1CAE">
        <w:rPr>
          <w:noProof/>
        </w:rPr>
        <w:tab/>
        <w:t>ust.</w:t>
      </w:r>
      <w:r w:rsidR="005A1CAE" w:rsidRPr="005A1CAE">
        <w:rPr>
          <w:noProof/>
        </w:rPr>
        <w:t> </w:t>
      </w:r>
      <w:r w:rsidRPr="005A1CAE">
        <w:rPr>
          <w:noProof/>
        </w:rPr>
        <w:t>7 zdanie pierwsze otrzymuje brzmienie:</w:t>
      </w:r>
    </w:p>
    <w:p w14:paraId="4C1EAAB0" w14:textId="5B095A8F" w:rsidR="00A46136" w:rsidRPr="005A1CAE" w:rsidRDefault="00A46136" w:rsidP="00A46136">
      <w:pPr>
        <w:ind w:left="720"/>
        <w:rPr>
          <w:noProof/>
          <w:color w:val="000000" w:themeColor="text1"/>
        </w:rPr>
      </w:pPr>
      <w:r w:rsidRPr="005A1CAE">
        <w:rPr>
          <w:noProof/>
          <w:color w:val="000000" w:themeColor="text1"/>
        </w:rPr>
        <w:t>„Operator może ujawnić upoważnionemu zgłaszającemu CBAM lub innemu operatorowi informacje dotyczące warunków wykorzystania rzeczywistych emisji</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odn</w:t>
      </w:r>
      <w:r w:rsidRPr="005A1CAE">
        <w:rPr>
          <w:noProof/>
          <w:color w:val="000000" w:themeColor="text1"/>
        </w:rPr>
        <w:t>iesieniu do odpowiednich kombinacji towarów</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mie</w:t>
      </w:r>
      <w:r w:rsidRPr="005A1CAE">
        <w:rPr>
          <w:noProof/>
          <w:color w:val="000000" w:themeColor="text1"/>
        </w:rPr>
        <w:t>jsc pochodzenia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6 ust.</w:t>
      </w:r>
      <w:r w:rsidR="005A1CAE" w:rsidRPr="005A1CAE">
        <w:rPr>
          <w:noProof/>
          <w:color w:val="000000" w:themeColor="text1"/>
        </w:rPr>
        <w:t> </w:t>
      </w:r>
      <w:r w:rsidRPr="005A1CAE">
        <w:rPr>
          <w:noProof/>
          <w:color w:val="000000" w:themeColor="text1"/>
        </w:rPr>
        <w:t>7, weryfikacji emisji wbudowanych</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opł</w:t>
      </w:r>
      <w:r w:rsidRPr="005A1CAE">
        <w:rPr>
          <w:noProof/>
          <w:color w:val="000000" w:themeColor="text1"/>
        </w:rPr>
        <w:t>aty emisyjnej uiszczonej</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pań</w:t>
      </w:r>
      <w:r w:rsidRPr="005A1CAE">
        <w:rPr>
          <w:noProof/>
          <w:color w:val="000000" w:themeColor="text1"/>
        </w:rPr>
        <w:t>stwie trzecim,</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rej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ust</w:t>
      </w:r>
      <w:r w:rsidRPr="005A1CAE">
        <w:rPr>
          <w:noProof/>
          <w:color w:val="000000" w:themeColor="text1"/>
        </w:rPr>
        <w:t>.</w:t>
      </w:r>
      <w:r w:rsidR="005A1CAE" w:rsidRPr="005A1CAE">
        <w:rPr>
          <w:noProof/>
          <w:color w:val="000000" w:themeColor="text1"/>
        </w:rPr>
        <w:t> </w:t>
      </w:r>
      <w:r w:rsidRPr="005A1CAE">
        <w:rPr>
          <w:noProof/>
          <w:color w:val="000000" w:themeColor="text1"/>
        </w:rPr>
        <w:t>5 niniejszego artykułu.”;</w:t>
      </w:r>
    </w:p>
    <w:p w14:paraId="4F86F209" w14:textId="2FCB4391" w:rsidR="00A46136" w:rsidRPr="005A1CAE" w:rsidDel="00FC1AE7" w:rsidRDefault="00874ACF" w:rsidP="00874ACF">
      <w:pPr>
        <w:pStyle w:val="Point1"/>
        <w:rPr>
          <w:noProof/>
        </w:rPr>
      </w:pPr>
      <w:r w:rsidRPr="005A1CAE">
        <w:rPr>
          <w:noProof/>
        </w:rPr>
        <w:t>d)</w:t>
      </w:r>
      <w:r w:rsidRPr="005A1CAE">
        <w:rPr>
          <w:noProof/>
        </w:rPr>
        <w:tab/>
        <w:t>ust.</w:t>
      </w:r>
      <w:r w:rsidR="005A1CAE" w:rsidRPr="005A1CAE">
        <w:rPr>
          <w:noProof/>
        </w:rPr>
        <w:t> </w:t>
      </w:r>
      <w:r w:rsidRPr="005A1CAE">
        <w:rPr>
          <w:noProof/>
        </w:rPr>
        <w:t xml:space="preserve">7 zdanie drugie otrzymuje brzmienie: </w:t>
      </w:r>
    </w:p>
    <w:p w14:paraId="070023C8" w14:textId="6283028D" w:rsidR="00965DF4" w:rsidRPr="005A1CAE" w:rsidRDefault="00D5610F" w:rsidP="00083E5D">
      <w:pPr>
        <w:ind w:left="720"/>
        <w:rPr>
          <w:rFonts w:eastAsia="Times New Roman"/>
          <w:noProof/>
        </w:rPr>
      </w:pPr>
      <w:r w:rsidRPr="005A1CAE">
        <w:rPr>
          <w:noProof/>
          <w:color w:val="000000" w:themeColor="text1"/>
        </w:rPr>
        <w:t>„Operator może ujawnić upoważnionemu zgłaszającemu CBAM jedynie streszczenie informacji zawartych</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ust</w:t>
      </w:r>
      <w:r w:rsidRPr="005A1CAE">
        <w:rPr>
          <w:noProof/>
          <w:color w:val="000000" w:themeColor="text1"/>
        </w:rPr>
        <w:t>.</w:t>
      </w:r>
      <w:r w:rsidR="005A1CAE" w:rsidRPr="005A1CAE">
        <w:rPr>
          <w:noProof/>
          <w:color w:val="000000" w:themeColor="text1"/>
        </w:rPr>
        <w:t> </w:t>
      </w:r>
      <w:r w:rsidRPr="005A1CAE">
        <w:rPr>
          <w:noProof/>
          <w:color w:val="000000" w:themeColor="text1"/>
        </w:rPr>
        <w:t>5 lit.</w:t>
      </w:r>
      <w:r w:rsidR="005A1CAE" w:rsidRPr="005A1CAE">
        <w:rPr>
          <w:noProof/>
          <w:color w:val="000000" w:themeColor="text1"/>
        </w:rPr>
        <w:t> </w:t>
      </w:r>
      <w:r w:rsidRPr="005A1CAE">
        <w:rPr>
          <w:noProof/>
          <w:color w:val="000000" w:themeColor="text1"/>
        </w:rPr>
        <w:t xml:space="preserve">a), b), c) i e). </w:t>
      </w:r>
      <w:r w:rsidRPr="005A1CAE">
        <w:rPr>
          <w:noProof/>
        </w:rPr>
        <w:t>Upoważniony zgłaszający CBAM jest uprawniony do skorzystania</w:t>
      </w:r>
      <w:r w:rsidR="005A1CAE" w:rsidRPr="005A1CAE">
        <w:rPr>
          <w:noProof/>
        </w:rPr>
        <w:t xml:space="preserve"> z</w:t>
      </w:r>
      <w:r w:rsidR="005A1CAE">
        <w:rPr>
          <w:noProof/>
        </w:rPr>
        <w:t> </w:t>
      </w:r>
      <w:r w:rsidR="005A1CAE" w:rsidRPr="005A1CAE">
        <w:rPr>
          <w:noProof/>
        </w:rPr>
        <w:t>uja</w:t>
      </w:r>
      <w:r w:rsidRPr="005A1CAE">
        <w:rPr>
          <w:noProof/>
        </w:rPr>
        <w:t>wnionych mu informacji</w:t>
      </w:r>
      <w:r w:rsidR="005A1CAE" w:rsidRPr="005A1CAE">
        <w:rPr>
          <w:noProof/>
        </w:rPr>
        <w:t xml:space="preserve"> w</w:t>
      </w:r>
      <w:r w:rsidR="005A1CAE">
        <w:rPr>
          <w:noProof/>
        </w:rPr>
        <w:t> </w:t>
      </w:r>
      <w:r w:rsidR="005A1CAE" w:rsidRPr="005A1CAE">
        <w:rPr>
          <w:noProof/>
        </w:rPr>
        <w:t>cel</w:t>
      </w:r>
      <w:r w:rsidRPr="005A1CAE">
        <w:rPr>
          <w:noProof/>
        </w:rPr>
        <w:t>u wypełnienia obowiązku,</w:t>
      </w:r>
      <w:r w:rsidR="005A1CAE" w:rsidRPr="005A1CAE">
        <w:rPr>
          <w:noProof/>
        </w:rPr>
        <w:t xml:space="preserve"> o</w:t>
      </w:r>
      <w:r w:rsidR="005A1CAE">
        <w:rPr>
          <w:noProof/>
        </w:rPr>
        <w:t> </w:t>
      </w:r>
      <w:r w:rsidR="005A1CAE" w:rsidRPr="005A1CAE">
        <w:rPr>
          <w:noProof/>
        </w:rPr>
        <w:t>któ</w:t>
      </w:r>
      <w:r w:rsidRPr="005A1CAE">
        <w:rPr>
          <w:noProof/>
        </w:rPr>
        <w:t>rym mowa</w:t>
      </w:r>
      <w:r w:rsidR="005A1CAE" w:rsidRPr="005A1CAE">
        <w:rPr>
          <w:noProof/>
        </w:rPr>
        <w:t xml:space="preserve"> w</w:t>
      </w:r>
      <w:r w:rsidR="005A1CAE">
        <w:rPr>
          <w:noProof/>
        </w:rPr>
        <w:t> </w:t>
      </w:r>
      <w:r w:rsidR="005A1CAE" w:rsidRPr="005A1CAE">
        <w:rPr>
          <w:noProof/>
        </w:rPr>
        <w:t>art</w:t>
      </w:r>
      <w:r w:rsidRPr="005A1CAE">
        <w:rPr>
          <w:noProof/>
        </w:rPr>
        <w:t>. 8.</w:t>
      </w:r>
    </w:p>
    <w:p w14:paraId="2B696156" w14:textId="49442DED" w:rsidR="00083E5D" w:rsidRPr="005A1CAE" w:rsidRDefault="00B0549A" w:rsidP="00083E5D">
      <w:pPr>
        <w:ind w:left="720"/>
        <w:rPr>
          <w:noProof/>
          <w:color w:val="000000" w:themeColor="text1"/>
        </w:rPr>
      </w:pPr>
      <w:r w:rsidRPr="005A1CAE">
        <w:rPr>
          <w:noProof/>
          <w:color w:val="000000" w:themeColor="text1"/>
        </w:rPr>
        <w:t>W przypadku gdy upoważniony zgłaszający CBAM zdecyduje się złożyć deklarację CBAM na podstawie tych ujawnionych informacji, pozostaje on odpowiedzialny za przekazanie do umorzenia prawidłowej liczby certyfikatów CBAM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22 ust.</w:t>
      </w:r>
      <w:r w:rsidR="005A1CAE" w:rsidRPr="005A1CAE">
        <w:rPr>
          <w:noProof/>
          <w:color w:val="000000" w:themeColor="text1"/>
        </w:rPr>
        <w:t> </w:t>
      </w:r>
      <w:r w:rsidRPr="005A1CAE">
        <w:rPr>
          <w:noProof/>
          <w:color w:val="000000" w:themeColor="text1"/>
        </w:rPr>
        <w:t>1.”;</w:t>
      </w:r>
    </w:p>
    <w:p w14:paraId="04C7E422" w14:textId="774714AF" w:rsidR="00860D9D" w:rsidRPr="005A1CAE" w:rsidRDefault="00874ACF" w:rsidP="00874ACF">
      <w:pPr>
        <w:pStyle w:val="Point0"/>
        <w:rPr>
          <w:noProof/>
        </w:rPr>
      </w:pPr>
      <w:r w:rsidRPr="005A1CAE">
        <w:rPr>
          <w:noProof/>
        </w:rPr>
        <w:lastRenderedPageBreak/>
        <w:t>9.</w:t>
      </w:r>
      <w:r w:rsidRPr="005A1CAE">
        <w:rPr>
          <w:noProof/>
        </w:rPr>
        <w:tab/>
        <w:t>w art.</w:t>
      </w:r>
      <w:r w:rsidR="005A1CAE" w:rsidRPr="005A1CAE">
        <w:rPr>
          <w:noProof/>
        </w:rPr>
        <w:t> </w:t>
      </w:r>
      <w:r w:rsidRPr="005A1CAE">
        <w:rPr>
          <w:noProof/>
        </w:rPr>
        <w:t>17 wprowadza się następujące zmiany:</w:t>
      </w:r>
    </w:p>
    <w:p w14:paraId="03878F32" w14:textId="5414144E" w:rsidR="00860D9D" w:rsidRPr="005A1CAE" w:rsidRDefault="00874ACF" w:rsidP="00874ACF">
      <w:pPr>
        <w:pStyle w:val="Point1"/>
        <w:rPr>
          <w:noProof/>
        </w:rPr>
      </w:pPr>
      <w:r w:rsidRPr="005A1CAE">
        <w:rPr>
          <w:noProof/>
        </w:rPr>
        <w:t>a)</w:t>
      </w:r>
      <w:r w:rsidRPr="005A1CAE">
        <w:rPr>
          <w:noProof/>
        </w:rPr>
        <w:tab/>
        <w:t>dodaje się ust.</w:t>
      </w:r>
      <w:r w:rsidR="005A1CAE" w:rsidRPr="005A1CAE">
        <w:rPr>
          <w:noProof/>
        </w:rPr>
        <w:t> </w:t>
      </w:r>
      <w:r w:rsidRPr="005A1CAE">
        <w:rPr>
          <w:noProof/>
        </w:rPr>
        <w:t>5a</w:t>
      </w:r>
      <w:r w:rsidR="005A1CAE" w:rsidRPr="005A1CAE">
        <w:rPr>
          <w:noProof/>
        </w:rPr>
        <w:t xml:space="preserve"> w</w:t>
      </w:r>
      <w:r w:rsidR="005A1CAE">
        <w:rPr>
          <w:noProof/>
        </w:rPr>
        <w:t> </w:t>
      </w:r>
      <w:r w:rsidR="005A1CAE" w:rsidRPr="005A1CAE">
        <w:rPr>
          <w:noProof/>
        </w:rPr>
        <w:t>brz</w:t>
      </w:r>
      <w:r w:rsidRPr="005A1CAE">
        <w:rPr>
          <w:noProof/>
        </w:rPr>
        <w:t>mieniu:</w:t>
      </w:r>
    </w:p>
    <w:p w14:paraId="028D3667" w14:textId="40E1D12F" w:rsidR="00007D83" w:rsidRPr="005A1CAE" w:rsidRDefault="00860D9D" w:rsidP="00007D83">
      <w:pPr>
        <w:ind w:left="720"/>
        <w:rPr>
          <w:noProof/>
          <w:color w:val="000000" w:themeColor="text1"/>
        </w:rPr>
      </w:pPr>
      <w:r w:rsidRPr="005A1CAE">
        <w:rPr>
          <w:noProof/>
          <w:color w:val="000000" w:themeColor="text1"/>
        </w:rPr>
        <w:t>„5a. Na zasadzie odstępstwa od ust.</w:t>
      </w:r>
      <w:r w:rsidR="005A1CAE" w:rsidRPr="005A1CAE">
        <w:rPr>
          <w:noProof/>
          <w:color w:val="000000" w:themeColor="text1"/>
        </w:rPr>
        <w:t> </w:t>
      </w:r>
      <w:r w:rsidRPr="005A1CAE">
        <w:rPr>
          <w:noProof/>
          <w:color w:val="000000" w:themeColor="text1"/>
        </w:rPr>
        <w:t>5,</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prz</w:t>
      </w:r>
      <w:r w:rsidRPr="005A1CAE">
        <w:rPr>
          <w:noProof/>
          <w:color w:val="000000" w:themeColor="text1"/>
        </w:rPr>
        <w:t>ypadku gdy właściwy organ stwierdzi, że wnioskodawca lub upoważniony zgłaszający CBAM nie wykazuje zdolności finansowej do wypełnienia zobowiązań wynikających</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nin</w:t>
      </w:r>
      <w:r w:rsidRPr="005A1CAE">
        <w:rPr>
          <w:noProof/>
          <w:color w:val="000000" w:themeColor="text1"/>
        </w:rPr>
        <w:t>iejszego rozporządzenia,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tym</w:t>
      </w:r>
      <w:r w:rsidRPr="005A1CAE">
        <w:rPr>
          <w:noProof/>
          <w:color w:val="000000" w:themeColor="text1"/>
        </w:rPr>
        <w:t xml:space="preserve"> przez niespełnienie wymogu określonego</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22 ust.</w:t>
      </w:r>
      <w:r w:rsidR="005A1CAE" w:rsidRPr="005A1CAE">
        <w:rPr>
          <w:noProof/>
          <w:color w:val="000000" w:themeColor="text1"/>
        </w:rPr>
        <w:t> </w:t>
      </w:r>
      <w:r w:rsidRPr="005A1CAE">
        <w:rPr>
          <w:noProof/>
          <w:color w:val="000000" w:themeColor="text1"/>
        </w:rPr>
        <w:t>2, właściwy organ może wymagać przedłożenia gwarancji.</w:t>
      </w:r>
    </w:p>
    <w:p w14:paraId="7E6CBA99" w14:textId="4E4BB6B5" w:rsidR="00007D83" w:rsidRPr="005A1CAE" w:rsidRDefault="00007D83" w:rsidP="00007D83">
      <w:pPr>
        <w:ind w:left="720"/>
        <w:rPr>
          <w:noProof/>
          <w:color w:val="000000" w:themeColor="text1"/>
        </w:rPr>
      </w:pPr>
      <w:r w:rsidRPr="005A1CAE">
        <w:rPr>
          <w:noProof/>
          <w:color w:val="000000" w:themeColor="text1"/>
        </w:rPr>
        <w:t>Właściwy organ ustala kwotę takiej gwarancji na kwotę obliczoną jako zagregowana wartość certyfikatów CBAM, które upoważniony zgłaszający CBAM musiałby przekazać do umorzenia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22,</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odn</w:t>
      </w:r>
      <w:r w:rsidRPr="005A1CAE">
        <w:rPr>
          <w:noProof/>
          <w:color w:val="000000" w:themeColor="text1"/>
        </w:rPr>
        <w:t>iesieniu do jednego</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pon</w:t>
      </w:r>
      <w:r w:rsidRPr="005A1CAE">
        <w:rPr>
          <w:noProof/>
          <w:color w:val="000000" w:themeColor="text1"/>
        </w:rPr>
        <w:t>iższych:</w:t>
      </w:r>
    </w:p>
    <w:p w14:paraId="2C3F6DBB" w14:textId="19308F5F" w:rsidR="00007D83" w:rsidRPr="005A1CAE" w:rsidRDefault="00007D83" w:rsidP="00007D83">
      <w:pPr>
        <w:ind w:left="720"/>
        <w:rPr>
          <w:noProof/>
          <w:color w:val="000000" w:themeColor="text1"/>
        </w:rPr>
      </w:pPr>
      <w:r w:rsidRPr="005A1CAE">
        <w:rPr>
          <w:noProof/>
          <w:color w:val="000000" w:themeColor="text1"/>
        </w:rPr>
        <w:t>a)</w:t>
      </w:r>
      <w:r w:rsidRPr="005A1CAE">
        <w:rPr>
          <w:noProof/>
        </w:rPr>
        <w:tab/>
      </w:r>
      <w:r w:rsidRPr="005A1CAE">
        <w:rPr>
          <w:noProof/>
          <w:color w:val="000000" w:themeColor="text1"/>
        </w:rPr>
        <w:t>przywozu towarów zgłoszonego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5 ust.</w:t>
      </w:r>
      <w:r w:rsidR="005A1CAE" w:rsidRPr="005A1CAE">
        <w:rPr>
          <w:noProof/>
          <w:color w:val="000000" w:themeColor="text1"/>
        </w:rPr>
        <w:t> </w:t>
      </w:r>
      <w:r w:rsidRPr="005A1CAE">
        <w:rPr>
          <w:noProof/>
          <w:color w:val="000000" w:themeColor="text1"/>
        </w:rPr>
        <w:t>5 lit.</w:t>
      </w:r>
      <w:r w:rsidR="005A1CAE" w:rsidRPr="005A1CAE">
        <w:rPr>
          <w:noProof/>
          <w:color w:val="000000" w:themeColor="text1"/>
        </w:rPr>
        <w:t> </w:t>
      </w:r>
      <w:r w:rsidRPr="005A1CAE">
        <w:rPr>
          <w:noProof/>
          <w:color w:val="000000" w:themeColor="text1"/>
        </w:rPr>
        <w:t>g);</w:t>
      </w:r>
    </w:p>
    <w:p w14:paraId="186169F1" w14:textId="7CCB043A" w:rsidR="00007D83" w:rsidRPr="005A1CAE" w:rsidRDefault="00DD3258" w:rsidP="00007D83">
      <w:pPr>
        <w:ind w:left="720"/>
        <w:rPr>
          <w:noProof/>
          <w:color w:val="000000" w:themeColor="text1"/>
        </w:rPr>
      </w:pPr>
      <w:r w:rsidRPr="005A1CAE">
        <w:rPr>
          <w:noProof/>
          <w:color w:val="000000" w:themeColor="text1"/>
        </w:rPr>
        <w:t>b)</w:t>
      </w:r>
      <w:r w:rsidRPr="005A1CAE">
        <w:rPr>
          <w:noProof/>
        </w:rPr>
        <w:tab/>
      </w:r>
      <w:r w:rsidRPr="005A1CAE">
        <w:rPr>
          <w:noProof/>
          <w:color w:val="000000" w:themeColor="text1"/>
        </w:rPr>
        <w:t>ilości przywiezionych towarów zadeklarowaną</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zgł</w:t>
      </w:r>
      <w:r w:rsidRPr="005A1CAE">
        <w:rPr>
          <w:noProof/>
          <w:color w:val="000000" w:themeColor="text1"/>
        </w:rPr>
        <w:t>oszeniu celnym oraz innych istotnych informacji dostępnych właściwemu organowi</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pop</w:t>
      </w:r>
      <w:r w:rsidRPr="005A1CAE">
        <w:rPr>
          <w:noProof/>
          <w:color w:val="000000" w:themeColor="text1"/>
        </w:rPr>
        <w:t>rzednich dwóch lat kalendarzowych; lub</w:t>
      </w:r>
    </w:p>
    <w:p w14:paraId="6C29EF35" w14:textId="1172BC03" w:rsidR="00007D83" w:rsidRPr="005A1CAE" w:rsidRDefault="00DD3258" w:rsidP="00007D83">
      <w:pPr>
        <w:ind w:left="720"/>
        <w:rPr>
          <w:noProof/>
          <w:color w:val="000000" w:themeColor="text1"/>
        </w:rPr>
      </w:pPr>
      <w:r w:rsidRPr="005A1CAE">
        <w:rPr>
          <w:noProof/>
          <w:color w:val="000000" w:themeColor="text1"/>
        </w:rPr>
        <w:t>c)</w:t>
      </w:r>
      <w:r w:rsidRPr="005A1CAE">
        <w:rPr>
          <w:noProof/>
        </w:rPr>
        <w:tab/>
      </w:r>
      <w:r w:rsidRPr="005A1CAE">
        <w:rPr>
          <w:noProof/>
          <w:color w:val="000000" w:themeColor="text1"/>
        </w:rPr>
        <w:t>oszacowania zakładającego przekroczenie jednolitego progu masy</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śre</w:t>
      </w:r>
      <w:r w:rsidRPr="005A1CAE">
        <w:rPr>
          <w:noProof/>
          <w:color w:val="000000" w:themeColor="text1"/>
        </w:rPr>
        <w:t>dnią odpowiadającą odpowiednim sektorom objętym niniejszym rozporządzeniem.</w:t>
      </w:r>
    </w:p>
    <w:p w14:paraId="1FCAA7FC" w14:textId="040EE98E" w:rsidR="00860D9D" w:rsidRPr="005A1CAE" w:rsidRDefault="00007D83" w:rsidP="00007D83">
      <w:pPr>
        <w:ind w:left="720"/>
        <w:rPr>
          <w:noProof/>
          <w:color w:val="000000" w:themeColor="text1"/>
        </w:rPr>
      </w:pPr>
      <w:r w:rsidRPr="005A1CAE">
        <w:rPr>
          <w:noProof/>
          <w:color w:val="000000" w:themeColor="text1"/>
        </w:rPr>
        <w:t>Przedkładana gwarancja musi mieć postać gwarancji bankowej płatnej na pierwsze żądanie przez instytucję finansową prowadzącą działalność</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Uni</w:t>
      </w:r>
      <w:r w:rsidRPr="005A1CAE">
        <w:rPr>
          <w:noProof/>
          <w:color w:val="000000" w:themeColor="text1"/>
        </w:rPr>
        <w:t>i lub innej gwarancji dającej równoważne zabezpieczenie.”;</w:t>
      </w:r>
    </w:p>
    <w:p w14:paraId="3C9B3F65" w14:textId="127DF17B" w:rsidR="00CA3766" w:rsidRPr="005A1CAE" w:rsidRDefault="00874ACF" w:rsidP="00874ACF">
      <w:pPr>
        <w:pStyle w:val="Point1"/>
        <w:rPr>
          <w:noProof/>
          <w:color w:val="000000" w:themeColor="text1"/>
        </w:rPr>
      </w:pPr>
      <w:r w:rsidRPr="005A1CAE">
        <w:rPr>
          <w:noProof/>
        </w:rPr>
        <w:t>b)</w:t>
      </w:r>
      <w:r w:rsidRPr="005A1CAE">
        <w:rPr>
          <w:noProof/>
        </w:rPr>
        <w:tab/>
        <w:t>ust.</w:t>
      </w:r>
      <w:r w:rsidR="005A1CAE" w:rsidRPr="005A1CAE">
        <w:rPr>
          <w:noProof/>
        </w:rPr>
        <w:t> </w:t>
      </w:r>
      <w:r w:rsidRPr="005A1CAE">
        <w:rPr>
          <w:noProof/>
        </w:rPr>
        <w:t>7 otrzymuje brzmienie:</w:t>
      </w:r>
    </w:p>
    <w:p w14:paraId="2ADBDF28" w14:textId="31A6E1C8" w:rsidR="00CA3766" w:rsidRPr="005A1CAE" w:rsidRDefault="00CA3766" w:rsidP="00CA3766">
      <w:pPr>
        <w:ind w:left="720"/>
        <w:rPr>
          <w:noProof/>
          <w:color w:val="000000" w:themeColor="text1"/>
        </w:rPr>
      </w:pPr>
      <w:r w:rsidRPr="005A1CAE">
        <w:rPr>
          <w:noProof/>
          <w:color w:val="000000" w:themeColor="text1"/>
        </w:rPr>
        <w:t>„7</w:t>
      </w:r>
      <w:r w:rsidR="005A1CAE" w:rsidRPr="005A1CAE">
        <w:rPr>
          <w:noProof/>
          <w:color w:val="000000" w:themeColor="text1"/>
        </w:rPr>
        <w:t>. W</w:t>
      </w:r>
      <w:r w:rsidR="005A1CAE">
        <w:rPr>
          <w:noProof/>
          <w:color w:val="000000" w:themeColor="text1"/>
        </w:rPr>
        <w:t> </w:t>
      </w:r>
      <w:r w:rsidR="005A1CAE" w:rsidRPr="005A1CAE">
        <w:rPr>
          <w:noProof/>
          <w:color w:val="000000" w:themeColor="text1"/>
        </w:rPr>
        <w:t>prz</w:t>
      </w:r>
      <w:r w:rsidRPr="005A1CAE">
        <w:rPr>
          <w:noProof/>
          <w:color w:val="000000" w:themeColor="text1"/>
        </w:rPr>
        <w:t>ypadku gdy złożenie gwarancji jest wymagane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ust</w:t>
      </w:r>
      <w:r w:rsidRPr="005A1CAE">
        <w:rPr>
          <w:noProof/>
          <w:color w:val="000000" w:themeColor="text1"/>
        </w:rPr>
        <w:t>.</w:t>
      </w:r>
      <w:r w:rsidR="005A1CAE" w:rsidRPr="005A1CAE">
        <w:rPr>
          <w:noProof/>
          <w:color w:val="000000" w:themeColor="text1"/>
        </w:rPr>
        <w:t> </w:t>
      </w:r>
      <w:r w:rsidRPr="005A1CAE">
        <w:rPr>
          <w:noProof/>
          <w:color w:val="000000" w:themeColor="text1"/>
        </w:rPr>
        <w:t>5, właściwy organ zwalnia gwarancję natychmiast po dniu 30 września drugiego roku,</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któ</w:t>
      </w:r>
      <w:r w:rsidRPr="005A1CAE">
        <w:rPr>
          <w:noProof/>
          <w:color w:val="000000" w:themeColor="text1"/>
        </w:rPr>
        <w:t>rym upoważniony zgłaszający CBAM przekazał do umorzenia certyfikaty CBAM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22.</w:t>
      </w:r>
    </w:p>
    <w:p w14:paraId="500CD6B9" w14:textId="00313B60" w:rsidR="00322176" w:rsidRPr="005A1CAE" w:rsidRDefault="00322176" w:rsidP="00322176">
      <w:pPr>
        <w:ind w:left="720"/>
        <w:rPr>
          <w:noProof/>
          <w:color w:val="000000" w:themeColor="text1"/>
        </w:rPr>
      </w:pPr>
      <w:r w:rsidRPr="005A1CAE">
        <w:rPr>
          <w:noProof/>
          <w:color w:val="000000" w:themeColor="text1"/>
        </w:rPr>
        <w:t>W przypadku gdy złożenie gwarancji jest wymagane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ust</w:t>
      </w:r>
      <w:r w:rsidRPr="005A1CAE">
        <w:rPr>
          <w:noProof/>
          <w:color w:val="000000" w:themeColor="text1"/>
        </w:rPr>
        <w:t>.</w:t>
      </w:r>
      <w:r w:rsidR="005A1CAE" w:rsidRPr="005A1CAE">
        <w:rPr>
          <w:noProof/>
          <w:color w:val="000000" w:themeColor="text1"/>
        </w:rPr>
        <w:t> </w:t>
      </w:r>
      <w:r w:rsidRPr="005A1CAE">
        <w:rPr>
          <w:noProof/>
          <w:color w:val="000000" w:themeColor="text1"/>
        </w:rPr>
        <w:t>5a, właściwy organ zwalnia gwarancję natychmiast po dniu 30 września drugiego roku,</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któ</w:t>
      </w:r>
      <w:r w:rsidRPr="005A1CAE">
        <w:rPr>
          <w:noProof/>
          <w:color w:val="000000" w:themeColor="text1"/>
        </w:rPr>
        <w:t>rym upoważniony zgłaszający CBAM przekazał do umorzenia certyfikaty CBAM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22. Niezależnie od powyższego właściwy organ może podjąć decyzję</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prz</w:t>
      </w:r>
      <w:r w:rsidRPr="005A1CAE">
        <w:rPr>
          <w:noProof/>
          <w:color w:val="000000" w:themeColor="text1"/>
        </w:rPr>
        <w:t>edłużeniu okresu gwarancji, jeżeli takie przedłużenie jest należycie uzasadnione.</w:t>
      </w:r>
    </w:p>
    <w:p w14:paraId="17966534" w14:textId="36FDE4DF" w:rsidR="00322176" w:rsidRPr="005A1CAE" w:rsidRDefault="00322176" w:rsidP="00322176">
      <w:pPr>
        <w:ind w:left="720"/>
        <w:rPr>
          <w:noProof/>
          <w:color w:val="000000" w:themeColor="text1"/>
        </w:rPr>
      </w:pPr>
      <w:r w:rsidRPr="005A1CAE">
        <w:rPr>
          <w:noProof/>
          <w:color w:val="000000" w:themeColor="text1"/>
        </w:rPr>
        <w:t>W przypadku gdy upoważniony zgłaszający CBAM nie przekaże do umorzenia wystarczającej liczby certyfikatów CBAM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22</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w</w:t>
      </w:r>
      <w:r w:rsidR="005A1CAE">
        <w:rPr>
          <w:noProof/>
          <w:color w:val="000000" w:themeColor="text1"/>
        </w:rPr>
        <w:t> </w:t>
      </w:r>
      <w:r w:rsidR="005A1CAE" w:rsidRPr="005A1CAE">
        <w:rPr>
          <w:noProof/>
          <w:color w:val="000000" w:themeColor="text1"/>
        </w:rPr>
        <w:t>nas</w:t>
      </w:r>
      <w:r w:rsidRPr="005A1CAE">
        <w:rPr>
          <w:noProof/>
          <w:color w:val="000000" w:themeColor="text1"/>
        </w:rPr>
        <w:t>tępstwie decyzji podjętej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19 ust.</w:t>
      </w:r>
      <w:r w:rsidR="005A1CAE" w:rsidRPr="005A1CAE">
        <w:rPr>
          <w:noProof/>
          <w:color w:val="000000" w:themeColor="text1"/>
        </w:rPr>
        <w:t> </w:t>
      </w:r>
      <w:r w:rsidRPr="005A1CAE">
        <w:rPr>
          <w:noProof/>
          <w:color w:val="000000" w:themeColor="text1"/>
        </w:rPr>
        <w:t>5, właściwy organ wykorzystuje przedłożoną gwarancję do odzyskania zaległego wyrównania finansowego.</w:t>
      </w:r>
    </w:p>
    <w:p w14:paraId="7FB5483D" w14:textId="17F7BA7D" w:rsidR="00322176" w:rsidRPr="005A1CAE" w:rsidRDefault="00322176" w:rsidP="00322176">
      <w:pPr>
        <w:ind w:left="720"/>
        <w:rPr>
          <w:noProof/>
          <w:color w:val="000000" w:themeColor="text1"/>
        </w:rPr>
      </w:pPr>
      <w:r w:rsidRPr="005A1CAE">
        <w:rPr>
          <w:noProof/>
          <w:color w:val="000000" w:themeColor="text1"/>
        </w:rPr>
        <w:t>Właściwy organ określa kwotę podlegającą odzyskaniu na podstawie liczby certyfikatów, które należało przekazać do umorzenia, oraz ceny certyfikatów</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dni</w:t>
      </w:r>
      <w:r w:rsidRPr="005A1CAE">
        <w:rPr>
          <w:noProof/>
          <w:color w:val="000000" w:themeColor="text1"/>
        </w:rPr>
        <w:t>u podjęcia decyzji.”;</w:t>
      </w:r>
    </w:p>
    <w:p w14:paraId="68A14FE2" w14:textId="1C7B865A" w:rsidR="00804386" w:rsidRPr="005A1CAE" w:rsidRDefault="00874ACF" w:rsidP="00874ACF">
      <w:pPr>
        <w:pStyle w:val="Point0"/>
        <w:rPr>
          <w:noProof/>
          <w:color w:val="000000" w:themeColor="text1"/>
        </w:rPr>
      </w:pPr>
      <w:r w:rsidRPr="005A1CAE">
        <w:rPr>
          <w:noProof/>
        </w:rPr>
        <w:t>10.</w:t>
      </w:r>
      <w:r w:rsidRPr="005A1CAE">
        <w:rPr>
          <w:noProof/>
        </w:rPr>
        <w:tab/>
        <w:t>w art.</w:t>
      </w:r>
      <w:r w:rsidR="005A1CAE" w:rsidRPr="005A1CAE">
        <w:rPr>
          <w:noProof/>
        </w:rPr>
        <w:t> </w:t>
      </w:r>
      <w:r w:rsidRPr="005A1CAE">
        <w:rPr>
          <w:noProof/>
        </w:rPr>
        <w:t>18 ust.</w:t>
      </w:r>
      <w:r w:rsidR="005A1CAE" w:rsidRPr="005A1CAE">
        <w:rPr>
          <w:noProof/>
        </w:rPr>
        <w:t> </w:t>
      </w:r>
      <w:r w:rsidRPr="005A1CAE">
        <w:rPr>
          <w:noProof/>
        </w:rPr>
        <w:t>3 dodaje się zdanie</w:t>
      </w:r>
      <w:r w:rsidR="005A1CAE" w:rsidRPr="005A1CAE">
        <w:rPr>
          <w:noProof/>
        </w:rPr>
        <w:t xml:space="preserve"> w</w:t>
      </w:r>
      <w:r w:rsidR="005A1CAE">
        <w:rPr>
          <w:noProof/>
        </w:rPr>
        <w:t> </w:t>
      </w:r>
      <w:r w:rsidR="005A1CAE" w:rsidRPr="005A1CAE">
        <w:rPr>
          <w:noProof/>
        </w:rPr>
        <w:t>brz</w:t>
      </w:r>
      <w:r w:rsidRPr="005A1CAE">
        <w:rPr>
          <w:noProof/>
        </w:rPr>
        <w:t>mieniu:</w:t>
      </w:r>
    </w:p>
    <w:p w14:paraId="0F827788" w14:textId="77777777" w:rsidR="009D57A5" w:rsidRPr="005A1CAE" w:rsidRDefault="009D57A5" w:rsidP="009D57A5">
      <w:pPr>
        <w:ind w:left="720"/>
        <w:rPr>
          <w:noProof/>
          <w:color w:val="000000" w:themeColor="text1"/>
        </w:rPr>
      </w:pPr>
      <w:r w:rsidRPr="005A1CAE">
        <w:rPr>
          <w:noProof/>
          <w:color w:val="000000" w:themeColor="text1"/>
        </w:rPr>
        <w:t>„W tych aktach delegowanych określa się również procedury weryfikacji stosowane przez weryfikatorów.”;</w:t>
      </w:r>
    </w:p>
    <w:p w14:paraId="1B305B80" w14:textId="5BEAB337" w:rsidR="00C068DB" w:rsidRPr="005A1CAE" w:rsidRDefault="00874ACF" w:rsidP="00874ACF">
      <w:pPr>
        <w:pStyle w:val="Point0"/>
        <w:rPr>
          <w:noProof/>
        </w:rPr>
      </w:pPr>
      <w:r w:rsidRPr="005A1CAE">
        <w:rPr>
          <w:noProof/>
        </w:rPr>
        <w:t>11.</w:t>
      </w:r>
      <w:r w:rsidRPr="005A1CAE">
        <w:rPr>
          <w:noProof/>
        </w:rPr>
        <w:tab/>
        <w:t>w art.</w:t>
      </w:r>
      <w:r w:rsidR="005A1CAE" w:rsidRPr="005A1CAE">
        <w:rPr>
          <w:noProof/>
        </w:rPr>
        <w:t> </w:t>
      </w:r>
      <w:r w:rsidRPr="005A1CAE">
        <w:rPr>
          <w:noProof/>
        </w:rPr>
        <w:t>19 dodaje się ust.</w:t>
      </w:r>
      <w:r w:rsidR="005A1CAE" w:rsidRPr="005A1CAE">
        <w:rPr>
          <w:noProof/>
        </w:rPr>
        <w:t> </w:t>
      </w:r>
      <w:r w:rsidRPr="005A1CAE">
        <w:rPr>
          <w:noProof/>
        </w:rPr>
        <w:t>2a</w:t>
      </w:r>
      <w:r w:rsidR="005A1CAE" w:rsidRPr="005A1CAE">
        <w:rPr>
          <w:noProof/>
        </w:rPr>
        <w:t xml:space="preserve"> w</w:t>
      </w:r>
      <w:r w:rsidR="005A1CAE">
        <w:rPr>
          <w:noProof/>
        </w:rPr>
        <w:t> </w:t>
      </w:r>
      <w:r w:rsidR="005A1CAE" w:rsidRPr="005A1CAE">
        <w:rPr>
          <w:noProof/>
        </w:rPr>
        <w:t>brz</w:t>
      </w:r>
      <w:r w:rsidRPr="005A1CAE">
        <w:rPr>
          <w:noProof/>
        </w:rPr>
        <w:t>mieniu:</w:t>
      </w:r>
    </w:p>
    <w:p w14:paraId="2932EEBB" w14:textId="6E1EEE28" w:rsidR="00A66E8C" w:rsidRPr="005A1CAE" w:rsidRDefault="00CB6C93" w:rsidP="00CB6C93">
      <w:pPr>
        <w:ind w:left="850"/>
        <w:rPr>
          <w:noProof/>
          <w:color w:val="000000" w:themeColor="text1"/>
        </w:rPr>
      </w:pPr>
      <w:r w:rsidRPr="005A1CAE">
        <w:rPr>
          <w:noProof/>
          <w:color w:val="000000" w:themeColor="text1"/>
        </w:rPr>
        <w:t>„2a</w:t>
      </w:r>
      <w:r w:rsidR="005A1CAE" w:rsidRPr="005A1CAE">
        <w:rPr>
          <w:noProof/>
          <w:color w:val="000000" w:themeColor="text1"/>
        </w:rPr>
        <w:t>. W</w:t>
      </w:r>
      <w:r w:rsidR="005A1CAE">
        <w:rPr>
          <w:noProof/>
          <w:color w:val="000000" w:themeColor="text1"/>
        </w:rPr>
        <w:t> </w:t>
      </w:r>
      <w:r w:rsidR="005A1CAE" w:rsidRPr="005A1CAE">
        <w:rPr>
          <w:noProof/>
          <w:color w:val="000000" w:themeColor="text1"/>
        </w:rPr>
        <w:t>prz</w:t>
      </w:r>
      <w:r w:rsidRPr="005A1CAE">
        <w:rPr>
          <w:noProof/>
          <w:color w:val="000000" w:themeColor="text1"/>
        </w:rPr>
        <w:t>ypadku gdy emisje wbudowane ustala się na podstawie rzeczywistych emisji, Komisja lub właściwy organ państwa członkowskiego,</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któ</w:t>
      </w:r>
      <w:r w:rsidRPr="005A1CAE">
        <w:rPr>
          <w:noProof/>
          <w:color w:val="000000" w:themeColor="text1"/>
        </w:rPr>
        <w:t>rym zgłaszający CBAM ma siedzibę, może,</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ram</w:t>
      </w:r>
      <w:r w:rsidRPr="005A1CAE">
        <w:rPr>
          <w:noProof/>
          <w:color w:val="000000" w:themeColor="text1"/>
        </w:rPr>
        <w:t>ach przeglądu deklaracji CBAM, zwrócić się do upoważnionego zgłaszającego CBAM</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prz</w:t>
      </w:r>
      <w:r w:rsidRPr="005A1CAE">
        <w:rPr>
          <w:noProof/>
          <w:color w:val="000000" w:themeColor="text1"/>
        </w:rPr>
        <w:t xml:space="preserve">edstawienie dowodów na to, że </w:t>
      </w:r>
      <w:r w:rsidRPr="005A1CAE">
        <w:rPr>
          <w:noProof/>
          <w:color w:val="000000" w:themeColor="text1"/>
        </w:rPr>
        <w:lastRenderedPageBreak/>
        <w:t>przywiezione towary zostały wyprodukowane</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ins</w:t>
      </w:r>
      <w:r w:rsidRPr="005A1CAE">
        <w:rPr>
          <w:noProof/>
          <w:color w:val="000000" w:themeColor="text1"/>
        </w:rPr>
        <w:t>talacji,</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rej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dek</w:t>
      </w:r>
      <w:r w:rsidRPr="005A1CAE">
        <w:rPr>
          <w:noProof/>
          <w:color w:val="000000" w:themeColor="text1"/>
        </w:rPr>
        <w:t>laracji CBAM.”;</w:t>
      </w:r>
    </w:p>
    <w:p w14:paraId="21FD3C60" w14:textId="14C1B685" w:rsidR="006D086D" w:rsidRPr="005A1CAE" w:rsidRDefault="00874ACF" w:rsidP="00874ACF">
      <w:pPr>
        <w:pStyle w:val="Point0"/>
        <w:rPr>
          <w:noProof/>
          <w:color w:val="000000" w:themeColor="text1"/>
        </w:rPr>
      </w:pPr>
      <w:r w:rsidRPr="005A1CAE">
        <w:rPr>
          <w:noProof/>
        </w:rPr>
        <w:t>12.</w:t>
      </w:r>
      <w:r w:rsidRPr="005A1CAE">
        <w:rPr>
          <w:noProof/>
        </w:rPr>
        <w:tab/>
        <w:t>w art.</w:t>
      </w:r>
      <w:r w:rsidR="005A1CAE" w:rsidRPr="005A1CAE">
        <w:rPr>
          <w:noProof/>
        </w:rPr>
        <w:t> </w:t>
      </w:r>
      <w:r w:rsidRPr="005A1CAE">
        <w:rPr>
          <w:noProof/>
        </w:rPr>
        <w:t>21 wprowadza się następujące zmiany:</w:t>
      </w:r>
    </w:p>
    <w:p w14:paraId="0B01EA72" w14:textId="69082D68" w:rsidR="006D086D" w:rsidRPr="005A1CAE" w:rsidRDefault="00874ACF" w:rsidP="00874ACF">
      <w:pPr>
        <w:pStyle w:val="Point1"/>
        <w:rPr>
          <w:noProof/>
        </w:rPr>
      </w:pPr>
      <w:r w:rsidRPr="005A1CAE">
        <w:rPr>
          <w:noProof/>
        </w:rPr>
        <w:t>a)</w:t>
      </w:r>
      <w:r w:rsidRPr="005A1CAE">
        <w:rPr>
          <w:noProof/>
        </w:rPr>
        <w:tab/>
        <w:t>ust.</w:t>
      </w:r>
      <w:r w:rsidR="005A1CAE" w:rsidRPr="005A1CAE">
        <w:rPr>
          <w:noProof/>
        </w:rPr>
        <w:t> </w:t>
      </w:r>
      <w:r w:rsidRPr="005A1CAE">
        <w:rPr>
          <w:noProof/>
        </w:rPr>
        <w:t>1 akapit drugi otrzymuje brzmienie:</w:t>
      </w:r>
    </w:p>
    <w:p w14:paraId="638BDA66" w14:textId="1F108DE2" w:rsidR="006D086D" w:rsidRPr="005A1CAE" w:rsidRDefault="00AB4E7F" w:rsidP="00AB4E7F">
      <w:pPr>
        <w:ind w:left="850"/>
        <w:rPr>
          <w:noProof/>
          <w:color w:val="000000" w:themeColor="text1"/>
        </w:rPr>
      </w:pPr>
      <w:r w:rsidRPr="005A1CAE">
        <w:rPr>
          <w:noProof/>
          <w:color w:val="000000" w:themeColor="text1"/>
        </w:rPr>
        <w:t>„W odniesieniu do tygodni kalendarzowych,</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któ</w:t>
      </w:r>
      <w:r w:rsidRPr="005A1CAE">
        <w:rPr>
          <w:noProof/>
          <w:color w:val="000000" w:themeColor="text1"/>
        </w:rPr>
        <w:t>rych na platformie aukcyjnej nie odbywa się żadna aukcja, cena certyfikatów CBAM jest równa średniej cen zamknięcia uprawnień</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ram</w:t>
      </w:r>
      <w:r w:rsidRPr="005A1CAE">
        <w:rPr>
          <w:noProof/>
          <w:color w:val="000000" w:themeColor="text1"/>
        </w:rPr>
        <w:t>ach EU ETS</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ost</w:t>
      </w:r>
      <w:r w:rsidRPr="005A1CAE">
        <w:rPr>
          <w:noProof/>
          <w:color w:val="000000" w:themeColor="text1"/>
        </w:rPr>
        <w:t>atnim tygodniu,</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któ</w:t>
      </w:r>
      <w:r w:rsidRPr="005A1CAE">
        <w:rPr>
          <w:noProof/>
          <w:color w:val="000000" w:themeColor="text1"/>
        </w:rPr>
        <w:t>rym na platformie aukcyjnej odbywały się aukcje</w:t>
      </w:r>
      <w:r w:rsidR="005A1CAE" w:rsidRPr="005A1CAE">
        <w:rPr>
          <w:noProof/>
          <w:color w:val="000000" w:themeColor="text1"/>
        </w:rPr>
        <w:t>. W</w:t>
      </w:r>
      <w:r w:rsidR="005A1CAE">
        <w:rPr>
          <w:noProof/>
          <w:color w:val="000000" w:themeColor="text1"/>
        </w:rPr>
        <w:t> </w:t>
      </w:r>
      <w:r w:rsidR="005A1CAE" w:rsidRPr="005A1CAE">
        <w:rPr>
          <w:noProof/>
          <w:color w:val="000000" w:themeColor="text1"/>
        </w:rPr>
        <w:t>odn</w:t>
      </w:r>
      <w:r w:rsidRPr="005A1CAE">
        <w:rPr>
          <w:noProof/>
          <w:color w:val="000000" w:themeColor="text1"/>
        </w:rPr>
        <w:t>iesieniu do tygodni kalendarzowych,</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któ</w:t>
      </w:r>
      <w:r w:rsidRPr="005A1CAE">
        <w:rPr>
          <w:noProof/>
          <w:color w:val="000000" w:themeColor="text1"/>
        </w:rPr>
        <w:t>rych na platformie aukcyjnej odbywa się jedna aukcja, cena certyfikatów CBAM jest równa średniej tej ceny zamknięcia</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cen</w:t>
      </w:r>
      <w:r w:rsidRPr="005A1CAE">
        <w:rPr>
          <w:noProof/>
          <w:color w:val="000000" w:themeColor="text1"/>
        </w:rPr>
        <w:t xml:space="preserve"> zamknięcia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ost</w:t>
      </w:r>
      <w:r w:rsidRPr="005A1CAE">
        <w:rPr>
          <w:noProof/>
          <w:color w:val="000000" w:themeColor="text1"/>
        </w:rPr>
        <w:t>atnim tygodniu,</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któ</w:t>
      </w:r>
      <w:r w:rsidRPr="005A1CAE">
        <w:rPr>
          <w:noProof/>
          <w:color w:val="000000" w:themeColor="text1"/>
        </w:rPr>
        <w:t>rym na platformie aukcyjnej odbyło się kilka aukcji.”;</w:t>
      </w:r>
    </w:p>
    <w:p w14:paraId="074663BC" w14:textId="41B9A05F" w:rsidR="002951B5" w:rsidRPr="005A1CAE" w:rsidRDefault="00874ACF" w:rsidP="00874ACF">
      <w:pPr>
        <w:pStyle w:val="Point1"/>
        <w:rPr>
          <w:noProof/>
        </w:rPr>
      </w:pPr>
      <w:r w:rsidRPr="005A1CAE">
        <w:rPr>
          <w:noProof/>
        </w:rPr>
        <w:t>b)</w:t>
      </w:r>
      <w:r w:rsidRPr="005A1CAE">
        <w:rPr>
          <w:noProof/>
        </w:rPr>
        <w:tab/>
        <w:t>ust.</w:t>
      </w:r>
      <w:r w:rsidR="005A1CAE" w:rsidRPr="005A1CAE">
        <w:rPr>
          <w:noProof/>
        </w:rPr>
        <w:t> </w:t>
      </w:r>
      <w:r w:rsidRPr="005A1CAE">
        <w:rPr>
          <w:noProof/>
        </w:rPr>
        <w:t>2 zdanie pierwsze otrzymuje brzmienie:</w:t>
      </w:r>
    </w:p>
    <w:p w14:paraId="326CCD42" w14:textId="676C2C3B" w:rsidR="00AD13AB" w:rsidRPr="005A1CAE" w:rsidRDefault="00AD13AB" w:rsidP="00AD13AB">
      <w:pPr>
        <w:ind w:left="850"/>
        <w:rPr>
          <w:noProof/>
          <w:color w:val="000000" w:themeColor="text1"/>
        </w:rPr>
      </w:pPr>
      <w:r w:rsidRPr="005A1CAE">
        <w:rPr>
          <w:noProof/>
          <w:color w:val="000000" w:themeColor="text1"/>
        </w:rPr>
        <w:t>„Komisja publikuje cenę certyfikatów CBAM na swojej stronie internetowej lub</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inn</w:t>
      </w:r>
      <w:r w:rsidRPr="005A1CAE">
        <w:rPr>
          <w:noProof/>
          <w:color w:val="000000" w:themeColor="text1"/>
        </w:rPr>
        <w:t>y odpowiedni sposób</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pie</w:t>
      </w:r>
      <w:r w:rsidRPr="005A1CAE">
        <w:rPr>
          <w:noProof/>
          <w:color w:val="000000" w:themeColor="text1"/>
        </w:rPr>
        <w:t>rwszym dniu roboczym kolejnego tygodnia kalendarzowego.”;</w:t>
      </w:r>
    </w:p>
    <w:p w14:paraId="130B2C07" w14:textId="13E57DFA" w:rsidR="001306A7" w:rsidRPr="005A1CAE" w:rsidRDefault="00874ACF" w:rsidP="00874ACF">
      <w:pPr>
        <w:pStyle w:val="Point0"/>
        <w:rPr>
          <w:noProof/>
          <w:color w:val="000000" w:themeColor="text1"/>
        </w:rPr>
      </w:pPr>
      <w:r w:rsidRPr="005A1CAE">
        <w:rPr>
          <w:noProof/>
        </w:rPr>
        <w:t>13.</w:t>
      </w:r>
      <w:r w:rsidRPr="005A1CAE">
        <w:rPr>
          <w:noProof/>
        </w:rPr>
        <w:tab/>
        <w:t>w art.</w:t>
      </w:r>
      <w:r w:rsidR="005A1CAE" w:rsidRPr="005A1CAE">
        <w:rPr>
          <w:noProof/>
        </w:rPr>
        <w:t> </w:t>
      </w:r>
      <w:r w:rsidRPr="005A1CAE">
        <w:rPr>
          <w:noProof/>
        </w:rPr>
        <w:t>22 ust.</w:t>
      </w:r>
      <w:r w:rsidR="005A1CAE" w:rsidRPr="005A1CAE">
        <w:rPr>
          <w:noProof/>
        </w:rPr>
        <w:t> </w:t>
      </w:r>
      <w:r w:rsidRPr="005A1CAE">
        <w:rPr>
          <w:noProof/>
        </w:rPr>
        <w:t>2 dodaje się akapit</w:t>
      </w:r>
      <w:r w:rsidR="005A1CAE" w:rsidRPr="005A1CAE">
        <w:rPr>
          <w:noProof/>
        </w:rPr>
        <w:t xml:space="preserve"> w</w:t>
      </w:r>
      <w:r w:rsidR="005A1CAE">
        <w:rPr>
          <w:noProof/>
        </w:rPr>
        <w:t> </w:t>
      </w:r>
      <w:r w:rsidR="005A1CAE" w:rsidRPr="005A1CAE">
        <w:rPr>
          <w:noProof/>
        </w:rPr>
        <w:t>brz</w:t>
      </w:r>
      <w:r w:rsidRPr="005A1CAE">
        <w:rPr>
          <w:noProof/>
        </w:rPr>
        <w:t>mieniu:</w:t>
      </w:r>
    </w:p>
    <w:p w14:paraId="2EA4D439" w14:textId="3667FD41" w:rsidR="00EE6192" w:rsidRPr="005A1CAE" w:rsidRDefault="001C50DD" w:rsidP="00CA3766">
      <w:pPr>
        <w:ind w:left="720"/>
        <w:rPr>
          <w:noProof/>
          <w:color w:val="000000" w:themeColor="text1"/>
        </w:rPr>
      </w:pPr>
      <w:r w:rsidRPr="005A1CAE">
        <w:rPr>
          <w:noProof/>
          <w:color w:val="000000" w:themeColor="text1"/>
        </w:rPr>
        <w:t>„Od 2028</w:t>
      </w:r>
      <w:r w:rsidR="005A1CAE" w:rsidRPr="005A1CAE">
        <w:rPr>
          <w:noProof/>
          <w:color w:val="000000" w:themeColor="text1"/>
        </w:rPr>
        <w:t> </w:t>
      </w:r>
      <w:r w:rsidRPr="005A1CAE">
        <w:rPr>
          <w:noProof/>
          <w:color w:val="000000" w:themeColor="text1"/>
        </w:rPr>
        <w:t>r. obliczenia,</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rych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aka</w:t>
      </w:r>
      <w:r w:rsidRPr="005A1CAE">
        <w:rPr>
          <w:noProof/>
          <w:color w:val="000000" w:themeColor="text1"/>
        </w:rPr>
        <w:t>picie pierwszym, opierają się wyłącznie na certyfikatach CBAM zakupionych przez upoważnionego zgłaszającego CBAM</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tym</w:t>
      </w:r>
      <w:r w:rsidRPr="005A1CAE">
        <w:rPr>
          <w:noProof/>
          <w:color w:val="000000" w:themeColor="text1"/>
        </w:rPr>
        <w:t xml:space="preserve"> samym roku.”;</w:t>
      </w:r>
    </w:p>
    <w:p w14:paraId="046E53B8" w14:textId="7BE770DF" w:rsidR="00654F6D" w:rsidRPr="005A1CAE" w:rsidRDefault="00874ACF" w:rsidP="00874ACF">
      <w:pPr>
        <w:pStyle w:val="Point0"/>
        <w:rPr>
          <w:noProof/>
        </w:rPr>
      </w:pPr>
      <w:r w:rsidRPr="005A1CAE">
        <w:rPr>
          <w:noProof/>
        </w:rPr>
        <w:t>14.</w:t>
      </w:r>
      <w:r w:rsidRPr="005A1CAE">
        <w:rPr>
          <w:noProof/>
        </w:rPr>
        <w:tab/>
        <w:t>art.</w:t>
      </w:r>
      <w:r w:rsidR="005A1CAE" w:rsidRPr="005A1CAE">
        <w:rPr>
          <w:noProof/>
        </w:rPr>
        <w:t> </w:t>
      </w:r>
      <w:r w:rsidRPr="005A1CAE">
        <w:rPr>
          <w:noProof/>
        </w:rPr>
        <w:t>23 ust.</w:t>
      </w:r>
      <w:r w:rsidR="005A1CAE" w:rsidRPr="005A1CAE">
        <w:rPr>
          <w:noProof/>
        </w:rPr>
        <w:t> </w:t>
      </w:r>
      <w:r w:rsidRPr="005A1CAE">
        <w:rPr>
          <w:noProof/>
        </w:rPr>
        <w:t>1 akapit drugi zdanie pierwsze otrzymuje brzmienie:</w:t>
      </w:r>
    </w:p>
    <w:p w14:paraId="178E787D" w14:textId="1F3219DB" w:rsidR="005A75CE" w:rsidRPr="005A1CAE" w:rsidRDefault="005A75CE" w:rsidP="005A75CE">
      <w:pPr>
        <w:ind w:left="720"/>
        <w:rPr>
          <w:noProof/>
          <w:color w:val="000000" w:themeColor="text1"/>
        </w:rPr>
      </w:pPr>
      <w:r w:rsidRPr="005A1CAE">
        <w:rPr>
          <w:noProof/>
          <w:color w:val="000000" w:themeColor="text1"/>
        </w:rPr>
        <w:t>„Nadwyżkowe certyfikaty CBAM podlegają odkupowi za pośrednictwem wspólnej centralnej platformy,</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któ</w:t>
      </w:r>
      <w:r w:rsidRPr="005A1CAE">
        <w:rPr>
          <w:noProof/>
          <w:color w:val="000000" w:themeColor="text1"/>
        </w:rPr>
        <w:t>rej mowa</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20.”;</w:t>
      </w:r>
    </w:p>
    <w:p w14:paraId="4FB10131" w14:textId="1F799A87" w:rsidR="00020F89" w:rsidRPr="005A1CAE" w:rsidRDefault="00874ACF" w:rsidP="00874ACF">
      <w:pPr>
        <w:pStyle w:val="Point0"/>
        <w:rPr>
          <w:noProof/>
          <w:color w:val="000000" w:themeColor="text1"/>
        </w:rPr>
      </w:pPr>
      <w:bookmarkStart w:id="3" w:name="_Hlk215566183"/>
      <w:r w:rsidRPr="005A1CAE">
        <w:rPr>
          <w:noProof/>
        </w:rPr>
        <w:t>15.</w:t>
      </w:r>
      <w:r w:rsidRPr="005A1CAE">
        <w:rPr>
          <w:noProof/>
        </w:rPr>
        <w:tab/>
        <w:t>w art.</w:t>
      </w:r>
      <w:r w:rsidR="005A1CAE" w:rsidRPr="005A1CAE">
        <w:rPr>
          <w:noProof/>
        </w:rPr>
        <w:t> </w:t>
      </w:r>
      <w:r w:rsidRPr="005A1CAE">
        <w:rPr>
          <w:noProof/>
        </w:rPr>
        <w:t>25 wprowadza się następujące zmiany:</w:t>
      </w:r>
    </w:p>
    <w:p w14:paraId="54878DF7" w14:textId="3C85E0C4" w:rsidR="00087790" w:rsidRPr="005A1CAE" w:rsidRDefault="00874ACF" w:rsidP="00874ACF">
      <w:pPr>
        <w:pStyle w:val="Point1"/>
        <w:rPr>
          <w:noProof/>
          <w:color w:val="000000" w:themeColor="text1"/>
        </w:rPr>
      </w:pPr>
      <w:r w:rsidRPr="005A1CAE">
        <w:rPr>
          <w:noProof/>
        </w:rPr>
        <w:t>a)</w:t>
      </w:r>
      <w:r w:rsidRPr="005A1CAE">
        <w:rPr>
          <w:noProof/>
        </w:rPr>
        <w:tab/>
        <w:t>ust.</w:t>
      </w:r>
      <w:r w:rsidR="005A1CAE" w:rsidRPr="005A1CAE">
        <w:rPr>
          <w:noProof/>
        </w:rPr>
        <w:t> </w:t>
      </w:r>
      <w:r w:rsidRPr="005A1CAE">
        <w:rPr>
          <w:noProof/>
        </w:rPr>
        <w:t>2 otrzymuje brzmienie:</w:t>
      </w:r>
    </w:p>
    <w:p w14:paraId="6F5E1C69" w14:textId="5255CFEF" w:rsidR="00020F89" w:rsidRPr="005A1CAE" w:rsidRDefault="00020F89" w:rsidP="00020F89">
      <w:pPr>
        <w:ind w:left="720"/>
        <w:rPr>
          <w:noProof/>
          <w:color w:val="000000" w:themeColor="text1"/>
        </w:rPr>
      </w:pPr>
      <w:r w:rsidRPr="005A1CAE">
        <w:rPr>
          <w:noProof/>
          <w:color w:val="000000" w:themeColor="text1"/>
        </w:rPr>
        <w:t>„2. Organy celne okresowo</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aut</w:t>
      </w:r>
      <w:r w:rsidRPr="005A1CAE">
        <w:rPr>
          <w:noProof/>
          <w:color w:val="000000" w:themeColor="text1"/>
        </w:rPr>
        <w:t>omatycznie,</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szc</w:t>
      </w:r>
      <w:r w:rsidRPr="005A1CAE">
        <w:rPr>
          <w:noProof/>
          <w:color w:val="000000" w:themeColor="text1"/>
        </w:rPr>
        <w:t>zególności za pomocą mechanizmu nadzoru ustanowionego na podstawie art. 56 ust. 5 rozporządzenia (UE) nr 952/2013, przekazują Komisji szczegółowe informacje na temat towarów zgłoszonych do przywozu. Informacje te obejmują numer EORI lub inne dane identyfikacyjne – zadeklarowane zgodnie</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art</w:t>
      </w:r>
      <w:r w:rsidRPr="005A1CAE">
        <w:rPr>
          <w:noProof/>
          <w:color w:val="000000" w:themeColor="text1"/>
        </w:rPr>
        <w:t>.</w:t>
      </w:r>
      <w:r w:rsidR="005A1CAE" w:rsidRPr="005A1CAE">
        <w:rPr>
          <w:noProof/>
          <w:color w:val="000000" w:themeColor="text1"/>
        </w:rPr>
        <w:t> </w:t>
      </w:r>
      <w:r w:rsidRPr="005A1CAE">
        <w:rPr>
          <w:noProof/>
          <w:color w:val="000000" w:themeColor="text1"/>
        </w:rPr>
        <w:t>6 ust.</w:t>
      </w:r>
      <w:r w:rsidR="005A1CAE" w:rsidRPr="005A1CAE">
        <w:rPr>
          <w:noProof/>
          <w:color w:val="000000" w:themeColor="text1"/>
        </w:rPr>
        <w:t> </w:t>
      </w:r>
      <w:r w:rsidRPr="005A1CAE">
        <w:rPr>
          <w:noProof/>
          <w:color w:val="000000" w:themeColor="text1"/>
        </w:rPr>
        <w:t>2 rozporządzenia delegowanego (UE) 2015/2446 – importera lub upoważnionego zgłaszającego CBAM,</w:t>
      </w:r>
      <w:r w:rsidR="005A1CAE" w:rsidRPr="005A1CAE">
        <w:rPr>
          <w:noProof/>
          <w:color w:val="000000" w:themeColor="text1"/>
        </w:rPr>
        <w:t xml:space="preserve"> a</w:t>
      </w:r>
      <w:r w:rsidR="005A1CAE">
        <w:rPr>
          <w:noProof/>
          <w:color w:val="000000" w:themeColor="text1"/>
        </w:rPr>
        <w:t> </w:t>
      </w:r>
      <w:r w:rsidR="005A1CAE" w:rsidRPr="005A1CAE">
        <w:rPr>
          <w:noProof/>
          <w:color w:val="000000" w:themeColor="text1"/>
        </w:rPr>
        <w:t>tak</w:t>
      </w:r>
      <w:r w:rsidRPr="005A1CAE">
        <w:rPr>
          <w:noProof/>
          <w:color w:val="000000" w:themeColor="text1"/>
        </w:rPr>
        <w:t>że numer rachunku CBAM upoważnionego zgłaszającego CBAM, ośmiocyfrowy kod CN towarów, ilość, państwo pochodzenia, datę zgłoszenia celnego</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pro</w:t>
      </w:r>
      <w:r w:rsidRPr="005A1CAE">
        <w:rPr>
          <w:noProof/>
          <w:color w:val="000000" w:themeColor="text1"/>
        </w:rPr>
        <w:t>cedurę celną,</w:t>
      </w:r>
      <w:r w:rsidR="005A1CAE" w:rsidRPr="005A1CAE">
        <w:rPr>
          <w:noProof/>
          <w:color w:val="000000" w:themeColor="text1"/>
        </w:rPr>
        <w:t xml:space="preserve"> a</w:t>
      </w:r>
      <w:r w:rsidR="005A1CAE">
        <w:rPr>
          <w:noProof/>
          <w:color w:val="000000" w:themeColor="text1"/>
        </w:rPr>
        <w:t> </w:t>
      </w:r>
      <w:r w:rsidR="005A1CAE" w:rsidRPr="005A1CAE">
        <w:rPr>
          <w:noProof/>
          <w:color w:val="000000" w:themeColor="text1"/>
        </w:rPr>
        <w:t>tak</w:t>
      </w:r>
      <w:r w:rsidRPr="005A1CAE">
        <w:rPr>
          <w:noProof/>
          <w:color w:val="000000" w:themeColor="text1"/>
        </w:rPr>
        <w:t>że wszelkie inne dane istotne dla zgodności</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nin</w:t>
      </w:r>
      <w:r w:rsidRPr="005A1CAE">
        <w:rPr>
          <w:noProof/>
          <w:color w:val="000000" w:themeColor="text1"/>
        </w:rPr>
        <w:t>iejszym rozporządzeniem,</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tym</w:t>
      </w:r>
      <w:r w:rsidRPr="005A1CAE">
        <w:rPr>
          <w:noProof/>
          <w:color w:val="000000" w:themeColor="text1"/>
        </w:rPr>
        <w:t>,</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sto</w:t>
      </w:r>
      <w:r w:rsidRPr="005A1CAE">
        <w:rPr>
          <w:noProof/>
          <w:color w:val="000000" w:themeColor="text1"/>
        </w:rPr>
        <w:t>sownych przypadkach, rozliczenie zamknięcia, zgłoszenia do powrotnego wywozu</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rów</w:t>
      </w:r>
      <w:r w:rsidRPr="005A1CAE">
        <w:rPr>
          <w:noProof/>
          <w:color w:val="000000" w:themeColor="text1"/>
        </w:rPr>
        <w:t>noważne dokumenty celne</w:t>
      </w:r>
      <w:r w:rsidR="005A1CAE" w:rsidRPr="005A1CAE">
        <w:rPr>
          <w:noProof/>
          <w:color w:val="000000" w:themeColor="text1"/>
        </w:rPr>
        <w:t>. W</w:t>
      </w:r>
      <w:r w:rsidR="005A1CAE">
        <w:rPr>
          <w:noProof/>
          <w:color w:val="000000" w:themeColor="text1"/>
        </w:rPr>
        <w:t> </w:t>
      </w:r>
      <w:r w:rsidR="005A1CAE" w:rsidRPr="005A1CAE">
        <w:rPr>
          <w:noProof/>
          <w:color w:val="000000" w:themeColor="text1"/>
        </w:rPr>
        <w:t>prz</w:t>
      </w:r>
      <w:r w:rsidRPr="005A1CAE">
        <w:rPr>
          <w:noProof/>
          <w:color w:val="000000" w:themeColor="text1"/>
        </w:rPr>
        <w:t>ypadku gdy importer nie ma numeru EORI, organy celne przekazują Komisji również nazwę, adres oraz, jeżeli są dostępne, dane kontaktowe importera.</w:t>
      </w:r>
    </w:p>
    <w:p w14:paraId="0874E6A1" w14:textId="60ABCFA6" w:rsidR="00D9067F" w:rsidRPr="005A1CAE" w:rsidRDefault="00D9067F" w:rsidP="00020F89">
      <w:pPr>
        <w:ind w:left="720"/>
        <w:rPr>
          <w:noProof/>
          <w:color w:val="000000" w:themeColor="text1"/>
        </w:rPr>
      </w:pPr>
      <w:r w:rsidRPr="005A1CAE">
        <w:rPr>
          <w:noProof/>
          <w:color w:val="000000" w:themeColor="text1"/>
        </w:rPr>
        <w:t>Numer rachunku CBAM podany</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zgł</w:t>
      </w:r>
      <w:r w:rsidRPr="005A1CAE">
        <w:rPr>
          <w:noProof/>
          <w:color w:val="000000" w:themeColor="text1"/>
        </w:rPr>
        <w:t>oszeniu celnym lub innym odpowiednim dokumencie przy zgłaszaniu towarów wymienionych</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zał</w:t>
      </w:r>
      <w:r w:rsidRPr="005A1CAE">
        <w:rPr>
          <w:noProof/>
          <w:color w:val="000000" w:themeColor="text1"/>
        </w:rPr>
        <w:t>ączniku I lub produktów przetworzonych uzyskanych</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tak</w:t>
      </w:r>
      <w:r w:rsidRPr="005A1CAE">
        <w:rPr>
          <w:noProof/>
          <w:color w:val="000000" w:themeColor="text1"/>
        </w:rPr>
        <w:t>ich towarów do przywozu określa upoważnionego zgłaszającego CBAM wypełniającego obowiązki określone</w:t>
      </w:r>
      <w:r w:rsidR="005A1CAE" w:rsidRPr="005A1CAE">
        <w:rPr>
          <w:noProof/>
          <w:color w:val="000000" w:themeColor="text1"/>
        </w:rPr>
        <w:t xml:space="preserve"> w</w:t>
      </w:r>
      <w:r w:rsidR="005A1CAE">
        <w:rPr>
          <w:noProof/>
          <w:color w:val="000000" w:themeColor="text1"/>
        </w:rPr>
        <w:t> </w:t>
      </w:r>
      <w:r w:rsidR="005A1CAE" w:rsidRPr="005A1CAE">
        <w:rPr>
          <w:noProof/>
          <w:color w:val="000000" w:themeColor="text1"/>
        </w:rPr>
        <w:t>nin</w:t>
      </w:r>
      <w:r w:rsidRPr="005A1CAE">
        <w:rPr>
          <w:noProof/>
          <w:color w:val="000000" w:themeColor="text1"/>
        </w:rPr>
        <w:t>iejszym rozporządzeniu.”;</w:t>
      </w:r>
    </w:p>
    <w:p w14:paraId="07C052FB" w14:textId="3C55A5A1" w:rsidR="00114302" w:rsidRPr="005A1CAE" w:rsidRDefault="00874ACF" w:rsidP="00874ACF">
      <w:pPr>
        <w:pStyle w:val="Point1"/>
        <w:rPr>
          <w:noProof/>
          <w:color w:val="000000" w:themeColor="text1"/>
        </w:rPr>
      </w:pPr>
      <w:r w:rsidRPr="005A1CAE">
        <w:rPr>
          <w:noProof/>
        </w:rPr>
        <w:t>b)</w:t>
      </w:r>
      <w:r w:rsidRPr="005A1CAE">
        <w:rPr>
          <w:noProof/>
        </w:rPr>
        <w:tab/>
        <w:t>w ust.</w:t>
      </w:r>
      <w:r w:rsidR="005A1CAE" w:rsidRPr="005A1CAE">
        <w:rPr>
          <w:noProof/>
        </w:rPr>
        <w:t> </w:t>
      </w:r>
      <w:r w:rsidRPr="005A1CAE">
        <w:rPr>
          <w:noProof/>
        </w:rPr>
        <w:t>3 dodaje się akapit</w:t>
      </w:r>
      <w:r w:rsidR="005A1CAE" w:rsidRPr="005A1CAE">
        <w:rPr>
          <w:noProof/>
        </w:rPr>
        <w:t xml:space="preserve"> w</w:t>
      </w:r>
      <w:r w:rsidR="005A1CAE">
        <w:rPr>
          <w:noProof/>
        </w:rPr>
        <w:t> </w:t>
      </w:r>
      <w:r w:rsidR="005A1CAE" w:rsidRPr="005A1CAE">
        <w:rPr>
          <w:noProof/>
        </w:rPr>
        <w:t>brz</w:t>
      </w:r>
      <w:r w:rsidRPr="005A1CAE">
        <w:rPr>
          <w:noProof/>
        </w:rPr>
        <w:t>mieniu:</w:t>
      </w:r>
    </w:p>
    <w:p w14:paraId="783C2C44" w14:textId="6C8352C8" w:rsidR="00114302" w:rsidRPr="005A1CAE" w:rsidRDefault="00114302" w:rsidP="00D5610F">
      <w:pPr>
        <w:ind w:left="720"/>
        <w:rPr>
          <w:noProof/>
          <w:color w:val="000000" w:themeColor="text1"/>
        </w:rPr>
      </w:pPr>
      <w:r w:rsidRPr="005A1CAE">
        <w:rPr>
          <w:noProof/>
          <w:color w:val="000000" w:themeColor="text1"/>
        </w:rPr>
        <w:lastRenderedPageBreak/>
        <w:t>„W przypadku gdy właściwy organ uzna, że informacje są nieprawidłowe lub niedokładne, może zwrócić się do organów celnych lub Komisji</w:t>
      </w:r>
      <w:r w:rsidR="005A1CAE" w:rsidRPr="005A1CAE">
        <w:rPr>
          <w:noProof/>
          <w:color w:val="000000" w:themeColor="text1"/>
        </w:rPr>
        <w:t xml:space="preserve"> o</w:t>
      </w:r>
      <w:r w:rsidR="005A1CAE">
        <w:rPr>
          <w:noProof/>
          <w:color w:val="000000" w:themeColor="text1"/>
        </w:rPr>
        <w:t> </w:t>
      </w:r>
      <w:r w:rsidR="005A1CAE" w:rsidRPr="005A1CAE">
        <w:rPr>
          <w:noProof/>
          <w:color w:val="000000" w:themeColor="text1"/>
        </w:rPr>
        <w:t>spr</w:t>
      </w:r>
      <w:r w:rsidRPr="005A1CAE">
        <w:rPr>
          <w:noProof/>
          <w:color w:val="000000" w:themeColor="text1"/>
        </w:rPr>
        <w:t>awdzenie poprawności lub dokładności tych informacji.”;</w:t>
      </w:r>
    </w:p>
    <w:p w14:paraId="377B18AD" w14:textId="3AFCA894" w:rsidR="04FDACBE" w:rsidRPr="005A1CAE" w:rsidRDefault="00874ACF" w:rsidP="00874ACF">
      <w:pPr>
        <w:pStyle w:val="Point1"/>
        <w:rPr>
          <w:noProof/>
        </w:rPr>
      </w:pPr>
      <w:r w:rsidRPr="005A1CAE">
        <w:rPr>
          <w:noProof/>
        </w:rPr>
        <w:t>c)</w:t>
      </w:r>
      <w:r w:rsidRPr="005A1CAE">
        <w:rPr>
          <w:noProof/>
        </w:rPr>
        <w:tab/>
        <w:t>ust.</w:t>
      </w:r>
      <w:r w:rsidR="005A1CAE" w:rsidRPr="005A1CAE">
        <w:rPr>
          <w:noProof/>
        </w:rPr>
        <w:t> </w:t>
      </w:r>
      <w:r w:rsidRPr="005A1CAE">
        <w:rPr>
          <w:noProof/>
        </w:rPr>
        <w:t xml:space="preserve">6 zdanie pierwsze otrzymuje brzmienie: </w:t>
      </w:r>
    </w:p>
    <w:p w14:paraId="086E74F3" w14:textId="3AFB8BDF" w:rsidR="47BECC00" w:rsidRPr="005A1CAE" w:rsidRDefault="000145D8" w:rsidP="47BECC00">
      <w:pPr>
        <w:ind w:left="720"/>
        <w:rPr>
          <w:noProof/>
          <w:color w:val="000000" w:themeColor="text1"/>
        </w:rPr>
      </w:pPr>
      <w:r>
        <w:rPr>
          <w:noProof/>
          <w:color w:val="000000" w:themeColor="text1"/>
        </w:rPr>
        <w:t>„</w:t>
      </w:r>
      <w:r w:rsidR="19B6EEA1" w:rsidRPr="005A1CAE">
        <w:rPr>
          <w:noProof/>
          <w:color w:val="000000" w:themeColor="text1"/>
        </w:rPr>
        <w:t>Komisja jest uprawniona do przyjęcia aktów wykonawczych określających zakres informacji oraz częstotliwość, harmonogram</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śro</w:t>
      </w:r>
      <w:r w:rsidR="19B6EEA1" w:rsidRPr="005A1CAE">
        <w:rPr>
          <w:noProof/>
          <w:color w:val="000000" w:themeColor="text1"/>
        </w:rPr>
        <w:t>dki przekazywania tych informacji na podstawie ust. 2</w:t>
      </w:r>
      <w:r w:rsidR="005A1CAE" w:rsidRPr="005A1CAE">
        <w:rPr>
          <w:noProof/>
          <w:color w:val="000000" w:themeColor="text1"/>
        </w:rPr>
        <w:t xml:space="preserve"> i</w:t>
      </w:r>
      <w:r w:rsidR="005A1CAE">
        <w:rPr>
          <w:noProof/>
          <w:color w:val="000000" w:themeColor="text1"/>
        </w:rPr>
        <w:t> </w:t>
      </w:r>
      <w:r w:rsidR="005A1CAE" w:rsidRPr="005A1CAE">
        <w:rPr>
          <w:noProof/>
          <w:color w:val="000000" w:themeColor="text1"/>
        </w:rPr>
        <w:t>3</w:t>
      </w:r>
      <w:r w:rsidR="19B6EEA1" w:rsidRPr="005A1CAE">
        <w:rPr>
          <w:noProof/>
          <w:color w:val="000000" w:themeColor="text1"/>
        </w:rPr>
        <w:t xml:space="preserve"> niniejszego artykułu.”;</w:t>
      </w:r>
    </w:p>
    <w:p w14:paraId="1089486D" w14:textId="7BB9207E" w:rsidR="003C1789" w:rsidRPr="005A1CAE" w:rsidRDefault="00874ACF" w:rsidP="00874ACF">
      <w:pPr>
        <w:pStyle w:val="Point1"/>
        <w:rPr>
          <w:noProof/>
        </w:rPr>
      </w:pPr>
      <w:r w:rsidRPr="005A1CAE">
        <w:rPr>
          <w:noProof/>
        </w:rPr>
        <w:t>d)</w:t>
      </w:r>
      <w:r w:rsidRPr="005A1CAE">
        <w:rPr>
          <w:noProof/>
        </w:rPr>
        <w:tab/>
        <w:t>dodaje się ust.</w:t>
      </w:r>
      <w:r w:rsidR="005A1CAE" w:rsidRPr="005A1CAE">
        <w:rPr>
          <w:noProof/>
        </w:rPr>
        <w:t> </w:t>
      </w:r>
      <w:r w:rsidRPr="005A1CAE">
        <w:rPr>
          <w:noProof/>
        </w:rPr>
        <w:t>7</w:t>
      </w:r>
      <w:r w:rsidR="005A1CAE" w:rsidRPr="005A1CAE">
        <w:rPr>
          <w:noProof/>
        </w:rPr>
        <w:t xml:space="preserve"> w</w:t>
      </w:r>
      <w:r w:rsidR="005A1CAE">
        <w:rPr>
          <w:noProof/>
        </w:rPr>
        <w:t> </w:t>
      </w:r>
      <w:r w:rsidR="005A1CAE" w:rsidRPr="005A1CAE">
        <w:rPr>
          <w:noProof/>
        </w:rPr>
        <w:t>brz</w:t>
      </w:r>
      <w:r w:rsidRPr="005A1CAE">
        <w:rPr>
          <w:noProof/>
        </w:rPr>
        <w:t>mieniu:</w:t>
      </w:r>
    </w:p>
    <w:p w14:paraId="7DAC2F46" w14:textId="0CA4B450" w:rsidR="00284890" w:rsidRPr="005A1CAE" w:rsidRDefault="00284890" w:rsidP="00284890">
      <w:pPr>
        <w:ind w:left="720"/>
        <w:rPr>
          <w:noProof/>
        </w:rPr>
      </w:pPr>
      <w:r w:rsidRPr="005A1CAE">
        <w:rPr>
          <w:noProof/>
        </w:rPr>
        <w:t>„7. Komisja jest uprawniona do przyjęcia aktów wykonawczych określających skład materiałowy</w:t>
      </w:r>
      <w:r w:rsidR="005A1CAE" w:rsidRPr="005A1CAE">
        <w:rPr>
          <w:noProof/>
        </w:rPr>
        <w:t xml:space="preserve"> i</w:t>
      </w:r>
      <w:r w:rsidR="005A1CAE">
        <w:rPr>
          <w:noProof/>
        </w:rPr>
        <w:t> </w:t>
      </w:r>
      <w:r w:rsidR="005A1CAE" w:rsidRPr="005A1CAE">
        <w:rPr>
          <w:noProof/>
        </w:rPr>
        <w:t>che</w:t>
      </w:r>
      <w:r w:rsidRPr="005A1CAE">
        <w:rPr>
          <w:noProof/>
        </w:rPr>
        <w:t>miczny towarów wymienionych</w:t>
      </w:r>
      <w:r w:rsidR="005A1CAE" w:rsidRPr="005A1CAE">
        <w:rPr>
          <w:noProof/>
        </w:rPr>
        <w:t xml:space="preserve"> w</w:t>
      </w:r>
      <w:r w:rsidR="005A1CAE">
        <w:rPr>
          <w:noProof/>
        </w:rPr>
        <w:t> </w:t>
      </w:r>
      <w:r w:rsidR="005A1CAE" w:rsidRPr="005A1CAE">
        <w:rPr>
          <w:noProof/>
        </w:rPr>
        <w:t>zał</w:t>
      </w:r>
      <w:r w:rsidRPr="005A1CAE">
        <w:rPr>
          <w:noProof/>
        </w:rPr>
        <w:t>ączniku I. Te akty wykonawcze przyjmuje się zgodnie</w:t>
      </w:r>
      <w:r w:rsidR="005A1CAE" w:rsidRPr="005A1CAE">
        <w:rPr>
          <w:noProof/>
        </w:rPr>
        <w:t xml:space="preserve"> z</w:t>
      </w:r>
      <w:r w:rsidR="005A1CAE">
        <w:rPr>
          <w:noProof/>
        </w:rPr>
        <w:t> </w:t>
      </w:r>
      <w:r w:rsidR="005A1CAE" w:rsidRPr="005A1CAE">
        <w:rPr>
          <w:noProof/>
        </w:rPr>
        <w:t>pro</w:t>
      </w:r>
      <w:r w:rsidRPr="005A1CAE">
        <w:rPr>
          <w:noProof/>
        </w:rPr>
        <w:t>cedurą sprawdzającą,</w:t>
      </w:r>
      <w:r w:rsidR="005A1CAE" w:rsidRPr="005A1CAE">
        <w:rPr>
          <w:noProof/>
        </w:rPr>
        <w:t xml:space="preserve"> o</w:t>
      </w:r>
      <w:r w:rsidR="005A1CAE">
        <w:rPr>
          <w:noProof/>
        </w:rPr>
        <w:t> </w:t>
      </w:r>
      <w:r w:rsidR="005A1CAE" w:rsidRPr="005A1CAE">
        <w:rPr>
          <w:noProof/>
        </w:rPr>
        <w:t>któ</w:t>
      </w:r>
      <w:r w:rsidRPr="005A1CAE">
        <w:rPr>
          <w:noProof/>
        </w:rPr>
        <w:t>rej mowa</w:t>
      </w:r>
      <w:r w:rsidR="005A1CAE" w:rsidRPr="005A1CAE">
        <w:rPr>
          <w:noProof/>
        </w:rPr>
        <w:t xml:space="preserve"> w</w:t>
      </w:r>
      <w:r w:rsidR="005A1CAE">
        <w:rPr>
          <w:noProof/>
        </w:rPr>
        <w:t> </w:t>
      </w:r>
      <w:r w:rsidR="005A1CAE" w:rsidRPr="005A1CAE">
        <w:rPr>
          <w:noProof/>
        </w:rPr>
        <w:t>art</w:t>
      </w:r>
      <w:r w:rsidRPr="005A1CAE">
        <w:rPr>
          <w:noProof/>
        </w:rPr>
        <w:t>. 29 ust. 2.”;</w:t>
      </w:r>
    </w:p>
    <w:p w14:paraId="519E7AAD" w14:textId="5BF9B936" w:rsidR="00CF4EE6" w:rsidRPr="005A1CAE" w:rsidRDefault="00874ACF" w:rsidP="00874ACF">
      <w:pPr>
        <w:pStyle w:val="Point0"/>
        <w:rPr>
          <w:noProof/>
        </w:rPr>
      </w:pPr>
      <w:bookmarkStart w:id="4" w:name="_Hlk215251149"/>
      <w:bookmarkEnd w:id="3"/>
      <w:r w:rsidRPr="005A1CAE">
        <w:rPr>
          <w:noProof/>
        </w:rPr>
        <w:t>16.</w:t>
      </w:r>
      <w:r w:rsidRPr="005A1CAE">
        <w:rPr>
          <w:noProof/>
        </w:rPr>
        <w:tab/>
        <w:t>w art.</w:t>
      </w:r>
      <w:r w:rsidR="005A1CAE" w:rsidRPr="005A1CAE">
        <w:rPr>
          <w:noProof/>
        </w:rPr>
        <w:t> </w:t>
      </w:r>
      <w:r w:rsidRPr="005A1CAE">
        <w:rPr>
          <w:noProof/>
        </w:rPr>
        <w:t>27 ust.</w:t>
      </w:r>
      <w:r w:rsidR="005A1CAE" w:rsidRPr="005A1CAE">
        <w:rPr>
          <w:noProof/>
        </w:rPr>
        <w:t> </w:t>
      </w:r>
      <w:r w:rsidRPr="005A1CAE">
        <w:rPr>
          <w:noProof/>
        </w:rPr>
        <w:t>2 dodaje się lit.</w:t>
      </w:r>
      <w:r w:rsidR="005A1CAE" w:rsidRPr="005A1CAE">
        <w:rPr>
          <w:noProof/>
        </w:rPr>
        <w:t> </w:t>
      </w:r>
      <w:r w:rsidRPr="005A1CAE">
        <w:rPr>
          <w:noProof/>
        </w:rPr>
        <w:t>c)</w:t>
      </w:r>
      <w:r w:rsidR="005A1CAE" w:rsidRPr="005A1CAE">
        <w:rPr>
          <w:noProof/>
        </w:rPr>
        <w:t xml:space="preserve"> w</w:t>
      </w:r>
      <w:r w:rsidR="005A1CAE">
        <w:rPr>
          <w:noProof/>
        </w:rPr>
        <w:t> </w:t>
      </w:r>
      <w:r w:rsidR="005A1CAE" w:rsidRPr="005A1CAE">
        <w:rPr>
          <w:noProof/>
        </w:rPr>
        <w:t>brz</w:t>
      </w:r>
      <w:r w:rsidRPr="005A1CAE">
        <w:rPr>
          <w:noProof/>
        </w:rPr>
        <w:t>mieniu:</w:t>
      </w:r>
    </w:p>
    <w:bookmarkEnd w:id="4"/>
    <w:p w14:paraId="47D52E91" w14:textId="6EA00CDD" w:rsidR="008326E8" w:rsidRPr="005A1CAE" w:rsidRDefault="7E09EE12" w:rsidP="006E7130">
      <w:pPr>
        <w:ind w:left="720"/>
        <w:rPr>
          <w:noProof/>
          <w:color w:val="000000" w:themeColor="text1"/>
        </w:rPr>
      </w:pPr>
      <w:r w:rsidRPr="005A1CAE">
        <w:rPr>
          <w:noProof/>
          <w:color w:val="000000" w:themeColor="text1"/>
        </w:rPr>
        <w:t>„c) sztuczne dostosowanie łańcuchów dostaw, aby towary korzystały</w:t>
      </w:r>
      <w:r w:rsidR="005A1CAE" w:rsidRPr="005A1CAE">
        <w:rPr>
          <w:noProof/>
          <w:color w:val="000000" w:themeColor="text1"/>
        </w:rPr>
        <w:t xml:space="preserve"> z</w:t>
      </w:r>
      <w:r w:rsidR="005A1CAE">
        <w:rPr>
          <w:noProof/>
          <w:color w:val="000000" w:themeColor="text1"/>
        </w:rPr>
        <w:t> </w:t>
      </w:r>
      <w:r w:rsidR="005A1CAE" w:rsidRPr="005A1CAE">
        <w:rPr>
          <w:noProof/>
          <w:color w:val="000000" w:themeColor="text1"/>
        </w:rPr>
        <w:t>niż</w:t>
      </w:r>
      <w:r w:rsidRPr="005A1CAE">
        <w:rPr>
          <w:noProof/>
          <w:color w:val="000000" w:themeColor="text1"/>
        </w:rPr>
        <w:t>szych wartości domyślnych.”;</w:t>
      </w:r>
    </w:p>
    <w:p w14:paraId="586843D8" w14:textId="0FE2F8A3" w:rsidR="008142CA" w:rsidRPr="005A1CAE" w:rsidRDefault="00874ACF" w:rsidP="00874ACF">
      <w:pPr>
        <w:pStyle w:val="Point0"/>
        <w:rPr>
          <w:noProof/>
        </w:rPr>
      </w:pPr>
      <w:r w:rsidRPr="005A1CAE">
        <w:rPr>
          <w:noProof/>
        </w:rPr>
        <w:t>17.</w:t>
      </w:r>
      <w:r w:rsidRPr="005A1CAE">
        <w:rPr>
          <w:noProof/>
        </w:rPr>
        <w:tab/>
        <w:t>dodaje się art.</w:t>
      </w:r>
      <w:r w:rsidR="005A1CAE" w:rsidRPr="005A1CAE">
        <w:rPr>
          <w:noProof/>
        </w:rPr>
        <w:t> </w:t>
      </w:r>
      <w:r w:rsidRPr="005A1CAE">
        <w:rPr>
          <w:noProof/>
        </w:rPr>
        <w:t>27a</w:t>
      </w:r>
      <w:r w:rsidR="005A1CAE" w:rsidRPr="005A1CAE">
        <w:rPr>
          <w:noProof/>
        </w:rPr>
        <w:t xml:space="preserve"> w</w:t>
      </w:r>
      <w:r w:rsidR="005A1CAE">
        <w:rPr>
          <w:noProof/>
        </w:rPr>
        <w:t> </w:t>
      </w:r>
      <w:r w:rsidR="005A1CAE" w:rsidRPr="005A1CAE">
        <w:rPr>
          <w:noProof/>
        </w:rPr>
        <w:t>brz</w:t>
      </w:r>
      <w:r w:rsidRPr="005A1CAE">
        <w:rPr>
          <w:noProof/>
        </w:rPr>
        <w:t>mieniu:</w:t>
      </w:r>
    </w:p>
    <w:p w14:paraId="32FFA723" w14:textId="61E5BA8E" w:rsidR="00985BE5" w:rsidRPr="005A1CAE" w:rsidRDefault="008142CA" w:rsidP="007D523B">
      <w:pPr>
        <w:pStyle w:val="NormalCentered"/>
        <w:rPr>
          <w:i/>
          <w:iCs/>
          <w:noProof/>
        </w:rPr>
      </w:pPr>
      <w:r w:rsidRPr="005A1CAE">
        <w:rPr>
          <w:i/>
          <w:noProof/>
        </w:rPr>
        <w:t>„Artykuł 27a</w:t>
      </w:r>
    </w:p>
    <w:p w14:paraId="14BBB240" w14:textId="37E146E9" w:rsidR="00985BE5" w:rsidRPr="005A1CAE" w:rsidRDefault="00354463" w:rsidP="007D523B">
      <w:pPr>
        <w:pStyle w:val="NormalCentered"/>
        <w:rPr>
          <w:i/>
          <w:iCs/>
          <w:noProof/>
        </w:rPr>
      </w:pPr>
      <w:r w:rsidRPr="005A1CAE">
        <w:rPr>
          <w:b/>
          <w:i/>
          <w:noProof/>
        </w:rPr>
        <w:t>Poważne</w:t>
      </w:r>
      <w:r w:rsidR="005A1CAE" w:rsidRPr="005A1CAE">
        <w:rPr>
          <w:b/>
          <w:i/>
          <w:noProof/>
        </w:rPr>
        <w:t xml:space="preserve"> i</w:t>
      </w:r>
      <w:r w:rsidR="005A1CAE">
        <w:rPr>
          <w:b/>
          <w:i/>
          <w:noProof/>
        </w:rPr>
        <w:t> </w:t>
      </w:r>
      <w:r w:rsidR="005A1CAE" w:rsidRPr="005A1CAE">
        <w:rPr>
          <w:b/>
          <w:i/>
          <w:noProof/>
        </w:rPr>
        <w:t>nie</w:t>
      </w:r>
      <w:r w:rsidRPr="005A1CAE">
        <w:rPr>
          <w:b/>
          <w:i/>
          <w:noProof/>
        </w:rPr>
        <w:t>przewidziane okoliczności</w:t>
      </w:r>
    </w:p>
    <w:p w14:paraId="7FB1EE21" w14:textId="47702974" w:rsidR="008142CA" w:rsidRPr="005A1CAE" w:rsidRDefault="00735B7C" w:rsidP="008142CA">
      <w:pPr>
        <w:ind w:left="720"/>
        <w:rPr>
          <w:noProof/>
        </w:rPr>
      </w:pPr>
      <w:r w:rsidRPr="005A1CAE">
        <w:rPr>
          <w:noProof/>
        </w:rPr>
        <w:t>Komisja monitoruje sytuację na poziomie Unii</w:t>
      </w:r>
      <w:r w:rsidR="005A1CAE" w:rsidRPr="005A1CAE">
        <w:rPr>
          <w:noProof/>
        </w:rPr>
        <w:t xml:space="preserve"> w</w:t>
      </w:r>
      <w:r w:rsidR="005A1CAE">
        <w:rPr>
          <w:noProof/>
        </w:rPr>
        <w:t> </w:t>
      </w:r>
      <w:r w:rsidR="005A1CAE" w:rsidRPr="005A1CAE">
        <w:rPr>
          <w:noProof/>
        </w:rPr>
        <w:t>cel</w:t>
      </w:r>
      <w:r w:rsidRPr="005A1CAE">
        <w:rPr>
          <w:noProof/>
        </w:rPr>
        <w:t>u oceny wpływu CBAM na rynek wewnętrzny Unii. Jeżeli Komisja, biorąc pod uwagę odpowiednie dowody, uzna, że włączenie towaru do załącznika I powoduje poważne szkody dla rynku wewnętrznego Unii ze względu na poważne</w:t>
      </w:r>
      <w:r w:rsidR="005A1CAE" w:rsidRPr="005A1CAE">
        <w:rPr>
          <w:noProof/>
        </w:rPr>
        <w:t xml:space="preserve"> i</w:t>
      </w:r>
      <w:r w:rsidR="005A1CAE">
        <w:rPr>
          <w:noProof/>
        </w:rPr>
        <w:t> </w:t>
      </w:r>
      <w:r w:rsidR="005A1CAE" w:rsidRPr="005A1CAE">
        <w:rPr>
          <w:noProof/>
        </w:rPr>
        <w:t>nie</w:t>
      </w:r>
      <w:r w:rsidRPr="005A1CAE">
        <w:rPr>
          <w:noProof/>
        </w:rPr>
        <w:t>przewidziane okoliczności związane</w:t>
      </w:r>
      <w:r w:rsidR="005A1CAE" w:rsidRPr="005A1CAE">
        <w:rPr>
          <w:noProof/>
        </w:rPr>
        <w:t xml:space="preserve"> z</w:t>
      </w:r>
      <w:r w:rsidR="005A1CAE">
        <w:rPr>
          <w:noProof/>
        </w:rPr>
        <w:t> </w:t>
      </w:r>
      <w:r w:rsidR="005A1CAE" w:rsidRPr="005A1CAE">
        <w:rPr>
          <w:noProof/>
        </w:rPr>
        <w:t>wpł</w:t>
      </w:r>
      <w:r w:rsidRPr="005A1CAE">
        <w:rPr>
          <w:noProof/>
        </w:rPr>
        <w:t>ywem na ceny towarów, jest uprawniona do przyjmowania aktów delegowanych zgodnie</w:t>
      </w:r>
      <w:r w:rsidR="005A1CAE" w:rsidRPr="005A1CAE">
        <w:rPr>
          <w:noProof/>
        </w:rPr>
        <w:t xml:space="preserve"> z</w:t>
      </w:r>
      <w:r w:rsidR="005A1CAE">
        <w:rPr>
          <w:noProof/>
        </w:rPr>
        <w:t> </w:t>
      </w:r>
      <w:r w:rsidR="005A1CAE" w:rsidRPr="005A1CAE">
        <w:rPr>
          <w:noProof/>
        </w:rPr>
        <w:t>art</w:t>
      </w:r>
      <w:r w:rsidRPr="005A1CAE">
        <w:rPr>
          <w:noProof/>
        </w:rPr>
        <w:t>.</w:t>
      </w:r>
      <w:r w:rsidR="005A1CAE" w:rsidRPr="005A1CAE">
        <w:rPr>
          <w:noProof/>
        </w:rPr>
        <w:t> </w:t>
      </w:r>
      <w:r w:rsidRPr="005A1CAE">
        <w:rPr>
          <w:noProof/>
        </w:rPr>
        <w:t>28</w:t>
      </w:r>
      <w:r w:rsidR="005A1CAE" w:rsidRPr="005A1CAE">
        <w:rPr>
          <w:noProof/>
        </w:rPr>
        <w:t xml:space="preserve"> w</w:t>
      </w:r>
      <w:r w:rsidR="005A1CAE">
        <w:rPr>
          <w:noProof/>
        </w:rPr>
        <w:t> </w:t>
      </w:r>
      <w:r w:rsidR="005A1CAE" w:rsidRPr="005A1CAE">
        <w:rPr>
          <w:noProof/>
        </w:rPr>
        <w:t>cel</w:t>
      </w:r>
      <w:r w:rsidRPr="005A1CAE">
        <w:rPr>
          <w:noProof/>
        </w:rPr>
        <w:t>u usunięcia tego towaru</w:t>
      </w:r>
      <w:r w:rsidR="005A1CAE" w:rsidRPr="005A1CAE">
        <w:rPr>
          <w:noProof/>
        </w:rPr>
        <w:t xml:space="preserve"> z</w:t>
      </w:r>
      <w:r w:rsidR="005A1CAE">
        <w:rPr>
          <w:noProof/>
        </w:rPr>
        <w:t> </w:t>
      </w:r>
      <w:r w:rsidR="005A1CAE" w:rsidRPr="005A1CAE">
        <w:rPr>
          <w:noProof/>
        </w:rPr>
        <w:t>zał</w:t>
      </w:r>
      <w:r w:rsidRPr="005A1CAE">
        <w:rPr>
          <w:noProof/>
        </w:rPr>
        <w:t>ącznika I do czasu ustania tych poważnych</w:t>
      </w:r>
      <w:r w:rsidR="005A1CAE" w:rsidRPr="005A1CAE">
        <w:rPr>
          <w:noProof/>
        </w:rPr>
        <w:t xml:space="preserve"> i</w:t>
      </w:r>
      <w:r w:rsidR="005A1CAE">
        <w:rPr>
          <w:noProof/>
        </w:rPr>
        <w:t> </w:t>
      </w:r>
      <w:r w:rsidR="005A1CAE" w:rsidRPr="005A1CAE">
        <w:rPr>
          <w:noProof/>
        </w:rPr>
        <w:t>nie</w:t>
      </w:r>
      <w:r w:rsidRPr="005A1CAE">
        <w:rPr>
          <w:noProof/>
        </w:rPr>
        <w:t>przewidywalnych okoliczności.”;</w:t>
      </w:r>
    </w:p>
    <w:p w14:paraId="6809609F" w14:textId="119F0757" w:rsidR="008142CA" w:rsidRPr="005A1CAE" w:rsidRDefault="00874ACF" w:rsidP="00874ACF">
      <w:pPr>
        <w:pStyle w:val="Point0"/>
        <w:rPr>
          <w:noProof/>
        </w:rPr>
      </w:pPr>
      <w:r w:rsidRPr="005A1CAE">
        <w:rPr>
          <w:noProof/>
        </w:rPr>
        <w:t>18.</w:t>
      </w:r>
      <w:r w:rsidRPr="005A1CAE">
        <w:rPr>
          <w:noProof/>
        </w:rPr>
        <w:tab/>
        <w:t>w art.</w:t>
      </w:r>
      <w:r w:rsidR="005A1CAE" w:rsidRPr="005A1CAE">
        <w:rPr>
          <w:noProof/>
        </w:rPr>
        <w:t> </w:t>
      </w:r>
      <w:r w:rsidRPr="005A1CAE">
        <w:rPr>
          <w:noProof/>
        </w:rPr>
        <w:t>28 wprowadza się następujące zmiany:</w:t>
      </w:r>
    </w:p>
    <w:p w14:paraId="4ACC9EAF" w14:textId="15353647" w:rsidR="007A2AFE" w:rsidRPr="005A1CAE" w:rsidRDefault="00874ACF" w:rsidP="00874ACF">
      <w:pPr>
        <w:pStyle w:val="Point1"/>
        <w:rPr>
          <w:noProof/>
        </w:rPr>
      </w:pPr>
      <w:r w:rsidRPr="005A1CAE">
        <w:rPr>
          <w:noProof/>
        </w:rPr>
        <w:t>a)</w:t>
      </w:r>
      <w:r w:rsidRPr="005A1CAE">
        <w:rPr>
          <w:noProof/>
        </w:rPr>
        <w:tab/>
        <w:t>ust.</w:t>
      </w:r>
      <w:r w:rsidR="005A1CAE" w:rsidRPr="005A1CAE">
        <w:rPr>
          <w:noProof/>
        </w:rPr>
        <w:t> </w:t>
      </w:r>
      <w:r w:rsidRPr="005A1CAE">
        <w:rPr>
          <w:noProof/>
        </w:rPr>
        <w:t>2</w:t>
      </w:r>
      <w:r w:rsidR="005A1CAE" w:rsidRPr="005A1CAE">
        <w:rPr>
          <w:noProof/>
        </w:rPr>
        <w:t xml:space="preserve"> i</w:t>
      </w:r>
      <w:r w:rsidR="005A1CAE">
        <w:rPr>
          <w:noProof/>
        </w:rPr>
        <w:t> </w:t>
      </w:r>
      <w:r w:rsidR="005A1CAE" w:rsidRPr="005A1CAE">
        <w:rPr>
          <w:noProof/>
        </w:rPr>
        <w:t>3</w:t>
      </w:r>
      <w:r w:rsidRPr="005A1CAE">
        <w:rPr>
          <w:noProof/>
        </w:rPr>
        <w:t xml:space="preserve"> otrzymują brzmienie:</w:t>
      </w:r>
    </w:p>
    <w:p w14:paraId="26F08122" w14:textId="44DDE370" w:rsidR="005D2EB3" w:rsidRPr="005A1CAE" w:rsidRDefault="005D2EB3" w:rsidP="005D2EB3">
      <w:pPr>
        <w:ind w:left="720"/>
        <w:rPr>
          <w:noProof/>
        </w:rPr>
      </w:pPr>
      <w:r w:rsidRPr="005A1CAE">
        <w:rPr>
          <w:noProof/>
        </w:rPr>
        <w:t>„2. Uprawnienia do przyjmowania aktów delegowanych,</w:t>
      </w:r>
      <w:r w:rsidR="005A1CAE" w:rsidRPr="005A1CAE">
        <w:rPr>
          <w:noProof/>
        </w:rPr>
        <w:t xml:space="preserve"> o</w:t>
      </w:r>
      <w:r w:rsidR="005A1CAE">
        <w:rPr>
          <w:noProof/>
        </w:rPr>
        <w:t> </w:t>
      </w:r>
      <w:r w:rsidR="005A1CAE" w:rsidRPr="005A1CAE">
        <w:rPr>
          <w:noProof/>
        </w:rPr>
        <w:t>któ</w:t>
      </w:r>
      <w:r w:rsidRPr="005A1CAE">
        <w:rPr>
          <w:noProof/>
        </w:rPr>
        <w:t>rych mowa</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2 ust.</w:t>
      </w:r>
      <w:r w:rsidR="005A1CAE" w:rsidRPr="005A1CAE">
        <w:rPr>
          <w:noProof/>
        </w:rPr>
        <w:t> </w:t>
      </w:r>
      <w:r w:rsidRPr="005A1CAE">
        <w:rPr>
          <w:noProof/>
        </w:rPr>
        <w:t>10</w:t>
      </w:r>
      <w:r w:rsidR="005A1CAE" w:rsidRPr="005A1CAE">
        <w:rPr>
          <w:noProof/>
        </w:rPr>
        <w:t xml:space="preserve"> i</w:t>
      </w:r>
      <w:r w:rsidR="005A1CAE">
        <w:rPr>
          <w:noProof/>
        </w:rPr>
        <w:t> </w:t>
      </w:r>
      <w:r w:rsidR="005A1CAE" w:rsidRPr="005A1CAE">
        <w:rPr>
          <w:noProof/>
        </w:rPr>
        <w:t>1</w:t>
      </w:r>
      <w:r w:rsidRPr="005A1CAE">
        <w:rPr>
          <w:noProof/>
        </w:rPr>
        <w:t>1, art.</w:t>
      </w:r>
      <w:r w:rsidR="005A1CAE" w:rsidRPr="005A1CAE">
        <w:rPr>
          <w:noProof/>
        </w:rPr>
        <w:t> </w:t>
      </w:r>
      <w:r w:rsidRPr="005A1CAE">
        <w:rPr>
          <w:noProof/>
        </w:rPr>
        <w:t>2a ust.</w:t>
      </w:r>
      <w:r w:rsidR="005A1CAE" w:rsidRPr="005A1CAE">
        <w:rPr>
          <w:noProof/>
        </w:rPr>
        <w:t> </w:t>
      </w:r>
      <w:r w:rsidRPr="005A1CAE">
        <w:rPr>
          <w:noProof/>
        </w:rPr>
        <w:t>3, art.</w:t>
      </w:r>
      <w:r w:rsidR="005A1CAE" w:rsidRPr="005A1CAE">
        <w:rPr>
          <w:noProof/>
        </w:rPr>
        <w:t> </w:t>
      </w:r>
      <w:r w:rsidRPr="005A1CAE">
        <w:rPr>
          <w:noProof/>
        </w:rPr>
        <w:t>6 ust.</w:t>
      </w:r>
      <w:r w:rsidR="005A1CAE" w:rsidRPr="005A1CAE">
        <w:rPr>
          <w:noProof/>
        </w:rPr>
        <w:t> </w:t>
      </w:r>
      <w:r w:rsidRPr="005A1CAE">
        <w:rPr>
          <w:noProof/>
        </w:rPr>
        <w:t>7, art.</w:t>
      </w:r>
      <w:r w:rsidR="005A1CAE" w:rsidRPr="005A1CAE">
        <w:rPr>
          <w:noProof/>
        </w:rPr>
        <w:t> </w:t>
      </w:r>
      <w:r w:rsidRPr="005A1CAE">
        <w:rPr>
          <w:noProof/>
        </w:rPr>
        <w:t>18 ust.</w:t>
      </w:r>
      <w:r w:rsidR="005A1CAE" w:rsidRPr="005A1CAE">
        <w:rPr>
          <w:noProof/>
        </w:rPr>
        <w:t> </w:t>
      </w:r>
      <w:r w:rsidRPr="005A1CAE">
        <w:rPr>
          <w:noProof/>
        </w:rPr>
        <w:t>3, art.</w:t>
      </w:r>
      <w:r w:rsidR="005A1CAE" w:rsidRPr="005A1CAE">
        <w:rPr>
          <w:noProof/>
        </w:rPr>
        <w:t> </w:t>
      </w:r>
      <w:r w:rsidRPr="005A1CAE">
        <w:rPr>
          <w:noProof/>
        </w:rPr>
        <w:t>20 ust.</w:t>
      </w:r>
      <w:r w:rsidR="005A1CAE" w:rsidRPr="005A1CAE">
        <w:rPr>
          <w:noProof/>
        </w:rPr>
        <w:t> </w:t>
      </w:r>
      <w:r w:rsidRPr="005A1CAE">
        <w:rPr>
          <w:noProof/>
        </w:rPr>
        <w:t>5a</w:t>
      </w:r>
      <w:r w:rsidR="005A1CAE" w:rsidRPr="005A1CAE">
        <w:rPr>
          <w:noProof/>
        </w:rPr>
        <w:t xml:space="preserve"> i</w:t>
      </w:r>
      <w:r w:rsidR="005A1CAE">
        <w:rPr>
          <w:noProof/>
        </w:rPr>
        <w:t> </w:t>
      </w:r>
      <w:r w:rsidR="005A1CAE" w:rsidRPr="005A1CAE">
        <w:rPr>
          <w:noProof/>
        </w:rPr>
        <w:t>6</w:t>
      </w:r>
      <w:r w:rsidRPr="005A1CAE">
        <w:rPr>
          <w:noProof/>
        </w:rPr>
        <w:t>, art.</w:t>
      </w:r>
      <w:r w:rsidR="005A1CAE" w:rsidRPr="005A1CAE">
        <w:rPr>
          <w:noProof/>
        </w:rPr>
        <w:t> </w:t>
      </w:r>
      <w:r w:rsidRPr="005A1CAE">
        <w:rPr>
          <w:noProof/>
        </w:rPr>
        <w:t>27 ust.</w:t>
      </w:r>
      <w:r w:rsidR="005A1CAE" w:rsidRPr="005A1CAE">
        <w:rPr>
          <w:noProof/>
        </w:rPr>
        <w:t> </w:t>
      </w:r>
      <w:r w:rsidRPr="005A1CAE">
        <w:rPr>
          <w:noProof/>
        </w:rPr>
        <w:t>6 oraz art.</w:t>
      </w:r>
      <w:r w:rsidR="005A1CAE" w:rsidRPr="005A1CAE">
        <w:rPr>
          <w:noProof/>
        </w:rPr>
        <w:t> </w:t>
      </w:r>
      <w:r w:rsidRPr="005A1CAE">
        <w:rPr>
          <w:noProof/>
        </w:rPr>
        <w:t>27a, powierza się Komisji na okres pięciu lat od dnia [data wejścia</w:t>
      </w:r>
      <w:r w:rsidR="005A1CAE" w:rsidRPr="005A1CAE">
        <w:rPr>
          <w:noProof/>
        </w:rPr>
        <w:t xml:space="preserve"> w</w:t>
      </w:r>
      <w:r w:rsidR="005A1CAE">
        <w:rPr>
          <w:noProof/>
        </w:rPr>
        <w:t> </w:t>
      </w:r>
      <w:r w:rsidR="005A1CAE" w:rsidRPr="005A1CAE">
        <w:rPr>
          <w:noProof/>
        </w:rPr>
        <w:t>życ</w:t>
      </w:r>
      <w:r w:rsidRPr="005A1CAE">
        <w:rPr>
          <w:noProof/>
        </w:rPr>
        <w:t>ie niniejszego rozporządzenia zmieniającego] r. Komisja sporządza sprawozdanie dotyczące przekazania uprawnień nie później niż dziewięć miesięcy przed końcem okresu pięciu lat. Przekazanie uprawnień zostaje automatycznie przedłużone na takie same okresy, chyba że Parlament Europejski lub Rada sprzeciwią się takiemu przedłużeniu nie później niż trzy miesiące przed końcem każdego okresu.</w:t>
      </w:r>
    </w:p>
    <w:p w14:paraId="7396BBDB" w14:textId="194574EB" w:rsidR="00EC1780" w:rsidRPr="005A1CAE" w:rsidRDefault="00EC1780" w:rsidP="005D2EB3">
      <w:pPr>
        <w:ind w:left="720"/>
        <w:rPr>
          <w:noProof/>
        </w:rPr>
      </w:pPr>
      <w:r w:rsidRPr="005A1CAE">
        <w:rPr>
          <w:noProof/>
        </w:rPr>
        <w:t>3. Przekazanie uprawnień,</w:t>
      </w:r>
      <w:r w:rsidR="005A1CAE" w:rsidRPr="005A1CAE">
        <w:rPr>
          <w:noProof/>
        </w:rPr>
        <w:t xml:space="preserve"> o</w:t>
      </w:r>
      <w:r w:rsidR="005A1CAE">
        <w:rPr>
          <w:noProof/>
        </w:rPr>
        <w:t> </w:t>
      </w:r>
      <w:r w:rsidR="005A1CAE" w:rsidRPr="005A1CAE">
        <w:rPr>
          <w:noProof/>
        </w:rPr>
        <w:t>któ</w:t>
      </w:r>
      <w:r w:rsidRPr="005A1CAE">
        <w:rPr>
          <w:noProof/>
        </w:rPr>
        <w:t>rych mowa</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2 ust.</w:t>
      </w:r>
      <w:r w:rsidR="005A1CAE" w:rsidRPr="005A1CAE">
        <w:rPr>
          <w:noProof/>
        </w:rPr>
        <w:t> </w:t>
      </w:r>
      <w:r w:rsidRPr="005A1CAE">
        <w:rPr>
          <w:noProof/>
        </w:rPr>
        <w:t>10</w:t>
      </w:r>
      <w:r w:rsidR="005A1CAE" w:rsidRPr="005A1CAE">
        <w:rPr>
          <w:noProof/>
        </w:rPr>
        <w:t xml:space="preserve"> i</w:t>
      </w:r>
      <w:r w:rsidR="005A1CAE">
        <w:rPr>
          <w:noProof/>
        </w:rPr>
        <w:t> </w:t>
      </w:r>
      <w:r w:rsidR="005A1CAE" w:rsidRPr="005A1CAE">
        <w:rPr>
          <w:noProof/>
        </w:rPr>
        <w:t>1</w:t>
      </w:r>
      <w:r w:rsidRPr="005A1CAE">
        <w:rPr>
          <w:noProof/>
        </w:rPr>
        <w:t>1, art.</w:t>
      </w:r>
      <w:r w:rsidR="005A1CAE" w:rsidRPr="005A1CAE">
        <w:rPr>
          <w:noProof/>
        </w:rPr>
        <w:t> </w:t>
      </w:r>
      <w:r w:rsidRPr="005A1CAE">
        <w:rPr>
          <w:noProof/>
        </w:rPr>
        <w:t>2a ust.</w:t>
      </w:r>
      <w:r w:rsidR="005A1CAE" w:rsidRPr="005A1CAE">
        <w:rPr>
          <w:noProof/>
        </w:rPr>
        <w:t> </w:t>
      </w:r>
      <w:r w:rsidRPr="005A1CAE">
        <w:rPr>
          <w:noProof/>
        </w:rPr>
        <w:t>3, art.</w:t>
      </w:r>
      <w:r w:rsidR="005A1CAE" w:rsidRPr="005A1CAE">
        <w:rPr>
          <w:noProof/>
        </w:rPr>
        <w:t> </w:t>
      </w:r>
      <w:r w:rsidRPr="005A1CAE">
        <w:rPr>
          <w:noProof/>
        </w:rPr>
        <w:t>6 ust.</w:t>
      </w:r>
      <w:r w:rsidR="005A1CAE" w:rsidRPr="005A1CAE">
        <w:rPr>
          <w:noProof/>
        </w:rPr>
        <w:t> </w:t>
      </w:r>
      <w:r w:rsidRPr="005A1CAE">
        <w:rPr>
          <w:noProof/>
        </w:rPr>
        <w:t>7, art.</w:t>
      </w:r>
      <w:r w:rsidR="005A1CAE" w:rsidRPr="005A1CAE">
        <w:rPr>
          <w:noProof/>
        </w:rPr>
        <w:t> </w:t>
      </w:r>
      <w:r w:rsidRPr="005A1CAE">
        <w:rPr>
          <w:noProof/>
        </w:rPr>
        <w:t>18 ust.</w:t>
      </w:r>
      <w:r w:rsidR="005A1CAE" w:rsidRPr="005A1CAE">
        <w:rPr>
          <w:noProof/>
        </w:rPr>
        <w:t> </w:t>
      </w:r>
      <w:r w:rsidRPr="005A1CAE">
        <w:rPr>
          <w:noProof/>
        </w:rPr>
        <w:t>3, art.</w:t>
      </w:r>
      <w:r w:rsidR="005A1CAE" w:rsidRPr="005A1CAE">
        <w:rPr>
          <w:noProof/>
        </w:rPr>
        <w:t> </w:t>
      </w:r>
      <w:r w:rsidRPr="005A1CAE">
        <w:rPr>
          <w:noProof/>
        </w:rPr>
        <w:t>20 ust.</w:t>
      </w:r>
      <w:r w:rsidR="005A1CAE" w:rsidRPr="005A1CAE">
        <w:rPr>
          <w:noProof/>
        </w:rPr>
        <w:t> </w:t>
      </w:r>
      <w:r w:rsidRPr="005A1CAE">
        <w:rPr>
          <w:noProof/>
        </w:rPr>
        <w:t>5a</w:t>
      </w:r>
      <w:r w:rsidR="005A1CAE" w:rsidRPr="005A1CAE">
        <w:rPr>
          <w:noProof/>
        </w:rPr>
        <w:t xml:space="preserve"> i</w:t>
      </w:r>
      <w:r w:rsidR="005A1CAE">
        <w:rPr>
          <w:noProof/>
        </w:rPr>
        <w:t> </w:t>
      </w:r>
      <w:r w:rsidR="005A1CAE" w:rsidRPr="005A1CAE">
        <w:rPr>
          <w:noProof/>
        </w:rPr>
        <w:t>6</w:t>
      </w:r>
      <w:r w:rsidRPr="005A1CAE">
        <w:rPr>
          <w:noProof/>
        </w:rPr>
        <w:t>, art.</w:t>
      </w:r>
      <w:r w:rsidR="005A1CAE" w:rsidRPr="005A1CAE">
        <w:rPr>
          <w:noProof/>
        </w:rPr>
        <w:t> </w:t>
      </w:r>
      <w:r w:rsidRPr="005A1CAE">
        <w:rPr>
          <w:noProof/>
        </w:rPr>
        <w:t>27 ust.</w:t>
      </w:r>
      <w:r w:rsidR="005A1CAE" w:rsidRPr="005A1CAE">
        <w:rPr>
          <w:noProof/>
        </w:rPr>
        <w:t> </w:t>
      </w:r>
      <w:r w:rsidRPr="005A1CAE">
        <w:rPr>
          <w:noProof/>
        </w:rPr>
        <w:t>6 oraz art.</w:t>
      </w:r>
      <w:r w:rsidR="005A1CAE" w:rsidRPr="005A1CAE">
        <w:rPr>
          <w:noProof/>
        </w:rPr>
        <w:t> </w:t>
      </w:r>
      <w:r w:rsidRPr="005A1CAE">
        <w:rPr>
          <w:noProof/>
        </w:rPr>
        <w:t>27a, może zostać</w:t>
      </w:r>
      <w:r w:rsidR="005A1CAE" w:rsidRPr="005A1CAE">
        <w:rPr>
          <w:noProof/>
        </w:rPr>
        <w:t xml:space="preserve"> w</w:t>
      </w:r>
      <w:r w:rsidR="005A1CAE">
        <w:rPr>
          <w:noProof/>
        </w:rPr>
        <w:t> </w:t>
      </w:r>
      <w:r w:rsidR="005A1CAE" w:rsidRPr="005A1CAE">
        <w:rPr>
          <w:noProof/>
        </w:rPr>
        <w:t>dow</w:t>
      </w:r>
      <w:r w:rsidRPr="005A1CAE">
        <w:rPr>
          <w:noProof/>
        </w:rPr>
        <w:t>olnym momencie odwołane przez Parlament Europejski lub przez Radę.”;</w:t>
      </w:r>
    </w:p>
    <w:p w14:paraId="78B1BDD6" w14:textId="26F1C376" w:rsidR="005660BC" w:rsidRPr="005A1CAE" w:rsidRDefault="00874ACF" w:rsidP="00874ACF">
      <w:pPr>
        <w:pStyle w:val="Point1"/>
        <w:rPr>
          <w:noProof/>
        </w:rPr>
      </w:pPr>
      <w:r w:rsidRPr="005A1CAE">
        <w:rPr>
          <w:noProof/>
        </w:rPr>
        <w:t>b)</w:t>
      </w:r>
      <w:r w:rsidRPr="005A1CAE">
        <w:rPr>
          <w:noProof/>
        </w:rPr>
        <w:tab/>
      </w:r>
      <w:r w:rsidRPr="005A1CAE">
        <w:rPr>
          <w:noProof/>
        </w:rPr>
        <w:tab/>
        <w:t xml:space="preserve"> ust.</w:t>
      </w:r>
      <w:r w:rsidR="005A1CAE" w:rsidRPr="005A1CAE">
        <w:rPr>
          <w:noProof/>
        </w:rPr>
        <w:t> </w:t>
      </w:r>
      <w:r w:rsidRPr="005A1CAE">
        <w:rPr>
          <w:noProof/>
        </w:rPr>
        <w:t>7 otrzymuje brzmienie:</w:t>
      </w:r>
    </w:p>
    <w:p w14:paraId="55CCAF8E" w14:textId="534D815E" w:rsidR="008E75B5" w:rsidRPr="005A1CAE" w:rsidRDefault="008E75B5" w:rsidP="008E75B5">
      <w:pPr>
        <w:ind w:left="720"/>
        <w:rPr>
          <w:noProof/>
        </w:rPr>
      </w:pPr>
      <w:r w:rsidRPr="005A1CAE">
        <w:rPr>
          <w:noProof/>
        </w:rPr>
        <w:t>„7. Akt delegowany przyjęty na podstawie art. 2 ust. 10</w:t>
      </w:r>
      <w:r w:rsidR="005A1CAE" w:rsidRPr="005A1CAE">
        <w:rPr>
          <w:noProof/>
        </w:rPr>
        <w:t xml:space="preserve"> i</w:t>
      </w:r>
      <w:r w:rsidR="005A1CAE">
        <w:rPr>
          <w:noProof/>
        </w:rPr>
        <w:t> </w:t>
      </w:r>
      <w:r w:rsidR="005A1CAE" w:rsidRPr="005A1CAE">
        <w:rPr>
          <w:noProof/>
        </w:rPr>
        <w:t>1</w:t>
      </w:r>
      <w:r w:rsidRPr="005A1CAE">
        <w:rPr>
          <w:noProof/>
        </w:rPr>
        <w:t>1, art. 2a ust. 3, art.</w:t>
      </w:r>
      <w:r w:rsidR="005A1CAE" w:rsidRPr="005A1CAE">
        <w:rPr>
          <w:noProof/>
        </w:rPr>
        <w:t> </w:t>
      </w:r>
      <w:r w:rsidRPr="005A1CAE">
        <w:rPr>
          <w:noProof/>
        </w:rPr>
        <w:t>6 ust.</w:t>
      </w:r>
      <w:r w:rsidR="005A1CAE" w:rsidRPr="005A1CAE">
        <w:rPr>
          <w:noProof/>
        </w:rPr>
        <w:t> </w:t>
      </w:r>
      <w:r w:rsidRPr="005A1CAE">
        <w:rPr>
          <w:noProof/>
        </w:rPr>
        <w:t>7, art. 18 ust. 3, art. 20 ust. 5a</w:t>
      </w:r>
      <w:r w:rsidR="005A1CAE" w:rsidRPr="005A1CAE">
        <w:rPr>
          <w:noProof/>
        </w:rPr>
        <w:t xml:space="preserve"> i</w:t>
      </w:r>
      <w:r w:rsidR="005A1CAE">
        <w:rPr>
          <w:noProof/>
        </w:rPr>
        <w:t> </w:t>
      </w:r>
      <w:r w:rsidR="005A1CAE" w:rsidRPr="005A1CAE">
        <w:rPr>
          <w:noProof/>
        </w:rPr>
        <w:t>6</w:t>
      </w:r>
      <w:r w:rsidRPr="005A1CAE">
        <w:rPr>
          <w:noProof/>
        </w:rPr>
        <w:t>, art. 27 ust. 6 oraz art.</w:t>
      </w:r>
      <w:r w:rsidR="005A1CAE" w:rsidRPr="005A1CAE">
        <w:rPr>
          <w:noProof/>
        </w:rPr>
        <w:t> </w:t>
      </w:r>
      <w:r w:rsidRPr="005A1CAE">
        <w:rPr>
          <w:noProof/>
        </w:rPr>
        <w:t>27a wchodzi</w:t>
      </w:r>
      <w:r w:rsidR="005A1CAE" w:rsidRPr="005A1CAE">
        <w:rPr>
          <w:noProof/>
        </w:rPr>
        <w:t xml:space="preserve"> w</w:t>
      </w:r>
      <w:r w:rsidR="005A1CAE">
        <w:rPr>
          <w:noProof/>
        </w:rPr>
        <w:t> </w:t>
      </w:r>
      <w:r w:rsidR="005A1CAE" w:rsidRPr="005A1CAE">
        <w:rPr>
          <w:noProof/>
        </w:rPr>
        <w:t>życ</w:t>
      </w:r>
      <w:r w:rsidRPr="005A1CAE">
        <w:rPr>
          <w:noProof/>
        </w:rPr>
        <w:t>ie tylko wówczas, gdy ani Parlament Europejski, ani Rada nie wyraziły sprzeciwu</w:t>
      </w:r>
      <w:r w:rsidR="005A1CAE" w:rsidRPr="005A1CAE">
        <w:rPr>
          <w:noProof/>
        </w:rPr>
        <w:t xml:space="preserve"> w</w:t>
      </w:r>
      <w:r w:rsidR="005A1CAE">
        <w:rPr>
          <w:noProof/>
        </w:rPr>
        <w:t> </w:t>
      </w:r>
      <w:r w:rsidR="005A1CAE" w:rsidRPr="005A1CAE">
        <w:rPr>
          <w:noProof/>
        </w:rPr>
        <w:t>ter</w:t>
      </w:r>
      <w:r w:rsidRPr="005A1CAE">
        <w:rPr>
          <w:noProof/>
        </w:rPr>
        <w:t>minie dwóch miesięcy od przekazania tego aktu Parlamentowi Europejskiemu</w:t>
      </w:r>
      <w:r w:rsidR="005A1CAE" w:rsidRPr="005A1CAE">
        <w:rPr>
          <w:noProof/>
        </w:rPr>
        <w:t xml:space="preserve"> i</w:t>
      </w:r>
      <w:r w:rsidR="005A1CAE">
        <w:rPr>
          <w:noProof/>
        </w:rPr>
        <w:t> </w:t>
      </w:r>
      <w:r w:rsidR="005A1CAE" w:rsidRPr="005A1CAE">
        <w:rPr>
          <w:noProof/>
        </w:rPr>
        <w:t>Rad</w:t>
      </w:r>
      <w:r w:rsidRPr="005A1CAE">
        <w:rPr>
          <w:noProof/>
        </w:rPr>
        <w:t>zie, lub gdy, przed upływem tego terminu, zarówno Parlament Europejski, jak</w:t>
      </w:r>
      <w:r w:rsidR="005A1CAE" w:rsidRPr="005A1CAE">
        <w:rPr>
          <w:noProof/>
        </w:rPr>
        <w:t xml:space="preserve"> i</w:t>
      </w:r>
      <w:r w:rsidR="005A1CAE">
        <w:rPr>
          <w:noProof/>
        </w:rPr>
        <w:t> </w:t>
      </w:r>
      <w:r w:rsidR="005A1CAE" w:rsidRPr="005A1CAE">
        <w:rPr>
          <w:noProof/>
        </w:rPr>
        <w:t>Rad</w:t>
      </w:r>
      <w:r w:rsidRPr="005A1CAE">
        <w:rPr>
          <w:noProof/>
        </w:rPr>
        <w:t xml:space="preserve">a </w:t>
      </w:r>
      <w:r w:rsidRPr="005A1CAE">
        <w:rPr>
          <w:noProof/>
        </w:rPr>
        <w:lastRenderedPageBreak/>
        <w:t>poinformowały Komisję, że nie wniosą sprzeciwu. Termin ten przedłuża się</w:t>
      </w:r>
      <w:r w:rsidR="005A1CAE" w:rsidRPr="005A1CAE">
        <w:rPr>
          <w:noProof/>
        </w:rPr>
        <w:t xml:space="preserve"> o</w:t>
      </w:r>
      <w:r w:rsidR="005A1CAE">
        <w:rPr>
          <w:noProof/>
        </w:rPr>
        <w:t> </w:t>
      </w:r>
      <w:r w:rsidR="005A1CAE" w:rsidRPr="005A1CAE">
        <w:rPr>
          <w:noProof/>
        </w:rPr>
        <w:t>dwa</w:t>
      </w:r>
      <w:r w:rsidRPr="005A1CAE">
        <w:rPr>
          <w:noProof/>
        </w:rPr>
        <w:t xml:space="preserve"> miesiące</w:t>
      </w:r>
      <w:r w:rsidR="005A1CAE" w:rsidRPr="005A1CAE">
        <w:rPr>
          <w:noProof/>
        </w:rPr>
        <w:t xml:space="preserve"> z</w:t>
      </w:r>
      <w:r w:rsidR="005A1CAE">
        <w:rPr>
          <w:noProof/>
        </w:rPr>
        <w:t> </w:t>
      </w:r>
      <w:r w:rsidR="005A1CAE" w:rsidRPr="005A1CAE">
        <w:rPr>
          <w:noProof/>
        </w:rPr>
        <w:t>ini</w:t>
      </w:r>
      <w:r w:rsidRPr="005A1CAE">
        <w:rPr>
          <w:noProof/>
        </w:rPr>
        <w:t>cjatywy Parlamentu Europejskiego lub Rady.”;</w:t>
      </w:r>
    </w:p>
    <w:p w14:paraId="54732269" w14:textId="4323C128" w:rsidR="00B12F10" w:rsidRPr="005A1CAE" w:rsidRDefault="00874ACF" w:rsidP="00874ACF">
      <w:pPr>
        <w:pStyle w:val="Point0"/>
        <w:rPr>
          <w:noProof/>
        </w:rPr>
      </w:pPr>
      <w:r w:rsidRPr="005A1CAE">
        <w:rPr>
          <w:noProof/>
        </w:rPr>
        <w:t>19.</w:t>
      </w:r>
      <w:r w:rsidRPr="005A1CAE">
        <w:rPr>
          <w:noProof/>
        </w:rPr>
        <w:tab/>
        <w:t>dodaje się art.</w:t>
      </w:r>
      <w:r w:rsidR="005A1CAE" w:rsidRPr="005A1CAE">
        <w:rPr>
          <w:noProof/>
        </w:rPr>
        <w:t> </w:t>
      </w:r>
      <w:r w:rsidRPr="005A1CAE">
        <w:rPr>
          <w:noProof/>
        </w:rPr>
        <w:t>28a</w:t>
      </w:r>
      <w:r w:rsidR="005A1CAE" w:rsidRPr="005A1CAE">
        <w:rPr>
          <w:noProof/>
        </w:rPr>
        <w:t xml:space="preserve"> w</w:t>
      </w:r>
      <w:r w:rsidR="005A1CAE">
        <w:rPr>
          <w:noProof/>
        </w:rPr>
        <w:t> </w:t>
      </w:r>
      <w:r w:rsidR="005A1CAE" w:rsidRPr="005A1CAE">
        <w:rPr>
          <w:noProof/>
        </w:rPr>
        <w:t>brz</w:t>
      </w:r>
      <w:r w:rsidRPr="005A1CAE">
        <w:rPr>
          <w:noProof/>
        </w:rPr>
        <w:t>mieniu:</w:t>
      </w:r>
    </w:p>
    <w:p w14:paraId="2BB49FC1" w14:textId="77777777" w:rsidR="006C727B" w:rsidRPr="005A1CAE" w:rsidRDefault="006C727B" w:rsidP="00982397">
      <w:pPr>
        <w:pStyle w:val="NormalCentered"/>
        <w:rPr>
          <w:i/>
          <w:iCs/>
          <w:noProof/>
        </w:rPr>
      </w:pPr>
      <w:r w:rsidRPr="005A1CAE">
        <w:rPr>
          <w:i/>
          <w:noProof/>
        </w:rPr>
        <w:t>„Artykuł 28</w:t>
      </w:r>
    </w:p>
    <w:p w14:paraId="0E03ED8C" w14:textId="252F8957" w:rsidR="00B12F10" w:rsidRPr="005A1CAE" w:rsidRDefault="00B12F10" w:rsidP="00982397">
      <w:pPr>
        <w:pStyle w:val="NormalCentered"/>
        <w:rPr>
          <w:b/>
          <w:i/>
          <w:iCs/>
          <w:noProof/>
        </w:rPr>
      </w:pPr>
      <w:r w:rsidRPr="005A1CAE">
        <w:rPr>
          <w:b/>
          <w:i/>
          <w:noProof/>
        </w:rPr>
        <w:t>Tryb pilny</w:t>
      </w:r>
    </w:p>
    <w:p w14:paraId="47BCD040" w14:textId="7049E9BF" w:rsidR="00B12F10" w:rsidRPr="005A1CAE" w:rsidRDefault="00B12F10" w:rsidP="00982397">
      <w:pPr>
        <w:ind w:left="720"/>
        <w:rPr>
          <w:noProof/>
        </w:rPr>
      </w:pPr>
      <w:r w:rsidRPr="005A1CAE">
        <w:rPr>
          <w:noProof/>
        </w:rPr>
        <w:t>1. Akty delegowane przyjęte</w:t>
      </w:r>
      <w:r w:rsidR="005A1CAE" w:rsidRPr="005A1CAE">
        <w:rPr>
          <w:noProof/>
        </w:rPr>
        <w:t xml:space="preserve"> w</w:t>
      </w:r>
      <w:r w:rsidR="005A1CAE">
        <w:rPr>
          <w:noProof/>
        </w:rPr>
        <w:t> </w:t>
      </w:r>
      <w:r w:rsidR="005A1CAE" w:rsidRPr="005A1CAE">
        <w:rPr>
          <w:noProof/>
        </w:rPr>
        <w:t>try</w:t>
      </w:r>
      <w:r w:rsidRPr="005A1CAE">
        <w:rPr>
          <w:noProof/>
        </w:rPr>
        <w:t>bie niniejszego artykułu wchodzą</w:t>
      </w:r>
      <w:r w:rsidR="005A1CAE" w:rsidRPr="005A1CAE">
        <w:rPr>
          <w:noProof/>
        </w:rPr>
        <w:t xml:space="preserve"> w</w:t>
      </w:r>
      <w:r w:rsidR="005A1CAE">
        <w:rPr>
          <w:noProof/>
        </w:rPr>
        <w:t> </w:t>
      </w:r>
      <w:r w:rsidR="005A1CAE" w:rsidRPr="005A1CAE">
        <w:rPr>
          <w:noProof/>
        </w:rPr>
        <w:t>życ</w:t>
      </w:r>
      <w:r w:rsidRPr="005A1CAE">
        <w:rPr>
          <w:noProof/>
        </w:rPr>
        <w:t>ie niezwłocznie</w:t>
      </w:r>
      <w:r w:rsidR="005A1CAE" w:rsidRPr="005A1CAE">
        <w:rPr>
          <w:noProof/>
        </w:rPr>
        <w:t xml:space="preserve"> i</w:t>
      </w:r>
      <w:r w:rsidR="005A1CAE">
        <w:rPr>
          <w:noProof/>
        </w:rPr>
        <w:t> </w:t>
      </w:r>
      <w:r w:rsidR="005A1CAE" w:rsidRPr="005A1CAE">
        <w:rPr>
          <w:noProof/>
        </w:rPr>
        <w:t>maj</w:t>
      </w:r>
      <w:r w:rsidRPr="005A1CAE">
        <w:rPr>
          <w:noProof/>
        </w:rPr>
        <w:t>ą zastosowanie, dopóki nie zostanie wyrażony sprzeciw zgodnie</w:t>
      </w:r>
      <w:r w:rsidR="005A1CAE" w:rsidRPr="005A1CAE">
        <w:rPr>
          <w:noProof/>
        </w:rPr>
        <w:t xml:space="preserve"> z</w:t>
      </w:r>
      <w:r w:rsidR="005A1CAE">
        <w:rPr>
          <w:noProof/>
        </w:rPr>
        <w:t> </w:t>
      </w:r>
      <w:r w:rsidR="005A1CAE" w:rsidRPr="005A1CAE">
        <w:rPr>
          <w:noProof/>
        </w:rPr>
        <w:t>ust</w:t>
      </w:r>
      <w:r w:rsidRPr="005A1CAE">
        <w:rPr>
          <w:noProof/>
        </w:rPr>
        <w:t>.</w:t>
      </w:r>
      <w:r w:rsidR="005A1CAE" w:rsidRPr="005A1CAE">
        <w:rPr>
          <w:noProof/>
        </w:rPr>
        <w:t> </w:t>
      </w:r>
      <w:r w:rsidRPr="005A1CAE">
        <w:rPr>
          <w:noProof/>
        </w:rPr>
        <w:t>2. Przekazując akt delegowany Parlamentowi Europejskiemu</w:t>
      </w:r>
      <w:r w:rsidR="005A1CAE" w:rsidRPr="005A1CAE">
        <w:rPr>
          <w:noProof/>
        </w:rPr>
        <w:t xml:space="preserve"> i</w:t>
      </w:r>
      <w:r w:rsidR="005A1CAE">
        <w:rPr>
          <w:noProof/>
        </w:rPr>
        <w:t> </w:t>
      </w:r>
      <w:r w:rsidR="005A1CAE" w:rsidRPr="005A1CAE">
        <w:rPr>
          <w:noProof/>
        </w:rPr>
        <w:t>Rad</w:t>
      </w:r>
      <w:r w:rsidRPr="005A1CAE">
        <w:rPr>
          <w:noProof/>
        </w:rPr>
        <w:t>zie, podaje się powody zastosowania trybu pilnego.</w:t>
      </w:r>
    </w:p>
    <w:p w14:paraId="7D8EC765" w14:textId="160DBAC1" w:rsidR="00B12F10" w:rsidRPr="005A1CAE" w:rsidRDefault="00B12F10" w:rsidP="00982397">
      <w:pPr>
        <w:ind w:left="720"/>
        <w:rPr>
          <w:noProof/>
        </w:rPr>
      </w:pPr>
      <w:r w:rsidRPr="005A1CAE">
        <w:rPr>
          <w:noProof/>
        </w:rPr>
        <w:t>2. Parlament Europejski lub Rada mogą wyrazić sprzeciw wobec aktu delegowanego zgodnie</w:t>
      </w:r>
      <w:r w:rsidR="005A1CAE" w:rsidRPr="005A1CAE">
        <w:rPr>
          <w:noProof/>
        </w:rPr>
        <w:t xml:space="preserve"> z</w:t>
      </w:r>
      <w:r w:rsidR="005A1CAE">
        <w:rPr>
          <w:noProof/>
        </w:rPr>
        <w:t> </w:t>
      </w:r>
      <w:r w:rsidR="005A1CAE" w:rsidRPr="005A1CAE">
        <w:rPr>
          <w:noProof/>
        </w:rPr>
        <w:t>pro</w:t>
      </w:r>
      <w:r w:rsidRPr="005A1CAE">
        <w:rPr>
          <w:noProof/>
        </w:rPr>
        <w:t>cedurą,</w:t>
      </w:r>
      <w:r w:rsidR="005A1CAE" w:rsidRPr="005A1CAE">
        <w:rPr>
          <w:noProof/>
        </w:rPr>
        <w:t xml:space="preserve"> o</w:t>
      </w:r>
      <w:r w:rsidR="005A1CAE">
        <w:rPr>
          <w:noProof/>
        </w:rPr>
        <w:t> </w:t>
      </w:r>
      <w:r w:rsidR="005A1CAE" w:rsidRPr="005A1CAE">
        <w:rPr>
          <w:noProof/>
        </w:rPr>
        <w:t>któ</w:t>
      </w:r>
      <w:r w:rsidRPr="005A1CAE">
        <w:rPr>
          <w:noProof/>
        </w:rPr>
        <w:t>rej mowa</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28 ust.</w:t>
      </w:r>
      <w:r w:rsidR="005A1CAE" w:rsidRPr="005A1CAE">
        <w:rPr>
          <w:noProof/>
        </w:rPr>
        <w:t> </w:t>
      </w:r>
      <w:r w:rsidRPr="005A1CAE">
        <w:rPr>
          <w:noProof/>
        </w:rPr>
        <w:t>7</w:t>
      </w:r>
      <w:r w:rsidR="005A1CAE" w:rsidRPr="005A1CAE">
        <w:rPr>
          <w:noProof/>
        </w:rPr>
        <w:t>. W</w:t>
      </w:r>
      <w:r w:rsidR="005A1CAE">
        <w:rPr>
          <w:noProof/>
        </w:rPr>
        <w:t> </w:t>
      </w:r>
      <w:r w:rsidR="005A1CAE" w:rsidRPr="005A1CAE">
        <w:rPr>
          <w:noProof/>
        </w:rPr>
        <w:t>tak</w:t>
      </w:r>
      <w:r w:rsidRPr="005A1CAE">
        <w:rPr>
          <w:noProof/>
        </w:rPr>
        <w:t>im przypadku Komisja uchyla akt natychmiast po powiadomieniu jej przez Parlament Europejski lub Radę</w:t>
      </w:r>
      <w:r w:rsidR="005A1CAE" w:rsidRPr="005A1CAE">
        <w:rPr>
          <w:noProof/>
        </w:rPr>
        <w:t xml:space="preserve"> o</w:t>
      </w:r>
      <w:r w:rsidR="005A1CAE">
        <w:rPr>
          <w:noProof/>
        </w:rPr>
        <w:t> </w:t>
      </w:r>
      <w:r w:rsidR="005A1CAE" w:rsidRPr="005A1CAE">
        <w:rPr>
          <w:noProof/>
        </w:rPr>
        <w:t>dec</w:t>
      </w:r>
      <w:r w:rsidRPr="005A1CAE">
        <w:rPr>
          <w:noProof/>
        </w:rPr>
        <w:t>yzji</w:t>
      </w:r>
      <w:r w:rsidR="005A1CAE" w:rsidRPr="005A1CAE">
        <w:rPr>
          <w:noProof/>
        </w:rPr>
        <w:t xml:space="preserve"> o</w:t>
      </w:r>
      <w:r w:rsidR="005A1CAE">
        <w:rPr>
          <w:noProof/>
        </w:rPr>
        <w:t> </w:t>
      </w:r>
      <w:r w:rsidR="005A1CAE" w:rsidRPr="005A1CAE">
        <w:rPr>
          <w:noProof/>
        </w:rPr>
        <w:t>wni</w:t>
      </w:r>
      <w:r w:rsidRPr="005A1CAE">
        <w:rPr>
          <w:noProof/>
        </w:rPr>
        <w:t>esieniu sprzeciwu.”;</w:t>
      </w:r>
    </w:p>
    <w:p w14:paraId="2877BB52" w14:textId="48861087" w:rsidR="00D0690F" w:rsidRPr="005A1CAE" w:rsidRDefault="00874ACF" w:rsidP="00874ACF">
      <w:pPr>
        <w:pStyle w:val="Point0"/>
        <w:rPr>
          <w:noProof/>
        </w:rPr>
      </w:pPr>
      <w:r w:rsidRPr="005A1CAE">
        <w:rPr>
          <w:noProof/>
        </w:rPr>
        <w:t>20.</w:t>
      </w:r>
      <w:r w:rsidRPr="005A1CAE">
        <w:rPr>
          <w:noProof/>
        </w:rPr>
        <w:tab/>
        <w:t>art.</w:t>
      </w:r>
      <w:r w:rsidR="005A1CAE" w:rsidRPr="005A1CAE">
        <w:rPr>
          <w:noProof/>
        </w:rPr>
        <w:t> </w:t>
      </w:r>
      <w:r w:rsidRPr="005A1CAE">
        <w:rPr>
          <w:noProof/>
        </w:rPr>
        <w:t>30 ust.</w:t>
      </w:r>
      <w:r w:rsidR="005A1CAE" w:rsidRPr="005A1CAE">
        <w:rPr>
          <w:noProof/>
        </w:rPr>
        <w:t> </w:t>
      </w:r>
      <w:r w:rsidRPr="005A1CAE">
        <w:rPr>
          <w:noProof/>
        </w:rPr>
        <w:t>6 akapit drugi otrzymuje brzmienie:</w:t>
      </w:r>
    </w:p>
    <w:p w14:paraId="1459FF60" w14:textId="56D889D1" w:rsidR="00636C55" w:rsidRPr="005A1CAE" w:rsidRDefault="00C558EE" w:rsidP="00C558EE">
      <w:pPr>
        <w:ind w:left="720"/>
        <w:rPr>
          <w:noProof/>
        </w:rPr>
      </w:pPr>
      <w:r w:rsidRPr="005A1CAE">
        <w:rPr>
          <w:noProof/>
        </w:rPr>
        <w:t>Do dnia 1 stycznia 2028 r.,</w:t>
      </w:r>
      <w:r w:rsidR="005A1CAE" w:rsidRPr="005A1CAE">
        <w:rPr>
          <w:noProof/>
        </w:rPr>
        <w:t xml:space="preserve"> a</w:t>
      </w:r>
      <w:r w:rsidR="005A1CAE">
        <w:rPr>
          <w:noProof/>
        </w:rPr>
        <w:t> </w:t>
      </w:r>
      <w:r w:rsidR="005A1CAE" w:rsidRPr="005A1CAE">
        <w:rPr>
          <w:noProof/>
        </w:rPr>
        <w:t>nas</w:t>
      </w:r>
      <w:r w:rsidRPr="005A1CAE">
        <w:rPr>
          <w:noProof/>
        </w:rPr>
        <w:t>tępnie co dwa lata, Komisja przedstawia Parlamentowi Europejskiemu</w:t>
      </w:r>
      <w:r w:rsidR="005A1CAE" w:rsidRPr="005A1CAE">
        <w:rPr>
          <w:noProof/>
        </w:rPr>
        <w:t xml:space="preserve"> i</w:t>
      </w:r>
      <w:r w:rsidR="005A1CAE">
        <w:rPr>
          <w:noProof/>
        </w:rPr>
        <w:t> </w:t>
      </w:r>
      <w:r w:rsidR="005A1CAE" w:rsidRPr="005A1CAE">
        <w:rPr>
          <w:noProof/>
        </w:rPr>
        <w:t>Rad</w:t>
      </w:r>
      <w:r w:rsidRPr="005A1CAE">
        <w:rPr>
          <w:noProof/>
        </w:rPr>
        <w:t>zie sprawozdanie ze stosowania niniejszego rozporządzenia</w:t>
      </w:r>
      <w:r w:rsidR="005A1CAE" w:rsidRPr="005A1CAE">
        <w:rPr>
          <w:noProof/>
        </w:rPr>
        <w:t xml:space="preserve"> i</w:t>
      </w:r>
      <w:r w:rsidR="005A1CAE">
        <w:rPr>
          <w:noProof/>
        </w:rPr>
        <w:t> </w:t>
      </w:r>
      <w:r w:rsidR="005A1CAE" w:rsidRPr="005A1CAE">
        <w:rPr>
          <w:noProof/>
        </w:rPr>
        <w:t>fun</w:t>
      </w:r>
      <w:r w:rsidRPr="005A1CAE">
        <w:rPr>
          <w:noProof/>
        </w:rPr>
        <w:t>kcjonowania CBAM</w:t>
      </w:r>
      <w:r w:rsidR="005A1CAE" w:rsidRPr="005A1CAE">
        <w:rPr>
          <w:noProof/>
        </w:rPr>
        <w:t>. W</w:t>
      </w:r>
      <w:r w:rsidR="005A1CAE">
        <w:rPr>
          <w:noProof/>
        </w:rPr>
        <w:t> </w:t>
      </w:r>
      <w:r w:rsidR="005A1CAE" w:rsidRPr="005A1CAE">
        <w:rPr>
          <w:noProof/>
        </w:rPr>
        <w:t>sto</w:t>
      </w:r>
      <w:r w:rsidRPr="005A1CAE">
        <w:rPr>
          <w:noProof/>
        </w:rPr>
        <w:t xml:space="preserve">sownych przypadkach sprawozdaniu temu może towarzyszyć wniosek ustawodawczy lub akty wykonawcze lub delegowane przyjęte na podstawie niniejszego rozporządzenia. Sprawozdanie to zawiera co najmniej następujące elementy: </w:t>
      </w:r>
    </w:p>
    <w:p w14:paraId="5BA6BD65" w14:textId="77777777" w:rsidR="00E5517E" w:rsidRPr="005A1CAE" w:rsidRDefault="00C90F36" w:rsidP="00C558EE">
      <w:pPr>
        <w:ind w:left="720"/>
        <w:rPr>
          <w:noProof/>
        </w:rPr>
      </w:pPr>
      <w:r w:rsidRPr="005A1CAE">
        <w:rPr>
          <w:noProof/>
        </w:rPr>
        <w:t xml:space="preserve">a) ocenę wpływu CBAM na: </w:t>
      </w:r>
    </w:p>
    <w:p w14:paraId="26BCBC63" w14:textId="69ACFF86" w:rsidR="00020840" w:rsidRPr="005A1CAE" w:rsidRDefault="00020840" w:rsidP="00020840">
      <w:pPr>
        <w:ind w:left="720" w:firstLine="130"/>
        <w:rPr>
          <w:noProof/>
        </w:rPr>
      </w:pPr>
      <w:r w:rsidRPr="005A1CAE">
        <w:rPr>
          <w:noProof/>
        </w:rPr>
        <w:t>(i) ucieczkę emisji,</w:t>
      </w:r>
      <w:r w:rsidR="005A1CAE" w:rsidRPr="005A1CAE">
        <w:rPr>
          <w:noProof/>
        </w:rPr>
        <w:t xml:space="preserve"> w</w:t>
      </w:r>
      <w:r w:rsidR="005A1CAE">
        <w:rPr>
          <w:noProof/>
        </w:rPr>
        <w:t> </w:t>
      </w:r>
      <w:r w:rsidR="005A1CAE" w:rsidRPr="005A1CAE">
        <w:rPr>
          <w:noProof/>
        </w:rPr>
        <w:t>tym w</w:t>
      </w:r>
      <w:r w:rsidR="005A1CAE">
        <w:rPr>
          <w:noProof/>
        </w:rPr>
        <w:t> </w:t>
      </w:r>
      <w:r w:rsidR="005A1CAE" w:rsidRPr="005A1CAE">
        <w:rPr>
          <w:noProof/>
        </w:rPr>
        <w:t>odn</w:t>
      </w:r>
      <w:r w:rsidRPr="005A1CAE">
        <w:rPr>
          <w:noProof/>
        </w:rPr>
        <w:t xml:space="preserve">iesieniu do wywozu; </w:t>
      </w:r>
    </w:p>
    <w:p w14:paraId="3193DCA3" w14:textId="6290A5F3" w:rsidR="00020840" w:rsidRPr="005A1CAE" w:rsidRDefault="00020840" w:rsidP="00020840">
      <w:pPr>
        <w:ind w:left="720" w:firstLine="130"/>
        <w:rPr>
          <w:noProof/>
        </w:rPr>
      </w:pPr>
      <w:r w:rsidRPr="005A1CAE">
        <w:rPr>
          <w:noProof/>
        </w:rPr>
        <w:t xml:space="preserve">(ii) objęte sektory; </w:t>
      </w:r>
    </w:p>
    <w:p w14:paraId="10841550" w14:textId="4AE0CF43" w:rsidR="00020840" w:rsidRPr="005A1CAE" w:rsidRDefault="00020840" w:rsidP="00020840">
      <w:pPr>
        <w:ind w:left="720" w:firstLine="130"/>
        <w:rPr>
          <w:noProof/>
        </w:rPr>
      </w:pPr>
      <w:r w:rsidRPr="005A1CAE">
        <w:rPr>
          <w:noProof/>
        </w:rPr>
        <w:t>(iii) rynek wewnętrzny, skutki gospodarcze</w:t>
      </w:r>
      <w:r w:rsidR="005A1CAE" w:rsidRPr="005A1CAE">
        <w:rPr>
          <w:noProof/>
        </w:rPr>
        <w:t xml:space="preserve"> i</w:t>
      </w:r>
      <w:r w:rsidR="005A1CAE">
        <w:rPr>
          <w:noProof/>
        </w:rPr>
        <w:t> </w:t>
      </w:r>
      <w:r w:rsidR="005A1CAE" w:rsidRPr="005A1CAE">
        <w:rPr>
          <w:noProof/>
        </w:rPr>
        <w:t>ter</w:t>
      </w:r>
      <w:r w:rsidRPr="005A1CAE">
        <w:rPr>
          <w:noProof/>
        </w:rPr>
        <w:t>ytorialne</w:t>
      </w:r>
      <w:r w:rsidR="005A1CAE" w:rsidRPr="005A1CAE">
        <w:rPr>
          <w:noProof/>
        </w:rPr>
        <w:t xml:space="preserve"> w</w:t>
      </w:r>
      <w:r w:rsidR="005A1CAE">
        <w:rPr>
          <w:noProof/>
        </w:rPr>
        <w:t> </w:t>
      </w:r>
      <w:r w:rsidR="005A1CAE" w:rsidRPr="005A1CAE">
        <w:rPr>
          <w:noProof/>
        </w:rPr>
        <w:t>cał</w:t>
      </w:r>
      <w:r w:rsidRPr="005A1CAE">
        <w:rPr>
          <w:noProof/>
        </w:rPr>
        <w:t xml:space="preserve">ej Unii; </w:t>
      </w:r>
    </w:p>
    <w:p w14:paraId="3632451A" w14:textId="32FC31E4" w:rsidR="00020840" w:rsidRPr="005A1CAE" w:rsidRDefault="00020840" w:rsidP="00020840">
      <w:pPr>
        <w:ind w:left="720" w:firstLine="130"/>
        <w:rPr>
          <w:noProof/>
        </w:rPr>
      </w:pPr>
      <w:r w:rsidRPr="005A1CAE">
        <w:rPr>
          <w:noProof/>
        </w:rPr>
        <w:t>(iv) inflację</w:t>
      </w:r>
      <w:r w:rsidR="005A1CAE" w:rsidRPr="005A1CAE">
        <w:rPr>
          <w:noProof/>
        </w:rPr>
        <w:t xml:space="preserve"> i</w:t>
      </w:r>
      <w:r w:rsidR="005A1CAE">
        <w:rPr>
          <w:noProof/>
        </w:rPr>
        <w:t> </w:t>
      </w:r>
      <w:r w:rsidR="005A1CAE" w:rsidRPr="005A1CAE">
        <w:rPr>
          <w:noProof/>
        </w:rPr>
        <w:t>cen</w:t>
      </w:r>
      <w:r w:rsidRPr="005A1CAE">
        <w:rPr>
          <w:noProof/>
        </w:rPr>
        <w:t xml:space="preserve">ę towarów; </w:t>
      </w:r>
    </w:p>
    <w:p w14:paraId="4191C246" w14:textId="3D2F5280" w:rsidR="00020840" w:rsidRPr="005A1CAE" w:rsidRDefault="00020840" w:rsidP="00020840">
      <w:pPr>
        <w:ind w:left="720" w:firstLine="130"/>
        <w:rPr>
          <w:noProof/>
        </w:rPr>
      </w:pPr>
      <w:r w:rsidRPr="005A1CAE">
        <w:rPr>
          <w:noProof/>
        </w:rPr>
        <w:t>(v) sektory przemysłu wykorzystujące towary wymienione</w:t>
      </w:r>
      <w:r w:rsidR="005A1CAE" w:rsidRPr="005A1CAE">
        <w:rPr>
          <w:noProof/>
        </w:rPr>
        <w:t xml:space="preserve"> w</w:t>
      </w:r>
      <w:r w:rsidR="005A1CAE">
        <w:rPr>
          <w:noProof/>
        </w:rPr>
        <w:t> </w:t>
      </w:r>
      <w:r w:rsidR="005A1CAE" w:rsidRPr="005A1CAE">
        <w:rPr>
          <w:noProof/>
        </w:rPr>
        <w:t>zał</w:t>
      </w:r>
      <w:r w:rsidRPr="005A1CAE">
        <w:rPr>
          <w:noProof/>
        </w:rPr>
        <w:t xml:space="preserve">ączniku I; </w:t>
      </w:r>
    </w:p>
    <w:p w14:paraId="0FD6CA61" w14:textId="54910E0B" w:rsidR="00020840" w:rsidRPr="005A1CAE" w:rsidRDefault="00020840" w:rsidP="00020840">
      <w:pPr>
        <w:ind w:left="720" w:firstLine="130"/>
        <w:rPr>
          <w:noProof/>
        </w:rPr>
      </w:pPr>
      <w:r w:rsidRPr="005A1CAE">
        <w:rPr>
          <w:noProof/>
        </w:rPr>
        <w:t>(vi) handel międzynarodowy,</w:t>
      </w:r>
      <w:r w:rsidR="005A1CAE" w:rsidRPr="005A1CAE">
        <w:rPr>
          <w:noProof/>
        </w:rPr>
        <w:t xml:space="preserve"> w</w:t>
      </w:r>
      <w:r w:rsidR="005A1CAE">
        <w:rPr>
          <w:noProof/>
        </w:rPr>
        <w:t> </w:t>
      </w:r>
      <w:r w:rsidR="005A1CAE" w:rsidRPr="005A1CAE">
        <w:rPr>
          <w:noProof/>
        </w:rPr>
        <w:t>tym</w:t>
      </w:r>
      <w:r w:rsidRPr="005A1CAE">
        <w:rPr>
          <w:noProof/>
        </w:rPr>
        <w:t xml:space="preserve"> przesuwanie zasobów; oraz </w:t>
      </w:r>
    </w:p>
    <w:p w14:paraId="3E1EA1A3" w14:textId="15790874" w:rsidR="00257943" w:rsidRPr="005A1CAE" w:rsidRDefault="00020840" w:rsidP="00020840">
      <w:pPr>
        <w:ind w:left="720" w:firstLine="130"/>
        <w:rPr>
          <w:noProof/>
        </w:rPr>
      </w:pPr>
      <w:r w:rsidRPr="005A1CAE">
        <w:rPr>
          <w:noProof/>
        </w:rPr>
        <w:t>(vii) kraje najsłabiej rozwinięte;</w:t>
      </w:r>
    </w:p>
    <w:p w14:paraId="382BBF1C" w14:textId="77777777" w:rsidR="00640CB0" w:rsidRPr="005A1CAE" w:rsidRDefault="00790A16" w:rsidP="00640CB0">
      <w:pPr>
        <w:ind w:left="720"/>
        <w:rPr>
          <w:noProof/>
        </w:rPr>
      </w:pPr>
      <w:r w:rsidRPr="005A1CAE">
        <w:rPr>
          <w:noProof/>
        </w:rPr>
        <w:t xml:space="preserve">b) ocenę: </w:t>
      </w:r>
    </w:p>
    <w:p w14:paraId="014F674C" w14:textId="797F8D22" w:rsidR="00313CC4" w:rsidRPr="005A1CAE" w:rsidRDefault="00313CC4" w:rsidP="00313CC4">
      <w:pPr>
        <w:ind w:left="720" w:firstLine="130"/>
        <w:rPr>
          <w:noProof/>
        </w:rPr>
      </w:pPr>
      <w:r w:rsidRPr="005A1CAE">
        <w:rPr>
          <w:noProof/>
        </w:rPr>
        <w:t>(i) systemu zarządzania,</w:t>
      </w:r>
      <w:r w:rsidR="005A1CAE" w:rsidRPr="005A1CAE">
        <w:rPr>
          <w:noProof/>
        </w:rPr>
        <w:t xml:space="preserve"> w</w:t>
      </w:r>
      <w:r w:rsidR="005A1CAE">
        <w:rPr>
          <w:noProof/>
        </w:rPr>
        <w:t> </w:t>
      </w:r>
      <w:r w:rsidR="005A1CAE" w:rsidRPr="005A1CAE">
        <w:rPr>
          <w:noProof/>
        </w:rPr>
        <w:t>tym</w:t>
      </w:r>
      <w:r w:rsidRPr="005A1CAE">
        <w:rPr>
          <w:noProof/>
        </w:rPr>
        <w:t xml:space="preserve"> ocenę wdrażania gwarancji</w:t>
      </w:r>
      <w:r w:rsidR="005A1CAE" w:rsidRPr="005A1CAE">
        <w:rPr>
          <w:noProof/>
        </w:rPr>
        <w:t xml:space="preserve"> i</w:t>
      </w:r>
      <w:r w:rsidR="005A1CAE">
        <w:rPr>
          <w:noProof/>
        </w:rPr>
        <w:t> </w:t>
      </w:r>
      <w:r w:rsidR="005A1CAE" w:rsidRPr="005A1CAE">
        <w:rPr>
          <w:noProof/>
        </w:rPr>
        <w:t>ora</w:t>
      </w:r>
      <w:r w:rsidRPr="005A1CAE">
        <w:rPr>
          <w:noProof/>
        </w:rPr>
        <w:t>z administrowania gwarancjami</w:t>
      </w:r>
      <w:r w:rsidR="005A1CAE" w:rsidRPr="005A1CAE">
        <w:rPr>
          <w:noProof/>
        </w:rPr>
        <w:t xml:space="preserve"> i</w:t>
      </w:r>
      <w:r w:rsidR="005A1CAE">
        <w:rPr>
          <w:noProof/>
        </w:rPr>
        <w:t> </w:t>
      </w:r>
      <w:r w:rsidR="005A1CAE" w:rsidRPr="005A1CAE">
        <w:rPr>
          <w:noProof/>
        </w:rPr>
        <w:t>upo</w:t>
      </w:r>
      <w:r w:rsidRPr="005A1CAE">
        <w:rPr>
          <w:noProof/>
        </w:rPr>
        <w:t>ważnieniami zgłaszających CBAM przez państwa członkowskie;</w:t>
      </w:r>
    </w:p>
    <w:p w14:paraId="5E3A8515" w14:textId="4CDA01DF" w:rsidR="00313CC4" w:rsidRPr="005A1CAE" w:rsidRDefault="00313CC4" w:rsidP="00313CC4">
      <w:pPr>
        <w:ind w:left="720" w:firstLine="130"/>
        <w:rPr>
          <w:noProof/>
        </w:rPr>
      </w:pPr>
      <w:r w:rsidRPr="005A1CAE">
        <w:rPr>
          <w:noProof/>
        </w:rPr>
        <w:t>(ii) zakresu stosowania niniejszego rozporządzenia,</w:t>
      </w:r>
      <w:r w:rsidR="005A1CAE" w:rsidRPr="005A1CAE">
        <w:rPr>
          <w:noProof/>
        </w:rPr>
        <w:t xml:space="preserve"> w</w:t>
      </w:r>
      <w:r w:rsidR="005A1CAE">
        <w:rPr>
          <w:noProof/>
        </w:rPr>
        <w:t> </w:t>
      </w:r>
      <w:r w:rsidR="005A1CAE" w:rsidRPr="005A1CAE">
        <w:rPr>
          <w:noProof/>
        </w:rPr>
        <w:t>tym</w:t>
      </w:r>
      <w:r w:rsidRPr="005A1CAE">
        <w:rPr>
          <w:noProof/>
        </w:rPr>
        <w:t xml:space="preserve"> możliwość rozszerzenia zakresu stosowania niniejszego rozporządzenia na dodatkowe towary,</w:t>
      </w:r>
      <w:r w:rsidR="005A1CAE" w:rsidRPr="005A1CAE">
        <w:rPr>
          <w:noProof/>
        </w:rPr>
        <w:t xml:space="preserve"> w</w:t>
      </w:r>
      <w:r w:rsidR="005A1CAE">
        <w:rPr>
          <w:noProof/>
        </w:rPr>
        <w:t> </w:t>
      </w:r>
      <w:r w:rsidR="005A1CAE" w:rsidRPr="005A1CAE">
        <w:rPr>
          <w:noProof/>
        </w:rPr>
        <w:t>prz</w:t>
      </w:r>
      <w:r w:rsidRPr="005A1CAE">
        <w:rPr>
          <w:noProof/>
        </w:rPr>
        <w:t xml:space="preserve">ypadku których istnieje ryzyko ucieczki emisji; </w:t>
      </w:r>
    </w:p>
    <w:p w14:paraId="0610527F" w14:textId="4CF28053" w:rsidR="00152C9B" w:rsidRPr="005A1CAE" w:rsidRDefault="00313CC4" w:rsidP="00152C9B">
      <w:pPr>
        <w:ind w:left="720" w:firstLine="130"/>
        <w:rPr>
          <w:noProof/>
        </w:rPr>
      </w:pPr>
      <w:r w:rsidRPr="005A1CAE">
        <w:rPr>
          <w:noProof/>
        </w:rPr>
        <w:t>(iia) odpowiedniości aktów wykonawczych</w:t>
      </w:r>
      <w:r w:rsidR="005A1CAE" w:rsidRPr="005A1CAE">
        <w:rPr>
          <w:noProof/>
        </w:rPr>
        <w:t xml:space="preserve"> i</w:t>
      </w:r>
      <w:r w:rsidR="005A1CAE">
        <w:rPr>
          <w:noProof/>
        </w:rPr>
        <w:t> </w:t>
      </w:r>
      <w:r w:rsidR="005A1CAE" w:rsidRPr="005A1CAE">
        <w:rPr>
          <w:noProof/>
        </w:rPr>
        <w:t>akt</w:t>
      </w:r>
      <w:r w:rsidRPr="005A1CAE">
        <w:rPr>
          <w:noProof/>
        </w:rPr>
        <w:t xml:space="preserve">ów delegowanych przyjętych na podstawie niniejszego rozporządzenia; </w:t>
      </w:r>
    </w:p>
    <w:p w14:paraId="3B39853D" w14:textId="7CEFC94D" w:rsidR="00D115A0" w:rsidRPr="005A1CAE" w:rsidRDefault="008A0EA1" w:rsidP="00313CC4">
      <w:pPr>
        <w:ind w:left="720" w:firstLine="130"/>
        <w:rPr>
          <w:noProof/>
        </w:rPr>
      </w:pPr>
      <w:r w:rsidRPr="005A1CAE">
        <w:rPr>
          <w:noProof/>
        </w:rPr>
        <w:t>(iib) odpowiedniości metod ustalania wartości domyślnych</w:t>
      </w:r>
      <w:r w:rsidR="005A1CAE" w:rsidRPr="005A1CAE">
        <w:rPr>
          <w:noProof/>
        </w:rPr>
        <w:t xml:space="preserve"> i</w:t>
      </w:r>
      <w:r w:rsidR="005A1CAE">
        <w:rPr>
          <w:noProof/>
        </w:rPr>
        <w:t> </w:t>
      </w:r>
      <w:r w:rsidR="005A1CAE" w:rsidRPr="005A1CAE">
        <w:rPr>
          <w:noProof/>
        </w:rPr>
        <w:t>nar</w:t>
      </w:r>
      <w:r w:rsidRPr="005A1CAE">
        <w:rPr>
          <w:noProof/>
        </w:rPr>
        <w:t>zutu stosowanego do wartości domyślnych;</w:t>
      </w:r>
    </w:p>
    <w:p w14:paraId="28B94A5B" w14:textId="77777777" w:rsidR="00313CC4" w:rsidRPr="005A1CAE" w:rsidRDefault="00313CC4" w:rsidP="00313CC4">
      <w:pPr>
        <w:ind w:left="720" w:firstLine="130"/>
        <w:rPr>
          <w:noProof/>
        </w:rPr>
      </w:pPr>
      <w:r w:rsidRPr="005A1CAE">
        <w:rPr>
          <w:noProof/>
        </w:rPr>
        <w:t xml:space="preserve">(iii) praktyk obchodzenia przepisów; </w:t>
      </w:r>
    </w:p>
    <w:p w14:paraId="67664CB0" w14:textId="6F5FB6E1" w:rsidR="00313CC4" w:rsidRPr="005A1CAE" w:rsidRDefault="00313CC4" w:rsidP="00313CC4">
      <w:pPr>
        <w:ind w:left="720" w:firstLine="130"/>
        <w:rPr>
          <w:noProof/>
        </w:rPr>
      </w:pPr>
      <w:r w:rsidRPr="005A1CAE">
        <w:rPr>
          <w:noProof/>
        </w:rPr>
        <w:t>(iv) stosowania kar</w:t>
      </w:r>
      <w:r w:rsidR="005A1CAE" w:rsidRPr="005A1CAE">
        <w:rPr>
          <w:noProof/>
        </w:rPr>
        <w:t xml:space="preserve"> w</w:t>
      </w:r>
      <w:r w:rsidR="005A1CAE">
        <w:rPr>
          <w:noProof/>
        </w:rPr>
        <w:t> </w:t>
      </w:r>
      <w:r w:rsidR="005A1CAE" w:rsidRPr="005A1CAE">
        <w:rPr>
          <w:noProof/>
        </w:rPr>
        <w:t>pań</w:t>
      </w:r>
      <w:r w:rsidRPr="005A1CAE">
        <w:rPr>
          <w:noProof/>
        </w:rPr>
        <w:t xml:space="preserve">stwach członkowskich; </w:t>
      </w:r>
    </w:p>
    <w:p w14:paraId="5A98EEA7" w14:textId="4E5610A4" w:rsidR="0031180B" w:rsidRPr="005A1CAE" w:rsidRDefault="00313CC4" w:rsidP="00313CC4">
      <w:pPr>
        <w:ind w:left="720" w:firstLine="130"/>
        <w:rPr>
          <w:noProof/>
        </w:rPr>
      </w:pPr>
      <w:r w:rsidRPr="005A1CAE">
        <w:rPr>
          <w:noProof/>
        </w:rPr>
        <w:lastRenderedPageBreak/>
        <w:t>(v) stosowania jednolitego progu masy,</w:t>
      </w:r>
      <w:r w:rsidR="005A1CAE" w:rsidRPr="005A1CAE">
        <w:rPr>
          <w:noProof/>
        </w:rPr>
        <w:t xml:space="preserve"> w</w:t>
      </w:r>
      <w:r w:rsidR="005A1CAE">
        <w:rPr>
          <w:noProof/>
        </w:rPr>
        <w:t> </w:t>
      </w:r>
      <w:r w:rsidR="005A1CAE" w:rsidRPr="005A1CAE">
        <w:rPr>
          <w:noProof/>
        </w:rPr>
        <w:t>tym</w:t>
      </w:r>
      <w:r w:rsidRPr="005A1CAE">
        <w:rPr>
          <w:noProof/>
        </w:rPr>
        <w:t xml:space="preserve"> możliwości podwyższenia go oraz wprowadzenia dodatkowego progu opartego na przesyłkach;</w:t>
      </w:r>
    </w:p>
    <w:p w14:paraId="38085A08" w14:textId="5CBC8CD6" w:rsidR="00694738" w:rsidRPr="005A1CAE" w:rsidRDefault="00DC1FF4" w:rsidP="00694738">
      <w:pPr>
        <w:ind w:left="720"/>
        <w:rPr>
          <w:noProof/>
        </w:rPr>
      </w:pPr>
      <w:r w:rsidRPr="005A1CAE">
        <w:rPr>
          <w:noProof/>
        </w:rPr>
        <w:t>c) wyników dochodzeń</w:t>
      </w:r>
      <w:r w:rsidR="005A1CAE" w:rsidRPr="005A1CAE">
        <w:rPr>
          <w:noProof/>
        </w:rPr>
        <w:t xml:space="preserve"> i</w:t>
      </w:r>
      <w:r w:rsidR="005A1CAE">
        <w:rPr>
          <w:noProof/>
        </w:rPr>
        <w:t> </w:t>
      </w:r>
      <w:r w:rsidR="005A1CAE" w:rsidRPr="005A1CAE">
        <w:rPr>
          <w:noProof/>
        </w:rPr>
        <w:t>nał</w:t>
      </w:r>
      <w:r w:rsidRPr="005A1CAE">
        <w:rPr>
          <w:noProof/>
        </w:rPr>
        <w:t>ożonych kar;</w:t>
      </w:r>
    </w:p>
    <w:p w14:paraId="3372A4D2" w14:textId="434E4488" w:rsidR="00DC1FF4" w:rsidRPr="005A1CAE" w:rsidRDefault="00694738" w:rsidP="00D5610F">
      <w:pPr>
        <w:ind w:left="720"/>
        <w:rPr>
          <w:noProof/>
        </w:rPr>
      </w:pPr>
      <w:r w:rsidRPr="005A1CAE">
        <w:rPr>
          <w:noProof/>
        </w:rPr>
        <w:t>d) zagregowanych informacji na temat intensywności emisji związanych</w:t>
      </w:r>
      <w:r w:rsidR="005A1CAE" w:rsidRPr="005A1CAE">
        <w:rPr>
          <w:noProof/>
        </w:rPr>
        <w:t xml:space="preserve"> z</w:t>
      </w:r>
      <w:r w:rsidR="005A1CAE">
        <w:rPr>
          <w:noProof/>
        </w:rPr>
        <w:t> </w:t>
      </w:r>
      <w:r w:rsidR="005A1CAE" w:rsidRPr="005A1CAE">
        <w:rPr>
          <w:noProof/>
        </w:rPr>
        <w:t>róż</w:t>
      </w:r>
      <w:r w:rsidRPr="005A1CAE">
        <w:rPr>
          <w:noProof/>
        </w:rPr>
        <w:t>nymi towarami wymienionymi</w:t>
      </w:r>
      <w:r w:rsidR="005A1CAE" w:rsidRPr="005A1CAE">
        <w:rPr>
          <w:noProof/>
        </w:rPr>
        <w:t xml:space="preserve"> w</w:t>
      </w:r>
      <w:r w:rsidR="005A1CAE">
        <w:rPr>
          <w:noProof/>
        </w:rPr>
        <w:t> </w:t>
      </w:r>
      <w:r w:rsidR="005A1CAE" w:rsidRPr="005A1CAE">
        <w:rPr>
          <w:noProof/>
        </w:rPr>
        <w:t>zał</w:t>
      </w:r>
      <w:r w:rsidRPr="005A1CAE">
        <w:rPr>
          <w:noProof/>
        </w:rPr>
        <w:t>ączniku I w każdym</w:t>
      </w:r>
      <w:r w:rsidR="005A1CAE" w:rsidRPr="005A1CAE">
        <w:rPr>
          <w:noProof/>
        </w:rPr>
        <w:t xml:space="preserve"> z</w:t>
      </w:r>
      <w:r w:rsidR="005A1CAE">
        <w:rPr>
          <w:noProof/>
        </w:rPr>
        <w:t> </w:t>
      </w:r>
      <w:r w:rsidR="005A1CAE" w:rsidRPr="005A1CAE">
        <w:rPr>
          <w:noProof/>
        </w:rPr>
        <w:t>pań</w:t>
      </w:r>
      <w:r w:rsidRPr="005A1CAE">
        <w:rPr>
          <w:noProof/>
        </w:rPr>
        <w:t>stw pochodzenia.”;</w:t>
      </w:r>
    </w:p>
    <w:p w14:paraId="5029E3CE" w14:textId="5115FBED" w:rsidR="00BF52AF" w:rsidRPr="005A1CAE" w:rsidRDefault="00874ACF" w:rsidP="00874ACF">
      <w:pPr>
        <w:pStyle w:val="Point0"/>
        <w:rPr>
          <w:noProof/>
        </w:rPr>
      </w:pPr>
      <w:r w:rsidRPr="005A1CAE">
        <w:rPr>
          <w:noProof/>
        </w:rPr>
        <w:t>21.</w:t>
      </w:r>
      <w:r w:rsidRPr="005A1CAE">
        <w:rPr>
          <w:noProof/>
        </w:rPr>
        <w:tab/>
        <w:t>w załączniku I wprowadza się zmiany zgodnie</w:t>
      </w:r>
      <w:r w:rsidR="005A1CAE" w:rsidRPr="005A1CAE">
        <w:rPr>
          <w:noProof/>
        </w:rPr>
        <w:t xml:space="preserve"> z</w:t>
      </w:r>
      <w:r w:rsidR="005A1CAE">
        <w:rPr>
          <w:noProof/>
        </w:rPr>
        <w:t> </w:t>
      </w:r>
      <w:r w:rsidR="005A1CAE" w:rsidRPr="005A1CAE">
        <w:rPr>
          <w:noProof/>
        </w:rPr>
        <w:t>zał</w:t>
      </w:r>
      <w:r w:rsidRPr="005A1CAE">
        <w:rPr>
          <w:noProof/>
        </w:rPr>
        <w:t>ącznikiem I do niniejszego rozporządzenia;</w:t>
      </w:r>
    </w:p>
    <w:p w14:paraId="721535AB" w14:textId="43C6BB0D" w:rsidR="00BF52AF" w:rsidRPr="005A1CAE" w:rsidRDefault="00874ACF" w:rsidP="00874ACF">
      <w:pPr>
        <w:pStyle w:val="Point0"/>
        <w:rPr>
          <w:noProof/>
        </w:rPr>
      </w:pPr>
      <w:r w:rsidRPr="005A1CAE">
        <w:rPr>
          <w:noProof/>
        </w:rPr>
        <w:t>22.</w:t>
      </w:r>
      <w:r w:rsidRPr="005A1CAE">
        <w:rPr>
          <w:noProof/>
        </w:rPr>
        <w:tab/>
        <w:t>w załączniku IV wprowadza się zmiany zgodnie</w:t>
      </w:r>
      <w:r w:rsidR="005A1CAE" w:rsidRPr="005A1CAE">
        <w:rPr>
          <w:noProof/>
        </w:rPr>
        <w:t xml:space="preserve"> z</w:t>
      </w:r>
      <w:r w:rsidR="005A1CAE">
        <w:rPr>
          <w:noProof/>
        </w:rPr>
        <w:t> </w:t>
      </w:r>
      <w:r w:rsidR="005A1CAE" w:rsidRPr="005A1CAE">
        <w:rPr>
          <w:noProof/>
        </w:rPr>
        <w:t>zał</w:t>
      </w:r>
      <w:r w:rsidRPr="005A1CAE">
        <w:rPr>
          <w:noProof/>
        </w:rPr>
        <w:t>ącznikiem II do niniejszego rozporządzenia;</w:t>
      </w:r>
    </w:p>
    <w:p w14:paraId="32B8C72D" w14:textId="39886BEC" w:rsidR="005174B4" w:rsidRPr="005A1CAE" w:rsidRDefault="00874ACF" w:rsidP="00874ACF">
      <w:pPr>
        <w:pStyle w:val="Point0"/>
        <w:rPr>
          <w:noProof/>
        </w:rPr>
      </w:pPr>
      <w:r w:rsidRPr="005A1CAE">
        <w:rPr>
          <w:noProof/>
        </w:rPr>
        <w:t>23.</w:t>
      </w:r>
      <w:r w:rsidRPr="005A1CAE">
        <w:rPr>
          <w:noProof/>
        </w:rPr>
        <w:tab/>
        <w:t>w załączniku VI pkt</w:t>
      </w:r>
      <w:r w:rsidR="005A1CAE" w:rsidRPr="005A1CAE">
        <w:rPr>
          <w:noProof/>
        </w:rPr>
        <w:t> </w:t>
      </w:r>
      <w:r w:rsidRPr="005A1CAE">
        <w:rPr>
          <w:noProof/>
        </w:rPr>
        <w:t xml:space="preserve">2 wprowadza się następujące zmiany: </w:t>
      </w:r>
    </w:p>
    <w:p w14:paraId="75BDCC1B" w14:textId="5A84873D" w:rsidR="001F57E1" w:rsidRPr="005A1CAE" w:rsidRDefault="00874ACF" w:rsidP="00874ACF">
      <w:pPr>
        <w:pStyle w:val="Point1"/>
        <w:rPr>
          <w:noProof/>
        </w:rPr>
      </w:pPr>
      <w:r w:rsidRPr="005A1CAE">
        <w:rPr>
          <w:noProof/>
        </w:rPr>
        <w:t>a)</w:t>
      </w:r>
      <w:r w:rsidRPr="005A1CAE">
        <w:rPr>
          <w:noProof/>
        </w:rPr>
        <w:tab/>
        <w:t>skreśla się lit.</w:t>
      </w:r>
      <w:r w:rsidR="005A1CAE" w:rsidRPr="005A1CAE">
        <w:rPr>
          <w:noProof/>
        </w:rPr>
        <w:t> </w:t>
      </w:r>
      <w:r w:rsidRPr="005A1CAE">
        <w:rPr>
          <w:noProof/>
        </w:rPr>
        <w:t>g)–j);</w:t>
      </w:r>
    </w:p>
    <w:p w14:paraId="0D4C21F2" w14:textId="00485377" w:rsidR="00991E9E" w:rsidRPr="005A1CAE" w:rsidRDefault="00874ACF" w:rsidP="00874ACF">
      <w:pPr>
        <w:pStyle w:val="Point1"/>
        <w:rPr>
          <w:noProof/>
        </w:rPr>
      </w:pPr>
      <w:r w:rsidRPr="005A1CAE">
        <w:rPr>
          <w:noProof/>
        </w:rPr>
        <w:t>b)</w:t>
      </w:r>
      <w:r w:rsidRPr="005A1CAE">
        <w:rPr>
          <w:noProof/>
        </w:rPr>
        <w:tab/>
        <w:t>dodaje się lit. ka)</w:t>
      </w:r>
      <w:r w:rsidR="005A1CAE" w:rsidRPr="005A1CAE">
        <w:rPr>
          <w:noProof/>
        </w:rPr>
        <w:t xml:space="preserve"> w</w:t>
      </w:r>
      <w:r w:rsidR="005A1CAE">
        <w:rPr>
          <w:noProof/>
        </w:rPr>
        <w:t> </w:t>
      </w:r>
      <w:r w:rsidR="005A1CAE" w:rsidRPr="005A1CAE">
        <w:rPr>
          <w:noProof/>
        </w:rPr>
        <w:t>brz</w:t>
      </w:r>
      <w:r w:rsidRPr="005A1CAE">
        <w:rPr>
          <w:noProof/>
        </w:rPr>
        <w:t>mieniu:</w:t>
      </w:r>
    </w:p>
    <w:p w14:paraId="3CBEF763" w14:textId="77777777" w:rsidR="00991E9E" w:rsidRPr="005A1CAE" w:rsidRDefault="00991E9E" w:rsidP="00991E9E">
      <w:pPr>
        <w:ind w:left="720"/>
        <w:rPr>
          <w:noProof/>
        </w:rPr>
      </w:pPr>
      <w:r w:rsidRPr="005A1CAE">
        <w:rPr>
          <w:noProof/>
        </w:rPr>
        <w:t xml:space="preserve"> „ka) skład materiałowy każdego towaru niższego szczebla;”;</w:t>
      </w:r>
    </w:p>
    <w:p w14:paraId="05256CD5" w14:textId="1820D1BD" w:rsidR="00BF52AF" w:rsidRPr="005A1CAE" w:rsidRDefault="00874ACF" w:rsidP="00874ACF">
      <w:pPr>
        <w:pStyle w:val="Point0"/>
        <w:rPr>
          <w:noProof/>
        </w:rPr>
      </w:pPr>
      <w:r w:rsidRPr="005A1CAE">
        <w:rPr>
          <w:noProof/>
        </w:rPr>
        <w:t>24.</w:t>
      </w:r>
      <w:r w:rsidRPr="005A1CAE">
        <w:rPr>
          <w:noProof/>
        </w:rPr>
        <w:tab/>
        <w:t>dodaje się nowy załącznik VIII</w:t>
      </w:r>
      <w:r w:rsidR="005A1CAE" w:rsidRPr="005A1CAE">
        <w:rPr>
          <w:noProof/>
        </w:rPr>
        <w:t xml:space="preserve"> w</w:t>
      </w:r>
      <w:r w:rsidR="005A1CAE">
        <w:rPr>
          <w:noProof/>
        </w:rPr>
        <w:t> </w:t>
      </w:r>
      <w:r w:rsidR="005A1CAE" w:rsidRPr="005A1CAE">
        <w:rPr>
          <w:noProof/>
        </w:rPr>
        <w:t>brz</w:t>
      </w:r>
      <w:r w:rsidRPr="005A1CAE">
        <w:rPr>
          <w:noProof/>
        </w:rPr>
        <w:t>mieniu określonym</w:t>
      </w:r>
      <w:r w:rsidR="005A1CAE" w:rsidRPr="005A1CAE">
        <w:rPr>
          <w:noProof/>
        </w:rPr>
        <w:t xml:space="preserve"> w</w:t>
      </w:r>
      <w:r w:rsidR="005A1CAE">
        <w:rPr>
          <w:noProof/>
        </w:rPr>
        <w:t> </w:t>
      </w:r>
      <w:r w:rsidR="005A1CAE" w:rsidRPr="005A1CAE">
        <w:rPr>
          <w:noProof/>
        </w:rPr>
        <w:t>zał</w:t>
      </w:r>
      <w:r w:rsidRPr="005A1CAE">
        <w:rPr>
          <w:noProof/>
        </w:rPr>
        <w:t>ączniku III do niniejszego rozporządzenia.</w:t>
      </w:r>
    </w:p>
    <w:p w14:paraId="07CCCF05" w14:textId="77777777" w:rsidR="00D0690F" w:rsidRPr="005A1CAE" w:rsidRDefault="00D0690F" w:rsidP="009F612D">
      <w:pPr>
        <w:pStyle w:val="Titrearticle"/>
        <w:rPr>
          <w:noProof/>
        </w:rPr>
      </w:pPr>
      <w:r w:rsidRPr="005A1CAE">
        <w:rPr>
          <w:noProof/>
        </w:rPr>
        <w:t>Artykuł 2</w:t>
      </w:r>
    </w:p>
    <w:p w14:paraId="572EA9AA" w14:textId="364D7ACA" w:rsidR="00D0690F" w:rsidRPr="005A1CAE" w:rsidRDefault="00D0690F" w:rsidP="00D0690F">
      <w:pPr>
        <w:pStyle w:val="Titrearticle"/>
        <w:rPr>
          <w:b/>
          <w:bCs/>
          <w:i w:val="0"/>
          <w:iCs/>
          <w:noProof/>
        </w:rPr>
      </w:pPr>
      <w:r w:rsidRPr="005A1CAE">
        <w:rPr>
          <w:b/>
          <w:i w:val="0"/>
          <w:noProof/>
        </w:rPr>
        <w:t>Wejście</w:t>
      </w:r>
      <w:r w:rsidR="005A1CAE" w:rsidRPr="005A1CAE">
        <w:rPr>
          <w:b/>
          <w:i w:val="0"/>
          <w:noProof/>
        </w:rPr>
        <w:t xml:space="preserve"> w</w:t>
      </w:r>
      <w:r w:rsidR="005A1CAE">
        <w:rPr>
          <w:b/>
          <w:i w:val="0"/>
          <w:noProof/>
        </w:rPr>
        <w:t> </w:t>
      </w:r>
      <w:r w:rsidR="005A1CAE" w:rsidRPr="005A1CAE">
        <w:rPr>
          <w:b/>
          <w:i w:val="0"/>
          <w:noProof/>
        </w:rPr>
        <w:t>życ</w:t>
      </w:r>
      <w:r w:rsidRPr="005A1CAE">
        <w:rPr>
          <w:b/>
          <w:i w:val="0"/>
          <w:noProof/>
        </w:rPr>
        <w:t>ie</w:t>
      </w:r>
      <w:r w:rsidR="005A1CAE" w:rsidRPr="005A1CAE">
        <w:rPr>
          <w:b/>
          <w:i w:val="0"/>
          <w:noProof/>
        </w:rPr>
        <w:t xml:space="preserve"> i</w:t>
      </w:r>
      <w:r w:rsidR="005A1CAE">
        <w:rPr>
          <w:b/>
          <w:i w:val="0"/>
          <w:noProof/>
        </w:rPr>
        <w:t> </w:t>
      </w:r>
      <w:r w:rsidR="005A1CAE" w:rsidRPr="005A1CAE">
        <w:rPr>
          <w:b/>
          <w:i w:val="0"/>
          <w:noProof/>
        </w:rPr>
        <w:t>roz</w:t>
      </w:r>
      <w:r w:rsidRPr="005A1CAE">
        <w:rPr>
          <w:b/>
          <w:i w:val="0"/>
          <w:noProof/>
        </w:rPr>
        <w:t>poczęcie stosowania</w:t>
      </w:r>
    </w:p>
    <w:p w14:paraId="342FB719" w14:textId="528F4591" w:rsidR="00D0690F" w:rsidRPr="005A1CAE" w:rsidRDefault="00D0690F" w:rsidP="0008463C">
      <w:pPr>
        <w:rPr>
          <w:noProof/>
        </w:rPr>
      </w:pPr>
      <w:r w:rsidRPr="005A1CAE">
        <w:rPr>
          <w:noProof/>
        </w:rPr>
        <w:t>Niniejsze rozporządzenie wchodzi</w:t>
      </w:r>
      <w:r w:rsidR="005A1CAE" w:rsidRPr="005A1CAE">
        <w:rPr>
          <w:noProof/>
        </w:rPr>
        <w:t xml:space="preserve"> w</w:t>
      </w:r>
      <w:r w:rsidR="005A1CAE">
        <w:rPr>
          <w:noProof/>
        </w:rPr>
        <w:t> </w:t>
      </w:r>
      <w:r w:rsidR="005A1CAE" w:rsidRPr="005A1CAE">
        <w:rPr>
          <w:noProof/>
        </w:rPr>
        <w:t>życ</w:t>
      </w:r>
      <w:r w:rsidRPr="005A1CAE">
        <w:rPr>
          <w:noProof/>
        </w:rPr>
        <w:t>ie trzeciego dnia po jego opublikowaniu</w:t>
      </w:r>
      <w:r w:rsidR="005A1CAE" w:rsidRPr="005A1CAE">
        <w:rPr>
          <w:noProof/>
        </w:rPr>
        <w:t xml:space="preserve"> w</w:t>
      </w:r>
      <w:r w:rsidR="005A1CAE">
        <w:rPr>
          <w:noProof/>
        </w:rPr>
        <w:t> </w:t>
      </w:r>
      <w:r w:rsidR="005A1CAE" w:rsidRPr="005A1CAE">
        <w:rPr>
          <w:i/>
          <w:noProof/>
        </w:rPr>
        <w:t>Dzi</w:t>
      </w:r>
      <w:r w:rsidRPr="005A1CAE">
        <w:rPr>
          <w:i/>
          <w:noProof/>
        </w:rPr>
        <w:t>enniku Urzędowym Unii Europejskiej.</w:t>
      </w:r>
    </w:p>
    <w:p w14:paraId="259019D8" w14:textId="41319B2A" w:rsidR="00803C5F" w:rsidRPr="005A1CAE" w:rsidRDefault="009C5E6D" w:rsidP="00D85BE0">
      <w:pPr>
        <w:spacing w:before="0"/>
        <w:rPr>
          <w:noProof/>
        </w:rPr>
      </w:pPr>
      <w:r w:rsidRPr="005A1CAE">
        <w:rPr>
          <w:noProof/>
        </w:rPr>
        <w:t>Pkt 1</w:t>
      </w:r>
      <w:r w:rsidR="005A1CAE" w:rsidRPr="005A1CAE">
        <w:rPr>
          <w:noProof/>
        </w:rPr>
        <w:t xml:space="preserve"> i</w:t>
      </w:r>
      <w:r w:rsidR="005A1CAE">
        <w:rPr>
          <w:noProof/>
        </w:rPr>
        <w:t> </w:t>
      </w:r>
      <w:r w:rsidR="005A1CAE" w:rsidRPr="005A1CAE">
        <w:rPr>
          <w:noProof/>
        </w:rPr>
        <w:t>6</w:t>
      </w:r>
      <w:r w:rsidRPr="005A1CAE">
        <w:rPr>
          <w:noProof/>
        </w:rPr>
        <w:t xml:space="preserve"> załącznika II stosuje się od dnia 1 stycznia 2026</w:t>
      </w:r>
      <w:r w:rsidR="005A1CAE" w:rsidRPr="005A1CAE">
        <w:rPr>
          <w:noProof/>
        </w:rPr>
        <w:t> </w:t>
      </w:r>
      <w:r w:rsidRPr="005A1CAE">
        <w:rPr>
          <w:noProof/>
        </w:rPr>
        <w:t>r.</w:t>
      </w:r>
    </w:p>
    <w:p w14:paraId="243C2C31" w14:textId="4149CF26" w:rsidR="00713B8C" w:rsidRPr="005A1CAE" w:rsidRDefault="009054DB" w:rsidP="0042768F">
      <w:pPr>
        <w:spacing w:before="0"/>
        <w:rPr>
          <w:noProof/>
        </w:rPr>
      </w:pPr>
      <w:r w:rsidRPr="005A1CAE">
        <w:rPr>
          <w:noProof/>
        </w:rPr>
        <w:t>Art. 1 ust.</w:t>
      </w:r>
      <w:r w:rsidR="005A1CAE" w:rsidRPr="005A1CAE">
        <w:rPr>
          <w:noProof/>
        </w:rPr>
        <w:t> </w:t>
      </w:r>
      <w:r w:rsidRPr="005A1CAE">
        <w:rPr>
          <w:noProof/>
        </w:rPr>
        <w:t>6 lit.</w:t>
      </w:r>
      <w:r w:rsidR="005A1CAE" w:rsidRPr="005A1CAE">
        <w:rPr>
          <w:noProof/>
        </w:rPr>
        <w:t> </w:t>
      </w:r>
      <w:r w:rsidRPr="005A1CAE">
        <w:rPr>
          <w:noProof/>
        </w:rPr>
        <w:t>a), art.</w:t>
      </w:r>
      <w:r w:rsidR="005A1CAE" w:rsidRPr="005A1CAE">
        <w:rPr>
          <w:noProof/>
        </w:rPr>
        <w:t> </w:t>
      </w:r>
      <w:r w:rsidRPr="005A1CAE">
        <w:rPr>
          <w:noProof/>
        </w:rPr>
        <w:t>1 ust.</w:t>
      </w:r>
      <w:r w:rsidR="005A1CAE" w:rsidRPr="005A1CAE">
        <w:rPr>
          <w:noProof/>
        </w:rPr>
        <w:t> </w:t>
      </w:r>
      <w:r w:rsidRPr="005A1CAE">
        <w:rPr>
          <w:noProof/>
        </w:rPr>
        <w:t>8 lit.</w:t>
      </w:r>
      <w:r w:rsidR="005A1CAE" w:rsidRPr="005A1CAE">
        <w:rPr>
          <w:noProof/>
        </w:rPr>
        <w:t> </w:t>
      </w:r>
      <w:r w:rsidRPr="005A1CAE">
        <w:rPr>
          <w:noProof/>
        </w:rPr>
        <w:t>a), b) i c), art.</w:t>
      </w:r>
      <w:r w:rsidR="005A1CAE" w:rsidRPr="005A1CAE">
        <w:rPr>
          <w:noProof/>
        </w:rPr>
        <w:t> </w:t>
      </w:r>
      <w:r w:rsidRPr="005A1CAE">
        <w:rPr>
          <w:noProof/>
        </w:rPr>
        <w:t>1 ust.</w:t>
      </w:r>
      <w:r w:rsidR="005A1CAE" w:rsidRPr="005A1CAE">
        <w:rPr>
          <w:noProof/>
        </w:rPr>
        <w:t> </w:t>
      </w:r>
      <w:r w:rsidRPr="005A1CAE">
        <w:rPr>
          <w:noProof/>
        </w:rPr>
        <w:t>21, 23</w:t>
      </w:r>
      <w:r w:rsidR="005A1CAE" w:rsidRPr="005A1CAE">
        <w:rPr>
          <w:noProof/>
        </w:rPr>
        <w:t xml:space="preserve"> i</w:t>
      </w:r>
      <w:r w:rsidR="005A1CAE">
        <w:rPr>
          <w:noProof/>
        </w:rPr>
        <w:t> </w:t>
      </w:r>
      <w:r w:rsidR="005A1CAE" w:rsidRPr="005A1CAE">
        <w:rPr>
          <w:noProof/>
        </w:rPr>
        <w:t>2</w:t>
      </w:r>
      <w:r w:rsidRPr="005A1CAE">
        <w:rPr>
          <w:noProof/>
        </w:rPr>
        <w:t>4 oraz załącznik II pkt</w:t>
      </w:r>
      <w:r w:rsidR="005A1CAE" w:rsidRPr="005A1CAE">
        <w:rPr>
          <w:noProof/>
        </w:rPr>
        <w:t> </w:t>
      </w:r>
      <w:r w:rsidRPr="005A1CAE">
        <w:rPr>
          <w:noProof/>
        </w:rPr>
        <w:t>2 stosuje się jednak od dnia 1 stycznia 2028</w:t>
      </w:r>
      <w:r w:rsidR="005A1CAE" w:rsidRPr="005A1CAE">
        <w:rPr>
          <w:noProof/>
        </w:rPr>
        <w:t> </w:t>
      </w:r>
      <w:r w:rsidRPr="005A1CAE">
        <w:rPr>
          <w:noProof/>
        </w:rPr>
        <w:t>r.</w:t>
      </w:r>
    </w:p>
    <w:p w14:paraId="33781A89" w14:textId="66A029B2" w:rsidR="00D0690F" w:rsidRPr="005A1CAE" w:rsidRDefault="00D0690F" w:rsidP="00D85BE0">
      <w:pPr>
        <w:pStyle w:val="Applicationdirecte"/>
        <w:spacing w:before="0"/>
        <w:rPr>
          <w:noProof/>
        </w:rPr>
      </w:pPr>
      <w:r w:rsidRPr="005A1CAE">
        <w:rPr>
          <w:noProof/>
        </w:rPr>
        <w:t>Niniejsze rozporządzenie wiąże</w:t>
      </w:r>
      <w:r w:rsidR="005A1CAE" w:rsidRPr="005A1CAE">
        <w:rPr>
          <w:noProof/>
        </w:rPr>
        <w:t xml:space="preserve"> w</w:t>
      </w:r>
      <w:r w:rsidR="005A1CAE">
        <w:rPr>
          <w:noProof/>
        </w:rPr>
        <w:t> </w:t>
      </w:r>
      <w:r w:rsidR="005A1CAE" w:rsidRPr="005A1CAE">
        <w:rPr>
          <w:noProof/>
        </w:rPr>
        <w:t>cał</w:t>
      </w:r>
      <w:r w:rsidRPr="005A1CAE">
        <w:rPr>
          <w:noProof/>
        </w:rPr>
        <w:t>ości</w:t>
      </w:r>
      <w:r w:rsidR="005A1CAE" w:rsidRPr="005A1CAE">
        <w:rPr>
          <w:noProof/>
        </w:rPr>
        <w:t xml:space="preserve"> i</w:t>
      </w:r>
      <w:r w:rsidR="005A1CAE">
        <w:rPr>
          <w:noProof/>
        </w:rPr>
        <w:t> </w:t>
      </w:r>
      <w:r w:rsidR="005A1CAE" w:rsidRPr="005A1CAE">
        <w:rPr>
          <w:noProof/>
        </w:rPr>
        <w:t>jes</w:t>
      </w:r>
      <w:r w:rsidRPr="005A1CAE">
        <w:rPr>
          <w:noProof/>
        </w:rPr>
        <w:t>t bezpośrednio stosowane we wszystkich państwach członkowskich.</w:t>
      </w:r>
    </w:p>
    <w:p w14:paraId="219EBF3B" w14:textId="39423343" w:rsidR="00D0690F" w:rsidRPr="005A1CAE" w:rsidRDefault="00A52C15" w:rsidP="00A77B8B">
      <w:pPr>
        <w:pStyle w:val="Fait"/>
        <w:rPr>
          <w:noProof/>
        </w:rPr>
      </w:pPr>
      <w:r>
        <w:rPr>
          <w:noProof/>
        </w:rPr>
        <w:t>Sporządzono w Brukseli dnia  r.</w:t>
      </w:r>
    </w:p>
    <w:p w14:paraId="621AFC85" w14:textId="77777777" w:rsidR="00D0690F" w:rsidRPr="005A1CAE" w:rsidRDefault="00D0690F" w:rsidP="00A77B8B">
      <w:pPr>
        <w:pStyle w:val="Institutionquisigne"/>
        <w:rPr>
          <w:noProof/>
        </w:rPr>
      </w:pPr>
      <w:r w:rsidRPr="005A1CAE">
        <w:rPr>
          <w:noProof/>
        </w:rPr>
        <w:t>W imieniu Parlamentu Europejskiego</w:t>
      </w:r>
      <w:r w:rsidRPr="005A1CAE">
        <w:rPr>
          <w:noProof/>
        </w:rPr>
        <w:tab/>
        <w:t>W imieniu Rady</w:t>
      </w:r>
    </w:p>
    <w:p w14:paraId="40565C19" w14:textId="77777777" w:rsidR="00D0690F" w:rsidRPr="005A1CAE" w:rsidRDefault="00D0690F" w:rsidP="00D0690F">
      <w:pPr>
        <w:pStyle w:val="Personnequisigne"/>
        <w:rPr>
          <w:noProof/>
        </w:rPr>
      </w:pPr>
      <w:r w:rsidRPr="005A1CAE">
        <w:rPr>
          <w:noProof/>
        </w:rPr>
        <w:t>Przewodnicząca</w:t>
      </w:r>
      <w:r w:rsidRPr="005A1CAE">
        <w:rPr>
          <w:noProof/>
        </w:rPr>
        <w:tab/>
        <w:t>Przewodniczący</w:t>
      </w:r>
    </w:p>
    <w:p w14:paraId="4C18067E" w14:textId="77777777" w:rsidR="00D0690F" w:rsidRPr="005A1CAE" w:rsidRDefault="00D0690F" w:rsidP="00D0690F">
      <w:pPr>
        <w:rPr>
          <w:noProof/>
        </w:rPr>
        <w:sectPr w:rsidR="00D0690F" w:rsidRPr="005A1CAE" w:rsidSect="009A1A09">
          <w:footnotePr>
            <w:numRestart w:val="eachSect"/>
          </w:footnotePr>
          <w:pgSz w:w="11907" w:h="16839"/>
          <w:pgMar w:top="1134" w:right="1417" w:bottom="1134" w:left="1417" w:header="709" w:footer="709" w:gutter="0"/>
          <w:cols w:space="708"/>
          <w:docGrid w:linePitch="360"/>
        </w:sectPr>
      </w:pPr>
    </w:p>
    <w:p w14:paraId="50BE00B1" w14:textId="77777777" w:rsidR="00D0690F" w:rsidRPr="005A1CAE" w:rsidRDefault="00D0690F" w:rsidP="009F612D">
      <w:pPr>
        <w:pStyle w:val="Fichefinanciretitre"/>
        <w:keepNext/>
        <w:rPr>
          <w:noProof/>
        </w:rPr>
      </w:pPr>
      <w:r w:rsidRPr="005A1CAE">
        <w:rPr>
          <w:noProof/>
        </w:rPr>
        <w:lastRenderedPageBreak/>
        <w:t>OCENA SKUTKÓW FINANSOWYCH I CYFROWYCH REGULACJI</w:t>
      </w:r>
    </w:p>
    <w:p w14:paraId="242D55E0" w14:textId="77777777" w:rsidR="00D0690F" w:rsidRPr="005A1CAE" w:rsidRDefault="00D0690F" w:rsidP="009F612D">
      <w:pPr>
        <w:pStyle w:val="Spistreci1"/>
        <w:rPr>
          <w:rFonts w:asciiTheme="minorHAnsi" w:eastAsiaTheme="minorEastAsia" w:hAnsiTheme="minorHAnsi" w:cstheme="minorBidi"/>
          <w:noProof/>
          <w:kern w:val="2"/>
          <w:sz w:val="22"/>
          <w14:ligatures w14:val="standardContextual"/>
        </w:rPr>
      </w:pPr>
      <w:r w:rsidRPr="005A1CAE">
        <w:rPr>
          <w:noProof/>
        </w:rPr>
        <w:t>1.</w:t>
      </w:r>
      <w:r w:rsidRPr="005A1CAE">
        <w:rPr>
          <w:noProof/>
        </w:rPr>
        <w:tab/>
        <w:t>STRUKTURA WNIOSKU/INICJATYWY</w:t>
      </w:r>
      <w:r w:rsidRPr="005A1CAE">
        <w:rPr>
          <w:noProof/>
        </w:rPr>
        <w:tab/>
      </w:r>
      <w:r w:rsidRPr="005A1CAE">
        <w:rPr>
          <w:noProof/>
          <w:webHidden/>
        </w:rPr>
        <w:t>3</w:t>
      </w:r>
    </w:p>
    <w:p w14:paraId="7A444877"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1.1.</w:t>
      </w:r>
      <w:r w:rsidRPr="005A1CAE">
        <w:rPr>
          <w:noProof/>
        </w:rPr>
        <w:tab/>
        <w:t>Tytuł wniosku/inicjatywy</w:t>
      </w:r>
      <w:r w:rsidRPr="005A1CAE">
        <w:rPr>
          <w:noProof/>
        </w:rPr>
        <w:tab/>
      </w:r>
      <w:r w:rsidRPr="005A1CAE">
        <w:rPr>
          <w:noProof/>
          <w:webHidden/>
        </w:rPr>
        <w:t>3</w:t>
      </w:r>
    </w:p>
    <w:p w14:paraId="289CF21F"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1.2.</w:t>
      </w:r>
      <w:r w:rsidRPr="005A1CAE">
        <w:rPr>
          <w:noProof/>
        </w:rPr>
        <w:tab/>
        <w:t>Obszary polityki, których dotyczy wniosek/inicjatywa</w:t>
      </w:r>
      <w:r w:rsidRPr="005A1CAE">
        <w:rPr>
          <w:noProof/>
        </w:rPr>
        <w:tab/>
      </w:r>
      <w:r w:rsidRPr="005A1CAE">
        <w:rPr>
          <w:noProof/>
          <w:webHidden/>
        </w:rPr>
        <w:t>3</w:t>
      </w:r>
    </w:p>
    <w:p w14:paraId="28015087"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1.3.</w:t>
      </w:r>
      <w:r w:rsidRPr="005A1CAE">
        <w:rPr>
          <w:noProof/>
        </w:rPr>
        <w:tab/>
        <w:t>Cel(e)</w:t>
      </w:r>
      <w:r w:rsidRPr="005A1CAE">
        <w:rPr>
          <w:noProof/>
        </w:rPr>
        <w:tab/>
      </w:r>
      <w:r w:rsidRPr="005A1CAE">
        <w:rPr>
          <w:noProof/>
          <w:webHidden/>
        </w:rPr>
        <w:t>3</w:t>
      </w:r>
    </w:p>
    <w:p w14:paraId="557B0689" w14:textId="77777777"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1.3.1.</w:t>
      </w:r>
      <w:r w:rsidRPr="005A1CAE">
        <w:rPr>
          <w:noProof/>
        </w:rPr>
        <w:tab/>
        <w:t>Cel(e) ogólny(-e)</w:t>
      </w:r>
      <w:r w:rsidRPr="005A1CAE">
        <w:rPr>
          <w:noProof/>
        </w:rPr>
        <w:tab/>
      </w:r>
      <w:r w:rsidRPr="005A1CAE">
        <w:rPr>
          <w:noProof/>
          <w:webHidden/>
        </w:rPr>
        <w:t>3</w:t>
      </w:r>
    </w:p>
    <w:p w14:paraId="6BB69826" w14:textId="77777777"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1.3.2.</w:t>
      </w:r>
      <w:r w:rsidRPr="005A1CAE">
        <w:rPr>
          <w:noProof/>
        </w:rPr>
        <w:tab/>
        <w:t>Cel(e) szczegółowy(-e)</w:t>
      </w:r>
      <w:r w:rsidRPr="005A1CAE">
        <w:rPr>
          <w:noProof/>
        </w:rPr>
        <w:tab/>
      </w:r>
      <w:r w:rsidRPr="005A1CAE">
        <w:rPr>
          <w:noProof/>
          <w:webHidden/>
        </w:rPr>
        <w:t>3</w:t>
      </w:r>
    </w:p>
    <w:p w14:paraId="56F7D699" w14:textId="5CF570A0"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1.3.3.</w:t>
      </w:r>
      <w:r w:rsidRPr="005A1CAE">
        <w:rPr>
          <w:noProof/>
        </w:rPr>
        <w:tab/>
        <w:t>Oczekiwane wyniki</w:t>
      </w:r>
      <w:r w:rsidR="005A1CAE" w:rsidRPr="005A1CAE">
        <w:rPr>
          <w:noProof/>
        </w:rPr>
        <w:t xml:space="preserve"> i</w:t>
      </w:r>
      <w:r w:rsidR="005A1CAE">
        <w:rPr>
          <w:noProof/>
        </w:rPr>
        <w:t> </w:t>
      </w:r>
      <w:r w:rsidR="005A1CAE" w:rsidRPr="005A1CAE">
        <w:rPr>
          <w:noProof/>
        </w:rPr>
        <w:t>wpł</w:t>
      </w:r>
      <w:r w:rsidRPr="005A1CAE">
        <w:rPr>
          <w:noProof/>
        </w:rPr>
        <w:t>yw</w:t>
      </w:r>
      <w:r w:rsidRPr="005A1CAE">
        <w:rPr>
          <w:noProof/>
        </w:rPr>
        <w:tab/>
      </w:r>
      <w:r w:rsidRPr="005A1CAE">
        <w:rPr>
          <w:noProof/>
          <w:webHidden/>
        </w:rPr>
        <w:t>3</w:t>
      </w:r>
    </w:p>
    <w:p w14:paraId="7CF0A1E4" w14:textId="77777777"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1.3.4.</w:t>
      </w:r>
      <w:r w:rsidRPr="005A1CAE">
        <w:rPr>
          <w:noProof/>
        </w:rPr>
        <w:tab/>
        <w:t>Wskaźniki dotyczące realizacji celów</w:t>
      </w:r>
      <w:r w:rsidRPr="005A1CAE">
        <w:rPr>
          <w:noProof/>
        </w:rPr>
        <w:tab/>
      </w:r>
      <w:r w:rsidRPr="005A1CAE">
        <w:rPr>
          <w:noProof/>
          <w:webHidden/>
        </w:rPr>
        <w:t>3</w:t>
      </w:r>
    </w:p>
    <w:p w14:paraId="367FA0C3"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1.4.</w:t>
      </w:r>
      <w:r w:rsidRPr="005A1CAE">
        <w:rPr>
          <w:noProof/>
        </w:rPr>
        <w:tab/>
        <w:t>Wniosek/inicjatywa dotyczy:</w:t>
      </w:r>
      <w:r w:rsidRPr="005A1CAE">
        <w:rPr>
          <w:noProof/>
        </w:rPr>
        <w:tab/>
      </w:r>
      <w:r w:rsidRPr="005A1CAE">
        <w:rPr>
          <w:noProof/>
          <w:webHidden/>
        </w:rPr>
        <w:t>4</w:t>
      </w:r>
    </w:p>
    <w:p w14:paraId="59473945"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1.5.</w:t>
      </w:r>
      <w:r w:rsidRPr="005A1CAE">
        <w:rPr>
          <w:noProof/>
        </w:rPr>
        <w:tab/>
        <w:t>Uzasadnienie wniosku/inicjatywy</w:t>
      </w:r>
      <w:r w:rsidRPr="005A1CAE">
        <w:rPr>
          <w:noProof/>
        </w:rPr>
        <w:tab/>
      </w:r>
      <w:r w:rsidRPr="005A1CAE">
        <w:rPr>
          <w:noProof/>
          <w:webHidden/>
        </w:rPr>
        <w:t>4</w:t>
      </w:r>
    </w:p>
    <w:p w14:paraId="1C6D0381" w14:textId="2B07F829"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1.5.1.</w:t>
      </w:r>
      <w:r w:rsidRPr="005A1CAE">
        <w:rPr>
          <w:noProof/>
        </w:rPr>
        <w:tab/>
        <w:t>Potrzeby, które należy zaspokoić</w:t>
      </w:r>
      <w:r w:rsidR="005A1CAE" w:rsidRPr="005A1CAE">
        <w:rPr>
          <w:noProof/>
        </w:rPr>
        <w:t xml:space="preserve"> w</w:t>
      </w:r>
      <w:r w:rsidR="005A1CAE">
        <w:rPr>
          <w:noProof/>
        </w:rPr>
        <w:t> </w:t>
      </w:r>
      <w:r w:rsidR="005A1CAE" w:rsidRPr="005A1CAE">
        <w:rPr>
          <w:noProof/>
        </w:rPr>
        <w:t>per</w:t>
      </w:r>
      <w:r w:rsidRPr="005A1CAE">
        <w:rPr>
          <w:noProof/>
        </w:rPr>
        <w:t>spektywie krótko- lub długoterminowej,</w:t>
      </w:r>
      <w:r w:rsidR="005A1CAE" w:rsidRPr="005A1CAE">
        <w:rPr>
          <w:noProof/>
        </w:rPr>
        <w:t xml:space="preserve"> w</w:t>
      </w:r>
      <w:r w:rsidR="005A1CAE">
        <w:rPr>
          <w:noProof/>
        </w:rPr>
        <w:t> </w:t>
      </w:r>
      <w:r w:rsidR="005A1CAE" w:rsidRPr="005A1CAE">
        <w:rPr>
          <w:noProof/>
        </w:rPr>
        <w:t>tym</w:t>
      </w:r>
      <w:r w:rsidRPr="005A1CAE">
        <w:rPr>
          <w:noProof/>
        </w:rPr>
        <w:t xml:space="preserve"> szczegółowy terminarz przebiegu realizacji inicjatywy</w:t>
      </w:r>
      <w:r w:rsidRPr="005A1CAE">
        <w:rPr>
          <w:noProof/>
        </w:rPr>
        <w:tab/>
      </w:r>
      <w:r w:rsidRPr="005A1CAE">
        <w:rPr>
          <w:noProof/>
          <w:webHidden/>
        </w:rPr>
        <w:t>4</w:t>
      </w:r>
    </w:p>
    <w:p w14:paraId="1D2C33DF" w14:textId="4183C865"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1.5.2.</w:t>
      </w:r>
      <w:r w:rsidRPr="005A1CAE">
        <w:rPr>
          <w:noProof/>
        </w:rPr>
        <w:tab/>
        <w:t>Wartość dodana</w:t>
      </w:r>
      <w:r w:rsidR="005A1CAE" w:rsidRPr="005A1CAE">
        <w:rPr>
          <w:noProof/>
        </w:rPr>
        <w:t xml:space="preserve"> z</w:t>
      </w:r>
      <w:r w:rsidR="005A1CAE">
        <w:rPr>
          <w:noProof/>
        </w:rPr>
        <w:t> </w:t>
      </w:r>
      <w:r w:rsidR="005A1CAE" w:rsidRPr="005A1CAE">
        <w:rPr>
          <w:noProof/>
        </w:rPr>
        <w:t>tyt</w:t>
      </w:r>
      <w:r w:rsidRPr="005A1CAE">
        <w:rPr>
          <w:noProof/>
        </w:rPr>
        <w:t>ułu zaangażowania Unii Europejskiej (może wynikać</w:t>
      </w:r>
      <w:r w:rsidR="005A1CAE" w:rsidRPr="005A1CAE">
        <w:rPr>
          <w:noProof/>
        </w:rPr>
        <w:t xml:space="preserve"> z</w:t>
      </w:r>
      <w:r w:rsidR="005A1CAE">
        <w:rPr>
          <w:noProof/>
        </w:rPr>
        <w:t> </w:t>
      </w:r>
      <w:r w:rsidR="005A1CAE" w:rsidRPr="005A1CAE">
        <w:rPr>
          <w:noProof/>
        </w:rPr>
        <w:t>róż</w:t>
      </w:r>
      <w:r w:rsidRPr="005A1CAE">
        <w:rPr>
          <w:noProof/>
        </w:rPr>
        <w:t>nych czynników, na przykład korzyści koordynacyjnych, pewności prawa, większej efektywności lub komplementarności). Na potrzeby tej sekcji „wartość dodaną</w:t>
      </w:r>
      <w:r w:rsidR="005A1CAE" w:rsidRPr="005A1CAE">
        <w:rPr>
          <w:noProof/>
        </w:rPr>
        <w:t xml:space="preserve"> z</w:t>
      </w:r>
      <w:r w:rsidR="005A1CAE">
        <w:rPr>
          <w:noProof/>
        </w:rPr>
        <w:t> </w:t>
      </w:r>
      <w:r w:rsidR="005A1CAE" w:rsidRPr="005A1CAE">
        <w:rPr>
          <w:noProof/>
        </w:rPr>
        <w:t>tyt</w:t>
      </w:r>
      <w:r w:rsidRPr="005A1CAE">
        <w:rPr>
          <w:noProof/>
        </w:rPr>
        <w:t>ułu zaangażowania Unii Europejskiej” należy rozumieć jako wartość wynikającą</w:t>
      </w:r>
      <w:r w:rsidR="005A1CAE" w:rsidRPr="005A1CAE">
        <w:rPr>
          <w:noProof/>
        </w:rPr>
        <w:t xml:space="preserve"> z</w:t>
      </w:r>
      <w:r w:rsidR="005A1CAE">
        <w:rPr>
          <w:noProof/>
        </w:rPr>
        <w:t> </w:t>
      </w:r>
      <w:r w:rsidR="005A1CAE" w:rsidRPr="005A1CAE">
        <w:rPr>
          <w:noProof/>
        </w:rPr>
        <w:t>uni</w:t>
      </w:r>
      <w:r w:rsidRPr="005A1CAE">
        <w:rPr>
          <w:noProof/>
        </w:rPr>
        <w:t>jnej interwencji, wykraczającą poza wartość, która zostałaby wytworzona przez same państwa członkowskie.</w:t>
      </w:r>
      <w:r w:rsidRPr="005A1CAE">
        <w:rPr>
          <w:noProof/>
        </w:rPr>
        <w:tab/>
      </w:r>
      <w:r w:rsidRPr="005A1CAE">
        <w:rPr>
          <w:noProof/>
          <w:webHidden/>
        </w:rPr>
        <w:t>4</w:t>
      </w:r>
    </w:p>
    <w:p w14:paraId="43CEBAD8" w14:textId="3714AFD5"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1.5.3.</w:t>
      </w:r>
      <w:r w:rsidRPr="005A1CAE">
        <w:rPr>
          <w:noProof/>
        </w:rPr>
        <w:tab/>
        <w:t>Główne wnioski wyciągnięte</w:t>
      </w:r>
      <w:r w:rsidR="005A1CAE" w:rsidRPr="005A1CAE">
        <w:rPr>
          <w:noProof/>
        </w:rPr>
        <w:t xml:space="preserve"> z</w:t>
      </w:r>
      <w:r w:rsidR="005A1CAE">
        <w:rPr>
          <w:noProof/>
        </w:rPr>
        <w:t> </w:t>
      </w:r>
      <w:r w:rsidR="005A1CAE" w:rsidRPr="005A1CAE">
        <w:rPr>
          <w:noProof/>
        </w:rPr>
        <w:t>pod</w:t>
      </w:r>
      <w:r w:rsidRPr="005A1CAE">
        <w:rPr>
          <w:noProof/>
        </w:rPr>
        <w:t>obnych działań</w:t>
      </w:r>
      <w:r w:rsidRPr="005A1CAE">
        <w:rPr>
          <w:noProof/>
        </w:rPr>
        <w:tab/>
      </w:r>
      <w:r w:rsidRPr="005A1CAE">
        <w:rPr>
          <w:noProof/>
          <w:webHidden/>
        </w:rPr>
        <w:t>4</w:t>
      </w:r>
    </w:p>
    <w:p w14:paraId="6CE2B939" w14:textId="1F86FC38"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1.5.4.</w:t>
      </w:r>
      <w:r w:rsidRPr="005A1CAE">
        <w:rPr>
          <w:noProof/>
        </w:rPr>
        <w:tab/>
        <w:t>Spójność</w:t>
      </w:r>
      <w:r w:rsidR="005A1CAE" w:rsidRPr="005A1CAE">
        <w:rPr>
          <w:noProof/>
        </w:rPr>
        <w:t xml:space="preserve"> z</w:t>
      </w:r>
      <w:r w:rsidR="005A1CAE">
        <w:rPr>
          <w:noProof/>
        </w:rPr>
        <w:t> </w:t>
      </w:r>
      <w:r w:rsidR="005A1CAE" w:rsidRPr="005A1CAE">
        <w:rPr>
          <w:noProof/>
        </w:rPr>
        <w:t>wie</w:t>
      </w:r>
      <w:r w:rsidRPr="005A1CAE">
        <w:rPr>
          <w:noProof/>
        </w:rPr>
        <w:t>loletnimi ramami finansowymi oraz możliwa synergia</w:t>
      </w:r>
      <w:r w:rsidR="005A1CAE" w:rsidRPr="005A1CAE">
        <w:rPr>
          <w:noProof/>
        </w:rPr>
        <w:t xml:space="preserve"> z</w:t>
      </w:r>
      <w:r w:rsidR="005A1CAE">
        <w:rPr>
          <w:noProof/>
        </w:rPr>
        <w:t> </w:t>
      </w:r>
      <w:r w:rsidR="005A1CAE" w:rsidRPr="005A1CAE">
        <w:rPr>
          <w:noProof/>
        </w:rPr>
        <w:t>inn</w:t>
      </w:r>
      <w:r w:rsidRPr="005A1CAE">
        <w:rPr>
          <w:noProof/>
        </w:rPr>
        <w:t>ymi właściwymi instrumentami</w:t>
      </w:r>
      <w:r w:rsidRPr="005A1CAE">
        <w:rPr>
          <w:noProof/>
        </w:rPr>
        <w:tab/>
      </w:r>
      <w:r w:rsidRPr="005A1CAE">
        <w:rPr>
          <w:noProof/>
          <w:webHidden/>
        </w:rPr>
        <w:t>5</w:t>
      </w:r>
    </w:p>
    <w:p w14:paraId="50E8A7DB" w14:textId="23868DE6"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1.5.5.</w:t>
      </w:r>
      <w:r w:rsidRPr="005A1CAE">
        <w:rPr>
          <w:noProof/>
        </w:rPr>
        <w:tab/>
        <w:t>Ocena różnych dostępnych możliwości finansowania,</w:t>
      </w:r>
      <w:r w:rsidR="005A1CAE" w:rsidRPr="005A1CAE">
        <w:rPr>
          <w:noProof/>
        </w:rPr>
        <w:t xml:space="preserve"> w</w:t>
      </w:r>
      <w:r w:rsidR="005A1CAE">
        <w:rPr>
          <w:noProof/>
        </w:rPr>
        <w:t> </w:t>
      </w:r>
      <w:r w:rsidR="005A1CAE" w:rsidRPr="005A1CAE">
        <w:rPr>
          <w:noProof/>
        </w:rPr>
        <w:t>tym</w:t>
      </w:r>
      <w:r w:rsidRPr="005A1CAE">
        <w:rPr>
          <w:noProof/>
        </w:rPr>
        <w:t xml:space="preserve"> możliwości przegrupowania środków</w:t>
      </w:r>
      <w:r w:rsidRPr="005A1CAE">
        <w:rPr>
          <w:noProof/>
        </w:rPr>
        <w:tab/>
      </w:r>
      <w:r w:rsidRPr="005A1CAE">
        <w:rPr>
          <w:noProof/>
          <w:webHidden/>
        </w:rPr>
        <w:t>5</w:t>
      </w:r>
    </w:p>
    <w:p w14:paraId="087C68FC" w14:textId="4086D674"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1.6.</w:t>
      </w:r>
      <w:r w:rsidRPr="005A1CAE">
        <w:rPr>
          <w:noProof/>
        </w:rPr>
        <w:tab/>
        <w:t>Czas trwania wniosku/inicjatywy</w:t>
      </w:r>
      <w:r w:rsidR="005A1CAE" w:rsidRPr="005A1CAE">
        <w:rPr>
          <w:noProof/>
        </w:rPr>
        <w:t xml:space="preserve"> i</w:t>
      </w:r>
      <w:r w:rsidR="005A1CAE">
        <w:rPr>
          <w:noProof/>
        </w:rPr>
        <w:t> </w:t>
      </w:r>
      <w:r w:rsidR="005A1CAE" w:rsidRPr="005A1CAE">
        <w:rPr>
          <w:noProof/>
        </w:rPr>
        <w:t>jeg</w:t>
      </w:r>
      <w:r w:rsidRPr="005A1CAE">
        <w:rPr>
          <w:noProof/>
        </w:rPr>
        <w:t>o/jej wpływu finansowego</w:t>
      </w:r>
      <w:r w:rsidRPr="005A1CAE">
        <w:rPr>
          <w:noProof/>
        </w:rPr>
        <w:tab/>
      </w:r>
      <w:r w:rsidRPr="005A1CAE">
        <w:rPr>
          <w:noProof/>
          <w:webHidden/>
        </w:rPr>
        <w:t>6</w:t>
      </w:r>
    </w:p>
    <w:p w14:paraId="27D438A8"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1.7.</w:t>
      </w:r>
      <w:r w:rsidRPr="005A1CAE">
        <w:rPr>
          <w:noProof/>
        </w:rPr>
        <w:tab/>
        <w:t>Planowane metody wykonania budżetu</w:t>
      </w:r>
      <w:r w:rsidRPr="005A1CAE">
        <w:rPr>
          <w:noProof/>
        </w:rPr>
        <w:tab/>
      </w:r>
      <w:r w:rsidRPr="005A1CAE">
        <w:rPr>
          <w:noProof/>
          <w:webHidden/>
        </w:rPr>
        <w:t>6</w:t>
      </w:r>
    </w:p>
    <w:p w14:paraId="138E45D9" w14:textId="77777777" w:rsidR="00D0690F" w:rsidRPr="005A1CAE" w:rsidRDefault="00D0690F" w:rsidP="009F612D">
      <w:pPr>
        <w:pStyle w:val="Spistreci1"/>
        <w:rPr>
          <w:rFonts w:asciiTheme="minorHAnsi" w:eastAsiaTheme="minorEastAsia" w:hAnsiTheme="minorHAnsi" w:cstheme="minorBidi"/>
          <w:noProof/>
          <w:kern w:val="2"/>
          <w:sz w:val="22"/>
          <w14:ligatures w14:val="standardContextual"/>
        </w:rPr>
      </w:pPr>
      <w:r w:rsidRPr="005A1CAE">
        <w:rPr>
          <w:noProof/>
        </w:rPr>
        <w:t>2.</w:t>
      </w:r>
      <w:r w:rsidRPr="005A1CAE">
        <w:rPr>
          <w:noProof/>
        </w:rPr>
        <w:tab/>
        <w:t>ŚRODKI ZARZĄDZANIA</w:t>
      </w:r>
      <w:r w:rsidRPr="005A1CAE">
        <w:rPr>
          <w:noProof/>
        </w:rPr>
        <w:tab/>
      </w:r>
      <w:r w:rsidRPr="005A1CAE">
        <w:rPr>
          <w:noProof/>
          <w:webHidden/>
        </w:rPr>
        <w:t>8</w:t>
      </w:r>
    </w:p>
    <w:p w14:paraId="541A4DE1" w14:textId="168D931C"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2.1.</w:t>
      </w:r>
      <w:r w:rsidRPr="005A1CAE">
        <w:rPr>
          <w:noProof/>
        </w:rPr>
        <w:tab/>
        <w:t>Zasady nadzoru</w:t>
      </w:r>
      <w:r w:rsidR="005A1CAE" w:rsidRPr="005A1CAE">
        <w:rPr>
          <w:noProof/>
        </w:rPr>
        <w:t xml:space="preserve"> i</w:t>
      </w:r>
      <w:r w:rsidR="005A1CAE">
        <w:rPr>
          <w:noProof/>
        </w:rPr>
        <w:t> </w:t>
      </w:r>
      <w:r w:rsidR="005A1CAE" w:rsidRPr="005A1CAE">
        <w:rPr>
          <w:noProof/>
        </w:rPr>
        <w:t>spr</w:t>
      </w:r>
      <w:r w:rsidRPr="005A1CAE">
        <w:rPr>
          <w:noProof/>
        </w:rPr>
        <w:t>awozdawczości</w:t>
      </w:r>
      <w:r w:rsidRPr="005A1CAE">
        <w:rPr>
          <w:noProof/>
        </w:rPr>
        <w:tab/>
      </w:r>
      <w:r w:rsidRPr="005A1CAE">
        <w:rPr>
          <w:noProof/>
          <w:webHidden/>
        </w:rPr>
        <w:t>8</w:t>
      </w:r>
    </w:p>
    <w:p w14:paraId="102A857C" w14:textId="3009BDD1"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2.2.</w:t>
      </w:r>
      <w:r w:rsidRPr="005A1CAE">
        <w:rPr>
          <w:noProof/>
        </w:rPr>
        <w:tab/>
        <w:t>System zarządzania</w:t>
      </w:r>
      <w:r w:rsidR="005A1CAE" w:rsidRPr="005A1CAE">
        <w:rPr>
          <w:noProof/>
        </w:rPr>
        <w:t xml:space="preserve"> i</w:t>
      </w:r>
      <w:r w:rsidR="005A1CAE">
        <w:rPr>
          <w:noProof/>
        </w:rPr>
        <w:t> </w:t>
      </w:r>
      <w:r w:rsidR="005A1CAE" w:rsidRPr="005A1CAE">
        <w:rPr>
          <w:noProof/>
        </w:rPr>
        <w:t>kon</w:t>
      </w:r>
      <w:r w:rsidRPr="005A1CAE">
        <w:rPr>
          <w:noProof/>
        </w:rPr>
        <w:t>troli</w:t>
      </w:r>
      <w:r w:rsidRPr="005A1CAE">
        <w:rPr>
          <w:noProof/>
        </w:rPr>
        <w:tab/>
      </w:r>
      <w:r w:rsidRPr="005A1CAE">
        <w:rPr>
          <w:noProof/>
          <w:webHidden/>
        </w:rPr>
        <w:t>8</w:t>
      </w:r>
    </w:p>
    <w:p w14:paraId="4A4FAA3B" w14:textId="1E3AD7FA"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2.2.1.</w:t>
      </w:r>
      <w:r w:rsidRPr="005A1CAE">
        <w:rPr>
          <w:noProof/>
        </w:rPr>
        <w:tab/>
        <w:t>Uzasadnienie dla proponowanych metod wykonania budżetu, mechanizmów finansowania wykonania, sposobów dokonywania płatności</w:t>
      </w:r>
      <w:r w:rsidR="005A1CAE" w:rsidRPr="005A1CAE">
        <w:rPr>
          <w:noProof/>
        </w:rPr>
        <w:t xml:space="preserve"> i</w:t>
      </w:r>
      <w:r w:rsidR="005A1CAE">
        <w:rPr>
          <w:noProof/>
        </w:rPr>
        <w:t> </w:t>
      </w:r>
      <w:r w:rsidR="005A1CAE" w:rsidRPr="005A1CAE">
        <w:rPr>
          <w:noProof/>
        </w:rPr>
        <w:t>str</w:t>
      </w:r>
      <w:r w:rsidRPr="005A1CAE">
        <w:rPr>
          <w:noProof/>
        </w:rPr>
        <w:t>ategii kontroli</w:t>
      </w:r>
      <w:r w:rsidRPr="005A1CAE">
        <w:rPr>
          <w:noProof/>
        </w:rPr>
        <w:tab/>
      </w:r>
      <w:r w:rsidRPr="005A1CAE">
        <w:rPr>
          <w:noProof/>
          <w:webHidden/>
        </w:rPr>
        <w:t>8</w:t>
      </w:r>
    </w:p>
    <w:p w14:paraId="6D427E82" w14:textId="7D0B5FE4"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2.2.2.</w:t>
      </w:r>
      <w:r w:rsidRPr="005A1CAE">
        <w:rPr>
          <w:noProof/>
        </w:rPr>
        <w:tab/>
        <w:t>Informacje dotyczące zidentyfikowanego ryzyka</w:t>
      </w:r>
      <w:r w:rsidR="005A1CAE" w:rsidRPr="005A1CAE">
        <w:rPr>
          <w:noProof/>
        </w:rPr>
        <w:t xml:space="preserve"> i</w:t>
      </w:r>
      <w:r w:rsidR="005A1CAE">
        <w:rPr>
          <w:noProof/>
        </w:rPr>
        <w:t> </w:t>
      </w:r>
      <w:r w:rsidR="005A1CAE" w:rsidRPr="005A1CAE">
        <w:rPr>
          <w:noProof/>
        </w:rPr>
        <w:t>sys</w:t>
      </w:r>
      <w:r w:rsidRPr="005A1CAE">
        <w:rPr>
          <w:noProof/>
        </w:rPr>
        <w:t>temów kontroli wewnętrznej ustanowionych</w:t>
      </w:r>
      <w:r w:rsidR="005A1CAE" w:rsidRPr="005A1CAE">
        <w:rPr>
          <w:noProof/>
        </w:rPr>
        <w:t xml:space="preserve"> w</w:t>
      </w:r>
      <w:r w:rsidR="005A1CAE">
        <w:rPr>
          <w:noProof/>
        </w:rPr>
        <w:t> </w:t>
      </w:r>
      <w:r w:rsidR="005A1CAE" w:rsidRPr="005A1CAE">
        <w:rPr>
          <w:noProof/>
        </w:rPr>
        <w:t>cel</w:t>
      </w:r>
      <w:r w:rsidRPr="005A1CAE">
        <w:rPr>
          <w:noProof/>
        </w:rPr>
        <w:t>u jego ograniczenia</w:t>
      </w:r>
      <w:r w:rsidRPr="005A1CAE">
        <w:rPr>
          <w:noProof/>
        </w:rPr>
        <w:tab/>
      </w:r>
      <w:r w:rsidRPr="005A1CAE">
        <w:rPr>
          <w:noProof/>
          <w:webHidden/>
        </w:rPr>
        <w:t>8</w:t>
      </w:r>
    </w:p>
    <w:p w14:paraId="2AFC42B4" w14:textId="366F2BA0"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2.2.3.</w:t>
      </w:r>
      <w:r w:rsidRPr="005A1CAE">
        <w:rPr>
          <w:noProof/>
        </w:rPr>
        <w:tab/>
        <w:t>Oszacowanie</w:t>
      </w:r>
      <w:r w:rsidR="005A1CAE" w:rsidRPr="005A1CAE">
        <w:rPr>
          <w:noProof/>
        </w:rPr>
        <w:t xml:space="preserve"> i</w:t>
      </w:r>
      <w:r w:rsidR="005A1CAE">
        <w:rPr>
          <w:noProof/>
        </w:rPr>
        <w:t> </w:t>
      </w:r>
      <w:r w:rsidR="005A1CAE" w:rsidRPr="005A1CAE">
        <w:rPr>
          <w:noProof/>
        </w:rPr>
        <w:t>uza</w:t>
      </w:r>
      <w:r w:rsidRPr="005A1CAE">
        <w:rPr>
          <w:noProof/>
        </w:rPr>
        <w:t>sadnienie efektywności kosztowej kontroli (relacja kosztów kontroli do wartości zarządzanych funduszy powiązanych) oraz ocena prawdopodobnego ryzyka błędu (przy płatności</w:t>
      </w:r>
      <w:r w:rsidR="005A1CAE" w:rsidRPr="005A1CAE">
        <w:rPr>
          <w:noProof/>
        </w:rPr>
        <w:t xml:space="preserve"> i</w:t>
      </w:r>
      <w:r w:rsidR="005A1CAE">
        <w:rPr>
          <w:noProof/>
        </w:rPr>
        <w:t> </w:t>
      </w:r>
      <w:r w:rsidR="005A1CAE" w:rsidRPr="005A1CAE">
        <w:rPr>
          <w:noProof/>
        </w:rPr>
        <w:t>prz</w:t>
      </w:r>
      <w:r w:rsidRPr="005A1CAE">
        <w:rPr>
          <w:noProof/>
        </w:rPr>
        <w:t>y zamykaniu)</w:t>
      </w:r>
      <w:r w:rsidRPr="005A1CAE">
        <w:rPr>
          <w:noProof/>
        </w:rPr>
        <w:tab/>
      </w:r>
      <w:r w:rsidRPr="005A1CAE">
        <w:rPr>
          <w:noProof/>
          <w:webHidden/>
        </w:rPr>
        <w:t>8</w:t>
      </w:r>
    </w:p>
    <w:p w14:paraId="2A97C870" w14:textId="086508AB"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2.3.</w:t>
      </w:r>
      <w:r w:rsidRPr="005A1CAE">
        <w:rPr>
          <w:noProof/>
        </w:rPr>
        <w:tab/>
        <w:t>Środki zapobiegania nadużyciom finansowym</w:t>
      </w:r>
      <w:r w:rsidR="005A1CAE" w:rsidRPr="005A1CAE">
        <w:rPr>
          <w:noProof/>
        </w:rPr>
        <w:t xml:space="preserve"> i</w:t>
      </w:r>
      <w:r w:rsidR="005A1CAE">
        <w:rPr>
          <w:noProof/>
        </w:rPr>
        <w:t> </w:t>
      </w:r>
      <w:r w:rsidR="005A1CAE" w:rsidRPr="005A1CAE">
        <w:rPr>
          <w:noProof/>
        </w:rPr>
        <w:t>nie</w:t>
      </w:r>
      <w:r w:rsidRPr="005A1CAE">
        <w:rPr>
          <w:noProof/>
        </w:rPr>
        <w:t>prawidłowościom</w:t>
      </w:r>
      <w:r w:rsidRPr="005A1CAE">
        <w:rPr>
          <w:noProof/>
        </w:rPr>
        <w:tab/>
      </w:r>
      <w:r w:rsidRPr="005A1CAE">
        <w:rPr>
          <w:noProof/>
          <w:webHidden/>
        </w:rPr>
        <w:t>9</w:t>
      </w:r>
    </w:p>
    <w:p w14:paraId="1BF12A63" w14:textId="77777777" w:rsidR="00D0690F" w:rsidRPr="005A1CAE" w:rsidRDefault="00D0690F" w:rsidP="009F612D">
      <w:pPr>
        <w:pStyle w:val="Spistreci1"/>
        <w:rPr>
          <w:rFonts w:asciiTheme="minorHAnsi" w:eastAsiaTheme="minorEastAsia" w:hAnsiTheme="minorHAnsi" w:cstheme="minorBidi"/>
          <w:noProof/>
          <w:kern w:val="2"/>
          <w:sz w:val="22"/>
          <w14:ligatures w14:val="standardContextual"/>
        </w:rPr>
      </w:pPr>
      <w:r w:rsidRPr="005A1CAE">
        <w:rPr>
          <w:noProof/>
        </w:rPr>
        <w:t>3.</w:t>
      </w:r>
      <w:r w:rsidRPr="005A1CAE">
        <w:rPr>
          <w:noProof/>
        </w:rPr>
        <w:tab/>
        <w:t>SZACUNKOWY WPŁYW FINANSOWY WNIOSKU/INICJATYWY</w:t>
      </w:r>
      <w:r w:rsidRPr="005A1CAE">
        <w:rPr>
          <w:noProof/>
        </w:rPr>
        <w:tab/>
      </w:r>
      <w:r w:rsidRPr="005A1CAE">
        <w:rPr>
          <w:noProof/>
          <w:webHidden/>
        </w:rPr>
        <w:t>10</w:t>
      </w:r>
    </w:p>
    <w:p w14:paraId="0DF3C633" w14:textId="109D0965"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lastRenderedPageBreak/>
        <w:t>3.1.</w:t>
      </w:r>
      <w:r w:rsidRPr="005A1CAE">
        <w:rPr>
          <w:noProof/>
        </w:rPr>
        <w:tab/>
        <w:t>Działy wieloletnich ram finansowych</w:t>
      </w:r>
      <w:r w:rsidR="005A1CAE" w:rsidRPr="005A1CAE">
        <w:rPr>
          <w:noProof/>
        </w:rPr>
        <w:t xml:space="preserve"> i</w:t>
      </w:r>
      <w:r w:rsidR="005A1CAE">
        <w:rPr>
          <w:noProof/>
        </w:rPr>
        <w:t> </w:t>
      </w:r>
      <w:r w:rsidR="005A1CAE" w:rsidRPr="005A1CAE">
        <w:rPr>
          <w:noProof/>
        </w:rPr>
        <w:t>lin</w:t>
      </w:r>
      <w:r w:rsidRPr="005A1CAE">
        <w:rPr>
          <w:noProof/>
        </w:rPr>
        <w:t>ie budżetowe po stronie wydatków, na które wniosek/inicjatywa ma wpływ</w:t>
      </w:r>
      <w:r w:rsidRPr="005A1CAE">
        <w:rPr>
          <w:noProof/>
        </w:rPr>
        <w:tab/>
      </w:r>
      <w:r w:rsidRPr="005A1CAE">
        <w:rPr>
          <w:noProof/>
          <w:webHidden/>
        </w:rPr>
        <w:t>10</w:t>
      </w:r>
    </w:p>
    <w:p w14:paraId="5C0748C6"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3.2.</w:t>
      </w:r>
      <w:r w:rsidRPr="005A1CAE">
        <w:rPr>
          <w:noProof/>
        </w:rPr>
        <w:tab/>
        <w:t>Szacunkowy wpływ finansowy wniosku na środki</w:t>
      </w:r>
      <w:r w:rsidRPr="005A1CAE">
        <w:rPr>
          <w:noProof/>
        </w:rPr>
        <w:tab/>
      </w:r>
      <w:r w:rsidRPr="005A1CAE">
        <w:rPr>
          <w:noProof/>
          <w:webHidden/>
        </w:rPr>
        <w:t>12</w:t>
      </w:r>
    </w:p>
    <w:p w14:paraId="1E7FC141" w14:textId="77777777"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3.2.1.</w:t>
      </w:r>
      <w:r w:rsidRPr="005A1CAE">
        <w:rPr>
          <w:noProof/>
        </w:rPr>
        <w:tab/>
        <w:t>Podsumowanie szacunkowego wpływu na środki operacyjne</w:t>
      </w:r>
      <w:r w:rsidRPr="005A1CAE">
        <w:rPr>
          <w:noProof/>
        </w:rPr>
        <w:tab/>
      </w:r>
      <w:r w:rsidRPr="005A1CAE">
        <w:rPr>
          <w:noProof/>
          <w:webHidden/>
        </w:rPr>
        <w:t>12</w:t>
      </w:r>
    </w:p>
    <w:p w14:paraId="26258E9E" w14:textId="266B86C6"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3.2.1.1.</w:t>
      </w:r>
      <w:r w:rsidRPr="005A1CAE">
        <w:rPr>
          <w:noProof/>
        </w:rPr>
        <w:tab/>
        <w:t>Środki</w:t>
      </w:r>
      <w:r w:rsidR="005A1CAE" w:rsidRPr="005A1CAE">
        <w:rPr>
          <w:noProof/>
        </w:rPr>
        <w:t xml:space="preserve"> z</w:t>
      </w:r>
      <w:r w:rsidR="005A1CAE">
        <w:rPr>
          <w:noProof/>
        </w:rPr>
        <w:t> </w:t>
      </w:r>
      <w:r w:rsidR="005A1CAE" w:rsidRPr="005A1CAE">
        <w:rPr>
          <w:noProof/>
        </w:rPr>
        <w:t>uch</w:t>
      </w:r>
      <w:r w:rsidRPr="005A1CAE">
        <w:rPr>
          <w:noProof/>
        </w:rPr>
        <w:t>walonego budżetu</w:t>
      </w:r>
      <w:r w:rsidRPr="005A1CAE">
        <w:rPr>
          <w:noProof/>
        </w:rPr>
        <w:tab/>
      </w:r>
      <w:r w:rsidRPr="005A1CAE">
        <w:rPr>
          <w:noProof/>
          <w:webHidden/>
        </w:rPr>
        <w:t>12</w:t>
      </w:r>
    </w:p>
    <w:p w14:paraId="09DCF920" w14:textId="7F0D3D00"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3.2.1.2.</w:t>
      </w:r>
      <w:r w:rsidRPr="005A1CAE">
        <w:rPr>
          <w:noProof/>
        </w:rPr>
        <w:tab/>
        <w:t>Środki</w:t>
      </w:r>
      <w:r w:rsidR="005A1CAE" w:rsidRPr="005A1CAE">
        <w:rPr>
          <w:noProof/>
        </w:rPr>
        <w:t xml:space="preserve"> z</w:t>
      </w:r>
      <w:r w:rsidR="005A1CAE">
        <w:rPr>
          <w:noProof/>
        </w:rPr>
        <w:t> </w:t>
      </w:r>
      <w:r w:rsidR="005A1CAE" w:rsidRPr="005A1CAE">
        <w:rPr>
          <w:noProof/>
        </w:rPr>
        <w:t>zew</w:t>
      </w:r>
      <w:r w:rsidRPr="005A1CAE">
        <w:rPr>
          <w:noProof/>
        </w:rPr>
        <w:t>nętrznych dochodów przeznaczonych na określony cel</w:t>
      </w:r>
      <w:r w:rsidRPr="005A1CAE">
        <w:rPr>
          <w:noProof/>
        </w:rPr>
        <w:tab/>
      </w:r>
      <w:r w:rsidRPr="005A1CAE">
        <w:rPr>
          <w:noProof/>
          <w:webHidden/>
        </w:rPr>
        <w:t>17</w:t>
      </w:r>
    </w:p>
    <w:p w14:paraId="7D4DFD2A" w14:textId="77777777"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3.2.2.</w:t>
      </w:r>
      <w:r w:rsidRPr="005A1CAE">
        <w:rPr>
          <w:noProof/>
        </w:rPr>
        <w:tab/>
        <w:t>Szacowany produkt finansowany ze środków operacyjnych</w:t>
      </w:r>
      <w:r w:rsidRPr="005A1CAE">
        <w:rPr>
          <w:noProof/>
        </w:rPr>
        <w:tab/>
      </w:r>
      <w:r w:rsidRPr="005A1CAE">
        <w:rPr>
          <w:noProof/>
          <w:webHidden/>
        </w:rPr>
        <w:t>22</w:t>
      </w:r>
    </w:p>
    <w:p w14:paraId="33F62B78" w14:textId="77777777"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3.2.3.</w:t>
      </w:r>
      <w:r w:rsidRPr="005A1CAE">
        <w:rPr>
          <w:noProof/>
        </w:rPr>
        <w:tab/>
        <w:t>Podsumowanie szacunkowego wpływu na środki administracyjne</w:t>
      </w:r>
      <w:r w:rsidRPr="005A1CAE">
        <w:rPr>
          <w:noProof/>
        </w:rPr>
        <w:tab/>
      </w:r>
      <w:r w:rsidRPr="005A1CAE">
        <w:rPr>
          <w:noProof/>
          <w:webHidden/>
        </w:rPr>
        <w:t>24</w:t>
      </w:r>
    </w:p>
    <w:p w14:paraId="05EE7423" w14:textId="17D5702F"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3.2.3.1. Środki</w:t>
      </w:r>
      <w:r w:rsidR="005A1CAE" w:rsidRPr="005A1CAE">
        <w:rPr>
          <w:noProof/>
        </w:rPr>
        <w:t xml:space="preserve"> z</w:t>
      </w:r>
      <w:r w:rsidR="005A1CAE">
        <w:rPr>
          <w:noProof/>
        </w:rPr>
        <w:t> </w:t>
      </w:r>
      <w:r w:rsidR="005A1CAE" w:rsidRPr="005A1CAE">
        <w:rPr>
          <w:noProof/>
        </w:rPr>
        <w:t>uch</w:t>
      </w:r>
      <w:r w:rsidRPr="005A1CAE">
        <w:rPr>
          <w:noProof/>
        </w:rPr>
        <w:t>walonego budżetu</w:t>
      </w:r>
      <w:r w:rsidRPr="005A1CAE">
        <w:rPr>
          <w:noProof/>
        </w:rPr>
        <w:tab/>
      </w:r>
      <w:r w:rsidRPr="005A1CAE">
        <w:rPr>
          <w:noProof/>
          <w:webHidden/>
        </w:rPr>
        <w:t>24</w:t>
      </w:r>
    </w:p>
    <w:p w14:paraId="27EA1884" w14:textId="53E3CDCA"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3.2.3.2.</w:t>
      </w:r>
      <w:r w:rsidRPr="005A1CAE">
        <w:rPr>
          <w:noProof/>
        </w:rPr>
        <w:tab/>
        <w:t>Środki</w:t>
      </w:r>
      <w:r w:rsidR="005A1CAE" w:rsidRPr="005A1CAE">
        <w:rPr>
          <w:noProof/>
        </w:rPr>
        <w:t xml:space="preserve"> z</w:t>
      </w:r>
      <w:r w:rsidR="005A1CAE">
        <w:rPr>
          <w:noProof/>
        </w:rPr>
        <w:t> </w:t>
      </w:r>
      <w:r w:rsidR="005A1CAE" w:rsidRPr="005A1CAE">
        <w:rPr>
          <w:noProof/>
        </w:rPr>
        <w:t>zew</w:t>
      </w:r>
      <w:r w:rsidRPr="005A1CAE">
        <w:rPr>
          <w:noProof/>
        </w:rPr>
        <w:t>nętrznych dochodów przeznaczonych na określony cel</w:t>
      </w:r>
      <w:r w:rsidRPr="005A1CAE">
        <w:rPr>
          <w:noProof/>
        </w:rPr>
        <w:tab/>
      </w:r>
      <w:r w:rsidRPr="005A1CAE">
        <w:rPr>
          <w:noProof/>
          <w:webHidden/>
        </w:rPr>
        <w:t>24</w:t>
      </w:r>
    </w:p>
    <w:p w14:paraId="5ABB4376" w14:textId="77777777"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3.2.3.3.</w:t>
      </w:r>
      <w:r w:rsidRPr="005A1CAE">
        <w:rPr>
          <w:noProof/>
        </w:rPr>
        <w:tab/>
        <w:t>Ogółem środki</w:t>
      </w:r>
      <w:r w:rsidRPr="005A1CAE">
        <w:rPr>
          <w:noProof/>
        </w:rPr>
        <w:tab/>
      </w:r>
      <w:r w:rsidRPr="005A1CAE">
        <w:rPr>
          <w:noProof/>
          <w:webHidden/>
        </w:rPr>
        <w:t>24</w:t>
      </w:r>
    </w:p>
    <w:p w14:paraId="5D17F8F5" w14:textId="77777777"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3.2.4.</w:t>
      </w:r>
      <w:r w:rsidRPr="005A1CAE">
        <w:rPr>
          <w:noProof/>
        </w:rPr>
        <w:tab/>
        <w:t>Szacowane zapotrzebowanie na zasoby ludzkie</w:t>
      </w:r>
      <w:r w:rsidRPr="005A1CAE">
        <w:rPr>
          <w:noProof/>
        </w:rPr>
        <w:tab/>
      </w:r>
      <w:r w:rsidRPr="005A1CAE">
        <w:rPr>
          <w:noProof/>
          <w:webHidden/>
        </w:rPr>
        <w:t>25</w:t>
      </w:r>
    </w:p>
    <w:p w14:paraId="7BB6A8D7" w14:textId="6964CCA1"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3.2.4.1.</w:t>
      </w:r>
      <w:r w:rsidRPr="005A1CAE">
        <w:rPr>
          <w:noProof/>
        </w:rPr>
        <w:tab/>
        <w:t>Finansowane</w:t>
      </w:r>
      <w:r w:rsidR="005A1CAE" w:rsidRPr="005A1CAE">
        <w:rPr>
          <w:noProof/>
        </w:rPr>
        <w:t xml:space="preserve"> z</w:t>
      </w:r>
      <w:r w:rsidR="005A1CAE">
        <w:rPr>
          <w:noProof/>
        </w:rPr>
        <w:t> </w:t>
      </w:r>
      <w:r w:rsidR="005A1CAE" w:rsidRPr="005A1CAE">
        <w:rPr>
          <w:noProof/>
        </w:rPr>
        <w:t>uch</w:t>
      </w:r>
      <w:r w:rsidRPr="005A1CAE">
        <w:rPr>
          <w:noProof/>
        </w:rPr>
        <w:t>walonego budżetu</w:t>
      </w:r>
      <w:r w:rsidRPr="005A1CAE">
        <w:rPr>
          <w:noProof/>
        </w:rPr>
        <w:tab/>
      </w:r>
      <w:r w:rsidRPr="005A1CAE">
        <w:rPr>
          <w:noProof/>
          <w:webHidden/>
        </w:rPr>
        <w:t>25</w:t>
      </w:r>
    </w:p>
    <w:p w14:paraId="29783824" w14:textId="185B5E8C"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3.2.4.2.</w:t>
      </w:r>
      <w:r w:rsidRPr="005A1CAE">
        <w:rPr>
          <w:noProof/>
        </w:rPr>
        <w:tab/>
        <w:t>Finansowane</w:t>
      </w:r>
      <w:r w:rsidR="005A1CAE" w:rsidRPr="005A1CAE">
        <w:rPr>
          <w:noProof/>
        </w:rPr>
        <w:t xml:space="preserve"> z</w:t>
      </w:r>
      <w:r w:rsidR="005A1CAE">
        <w:rPr>
          <w:noProof/>
        </w:rPr>
        <w:t> </w:t>
      </w:r>
      <w:r w:rsidR="005A1CAE" w:rsidRPr="005A1CAE">
        <w:rPr>
          <w:noProof/>
        </w:rPr>
        <w:t>zew</w:t>
      </w:r>
      <w:r w:rsidRPr="005A1CAE">
        <w:rPr>
          <w:noProof/>
        </w:rPr>
        <w:t>nętrznych dochodów przeznaczonych na określony cel</w:t>
      </w:r>
      <w:r w:rsidRPr="005A1CAE">
        <w:rPr>
          <w:noProof/>
        </w:rPr>
        <w:tab/>
      </w:r>
      <w:r w:rsidRPr="005A1CAE">
        <w:rPr>
          <w:noProof/>
          <w:webHidden/>
        </w:rPr>
        <w:t>26</w:t>
      </w:r>
    </w:p>
    <w:p w14:paraId="040E969F" w14:textId="77777777"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3.2.4.3.</w:t>
      </w:r>
      <w:r w:rsidRPr="005A1CAE">
        <w:rPr>
          <w:noProof/>
        </w:rPr>
        <w:tab/>
        <w:t>Zapotrzebowanie na zasoby ludzkie ogółem</w:t>
      </w:r>
      <w:r w:rsidRPr="005A1CAE">
        <w:rPr>
          <w:noProof/>
        </w:rPr>
        <w:tab/>
      </w:r>
      <w:r w:rsidRPr="005A1CAE">
        <w:rPr>
          <w:noProof/>
          <w:webHidden/>
        </w:rPr>
        <w:t>26</w:t>
      </w:r>
    </w:p>
    <w:p w14:paraId="3EB50790" w14:textId="579C38D1"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3.2.5.</w:t>
      </w:r>
      <w:r w:rsidRPr="005A1CAE">
        <w:rPr>
          <w:noProof/>
        </w:rPr>
        <w:tab/>
        <w:t>Przegląd szacowanego wpływu na inwestycje związane</w:t>
      </w:r>
      <w:r w:rsidR="005A1CAE" w:rsidRPr="005A1CAE">
        <w:rPr>
          <w:noProof/>
        </w:rPr>
        <w:t xml:space="preserve"> z</w:t>
      </w:r>
      <w:r w:rsidR="005A1CAE">
        <w:rPr>
          <w:noProof/>
        </w:rPr>
        <w:t> </w:t>
      </w:r>
      <w:r w:rsidR="005A1CAE" w:rsidRPr="005A1CAE">
        <w:rPr>
          <w:noProof/>
        </w:rPr>
        <w:t>tec</w:t>
      </w:r>
      <w:r w:rsidRPr="005A1CAE">
        <w:rPr>
          <w:noProof/>
        </w:rPr>
        <w:t>hnologiami cyfrowymi</w:t>
      </w:r>
      <w:r w:rsidRPr="005A1CAE">
        <w:rPr>
          <w:noProof/>
        </w:rPr>
        <w:tab/>
      </w:r>
      <w:r w:rsidRPr="005A1CAE">
        <w:rPr>
          <w:noProof/>
          <w:webHidden/>
        </w:rPr>
        <w:t>28</w:t>
      </w:r>
    </w:p>
    <w:p w14:paraId="41EFE2D3" w14:textId="43F79E8D"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3.2.6.</w:t>
      </w:r>
      <w:r w:rsidRPr="005A1CAE">
        <w:rPr>
          <w:noProof/>
        </w:rPr>
        <w:tab/>
        <w:t>Zgodność</w:t>
      </w:r>
      <w:r w:rsidR="005A1CAE" w:rsidRPr="005A1CAE">
        <w:rPr>
          <w:noProof/>
        </w:rPr>
        <w:t xml:space="preserve"> z</w:t>
      </w:r>
      <w:r w:rsidR="005A1CAE">
        <w:rPr>
          <w:noProof/>
        </w:rPr>
        <w:t> </w:t>
      </w:r>
      <w:r w:rsidR="005A1CAE" w:rsidRPr="005A1CAE">
        <w:rPr>
          <w:noProof/>
        </w:rPr>
        <w:t>obo</w:t>
      </w:r>
      <w:r w:rsidRPr="005A1CAE">
        <w:rPr>
          <w:noProof/>
        </w:rPr>
        <w:t>wiązującymi wieloletnimi ramami finansowymi</w:t>
      </w:r>
      <w:r w:rsidRPr="005A1CAE">
        <w:rPr>
          <w:noProof/>
        </w:rPr>
        <w:tab/>
      </w:r>
      <w:r w:rsidRPr="005A1CAE">
        <w:rPr>
          <w:noProof/>
          <w:webHidden/>
        </w:rPr>
        <w:t>28</w:t>
      </w:r>
    </w:p>
    <w:p w14:paraId="2ADD8561" w14:textId="78304BD0" w:rsidR="00D0690F" w:rsidRPr="005A1CAE" w:rsidRDefault="00D0690F" w:rsidP="009F612D">
      <w:pPr>
        <w:pStyle w:val="Spistreci3"/>
        <w:rPr>
          <w:rFonts w:asciiTheme="minorHAnsi" w:eastAsiaTheme="minorEastAsia" w:hAnsiTheme="minorHAnsi" w:cstheme="minorBidi"/>
          <w:noProof/>
          <w:kern w:val="2"/>
          <w:sz w:val="22"/>
          <w14:ligatures w14:val="standardContextual"/>
        </w:rPr>
      </w:pPr>
      <w:r w:rsidRPr="005A1CAE">
        <w:rPr>
          <w:noProof/>
        </w:rPr>
        <w:t>3.2.7.</w:t>
      </w:r>
      <w:r w:rsidRPr="005A1CAE">
        <w:rPr>
          <w:noProof/>
        </w:rPr>
        <w:tab/>
        <w:t>Udział osób trzecich</w:t>
      </w:r>
      <w:r w:rsidR="005A1CAE" w:rsidRPr="005A1CAE">
        <w:rPr>
          <w:noProof/>
        </w:rPr>
        <w:t xml:space="preserve"> w</w:t>
      </w:r>
      <w:r w:rsidR="005A1CAE">
        <w:rPr>
          <w:noProof/>
        </w:rPr>
        <w:t> </w:t>
      </w:r>
      <w:r w:rsidR="005A1CAE" w:rsidRPr="005A1CAE">
        <w:rPr>
          <w:noProof/>
        </w:rPr>
        <w:t>fin</w:t>
      </w:r>
      <w:r w:rsidRPr="005A1CAE">
        <w:rPr>
          <w:noProof/>
        </w:rPr>
        <w:t>ansowaniu</w:t>
      </w:r>
      <w:r w:rsidRPr="005A1CAE">
        <w:rPr>
          <w:noProof/>
        </w:rPr>
        <w:tab/>
      </w:r>
      <w:r w:rsidRPr="005A1CAE">
        <w:rPr>
          <w:noProof/>
          <w:webHidden/>
        </w:rPr>
        <w:t>28</w:t>
      </w:r>
    </w:p>
    <w:p w14:paraId="0F52B415"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3.3.</w:t>
      </w:r>
      <w:r w:rsidRPr="005A1CAE">
        <w:rPr>
          <w:noProof/>
        </w:rPr>
        <w:tab/>
        <w:t>Szacunkowy wpływ na dochody</w:t>
      </w:r>
      <w:r w:rsidRPr="005A1CAE">
        <w:rPr>
          <w:noProof/>
        </w:rPr>
        <w:tab/>
      </w:r>
      <w:r w:rsidRPr="005A1CAE">
        <w:rPr>
          <w:noProof/>
          <w:webHidden/>
        </w:rPr>
        <w:t>29</w:t>
      </w:r>
    </w:p>
    <w:p w14:paraId="72D334EF" w14:textId="77777777" w:rsidR="00D0690F" w:rsidRPr="005A1CAE" w:rsidRDefault="00D0690F" w:rsidP="009F612D">
      <w:pPr>
        <w:pStyle w:val="Spistreci1"/>
        <w:rPr>
          <w:rFonts w:asciiTheme="minorHAnsi" w:eastAsiaTheme="minorEastAsia" w:hAnsiTheme="minorHAnsi" w:cstheme="minorBidi"/>
          <w:noProof/>
          <w:kern w:val="2"/>
          <w:sz w:val="22"/>
          <w14:ligatures w14:val="standardContextual"/>
        </w:rPr>
      </w:pPr>
      <w:r w:rsidRPr="005A1CAE">
        <w:rPr>
          <w:noProof/>
        </w:rPr>
        <w:t>4.</w:t>
      </w:r>
      <w:r w:rsidRPr="005A1CAE">
        <w:rPr>
          <w:noProof/>
        </w:rPr>
        <w:tab/>
      </w:r>
      <w:r w:rsidRPr="005A1CAE">
        <w:rPr>
          <w:caps/>
          <w:noProof/>
        </w:rPr>
        <w:t>Wymiar cyfrowy</w:t>
      </w:r>
      <w:r w:rsidRPr="005A1CAE">
        <w:rPr>
          <w:noProof/>
        </w:rPr>
        <w:tab/>
      </w:r>
      <w:r w:rsidRPr="005A1CAE">
        <w:rPr>
          <w:noProof/>
          <w:webHidden/>
        </w:rPr>
        <w:t>29</w:t>
      </w:r>
    </w:p>
    <w:p w14:paraId="2BA2B494"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4.1.</w:t>
      </w:r>
      <w:r w:rsidRPr="005A1CAE">
        <w:rPr>
          <w:noProof/>
        </w:rPr>
        <w:tab/>
        <w:t>Wymogi cyfrowe</w:t>
      </w:r>
      <w:r w:rsidRPr="005A1CAE">
        <w:rPr>
          <w:noProof/>
        </w:rPr>
        <w:tab/>
      </w:r>
      <w:r w:rsidRPr="005A1CAE">
        <w:rPr>
          <w:noProof/>
          <w:webHidden/>
        </w:rPr>
        <w:t>30</w:t>
      </w:r>
    </w:p>
    <w:p w14:paraId="1BF66011"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4.2.</w:t>
      </w:r>
      <w:r w:rsidRPr="005A1CAE">
        <w:rPr>
          <w:noProof/>
        </w:rPr>
        <w:tab/>
        <w:t>Dane</w:t>
      </w:r>
      <w:r w:rsidRPr="005A1CAE">
        <w:rPr>
          <w:noProof/>
        </w:rPr>
        <w:tab/>
      </w:r>
      <w:r w:rsidRPr="005A1CAE">
        <w:rPr>
          <w:noProof/>
          <w:webHidden/>
        </w:rPr>
        <w:t>30</w:t>
      </w:r>
    </w:p>
    <w:p w14:paraId="55D03EE5"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4.3.</w:t>
      </w:r>
      <w:r w:rsidRPr="005A1CAE">
        <w:rPr>
          <w:noProof/>
        </w:rPr>
        <w:tab/>
        <w:t>Rozwiązania cyfrowe</w:t>
      </w:r>
      <w:r w:rsidRPr="005A1CAE">
        <w:rPr>
          <w:noProof/>
        </w:rPr>
        <w:tab/>
      </w:r>
      <w:r w:rsidRPr="005A1CAE">
        <w:rPr>
          <w:noProof/>
          <w:webHidden/>
        </w:rPr>
        <w:t>31</w:t>
      </w:r>
    </w:p>
    <w:p w14:paraId="3109C56A"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4.4.</w:t>
      </w:r>
      <w:r w:rsidRPr="005A1CAE">
        <w:rPr>
          <w:noProof/>
        </w:rPr>
        <w:tab/>
        <w:t>Ocena interoperacyjności</w:t>
      </w:r>
      <w:r w:rsidRPr="005A1CAE">
        <w:rPr>
          <w:noProof/>
        </w:rPr>
        <w:tab/>
      </w:r>
      <w:r w:rsidRPr="005A1CAE">
        <w:rPr>
          <w:noProof/>
          <w:webHidden/>
        </w:rPr>
        <w:t>31</w:t>
      </w:r>
    </w:p>
    <w:p w14:paraId="5EE72E66" w14:textId="77777777" w:rsidR="00D0690F" w:rsidRPr="005A1CAE" w:rsidRDefault="00D0690F" w:rsidP="009F612D">
      <w:pPr>
        <w:pStyle w:val="Spistreci2"/>
        <w:rPr>
          <w:rFonts w:asciiTheme="minorHAnsi" w:eastAsiaTheme="minorEastAsia" w:hAnsiTheme="minorHAnsi" w:cstheme="minorBidi"/>
          <w:noProof/>
          <w:kern w:val="2"/>
          <w:sz w:val="22"/>
          <w14:ligatures w14:val="standardContextual"/>
        </w:rPr>
      </w:pPr>
      <w:r w:rsidRPr="005A1CAE">
        <w:rPr>
          <w:noProof/>
        </w:rPr>
        <w:t>4.5.</w:t>
      </w:r>
      <w:r w:rsidRPr="005A1CAE">
        <w:rPr>
          <w:noProof/>
        </w:rPr>
        <w:tab/>
        <w:t>Środki wspierające cyfrowe wdrażanie</w:t>
      </w:r>
      <w:r w:rsidRPr="005A1CAE">
        <w:rPr>
          <w:noProof/>
        </w:rPr>
        <w:tab/>
      </w:r>
      <w:r w:rsidRPr="005A1CAE">
        <w:rPr>
          <w:noProof/>
          <w:webHidden/>
        </w:rPr>
        <w:t>32</w:t>
      </w:r>
    </w:p>
    <w:p w14:paraId="65EBF66A" w14:textId="77777777" w:rsidR="00D0690F" w:rsidRPr="005A1CAE" w:rsidRDefault="00D0690F" w:rsidP="009F612D">
      <w:pPr>
        <w:pStyle w:val="Spistreci1"/>
        <w:ind w:left="0" w:firstLine="0"/>
        <w:rPr>
          <w:noProof/>
        </w:rPr>
        <w:sectPr w:rsidR="00D0690F" w:rsidRPr="005A1CAE" w:rsidSect="009A1A09">
          <w:pgSz w:w="11907" w:h="16840" w:code="9"/>
          <w:pgMar w:top="1134" w:right="1418" w:bottom="1134" w:left="1418" w:header="709" w:footer="709" w:gutter="0"/>
          <w:pgNumType w:start="1"/>
          <w:cols w:space="720"/>
          <w:docGrid w:linePitch="360"/>
        </w:sectPr>
      </w:pPr>
    </w:p>
    <w:p w14:paraId="285927E9" w14:textId="77777777" w:rsidR="00D0690F" w:rsidRPr="005A1CAE" w:rsidRDefault="00D0690F" w:rsidP="009F612D">
      <w:pPr>
        <w:pStyle w:val="ManualHeading1"/>
        <w:rPr>
          <w:noProof/>
        </w:rPr>
      </w:pPr>
      <w:bookmarkStart w:id="5" w:name="_Toc514938007"/>
      <w:bookmarkStart w:id="6" w:name="_Toc520485025"/>
      <w:bookmarkStart w:id="7" w:name="_Toc160804567"/>
      <w:bookmarkStart w:id="8" w:name="_Toc167220259"/>
      <w:bookmarkStart w:id="9" w:name="_Toc177548992"/>
      <w:r w:rsidRPr="005A1CAE">
        <w:rPr>
          <w:noProof/>
        </w:rPr>
        <w:lastRenderedPageBreak/>
        <w:t>1.</w:t>
      </w:r>
      <w:r w:rsidRPr="005A1CAE">
        <w:rPr>
          <w:noProof/>
        </w:rPr>
        <w:tab/>
        <w:t>STRUKTURA WNIOSKU/INICJATYWY</w:t>
      </w:r>
      <w:bookmarkEnd w:id="5"/>
      <w:bookmarkEnd w:id="6"/>
      <w:bookmarkEnd w:id="7"/>
      <w:bookmarkEnd w:id="8"/>
      <w:bookmarkEnd w:id="9"/>
      <w:r w:rsidRPr="005A1CAE">
        <w:rPr>
          <w:noProof/>
        </w:rPr>
        <w:t xml:space="preserve"> </w:t>
      </w:r>
    </w:p>
    <w:p w14:paraId="7F5CE298" w14:textId="77777777" w:rsidR="00D0690F" w:rsidRPr="005A1CAE" w:rsidRDefault="00D0690F" w:rsidP="009F612D">
      <w:pPr>
        <w:pStyle w:val="ManualHeading2"/>
        <w:rPr>
          <w:noProof/>
        </w:rPr>
      </w:pPr>
      <w:bookmarkStart w:id="10" w:name="_Toc514938008"/>
      <w:bookmarkStart w:id="11" w:name="_Toc520485026"/>
      <w:bookmarkStart w:id="12" w:name="_Toc160804568"/>
      <w:bookmarkStart w:id="13" w:name="_Toc167220260"/>
      <w:bookmarkStart w:id="14" w:name="_Toc177548993"/>
      <w:r w:rsidRPr="005A1CAE">
        <w:rPr>
          <w:noProof/>
        </w:rPr>
        <w:t>1.1.</w:t>
      </w:r>
      <w:r w:rsidRPr="005A1CAE">
        <w:rPr>
          <w:noProof/>
        </w:rPr>
        <w:tab/>
        <w:t>Tytuł wniosku/inicjatywy</w:t>
      </w:r>
      <w:bookmarkEnd w:id="10"/>
      <w:bookmarkEnd w:id="11"/>
      <w:bookmarkEnd w:id="12"/>
      <w:bookmarkEnd w:id="13"/>
      <w:bookmarkEnd w:id="14"/>
    </w:p>
    <w:p w14:paraId="296DCFF7" w14:textId="6116CB1F" w:rsidR="00D0690F" w:rsidRPr="005A1CAE" w:rsidRDefault="004656D1" w:rsidP="004656D1">
      <w:pPr>
        <w:pStyle w:val="Text1"/>
        <w:pBdr>
          <w:top w:val="single" w:sz="4" w:space="1" w:color="auto"/>
          <w:left w:val="single" w:sz="4" w:space="4" w:color="auto"/>
          <w:bottom w:val="single" w:sz="4" w:space="1" w:color="auto"/>
          <w:right w:val="single" w:sz="4" w:space="4" w:color="auto"/>
        </w:pBdr>
        <w:rPr>
          <w:noProof/>
        </w:rPr>
      </w:pPr>
      <w:r w:rsidRPr="005A1CAE">
        <w:rPr>
          <w:noProof/>
        </w:rPr>
        <w:t>Mechanizm dostosowywania cen na granicach</w:t>
      </w:r>
      <w:r w:rsidR="005A1CAE" w:rsidRPr="005A1CAE">
        <w:rPr>
          <w:noProof/>
        </w:rPr>
        <w:t xml:space="preserve"> z</w:t>
      </w:r>
      <w:r w:rsidR="005A1CAE">
        <w:rPr>
          <w:noProof/>
        </w:rPr>
        <w:t> </w:t>
      </w:r>
      <w:r w:rsidR="005A1CAE" w:rsidRPr="005A1CAE">
        <w:rPr>
          <w:noProof/>
        </w:rPr>
        <w:t>uwz</w:t>
      </w:r>
      <w:r w:rsidRPr="005A1CAE">
        <w:rPr>
          <w:noProof/>
        </w:rPr>
        <w:t>ględnieniem emisji CO</w:t>
      </w:r>
      <w:r w:rsidRPr="005A1CAE">
        <w:rPr>
          <w:noProof/>
          <w:vertAlign w:val="subscript"/>
        </w:rPr>
        <w:t>2</w:t>
      </w:r>
    </w:p>
    <w:p w14:paraId="74CFFC30" w14:textId="77777777" w:rsidR="00D0690F" w:rsidRPr="005A1CAE" w:rsidRDefault="00D0690F" w:rsidP="009F612D">
      <w:pPr>
        <w:pStyle w:val="ManualHeading2"/>
        <w:rPr>
          <w:i/>
          <w:noProof/>
        </w:rPr>
      </w:pPr>
      <w:bookmarkStart w:id="15" w:name="_Toc514938011"/>
      <w:bookmarkStart w:id="16" w:name="_Toc520485027"/>
      <w:bookmarkStart w:id="17" w:name="_Toc160804569"/>
      <w:bookmarkStart w:id="18" w:name="_Toc167220261"/>
      <w:bookmarkStart w:id="19" w:name="_Toc177548994"/>
      <w:r w:rsidRPr="005A1CAE">
        <w:rPr>
          <w:noProof/>
        </w:rPr>
        <w:t>1.2.</w:t>
      </w:r>
      <w:r w:rsidRPr="005A1CAE">
        <w:rPr>
          <w:noProof/>
        </w:rPr>
        <w:tab/>
        <w:t>Obszary polityki, których dotyczy wniosek/inicjatywa</w:t>
      </w:r>
      <w:bookmarkEnd w:id="15"/>
      <w:bookmarkEnd w:id="16"/>
      <w:bookmarkEnd w:id="17"/>
      <w:bookmarkEnd w:id="18"/>
      <w:bookmarkEnd w:id="19"/>
      <w:r w:rsidRPr="005A1CAE">
        <w:rPr>
          <w:i/>
          <w:noProof/>
        </w:rPr>
        <w:t xml:space="preserve"> </w:t>
      </w:r>
    </w:p>
    <w:p w14:paraId="6A0AA5E3" w14:textId="77777777" w:rsidR="004656D1" w:rsidRPr="005A1CAE" w:rsidRDefault="004656D1" w:rsidP="004656D1">
      <w:pPr>
        <w:pStyle w:val="Text1"/>
        <w:pBdr>
          <w:top w:val="single" w:sz="4" w:space="0" w:color="auto"/>
          <w:left w:val="single" w:sz="4" w:space="4" w:color="auto"/>
          <w:bottom w:val="single" w:sz="4" w:space="1" w:color="auto"/>
          <w:right w:val="single" w:sz="4" w:space="4" w:color="auto"/>
        </w:pBdr>
        <w:rPr>
          <w:noProof/>
        </w:rPr>
      </w:pPr>
      <w:bookmarkStart w:id="20" w:name="_Toc514938015"/>
      <w:bookmarkStart w:id="21" w:name="_Toc520485029"/>
      <w:bookmarkStart w:id="22" w:name="_Toc160804571"/>
      <w:bookmarkStart w:id="23" w:name="_Toc167220263"/>
      <w:bookmarkStart w:id="24" w:name="_Toc177548995"/>
      <w:r w:rsidRPr="005A1CAE">
        <w:rPr>
          <w:noProof/>
        </w:rPr>
        <w:t>Polityka przeciwdziałania zmianie klimatu</w:t>
      </w:r>
    </w:p>
    <w:p w14:paraId="358AD766" w14:textId="77777777" w:rsidR="00D0690F" w:rsidRPr="005A1CAE" w:rsidRDefault="00D0690F" w:rsidP="009F612D">
      <w:pPr>
        <w:pStyle w:val="ManualHeading2"/>
        <w:rPr>
          <w:noProof/>
        </w:rPr>
      </w:pPr>
      <w:r w:rsidRPr="005A1CAE">
        <w:rPr>
          <w:noProof/>
        </w:rPr>
        <w:t>1.3.</w:t>
      </w:r>
      <w:r w:rsidRPr="005A1CAE">
        <w:rPr>
          <w:noProof/>
        </w:rPr>
        <w:tab/>
        <w:t>Cel(e)</w:t>
      </w:r>
      <w:bookmarkEnd w:id="20"/>
      <w:bookmarkEnd w:id="21"/>
      <w:bookmarkEnd w:id="22"/>
      <w:bookmarkEnd w:id="23"/>
      <w:bookmarkEnd w:id="24"/>
    </w:p>
    <w:p w14:paraId="2A76270B" w14:textId="77777777" w:rsidR="00D0690F" w:rsidRPr="005A1CAE" w:rsidRDefault="00D0690F" w:rsidP="009F612D">
      <w:pPr>
        <w:pStyle w:val="ManualHeading3"/>
        <w:rPr>
          <w:noProof/>
        </w:rPr>
      </w:pPr>
      <w:bookmarkStart w:id="25" w:name="_Toc514938016"/>
      <w:bookmarkStart w:id="26" w:name="_Toc520485030"/>
      <w:bookmarkStart w:id="27" w:name="_Toc160804572"/>
      <w:bookmarkStart w:id="28" w:name="_Toc167220264"/>
      <w:bookmarkStart w:id="29" w:name="_Toc177548996"/>
      <w:r w:rsidRPr="005A1CAE">
        <w:rPr>
          <w:noProof/>
        </w:rPr>
        <w:t>1.3.1.</w:t>
      </w:r>
      <w:r w:rsidRPr="005A1CAE">
        <w:rPr>
          <w:noProof/>
        </w:rPr>
        <w:tab/>
        <w:t>Cel(e) ogólny(-e)</w:t>
      </w:r>
      <w:bookmarkEnd w:id="25"/>
      <w:bookmarkEnd w:id="26"/>
      <w:bookmarkEnd w:id="27"/>
      <w:bookmarkEnd w:id="28"/>
      <w:bookmarkEnd w:id="29"/>
    </w:p>
    <w:p w14:paraId="11C49350" w14:textId="3FEFB6BB" w:rsidR="004656D1" w:rsidRPr="005A1CAE" w:rsidRDefault="004656D1" w:rsidP="004656D1">
      <w:pPr>
        <w:pStyle w:val="Text1"/>
        <w:pBdr>
          <w:top w:val="single" w:sz="8" w:space="1" w:color="000000"/>
          <w:left w:val="single" w:sz="8" w:space="4" w:color="000000"/>
          <w:bottom w:val="single" w:sz="8" w:space="1" w:color="000000"/>
          <w:right w:val="single" w:sz="8" w:space="4" w:color="000000"/>
        </w:pBdr>
        <w:rPr>
          <w:noProof/>
        </w:rPr>
      </w:pPr>
      <w:bookmarkStart w:id="30" w:name="_Toc514938018"/>
      <w:bookmarkStart w:id="31" w:name="_Toc520485031"/>
      <w:bookmarkStart w:id="32" w:name="_Toc160804573"/>
      <w:bookmarkStart w:id="33" w:name="_Toc167220265"/>
      <w:bookmarkStart w:id="34" w:name="_Toc177548997"/>
      <w:r w:rsidRPr="005A1CAE">
        <w:rPr>
          <w:noProof/>
        </w:rPr>
        <w:t>W związku</w:t>
      </w:r>
      <w:r w:rsidR="005A1CAE" w:rsidRPr="005A1CAE">
        <w:rPr>
          <w:noProof/>
        </w:rPr>
        <w:t xml:space="preserve"> z</w:t>
      </w:r>
      <w:r w:rsidR="005A1CAE">
        <w:rPr>
          <w:noProof/>
        </w:rPr>
        <w:t> </w:t>
      </w:r>
      <w:r w:rsidR="005A1CAE" w:rsidRPr="005A1CAE">
        <w:rPr>
          <w:noProof/>
        </w:rPr>
        <w:t>amb</w:t>
      </w:r>
      <w:r w:rsidRPr="005A1CAE">
        <w:rPr>
          <w:noProof/>
        </w:rPr>
        <w:t xml:space="preserve">itniejszymi celami klimatycznymi UE wprowadzenie CBAM ma służyć osiągnięciu nadrzędnego celu, jakim jest przeciwdziałanie zmianie klimatu poprzez redukcję emisji gazów cieplarnianych w UE i na całym świecie. </w:t>
      </w:r>
    </w:p>
    <w:p w14:paraId="3D540E06" w14:textId="0D0A21E4" w:rsidR="004656D1" w:rsidRPr="005A1CAE" w:rsidRDefault="004656D1" w:rsidP="004656D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Wniosek zmieniający ma na celu zwiększenie skuteczności CBAM</w:t>
      </w:r>
      <w:r w:rsidR="005A1CAE" w:rsidRPr="005A1CAE">
        <w:rPr>
          <w:noProof/>
        </w:rPr>
        <w:t xml:space="preserve"> w</w:t>
      </w:r>
      <w:r w:rsidR="005A1CAE">
        <w:rPr>
          <w:noProof/>
        </w:rPr>
        <w:t> </w:t>
      </w:r>
      <w:r w:rsidR="005A1CAE" w:rsidRPr="005A1CAE">
        <w:rPr>
          <w:noProof/>
        </w:rPr>
        <w:t>wye</w:t>
      </w:r>
      <w:r w:rsidRPr="005A1CAE">
        <w:rPr>
          <w:noProof/>
        </w:rPr>
        <w:t xml:space="preserve">liminowaniu ryzyka ucieczki emisji. </w:t>
      </w:r>
    </w:p>
    <w:p w14:paraId="5CAACB3A" w14:textId="77777777" w:rsidR="00D0690F" w:rsidRPr="005A1CAE" w:rsidRDefault="00D0690F" w:rsidP="009F612D">
      <w:pPr>
        <w:pStyle w:val="ManualHeading3"/>
        <w:rPr>
          <w:noProof/>
        </w:rPr>
      </w:pPr>
      <w:r w:rsidRPr="005A1CAE">
        <w:rPr>
          <w:noProof/>
        </w:rPr>
        <w:t>1.3.2.</w:t>
      </w:r>
      <w:r w:rsidRPr="005A1CAE">
        <w:rPr>
          <w:noProof/>
        </w:rPr>
        <w:tab/>
        <w:t>Cel(e) szczegółowy(-e)</w:t>
      </w:r>
      <w:bookmarkEnd w:id="30"/>
      <w:bookmarkEnd w:id="31"/>
      <w:bookmarkEnd w:id="32"/>
      <w:bookmarkEnd w:id="33"/>
      <w:bookmarkEnd w:id="34"/>
    </w:p>
    <w:p w14:paraId="1F43621D" w14:textId="24FF7B57" w:rsidR="004656D1" w:rsidRPr="005A1CAE" w:rsidRDefault="004656D1" w:rsidP="004656D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bookmarkStart w:id="35" w:name="_Toc514938019"/>
      <w:bookmarkStart w:id="36" w:name="_Toc520485032"/>
      <w:bookmarkStart w:id="37" w:name="_Toc160804574"/>
      <w:bookmarkStart w:id="38" w:name="_Toc167220266"/>
      <w:bookmarkStart w:id="39" w:name="_Toc177548998"/>
      <w:r w:rsidRPr="005A1CAE">
        <w:rPr>
          <w:noProof/>
        </w:rPr>
        <w:t>Nadrzędny cel, jakim jest przeciwdziałanie zmianie klimatu, znajduje odzwierciedlenie</w:t>
      </w:r>
      <w:r w:rsidR="005A1CAE" w:rsidRPr="005A1CAE">
        <w:rPr>
          <w:noProof/>
        </w:rPr>
        <w:t xml:space="preserve"> w</w:t>
      </w:r>
      <w:r w:rsidR="005A1CAE">
        <w:rPr>
          <w:noProof/>
        </w:rPr>
        <w:t> </w:t>
      </w:r>
      <w:r w:rsidR="005A1CAE" w:rsidRPr="005A1CAE">
        <w:rPr>
          <w:noProof/>
        </w:rPr>
        <w:t>sze</w:t>
      </w:r>
      <w:r w:rsidRPr="005A1CAE">
        <w:rPr>
          <w:noProof/>
        </w:rPr>
        <w:t>regu następujących celów szczegółowych: i) wyeliminowanie ryzyka ucieczki emisji</w:t>
      </w:r>
      <w:r w:rsidR="005A1CAE" w:rsidRPr="005A1CAE">
        <w:rPr>
          <w:noProof/>
        </w:rPr>
        <w:t xml:space="preserve"> w</w:t>
      </w:r>
      <w:r w:rsidR="005A1CAE">
        <w:rPr>
          <w:noProof/>
        </w:rPr>
        <w:t> </w:t>
      </w:r>
      <w:r w:rsidR="005A1CAE" w:rsidRPr="005A1CAE">
        <w:rPr>
          <w:noProof/>
        </w:rPr>
        <w:t>ram</w:t>
      </w:r>
      <w:r w:rsidRPr="005A1CAE">
        <w:rPr>
          <w:noProof/>
        </w:rPr>
        <w:t>ach realizacji ambitniejszego celu UE; ii) wniesienie wkładu</w:t>
      </w:r>
      <w:r w:rsidR="005A1CAE" w:rsidRPr="005A1CAE">
        <w:rPr>
          <w:noProof/>
        </w:rPr>
        <w:t xml:space="preserve"> w</w:t>
      </w:r>
      <w:r w:rsidR="005A1CAE">
        <w:rPr>
          <w:noProof/>
        </w:rPr>
        <w:t> </w:t>
      </w:r>
      <w:r w:rsidR="005A1CAE" w:rsidRPr="005A1CAE">
        <w:rPr>
          <w:noProof/>
        </w:rPr>
        <w:t>zap</w:t>
      </w:r>
      <w:r w:rsidRPr="005A1CAE">
        <w:rPr>
          <w:noProof/>
        </w:rPr>
        <w:t>ewnienie stałych</w:t>
      </w:r>
      <w:r w:rsidR="005A1CAE" w:rsidRPr="005A1CAE">
        <w:rPr>
          <w:noProof/>
        </w:rPr>
        <w:t xml:space="preserve"> i</w:t>
      </w:r>
      <w:r w:rsidR="005A1CAE">
        <w:rPr>
          <w:noProof/>
        </w:rPr>
        <w:t> </w:t>
      </w:r>
      <w:r w:rsidR="005A1CAE" w:rsidRPr="005A1CAE">
        <w:rPr>
          <w:noProof/>
        </w:rPr>
        <w:t>bez</w:t>
      </w:r>
      <w:r w:rsidRPr="005A1CAE">
        <w:rPr>
          <w:noProof/>
        </w:rPr>
        <w:t>piecznych ram polityki na potrzeby inwestycji</w:t>
      </w:r>
      <w:r w:rsidR="005A1CAE" w:rsidRPr="005A1CAE">
        <w:rPr>
          <w:noProof/>
        </w:rPr>
        <w:t xml:space="preserve"> w</w:t>
      </w:r>
      <w:r w:rsidR="005A1CAE">
        <w:rPr>
          <w:noProof/>
        </w:rPr>
        <w:t> </w:t>
      </w:r>
      <w:r w:rsidR="005A1CAE" w:rsidRPr="005A1CAE">
        <w:rPr>
          <w:noProof/>
        </w:rPr>
        <w:t>tec</w:t>
      </w:r>
      <w:r w:rsidRPr="005A1CAE">
        <w:rPr>
          <w:noProof/>
        </w:rPr>
        <w:t>hnologie niskoemisyjne lub bezemisyjne; iii) zapewnienie, aby produkcja wewnątrzunijna</w:t>
      </w:r>
      <w:r w:rsidR="005A1CAE" w:rsidRPr="005A1CAE">
        <w:rPr>
          <w:noProof/>
        </w:rPr>
        <w:t xml:space="preserve"> i</w:t>
      </w:r>
      <w:r w:rsidR="005A1CAE">
        <w:rPr>
          <w:noProof/>
        </w:rPr>
        <w:t> </w:t>
      </w:r>
      <w:r w:rsidR="005A1CAE" w:rsidRPr="005A1CAE">
        <w:rPr>
          <w:noProof/>
        </w:rPr>
        <w:t>prz</w:t>
      </w:r>
      <w:r w:rsidRPr="005A1CAE">
        <w:rPr>
          <w:noProof/>
        </w:rPr>
        <w:t>ywóz podlegały podobnemu poziomowi opłat za emisję gazów cieplarnianych; iv) zachęcenie producentów</w:t>
      </w:r>
      <w:r w:rsidR="005A1CAE" w:rsidRPr="005A1CAE">
        <w:rPr>
          <w:noProof/>
        </w:rPr>
        <w:t xml:space="preserve"> w</w:t>
      </w:r>
      <w:r w:rsidR="005A1CAE">
        <w:rPr>
          <w:noProof/>
        </w:rPr>
        <w:t> </w:t>
      </w:r>
      <w:r w:rsidR="005A1CAE" w:rsidRPr="005A1CAE">
        <w:rPr>
          <w:noProof/>
        </w:rPr>
        <w:t>pań</w:t>
      </w:r>
      <w:r w:rsidRPr="005A1CAE">
        <w:rPr>
          <w:noProof/>
        </w:rPr>
        <w:t>stwach trzecich, którzy prowadzą wywóz do UE, do wprowadzenia technologii niskoemisyjnych; v) zapewnienie, aby środek był skuteczny tak, aby ryzyko jego obchodzenia było minimalne, co ma zapewnić integralność środowiskową; vi) zapewnienie proporcjonalnego obciążenia administracyjnego dla przedsiębiorstw</w:t>
      </w:r>
      <w:r w:rsidR="005A1CAE" w:rsidRPr="005A1CAE">
        <w:rPr>
          <w:noProof/>
        </w:rPr>
        <w:t xml:space="preserve"> i</w:t>
      </w:r>
      <w:r w:rsidR="005A1CAE">
        <w:rPr>
          <w:noProof/>
        </w:rPr>
        <w:t> </w:t>
      </w:r>
      <w:r w:rsidR="005A1CAE" w:rsidRPr="005A1CAE">
        <w:rPr>
          <w:noProof/>
        </w:rPr>
        <w:t>org</w:t>
      </w:r>
      <w:r w:rsidRPr="005A1CAE">
        <w:rPr>
          <w:noProof/>
        </w:rPr>
        <w:t>anów publicznych</w:t>
      </w:r>
      <w:r w:rsidR="005A1CAE" w:rsidRPr="005A1CAE">
        <w:rPr>
          <w:noProof/>
        </w:rPr>
        <w:t xml:space="preserve"> w</w:t>
      </w:r>
      <w:r w:rsidR="005A1CAE">
        <w:rPr>
          <w:noProof/>
        </w:rPr>
        <w:t> </w:t>
      </w:r>
      <w:r w:rsidR="005A1CAE" w:rsidRPr="005A1CAE">
        <w:rPr>
          <w:noProof/>
        </w:rPr>
        <w:t>zwi</w:t>
      </w:r>
      <w:r w:rsidRPr="005A1CAE">
        <w:rPr>
          <w:noProof/>
        </w:rPr>
        <w:t xml:space="preserve">ązku ze stosowaniem środka. </w:t>
      </w:r>
    </w:p>
    <w:p w14:paraId="7717B78B" w14:textId="5444D606" w:rsidR="004656D1" w:rsidRPr="005A1CAE" w:rsidRDefault="004656D1" w:rsidP="004656D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Wniosek zmieniający ma na celu zwiększenie skuteczności CBAM</w:t>
      </w:r>
      <w:r w:rsidR="005A1CAE" w:rsidRPr="005A1CAE">
        <w:rPr>
          <w:noProof/>
        </w:rPr>
        <w:t xml:space="preserve"> w</w:t>
      </w:r>
      <w:r w:rsidR="005A1CAE">
        <w:rPr>
          <w:noProof/>
        </w:rPr>
        <w:t> </w:t>
      </w:r>
      <w:r w:rsidR="005A1CAE" w:rsidRPr="005A1CAE">
        <w:rPr>
          <w:noProof/>
        </w:rPr>
        <w:t>cel</w:t>
      </w:r>
      <w:r w:rsidRPr="005A1CAE">
        <w:rPr>
          <w:noProof/>
        </w:rPr>
        <w:t>u ochrony przed ryzykiem ucieczki emisji przez rozszerzenie zakresu na produkty rynku niższego szczebla, wprowadzenie dodatkowych przepisów dotyczących przeciwdziałania ryzyku unikania przepisów oraz doprecyzowanie przepisów mających zastosowanie do importu energii elektrycznej.</w:t>
      </w:r>
    </w:p>
    <w:p w14:paraId="63E9347F" w14:textId="36242BE6" w:rsidR="00D0690F" w:rsidRPr="005A1CAE" w:rsidRDefault="00D0690F" w:rsidP="009F612D">
      <w:pPr>
        <w:pStyle w:val="ManualHeading3"/>
        <w:rPr>
          <w:noProof/>
        </w:rPr>
      </w:pPr>
      <w:r w:rsidRPr="005A1CAE">
        <w:rPr>
          <w:noProof/>
        </w:rPr>
        <w:t>1.3.3.</w:t>
      </w:r>
      <w:r w:rsidRPr="005A1CAE">
        <w:rPr>
          <w:noProof/>
        </w:rPr>
        <w:tab/>
        <w:t>Oczekiwane wyniki</w:t>
      </w:r>
      <w:r w:rsidR="005A1CAE" w:rsidRPr="005A1CAE">
        <w:rPr>
          <w:noProof/>
        </w:rPr>
        <w:t xml:space="preserve"> i</w:t>
      </w:r>
      <w:r w:rsidR="005A1CAE">
        <w:rPr>
          <w:noProof/>
        </w:rPr>
        <w:t> </w:t>
      </w:r>
      <w:r w:rsidR="005A1CAE" w:rsidRPr="005A1CAE">
        <w:rPr>
          <w:noProof/>
        </w:rPr>
        <w:t>wpł</w:t>
      </w:r>
      <w:r w:rsidRPr="005A1CAE">
        <w:rPr>
          <w:noProof/>
        </w:rPr>
        <w:t>yw</w:t>
      </w:r>
      <w:bookmarkEnd w:id="35"/>
      <w:bookmarkEnd w:id="36"/>
      <w:bookmarkEnd w:id="37"/>
      <w:bookmarkEnd w:id="38"/>
      <w:bookmarkEnd w:id="39"/>
    </w:p>
    <w:p w14:paraId="048FE6A6" w14:textId="77777777" w:rsidR="00D0690F" w:rsidRPr="005A1CAE" w:rsidRDefault="00D0690F" w:rsidP="009F612D">
      <w:pPr>
        <w:pStyle w:val="Text1"/>
        <w:rPr>
          <w:i/>
          <w:noProof/>
          <w:sz w:val="20"/>
        </w:rPr>
      </w:pPr>
      <w:r w:rsidRPr="005A1CAE">
        <w:rPr>
          <w:i/>
          <w:noProof/>
          <w:sz w:val="20"/>
        </w:rPr>
        <w:t>Należy wskazać, jakie efekty przyniesie wniosek/inicjatywa beneficjentom/grupie docelowej.</w:t>
      </w:r>
    </w:p>
    <w:p w14:paraId="1F90211C" w14:textId="43707C59" w:rsidR="004656D1" w:rsidRPr="005A1CAE" w:rsidRDefault="004656D1" w:rsidP="004656D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bookmarkStart w:id="40" w:name="_Toc514938023"/>
      <w:bookmarkStart w:id="41" w:name="_Toc520485033"/>
      <w:bookmarkStart w:id="42" w:name="_Toc160804575"/>
      <w:bookmarkStart w:id="43" w:name="_Toc167220267"/>
      <w:bookmarkStart w:id="44" w:name="_Toc177548999"/>
      <w:r w:rsidRPr="005A1CAE">
        <w:rPr>
          <w:noProof/>
        </w:rPr>
        <w:t>Wprowadzenie CBAM ma przynieść redukcję emisji gazów cieplarnianych zarówno w UE-27, jak</w:t>
      </w:r>
      <w:r w:rsidR="005A1CAE" w:rsidRPr="005A1CAE">
        <w:rPr>
          <w:noProof/>
        </w:rPr>
        <w:t xml:space="preserve"> i</w:t>
      </w:r>
      <w:r w:rsidR="005A1CAE">
        <w:rPr>
          <w:noProof/>
        </w:rPr>
        <w:t> </w:t>
      </w:r>
      <w:r w:rsidR="005A1CAE" w:rsidRPr="005A1CAE">
        <w:rPr>
          <w:noProof/>
        </w:rPr>
        <w:t>w</w:t>
      </w:r>
      <w:r w:rsidR="005A1CAE">
        <w:rPr>
          <w:noProof/>
        </w:rPr>
        <w:t> </w:t>
      </w:r>
      <w:r w:rsidR="005A1CAE" w:rsidRPr="005A1CAE">
        <w:rPr>
          <w:noProof/>
        </w:rPr>
        <w:t>inn</w:t>
      </w:r>
      <w:r w:rsidRPr="005A1CAE">
        <w:rPr>
          <w:noProof/>
        </w:rPr>
        <w:t>ych regionach na świecie</w:t>
      </w:r>
      <w:r w:rsidR="005A1CAE" w:rsidRPr="005A1CAE">
        <w:rPr>
          <w:noProof/>
        </w:rPr>
        <w:t xml:space="preserve"> w</w:t>
      </w:r>
      <w:r w:rsidR="005A1CAE">
        <w:rPr>
          <w:noProof/>
        </w:rPr>
        <w:t> </w:t>
      </w:r>
      <w:r w:rsidR="005A1CAE" w:rsidRPr="005A1CAE">
        <w:rPr>
          <w:noProof/>
        </w:rPr>
        <w:t>sek</w:t>
      </w:r>
      <w:r w:rsidRPr="005A1CAE">
        <w:rPr>
          <w:noProof/>
        </w:rPr>
        <w:t>torach objętych CBAM. Oczekuje się również, że CBAM spowoduje ograniczenie ryzyka ucieczki emisji, co pozwoli na stopniowe zastąpienie nim przydziału bezpłatnych uprawnień</w:t>
      </w:r>
      <w:r w:rsidR="005A1CAE" w:rsidRPr="005A1CAE">
        <w:rPr>
          <w:noProof/>
        </w:rPr>
        <w:t xml:space="preserve"> w</w:t>
      </w:r>
      <w:r w:rsidR="005A1CAE">
        <w:rPr>
          <w:noProof/>
        </w:rPr>
        <w:t> </w:t>
      </w:r>
      <w:r w:rsidR="005A1CAE" w:rsidRPr="005A1CAE">
        <w:rPr>
          <w:noProof/>
        </w:rPr>
        <w:t>ram</w:t>
      </w:r>
      <w:r w:rsidRPr="005A1CAE">
        <w:rPr>
          <w:noProof/>
        </w:rPr>
        <w:t xml:space="preserve">ach EU ETS. </w:t>
      </w:r>
    </w:p>
    <w:p w14:paraId="7752E87D" w14:textId="7F86C5BD" w:rsidR="004656D1" w:rsidRPr="005A1CAE" w:rsidRDefault="004656D1" w:rsidP="004656D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Jeżeli chodzi</w:t>
      </w:r>
      <w:r w:rsidR="005A1CAE" w:rsidRPr="005A1CAE">
        <w:rPr>
          <w:noProof/>
        </w:rPr>
        <w:t xml:space="preserve"> o</w:t>
      </w:r>
      <w:r w:rsidR="005A1CAE">
        <w:rPr>
          <w:noProof/>
        </w:rPr>
        <w:t> </w:t>
      </w:r>
      <w:r w:rsidR="005A1CAE" w:rsidRPr="005A1CAE">
        <w:rPr>
          <w:noProof/>
        </w:rPr>
        <w:t>sku</w:t>
      </w:r>
      <w:r w:rsidRPr="005A1CAE">
        <w:rPr>
          <w:noProof/>
        </w:rPr>
        <w:t>tki gospodarcze,</w:t>
      </w:r>
      <w:r w:rsidR="005A1CAE" w:rsidRPr="005A1CAE">
        <w:rPr>
          <w:noProof/>
        </w:rPr>
        <w:t xml:space="preserve"> z</w:t>
      </w:r>
      <w:r w:rsidR="005A1CAE">
        <w:rPr>
          <w:noProof/>
        </w:rPr>
        <w:t> </w:t>
      </w:r>
      <w:r w:rsidR="005A1CAE" w:rsidRPr="005A1CAE">
        <w:rPr>
          <w:noProof/>
        </w:rPr>
        <w:t>mod</w:t>
      </w:r>
      <w:r w:rsidRPr="005A1CAE">
        <w:rPr>
          <w:noProof/>
        </w:rPr>
        <w:t>elowania przeprowadzonego przed przyjęciem rozporządzenia</w:t>
      </w:r>
      <w:r w:rsidR="005A1CAE" w:rsidRPr="005A1CAE">
        <w:rPr>
          <w:noProof/>
        </w:rPr>
        <w:t xml:space="preserve"> w</w:t>
      </w:r>
      <w:r w:rsidR="005A1CAE">
        <w:rPr>
          <w:noProof/>
        </w:rPr>
        <w:t> </w:t>
      </w:r>
      <w:r w:rsidR="005A1CAE" w:rsidRPr="005A1CAE">
        <w:rPr>
          <w:noProof/>
        </w:rPr>
        <w:t>spr</w:t>
      </w:r>
      <w:r w:rsidRPr="005A1CAE">
        <w:rPr>
          <w:noProof/>
        </w:rPr>
        <w:t>awie CBAM wynika, że wprowadzenie CBAM</w:t>
      </w:r>
      <w:r w:rsidR="005A1CAE" w:rsidRPr="005A1CAE">
        <w:rPr>
          <w:noProof/>
        </w:rPr>
        <w:t xml:space="preserve"> i</w:t>
      </w:r>
      <w:r w:rsidR="005A1CAE">
        <w:rPr>
          <w:noProof/>
        </w:rPr>
        <w:t> </w:t>
      </w:r>
      <w:r w:rsidR="005A1CAE" w:rsidRPr="005A1CAE">
        <w:rPr>
          <w:noProof/>
        </w:rPr>
        <w:t>inn</w:t>
      </w:r>
      <w:r w:rsidRPr="005A1CAE">
        <w:rPr>
          <w:noProof/>
        </w:rPr>
        <w:t>ych środków niezbędnych do osiągnięcia ambitniejszych celów klimatycznych UE może prowadzić do zmniejszenia PKB UE-27</w:t>
      </w:r>
      <w:r w:rsidR="005A1CAE" w:rsidRPr="005A1CAE">
        <w:rPr>
          <w:noProof/>
        </w:rPr>
        <w:t xml:space="preserve"> w</w:t>
      </w:r>
      <w:r w:rsidR="005A1CAE">
        <w:rPr>
          <w:noProof/>
        </w:rPr>
        <w:t> </w:t>
      </w:r>
      <w:r w:rsidR="005A1CAE" w:rsidRPr="005A1CAE">
        <w:rPr>
          <w:noProof/>
        </w:rPr>
        <w:t>2</w:t>
      </w:r>
      <w:r w:rsidRPr="005A1CAE">
        <w:rPr>
          <w:noProof/>
        </w:rPr>
        <w:t>030 r.</w:t>
      </w:r>
      <w:r w:rsidR="005A1CAE" w:rsidRPr="005A1CAE">
        <w:rPr>
          <w:noProof/>
        </w:rPr>
        <w:t xml:space="preserve"> o</w:t>
      </w:r>
      <w:r w:rsidR="005A1CAE">
        <w:rPr>
          <w:noProof/>
        </w:rPr>
        <w:t> </w:t>
      </w:r>
      <w:r w:rsidR="005A1CAE" w:rsidRPr="005A1CAE">
        <w:rPr>
          <w:noProof/>
        </w:rPr>
        <w:t>0</w:t>
      </w:r>
      <w:r w:rsidRPr="005A1CAE">
        <w:rPr>
          <w:noProof/>
        </w:rPr>
        <w:t>,22–0,23 %. Wpływ po stronie inwestycji jest niewielki. Jeżeli chodzi</w:t>
      </w:r>
      <w:r w:rsidR="005A1CAE" w:rsidRPr="005A1CAE">
        <w:rPr>
          <w:noProof/>
        </w:rPr>
        <w:t xml:space="preserve"> o</w:t>
      </w:r>
      <w:r w:rsidR="005A1CAE">
        <w:rPr>
          <w:noProof/>
        </w:rPr>
        <w:t> </w:t>
      </w:r>
      <w:r w:rsidR="005A1CAE" w:rsidRPr="005A1CAE">
        <w:rPr>
          <w:noProof/>
        </w:rPr>
        <w:t>kon</w:t>
      </w:r>
      <w:r w:rsidRPr="005A1CAE">
        <w:rPr>
          <w:noProof/>
        </w:rPr>
        <w:t xml:space="preserve">sumpcję, wydaje się, że wpływ </w:t>
      </w:r>
      <w:r w:rsidRPr="005A1CAE">
        <w:rPr>
          <w:noProof/>
        </w:rPr>
        <w:lastRenderedPageBreak/>
        <w:t>CBAM jest nieznacznie bardziej niekorzystny</w:t>
      </w:r>
      <w:r w:rsidR="005A1CAE" w:rsidRPr="005A1CAE">
        <w:rPr>
          <w:noProof/>
        </w:rPr>
        <w:t xml:space="preserve"> w</w:t>
      </w:r>
      <w:r w:rsidR="005A1CAE">
        <w:rPr>
          <w:noProof/>
        </w:rPr>
        <w:t> </w:t>
      </w:r>
      <w:r w:rsidR="005A1CAE" w:rsidRPr="005A1CAE">
        <w:rPr>
          <w:noProof/>
        </w:rPr>
        <w:t>sto</w:t>
      </w:r>
      <w:r w:rsidRPr="005A1CAE">
        <w:rPr>
          <w:noProof/>
        </w:rPr>
        <w:t>sunku do scenariusza zakładającego bardziej ambitny cel klimatyczny bez wprowadzenia CBAM.</w:t>
      </w:r>
    </w:p>
    <w:p w14:paraId="42AE01E4" w14:textId="77777777" w:rsidR="004656D1" w:rsidRPr="005A1CAE" w:rsidRDefault="004656D1" w:rsidP="004656D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 xml:space="preserve">W związku ze skutecznym ograniczeniem ucieczki emisji gazów cieplarnianych wprowadzenie CBAM będzie skutkowało ograniczeniem przywozu w UE-27. Zasadniczo skutki społeczne CBAM są ograniczone. </w:t>
      </w:r>
    </w:p>
    <w:p w14:paraId="288B52AF" w14:textId="602AD504" w:rsidR="004656D1" w:rsidRPr="005A1CAE" w:rsidRDefault="004656D1" w:rsidP="004656D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Oczekuje się wystąpienia skutków administracyjnych dla Komisji, organów krajowych</w:t>
      </w:r>
      <w:r w:rsidR="005A1CAE" w:rsidRPr="005A1CAE">
        <w:rPr>
          <w:noProof/>
        </w:rPr>
        <w:t xml:space="preserve"> i</w:t>
      </w:r>
      <w:r w:rsidR="005A1CAE">
        <w:rPr>
          <w:noProof/>
        </w:rPr>
        <w:t> </w:t>
      </w:r>
      <w:r w:rsidR="005A1CAE" w:rsidRPr="005A1CAE">
        <w:rPr>
          <w:noProof/>
        </w:rPr>
        <w:t>prz</w:t>
      </w:r>
      <w:r w:rsidRPr="005A1CAE">
        <w:rPr>
          <w:noProof/>
        </w:rPr>
        <w:t>edsiębiorstw. Zasadniczo oczekuje się, że koszty przestrzegania przepisów ponoszone przez przedsiębiorstwa</w:t>
      </w:r>
      <w:r w:rsidR="005A1CAE" w:rsidRPr="005A1CAE">
        <w:rPr>
          <w:noProof/>
        </w:rPr>
        <w:t xml:space="preserve"> i</w:t>
      </w:r>
      <w:r w:rsidR="005A1CAE">
        <w:rPr>
          <w:noProof/>
        </w:rPr>
        <w:t> </w:t>
      </w:r>
      <w:r w:rsidR="005A1CAE" w:rsidRPr="005A1CAE">
        <w:rPr>
          <w:noProof/>
        </w:rPr>
        <w:t>org</w:t>
      </w:r>
      <w:r w:rsidRPr="005A1CAE">
        <w:rPr>
          <w:noProof/>
        </w:rPr>
        <w:t>any będą wysokie, ale proporcjonalne</w:t>
      </w:r>
      <w:r w:rsidR="005A1CAE" w:rsidRPr="005A1CAE">
        <w:rPr>
          <w:noProof/>
        </w:rPr>
        <w:t xml:space="preserve"> i</w:t>
      </w:r>
      <w:r w:rsidR="005A1CAE">
        <w:rPr>
          <w:noProof/>
        </w:rPr>
        <w:t> </w:t>
      </w:r>
      <w:r w:rsidR="005A1CAE" w:rsidRPr="005A1CAE">
        <w:rPr>
          <w:noProof/>
        </w:rPr>
        <w:t>moż</w:t>
      </w:r>
      <w:r w:rsidRPr="005A1CAE">
        <w:rPr>
          <w:noProof/>
        </w:rPr>
        <w:t>liwe do udźwignięcia</w:t>
      </w:r>
      <w:r w:rsidR="005A1CAE" w:rsidRPr="005A1CAE">
        <w:rPr>
          <w:noProof/>
        </w:rPr>
        <w:t xml:space="preserve"> w</w:t>
      </w:r>
      <w:r w:rsidR="005A1CAE">
        <w:rPr>
          <w:noProof/>
        </w:rPr>
        <w:t> </w:t>
      </w:r>
      <w:r w:rsidR="005A1CAE" w:rsidRPr="005A1CAE">
        <w:rPr>
          <w:noProof/>
        </w:rPr>
        <w:t>świ</w:t>
      </w:r>
      <w:r w:rsidRPr="005A1CAE">
        <w:rPr>
          <w:noProof/>
        </w:rPr>
        <w:t xml:space="preserve">etle korzyści dla środowiska związanych ze środkiem. </w:t>
      </w:r>
    </w:p>
    <w:p w14:paraId="03EFC8A9" w14:textId="0F63B341" w:rsidR="004656D1" w:rsidRPr="005A1CAE" w:rsidRDefault="004656D1" w:rsidP="004656D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Szacuje się, że wniosek zmieniający przyczyni się do redukcji rocznej globalnej emisji gazów cieplarnianych</w:t>
      </w:r>
      <w:r w:rsidR="005A1CAE" w:rsidRPr="005A1CAE">
        <w:rPr>
          <w:noProof/>
        </w:rPr>
        <w:t xml:space="preserve"> o</w:t>
      </w:r>
      <w:r w:rsidR="005A1CAE">
        <w:rPr>
          <w:noProof/>
        </w:rPr>
        <w:t> </w:t>
      </w:r>
      <w:r w:rsidR="005A1CAE" w:rsidRPr="005A1CAE">
        <w:rPr>
          <w:noProof/>
        </w:rPr>
        <w:t>oko</w:t>
      </w:r>
      <w:r w:rsidRPr="005A1CAE">
        <w:rPr>
          <w:noProof/>
        </w:rPr>
        <w:t>ło 0,7 t ekwiwalentu CO</w:t>
      </w:r>
      <w:r w:rsidRPr="005A1CAE">
        <w:rPr>
          <w:noProof/>
          <w:vertAlign w:val="subscript"/>
        </w:rPr>
        <w:t>2</w:t>
      </w:r>
      <w:r w:rsidRPr="005A1CAE">
        <w:rPr>
          <w:noProof/>
        </w:rPr>
        <w:t xml:space="preserve"> do</w:t>
      </w:r>
      <w:r w:rsidR="005A1CAE" w:rsidRPr="005A1CAE">
        <w:rPr>
          <w:noProof/>
        </w:rPr>
        <w:t> </w:t>
      </w:r>
      <w:r w:rsidRPr="005A1CAE">
        <w:rPr>
          <w:noProof/>
        </w:rPr>
        <w:t>2030</w:t>
      </w:r>
      <w:r w:rsidR="005A1CAE" w:rsidRPr="005A1CAE">
        <w:rPr>
          <w:noProof/>
        </w:rPr>
        <w:t> </w:t>
      </w:r>
      <w:r w:rsidRPr="005A1CAE">
        <w:rPr>
          <w:noProof/>
        </w:rPr>
        <w:t>r. Ponadto oczekuje się, że przyczyni się do dalszego ograniczenia ucieczki emisji. Na podstawie modelowania przeprowadzonego przez JRC szacuje się, że CBAM zgodnie</w:t>
      </w:r>
      <w:r w:rsidR="005A1CAE" w:rsidRPr="005A1CAE">
        <w:rPr>
          <w:noProof/>
        </w:rPr>
        <w:t xml:space="preserve"> z</w:t>
      </w:r>
      <w:r w:rsidR="005A1CAE">
        <w:rPr>
          <w:noProof/>
        </w:rPr>
        <w:t> </w:t>
      </w:r>
      <w:r w:rsidR="005A1CAE" w:rsidRPr="005A1CAE">
        <w:rPr>
          <w:noProof/>
        </w:rPr>
        <w:t>obo</w:t>
      </w:r>
      <w:r w:rsidRPr="005A1CAE">
        <w:rPr>
          <w:noProof/>
        </w:rPr>
        <w:t>wiązującymi przepisami umożliwi zmniejszenie wskaźnika ucieczki emisji</w:t>
      </w:r>
      <w:r w:rsidRPr="005A1CAE">
        <w:rPr>
          <w:rStyle w:val="Odwoanieprzypisudolnego"/>
          <w:rFonts w:eastAsia="Times New Roman"/>
          <w:noProof/>
        </w:rPr>
        <w:footnoteReference w:id="27"/>
      </w:r>
      <w:r w:rsidR="005A1CAE" w:rsidRPr="005A1CAE">
        <w:rPr>
          <w:noProof/>
        </w:rPr>
        <w:t xml:space="preserve"> o</w:t>
      </w:r>
      <w:r w:rsidR="005A1CAE">
        <w:rPr>
          <w:noProof/>
        </w:rPr>
        <w:t> </w:t>
      </w:r>
      <w:r w:rsidR="005A1CAE" w:rsidRPr="005A1CAE">
        <w:rPr>
          <w:noProof/>
        </w:rPr>
        <w:t>4</w:t>
      </w:r>
      <w:r w:rsidRPr="005A1CAE">
        <w:rPr>
          <w:noProof/>
        </w:rPr>
        <w:t>3</w:t>
      </w:r>
      <w:r w:rsidR="005A1CAE" w:rsidRPr="005A1CAE">
        <w:rPr>
          <w:noProof/>
        </w:rPr>
        <w:t> </w:t>
      </w:r>
      <w:r w:rsidRPr="005A1CAE">
        <w:rPr>
          <w:noProof/>
        </w:rPr>
        <w:t>%</w:t>
      </w:r>
      <w:r w:rsidR="005A1CAE" w:rsidRPr="005A1CAE">
        <w:rPr>
          <w:noProof/>
        </w:rPr>
        <w:t xml:space="preserve"> w</w:t>
      </w:r>
      <w:r w:rsidR="005A1CAE">
        <w:rPr>
          <w:noProof/>
        </w:rPr>
        <w:t> </w:t>
      </w:r>
      <w:r w:rsidR="005A1CAE" w:rsidRPr="005A1CAE">
        <w:rPr>
          <w:noProof/>
        </w:rPr>
        <w:t>por</w:t>
      </w:r>
      <w:r w:rsidRPr="005A1CAE">
        <w:rPr>
          <w:noProof/>
        </w:rPr>
        <w:t>ównaniu ze scenariuszem zakładającym brak CBAM. Szacuje się, że rozszerzenie zakresu na wybrane produkty rynku niższego szczebla ze stali</w:t>
      </w:r>
      <w:r w:rsidR="005A1CAE" w:rsidRPr="005A1CAE">
        <w:rPr>
          <w:noProof/>
        </w:rPr>
        <w:t xml:space="preserve"> i</w:t>
      </w:r>
      <w:r w:rsidR="005A1CAE">
        <w:rPr>
          <w:noProof/>
        </w:rPr>
        <w:t> </w:t>
      </w:r>
      <w:r w:rsidR="005A1CAE" w:rsidRPr="005A1CAE">
        <w:rPr>
          <w:noProof/>
        </w:rPr>
        <w:t>alu</w:t>
      </w:r>
      <w:r w:rsidRPr="005A1CAE">
        <w:rPr>
          <w:noProof/>
        </w:rPr>
        <w:t>minium spowoduje dalsze zmniejszenie wskaźnika ucieczki emisji,</w:t>
      </w:r>
      <w:r w:rsidR="005A1CAE" w:rsidRPr="005A1CAE">
        <w:rPr>
          <w:noProof/>
        </w:rPr>
        <w:t xml:space="preserve"> a</w:t>
      </w:r>
      <w:r w:rsidR="005A1CAE">
        <w:rPr>
          <w:noProof/>
        </w:rPr>
        <w:t> </w:t>
      </w:r>
      <w:r w:rsidR="005A1CAE" w:rsidRPr="005A1CAE">
        <w:rPr>
          <w:noProof/>
        </w:rPr>
        <w:t>cał</w:t>
      </w:r>
      <w:r w:rsidRPr="005A1CAE">
        <w:rPr>
          <w:noProof/>
        </w:rPr>
        <w:t>kowity spadek</w:t>
      </w:r>
      <w:r w:rsidR="005A1CAE" w:rsidRPr="005A1CAE">
        <w:rPr>
          <w:noProof/>
        </w:rPr>
        <w:t xml:space="preserve"> w</w:t>
      </w:r>
      <w:r w:rsidR="005A1CAE">
        <w:rPr>
          <w:noProof/>
        </w:rPr>
        <w:t> </w:t>
      </w:r>
      <w:r w:rsidR="005A1CAE" w:rsidRPr="005A1CAE">
        <w:rPr>
          <w:noProof/>
        </w:rPr>
        <w:t>por</w:t>
      </w:r>
      <w:r w:rsidRPr="005A1CAE">
        <w:rPr>
          <w:noProof/>
        </w:rPr>
        <w:t>ównaniu ze scenariuszem zakładającym brak CBAM wyniesie 76</w:t>
      </w:r>
      <w:r w:rsidR="005A1CAE" w:rsidRPr="005A1CAE">
        <w:rPr>
          <w:noProof/>
        </w:rPr>
        <w:t> </w:t>
      </w:r>
      <w:r w:rsidRPr="005A1CAE">
        <w:rPr>
          <w:noProof/>
        </w:rPr>
        <w:t>%. Makroekonomiczne skutki rozszerzenia na rynki niższego szczebla są znikome, przy czym szacowany wpływ na PKB UE wynosi mniej niż 0,001</w:t>
      </w:r>
      <w:r w:rsidR="005A1CAE" w:rsidRPr="005A1CAE">
        <w:rPr>
          <w:noProof/>
        </w:rPr>
        <w:t> </w:t>
      </w:r>
      <w:r w:rsidRPr="005A1CAE">
        <w:rPr>
          <w:noProof/>
        </w:rPr>
        <w:t>%,</w:t>
      </w:r>
      <w:r w:rsidR="005A1CAE" w:rsidRPr="005A1CAE">
        <w:rPr>
          <w:noProof/>
        </w:rPr>
        <w:t xml:space="preserve"> a</w:t>
      </w:r>
      <w:r w:rsidR="005A1CAE">
        <w:rPr>
          <w:noProof/>
        </w:rPr>
        <w:t> </w:t>
      </w:r>
      <w:r w:rsidR="005A1CAE" w:rsidRPr="005A1CAE">
        <w:rPr>
          <w:noProof/>
        </w:rPr>
        <w:t>ogó</w:t>
      </w:r>
      <w:r w:rsidRPr="005A1CAE">
        <w:rPr>
          <w:noProof/>
        </w:rPr>
        <w:t>lny wpływ na handel, produkcję</w:t>
      </w:r>
      <w:r w:rsidR="005A1CAE" w:rsidRPr="005A1CAE">
        <w:rPr>
          <w:noProof/>
        </w:rPr>
        <w:t xml:space="preserve"> i</w:t>
      </w:r>
      <w:r w:rsidR="005A1CAE">
        <w:rPr>
          <w:noProof/>
        </w:rPr>
        <w:t> </w:t>
      </w:r>
      <w:r w:rsidR="005A1CAE" w:rsidRPr="005A1CAE">
        <w:rPr>
          <w:noProof/>
        </w:rPr>
        <w:t>cen</w:t>
      </w:r>
      <w:r w:rsidRPr="005A1CAE">
        <w:rPr>
          <w:noProof/>
        </w:rPr>
        <w:t>y konsumpcyjne w UE jest niewielki.</w:t>
      </w:r>
    </w:p>
    <w:p w14:paraId="20F1C101" w14:textId="053552E4" w:rsidR="008F38A1" w:rsidRPr="005A1CAE" w:rsidRDefault="008F38A1" w:rsidP="004656D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Rozszerzenie na rynki niższego szczebla nie ma na celu generowania dochodów, lecz raczej zwiększenie skuteczności CBAM</w:t>
      </w:r>
      <w:r w:rsidR="005A1CAE" w:rsidRPr="005A1CAE">
        <w:rPr>
          <w:noProof/>
        </w:rPr>
        <w:t xml:space="preserve"> w</w:t>
      </w:r>
      <w:r w:rsidR="005A1CAE">
        <w:rPr>
          <w:noProof/>
        </w:rPr>
        <w:t> </w:t>
      </w:r>
      <w:r w:rsidR="005A1CAE" w:rsidRPr="005A1CAE">
        <w:rPr>
          <w:noProof/>
        </w:rPr>
        <w:t>zak</w:t>
      </w:r>
      <w:r w:rsidRPr="005A1CAE">
        <w:rPr>
          <w:noProof/>
        </w:rPr>
        <w:t>resie przeciwdziałania ucieczce emisji</w:t>
      </w:r>
      <w:r w:rsidR="005A1CAE" w:rsidRPr="005A1CAE">
        <w:rPr>
          <w:noProof/>
        </w:rPr>
        <w:t>. 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tym</w:t>
      </w:r>
      <w:r w:rsidRPr="005A1CAE">
        <w:rPr>
          <w:noProof/>
        </w:rPr>
        <w:t xml:space="preserve"> przewiduje się, że do</w:t>
      </w:r>
      <w:r w:rsidR="005A1CAE" w:rsidRPr="005A1CAE">
        <w:rPr>
          <w:noProof/>
        </w:rPr>
        <w:t> </w:t>
      </w:r>
      <w:r w:rsidRPr="005A1CAE">
        <w:rPr>
          <w:noProof/>
        </w:rPr>
        <w:t>2030</w:t>
      </w:r>
      <w:r w:rsidR="005A1CAE" w:rsidRPr="005A1CAE">
        <w:rPr>
          <w:noProof/>
        </w:rPr>
        <w:t> </w:t>
      </w:r>
      <w:r w:rsidRPr="005A1CAE">
        <w:rPr>
          <w:noProof/>
        </w:rPr>
        <w:t>r. wniosek przyniesie roczne dochody</w:t>
      </w:r>
      <w:r w:rsidR="005A1CAE" w:rsidRPr="005A1CAE">
        <w:rPr>
          <w:noProof/>
        </w:rPr>
        <w:t xml:space="preserve"> w</w:t>
      </w:r>
      <w:r w:rsidR="005A1CAE">
        <w:rPr>
          <w:noProof/>
        </w:rPr>
        <w:t> </w:t>
      </w:r>
      <w:r w:rsidR="005A1CAE" w:rsidRPr="005A1CAE">
        <w:rPr>
          <w:noProof/>
        </w:rPr>
        <w:t>wys</w:t>
      </w:r>
      <w:r w:rsidRPr="005A1CAE">
        <w:rPr>
          <w:noProof/>
        </w:rPr>
        <w:t>okości około 0,58 mld EUR. Po 2030</w:t>
      </w:r>
      <w:r w:rsidR="005A1CAE" w:rsidRPr="005A1CAE">
        <w:rPr>
          <w:noProof/>
        </w:rPr>
        <w:t> </w:t>
      </w:r>
      <w:r w:rsidRPr="005A1CAE">
        <w:rPr>
          <w:noProof/>
        </w:rPr>
        <w:t>r.,</w:t>
      </w:r>
      <w:r w:rsidR="005A1CAE" w:rsidRPr="005A1CAE">
        <w:rPr>
          <w:noProof/>
        </w:rPr>
        <w:t xml:space="preserve"> w</w:t>
      </w:r>
      <w:r w:rsidR="005A1CAE">
        <w:rPr>
          <w:noProof/>
        </w:rPr>
        <w:t> </w:t>
      </w:r>
      <w:r w:rsidR="005A1CAE" w:rsidRPr="005A1CAE">
        <w:rPr>
          <w:noProof/>
        </w:rPr>
        <w:t>mia</w:t>
      </w:r>
      <w:r w:rsidRPr="005A1CAE">
        <w:rPr>
          <w:noProof/>
        </w:rPr>
        <w:t>rę stopniowego wycofywania bezpłatnych uprawnień</w:t>
      </w:r>
      <w:r w:rsidR="005A1CAE" w:rsidRPr="005A1CAE">
        <w:rPr>
          <w:noProof/>
        </w:rPr>
        <w:t xml:space="preserve"> w</w:t>
      </w:r>
      <w:r w:rsidR="005A1CAE">
        <w:rPr>
          <w:noProof/>
        </w:rPr>
        <w:t> </w:t>
      </w:r>
      <w:r w:rsidR="005A1CAE" w:rsidRPr="005A1CAE">
        <w:rPr>
          <w:noProof/>
        </w:rPr>
        <w:t>ram</w:t>
      </w:r>
      <w:r w:rsidRPr="005A1CAE">
        <w:rPr>
          <w:noProof/>
        </w:rPr>
        <w:t>ach EU ETS</w:t>
      </w:r>
      <w:r w:rsidR="005A1CAE" w:rsidRPr="005A1CAE">
        <w:rPr>
          <w:noProof/>
        </w:rPr>
        <w:t xml:space="preserve"> i</w:t>
      </w:r>
      <w:r w:rsidR="005A1CAE">
        <w:rPr>
          <w:noProof/>
        </w:rPr>
        <w:t> </w:t>
      </w:r>
      <w:r w:rsidR="005A1CAE" w:rsidRPr="005A1CAE">
        <w:rPr>
          <w:noProof/>
        </w:rPr>
        <w:t>sto</w:t>
      </w:r>
      <w:r w:rsidRPr="005A1CAE">
        <w:rPr>
          <w:noProof/>
        </w:rPr>
        <w:t>pniowego wprowadzania CBAM, dochody powinny nadal rosnąć</w:t>
      </w:r>
      <w:r w:rsidR="005A1CAE" w:rsidRPr="005A1CAE">
        <w:rPr>
          <w:noProof/>
        </w:rPr>
        <w:t xml:space="preserve"> i</w:t>
      </w:r>
      <w:r w:rsidR="005A1CAE">
        <w:rPr>
          <w:noProof/>
        </w:rPr>
        <w:t> </w:t>
      </w:r>
      <w:r w:rsidR="005A1CAE" w:rsidRPr="005A1CAE">
        <w:rPr>
          <w:noProof/>
        </w:rPr>
        <w:t>wed</w:t>
      </w:r>
      <w:r w:rsidRPr="005A1CAE">
        <w:rPr>
          <w:noProof/>
        </w:rPr>
        <w:t>ług szacunków wynieść 0,69 mld EUR do</w:t>
      </w:r>
      <w:r w:rsidR="005A1CAE" w:rsidRPr="005A1CAE">
        <w:rPr>
          <w:noProof/>
        </w:rPr>
        <w:t> </w:t>
      </w:r>
      <w:r w:rsidRPr="005A1CAE">
        <w:rPr>
          <w:noProof/>
        </w:rPr>
        <w:t>2035</w:t>
      </w:r>
      <w:r w:rsidR="005A1CAE" w:rsidRPr="005A1CAE">
        <w:rPr>
          <w:noProof/>
        </w:rPr>
        <w:t> </w:t>
      </w:r>
      <w:r w:rsidRPr="005A1CAE">
        <w:rPr>
          <w:noProof/>
        </w:rPr>
        <w:t>r.</w:t>
      </w:r>
    </w:p>
    <w:p w14:paraId="75861362" w14:textId="77777777" w:rsidR="00D0690F" w:rsidRPr="005A1CAE" w:rsidRDefault="00D0690F" w:rsidP="009F612D">
      <w:pPr>
        <w:pStyle w:val="ManualHeading3"/>
        <w:rPr>
          <w:noProof/>
        </w:rPr>
      </w:pPr>
      <w:r w:rsidRPr="005A1CAE">
        <w:rPr>
          <w:noProof/>
        </w:rPr>
        <w:t>1.3.4.</w:t>
      </w:r>
      <w:r w:rsidRPr="005A1CAE">
        <w:rPr>
          <w:noProof/>
        </w:rPr>
        <w:tab/>
        <w:t>Wskaźniki dotyczące realizacji celów</w:t>
      </w:r>
      <w:bookmarkEnd w:id="40"/>
      <w:bookmarkEnd w:id="41"/>
      <w:bookmarkEnd w:id="42"/>
      <w:bookmarkEnd w:id="43"/>
      <w:bookmarkEnd w:id="44"/>
    </w:p>
    <w:p w14:paraId="33A29681" w14:textId="25151CFE" w:rsidR="00D0690F" w:rsidRPr="005A1CAE" w:rsidRDefault="00D0690F" w:rsidP="008F38A1">
      <w:pPr>
        <w:pStyle w:val="Text1"/>
        <w:rPr>
          <w:noProof/>
        </w:rPr>
      </w:pPr>
      <w:r w:rsidRPr="005A1CAE">
        <w:rPr>
          <w:i/>
          <w:noProof/>
          <w:sz w:val="20"/>
        </w:rPr>
        <w:t>Należy wskazać wskaźniki stosowane do monitorowania postępów</w:t>
      </w:r>
      <w:r w:rsidR="005A1CAE" w:rsidRPr="005A1CAE">
        <w:rPr>
          <w:i/>
          <w:noProof/>
          <w:sz w:val="20"/>
        </w:rPr>
        <w:t xml:space="preserve"> i</w:t>
      </w:r>
      <w:r w:rsidR="005A1CAE">
        <w:rPr>
          <w:i/>
          <w:noProof/>
          <w:sz w:val="20"/>
        </w:rPr>
        <w:t> </w:t>
      </w:r>
      <w:r w:rsidR="005A1CAE" w:rsidRPr="005A1CAE">
        <w:rPr>
          <w:i/>
          <w:noProof/>
          <w:sz w:val="20"/>
        </w:rPr>
        <w:t>osi</w:t>
      </w:r>
      <w:r w:rsidRPr="005A1CAE">
        <w:rPr>
          <w:i/>
          <w:noProof/>
          <w:sz w:val="20"/>
        </w:rPr>
        <w:t>ągnięć.</w:t>
      </w:r>
    </w:p>
    <w:tbl>
      <w:tblPr>
        <w:tblStyle w:val="CV12"/>
        <w:tblW w:w="8221"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40"/>
        <w:gridCol w:w="3104"/>
        <w:gridCol w:w="3377"/>
      </w:tblGrid>
      <w:tr w:rsidR="008F38A1" w:rsidRPr="005A1CAE" w14:paraId="2C4D0159" w14:textId="77777777" w:rsidTr="008F38A1">
        <w:tc>
          <w:tcPr>
            <w:tcW w:w="1631" w:type="dxa"/>
            <w:shd w:val="clear" w:color="auto" w:fill="D9D9D9" w:themeFill="background1" w:themeFillShade="D9"/>
            <w:vAlign w:val="center"/>
          </w:tcPr>
          <w:p w14:paraId="7F74AF19" w14:textId="77777777" w:rsidR="008F38A1" w:rsidRPr="005A1CAE" w:rsidRDefault="008F38A1">
            <w:pPr>
              <w:jc w:val="center"/>
              <w:rPr>
                <w:b/>
                <w:noProof/>
                <w:sz w:val="22"/>
                <w:szCs w:val="22"/>
              </w:rPr>
            </w:pPr>
            <w:bookmarkStart w:id="45" w:name="_Toc177549000"/>
            <w:r w:rsidRPr="005A1CAE">
              <w:rPr>
                <w:b/>
                <w:noProof/>
                <w:sz w:val="22"/>
              </w:rPr>
              <w:t>Cele</w:t>
            </w:r>
          </w:p>
        </w:tc>
        <w:tc>
          <w:tcPr>
            <w:tcW w:w="0" w:type="auto"/>
            <w:shd w:val="clear" w:color="auto" w:fill="D9D9D9" w:themeFill="background1" w:themeFillShade="D9"/>
            <w:vAlign w:val="center"/>
          </w:tcPr>
          <w:p w14:paraId="3A6E42ED" w14:textId="77777777" w:rsidR="008F38A1" w:rsidRPr="005A1CAE" w:rsidRDefault="008F38A1">
            <w:pPr>
              <w:jc w:val="center"/>
              <w:rPr>
                <w:b/>
                <w:noProof/>
                <w:sz w:val="22"/>
                <w:szCs w:val="22"/>
              </w:rPr>
            </w:pPr>
            <w:r w:rsidRPr="005A1CAE">
              <w:rPr>
                <w:b/>
                <w:noProof/>
                <w:sz w:val="22"/>
              </w:rPr>
              <w:t>Wskaźniki</w:t>
            </w:r>
          </w:p>
        </w:tc>
        <w:tc>
          <w:tcPr>
            <w:tcW w:w="3377" w:type="dxa"/>
            <w:shd w:val="clear" w:color="auto" w:fill="D9D9D9" w:themeFill="background1" w:themeFillShade="D9"/>
            <w:vAlign w:val="center"/>
          </w:tcPr>
          <w:p w14:paraId="330A46DB" w14:textId="77777777" w:rsidR="008F38A1" w:rsidRPr="005A1CAE" w:rsidRDefault="008F38A1">
            <w:pPr>
              <w:jc w:val="center"/>
              <w:rPr>
                <w:b/>
                <w:noProof/>
                <w:sz w:val="22"/>
                <w:szCs w:val="22"/>
              </w:rPr>
            </w:pPr>
            <w:r w:rsidRPr="005A1CAE">
              <w:rPr>
                <w:b/>
                <w:noProof/>
                <w:sz w:val="22"/>
              </w:rPr>
              <w:t>Narzędzia pomiarowe/źródła danych</w:t>
            </w:r>
          </w:p>
        </w:tc>
      </w:tr>
      <w:tr w:rsidR="008F38A1" w:rsidRPr="005A1CAE" w14:paraId="3174C854" w14:textId="77777777" w:rsidTr="008F38A1">
        <w:tc>
          <w:tcPr>
            <w:tcW w:w="1631" w:type="dxa"/>
          </w:tcPr>
          <w:p w14:paraId="2139793E" w14:textId="77777777" w:rsidR="008F38A1" w:rsidRPr="005A1CAE" w:rsidRDefault="008F38A1">
            <w:pPr>
              <w:jc w:val="left"/>
              <w:rPr>
                <w:noProof/>
                <w:sz w:val="22"/>
                <w:szCs w:val="22"/>
              </w:rPr>
            </w:pPr>
            <w:r w:rsidRPr="005A1CAE">
              <w:rPr>
                <w:noProof/>
                <w:sz w:val="22"/>
              </w:rPr>
              <w:t>Redukcja emisji gazów cieplarnianych</w:t>
            </w:r>
          </w:p>
        </w:tc>
        <w:tc>
          <w:tcPr>
            <w:tcW w:w="0" w:type="auto"/>
          </w:tcPr>
          <w:p w14:paraId="34ED050F" w14:textId="77777777" w:rsidR="008F38A1" w:rsidRPr="005A1CAE" w:rsidRDefault="008F38A1" w:rsidP="00E05594">
            <w:pPr>
              <w:pStyle w:val="Akapitzlist"/>
              <w:numPr>
                <w:ilvl w:val="0"/>
                <w:numId w:val="17"/>
              </w:numPr>
              <w:spacing w:before="0" w:after="0"/>
              <w:ind w:left="258" w:hanging="241"/>
              <w:jc w:val="left"/>
              <w:rPr>
                <w:noProof/>
                <w:sz w:val="22"/>
                <w:szCs w:val="22"/>
              </w:rPr>
            </w:pPr>
            <w:r w:rsidRPr="005A1CAE">
              <w:rPr>
                <w:noProof/>
                <w:sz w:val="22"/>
              </w:rPr>
              <w:t>Poziom emisji w UE</w:t>
            </w:r>
          </w:p>
          <w:p w14:paraId="03E7D982" w14:textId="77777777" w:rsidR="008F38A1" w:rsidRPr="005A1CAE" w:rsidRDefault="008F38A1" w:rsidP="00E05594">
            <w:pPr>
              <w:pStyle w:val="Akapitzlist"/>
              <w:numPr>
                <w:ilvl w:val="0"/>
                <w:numId w:val="17"/>
              </w:numPr>
              <w:spacing w:before="0" w:after="0"/>
              <w:ind w:left="258" w:hanging="241"/>
              <w:jc w:val="left"/>
              <w:rPr>
                <w:noProof/>
                <w:sz w:val="22"/>
                <w:szCs w:val="22"/>
              </w:rPr>
            </w:pPr>
            <w:r w:rsidRPr="005A1CAE">
              <w:rPr>
                <w:noProof/>
                <w:sz w:val="22"/>
              </w:rPr>
              <w:t>Poziom emisji na świecie</w:t>
            </w:r>
          </w:p>
        </w:tc>
        <w:tc>
          <w:tcPr>
            <w:tcW w:w="3377" w:type="dxa"/>
          </w:tcPr>
          <w:p w14:paraId="70900785" w14:textId="77777777"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t>Statystyki dotyczące emisji</w:t>
            </w:r>
          </w:p>
          <w:p w14:paraId="607D7B77" w14:textId="77777777"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t>Statystyki sektorowe</w:t>
            </w:r>
          </w:p>
          <w:p w14:paraId="48F671B3" w14:textId="77777777"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t>Oświadczenia państw trzecich na temat tego, czy CBAM stanowiło dla nich zachętę do wprowadzenia własnych opłat za emisję gazów cieplarnianych</w:t>
            </w:r>
          </w:p>
        </w:tc>
      </w:tr>
      <w:tr w:rsidR="008F38A1" w:rsidRPr="005A1CAE" w14:paraId="04FC9CFB" w14:textId="77777777" w:rsidTr="008F38A1">
        <w:tc>
          <w:tcPr>
            <w:tcW w:w="1631" w:type="dxa"/>
          </w:tcPr>
          <w:p w14:paraId="6836125C" w14:textId="520685E3" w:rsidR="008F38A1" w:rsidRPr="005A1CAE" w:rsidRDefault="008F38A1">
            <w:pPr>
              <w:jc w:val="left"/>
              <w:rPr>
                <w:noProof/>
                <w:sz w:val="22"/>
                <w:szCs w:val="22"/>
              </w:rPr>
            </w:pPr>
            <w:r w:rsidRPr="005A1CAE">
              <w:rPr>
                <w:noProof/>
                <w:sz w:val="22"/>
              </w:rPr>
              <w:t xml:space="preserve">Zachęcanie do wprowadzania czystszych procesów </w:t>
            </w:r>
            <w:r w:rsidRPr="005A1CAE">
              <w:rPr>
                <w:noProof/>
                <w:sz w:val="22"/>
              </w:rPr>
              <w:lastRenderedPageBreak/>
              <w:t>produkcji</w:t>
            </w:r>
            <w:r w:rsidR="005A1CAE" w:rsidRPr="005A1CAE">
              <w:rPr>
                <w:noProof/>
                <w:sz w:val="22"/>
              </w:rPr>
              <w:t xml:space="preserve"> w</w:t>
            </w:r>
            <w:r w:rsidR="005A1CAE">
              <w:rPr>
                <w:noProof/>
                <w:sz w:val="22"/>
              </w:rPr>
              <w:t> </w:t>
            </w:r>
            <w:r w:rsidR="005A1CAE" w:rsidRPr="005A1CAE">
              <w:rPr>
                <w:noProof/>
                <w:sz w:val="22"/>
              </w:rPr>
              <w:t>pań</w:t>
            </w:r>
            <w:r w:rsidRPr="005A1CAE">
              <w:rPr>
                <w:noProof/>
                <w:sz w:val="22"/>
              </w:rPr>
              <w:t>stwach trzecich</w:t>
            </w:r>
          </w:p>
        </w:tc>
        <w:tc>
          <w:tcPr>
            <w:tcW w:w="0" w:type="auto"/>
          </w:tcPr>
          <w:p w14:paraId="7D6B3713" w14:textId="00D1B4C9" w:rsidR="008F38A1" w:rsidRPr="005A1CAE" w:rsidRDefault="008F38A1" w:rsidP="00E05594">
            <w:pPr>
              <w:pStyle w:val="Akapitzlist"/>
              <w:numPr>
                <w:ilvl w:val="0"/>
                <w:numId w:val="17"/>
              </w:numPr>
              <w:spacing w:before="0" w:after="0"/>
              <w:ind w:left="258" w:hanging="241"/>
              <w:jc w:val="left"/>
              <w:rPr>
                <w:noProof/>
                <w:sz w:val="22"/>
                <w:szCs w:val="22"/>
              </w:rPr>
            </w:pPr>
            <w:r w:rsidRPr="005A1CAE">
              <w:rPr>
                <w:noProof/>
                <w:sz w:val="22"/>
              </w:rPr>
              <w:lastRenderedPageBreak/>
              <w:t>Zmiana rzeczywistych emisji</w:t>
            </w:r>
            <w:r w:rsidR="005A1CAE" w:rsidRPr="005A1CAE">
              <w:rPr>
                <w:noProof/>
                <w:sz w:val="22"/>
              </w:rPr>
              <w:t xml:space="preserve"> w</w:t>
            </w:r>
            <w:r w:rsidR="005A1CAE">
              <w:rPr>
                <w:noProof/>
                <w:sz w:val="22"/>
              </w:rPr>
              <w:t> </w:t>
            </w:r>
            <w:r w:rsidR="005A1CAE" w:rsidRPr="005A1CAE">
              <w:rPr>
                <w:noProof/>
                <w:sz w:val="22"/>
              </w:rPr>
              <w:t>sek</w:t>
            </w:r>
            <w:r w:rsidRPr="005A1CAE">
              <w:rPr>
                <w:noProof/>
                <w:sz w:val="22"/>
              </w:rPr>
              <w:t>torach objętych CBAM</w:t>
            </w:r>
            <w:r w:rsidR="005A1CAE" w:rsidRPr="005A1CAE">
              <w:rPr>
                <w:noProof/>
                <w:sz w:val="22"/>
              </w:rPr>
              <w:t xml:space="preserve"> w</w:t>
            </w:r>
            <w:r w:rsidR="005A1CAE">
              <w:rPr>
                <w:noProof/>
                <w:sz w:val="22"/>
              </w:rPr>
              <w:t> </w:t>
            </w:r>
            <w:r w:rsidR="005A1CAE" w:rsidRPr="005A1CAE">
              <w:rPr>
                <w:noProof/>
                <w:sz w:val="22"/>
              </w:rPr>
              <w:t>pań</w:t>
            </w:r>
            <w:r w:rsidRPr="005A1CAE">
              <w:rPr>
                <w:noProof/>
                <w:sz w:val="22"/>
              </w:rPr>
              <w:t>stwach trzecich</w:t>
            </w:r>
          </w:p>
          <w:p w14:paraId="152CC413" w14:textId="77777777" w:rsidR="008F38A1" w:rsidRPr="005A1CAE" w:rsidRDefault="008F38A1" w:rsidP="00E05594">
            <w:pPr>
              <w:pStyle w:val="Akapitzlist"/>
              <w:numPr>
                <w:ilvl w:val="0"/>
                <w:numId w:val="17"/>
              </w:numPr>
              <w:spacing w:before="0" w:after="0"/>
              <w:ind w:left="258" w:hanging="241"/>
              <w:jc w:val="left"/>
              <w:rPr>
                <w:noProof/>
                <w:sz w:val="22"/>
                <w:szCs w:val="22"/>
              </w:rPr>
            </w:pPr>
            <w:r w:rsidRPr="005A1CAE">
              <w:rPr>
                <w:noProof/>
                <w:sz w:val="22"/>
              </w:rPr>
              <w:t>Poziom importu energii elektrycznej</w:t>
            </w:r>
          </w:p>
          <w:p w14:paraId="716ABD3A" w14:textId="04ED1552" w:rsidR="008F38A1" w:rsidRPr="005A1CAE" w:rsidRDefault="008F38A1" w:rsidP="00E05594">
            <w:pPr>
              <w:pStyle w:val="Akapitzlist"/>
              <w:numPr>
                <w:ilvl w:val="0"/>
                <w:numId w:val="17"/>
              </w:numPr>
              <w:spacing w:before="0" w:after="0"/>
              <w:ind w:left="258" w:hanging="241"/>
              <w:jc w:val="left"/>
              <w:rPr>
                <w:noProof/>
                <w:sz w:val="22"/>
                <w:szCs w:val="22"/>
              </w:rPr>
            </w:pPr>
            <w:r w:rsidRPr="005A1CAE">
              <w:rPr>
                <w:noProof/>
                <w:sz w:val="22"/>
              </w:rPr>
              <w:lastRenderedPageBreak/>
              <w:t>Udział wartości rzeczywistych zgłaszanych</w:t>
            </w:r>
            <w:r w:rsidR="005A1CAE" w:rsidRPr="005A1CAE">
              <w:rPr>
                <w:noProof/>
                <w:sz w:val="22"/>
              </w:rPr>
              <w:t xml:space="preserve"> w</w:t>
            </w:r>
            <w:r w:rsidR="005A1CAE">
              <w:rPr>
                <w:noProof/>
                <w:sz w:val="22"/>
              </w:rPr>
              <w:t> </w:t>
            </w:r>
            <w:r w:rsidR="005A1CAE" w:rsidRPr="005A1CAE">
              <w:rPr>
                <w:noProof/>
                <w:sz w:val="22"/>
              </w:rPr>
              <w:t>odn</w:t>
            </w:r>
            <w:r w:rsidRPr="005A1CAE">
              <w:rPr>
                <w:noProof/>
                <w:sz w:val="22"/>
              </w:rPr>
              <w:t xml:space="preserve">iesieniu do energii elektrycznej </w:t>
            </w:r>
          </w:p>
        </w:tc>
        <w:tc>
          <w:tcPr>
            <w:tcW w:w="3377" w:type="dxa"/>
          </w:tcPr>
          <w:p w14:paraId="26EA6058" w14:textId="0F6F3156"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lastRenderedPageBreak/>
              <w:t>Poziom emisji wykazany przez producentów</w:t>
            </w:r>
            <w:r w:rsidR="005A1CAE" w:rsidRPr="005A1CAE">
              <w:rPr>
                <w:noProof/>
                <w:sz w:val="22"/>
              </w:rPr>
              <w:t xml:space="preserve"> z</w:t>
            </w:r>
            <w:r w:rsidR="005A1CAE">
              <w:rPr>
                <w:noProof/>
                <w:sz w:val="22"/>
              </w:rPr>
              <w:t> </w:t>
            </w:r>
            <w:r w:rsidR="005A1CAE" w:rsidRPr="005A1CAE">
              <w:rPr>
                <w:noProof/>
                <w:sz w:val="22"/>
              </w:rPr>
              <w:t>pań</w:t>
            </w:r>
            <w:r w:rsidRPr="005A1CAE">
              <w:rPr>
                <w:noProof/>
                <w:sz w:val="22"/>
              </w:rPr>
              <w:t>stw trzecich objętych CBAM</w:t>
            </w:r>
          </w:p>
          <w:p w14:paraId="087ED6A1" w14:textId="77777777"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t>Rejestr CBAM</w:t>
            </w:r>
          </w:p>
        </w:tc>
      </w:tr>
      <w:tr w:rsidR="008F38A1" w:rsidRPr="005A1CAE" w14:paraId="15E7127E" w14:textId="77777777" w:rsidTr="008F38A1">
        <w:tc>
          <w:tcPr>
            <w:tcW w:w="1631" w:type="dxa"/>
          </w:tcPr>
          <w:p w14:paraId="6A1F0F64" w14:textId="77777777" w:rsidR="008F38A1" w:rsidRPr="005A1CAE" w:rsidRDefault="008F38A1">
            <w:pPr>
              <w:jc w:val="left"/>
              <w:rPr>
                <w:noProof/>
                <w:sz w:val="22"/>
                <w:szCs w:val="22"/>
              </w:rPr>
            </w:pPr>
            <w:r w:rsidRPr="005A1CAE">
              <w:rPr>
                <w:noProof/>
                <w:sz w:val="22"/>
              </w:rPr>
              <w:t>Zapobieganie ucieczce emisji gazów cieplarnianych</w:t>
            </w:r>
          </w:p>
        </w:tc>
        <w:tc>
          <w:tcPr>
            <w:tcW w:w="0" w:type="auto"/>
          </w:tcPr>
          <w:p w14:paraId="449E50BC" w14:textId="77777777" w:rsidR="008F38A1" w:rsidRPr="005A1CAE" w:rsidRDefault="008F38A1" w:rsidP="00E05594">
            <w:pPr>
              <w:pStyle w:val="Akapitzlist"/>
              <w:numPr>
                <w:ilvl w:val="0"/>
                <w:numId w:val="17"/>
              </w:numPr>
              <w:spacing w:before="0" w:after="0"/>
              <w:ind w:left="258" w:hanging="241"/>
              <w:jc w:val="left"/>
              <w:rPr>
                <w:noProof/>
                <w:sz w:val="22"/>
                <w:szCs w:val="22"/>
              </w:rPr>
            </w:pPr>
            <w:r w:rsidRPr="005A1CAE">
              <w:rPr>
                <w:noProof/>
                <w:sz w:val="22"/>
              </w:rPr>
              <w:t>Takie same jak wskaźniki dotyczące emisji podane powyżej</w:t>
            </w:r>
          </w:p>
          <w:p w14:paraId="088C1B3C" w14:textId="10DA31EC" w:rsidR="008F38A1" w:rsidRPr="005A1CAE" w:rsidRDefault="008F38A1" w:rsidP="00E05594">
            <w:pPr>
              <w:pStyle w:val="Akapitzlist"/>
              <w:numPr>
                <w:ilvl w:val="0"/>
                <w:numId w:val="17"/>
              </w:numPr>
              <w:spacing w:before="0" w:after="0"/>
              <w:ind w:left="262" w:hanging="283"/>
              <w:jc w:val="left"/>
              <w:rPr>
                <w:noProof/>
                <w:sz w:val="22"/>
                <w:szCs w:val="22"/>
              </w:rPr>
            </w:pPr>
            <w:r w:rsidRPr="005A1CAE">
              <w:rPr>
                <w:noProof/>
                <w:sz w:val="22"/>
              </w:rPr>
              <w:t>Poziom emisji w UE</w:t>
            </w:r>
            <w:r w:rsidR="005A1CAE" w:rsidRPr="005A1CAE">
              <w:rPr>
                <w:noProof/>
                <w:sz w:val="22"/>
              </w:rPr>
              <w:t xml:space="preserve"> w</w:t>
            </w:r>
            <w:r w:rsidR="005A1CAE">
              <w:rPr>
                <w:noProof/>
                <w:sz w:val="22"/>
              </w:rPr>
              <w:t> </w:t>
            </w:r>
            <w:r w:rsidR="005A1CAE" w:rsidRPr="005A1CAE">
              <w:rPr>
                <w:noProof/>
                <w:sz w:val="22"/>
              </w:rPr>
              <w:t>sto</w:t>
            </w:r>
            <w:r w:rsidRPr="005A1CAE">
              <w:rPr>
                <w:noProof/>
                <w:sz w:val="22"/>
              </w:rPr>
              <w:t xml:space="preserve">sunku do emisji na świecie </w:t>
            </w:r>
          </w:p>
          <w:p w14:paraId="01FD8599" w14:textId="6C46B08B" w:rsidR="008F38A1" w:rsidRPr="005A1CAE" w:rsidRDefault="008F38A1" w:rsidP="00E05594">
            <w:pPr>
              <w:pStyle w:val="Akapitzlist"/>
              <w:numPr>
                <w:ilvl w:val="0"/>
                <w:numId w:val="17"/>
              </w:numPr>
              <w:spacing w:before="0" w:after="0"/>
              <w:ind w:left="262" w:hanging="283"/>
              <w:jc w:val="left"/>
              <w:rPr>
                <w:noProof/>
                <w:sz w:val="22"/>
                <w:szCs w:val="22"/>
              </w:rPr>
            </w:pPr>
            <w:r w:rsidRPr="005A1CAE">
              <w:rPr>
                <w:noProof/>
                <w:sz w:val="22"/>
              </w:rPr>
              <w:t>Przepływy handlowe</w:t>
            </w:r>
            <w:r w:rsidR="005A1CAE" w:rsidRPr="005A1CAE">
              <w:rPr>
                <w:noProof/>
                <w:sz w:val="22"/>
              </w:rPr>
              <w:t xml:space="preserve"> w</w:t>
            </w:r>
            <w:r w:rsidR="005A1CAE">
              <w:rPr>
                <w:noProof/>
                <w:sz w:val="22"/>
              </w:rPr>
              <w:t> </w:t>
            </w:r>
            <w:r w:rsidR="005A1CAE" w:rsidRPr="005A1CAE">
              <w:rPr>
                <w:noProof/>
                <w:sz w:val="22"/>
              </w:rPr>
              <w:t>sek</w:t>
            </w:r>
            <w:r w:rsidRPr="005A1CAE">
              <w:rPr>
                <w:noProof/>
                <w:sz w:val="22"/>
              </w:rPr>
              <w:t>torach objętych CBAM</w:t>
            </w:r>
          </w:p>
          <w:p w14:paraId="75FAE5EB" w14:textId="2511315D" w:rsidR="008F38A1" w:rsidRPr="005A1CAE" w:rsidRDefault="008F38A1" w:rsidP="00E05594">
            <w:pPr>
              <w:pStyle w:val="Akapitzlist"/>
              <w:numPr>
                <w:ilvl w:val="0"/>
                <w:numId w:val="17"/>
              </w:numPr>
              <w:spacing w:before="0" w:after="0"/>
              <w:ind w:left="262" w:hanging="283"/>
              <w:jc w:val="left"/>
              <w:rPr>
                <w:noProof/>
                <w:sz w:val="22"/>
                <w:szCs w:val="22"/>
              </w:rPr>
            </w:pPr>
            <w:r w:rsidRPr="005A1CAE">
              <w:rPr>
                <w:noProof/>
                <w:sz w:val="22"/>
              </w:rPr>
              <w:t>Przepływy handlowe</w:t>
            </w:r>
            <w:r w:rsidR="005A1CAE" w:rsidRPr="005A1CAE">
              <w:rPr>
                <w:noProof/>
                <w:sz w:val="22"/>
              </w:rPr>
              <w:t xml:space="preserve"> w</w:t>
            </w:r>
            <w:r w:rsidR="005A1CAE">
              <w:rPr>
                <w:noProof/>
                <w:sz w:val="22"/>
              </w:rPr>
              <w:t> </w:t>
            </w:r>
            <w:r w:rsidR="005A1CAE" w:rsidRPr="005A1CAE">
              <w:rPr>
                <w:noProof/>
                <w:sz w:val="22"/>
              </w:rPr>
              <w:t>sek</w:t>
            </w:r>
            <w:r w:rsidRPr="005A1CAE">
              <w:rPr>
                <w:noProof/>
                <w:sz w:val="22"/>
              </w:rPr>
              <w:t>torach niższego szczebla</w:t>
            </w:r>
          </w:p>
        </w:tc>
        <w:tc>
          <w:tcPr>
            <w:tcW w:w="3377" w:type="dxa"/>
          </w:tcPr>
          <w:p w14:paraId="35535013" w14:textId="77777777"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t>Statystyki dotyczące emisji</w:t>
            </w:r>
          </w:p>
          <w:p w14:paraId="5833C271" w14:textId="77777777"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t>Statystyki dotyczące handlu</w:t>
            </w:r>
          </w:p>
          <w:p w14:paraId="54B74536" w14:textId="77777777"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t>Statystyki sektorowe</w:t>
            </w:r>
          </w:p>
        </w:tc>
      </w:tr>
      <w:tr w:rsidR="008F38A1" w:rsidRPr="005A1CAE" w14:paraId="7F7E6C2E" w14:textId="77777777" w:rsidTr="008F38A1">
        <w:tc>
          <w:tcPr>
            <w:tcW w:w="1631" w:type="dxa"/>
          </w:tcPr>
          <w:p w14:paraId="5CBD3880" w14:textId="444B5B9F" w:rsidR="008F38A1" w:rsidRPr="005A1CAE" w:rsidRDefault="008F38A1">
            <w:pPr>
              <w:jc w:val="left"/>
              <w:rPr>
                <w:noProof/>
                <w:sz w:val="22"/>
                <w:szCs w:val="22"/>
              </w:rPr>
            </w:pPr>
            <w:r w:rsidRPr="005A1CAE">
              <w:rPr>
                <w:noProof/>
                <w:sz w:val="22"/>
              </w:rPr>
              <w:t>Zapewnienie spójności</w:t>
            </w:r>
            <w:r w:rsidR="005A1CAE" w:rsidRPr="005A1CAE">
              <w:rPr>
                <w:noProof/>
                <w:sz w:val="22"/>
              </w:rPr>
              <w:t xml:space="preserve"> z</w:t>
            </w:r>
            <w:r w:rsidR="005A1CAE">
              <w:rPr>
                <w:noProof/>
                <w:sz w:val="22"/>
              </w:rPr>
              <w:t> </w:t>
            </w:r>
            <w:r w:rsidR="005A1CAE" w:rsidRPr="005A1CAE">
              <w:rPr>
                <w:noProof/>
                <w:sz w:val="22"/>
              </w:rPr>
              <w:t>pol</w:t>
            </w:r>
            <w:r w:rsidRPr="005A1CAE">
              <w:rPr>
                <w:noProof/>
                <w:sz w:val="22"/>
              </w:rPr>
              <w:t>ityką UE</w:t>
            </w:r>
          </w:p>
        </w:tc>
        <w:tc>
          <w:tcPr>
            <w:tcW w:w="0" w:type="auto"/>
          </w:tcPr>
          <w:p w14:paraId="622D6056" w14:textId="02043940" w:rsidR="008F38A1" w:rsidRPr="005A1CAE" w:rsidRDefault="008F38A1" w:rsidP="00E05594">
            <w:pPr>
              <w:pStyle w:val="Akapitzlist"/>
              <w:numPr>
                <w:ilvl w:val="0"/>
                <w:numId w:val="17"/>
              </w:numPr>
              <w:spacing w:before="0" w:after="0"/>
              <w:ind w:left="258" w:hanging="241"/>
              <w:jc w:val="left"/>
              <w:rPr>
                <w:noProof/>
                <w:sz w:val="22"/>
                <w:szCs w:val="22"/>
              </w:rPr>
            </w:pPr>
            <w:r w:rsidRPr="005A1CAE">
              <w:rPr>
                <w:noProof/>
                <w:sz w:val="22"/>
              </w:rPr>
              <w:t>Cena za certyfikaty przywozowe zgodna</w:t>
            </w:r>
            <w:r w:rsidR="005A1CAE" w:rsidRPr="005A1CAE">
              <w:rPr>
                <w:noProof/>
                <w:sz w:val="22"/>
              </w:rPr>
              <w:t xml:space="preserve"> z</w:t>
            </w:r>
            <w:r w:rsidR="005A1CAE">
              <w:rPr>
                <w:noProof/>
                <w:sz w:val="22"/>
              </w:rPr>
              <w:t> </w:t>
            </w:r>
            <w:r w:rsidR="005A1CAE" w:rsidRPr="005A1CAE">
              <w:rPr>
                <w:noProof/>
                <w:sz w:val="22"/>
              </w:rPr>
              <w:t>cen</w:t>
            </w:r>
            <w:r w:rsidRPr="005A1CAE">
              <w:rPr>
                <w:noProof/>
                <w:sz w:val="22"/>
              </w:rPr>
              <w:t>ą w EU ETS</w:t>
            </w:r>
          </w:p>
        </w:tc>
        <w:tc>
          <w:tcPr>
            <w:tcW w:w="3377" w:type="dxa"/>
          </w:tcPr>
          <w:p w14:paraId="01D5BB48" w14:textId="77777777"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t>Statystyki organów EU ETS i CBAM</w:t>
            </w:r>
          </w:p>
        </w:tc>
      </w:tr>
      <w:tr w:rsidR="008F38A1" w:rsidRPr="005A1CAE" w14:paraId="769FE0C9" w14:textId="77777777" w:rsidTr="008F38A1">
        <w:tc>
          <w:tcPr>
            <w:tcW w:w="1631" w:type="dxa"/>
          </w:tcPr>
          <w:p w14:paraId="3009154E" w14:textId="77777777" w:rsidR="008F38A1" w:rsidRPr="005A1CAE" w:rsidRDefault="008F38A1">
            <w:pPr>
              <w:jc w:val="left"/>
              <w:rPr>
                <w:noProof/>
                <w:sz w:val="22"/>
                <w:szCs w:val="22"/>
              </w:rPr>
            </w:pPr>
            <w:r w:rsidRPr="005A1CAE">
              <w:rPr>
                <w:noProof/>
                <w:sz w:val="22"/>
              </w:rPr>
              <w:t>Ograniczenie obciążenia administracyjnego</w:t>
            </w:r>
          </w:p>
        </w:tc>
        <w:tc>
          <w:tcPr>
            <w:tcW w:w="0" w:type="auto"/>
          </w:tcPr>
          <w:p w14:paraId="67830DCD" w14:textId="7CDC3FEF" w:rsidR="008F38A1" w:rsidRPr="005A1CAE" w:rsidRDefault="008F38A1" w:rsidP="00E05594">
            <w:pPr>
              <w:pStyle w:val="Akapitzlist"/>
              <w:numPr>
                <w:ilvl w:val="0"/>
                <w:numId w:val="17"/>
              </w:numPr>
              <w:spacing w:before="0" w:after="0"/>
              <w:ind w:left="258" w:hanging="241"/>
              <w:jc w:val="left"/>
              <w:rPr>
                <w:noProof/>
                <w:sz w:val="22"/>
                <w:szCs w:val="22"/>
              </w:rPr>
            </w:pPr>
            <w:r w:rsidRPr="005A1CAE">
              <w:rPr>
                <w:noProof/>
                <w:sz w:val="22"/>
              </w:rPr>
              <w:t>Terminowe postępowanie</w:t>
            </w:r>
            <w:r w:rsidR="005A1CAE" w:rsidRPr="005A1CAE">
              <w:rPr>
                <w:noProof/>
                <w:sz w:val="22"/>
              </w:rPr>
              <w:t xml:space="preserve"> w</w:t>
            </w:r>
            <w:r w:rsidR="005A1CAE">
              <w:rPr>
                <w:noProof/>
                <w:sz w:val="22"/>
              </w:rPr>
              <w:t> </w:t>
            </w:r>
            <w:r w:rsidR="005A1CAE" w:rsidRPr="005A1CAE">
              <w:rPr>
                <w:noProof/>
                <w:sz w:val="22"/>
              </w:rPr>
              <w:t>ram</w:t>
            </w:r>
            <w:r w:rsidRPr="005A1CAE">
              <w:rPr>
                <w:noProof/>
                <w:sz w:val="22"/>
              </w:rPr>
              <w:t>ach egzekwowania CBAM (np. ewentualna procedura uzgadniania)</w:t>
            </w:r>
          </w:p>
          <w:p w14:paraId="29B561B8" w14:textId="77777777" w:rsidR="008F38A1" w:rsidRPr="005A1CAE" w:rsidRDefault="008F38A1" w:rsidP="00E05594">
            <w:pPr>
              <w:pStyle w:val="Akapitzlist"/>
              <w:numPr>
                <w:ilvl w:val="0"/>
                <w:numId w:val="17"/>
              </w:numPr>
              <w:spacing w:before="0" w:after="0"/>
              <w:ind w:left="258" w:hanging="241"/>
              <w:jc w:val="left"/>
              <w:rPr>
                <w:noProof/>
                <w:sz w:val="22"/>
                <w:szCs w:val="22"/>
              </w:rPr>
            </w:pPr>
            <w:r w:rsidRPr="005A1CAE">
              <w:rPr>
                <w:noProof/>
                <w:sz w:val="22"/>
              </w:rPr>
              <w:t>Kontrole rzeczywistego poziomu emisji przez eksportera</w:t>
            </w:r>
          </w:p>
        </w:tc>
        <w:tc>
          <w:tcPr>
            <w:tcW w:w="3377" w:type="dxa"/>
          </w:tcPr>
          <w:p w14:paraId="2E728711" w14:textId="0987C763"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t>Informacje zwrotne ze strony przemysłu</w:t>
            </w:r>
            <w:r w:rsidR="005A1CAE" w:rsidRPr="005A1CAE">
              <w:rPr>
                <w:noProof/>
                <w:sz w:val="22"/>
              </w:rPr>
              <w:t xml:space="preserve"> i</w:t>
            </w:r>
            <w:r w:rsidR="005A1CAE">
              <w:rPr>
                <w:noProof/>
                <w:sz w:val="22"/>
              </w:rPr>
              <w:t> </w:t>
            </w:r>
            <w:r w:rsidR="005A1CAE" w:rsidRPr="005A1CAE">
              <w:rPr>
                <w:noProof/>
                <w:sz w:val="22"/>
              </w:rPr>
              <w:t>org</w:t>
            </w:r>
            <w:r w:rsidRPr="005A1CAE">
              <w:rPr>
                <w:noProof/>
                <w:sz w:val="22"/>
              </w:rPr>
              <w:t>anów publicznych odpowiedzialnych za wdrożenie CBAM</w:t>
            </w:r>
          </w:p>
          <w:p w14:paraId="7AB46BFE" w14:textId="77777777" w:rsidR="008F38A1" w:rsidRPr="005A1CAE" w:rsidRDefault="008F38A1" w:rsidP="00E05594">
            <w:pPr>
              <w:pStyle w:val="Akapitzlist"/>
              <w:numPr>
                <w:ilvl w:val="0"/>
                <w:numId w:val="17"/>
              </w:numPr>
              <w:spacing w:before="0" w:after="0"/>
              <w:ind w:left="186" w:hanging="186"/>
              <w:jc w:val="left"/>
              <w:rPr>
                <w:noProof/>
                <w:sz w:val="22"/>
                <w:szCs w:val="22"/>
              </w:rPr>
            </w:pPr>
            <w:r w:rsidRPr="005A1CAE">
              <w:rPr>
                <w:noProof/>
                <w:sz w:val="22"/>
              </w:rPr>
              <w:t>Liczba pracowników potrzebnych do administracji CBAM</w:t>
            </w:r>
          </w:p>
        </w:tc>
      </w:tr>
    </w:tbl>
    <w:p w14:paraId="6E7F866A" w14:textId="77777777" w:rsidR="00D0690F" w:rsidRPr="005A1CAE" w:rsidRDefault="00D0690F" w:rsidP="009F612D">
      <w:pPr>
        <w:pStyle w:val="ManualHeading2"/>
        <w:rPr>
          <w:noProof/>
        </w:rPr>
      </w:pPr>
      <w:r w:rsidRPr="005A1CAE">
        <w:rPr>
          <w:noProof/>
        </w:rPr>
        <w:t>1.4.</w:t>
      </w:r>
      <w:r w:rsidRPr="005A1CAE">
        <w:rPr>
          <w:noProof/>
        </w:rPr>
        <w:tab/>
        <w:t>Wniosek/inicjatywa dotyczy:</w:t>
      </w:r>
      <w:bookmarkEnd w:id="45"/>
      <w:r w:rsidRPr="005A1CAE">
        <w:rPr>
          <w:noProof/>
        </w:rPr>
        <w:t xml:space="preserve"> </w:t>
      </w:r>
    </w:p>
    <w:p w14:paraId="2D54730A" w14:textId="77777777" w:rsidR="00D0690F" w:rsidRPr="005A1CAE" w:rsidRDefault="00D0690F" w:rsidP="009F612D">
      <w:pPr>
        <w:pStyle w:val="Text1"/>
        <w:rPr>
          <w:noProof/>
          <w:sz w:val="22"/>
        </w:rPr>
      </w:pPr>
      <w:r w:rsidRPr="005A1CAE">
        <w:rPr>
          <w:rFonts w:ascii="Wingdings" w:hAnsi="Wingdings"/>
          <w:noProof/>
          <w:sz w:val="22"/>
        </w:rPr>
        <w:t></w:t>
      </w:r>
      <w:r w:rsidRPr="005A1CAE">
        <w:rPr>
          <w:i/>
          <w:noProof/>
          <w:sz w:val="22"/>
        </w:rPr>
        <w:t xml:space="preserve"> </w:t>
      </w:r>
      <w:r w:rsidRPr="005A1CAE">
        <w:rPr>
          <w:noProof/>
        </w:rPr>
        <w:t>nowego działania</w:t>
      </w:r>
      <w:r w:rsidRPr="005A1CAE">
        <w:rPr>
          <w:noProof/>
          <w:sz w:val="22"/>
        </w:rPr>
        <w:t xml:space="preserve"> </w:t>
      </w:r>
    </w:p>
    <w:p w14:paraId="1BCE1B14" w14:textId="77777777" w:rsidR="00D0690F" w:rsidRPr="005A1CAE" w:rsidRDefault="00D0690F" w:rsidP="009F612D">
      <w:pPr>
        <w:pStyle w:val="Text1"/>
        <w:rPr>
          <w:noProof/>
          <w:sz w:val="22"/>
        </w:rPr>
      </w:pPr>
      <w:r w:rsidRPr="005A1CAE">
        <w:rPr>
          <w:rFonts w:ascii="Wingdings" w:hAnsi="Wingdings"/>
          <w:noProof/>
          <w:sz w:val="22"/>
        </w:rPr>
        <w:t></w:t>
      </w:r>
      <w:r w:rsidRPr="005A1CAE">
        <w:rPr>
          <w:i/>
          <w:noProof/>
          <w:sz w:val="22"/>
        </w:rPr>
        <w:t xml:space="preserve"> </w:t>
      </w:r>
      <w:r w:rsidRPr="005A1CAE">
        <w:rPr>
          <w:noProof/>
        </w:rPr>
        <w:t>nowego działania, będącego następstwem projektu pilotażowego/działania przygotowawczego</w:t>
      </w:r>
      <w:r w:rsidRPr="005A1CAE">
        <w:rPr>
          <w:rStyle w:val="Odwoanieprzypisudolnego"/>
          <w:noProof/>
        </w:rPr>
        <w:footnoteReference w:id="28"/>
      </w:r>
      <w:r w:rsidRPr="005A1CAE">
        <w:rPr>
          <w:noProof/>
          <w:sz w:val="22"/>
        </w:rPr>
        <w:t xml:space="preserve"> </w:t>
      </w:r>
    </w:p>
    <w:p w14:paraId="4CF19CF1" w14:textId="77777777" w:rsidR="00D0690F" w:rsidRPr="005A1CAE" w:rsidRDefault="008F38A1" w:rsidP="009F612D">
      <w:pPr>
        <w:pStyle w:val="Text1"/>
        <w:rPr>
          <w:noProof/>
          <w:sz w:val="22"/>
        </w:rPr>
      </w:pPr>
      <w:r w:rsidRPr="005A1CAE">
        <w:rPr>
          <w:rFonts w:ascii="Wingdings" w:hAnsi="Wingdings"/>
          <w:noProof/>
        </w:rPr>
        <w:t></w:t>
      </w:r>
      <w:r w:rsidRPr="005A1CAE">
        <w:rPr>
          <w:i/>
          <w:noProof/>
          <w:sz w:val="22"/>
        </w:rPr>
        <w:t xml:space="preserve"> </w:t>
      </w:r>
      <w:r w:rsidRPr="005A1CAE">
        <w:rPr>
          <w:noProof/>
        </w:rPr>
        <w:t>przedłużenia bieżącego działania</w:t>
      </w:r>
      <w:r w:rsidRPr="005A1CAE">
        <w:rPr>
          <w:noProof/>
          <w:sz w:val="22"/>
        </w:rPr>
        <w:t xml:space="preserve"> </w:t>
      </w:r>
    </w:p>
    <w:p w14:paraId="6C1E98BF" w14:textId="77777777" w:rsidR="00D0690F" w:rsidRPr="005A1CAE" w:rsidRDefault="00D0690F" w:rsidP="009F612D">
      <w:pPr>
        <w:pStyle w:val="Text1"/>
        <w:rPr>
          <w:noProof/>
        </w:rPr>
      </w:pPr>
      <w:r w:rsidRPr="005A1CAE">
        <w:rPr>
          <w:rFonts w:ascii="Wingdings" w:hAnsi="Wingdings"/>
          <w:noProof/>
          <w:sz w:val="22"/>
        </w:rPr>
        <w:t></w:t>
      </w:r>
      <w:r w:rsidRPr="005A1CAE">
        <w:rPr>
          <w:i/>
          <w:noProof/>
          <w:sz w:val="22"/>
        </w:rPr>
        <w:t xml:space="preserve"> </w:t>
      </w:r>
      <w:r w:rsidRPr="005A1CAE">
        <w:rPr>
          <w:noProof/>
        </w:rPr>
        <w:t>połączenia lub przekształcenia co najmniej jednego działania pod kątem innego/nowego działania</w:t>
      </w:r>
    </w:p>
    <w:p w14:paraId="6CD6D75D" w14:textId="77777777" w:rsidR="00D0690F" w:rsidRPr="005A1CAE" w:rsidRDefault="00D0690F" w:rsidP="009F612D">
      <w:pPr>
        <w:pStyle w:val="ManualHeading2"/>
        <w:rPr>
          <w:bCs/>
          <w:noProof/>
          <w:szCs w:val="24"/>
        </w:rPr>
      </w:pPr>
      <w:bookmarkStart w:id="46" w:name="_Toc514938025"/>
      <w:bookmarkStart w:id="47" w:name="_Toc520485034"/>
      <w:bookmarkStart w:id="48" w:name="_Toc160804576"/>
      <w:bookmarkStart w:id="49" w:name="_Toc167220268"/>
      <w:bookmarkStart w:id="50" w:name="_Toc177549001"/>
      <w:r w:rsidRPr="005A1CAE">
        <w:rPr>
          <w:noProof/>
        </w:rPr>
        <w:t>1.5.</w:t>
      </w:r>
      <w:r w:rsidRPr="005A1CAE">
        <w:rPr>
          <w:noProof/>
        </w:rPr>
        <w:tab/>
        <w:t>Uzasadnienie wniosku/inicjatywy</w:t>
      </w:r>
      <w:bookmarkEnd w:id="46"/>
      <w:bookmarkEnd w:id="47"/>
      <w:bookmarkEnd w:id="48"/>
      <w:bookmarkEnd w:id="49"/>
      <w:bookmarkEnd w:id="50"/>
      <w:r w:rsidRPr="005A1CAE">
        <w:rPr>
          <w:noProof/>
        </w:rPr>
        <w:t xml:space="preserve"> </w:t>
      </w:r>
    </w:p>
    <w:p w14:paraId="0910EDEB" w14:textId="7AAED908" w:rsidR="00D0690F" w:rsidRPr="005A1CAE" w:rsidRDefault="00D0690F" w:rsidP="009F612D">
      <w:pPr>
        <w:pStyle w:val="ManualHeading3"/>
        <w:rPr>
          <w:noProof/>
        </w:rPr>
      </w:pPr>
      <w:bookmarkStart w:id="51" w:name="_Toc514938026"/>
      <w:bookmarkStart w:id="52" w:name="_Toc520485035"/>
      <w:bookmarkStart w:id="53" w:name="_Toc160804577"/>
      <w:bookmarkStart w:id="54" w:name="_Toc167220269"/>
      <w:bookmarkStart w:id="55" w:name="_Toc177549002"/>
      <w:r w:rsidRPr="005A1CAE">
        <w:rPr>
          <w:noProof/>
        </w:rPr>
        <w:t>1.5.1.</w:t>
      </w:r>
      <w:r w:rsidRPr="005A1CAE">
        <w:rPr>
          <w:noProof/>
        </w:rPr>
        <w:tab/>
        <w:t>Potrzeby, które należy zaspokoić</w:t>
      </w:r>
      <w:r w:rsidR="005A1CAE" w:rsidRPr="005A1CAE">
        <w:rPr>
          <w:noProof/>
        </w:rPr>
        <w:t xml:space="preserve"> w</w:t>
      </w:r>
      <w:r w:rsidR="005A1CAE">
        <w:rPr>
          <w:noProof/>
        </w:rPr>
        <w:t> </w:t>
      </w:r>
      <w:r w:rsidR="005A1CAE" w:rsidRPr="005A1CAE">
        <w:rPr>
          <w:noProof/>
        </w:rPr>
        <w:t>per</w:t>
      </w:r>
      <w:r w:rsidRPr="005A1CAE">
        <w:rPr>
          <w:noProof/>
        </w:rPr>
        <w:t>spektywie krótko- lub długoterminowej,</w:t>
      </w:r>
      <w:r w:rsidR="005A1CAE" w:rsidRPr="005A1CAE">
        <w:rPr>
          <w:noProof/>
        </w:rPr>
        <w:t xml:space="preserve"> w</w:t>
      </w:r>
      <w:r w:rsidR="005A1CAE">
        <w:rPr>
          <w:noProof/>
        </w:rPr>
        <w:t> </w:t>
      </w:r>
      <w:r w:rsidR="005A1CAE" w:rsidRPr="005A1CAE">
        <w:rPr>
          <w:noProof/>
        </w:rPr>
        <w:t>tym</w:t>
      </w:r>
      <w:r w:rsidRPr="005A1CAE">
        <w:rPr>
          <w:noProof/>
        </w:rPr>
        <w:t xml:space="preserve"> szczegółowy terminarz przebiegu realizacji inicjatywy</w:t>
      </w:r>
      <w:bookmarkEnd w:id="51"/>
      <w:bookmarkEnd w:id="52"/>
      <w:bookmarkEnd w:id="53"/>
      <w:bookmarkEnd w:id="54"/>
      <w:bookmarkEnd w:id="55"/>
    </w:p>
    <w:p w14:paraId="69840FD5" w14:textId="59639951"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bookmarkStart w:id="56" w:name="_Toc514938029"/>
      <w:bookmarkStart w:id="57" w:name="_Toc520485036"/>
      <w:bookmarkStart w:id="58" w:name="_Toc160804578"/>
      <w:bookmarkStart w:id="59" w:name="_Toc167220270"/>
      <w:bookmarkStart w:id="60" w:name="_Toc177549003"/>
      <w:r w:rsidRPr="005A1CAE">
        <w:rPr>
          <w:noProof/>
        </w:rPr>
        <w:t>CBAM wprowadzano od października 2023</w:t>
      </w:r>
      <w:r w:rsidR="005A1CAE" w:rsidRPr="005A1CAE">
        <w:rPr>
          <w:noProof/>
        </w:rPr>
        <w:t> </w:t>
      </w:r>
      <w:r w:rsidRPr="005A1CAE">
        <w:rPr>
          <w:noProof/>
        </w:rPr>
        <w:t>r. Obecnie, do końca 2025</w:t>
      </w:r>
      <w:r w:rsidR="005A1CAE" w:rsidRPr="005A1CAE">
        <w:rPr>
          <w:noProof/>
        </w:rPr>
        <w:t> </w:t>
      </w:r>
      <w:r w:rsidRPr="005A1CAE">
        <w:rPr>
          <w:noProof/>
        </w:rPr>
        <w:t>r., funkcjonuje uproszczony system CBAM</w:t>
      </w:r>
      <w:r w:rsidR="005A1CAE" w:rsidRPr="005A1CAE">
        <w:rPr>
          <w:noProof/>
        </w:rPr>
        <w:t>. W</w:t>
      </w:r>
      <w:r w:rsidR="005A1CAE">
        <w:rPr>
          <w:noProof/>
        </w:rPr>
        <w:t> </w:t>
      </w:r>
      <w:r w:rsidR="005A1CAE" w:rsidRPr="005A1CAE">
        <w:rPr>
          <w:noProof/>
        </w:rPr>
        <w:t>szc</w:t>
      </w:r>
      <w:r w:rsidRPr="005A1CAE">
        <w:rPr>
          <w:noProof/>
        </w:rPr>
        <w:t>zególności obowiązuje obecnie okres przejściowy (próbne gromadzenie danych) mający na celu ułatwienie płynnego wprowadzenia CBAM</w:t>
      </w:r>
      <w:r w:rsidR="005A1CAE" w:rsidRPr="005A1CAE">
        <w:rPr>
          <w:noProof/>
        </w:rPr>
        <w:t xml:space="preserve"> i</w:t>
      </w:r>
      <w:r w:rsidR="005A1CAE">
        <w:rPr>
          <w:noProof/>
        </w:rPr>
        <w:t> </w:t>
      </w:r>
      <w:r w:rsidR="005A1CAE" w:rsidRPr="005A1CAE">
        <w:rPr>
          <w:noProof/>
        </w:rPr>
        <w:t>umo</w:t>
      </w:r>
      <w:r w:rsidRPr="005A1CAE">
        <w:rPr>
          <w:noProof/>
        </w:rPr>
        <w:t>żliwienie przedsiębiorcom</w:t>
      </w:r>
      <w:r w:rsidR="005A1CAE" w:rsidRPr="005A1CAE">
        <w:rPr>
          <w:noProof/>
        </w:rPr>
        <w:t xml:space="preserve"> i</w:t>
      </w:r>
      <w:r w:rsidR="005A1CAE">
        <w:rPr>
          <w:noProof/>
        </w:rPr>
        <w:t> </w:t>
      </w:r>
      <w:r w:rsidR="005A1CAE" w:rsidRPr="005A1CAE">
        <w:rPr>
          <w:noProof/>
        </w:rPr>
        <w:t>imp</w:t>
      </w:r>
      <w:r w:rsidRPr="005A1CAE">
        <w:rPr>
          <w:noProof/>
        </w:rPr>
        <w:t>orterom dostosowanie się do tego mechanizmu.</w:t>
      </w:r>
    </w:p>
    <w:p w14:paraId="0A6058D1" w14:textId="7132E534"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Służby Komisji są odpowiedzialne za wdrażanie</w:t>
      </w:r>
      <w:r w:rsidR="005A1CAE" w:rsidRPr="005A1CAE">
        <w:rPr>
          <w:noProof/>
        </w:rPr>
        <w:t xml:space="preserve"> i</w:t>
      </w:r>
      <w:r w:rsidR="005A1CAE">
        <w:rPr>
          <w:noProof/>
        </w:rPr>
        <w:t> </w:t>
      </w:r>
      <w:r w:rsidR="005A1CAE" w:rsidRPr="005A1CAE">
        <w:rPr>
          <w:noProof/>
        </w:rPr>
        <w:t>egz</w:t>
      </w:r>
      <w:r w:rsidRPr="005A1CAE">
        <w:rPr>
          <w:noProof/>
        </w:rPr>
        <w:t>ekwowanie CBAM</w:t>
      </w:r>
      <w:r w:rsidR="005A1CAE" w:rsidRPr="005A1CAE">
        <w:rPr>
          <w:noProof/>
        </w:rPr>
        <w:t xml:space="preserve"> w</w:t>
      </w:r>
      <w:r w:rsidR="005A1CAE">
        <w:rPr>
          <w:noProof/>
        </w:rPr>
        <w:t> </w:t>
      </w:r>
      <w:r w:rsidR="005A1CAE" w:rsidRPr="005A1CAE">
        <w:rPr>
          <w:noProof/>
        </w:rPr>
        <w:t>okr</w:t>
      </w:r>
      <w:r w:rsidRPr="005A1CAE">
        <w:rPr>
          <w:noProof/>
        </w:rPr>
        <w:t>esie zarówno przejściowym (2023–2025), jak</w:t>
      </w:r>
      <w:r w:rsidR="005A1CAE" w:rsidRPr="005A1CAE">
        <w:rPr>
          <w:noProof/>
        </w:rPr>
        <w:t xml:space="preserve"> i</w:t>
      </w:r>
      <w:r w:rsidR="005A1CAE">
        <w:rPr>
          <w:noProof/>
        </w:rPr>
        <w:t> </w:t>
      </w:r>
      <w:r w:rsidR="005A1CAE" w:rsidRPr="005A1CAE">
        <w:rPr>
          <w:noProof/>
        </w:rPr>
        <w:t>doc</w:t>
      </w:r>
      <w:r w:rsidRPr="005A1CAE">
        <w:rPr>
          <w:noProof/>
        </w:rPr>
        <w:t>elowym (od</w:t>
      </w:r>
      <w:r w:rsidR="005A1CAE" w:rsidRPr="005A1CAE">
        <w:rPr>
          <w:noProof/>
        </w:rPr>
        <w:t> </w:t>
      </w:r>
      <w:r w:rsidRPr="005A1CAE">
        <w:rPr>
          <w:noProof/>
        </w:rPr>
        <w:t>2026</w:t>
      </w:r>
      <w:r w:rsidR="005A1CAE" w:rsidRPr="005A1CAE">
        <w:rPr>
          <w:noProof/>
        </w:rPr>
        <w:t> </w:t>
      </w:r>
      <w:r w:rsidRPr="005A1CAE">
        <w:rPr>
          <w:noProof/>
        </w:rPr>
        <w:t>r.).</w:t>
      </w:r>
    </w:p>
    <w:p w14:paraId="2D3BF5C3" w14:textId="7A4DCBC4"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lastRenderedPageBreak/>
        <w:t>W okresie przejściowym oznacza to gromadzenie informacji – przekazywanych przez unijnych importerów towarów objętych CBAM –</w:t>
      </w:r>
      <w:r w:rsidR="005A1CAE" w:rsidRPr="005A1CAE">
        <w:rPr>
          <w:noProof/>
        </w:rPr>
        <w:t xml:space="preserve"> o</w:t>
      </w:r>
      <w:r w:rsidR="005A1CAE">
        <w:rPr>
          <w:noProof/>
        </w:rPr>
        <w:t> </w:t>
      </w:r>
      <w:r w:rsidR="005A1CAE" w:rsidRPr="005A1CAE">
        <w:rPr>
          <w:noProof/>
        </w:rPr>
        <w:t>wbu</w:t>
      </w:r>
      <w:r w:rsidRPr="005A1CAE">
        <w:rPr>
          <w:noProof/>
        </w:rPr>
        <w:t>dowanych emisjach gazów cieplarnianych związanych</w:t>
      </w:r>
      <w:r w:rsidR="005A1CAE" w:rsidRPr="005A1CAE">
        <w:rPr>
          <w:noProof/>
        </w:rPr>
        <w:t xml:space="preserve"> z</w:t>
      </w:r>
      <w:r w:rsidR="005A1CAE">
        <w:rPr>
          <w:noProof/>
        </w:rPr>
        <w:t> </w:t>
      </w:r>
      <w:r w:rsidR="005A1CAE" w:rsidRPr="005A1CAE">
        <w:rPr>
          <w:noProof/>
        </w:rPr>
        <w:t>tym</w:t>
      </w:r>
      <w:r w:rsidRPr="005A1CAE">
        <w:rPr>
          <w:noProof/>
        </w:rPr>
        <w:t>i towarami oraz analizę zebranych danych.</w:t>
      </w:r>
    </w:p>
    <w:p w14:paraId="704FF747" w14:textId="4620820F"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Mechanizm dostosowywania cen na granicach</w:t>
      </w:r>
      <w:r w:rsidR="005A1CAE" w:rsidRPr="005A1CAE">
        <w:rPr>
          <w:noProof/>
        </w:rPr>
        <w:t xml:space="preserve"> z</w:t>
      </w:r>
      <w:r w:rsidR="005A1CAE">
        <w:rPr>
          <w:noProof/>
        </w:rPr>
        <w:t> </w:t>
      </w:r>
      <w:r w:rsidR="005A1CAE" w:rsidRPr="005A1CAE">
        <w:rPr>
          <w:noProof/>
        </w:rPr>
        <w:t>uwz</w:t>
      </w:r>
      <w:r w:rsidRPr="005A1CAE">
        <w:rPr>
          <w:noProof/>
        </w:rPr>
        <w:t>ględnieniem emisji CO</w:t>
      </w:r>
      <w:r w:rsidRPr="005A1CAE">
        <w:rPr>
          <w:noProof/>
          <w:vertAlign w:val="subscript"/>
        </w:rPr>
        <w:t>2</w:t>
      </w:r>
      <w:r w:rsidRPr="005A1CAE">
        <w:rPr>
          <w:noProof/>
        </w:rPr>
        <w:t xml:space="preserve"> (CBAM) wymaga stopniowego wdrażania różnych funkcji niezbędnych do jego skutecznego wprowadzenia</w:t>
      </w:r>
      <w:r w:rsidR="005A1CAE" w:rsidRPr="005A1CAE">
        <w:rPr>
          <w:noProof/>
        </w:rPr>
        <w:t xml:space="preserve"> w</w:t>
      </w:r>
      <w:r w:rsidR="005A1CAE">
        <w:rPr>
          <w:noProof/>
        </w:rPr>
        <w:t> </w:t>
      </w:r>
      <w:r w:rsidR="005A1CAE" w:rsidRPr="005A1CAE">
        <w:rPr>
          <w:noProof/>
        </w:rPr>
        <w:t>życ</w:t>
      </w:r>
      <w:r w:rsidRPr="005A1CAE">
        <w:rPr>
          <w:noProof/>
        </w:rPr>
        <w:t>ie. Po pierwsze, należy przygotować szereg sprawozdań</w:t>
      </w:r>
      <w:r w:rsidR="005A1CAE" w:rsidRPr="005A1CAE">
        <w:rPr>
          <w:noProof/>
        </w:rPr>
        <w:t xml:space="preserve"> i</w:t>
      </w:r>
      <w:r w:rsidR="005A1CAE">
        <w:rPr>
          <w:noProof/>
        </w:rPr>
        <w:t> </w:t>
      </w:r>
      <w:r w:rsidR="005A1CAE" w:rsidRPr="005A1CAE">
        <w:rPr>
          <w:noProof/>
        </w:rPr>
        <w:t>prz</w:t>
      </w:r>
      <w:r w:rsidRPr="005A1CAE">
        <w:rPr>
          <w:noProof/>
        </w:rPr>
        <w:t>eglądów, aby ułatwić późniejsze funkcjonowanie zobowiązania finansowego</w:t>
      </w:r>
      <w:r w:rsidR="005A1CAE" w:rsidRPr="005A1CAE">
        <w:rPr>
          <w:noProof/>
        </w:rPr>
        <w:t>. W</w:t>
      </w:r>
      <w:r w:rsidR="005A1CAE">
        <w:rPr>
          <w:noProof/>
        </w:rPr>
        <w:t> </w:t>
      </w:r>
      <w:r w:rsidR="005A1CAE" w:rsidRPr="005A1CAE">
        <w:rPr>
          <w:noProof/>
        </w:rPr>
        <w:t>zwi</w:t>
      </w:r>
      <w:r w:rsidRPr="005A1CAE">
        <w:rPr>
          <w:noProof/>
        </w:rPr>
        <w:t>ązku</w:t>
      </w:r>
      <w:r w:rsidR="005A1CAE" w:rsidRPr="005A1CAE">
        <w:rPr>
          <w:noProof/>
        </w:rPr>
        <w:t xml:space="preserve"> z</w:t>
      </w:r>
      <w:r w:rsidR="005A1CAE">
        <w:rPr>
          <w:noProof/>
        </w:rPr>
        <w:t> </w:t>
      </w:r>
      <w:r w:rsidR="005A1CAE" w:rsidRPr="005A1CAE">
        <w:rPr>
          <w:noProof/>
        </w:rPr>
        <w:t>tym w</w:t>
      </w:r>
      <w:r w:rsidR="005A1CAE">
        <w:rPr>
          <w:noProof/>
        </w:rPr>
        <w:t> </w:t>
      </w:r>
      <w:r w:rsidR="005A1CAE" w:rsidRPr="005A1CAE">
        <w:rPr>
          <w:noProof/>
        </w:rPr>
        <w:t>roz</w:t>
      </w:r>
      <w:r w:rsidRPr="005A1CAE">
        <w:rPr>
          <w:noProof/>
        </w:rPr>
        <w:t>porządzeniu</w:t>
      </w:r>
      <w:r w:rsidR="005A1CAE" w:rsidRPr="005A1CAE">
        <w:rPr>
          <w:noProof/>
        </w:rPr>
        <w:t xml:space="preserve"> w</w:t>
      </w:r>
      <w:r w:rsidR="005A1CAE">
        <w:rPr>
          <w:noProof/>
        </w:rPr>
        <w:t> </w:t>
      </w:r>
      <w:r w:rsidR="005A1CAE" w:rsidRPr="005A1CAE">
        <w:rPr>
          <w:noProof/>
        </w:rPr>
        <w:t>spr</w:t>
      </w:r>
      <w:r w:rsidRPr="005A1CAE">
        <w:rPr>
          <w:noProof/>
        </w:rPr>
        <w:t>awie CBAM przewidziano wdrażanie tego mechanizmu</w:t>
      </w:r>
      <w:r w:rsidR="005A1CAE" w:rsidRPr="005A1CAE">
        <w:rPr>
          <w:noProof/>
        </w:rPr>
        <w:t xml:space="preserve"> w</w:t>
      </w:r>
      <w:r w:rsidR="005A1CAE">
        <w:rPr>
          <w:noProof/>
        </w:rPr>
        <w:t> </w:t>
      </w:r>
      <w:r w:rsidR="005A1CAE" w:rsidRPr="005A1CAE">
        <w:rPr>
          <w:noProof/>
        </w:rPr>
        <w:t>dwó</w:t>
      </w:r>
      <w:r w:rsidRPr="005A1CAE">
        <w:rPr>
          <w:noProof/>
        </w:rPr>
        <w:t>ch następujących po sobie okresach: okresie przejściowym (od października 2023</w:t>
      </w:r>
      <w:r w:rsidR="005A1CAE" w:rsidRPr="005A1CAE">
        <w:rPr>
          <w:noProof/>
        </w:rPr>
        <w:t> </w:t>
      </w:r>
      <w:r w:rsidRPr="005A1CAE">
        <w:rPr>
          <w:noProof/>
        </w:rPr>
        <w:t>r. do końca 2025</w:t>
      </w:r>
      <w:r w:rsidR="005A1CAE" w:rsidRPr="005A1CAE">
        <w:rPr>
          <w:noProof/>
        </w:rPr>
        <w:t> </w:t>
      </w:r>
      <w:r w:rsidRPr="005A1CAE">
        <w:rPr>
          <w:noProof/>
        </w:rPr>
        <w:t>r.) oraz okresie docelowym (od</w:t>
      </w:r>
      <w:r w:rsidR="005A1CAE" w:rsidRPr="005A1CAE">
        <w:rPr>
          <w:noProof/>
        </w:rPr>
        <w:t> </w:t>
      </w:r>
      <w:r w:rsidRPr="005A1CAE">
        <w:rPr>
          <w:noProof/>
        </w:rPr>
        <w:t>2026</w:t>
      </w:r>
      <w:r w:rsidR="005A1CAE" w:rsidRPr="005A1CAE">
        <w:rPr>
          <w:noProof/>
        </w:rPr>
        <w:t> </w:t>
      </w:r>
      <w:r w:rsidRPr="005A1CAE">
        <w:rPr>
          <w:noProof/>
        </w:rPr>
        <w:t>r.).</w:t>
      </w:r>
    </w:p>
    <w:p w14:paraId="46CE5CE6" w14:textId="4BFF6C21"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W okresie przejściowym obowiązek importerów</w:t>
      </w:r>
      <w:r w:rsidR="005A1CAE" w:rsidRPr="005A1CAE">
        <w:rPr>
          <w:noProof/>
        </w:rPr>
        <w:t xml:space="preserve"> i</w:t>
      </w:r>
      <w:r w:rsidR="005A1CAE">
        <w:rPr>
          <w:noProof/>
        </w:rPr>
        <w:t> </w:t>
      </w:r>
      <w:r w:rsidR="005A1CAE" w:rsidRPr="005A1CAE">
        <w:rPr>
          <w:noProof/>
        </w:rPr>
        <w:t>org</w:t>
      </w:r>
      <w:r w:rsidRPr="005A1CAE">
        <w:rPr>
          <w:noProof/>
        </w:rPr>
        <w:t>anów (celnych) UE ogranicza się do składania – obok zgłoszeń przywozowych – także kwartalnych sprawozdań CBAM.</w:t>
      </w:r>
    </w:p>
    <w:p w14:paraId="75CEB200" w14:textId="79A7B510"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W okresie tym wprowadzono przejściowy system zarządzania informacjami (okres przejściowy CBAM), aby ułatwić składanie</w:t>
      </w:r>
      <w:r w:rsidR="005A1CAE" w:rsidRPr="005A1CAE">
        <w:rPr>
          <w:noProof/>
        </w:rPr>
        <w:t xml:space="preserve"> i</w:t>
      </w:r>
      <w:r w:rsidR="005A1CAE">
        <w:rPr>
          <w:noProof/>
        </w:rPr>
        <w:t> </w:t>
      </w:r>
      <w:r w:rsidR="005A1CAE" w:rsidRPr="005A1CAE">
        <w:rPr>
          <w:noProof/>
        </w:rPr>
        <w:t>gro</w:t>
      </w:r>
      <w:r w:rsidRPr="005A1CAE">
        <w:rPr>
          <w:noProof/>
        </w:rPr>
        <w:t>madzenie sprawozdań kwartalnych,</w:t>
      </w:r>
      <w:r w:rsidR="005A1CAE" w:rsidRPr="005A1CAE">
        <w:rPr>
          <w:noProof/>
        </w:rPr>
        <w:t xml:space="preserve"> a</w:t>
      </w:r>
      <w:r w:rsidR="005A1CAE">
        <w:rPr>
          <w:noProof/>
        </w:rPr>
        <w:t> </w:t>
      </w:r>
      <w:r w:rsidR="005A1CAE" w:rsidRPr="005A1CAE">
        <w:rPr>
          <w:noProof/>
        </w:rPr>
        <w:t>tak</w:t>
      </w:r>
      <w:r w:rsidRPr="005A1CAE">
        <w:rPr>
          <w:noProof/>
        </w:rPr>
        <w:t>że przekazywanie danych</w:t>
      </w:r>
      <w:r w:rsidR="005A1CAE" w:rsidRPr="005A1CAE">
        <w:rPr>
          <w:noProof/>
        </w:rPr>
        <w:t xml:space="preserve"> z</w:t>
      </w:r>
      <w:r w:rsidR="005A1CAE">
        <w:rPr>
          <w:noProof/>
        </w:rPr>
        <w:t> </w:t>
      </w:r>
      <w:r w:rsidR="005A1CAE" w:rsidRPr="005A1CAE">
        <w:rPr>
          <w:noProof/>
        </w:rPr>
        <w:t>każ</w:t>
      </w:r>
      <w:r w:rsidRPr="005A1CAE">
        <w:rPr>
          <w:noProof/>
        </w:rPr>
        <w:t>dego sprawozdania do zagregowanej bazy danych, aby umożliwić ich skuteczną analizę do celów sprawozdawczości zgodnej</w:t>
      </w:r>
      <w:r w:rsidR="005A1CAE" w:rsidRPr="005A1CAE">
        <w:rPr>
          <w:noProof/>
        </w:rPr>
        <w:t xml:space="preserve"> z</w:t>
      </w:r>
      <w:r w:rsidR="005A1CAE">
        <w:rPr>
          <w:noProof/>
        </w:rPr>
        <w:t> </w:t>
      </w:r>
      <w:r w:rsidR="005A1CAE" w:rsidRPr="005A1CAE">
        <w:rPr>
          <w:noProof/>
        </w:rPr>
        <w:t>prz</w:t>
      </w:r>
      <w:r w:rsidRPr="005A1CAE">
        <w:rPr>
          <w:noProof/>
        </w:rPr>
        <w:t>episami rozporządzenia.</w:t>
      </w:r>
    </w:p>
    <w:p w14:paraId="158FB106" w14:textId="14AEC2CD"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Ponadto</w:t>
      </w:r>
      <w:r w:rsidR="005A1CAE" w:rsidRPr="005A1CAE">
        <w:rPr>
          <w:noProof/>
        </w:rPr>
        <w:t xml:space="preserve"> w</w:t>
      </w:r>
      <w:r w:rsidR="005A1CAE">
        <w:rPr>
          <w:noProof/>
        </w:rPr>
        <w:t> </w:t>
      </w:r>
      <w:r w:rsidR="005A1CAE" w:rsidRPr="005A1CAE">
        <w:rPr>
          <w:noProof/>
        </w:rPr>
        <w:t>okr</w:t>
      </w:r>
      <w:r w:rsidRPr="005A1CAE">
        <w:rPr>
          <w:noProof/>
        </w:rPr>
        <w:t>esie przejściowym organy celne powinny informować zgłaszających</w:t>
      </w:r>
      <w:r w:rsidR="005A1CAE" w:rsidRPr="005A1CAE">
        <w:rPr>
          <w:noProof/>
        </w:rPr>
        <w:t xml:space="preserve"> o</w:t>
      </w:r>
      <w:r w:rsidR="005A1CAE">
        <w:rPr>
          <w:noProof/>
        </w:rPr>
        <w:t> </w:t>
      </w:r>
      <w:r w:rsidR="005A1CAE" w:rsidRPr="005A1CAE">
        <w:rPr>
          <w:noProof/>
        </w:rPr>
        <w:t>obo</w:t>
      </w:r>
      <w:r w:rsidRPr="005A1CAE">
        <w:rPr>
          <w:noProof/>
        </w:rPr>
        <w:t>wiązku przekazywania informacji, by pomóc</w:t>
      </w:r>
      <w:r w:rsidR="005A1CAE" w:rsidRPr="005A1CAE">
        <w:rPr>
          <w:noProof/>
        </w:rPr>
        <w:t xml:space="preserve"> w</w:t>
      </w:r>
      <w:r w:rsidR="005A1CAE">
        <w:rPr>
          <w:noProof/>
        </w:rPr>
        <w:t> </w:t>
      </w:r>
      <w:r w:rsidR="005A1CAE" w:rsidRPr="005A1CAE">
        <w:rPr>
          <w:noProof/>
        </w:rPr>
        <w:t>ich</w:t>
      </w:r>
      <w:r w:rsidRPr="005A1CAE">
        <w:rPr>
          <w:noProof/>
        </w:rPr>
        <w:t xml:space="preserve"> gromadzeniu oraz</w:t>
      </w:r>
      <w:r w:rsidR="005A1CAE" w:rsidRPr="005A1CAE">
        <w:rPr>
          <w:noProof/>
        </w:rPr>
        <w:t xml:space="preserve"> w</w:t>
      </w:r>
      <w:r w:rsidR="005A1CAE">
        <w:rPr>
          <w:noProof/>
        </w:rPr>
        <w:t> </w:t>
      </w:r>
      <w:r w:rsidR="005A1CAE" w:rsidRPr="005A1CAE">
        <w:rPr>
          <w:noProof/>
        </w:rPr>
        <w:t>upo</w:t>
      </w:r>
      <w:r w:rsidRPr="005A1CAE">
        <w:rPr>
          <w:noProof/>
        </w:rPr>
        <w:t>wszechnianiu wiedzy</w:t>
      </w:r>
      <w:r w:rsidR="005A1CAE" w:rsidRPr="005A1CAE">
        <w:rPr>
          <w:noProof/>
        </w:rPr>
        <w:t xml:space="preserve"> o</w:t>
      </w:r>
      <w:r w:rsidR="005A1CAE">
        <w:rPr>
          <w:noProof/>
        </w:rPr>
        <w:t> </w:t>
      </w:r>
      <w:r w:rsidR="005A1CAE" w:rsidRPr="005A1CAE">
        <w:rPr>
          <w:noProof/>
        </w:rPr>
        <w:t>tym</w:t>
      </w:r>
      <w:r w:rsidRPr="005A1CAE">
        <w:rPr>
          <w:noProof/>
        </w:rPr>
        <w:t>, że –</w:t>
      </w:r>
      <w:r w:rsidR="005A1CAE" w:rsidRPr="005A1CAE">
        <w:rPr>
          <w:noProof/>
        </w:rPr>
        <w:t xml:space="preserve"> w</w:t>
      </w:r>
      <w:r w:rsidR="005A1CAE">
        <w:rPr>
          <w:noProof/>
        </w:rPr>
        <w:t> </w:t>
      </w:r>
      <w:r w:rsidR="005A1CAE" w:rsidRPr="005A1CAE">
        <w:rPr>
          <w:noProof/>
        </w:rPr>
        <w:t>sto</w:t>
      </w:r>
      <w:r w:rsidRPr="005A1CAE">
        <w:rPr>
          <w:noProof/>
        </w:rPr>
        <w:t>sownych przypadkach – zgłaszający powinni wystąpić</w:t>
      </w:r>
      <w:r w:rsidR="005A1CAE" w:rsidRPr="005A1CAE">
        <w:rPr>
          <w:noProof/>
        </w:rPr>
        <w:t xml:space="preserve"> o</w:t>
      </w:r>
      <w:r w:rsidR="005A1CAE">
        <w:rPr>
          <w:noProof/>
        </w:rPr>
        <w:t> </w:t>
      </w:r>
      <w:r w:rsidR="005A1CAE" w:rsidRPr="005A1CAE">
        <w:rPr>
          <w:noProof/>
        </w:rPr>
        <w:t>prz</w:t>
      </w:r>
      <w:r w:rsidRPr="005A1CAE">
        <w:rPr>
          <w:noProof/>
        </w:rPr>
        <w:t>yznanie im statusu upoważnionego zgłaszającego CBAM (przed pierwszym przywozem towarów objętych CBAM, następującym po</w:t>
      </w:r>
      <w:r w:rsidR="005A1CAE" w:rsidRPr="005A1CAE">
        <w:rPr>
          <w:noProof/>
        </w:rPr>
        <w:t> </w:t>
      </w:r>
      <w:r w:rsidRPr="005A1CAE">
        <w:rPr>
          <w:noProof/>
        </w:rPr>
        <w:t>1</w:t>
      </w:r>
      <w:r w:rsidR="000145D8">
        <w:rPr>
          <w:noProof/>
        </w:rPr>
        <w:t> </w:t>
      </w:r>
      <w:r w:rsidRPr="005A1CAE">
        <w:rPr>
          <w:noProof/>
        </w:rPr>
        <w:t>stycznia 2026 r.).</w:t>
      </w:r>
    </w:p>
    <w:p w14:paraId="4486F2F2" w14:textId="45DFAF0F"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Okres docelowy rozpocznie się</w:t>
      </w:r>
      <w:r w:rsidR="005A1CAE" w:rsidRPr="005A1CAE">
        <w:rPr>
          <w:noProof/>
        </w:rPr>
        <w:t> </w:t>
      </w:r>
      <w:r w:rsidRPr="005A1CAE">
        <w:rPr>
          <w:noProof/>
        </w:rPr>
        <w:t>1 stycznia 2026</w:t>
      </w:r>
      <w:r w:rsidR="005A1CAE" w:rsidRPr="005A1CAE">
        <w:rPr>
          <w:noProof/>
        </w:rPr>
        <w:t> </w:t>
      </w:r>
      <w:r w:rsidRPr="005A1CAE">
        <w:rPr>
          <w:noProof/>
        </w:rPr>
        <w:t>r.</w:t>
      </w:r>
      <w:r w:rsidR="005A1CAE" w:rsidRPr="005A1CAE">
        <w:rPr>
          <w:noProof/>
        </w:rPr>
        <w:t xml:space="preserve"> w</w:t>
      </w:r>
      <w:r w:rsidR="005A1CAE">
        <w:rPr>
          <w:noProof/>
        </w:rPr>
        <w:t> </w:t>
      </w:r>
      <w:r w:rsidR="005A1CAE" w:rsidRPr="005A1CAE">
        <w:rPr>
          <w:noProof/>
        </w:rPr>
        <w:t>odn</w:t>
      </w:r>
      <w:r w:rsidRPr="005A1CAE">
        <w:rPr>
          <w:noProof/>
        </w:rPr>
        <w:t>iesieniu do podstawowej deklaracji CBAM</w:t>
      </w:r>
      <w:r w:rsidR="005A1CAE" w:rsidRPr="005A1CAE">
        <w:rPr>
          <w:noProof/>
        </w:rPr>
        <w:t xml:space="preserve"> i</w:t>
      </w:r>
      <w:r w:rsidR="005A1CAE">
        <w:rPr>
          <w:noProof/>
        </w:rPr>
        <w:t> </w:t>
      </w:r>
      <w:r w:rsidR="005A1CAE" w:rsidRPr="005A1CAE">
        <w:rPr>
          <w:noProof/>
        </w:rPr>
        <w:t>wym</w:t>
      </w:r>
      <w:r w:rsidRPr="005A1CAE">
        <w:rPr>
          <w:noProof/>
        </w:rPr>
        <w:t>ienionych tutaj usług zarządzania certyfikatami oraz rok wcześniej</w:t>
      </w:r>
      <w:r w:rsidR="005A1CAE" w:rsidRPr="005A1CAE">
        <w:rPr>
          <w:noProof/>
        </w:rPr>
        <w:t xml:space="preserve"> w</w:t>
      </w:r>
      <w:r w:rsidR="005A1CAE">
        <w:rPr>
          <w:noProof/>
        </w:rPr>
        <w:t> </w:t>
      </w:r>
      <w:r w:rsidR="005A1CAE" w:rsidRPr="005A1CAE">
        <w:rPr>
          <w:noProof/>
        </w:rPr>
        <w:t>odn</w:t>
      </w:r>
      <w:r w:rsidRPr="005A1CAE">
        <w:rPr>
          <w:noProof/>
        </w:rPr>
        <w:t>iesieniu do rejestrowania upoważnionych zgłaszających</w:t>
      </w:r>
      <w:r w:rsidR="005A1CAE" w:rsidRPr="005A1CAE">
        <w:rPr>
          <w:noProof/>
        </w:rPr>
        <w:t xml:space="preserve"> i</w:t>
      </w:r>
      <w:r w:rsidR="005A1CAE">
        <w:rPr>
          <w:noProof/>
        </w:rPr>
        <w:t> </w:t>
      </w:r>
      <w:r w:rsidR="005A1CAE" w:rsidRPr="005A1CAE">
        <w:rPr>
          <w:noProof/>
        </w:rPr>
        <w:t>prz</w:t>
      </w:r>
      <w:r w:rsidRPr="005A1CAE">
        <w:rPr>
          <w:noProof/>
        </w:rPr>
        <w:t>etwarzania upoważnień CBAM przez właściwe organy:</w:t>
      </w:r>
    </w:p>
    <w:p w14:paraId="0822F77F" w14:textId="55ACA22C"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Importerzy będą mogli przywozić określone towary dopiero po uzyskaniu od właściwego organu upoważnienia (z wyjątkiem sytuacji,</w:t>
      </w:r>
      <w:r w:rsidR="005A1CAE" w:rsidRPr="005A1CAE">
        <w:rPr>
          <w:noProof/>
        </w:rPr>
        <w:t xml:space="preserve"> w</w:t>
      </w:r>
      <w:r w:rsidR="005A1CAE">
        <w:rPr>
          <w:noProof/>
        </w:rPr>
        <w:t> </w:t>
      </w:r>
      <w:r w:rsidR="005A1CAE" w:rsidRPr="005A1CAE">
        <w:rPr>
          <w:noProof/>
        </w:rPr>
        <w:t>któ</w:t>
      </w:r>
      <w:r w:rsidRPr="005A1CAE">
        <w:rPr>
          <w:noProof/>
        </w:rPr>
        <w:t>rych obowiązuje odstępstwo) lub po wyznaczeniu przedstawiciela będącego upoważnionym zgłaszającym CBAM. Organy celne nie powinny zezwalać na przywóz towarów objętych CBAM bez udziału</w:t>
      </w:r>
      <w:r w:rsidR="005A1CAE" w:rsidRPr="005A1CAE">
        <w:rPr>
          <w:noProof/>
        </w:rPr>
        <w:t xml:space="preserve"> w</w:t>
      </w:r>
      <w:r w:rsidR="005A1CAE">
        <w:rPr>
          <w:noProof/>
        </w:rPr>
        <w:t> </w:t>
      </w:r>
      <w:r w:rsidR="005A1CAE" w:rsidRPr="005A1CAE">
        <w:rPr>
          <w:noProof/>
        </w:rPr>
        <w:t>tym</w:t>
      </w:r>
      <w:r w:rsidRPr="005A1CAE">
        <w:rPr>
          <w:noProof/>
        </w:rPr>
        <w:t xml:space="preserve"> procesie upoważnionego zgłaszającego CBAM. Organy celne mogą ponadto przeprowadzać kontrole towarów,</w:t>
      </w:r>
      <w:r w:rsidR="005A1CAE" w:rsidRPr="005A1CAE">
        <w:rPr>
          <w:noProof/>
        </w:rPr>
        <w:t xml:space="preserve"> w</w:t>
      </w:r>
      <w:r w:rsidR="005A1CAE">
        <w:rPr>
          <w:noProof/>
        </w:rPr>
        <w:t> </w:t>
      </w:r>
      <w:r w:rsidR="005A1CAE" w:rsidRPr="005A1CAE">
        <w:rPr>
          <w:noProof/>
        </w:rPr>
        <w:t>tym</w:t>
      </w:r>
      <w:r w:rsidRPr="005A1CAE">
        <w:rPr>
          <w:noProof/>
        </w:rPr>
        <w:t xml:space="preserve"> weryfikować dane upoważnionego zgłaszającego CBAM, ośmiocyfrowy kod CN, ilość</w:t>
      </w:r>
      <w:r w:rsidR="005A1CAE" w:rsidRPr="005A1CAE">
        <w:rPr>
          <w:noProof/>
        </w:rPr>
        <w:t xml:space="preserve"> i</w:t>
      </w:r>
      <w:r w:rsidR="005A1CAE">
        <w:rPr>
          <w:noProof/>
        </w:rPr>
        <w:t> </w:t>
      </w:r>
      <w:r w:rsidR="005A1CAE" w:rsidRPr="005A1CAE">
        <w:rPr>
          <w:noProof/>
        </w:rPr>
        <w:t>pań</w:t>
      </w:r>
      <w:r w:rsidRPr="005A1CAE">
        <w:rPr>
          <w:noProof/>
        </w:rPr>
        <w:t>stwa pochodzenia przywożonych towarów, datę zgłoszenia</w:t>
      </w:r>
      <w:r w:rsidR="005A1CAE" w:rsidRPr="005A1CAE">
        <w:rPr>
          <w:noProof/>
        </w:rPr>
        <w:t xml:space="preserve"> i</w:t>
      </w:r>
      <w:r w:rsidR="005A1CAE">
        <w:rPr>
          <w:noProof/>
        </w:rPr>
        <w:t> </w:t>
      </w:r>
      <w:r w:rsidR="005A1CAE" w:rsidRPr="005A1CAE">
        <w:rPr>
          <w:noProof/>
        </w:rPr>
        <w:t>pro</w:t>
      </w:r>
      <w:r w:rsidRPr="005A1CAE">
        <w:rPr>
          <w:noProof/>
        </w:rPr>
        <w:t>cedurę celną. Komisja powinna uwzględnić ryzyko związane z CBAM przy opracowywaniu wspólnych kryteriów</w:t>
      </w:r>
      <w:r w:rsidR="005A1CAE" w:rsidRPr="005A1CAE">
        <w:rPr>
          <w:noProof/>
        </w:rPr>
        <w:t xml:space="preserve"> i</w:t>
      </w:r>
      <w:r w:rsidR="005A1CAE">
        <w:rPr>
          <w:noProof/>
        </w:rPr>
        <w:t> </w:t>
      </w:r>
      <w:r w:rsidR="005A1CAE" w:rsidRPr="005A1CAE">
        <w:rPr>
          <w:noProof/>
        </w:rPr>
        <w:t>nor</w:t>
      </w:r>
      <w:r w:rsidRPr="005A1CAE">
        <w:rPr>
          <w:noProof/>
        </w:rPr>
        <w:t>m ryzyka na podstawie art. 50 rozporządzenia (UE) nr 952/2013.</w:t>
      </w:r>
    </w:p>
    <w:p w14:paraId="407D84D9" w14:textId="113A8188"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 CBAM powinien opierać się na systemie deklaratywnym,</w:t>
      </w:r>
      <w:r w:rsidR="005A1CAE" w:rsidRPr="005A1CAE">
        <w:rPr>
          <w:noProof/>
        </w:rPr>
        <w:t xml:space="preserve"> w</w:t>
      </w:r>
      <w:r w:rsidR="005A1CAE">
        <w:rPr>
          <w:noProof/>
        </w:rPr>
        <w:t> </w:t>
      </w:r>
      <w:r w:rsidR="005A1CAE" w:rsidRPr="005A1CAE">
        <w:rPr>
          <w:noProof/>
        </w:rPr>
        <w:t>któ</w:t>
      </w:r>
      <w:r w:rsidRPr="005A1CAE">
        <w:rPr>
          <w:noProof/>
        </w:rPr>
        <w:t>rym upoważniony zgłaszający CBAM, działający</w:t>
      </w:r>
      <w:r w:rsidR="005A1CAE" w:rsidRPr="005A1CAE">
        <w:rPr>
          <w:noProof/>
        </w:rPr>
        <w:t xml:space="preserve"> w</w:t>
      </w:r>
      <w:r w:rsidR="005A1CAE">
        <w:rPr>
          <w:noProof/>
        </w:rPr>
        <w:t> </w:t>
      </w:r>
      <w:r w:rsidR="005A1CAE" w:rsidRPr="005A1CAE">
        <w:rPr>
          <w:noProof/>
        </w:rPr>
        <w:t>imi</w:t>
      </w:r>
      <w:r w:rsidRPr="005A1CAE">
        <w:rPr>
          <w:noProof/>
        </w:rPr>
        <w:t>eniu własnym lub reprezentujący co najmniej jednego importera, składa co roku deklarację dotyczącą emisji wbudowanych związanych</w:t>
      </w:r>
      <w:r w:rsidR="005A1CAE" w:rsidRPr="005A1CAE">
        <w:rPr>
          <w:noProof/>
        </w:rPr>
        <w:t xml:space="preserve"> z</w:t>
      </w:r>
      <w:r w:rsidR="005A1CAE">
        <w:rPr>
          <w:noProof/>
        </w:rPr>
        <w:t> </w:t>
      </w:r>
      <w:r w:rsidR="005A1CAE" w:rsidRPr="005A1CAE">
        <w:rPr>
          <w:noProof/>
        </w:rPr>
        <w:t>tow</w:t>
      </w:r>
      <w:r w:rsidRPr="005A1CAE">
        <w:rPr>
          <w:noProof/>
        </w:rPr>
        <w:t>arami przywożonymi na obszar celny Unii</w:t>
      </w:r>
      <w:r w:rsidR="005A1CAE" w:rsidRPr="005A1CAE">
        <w:rPr>
          <w:noProof/>
        </w:rPr>
        <w:t xml:space="preserve"> i</w:t>
      </w:r>
      <w:r w:rsidR="005A1CAE">
        <w:rPr>
          <w:noProof/>
        </w:rPr>
        <w:t> </w:t>
      </w:r>
      <w:r w:rsidR="005A1CAE" w:rsidRPr="005A1CAE">
        <w:rPr>
          <w:noProof/>
        </w:rPr>
        <w:t>prz</w:t>
      </w:r>
      <w:r w:rsidRPr="005A1CAE">
        <w:rPr>
          <w:noProof/>
        </w:rPr>
        <w:t>ekazuje do umorzenia określoną liczbę certyfikatów CBAM odpowiadającą tym zadeklarowanym emisjom.</w:t>
      </w:r>
    </w:p>
    <w:p w14:paraId="2A5E5E23" w14:textId="7F536347"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 Upoważniony zgłaszający CBAM powinien mieć możliwość ubiegania się</w:t>
      </w:r>
      <w:r w:rsidR="005A1CAE" w:rsidRPr="005A1CAE">
        <w:rPr>
          <w:noProof/>
        </w:rPr>
        <w:t xml:space="preserve"> o</w:t>
      </w:r>
      <w:r w:rsidR="005A1CAE">
        <w:rPr>
          <w:noProof/>
        </w:rPr>
        <w:t> </w:t>
      </w:r>
      <w:r w:rsidR="005A1CAE" w:rsidRPr="005A1CAE">
        <w:rPr>
          <w:noProof/>
        </w:rPr>
        <w:t>zmn</w:t>
      </w:r>
      <w:r w:rsidRPr="005A1CAE">
        <w:rPr>
          <w:noProof/>
        </w:rPr>
        <w:t>iejszenie liczby certyfikatów CBAM, które mają zostać przekazane do umorzenia, odpowiadające opłacie emisyjnej już faktycznie uiszczonej za te emisje</w:t>
      </w:r>
      <w:r w:rsidR="005A1CAE" w:rsidRPr="005A1CAE">
        <w:rPr>
          <w:noProof/>
        </w:rPr>
        <w:t xml:space="preserve"> </w:t>
      </w:r>
      <w:r w:rsidR="005A1CAE" w:rsidRPr="005A1CAE">
        <w:rPr>
          <w:noProof/>
        </w:rPr>
        <w:lastRenderedPageBreak/>
        <w:t>w</w:t>
      </w:r>
      <w:r w:rsidR="005A1CAE">
        <w:rPr>
          <w:noProof/>
        </w:rPr>
        <w:t> </w:t>
      </w:r>
      <w:r w:rsidR="005A1CAE" w:rsidRPr="005A1CAE">
        <w:rPr>
          <w:noProof/>
        </w:rPr>
        <w:t>inn</w:t>
      </w:r>
      <w:r w:rsidRPr="005A1CAE">
        <w:rPr>
          <w:noProof/>
        </w:rPr>
        <w:t>ych jurysdykcjach</w:t>
      </w:r>
      <w:r w:rsidR="005A1CAE" w:rsidRPr="005A1CAE">
        <w:rPr>
          <w:noProof/>
        </w:rPr>
        <w:t>. W</w:t>
      </w:r>
      <w:r w:rsidR="005A1CAE">
        <w:rPr>
          <w:noProof/>
        </w:rPr>
        <w:t> </w:t>
      </w:r>
      <w:r w:rsidR="005A1CAE" w:rsidRPr="005A1CAE">
        <w:rPr>
          <w:noProof/>
        </w:rPr>
        <w:t>roz</w:t>
      </w:r>
      <w:r w:rsidRPr="005A1CAE">
        <w:rPr>
          <w:noProof/>
        </w:rPr>
        <w:t>porządzeniu zmieniającym zaproponowano wprowadzenie domyślnej opłaty emisyjnej, co umożliwiłoby zgłaszającym ubieganie się</w:t>
      </w:r>
      <w:r w:rsidR="005A1CAE" w:rsidRPr="005A1CAE">
        <w:rPr>
          <w:noProof/>
        </w:rPr>
        <w:t xml:space="preserve"> o</w:t>
      </w:r>
      <w:r w:rsidR="005A1CAE">
        <w:rPr>
          <w:noProof/>
        </w:rPr>
        <w:t> </w:t>
      </w:r>
      <w:r w:rsidR="005A1CAE" w:rsidRPr="005A1CAE">
        <w:rPr>
          <w:noProof/>
        </w:rPr>
        <w:t>jej</w:t>
      </w:r>
      <w:r w:rsidRPr="005A1CAE">
        <w:rPr>
          <w:noProof/>
        </w:rPr>
        <w:t xml:space="preserve"> odliczenie,</w:t>
      </w:r>
      <w:r w:rsidR="005A1CAE" w:rsidRPr="005A1CAE">
        <w:rPr>
          <w:noProof/>
        </w:rPr>
        <w:t xml:space="preserve"> w</w:t>
      </w:r>
      <w:r w:rsidR="005A1CAE">
        <w:rPr>
          <w:noProof/>
        </w:rPr>
        <w:t> </w:t>
      </w:r>
      <w:r w:rsidR="005A1CAE" w:rsidRPr="005A1CAE">
        <w:rPr>
          <w:noProof/>
        </w:rPr>
        <w:t>syt</w:t>
      </w:r>
      <w:r w:rsidRPr="005A1CAE">
        <w:rPr>
          <w:noProof/>
        </w:rPr>
        <w:t xml:space="preserve">uacji gdy nie można wykazać, że opłata emisyjna została faktycznie uiszczona. </w:t>
      </w:r>
    </w:p>
    <w:p w14:paraId="014E2E60" w14:textId="0E2F6887"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 W przypadku gdy</w:t>
      </w:r>
      <w:r w:rsidR="005A1CAE" w:rsidRPr="005A1CAE">
        <w:rPr>
          <w:noProof/>
        </w:rPr>
        <w:t xml:space="preserve"> w</w:t>
      </w:r>
      <w:r w:rsidR="005A1CAE">
        <w:rPr>
          <w:noProof/>
        </w:rPr>
        <w:t> </w:t>
      </w:r>
      <w:r w:rsidR="005A1CAE" w:rsidRPr="005A1CAE">
        <w:rPr>
          <w:noProof/>
        </w:rPr>
        <w:t>dek</w:t>
      </w:r>
      <w:r w:rsidRPr="005A1CAE">
        <w:rPr>
          <w:noProof/>
        </w:rPr>
        <w:t>laracji podaje się emisje rzeczywiste, zadeklarowane emisje wbudowane powinna zweryfikować osoba akredytowana przez krajową jednostkę akredytującą państwa członkowskiego UE.</w:t>
      </w:r>
    </w:p>
    <w:p w14:paraId="2F55BB32" w14:textId="70866DD9"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 System centralny CBAM powinien umożliwiać operatorom instalacji produkcyjnych</w:t>
      </w:r>
      <w:r w:rsidR="005A1CAE" w:rsidRPr="005A1CAE">
        <w:rPr>
          <w:noProof/>
        </w:rPr>
        <w:t xml:space="preserve"> w</w:t>
      </w:r>
      <w:r w:rsidR="005A1CAE">
        <w:rPr>
          <w:noProof/>
        </w:rPr>
        <w:t> </w:t>
      </w:r>
      <w:r w:rsidR="005A1CAE" w:rsidRPr="005A1CAE">
        <w:rPr>
          <w:noProof/>
        </w:rPr>
        <w:t>pań</w:t>
      </w:r>
      <w:r w:rsidRPr="005A1CAE">
        <w:rPr>
          <w:noProof/>
        </w:rPr>
        <w:t>stwach trzecich rejestrowanie się</w:t>
      </w:r>
      <w:r w:rsidR="005A1CAE" w:rsidRPr="005A1CAE">
        <w:rPr>
          <w:noProof/>
        </w:rPr>
        <w:t xml:space="preserve"> w</w:t>
      </w:r>
      <w:r w:rsidR="005A1CAE">
        <w:rPr>
          <w:noProof/>
        </w:rPr>
        <w:t> </w:t>
      </w:r>
      <w:r w:rsidR="005A1CAE" w:rsidRPr="005A1CAE">
        <w:rPr>
          <w:noProof/>
        </w:rPr>
        <w:t>rej</w:t>
      </w:r>
      <w:r w:rsidRPr="005A1CAE">
        <w:rPr>
          <w:noProof/>
        </w:rPr>
        <w:t>estrze CBAM</w:t>
      </w:r>
      <w:r w:rsidR="005A1CAE" w:rsidRPr="005A1CAE">
        <w:rPr>
          <w:noProof/>
        </w:rPr>
        <w:t xml:space="preserve"> i</w:t>
      </w:r>
      <w:r w:rsidR="005A1CAE">
        <w:rPr>
          <w:noProof/>
        </w:rPr>
        <w:t> </w:t>
      </w:r>
      <w:r w:rsidR="005A1CAE" w:rsidRPr="005A1CAE">
        <w:rPr>
          <w:noProof/>
        </w:rPr>
        <w:t>udo</w:t>
      </w:r>
      <w:r w:rsidRPr="005A1CAE">
        <w:rPr>
          <w:noProof/>
        </w:rPr>
        <w:t>stępnianie upoważnionym zgłaszającym CBAM zweryfikowanych wbudowanych emisji gazów cieplarnianych pochodzących</w:t>
      </w:r>
      <w:r w:rsidR="005A1CAE" w:rsidRPr="005A1CAE">
        <w:rPr>
          <w:noProof/>
        </w:rPr>
        <w:t xml:space="preserve"> z</w:t>
      </w:r>
      <w:r w:rsidR="005A1CAE">
        <w:rPr>
          <w:noProof/>
        </w:rPr>
        <w:t> </w:t>
      </w:r>
      <w:r w:rsidR="005A1CAE" w:rsidRPr="005A1CAE">
        <w:rPr>
          <w:noProof/>
        </w:rPr>
        <w:t>pro</w:t>
      </w:r>
      <w:r w:rsidRPr="005A1CAE">
        <w:rPr>
          <w:noProof/>
        </w:rPr>
        <w:t>dukcji towarów. Komisja powinna zarządzać rejestrem CBAM zawierającym informacje</w:t>
      </w:r>
      <w:r w:rsidR="005A1CAE" w:rsidRPr="005A1CAE">
        <w:rPr>
          <w:noProof/>
        </w:rPr>
        <w:t xml:space="preserve"> o</w:t>
      </w:r>
      <w:r w:rsidR="005A1CAE">
        <w:rPr>
          <w:noProof/>
        </w:rPr>
        <w:t> </w:t>
      </w:r>
      <w:r w:rsidR="005A1CAE" w:rsidRPr="005A1CAE">
        <w:rPr>
          <w:noProof/>
        </w:rPr>
        <w:t>upo</w:t>
      </w:r>
      <w:r w:rsidRPr="005A1CAE">
        <w:rPr>
          <w:noProof/>
        </w:rPr>
        <w:t>ważnionych zgłaszających CBAM, operatorach</w:t>
      </w:r>
      <w:r w:rsidR="005A1CAE" w:rsidRPr="005A1CAE">
        <w:rPr>
          <w:noProof/>
        </w:rPr>
        <w:t xml:space="preserve"> i</w:t>
      </w:r>
      <w:r w:rsidR="005A1CAE">
        <w:rPr>
          <w:noProof/>
        </w:rPr>
        <w:t> </w:t>
      </w:r>
      <w:r w:rsidR="005A1CAE" w:rsidRPr="005A1CAE">
        <w:rPr>
          <w:noProof/>
        </w:rPr>
        <w:t>ins</w:t>
      </w:r>
      <w:r w:rsidRPr="005A1CAE">
        <w:rPr>
          <w:noProof/>
        </w:rPr>
        <w:t>talacjach</w:t>
      </w:r>
      <w:r w:rsidR="005A1CAE" w:rsidRPr="005A1CAE">
        <w:rPr>
          <w:noProof/>
        </w:rPr>
        <w:t xml:space="preserve"> w</w:t>
      </w:r>
      <w:r w:rsidR="005A1CAE">
        <w:rPr>
          <w:noProof/>
        </w:rPr>
        <w:t> </w:t>
      </w:r>
      <w:r w:rsidR="005A1CAE" w:rsidRPr="005A1CAE">
        <w:rPr>
          <w:noProof/>
        </w:rPr>
        <w:t>pań</w:t>
      </w:r>
      <w:r w:rsidRPr="005A1CAE">
        <w:rPr>
          <w:noProof/>
        </w:rPr>
        <w:t>stwach trzecich</w:t>
      </w:r>
      <w:r w:rsidR="005A1CAE" w:rsidRPr="005A1CAE">
        <w:rPr>
          <w:noProof/>
        </w:rPr>
        <w:t>. W</w:t>
      </w:r>
      <w:r w:rsidR="005A1CAE">
        <w:rPr>
          <w:noProof/>
        </w:rPr>
        <w:t> </w:t>
      </w:r>
      <w:r w:rsidR="005A1CAE" w:rsidRPr="005A1CAE">
        <w:rPr>
          <w:noProof/>
        </w:rPr>
        <w:t>roz</w:t>
      </w:r>
      <w:r w:rsidRPr="005A1CAE">
        <w:rPr>
          <w:noProof/>
        </w:rPr>
        <w:t>porządzeniu zmieniającym zaproponowano umożliwienie akredytowanym weryfikatorom dostępu do rejestru</w:t>
      </w:r>
      <w:r w:rsidR="005A1CAE" w:rsidRPr="005A1CAE">
        <w:rPr>
          <w:noProof/>
        </w:rPr>
        <w:t xml:space="preserve"> w</w:t>
      </w:r>
      <w:r w:rsidR="005A1CAE">
        <w:rPr>
          <w:noProof/>
        </w:rPr>
        <w:t> </w:t>
      </w:r>
      <w:r w:rsidR="005A1CAE" w:rsidRPr="005A1CAE">
        <w:rPr>
          <w:noProof/>
        </w:rPr>
        <w:t>cel</w:t>
      </w:r>
      <w:r w:rsidRPr="005A1CAE">
        <w:rPr>
          <w:noProof/>
        </w:rPr>
        <w:t>u poprawy wiarygodności danych dotyczących emisji, które to informacje operatorzy udostępniają zgłaszającym za pośrednictwem rejestru.</w:t>
      </w:r>
    </w:p>
    <w:p w14:paraId="06FB27FD" w14:textId="77777777"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 By zmniejszyć ryzyko ucieczki emisji, Komisja powinna przeciwdziałać praktykom obchodzenia przepisów.</w:t>
      </w:r>
    </w:p>
    <w:p w14:paraId="6C39C413" w14:textId="72443D00"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 Do celów sprzedaży</w:t>
      </w:r>
      <w:r w:rsidR="005A1CAE" w:rsidRPr="005A1CAE">
        <w:rPr>
          <w:noProof/>
        </w:rPr>
        <w:t xml:space="preserve"> i</w:t>
      </w:r>
      <w:r w:rsidR="005A1CAE">
        <w:rPr>
          <w:noProof/>
        </w:rPr>
        <w:t> </w:t>
      </w:r>
      <w:r w:rsidR="005A1CAE" w:rsidRPr="005A1CAE">
        <w:rPr>
          <w:noProof/>
        </w:rPr>
        <w:t>odk</w:t>
      </w:r>
      <w:r w:rsidRPr="005A1CAE">
        <w:rPr>
          <w:noProof/>
        </w:rPr>
        <w:t>upu certyfikatów CBAM należy ustanowić wspólną centralną platformę. Do celów nadzoru nad transakcjami na wspólnej centralnej platformie Komisja powinna ułatwiać wymiany informacji</w:t>
      </w:r>
      <w:r w:rsidR="005A1CAE" w:rsidRPr="005A1CAE">
        <w:rPr>
          <w:noProof/>
        </w:rPr>
        <w:t xml:space="preserve"> i</w:t>
      </w:r>
      <w:r w:rsidR="005A1CAE">
        <w:rPr>
          <w:noProof/>
        </w:rPr>
        <w:t> </w:t>
      </w:r>
      <w:r w:rsidR="005A1CAE" w:rsidRPr="005A1CAE">
        <w:rPr>
          <w:noProof/>
        </w:rPr>
        <w:t>wsp</w:t>
      </w:r>
      <w:r w:rsidRPr="005A1CAE">
        <w:rPr>
          <w:noProof/>
        </w:rPr>
        <w:t>ółpracę między właściwymi organami oraz między tymi organami</w:t>
      </w:r>
      <w:r w:rsidR="005A1CAE" w:rsidRPr="005A1CAE">
        <w:rPr>
          <w:noProof/>
        </w:rPr>
        <w:t xml:space="preserve"> a</w:t>
      </w:r>
      <w:r w:rsidR="005A1CAE">
        <w:rPr>
          <w:noProof/>
        </w:rPr>
        <w:t> </w:t>
      </w:r>
      <w:r w:rsidR="005A1CAE" w:rsidRPr="005A1CAE">
        <w:rPr>
          <w:noProof/>
        </w:rPr>
        <w:t>Kom</w:t>
      </w:r>
      <w:r w:rsidRPr="005A1CAE">
        <w:rPr>
          <w:noProof/>
        </w:rPr>
        <w:t>isją. Należy także zapewnić szybki przepływ informacji między wspólną platformą centralną</w:t>
      </w:r>
      <w:r w:rsidR="005A1CAE" w:rsidRPr="005A1CAE">
        <w:rPr>
          <w:noProof/>
        </w:rPr>
        <w:t xml:space="preserve"> a</w:t>
      </w:r>
      <w:r w:rsidR="005A1CAE">
        <w:rPr>
          <w:noProof/>
        </w:rPr>
        <w:t> </w:t>
      </w:r>
      <w:r w:rsidR="005A1CAE" w:rsidRPr="005A1CAE">
        <w:rPr>
          <w:noProof/>
        </w:rPr>
        <w:t>rej</w:t>
      </w:r>
      <w:r w:rsidRPr="005A1CAE">
        <w:rPr>
          <w:noProof/>
        </w:rPr>
        <w:t>estrem CBAM.</w:t>
      </w:r>
    </w:p>
    <w:p w14:paraId="7F240712" w14:textId="6E5D3444"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Komisja powinna prowadzić kontrole oparte na analizie ryzyka</w:t>
      </w:r>
      <w:r w:rsidR="005A1CAE" w:rsidRPr="005A1CAE">
        <w:rPr>
          <w:noProof/>
        </w:rPr>
        <w:t xml:space="preserve"> i</w:t>
      </w:r>
      <w:r w:rsidR="005A1CAE">
        <w:rPr>
          <w:noProof/>
        </w:rPr>
        <w:t> </w:t>
      </w:r>
      <w:r w:rsidR="005A1CAE" w:rsidRPr="005A1CAE">
        <w:rPr>
          <w:noProof/>
        </w:rPr>
        <w:t>odp</w:t>
      </w:r>
      <w:r w:rsidRPr="005A1CAE">
        <w:rPr>
          <w:noProof/>
        </w:rPr>
        <w:t>owiednio poddawać przeglądowi treść deklaracji CBAM. Do celów egzekwowania przepisów państwa członkowskie mogą również przeprowadzać przeglądy poszczególnych deklaracji CBAM. Wnioski</w:t>
      </w:r>
      <w:r w:rsidR="005A1CAE" w:rsidRPr="005A1CAE">
        <w:rPr>
          <w:noProof/>
        </w:rPr>
        <w:t xml:space="preserve"> z</w:t>
      </w:r>
      <w:r w:rsidR="005A1CAE">
        <w:rPr>
          <w:noProof/>
        </w:rPr>
        <w:t> </w:t>
      </w:r>
      <w:r w:rsidR="005A1CAE" w:rsidRPr="005A1CAE">
        <w:rPr>
          <w:noProof/>
        </w:rPr>
        <w:t>tak</w:t>
      </w:r>
      <w:r w:rsidRPr="005A1CAE">
        <w:rPr>
          <w:noProof/>
        </w:rPr>
        <w:t>ich przeglądów należy udostępniać Komisji</w:t>
      </w:r>
      <w:r w:rsidR="005A1CAE" w:rsidRPr="005A1CAE">
        <w:rPr>
          <w:noProof/>
        </w:rPr>
        <w:t xml:space="preserve"> i</w:t>
      </w:r>
      <w:r w:rsidR="005A1CAE">
        <w:rPr>
          <w:noProof/>
        </w:rPr>
        <w:t> </w:t>
      </w:r>
      <w:r w:rsidR="005A1CAE" w:rsidRPr="005A1CAE">
        <w:rPr>
          <w:noProof/>
        </w:rPr>
        <w:t>inn</w:t>
      </w:r>
      <w:r w:rsidRPr="005A1CAE">
        <w:rPr>
          <w:noProof/>
        </w:rPr>
        <w:t>ym właściwym organom za pośrednictwem rejestru CBAM.</w:t>
      </w:r>
    </w:p>
    <w:p w14:paraId="24303101" w14:textId="399E8FE0"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 Państwa członkowskie powinny być odpowiedzialne za prawidłowe ustalanie</w:t>
      </w:r>
      <w:r w:rsidR="005A1CAE" w:rsidRPr="005A1CAE">
        <w:rPr>
          <w:noProof/>
        </w:rPr>
        <w:t xml:space="preserve"> i</w:t>
      </w:r>
      <w:r w:rsidR="005A1CAE">
        <w:rPr>
          <w:noProof/>
        </w:rPr>
        <w:t> </w:t>
      </w:r>
      <w:r w:rsidR="005A1CAE" w:rsidRPr="005A1CAE">
        <w:rPr>
          <w:noProof/>
        </w:rPr>
        <w:t>pob</w:t>
      </w:r>
      <w:r w:rsidRPr="005A1CAE">
        <w:rPr>
          <w:noProof/>
        </w:rPr>
        <w:t>ór dochodów wynikających ze stosowania niniejszego rozporządzenia.</w:t>
      </w:r>
    </w:p>
    <w:p w14:paraId="67D4C9C1" w14:textId="077E37F7"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W związku</w:t>
      </w:r>
      <w:r w:rsidR="005A1CAE" w:rsidRPr="005A1CAE">
        <w:rPr>
          <w:noProof/>
        </w:rPr>
        <w:t xml:space="preserve"> z</w:t>
      </w:r>
      <w:r w:rsidR="005A1CAE">
        <w:rPr>
          <w:noProof/>
        </w:rPr>
        <w:t> </w:t>
      </w:r>
      <w:r w:rsidR="005A1CAE" w:rsidRPr="005A1CAE">
        <w:rPr>
          <w:noProof/>
        </w:rPr>
        <w:t>tym w</w:t>
      </w:r>
      <w:r w:rsidR="005A1CAE">
        <w:rPr>
          <w:noProof/>
        </w:rPr>
        <w:t> </w:t>
      </w:r>
      <w:r w:rsidR="005A1CAE" w:rsidRPr="005A1CAE">
        <w:rPr>
          <w:noProof/>
        </w:rPr>
        <w:t>okr</w:t>
      </w:r>
      <w:r w:rsidRPr="005A1CAE">
        <w:rPr>
          <w:noProof/>
        </w:rPr>
        <w:t>esie docelowym liczba zadań Komisji drastycznie wzrasta, co wymaga zwiększenia jej zasobów kadrowych. Zadania wykonywane przez zespół Komisji będą obejmować nadzór nad udzielaniem upoważnień zgłaszającym CBAM przez właściwe organy państw członkowskich, zarządzanie centralną bazą danych</w:t>
      </w:r>
      <w:r w:rsidR="005A1CAE" w:rsidRPr="005A1CAE">
        <w:rPr>
          <w:noProof/>
        </w:rPr>
        <w:t xml:space="preserve"> i</w:t>
      </w:r>
      <w:r w:rsidR="005A1CAE">
        <w:rPr>
          <w:noProof/>
        </w:rPr>
        <w:t> </w:t>
      </w:r>
      <w:r w:rsidR="005A1CAE" w:rsidRPr="005A1CAE">
        <w:rPr>
          <w:noProof/>
        </w:rPr>
        <w:t>cen</w:t>
      </w:r>
      <w:r w:rsidRPr="005A1CAE">
        <w:rPr>
          <w:noProof/>
        </w:rPr>
        <w:t>tralnym rejestrem, koordynację</w:t>
      </w:r>
      <w:r w:rsidR="005A1CAE" w:rsidRPr="005A1CAE">
        <w:rPr>
          <w:noProof/>
        </w:rPr>
        <w:t xml:space="preserve"> i</w:t>
      </w:r>
      <w:r w:rsidR="005A1CAE">
        <w:rPr>
          <w:noProof/>
        </w:rPr>
        <w:t> </w:t>
      </w:r>
      <w:r w:rsidR="005A1CAE" w:rsidRPr="005A1CAE">
        <w:rPr>
          <w:noProof/>
        </w:rPr>
        <w:t>wym</w:t>
      </w:r>
      <w:r w:rsidRPr="005A1CAE">
        <w:rPr>
          <w:noProof/>
        </w:rPr>
        <w:t>ianę informacji</w:t>
      </w:r>
      <w:r w:rsidR="005A1CAE" w:rsidRPr="005A1CAE">
        <w:rPr>
          <w:noProof/>
        </w:rPr>
        <w:t xml:space="preserve"> z</w:t>
      </w:r>
      <w:r w:rsidR="005A1CAE">
        <w:rPr>
          <w:noProof/>
        </w:rPr>
        <w:t> </w:t>
      </w:r>
      <w:r w:rsidR="005A1CAE" w:rsidRPr="005A1CAE">
        <w:rPr>
          <w:noProof/>
        </w:rPr>
        <w:t>wła</w:t>
      </w:r>
      <w:r w:rsidRPr="005A1CAE">
        <w:rPr>
          <w:noProof/>
        </w:rPr>
        <w:t>ściwymi organami państw członkowskich, przegląd deklaracji</w:t>
      </w:r>
      <w:r w:rsidR="005A1CAE" w:rsidRPr="005A1CAE">
        <w:rPr>
          <w:noProof/>
        </w:rPr>
        <w:t xml:space="preserve"> i</w:t>
      </w:r>
      <w:r w:rsidR="005A1CAE">
        <w:rPr>
          <w:noProof/>
        </w:rPr>
        <w:t> </w:t>
      </w:r>
      <w:r w:rsidR="005A1CAE" w:rsidRPr="005A1CAE">
        <w:rPr>
          <w:noProof/>
        </w:rPr>
        <w:t>nad</w:t>
      </w:r>
      <w:r w:rsidRPr="005A1CAE">
        <w:rPr>
          <w:noProof/>
        </w:rPr>
        <w:t>zór nad platformą zewnętrzną,</w:t>
      </w:r>
      <w:r w:rsidR="005A1CAE" w:rsidRPr="005A1CAE">
        <w:rPr>
          <w:noProof/>
        </w:rPr>
        <w:t xml:space="preserve"> a</w:t>
      </w:r>
      <w:r w:rsidR="005A1CAE">
        <w:rPr>
          <w:noProof/>
        </w:rPr>
        <w:t> </w:t>
      </w:r>
      <w:r w:rsidR="005A1CAE" w:rsidRPr="005A1CAE">
        <w:rPr>
          <w:noProof/>
        </w:rPr>
        <w:t>tak</w:t>
      </w:r>
      <w:r w:rsidRPr="005A1CAE">
        <w:rPr>
          <w:noProof/>
        </w:rPr>
        <w:t>że zadania wymagające kompetencji prawnych, takie jak reprezentacja</w:t>
      </w:r>
      <w:r w:rsidR="005A1CAE" w:rsidRPr="005A1CAE">
        <w:rPr>
          <w:noProof/>
        </w:rPr>
        <w:t xml:space="preserve"> w</w:t>
      </w:r>
      <w:r w:rsidR="005A1CAE">
        <w:rPr>
          <w:noProof/>
        </w:rPr>
        <w:t> </w:t>
      </w:r>
      <w:r w:rsidR="005A1CAE" w:rsidRPr="005A1CAE">
        <w:rPr>
          <w:noProof/>
        </w:rPr>
        <w:t>spo</w:t>
      </w:r>
      <w:r w:rsidRPr="005A1CAE">
        <w:rPr>
          <w:noProof/>
        </w:rPr>
        <w:t>rach sądowych</w:t>
      </w:r>
      <w:r w:rsidR="005A1CAE" w:rsidRPr="005A1CAE">
        <w:rPr>
          <w:noProof/>
        </w:rPr>
        <w:t xml:space="preserve"> i</w:t>
      </w:r>
      <w:r w:rsidR="005A1CAE">
        <w:rPr>
          <w:noProof/>
        </w:rPr>
        <w:t> </w:t>
      </w:r>
      <w:r w:rsidR="005A1CAE" w:rsidRPr="005A1CAE">
        <w:rPr>
          <w:noProof/>
        </w:rPr>
        <w:t>odz</w:t>
      </w:r>
      <w:r w:rsidRPr="005A1CAE">
        <w:rPr>
          <w:noProof/>
        </w:rPr>
        <w:t>yskiwanie należności oraz nadzór związany</w:t>
      </w:r>
      <w:r w:rsidR="005A1CAE" w:rsidRPr="005A1CAE">
        <w:rPr>
          <w:noProof/>
        </w:rPr>
        <w:t xml:space="preserve"> z</w:t>
      </w:r>
      <w:r w:rsidR="005A1CAE">
        <w:rPr>
          <w:noProof/>
        </w:rPr>
        <w:t> </w:t>
      </w:r>
      <w:r w:rsidR="005A1CAE" w:rsidRPr="005A1CAE">
        <w:rPr>
          <w:noProof/>
        </w:rPr>
        <w:t>odp</w:t>
      </w:r>
      <w:r w:rsidRPr="005A1CAE">
        <w:rPr>
          <w:noProof/>
        </w:rPr>
        <w:t>owiedzialnością finansową. Strukturę zespołu szczegółowo określono poniżej.</w:t>
      </w:r>
    </w:p>
    <w:p w14:paraId="694CDB82" w14:textId="67650E5D"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W okresie docelowym Komisja będzie odpowiedzialna za większość zadań wynikających</w:t>
      </w:r>
      <w:r w:rsidR="005A1CAE" w:rsidRPr="005A1CAE">
        <w:rPr>
          <w:noProof/>
        </w:rPr>
        <w:t xml:space="preserve"> z</w:t>
      </w:r>
      <w:r w:rsidR="005A1CAE">
        <w:rPr>
          <w:noProof/>
        </w:rPr>
        <w:t> </w:t>
      </w:r>
      <w:r w:rsidR="005A1CAE" w:rsidRPr="005A1CAE">
        <w:rPr>
          <w:noProof/>
        </w:rPr>
        <w:t>roz</w:t>
      </w:r>
      <w:r w:rsidRPr="005A1CAE">
        <w:rPr>
          <w:noProof/>
        </w:rPr>
        <w:t>porządzenia</w:t>
      </w:r>
      <w:r w:rsidR="005A1CAE" w:rsidRPr="005A1CAE">
        <w:rPr>
          <w:noProof/>
        </w:rPr>
        <w:t xml:space="preserve"> w</w:t>
      </w:r>
      <w:r w:rsidR="005A1CAE">
        <w:rPr>
          <w:noProof/>
        </w:rPr>
        <w:t> </w:t>
      </w:r>
      <w:r w:rsidR="005A1CAE" w:rsidRPr="005A1CAE">
        <w:rPr>
          <w:noProof/>
        </w:rPr>
        <w:t>spr</w:t>
      </w:r>
      <w:r w:rsidRPr="005A1CAE">
        <w:rPr>
          <w:noProof/>
        </w:rPr>
        <w:t>awie CBAM.</w:t>
      </w:r>
    </w:p>
    <w:p w14:paraId="448E07BB" w14:textId="45184C8C"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Wniosek zmieniający wprowadza nowe przepisy dotyczące przeciwdziałania ryzyku unikania przepisów, które wiążą się</w:t>
      </w:r>
      <w:r w:rsidR="005A1CAE" w:rsidRPr="005A1CAE">
        <w:rPr>
          <w:noProof/>
        </w:rPr>
        <w:t xml:space="preserve"> z</w:t>
      </w:r>
      <w:r w:rsidR="005A1CAE">
        <w:rPr>
          <w:noProof/>
        </w:rPr>
        <w:t> </w:t>
      </w:r>
      <w:r w:rsidR="005A1CAE" w:rsidRPr="005A1CAE">
        <w:rPr>
          <w:noProof/>
        </w:rPr>
        <w:t>dod</w:t>
      </w:r>
      <w:r w:rsidRPr="005A1CAE">
        <w:rPr>
          <w:noProof/>
        </w:rPr>
        <w:t>atkowymi zadaniami, które Komisja ma wykonywać od</w:t>
      </w:r>
      <w:r w:rsidR="005A1CAE" w:rsidRPr="005A1CAE">
        <w:rPr>
          <w:noProof/>
        </w:rPr>
        <w:t> </w:t>
      </w:r>
      <w:r w:rsidRPr="005A1CAE">
        <w:rPr>
          <w:noProof/>
        </w:rPr>
        <w:t>2027</w:t>
      </w:r>
      <w:r w:rsidR="005A1CAE" w:rsidRPr="005A1CAE">
        <w:rPr>
          <w:noProof/>
        </w:rPr>
        <w:t> </w:t>
      </w:r>
      <w:r w:rsidRPr="005A1CAE">
        <w:rPr>
          <w:noProof/>
        </w:rPr>
        <w:t>r. Obejmują one opracowanie</w:t>
      </w:r>
      <w:r w:rsidR="005A1CAE" w:rsidRPr="005A1CAE">
        <w:rPr>
          <w:noProof/>
        </w:rPr>
        <w:t xml:space="preserve"> i</w:t>
      </w:r>
      <w:r w:rsidR="005A1CAE">
        <w:rPr>
          <w:noProof/>
        </w:rPr>
        <w:t> </w:t>
      </w:r>
      <w:r w:rsidR="005A1CAE" w:rsidRPr="005A1CAE">
        <w:rPr>
          <w:noProof/>
        </w:rPr>
        <w:t>wdr</w:t>
      </w:r>
      <w:r w:rsidRPr="005A1CAE">
        <w:rPr>
          <w:noProof/>
        </w:rPr>
        <w:t>ożenie nowych przepisów dotyczących przeciwdziałaniu ryzyku unikania przepisów oraz nadzór nad ich operacjonalizacją</w:t>
      </w:r>
      <w:r w:rsidR="005A1CAE" w:rsidRPr="005A1CAE">
        <w:rPr>
          <w:noProof/>
        </w:rPr>
        <w:t>. W</w:t>
      </w:r>
      <w:r w:rsidR="005A1CAE">
        <w:rPr>
          <w:noProof/>
        </w:rPr>
        <w:t> </w:t>
      </w:r>
      <w:r w:rsidR="005A1CAE" w:rsidRPr="005A1CAE">
        <w:rPr>
          <w:noProof/>
        </w:rPr>
        <w:t>szc</w:t>
      </w:r>
      <w:r w:rsidRPr="005A1CAE">
        <w:rPr>
          <w:noProof/>
        </w:rPr>
        <w:t xml:space="preserve">zególności środki te będą wymagały dodatkowej kontroli </w:t>
      </w:r>
      <w:r w:rsidRPr="005A1CAE">
        <w:rPr>
          <w:noProof/>
        </w:rPr>
        <w:lastRenderedPageBreak/>
        <w:t>dowodów przedstawionych przez importerów, aby zweryfikować prawidłowość informacji podanych</w:t>
      </w:r>
      <w:r w:rsidR="005A1CAE" w:rsidRPr="005A1CAE">
        <w:rPr>
          <w:noProof/>
        </w:rPr>
        <w:t xml:space="preserve"> w</w:t>
      </w:r>
      <w:r w:rsidR="005A1CAE">
        <w:rPr>
          <w:noProof/>
        </w:rPr>
        <w:t> </w:t>
      </w:r>
      <w:r w:rsidR="005A1CAE" w:rsidRPr="005A1CAE">
        <w:rPr>
          <w:noProof/>
        </w:rPr>
        <w:t>dek</w:t>
      </w:r>
      <w:r w:rsidRPr="005A1CAE">
        <w:rPr>
          <w:noProof/>
        </w:rPr>
        <w:t xml:space="preserve">laracji CBAM. </w:t>
      </w:r>
    </w:p>
    <w:p w14:paraId="17CB744B" w14:textId="381A04B5"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Ponadto ze względu na zmiany zaproponowane</w:t>
      </w:r>
      <w:r w:rsidR="005A1CAE" w:rsidRPr="005A1CAE">
        <w:rPr>
          <w:noProof/>
        </w:rPr>
        <w:t xml:space="preserve"> w</w:t>
      </w:r>
      <w:r w:rsidR="005A1CAE">
        <w:rPr>
          <w:noProof/>
        </w:rPr>
        <w:t> </w:t>
      </w:r>
      <w:r w:rsidR="005A1CAE" w:rsidRPr="005A1CAE">
        <w:rPr>
          <w:noProof/>
        </w:rPr>
        <w:t>roz</w:t>
      </w:r>
      <w:r w:rsidRPr="005A1CAE">
        <w:rPr>
          <w:noProof/>
        </w:rPr>
        <w:t>porządzeniu zmieniającym pojawiają się dodatkowe potrzeby finansowe</w:t>
      </w:r>
      <w:r w:rsidR="005A1CAE" w:rsidRPr="005A1CAE">
        <w:rPr>
          <w:noProof/>
        </w:rPr>
        <w:t xml:space="preserve"> w</w:t>
      </w:r>
      <w:r w:rsidR="005A1CAE">
        <w:rPr>
          <w:noProof/>
        </w:rPr>
        <w:t> </w:t>
      </w:r>
      <w:r w:rsidR="005A1CAE" w:rsidRPr="005A1CAE">
        <w:rPr>
          <w:noProof/>
        </w:rPr>
        <w:t>cel</w:t>
      </w:r>
      <w:r w:rsidRPr="005A1CAE">
        <w:rPr>
          <w:noProof/>
        </w:rPr>
        <w:t>u sfinansowania wkładu analitycznego przekazanego Komisji na potrzeby realizacji podstawowych zadań od</w:t>
      </w:r>
      <w:r w:rsidR="005A1CAE" w:rsidRPr="005A1CAE">
        <w:rPr>
          <w:noProof/>
        </w:rPr>
        <w:t> </w:t>
      </w:r>
      <w:r w:rsidRPr="005A1CAE">
        <w:rPr>
          <w:noProof/>
        </w:rPr>
        <w:t>2027</w:t>
      </w:r>
      <w:r w:rsidR="005A1CAE" w:rsidRPr="005A1CAE">
        <w:rPr>
          <w:noProof/>
        </w:rPr>
        <w:t> </w:t>
      </w:r>
      <w:r w:rsidRPr="005A1CAE">
        <w:rPr>
          <w:noProof/>
        </w:rPr>
        <w:t>r</w:t>
      </w:r>
      <w:r w:rsidR="005A1CAE" w:rsidRPr="005A1CAE">
        <w:rPr>
          <w:noProof/>
        </w:rPr>
        <w:t>. W</w:t>
      </w:r>
      <w:r w:rsidR="005A1CAE">
        <w:rPr>
          <w:noProof/>
        </w:rPr>
        <w:t> </w:t>
      </w:r>
      <w:r w:rsidR="005A1CAE" w:rsidRPr="005A1CAE">
        <w:rPr>
          <w:noProof/>
        </w:rPr>
        <w:t>szc</w:t>
      </w:r>
      <w:r w:rsidRPr="005A1CAE">
        <w:rPr>
          <w:noProof/>
        </w:rPr>
        <w:t>zególności Komisja będzie musiała opracować (i corocznie aktualizować) wartości domyślne dla nowych towarów dodanych do załącznika I do rozporządzenia. Ponadto rozszerzono zakres jej obowiązków</w:t>
      </w:r>
      <w:r w:rsidR="005A1CAE" w:rsidRPr="005A1CAE">
        <w:rPr>
          <w:noProof/>
        </w:rPr>
        <w:t xml:space="preserve"> w</w:t>
      </w:r>
      <w:r w:rsidR="005A1CAE">
        <w:rPr>
          <w:noProof/>
        </w:rPr>
        <w:t> </w:t>
      </w:r>
      <w:r w:rsidR="005A1CAE" w:rsidRPr="005A1CAE">
        <w:rPr>
          <w:noProof/>
        </w:rPr>
        <w:t>zak</w:t>
      </w:r>
      <w:r w:rsidRPr="005A1CAE">
        <w:rPr>
          <w:noProof/>
        </w:rPr>
        <w:t>resie monitorowania</w:t>
      </w:r>
      <w:r w:rsidR="005A1CAE" w:rsidRPr="005A1CAE">
        <w:rPr>
          <w:noProof/>
        </w:rPr>
        <w:t xml:space="preserve"> i</w:t>
      </w:r>
      <w:r w:rsidR="005A1CAE">
        <w:rPr>
          <w:noProof/>
        </w:rPr>
        <w:t> </w:t>
      </w:r>
      <w:r w:rsidR="005A1CAE" w:rsidRPr="005A1CAE">
        <w:rPr>
          <w:noProof/>
        </w:rPr>
        <w:t>wyk</w:t>
      </w:r>
      <w:r w:rsidRPr="005A1CAE">
        <w:rPr>
          <w:noProof/>
        </w:rPr>
        <w:t>rywania praktyk obchodzenia przepisów</w:t>
      </w:r>
      <w:r w:rsidR="005A1CAE" w:rsidRPr="005A1CAE">
        <w:rPr>
          <w:noProof/>
        </w:rPr>
        <w:t xml:space="preserve"> i</w:t>
      </w:r>
      <w:r w:rsidR="005A1CAE">
        <w:rPr>
          <w:noProof/>
        </w:rPr>
        <w:t> </w:t>
      </w:r>
      <w:r w:rsidR="005A1CAE" w:rsidRPr="005A1CAE">
        <w:rPr>
          <w:noProof/>
        </w:rPr>
        <w:t>uni</w:t>
      </w:r>
      <w:r w:rsidRPr="005A1CAE">
        <w:rPr>
          <w:noProof/>
        </w:rPr>
        <w:t>kania ich, co wymaga nabycia baz danych</w:t>
      </w:r>
      <w:r w:rsidR="005A1CAE" w:rsidRPr="005A1CAE">
        <w:rPr>
          <w:noProof/>
        </w:rPr>
        <w:t xml:space="preserve"> i</w:t>
      </w:r>
      <w:r w:rsidR="005A1CAE">
        <w:rPr>
          <w:noProof/>
        </w:rPr>
        <w:t> </w:t>
      </w:r>
      <w:r w:rsidR="005A1CAE" w:rsidRPr="005A1CAE">
        <w:rPr>
          <w:noProof/>
        </w:rPr>
        <w:t>bad</w:t>
      </w:r>
      <w:r w:rsidRPr="005A1CAE">
        <w:rPr>
          <w:noProof/>
        </w:rPr>
        <w:t>ań rynkowych, które zostaną uwzględnione</w:t>
      </w:r>
      <w:r w:rsidR="005A1CAE" w:rsidRPr="005A1CAE">
        <w:rPr>
          <w:noProof/>
        </w:rPr>
        <w:t xml:space="preserve"> w</w:t>
      </w:r>
      <w:r w:rsidR="005A1CAE">
        <w:rPr>
          <w:noProof/>
        </w:rPr>
        <w:t> </w:t>
      </w:r>
      <w:r w:rsidR="005A1CAE" w:rsidRPr="005A1CAE">
        <w:rPr>
          <w:noProof/>
        </w:rPr>
        <w:t>sol</w:t>
      </w:r>
      <w:r w:rsidRPr="005A1CAE">
        <w:rPr>
          <w:noProof/>
        </w:rPr>
        <w:t>idnym systemie analizy</w:t>
      </w:r>
      <w:r w:rsidR="005A1CAE" w:rsidRPr="005A1CAE">
        <w:rPr>
          <w:noProof/>
        </w:rPr>
        <w:t xml:space="preserve"> i</w:t>
      </w:r>
      <w:r w:rsidR="005A1CAE">
        <w:rPr>
          <w:noProof/>
        </w:rPr>
        <w:t> </w:t>
      </w:r>
      <w:r w:rsidR="005A1CAE" w:rsidRPr="005A1CAE">
        <w:rPr>
          <w:noProof/>
        </w:rPr>
        <w:t>wyk</w:t>
      </w:r>
      <w:r w:rsidRPr="005A1CAE">
        <w:rPr>
          <w:noProof/>
        </w:rPr>
        <w:t>rywania ryzyka. Szacuje się, że</w:t>
      </w:r>
      <w:r w:rsidR="005A1CAE" w:rsidRPr="005A1CAE">
        <w:rPr>
          <w:noProof/>
        </w:rPr>
        <w:t xml:space="preserve"> w</w:t>
      </w:r>
      <w:r w:rsidR="005A1CAE">
        <w:rPr>
          <w:noProof/>
        </w:rPr>
        <w:t> </w:t>
      </w:r>
      <w:r w:rsidR="005A1CAE" w:rsidRPr="005A1CAE">
        <w:rPr>
          <w:noProof/>
        </w:rPr>
        <w:t>2</w:t>
      </w:r>
      <w:r w:rsidRPr="005A1CAE">
        <w:rPr>
          <w:noProof/>
        </w:rPr>
        <w:t>027</w:t>
      </w:r>
      <w:r w:rsidR="005A1CAE" w:rsidRPr="005A1CAE">
        <w:rPr>
          <w:noProof/>
        </w:rPr>
        <w:t> </w:t>
      </w:r>
      <w:r w:rsidRPr="005A1CAE">
        <w:rPr>
          <w:noProof/>
        </w:rPr>
        <w:t>r. będzie to wymagało 2 mln EUR wydatków niezwiązanych z IT, oprócz potrzeb budżetowych określonych</w:t>
      </w:r>
      <w:r w:rsidR="005A1CAE" w:rsidRPr="005A1CAE">
        <w:rPr>
          <w:noProof/>
        </w:rPr>
        <w:t xml:space="preserve"> w</w:t>
      </w:r>
      <w:r w:rsidR="005A1CAE">
        <w:rPr>
          <w:noProof/>
        </w:rPr>
        <w:t> </w:t>
      </w:r>
      <w:r w:rsidR="005A1CAE" w:rsidRPr="005A1CAE">
        <w:rPr>
          <w:noProof/>
        </w:rPr>
        <w:t>oce</w:t>
      </w:r>
      <w:r w:rsidRPr="005A1CAE">
        <w:rPr>
          <w:noProof/>
        </w:rPr>
        <w:t>nie skutków finansowych</w:t>
      </w:r>
      <w:r w:rsidR="005A1CAE" w:rsidRPr="005A1CAE">
        <w:rPr>
          <w:noProof/>
        </w:rPr>
        <w:t xml:space="preserve"> i</w:t>
      </w:r>
      <w:r w:rsidR="005A1CAE">
        <w:rPr>
          <w:noProof/>
        </w:rPr>
        <w:t> </w:t>
      </w:r>
      <w:r w:rsidR="005A1CAE" w:rsidRPr="005A1CAE">
        <w:rPr>
          <w:noProof/>
        </w:rPr>
        <w:t>cyf</w:t>
      </w:r>
      <w:r w:rsidRPr="005A1CAE">
        <w:rPr>
          <w:noProof/>
        </w:rPr>
        <w:t>rowych regulacji towarzyszącej wnioskowi dotyczącemu uproszczenia</w:t>
      </w:r>
      <w:r w:rsidR="005A1CAE" w:rsidRPr="005A1CAE">
        <w:rPr>
          <w:noProof/>
        </w:rPr>
        <w:t xml:space="preserve"> i</w:t>
      </w:r>
      <w:r w:rsidR="005A1CAE">
        <w:rPr>
          <w:noProof/>
        </w:rPr>
        <w:t> </w:t>
      </w:r>
      <w:r w:rsidR="005A1CAE" w:rsidRPr="005A1CAE">
        <w:rPr>
          <w:noProof/>
        </w:rPr>
        <w:t>wzm</w:t>
      </w:r>
      <w:r w:rsidRPr="005A1CAE">
        <w:rPr>
          <w:noProof/>
        </w:rPr>
        <w:t>ocnienia CBAM (+2 mln EUR rocznie).</w:t>
      </w:r>
    </w:p>
    <w:p w14:paraId="73390F2D" w14:textId="77777777"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b/>
          <w:bCs/>
          <w:noProof/>
          <w:szCs w:val="24"/>
        </w:rPr>
      </w:pPr>
      <w:r w:rsidRPr="005A1CAE">
        <w:rPr>
          <w:b/>
          <w:noProof/>
        </w:rPr>
        <w:t>Budżet CBAM na technologie informacyjne</w:t>
      </w:r>
    </w:p>
    <w:p w14:paraId="6F081872" w14:textId="1F8A8838"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b/>
          <w:bCs/>
          <w:noProof/>
        </w:rPr>
      </w:pPr>
      <w:r w:rsidRPr="005A1CAE">
        <w:rPr>
          <w:noProof/>
        </w:rPr>
        <w:t>Budżet CBAM na płatności</w:t>
      </w:r>
      <w:r w:rsidR="005A1CAE" w:rsidRPr="005A1CAE">
        <w:rPr>
          <w:noProof/>
        </w:rPr>
        <w:t xml:space="preserve"> i</w:t>
      </w:r>
      <w:r w:rsidR="005A1CAE">
        <w:rPr>
          <w:noProof/>
        </w:rPr>
        <w:t> </w:t>
      </w:r>
      <w:r w:rsidR="005A1CAE" w:rsidRPr="005A1CAE">
        <w:rPr>
          <w:noProof/>
        </w:rPr>
        <w:t>zob</w:t>
      </w:r>
      <w:r w:rsidRPr="005A1CAE">
        <w:rPr>
          <w:noProof/>
        </w:rPr>
        <w:t>owiązania</w:t>
      </w:r>
      <w:r w:rsidR="005A1CAE" w:rsidRPr="005A1CAE">
        <w:rPr>
          <w:noProof/>
        </w:rPr>
        <w:t xml:space="preserve"> w</w:t>
      </w:r>
      <w:r w:rsidR="005A1CAE">
        <w:rPr>
          <w:noProof/>
        </w:rPr>
        <w:t> </w:t>
      </w:r>
      <w:r w:rsidR="005A1CAE" w:rsidRPr="005A1CAE">
        <w:rPr>
          <w:noProof/>
        </w:rPr>
        <w:t>lat</w:t>
      </w:r>
      <w:r w:rsidRPr="005A1CAE">
        <w:rPr>
          <w:noProof/>
        </w:rPr>
        <w:t>ach 2023–2027 oszacowano na kwotę 120,69 mln EUR. Budżet CBAM na technologie informacyjne obejmuje finansowanie usług analitycznych, rozwojowych, wdrożeniowych</w:t>
      </w:r>
      <w:r w:rsidR="005A1CAE" w:rsidRPr="005A1CAE">
        <w:rPr>
          <w:noProof/>
        </w:rPr>
        <w:t xml:space="preserve"> i</w:t>
      </w:r>
      <w:r w:rsidR="005A1CAE">
        <w:rPr>
          <w:noProof/>
        </w:rPr>
        <w:t> </w:t>
      </w:r>
      <w:r w:rsidR="005A1CAE" w:rsidRPr="005A1CAE">
        <w:rPr>
          <w:noProof/>
        </w:rPr>
        <w:t>ope</w:t>
      </w:r>
      <w:r w:rsidRPr="005A1CAE">
        <w:rPr>
          <w:noProof/>
        </w:rPr>
        <w:t>racyjnych oraz usług</w:t>
      </w:r>
      <w:r w:rsidR="005A1CAE" w:rsidRPr="005A1CAE">
        <w:rPr>
          <w:noProof/>
        </w:rPr>
        <w:t xml:space="preserve"> w</w:t>
      </w:r>
      <w:r w:rsidR="005A1CAE">
        <w:rPr>
          <w:noProof/>
        </w:rPr>
        <w:t> </w:t>
      </w:r>
      <w:r w:rsidR="005A1CAE" w:rsidRPr="005A1CAE">
        <w:rPr>
          <w:noProof/>
        </w:rPr>
        <w:t>chm</w:t>
      </w:r>
      <w:r w:rsidRPr="005A1CAE">
        <w:rPr>
          <w:noProof/>
        </w:rPr>
        <w:t>urze lub licencji na sprzęt</w:t>
      </w:r>
      <w:r w:rsidR="005A1CAE" w:rsidRPr="005A1CAE">
        <w:rPr>
          <w:noProof/>
        </w:rPr>
        <w:t xml:space="preserve"> i</w:t>
      </w:r>
      <w:r w:rsidR="005A1CAE">
        <w:rPr>
          <w:noProof/>
        </w:rPr>
        <w:t> </w:t>
      </w:r>
      <w:r w:rsidR="005A1CAE" w:rsidRPr="005A1CAE">
        <w:rPr>
          <w:noProof/>
        </w:rPr>
        <w:t>opr</w:t>
      </w:r>
      <w:r w:rsidRPr="005A1CAE">
        <w:rPr>
          <w:noProof/>
        </w:rPr>
        <w:t>ogramowanie na potrzeby przejściowego</w:t>
      </w:r>
      <w:r w:rsidR="005A1CAE" w:rsidRPr="005A1CAE">
        <w:rPr>
          <w:noProof/>
        </w:rPr>
        <w:t xml:space="preserve"> i</w:t>
      </w:r>
      <w:r w:rsidR="005A1CAE">
        <w:rPr>
          <w:noProof/>
        </w:rPr>
        <w:t> </w:t>
      </w:r>
      <w:r w:rsidR="005A1CAE" w:rsidRPr="005A1CAE">
        <w:rPr>
          <w:noProof/>
        </w:rPr>
        <w:t>doc</w:t>
      </w:r>
      <w:r w:rsidRPr="005A1CAE">
        <w:rPr>
          <w:noProof/>
        </w:rPr>
        <w:t>elowego systemu CBAM, jak określono poniżej:</w:t>
      </w:r>
    </w:p>
    <w:p w14:paraId="249ECB38" w14:textId="1AD63978"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b/>
          <w:bCs/>
          <w:noProof/>
          <w:szCs w:val="24"/>
        </w:rPr>
      </w:pPr>
      <w:r w:rsidRPr="005A1CAE">
        <w:rPr>
          <w:noProof/>
        </w:rPr>
        <w:t>– Koszt nakładów inwestycyjnych oszacowano na podstawie faktycznie zaangażowanych wydatków budżetowych</w:t>
      </w:r>
      <w:r w:rsidR="005A1CAE" w:rsidRPr="005A1CAE">
        <w:rPr>
          <w:noProof/>
        </w:rPr>
        <w:t xml:space="preserve"> i</w:t>
      </w:r>
      <w:r w:rsidR="005A1CAE">
        <w:rPr>
          <w:noProof/>
        </w:rPr>
        <w:t> </w:t>
      </w:r>
      <w:r w:rsidR="005A1CAE" w:rsidRPr="005A1CAE">
        <w:rPr>
          <w:noProof/>
        </w:rPr>
        <w:t>bud</w:t>
      </w:r>
      <w:r w:rsidRPr="005A1CAE">
        <w:rPr>
          <w:noProof/>
        </w:rPr>
        <w:t>żetu, który Komisja zatwierdziła –</w:t>
      </w:r>
      <w:r w:rsidR="005A1CAE" w:rsidRPr="005A1CAE">
        <w:rPr>
          <w:noProof/>
        </w:rPr>
        <w:t xml:space="preserve"> w</w:t>
      </w:r>
      <w:r w:rsidR="005A1CAE">
        <w:rPr>
          <w:noProof/>
        </w:rPr>
        <w:t> </w:t>
      </w:r>
      <w:r w:rsidR="005A1CAE" w:rsidRPr="005A1CAE">
        <w:rPr>
          <w:noProof/>
        </w:rPr>
        <w:t>ram</w:t>
      </w:r>
      <w:r w:rsidRPr="005A1CAE">
        <w:rPr>
          <w:noProof/>
        </w:rPr>
        <w:t>ach informatycznego ładu korporacyjnego –</w:t>
      </w:r>
      <w:r w:rsidR="005A1CAE" w:rsidRPr="005A1CAE">
        <w:rPr>
          <w:noProof/>
        </w:rPr>
        <w:t xml:space="preserve"> w</w:t>
      </w:r>
      <w:r w:rsidR="005A1CAE">
        <w:rPr>
          <w:noProof/>
        </w:rPr>
        <w:t> </w:t>
      </w:r>
      <w:r w:rsidR="005A1CAE" w:rsidRPr="005A1CAE">
        <w:rPr>
          <w:noProof/>
        </w:rPr>
        <w:t>for</w:t>
      </w:r>
      <w:r w:rsidRPr="005A1CAE">
        <w:rPr>
          <w:noProof/>
        </w:rPr>
        <w:t>mie przyjętych dokumentów koncepcyjnych dotyczących następujących wcześniejszych projektów informatycznych DG TAXUD, ze względu na ich podobieństwa pod względem modelu architektury informatycznej: CDS, CRMS2, SURV3, REX, CSRD2, EBTI oraz transeuropejskie systemy zarządzania zgłoszeniami celnymi opracowane</w:t>
      </w:r>
      <w:r w:rsidR="005A1CAE" w:rsidRPr="005A1CAE">
        <w:rPr>
          <w:noProof/>
        </w:rPr>
        <w:t xml:space="preserve"> i</w:t>
      </w:r>
      <w:r w:rsidR="005A1CAE">
        <w:rPr>
          <w:noProof/>
        </w:rPr>
        <w:t> </w:t>
      </w:r>
      <w:r w:rsidR="005A1CAE" w:rsidRPr="005A1CAE">
        <w:rPr>
          <w:noProof/>
        </w:rPr>
        <w:t>obs</w:t>
      </w:r>
      <w:r w:rsidRPr="005A1CAE">
        <w:rPr>
          <w:noProof/>
        </w:rPr>
        <w:t>ługiwane przez DG TAXUD.</w:t>
      </w:r>
    </w:p>
    <w:p w14:paraId="7AE6FC48" w14:textId="00AF6A0F"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b/>
          <w:bCs/>
          <w:noProof/>
        </w:rPr>
      </w:pPr>
      <w:r w:rsidRPr="005A1CAE">
        <w:rPr>
          <w:noProof/>
        </w:rPr>
        <w:t>– Koszty operacyjne oszacowano na podstawie bieżących rocznych kosztów infrastruktury</w:t>
      </w:r>
      <w:r w:rsidR="005A1CAE" w:rsidRPr="005A1CAE">
        <w:rPr>
          <w:noProof/>
        </w:rPr>
        <w:t xml:space="preserve"> i</w:t>
      </w:r>
      <w:r w:rsidR="005A1CAE">
        <w:rPr>
          <w:noProof/>
        </w:rPr>
        <w:t> </w:t>
      </w:r>
      <w:r w:rsidR="005A1CAE" w:rsidRPr="005A1CAE">
        <w:rPr>
          <w:noProof/>
        </w:rPr>
        <w:t>kos</w:t>
      </w:r>
      <w:r w:rsidRPr="005A1CAE">
        <w:rPr>
          <w:noProof/>
        </w:rPr>
        <w:t>ztów operacyjnych DG TAXUD,</w:t>
      </w:r>
      <w:r w:rsidR="005A1CAE" w:rsidRPr="005A1CAE">
        <w:rPr>
          <w:noProof/>
        </w:rPr>
        <w:t xml:space="preserve"> w</w:t>
      </w:r>
      <w:r w:rsidR="005A1CAE">
        <w:rPr>
          <w:noProof/>
        </w:rPr>
        <w:t> </w:t>
      </w:r>
      <w:r w:rsidR="005A1CAE" w:rsidRPr="005A1CAE">
        <w:rPr>
          <w:noProof/>
        </w:rPr>
        <w:t>tym</w:t>
      </w:r>
      <w:r w:rsidRPr="005A1CAE">
        <w:rPr>
          <w:noProof/>
        </w:rPr>
        <w:t xml:space="preserve"> kosztów infrastruktury informatycznej, wsparcia informatycznego</w:t>
      </w:r>
      <w:r w:rsidR="005A1CAE" w:rsidRPr="005A1CAE">
        <w:rPr>
          <w:noProof/>
        </w:rPr>
        <w:t xml:space="preserve"> i</w:t>
      </w:r>
      <w:r w:rsidR="005A1CAE">
        <w:rPr>
          <w:noProof/>
        </w:rPr>
        <w:t> </w:t>
      </w:r>
      <w:r w:rsidR="005A1CAE" w:rsidRPr="005A1CAE">
        <w:rPr>
          <w:noProof/>
        </w:rPr>
        <w:t>obs</w:t>
      </w:r>
      <w:r w:rsidRPr="005A1CAE">
        <w:rPr>
          <w:noProof/>
        </w:rPr>
        <w:t>ługi systemów produkcyjnych powstałych</w:t>
      </w:r>
      <w:r w:rsidR="005A1CAE" w:rsidRPr="005A1CAE">
        <w:rPr>
          <w:noProof/>
        </w:rPr>
        <w:t xml:space="preserve"> w</w:t>
      </w:r>
      <w:r w:rsidR="005A1CAE">
        <w:rPr>
          <w:noProof/>
        </w:rPr>
        <w:t> </w:t>
      </w:r>
      <w:r w:rsidR="005A1CAE" w:rsidRPr="005A1CAE">
        <w:rPr>
          <w:noProof/>
        </w:rPr>
        <w:t>ram</w:t>
      </w:r>
      <w:r w:rsidRPr="005A1CAE">
        <w:rPr>
          <w:noProof/>
        </w:rPr>
        <w:t>ach projektów,</w:t>
      </w:r>
      <w:r w:rsidR="005A1CAE" w:rsidRPr="005A1CAE">
        <w:rPr>
          <w:noProof/>
        </w:rPr>
        <w:t xml:space="preserve"> o</w:t>
      </w:r>
      <w:r w:rsidR="005A1CAE">
        <w:rPr>
          <w:noProof/>
        </w:rPr>
        <w:t> </w:t>
      </w:r>
      <w:r w:rsidR="005A1CAE" w:rsidRPr="005A1CAE">
        <w:rPr>
          <w:noProof/>
        </w:rPr>
        <w:t>któ</w:t>
      </w:r>
      <w:r w:rsidRPr="005A1CAE">
        <w:rPr>
          <w:noProof/>
        </w:rPr>
        <w:t>rych mowa powyżej.</w:t>
      </w:r>
    </w:p>
    <w:p w14:paraId="0A69474D" w14:textId="77777777"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b/>
          <w:bCs/>
          <w:noProof/>
          <w:szCs w:val="24"/>
        </w:rPr>
      </w:pPr>
      <w:r w:rsidRPr="005A1CAE">
        <w:rPr>
          <w:noProof/>
        </w:rPr>
        <w:t>– Ceny oparto na obowiązujących obecnie umowach ramowych.</w:t>
      </w:r>
    </w:p>
    <w:p w14:paraId="03E1133E" w14:textId="444E1383"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b/>
          <w:bCs/>
          <w:noProof/>
        </w:rPr>
      </w:pPr>
      <w:r w:rsidRPr="005A1CAE">
        <w:rPr>
          <w:noProof/>
        </w:rPr>
        <w:t>W linii budżetowej dotyczącej polityki informatycznej nie uwzględniono budżetu na wspólne zamówienie Komisji Europejskiej</w:t>
      </w:r>
      <w:r w:rsidR="005A1CAE" w:rsidRPr="005A1CAE">
        <w:rPr>
          <w:noProof/>
        </w:rPr>
        <w:t xml:space="preserve"> i</w:t>
      </w:r>
      <w:r w:rsidR="005A1CAE">
        <w:rPr>
          <w:noProof/>
        </w:rPr>
        <w:t> </w:t>
      </w:r>
      <w:r w:rsidR="005A1CAE" w:rsidRPr="005A1CAE">
        <w:rPr>
          <w:noProof/>
        </w:rPr>
        <w:t>pań</w:t>
      </w:r>
      <w:r w:rsidRPr="005A1CAE">
        <w:rPr>
          <w:noProof/>
        </w:rPr>
        <w:t>stw członkowskich obejmujące platformę zakupu</w:t>
      </w:r>
      <w:r w:rsidR="005A1CAE" w:rsidRPr="005A1CAE">
        <w:rPr>
          <w:noProof/>
        </w:rPr>
        <w:t xml:space="preserve"> i</w:t>
      </w:r>
      <w:r w:rsidR="005A1CAE">
        <w:rPr>
          <w:noProof/>
        </w:rPr>
        <w:t> </w:t>
      </w:r>
      <w:r w:rsidR="005A1CAE" w:rsidRPr="005A1CAE">
        <w:rPr>
          <w:noProof/>
        </w:rPr>
        <w:t>spr</w:t>
      </w:r>
      <w:r w:rsidRPr="005A1CAE">
        <w:rPr>
          <w:noProof/>
        </w:rPr>
        <w:t>zedaży certyfikatów na potrzeby zarządzania operacjami.</w:t>
      </w:r>
    </w:p>
    <w:p w14:paraId="6CABE2D3" w14:textId="7620BB91" w:rsidR="008F38A1" w:rsidRPr="005A1CAE" w:rsidRDefault="008F38A1" w:rsidP="008F38A1">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W 2027</w:t>
      </w:r>
      <w:r w:rsidR="005A1CAE" w:rsidRPr="005A1CAE">
        <w:rPr>
          <w:noProof/>
        </w:rPr>
        <w:t> </w:t>
      </w:r>
      <w:r w:rsidRPr="005A1CAE">
        <w:rPr>
          <w:noProof/>
        </w:rPr>
        <w:t>r. zespół CBAM ma się składać</w:t>
      </w:r>
      <w:r w:rsidR="005A1CAE" w:rsidRPr="005A1CAE">
        <w:rPr>
          <w:noProof/>
        </w:rPr>
        <w:t xml:space="preserve"> z</w:t>
      </w:r>
      <w:r w:rsidR="005A1CAE">
        <w:rPr>
          <w:noProof/>
        </w:rPr>
        <w:t> </w:t>
      </w:r>
      <w:r w:rsidR="005A1CAE" w:rsidRPr="005A1CAE">
        <w:rPr>
          <w:noProof/>
        </w:rPr>
        <w:t>9</w:t>
      </w:r>
      <w:r w:rsidRPr="005A1CAE">
        <w:rPr>
          <w:noProof/>
        </w:rPr>
        <w:t>0 pracowników Komisji (w tym</w:t>
      </w:r>
      <w:r w:rsidR="005A1CAE" w:rsidRPr="005A1CAE">
        <w:rPr>
          <w:noProof/>
        </w:rPr>
        <w:t> </w:t>
      </w:r>
      <w:r w:rsidRPr="005A1CAE">
        <w:rPr>
          <w:noProof/>
        </w:rPr>
        <w:t>15 pracowników IT).</w:t>
      </w:r>
    </w:p>
    <w:p w14:paraId="1929A66D" w14:textId="3BEFBE46" w:rsidR="008F38A1" w:rsidRPr="005A1CAE" w:rsidRDefault="008F38A1" w:rsidP="008F38A1">
      <w:pPr>
        <w:pStyle w:val="Text1"/>
        <w:rPr>
          <w:noProof/>
        </w:rPr>
      </w:pPr>
      <w:r w:rsidRPr="005A1CAE">
        <w:rPr>
          <w:noProof/>
        </w:rPr>
        <w:t>Przydział całkowitej liczby pracowników,</w:t>
      </w:r>
      <w:r w:rsidR="005A1CAE" w:rsidRPr="005A1CAE">
        <w:rPr>
          <w:noProof/>
        </w:rPr>
        <w:t xml:space="preserve"> w</w:t>
      </w:r>
      <w:r w:rsidR="005A1CAE">
        <w:rPr>
          <w:noProof/>
        </w:rPr>
        <w:t> </w:t>
      </w:r>
      <w:r w:rsidR="005A1CAE" w:rsidRPr="005A1CAE">
        <w:rPr>
          <w:noProof/>
        </w:rPr>
        <w:t>tym</w:t>
      </w:r>
      <w:r w:rsidRPr="005A1CAE">
        <w:rPr>
          <w:noProof/>
        </w:rPr>
        <w:t xml:space="preserve"> pracowników IT,</w:t>
      </w:r>
      <w:r w:rsidR="005A1CAE" w:rsidRPr="005A1CAE">
        <w:rPr>
          <w:noProof/>
        </w:rPr>
        <w:t xml:space="preserve"> w</w:t>
      </w:r>
      <w:r w:rsidR="005A1CAE">
        <w:rPr>
          <w:noProof/>
        </w:rPr>
        <w:t> </w:t>
      </w:r>
      <w:r w:rsidR="005A1CAE" w:rsidRPr="005A1CAE">
        <w:rPr>
          <w:noProof/>
        </w:rPr>
        <w:t>lat</w:t>
      </w:r>
      <w:r w:rsidRPr="005A1CAE">
        <w:rPr>
          <w:noProof/>
        </w:rPr>
        <w:t>ach 2023–2027 byłby następujący:</w:t>
      </w:r>
    </w:p>
    <w:tbl>
      <w:tblPr>
        <w:tblStyle w:val="Tabela-Siatka"/>
        <w:tblW w:w="7477" w:type="dxa"/>
        <w:jc w:val="center"/>
        <w:tblLayout w:type="fixed"/>
        <w:tblLook w:val="04A0" w:firstRow="1" w:lastRow="0" w:firstColumn="1" w:lastColumn="0" w:noHBand="0" w:noVBand="1"/>
      </w:tblPr>
      <w:tblGrid>
        <w:gridCol w:w="1843"/>
        <w:gridCol w:w="1134"/>
        <w:gridCol w:w="1134"/>
        <w:gridCol w:w="1134"/>
        <w:gridCol w:w="1134"/>
        <w:gridCol w:w="1098"/>
      </w:tblGrid>
      <w:tr w:rsidR="008F38A1" w:rsidRPr="005A1CAE" w14:paraId="24EC8172" w14:textId="77777777" w:rsidTr="00793103">
        <w:trPr>
          <w:trHeight w:val="300"/>
          <w:jc w:val="center"/>
        </w:trPr>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6DE25B1E" w14:textId="77777777" w:rsidR="008F38A1" w:rsidRPr="005A1CAE" w:rsidRDefault="008F38A1">
            <w:pPr>
              <w:rPr>
                <w:noProof/>
              </w:rPr>
            </w:pPr>
            <w:r w:rsidRPr="005A1CAE">
              <w:rPr>
                <w:b/>
                <w:noProof/>
              </w:rPr>
              <w:t>Rok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FCE7E98" w14:textId="77777777" w:rsidR="008F38A1" w:rsidRPr="005A1CAE" w:rsidRDefault="008F38A1" w:rsidP="00793103">
            <w:pPr>
              <w:jc w:val="center"/>
              <w:rPr>
                <w:noProof/>
              </w:rPr>
            </w:pPr>
            <w:r w:rsidRPr="005A1CAE">
              <w:rPr>
                <w:b/>
                <w:noProof/>
              </w:rPr>
              <w:t>2023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FDB47E3" w14:textId="77777777" w:rsidR="008F38A1" w:rsidRPr="005A1CAE" w:rsidRDefault="008F38A1" w:rsidP="00793103">
            <w:pPr>
              <w:jc w:val="center"/>
              <w:rPr>
                <w:noProof/>
              </w:rPr>
            </w:pPr>
            <w:r w:rsidRPr="005A1CAE">
              <w:rPr>
                <w:b/>
                <w:noProof/>
              </w:rPr>
              <w:t>2024</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A61B1EC" w14:textId="77777777" w:rsidR="008F38A1" w:rsidRPr="005A1CAE" w:rsidRDefault="008F38A1" w:rsidP="00793103">
            <w:pPr>
              <w:jc w:val="center"/>
              <w:rPr>
                <w:noProof/>
              </w:rPr>
            </w:pPr>
            <w:r w:rsidRPr="005A1CAE">
              <w:rPr>
                <w:b/>
                <w:noProof/>
              </w:rPr>
              <w:t>2025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0F37824" w14:textId="77777777" w:rsidR="008F38A1" w:rsidRPr="005A1CAE" w:rsidRDefault="008F38A1" w:rsidP="00793103">
            <w:pPr>
              <w:jc w:val="center"/>
              <w:rPr>
                <w:noProof/>
              </w:rPr>
            </w:pPr>
            <w:r w:rsidRPr="005A1CAE">
              <w:rPr>
                <w:b/>
                <w:noProof/>
              </w:rPr>
              <w:t>2026</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1754A28C" w14:textId="77777777" w:rsidR="008F38A1" w:rsidRPr="005A1CAE" w:rsidRDefault="008F38A1" w:rsidP="00793103">
            <w:pPr>
              <w:jc w:val="center"/>
              <w:rPr>
                <w:noProof/>
              </w:rPr>
            </w:pPr>
            <w:r w:rsidRPr="005A1CAE">
              <w:rPr>
                <w:b/>
                <w:noProof/>
              </w:rPr>
              <w:t>2027</w:t>
            </w:r>
          </w:p>
        </w:tc>
      </w:tr>
      <w:tr w:rsidR="008F38A1" w:rsidRPr="005A1CAE" w14:paraId="6212D124" w14:textId="77777777" w:rsidTr="00793103">
        <w:trPr>
          <w:trHeight w:val="300"/>
          <w:jc w:val="center"/>
        </w:trPr>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202EB451" w14:textId="77777777" w:rsidR="008F38A1" w:rsidRPr="005A1CAE" w:rsidRDefault="008F38A1">
            <w:pPr>
              <w:rPr>
                <w:noProof/>
              </w:rPr>
            </w:pPr>
            <w:r w:rsidRPr="005A1CAE">
              <w:rPr>
                <w:b/>
                <w:noProof/>
              </w:rPr>
              <w:t>Całkowita liczba pracowników</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AC8449B" w14:textId="77777777" w:rsidR="008F38A1" w:rsidRPr="005A1CAE" w:rsidRDefault="008F38A1">
            <w:pPr>
              <w:rPr>
                <w:noProof/>
              </w:rPr>
            </w:pPr>
            <w:r w:rsidRPr="005A1CAE">
              <w:rPr>
                <w:noProof/>
              </w:rPr>
              <w:t>20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FFCC0D8" w14:textId="77777777" w:rsidR="008F38A1" w:rsidRPr="005A1CAE" w:rsidRDefault="008F38A1">
            <w:pPr>
              <w:rPr>
                <w:noProof/>
              </w:rPr>
            </w:pPr>
            <w:r w:rsidRPr="005A1CAE">
              <w:rPr>
                <w:noProof/>
              </w:rPr>
              <w:t>33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E7EE80D" w14:textId="77777777" w:rsidR="008F38A1" w:rsidRPr="005A1CAE" w:rsidRDefault="008F38A1">
            <w:pPr>
              <w:rPr>
                <w:noProof/>
              </w:rPr>
            </w:pPr>
            <w:r w:rsidRPr="005A1CAE">
              <w:rPr>
                <w:noProof/>
              </w:rPr>
              <w:t>44</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598FC70" w14:textId="77777777" w:rsidR="008F38A1" w:rsidRPr="005A1CAE" w:rsidRDefault="008F38A1">
            <w:pPr>
              <w:rPr>
                <w:noProof/>
              </w:rPr>
            </w:pPr>
            <w:r w:rsidRPr="005A1CAE">
              <w:rPr>
                <w:noProof/>
              </w:rPr>
              <w:t>66</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491913A1" w14:textId="77777777" w:rsidR="008F38A1" w:rsidRPr="005A1CAE" w:rsidRDefault="00CB795E">
            <w:pPr>
              <w:rPr>
                <w:noProof/>
              </w:rPr>
            </w:pPr>
            <w:r w:rsidRPr="005A1CAE">
              <w:rPr>
                <w:noProof/>
              </w:rPr>
              <w:t>90</w:t>
            </w:r>
          </w:p>
        </w:tc>
      </w:tr>
      <w:tr w:rsidR="008F38A1" w:rsidRPr="005A1CAE" w14:paraId="01CBADFC" w14:textId="77777777" w:rsidTr="00793103">
        <w:trPr>
          <w:trHeight w:val="300"/>
          <w:jc w:val="center"/>
        </w:trPr>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6EE4120" w14:textId="77777777" w:rsidR="008F38A1" w:rsidRPr="005A1CAE" w:rsidRDefault="008F38A1">
            <w:pPr>
              <w:rPr>
                <w:noProof/>
              </w:rPr>
            </w:pPr>
            <w:r w:rsidRPr="005A1CAE">
              <w:rPr>
                <w:b/>
                <w:noProof/>
              </w:rPr>
              <w:lastRenderedPageBreak/>
              <w:t>Zespół ds. CBAM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D452371" w14:textId="77777777" w:rsidR="008F38A1" w:rsidRPr="005A1CAE" w:rsidRDefault="008F38A1">
            <w:pPr>
              <w:rPr>
                <w:noProof/>
              </w:rPr>
            </w:pPr>
            <w:r w:rsidRPr="005A1CAE">
              <w:rPr>
                <w:noProof/>
              </w:rPr>
              <w:t>12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06D9671" w14:textId="77777777" w:rsidR="008F38A1" w:rsidRPr="005A1CAE" w:rsidRDefault="008F38A1">
            <w:pPr>
              <w:rPr>
                <w:noProof/>
              </w:rPr>
            </w:pPr>
            <w:r w:rsidRPr="005A1CAE">
              <w:rPr>
                <w:noProof/>
              </w:rPr>
              <w:t>21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7315892" w14:textId="77777777" w:rsidR="008F38A1" w:rsidRPr="005A1CAE" w:rsidRDefault="008F38A1">
            <w:pPr>
              <w:rPr>
                <w:noProof/>
              </w:rPr>
            </w:pPr>
            <w:r w:rsidRPr="005A1CAE">
              <w:rPr>
                <w:noProof/>
              </w:rPr>
              <w:t>29</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B1FCBFA" w14:textId="77777777" w:rsidR="008F38A1" w:rsidRPr="005A1CAE" w:rsidRDefault="008F38A1">
            <w:pPr>
              <w:rPr>
                <w:noProof/>
              </w:rPr>
            </w:pPr>
            <w:r w:rsidRPr="005A1CAE">
              <w:rPr>
                <w:noProof/>
              </w:rPr>
              <w:t>50</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3DE12816" w14:textId="77777777" w:rsidR="008F38A1" w:rsidRPr="005A1CAE" w:rsidRDefault="00CB795E">
            <w:pPr>
              <w:rPr>
                <w:noProof/>
              </w:rPr>
            </w:pPr>
            <w:r w:rsidRPr="005A1CAE">
              <w:rPr>
                <w:noProof/>
              </w:rPr>
              <w:t>74</w:t>
            </w:r>
          </w:p>
        </w:tc>
      </w:tr>
      <w:tr w:rsidR="008F38A1" w:rsidRPr="005A1CAE" w14:paraId="6ACBCB01" w14:textId="77777777" w:rsidTr="00793103">
        <w:trPr>
          <w:trHeight w:val="300"/>
          <w:jc w:val="center"/>
        </w:trPr>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7DDE55CA" w14:textId="77777777" w:rsidR="008F38A1" w:rsidRPr="005A1CAE" w:rsidRDefault="008F38A1">
            <w:pPr>
              <w:rPr>
                <w:noProof/>
              </w:rPr>
            </w:pPr>
            <w:r w:rsidRPr="005A1CAE">
              <w:rPr>
                <w:b/>
                <w:noProof/>
              </w:rPr>
              <w:t>Zespół informatyczny CBAM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58E1DE5" w14:textId="77777777" w:rsidR="008F38A1" w:rsidRPr="005A1CAE" w:rsidRDefault="008F38A1">
            <w:pPr>
              <w:rPr>
                <w:noProof/>
              </w:rPr>
            </w:pPr>
            <w:r w:rsidRPr="005A1CAE">
              <w:rPr>
                <w:noProof/>
              </w:rPr>
              <w:t>8</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1DC02B" w14:textId="77777777" w:rsidR="008F38A1" w:rsidRPr="005A1CAE" w:rsidRDefault="008F38A1">
            <w:pPr>
              <w:rPr>
                <w:noProof/>
              </w:rPr>
            </w:pPr>
            <w:r w:rsidRPr="005A1CAE">
              <w:rPr>
                <w:noProof/>
              </w:rPr>
              <w:t>12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86213A1" w14:textId="77777777" w:rsidR="008F38A1" w:rsidRPr="005A1CAE" w:rsidRDefault="008F38A1">
            <w:pPr>
              <w:rPr>
                <w:noProof/>
              </w:rPr>
            </w:pPr>
            <w:r w:rsidRPr="005A1CAE">
              <w:rPr>
                <w:noProof/>
              </w:rPr>
              <w:t>15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597D172" w14:textId="77777777" w:rsidR="008F38A1" w:rsidRPr="005A1CAE" w:rsidRDefault="008F38A1">
            <w:pPr>
              <w:rPr>
                <w:noProof/>
              </w:rPr>
            </w:pPr>
            <w:r w:rsidRPr="005A1CAE">
              <w:rPr>
                <w:noProof/>
              </w:rPr>
              <w:t>16</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4C4AC09B" w14:textId="77777777" w:rsidR="008F38A1" w:rsidRPr="005A1CAE" w:rsidRDefault="008F38A1">
            <w:pPr>
              <w:rPr>
                <w:noProof/>
              </w:rPr>
            </w:pPr>
            <w:r w:rsidRPr="005A1CAE">
              <w:rPr>
                <w:noProof/>
              </w:rPr>
              <w:t>16</w:t>
            </w:r>
          </w:p>
        </w:tc>
      </w:tr>
    </w:tbl>
    <w:p w14:paraId="2737D742" w14:textId="2C7A0967" w:rsidR="008F38A1" w:rsidRPr="005A1CAE" w:rsidRDefault="008F38A1" w:rsidP="008F38A1">
      <w:pPr>
        <w:pStyle w:val="Text1"/>
        <w:rPr>
          <w:noProof/>
        </w:rPr>
      </w:pPr>
      <w:r w:rsidRPr="005A1CAE">
        <w:rPr>
          <w:noProof/>
        </w:rPr>
        <w:t>Strategiczne znaczenie, skala</w:t>
      </w:r>
      <w:r w:rsidR="005A1CAE" w:rsidRPr="005A1CAE">
        <w:rPr>
          <w:noProof/>
        </w:rPr>
        <w:t xml:space="preserve"> i</w:t>
      </w:r>
      <w:r w:rsidR="005A1CAE">
        <w:rPr>
          <w:noProof/>
        </w:rPr>
        <w:t> </w:t>
      </w:r>
      <w:r w:rsidR="005A1CAE" w:rsidRPr="005A1CAE">
        <w:rPr>
          <w:noProof/>
        </w:rPr>
        <w:t>zło</w:t>
      </w:r>
      <w:r w:rsidRPr="005A1CAE">
        <w:rPr>
          <w:noProof/>
        </w:rPr>
        <w:t>żoność projektu informatycznego CBAM wymagają powołania specjalnego zespołu informatycznego CBAM zarządzającego ogólną realizacją</w:t>
      </w:r>
      <w:r w:rsidR="005A1CAE" w:rsidRPr="005A1CAE">
        <w:rPr>
          <w:noProof/>
        </w:rPr>
        <w:t xml:space="preserve"> i</w:t>
      </w:r>
      <w:r w:rsidR="005A1CAE">
        <w:rPr>
          <w:noProof/>
        </w:rPr>
        <w:t> </w:t>
      </w:r>
      <w:r w:rsidR="005A1CAE" w:rsidRPr="005A1CAE">
        <w:rPr>
          <w:noProof/>
        </w:rPr>
        <w:t>fun</w:t>
      </w:r>
      <w:r w:rsidRPr="005A1CAE">
        <w:rPr>
          <w:noProof/>
        </w:rPr>
        <w:t xml:space="preserve">kcjonowaniem projektu. </w:t>
      </w:r>
    </w:p>
    <w:p w14:paraId="2449B60D" w14:textId="501C5F76" w:rsidR="008F38A1" w:rsidRPr="005A1CAE" w:rsidRDefault="008F38A1" w:rsidP="008F38A1">
      <w:pPr>
        <w:pStyle w:val="Text1"/>
        <w:rPr>
          <w:rFonts w:eastAsia="Times New Roman"/>
          <w:noProof/>
        </w:rPr>
      </w:pPr>
      <w:r w:rsidRPr="005A1CAE">
        <w:rPr>
          <w:noProof/>
        </w:rPr>
        <w:t>Zespół informatyczny CBAM składa się</w:t>
      </w:r>
      <w:r w:rsidR="005A1CAE" w:rsidRPr="005A1CAE">
        <w:rPr>
          <w:noProof/>
        </w:rPr>
        <w:t xml:space="preserve"> z</w:t>
      </w:r>
      <w:r w:rsidR="005A1CAE">
        <w:rPr>
          <w:noProof/>
        </w:rPr>
        <w:t> </w:t>
      </w:r>
      <w:r w:rsidR="005A1CAE" w:rsidRPr="005A1CAE">
        <w:rPr>
          <w:noProof/>
        </w:rPr>
        <w:t>1</w:t>
      </w:r>
      <w:r w:rsidRPr="005A1CAE">
        <w:rPr>
          <w:noProof/>
        </w:rPr>
        <w:t>6 pracowników</w:t>
      </w:r>
      <w:r w:rsidR="005A1CAE" w:rsidRPr="005A1CAE">
        <w:rPr>
          <w:noProof/>
        </w:rPr>
        <w:t xml:space="preserve"> o</w:t>
      </w:r>
      <w:r w:rsidR="005A1CAE">
        <w:rPr>
          <w:noProof/>
        </w:rPr>
        <w:t> </w:t>
      </w:r>
      <w:r w:rsidR="005A1CAE" w:rsidRPr="005A1CAE">
        <w:rPr>
          <w:noProof/>
        </w:rPr>
        <w:t>wys</w:t>
      </w:r>
      <w:r w:rsidRPr="005A1CAE">
        <w:rPr>
          <w:noProof/>
        </w:rPr>
        <w:t>pecjalizowanym profilu informatycznym, a do ich zadań należy: określenie architektury systemu informatycznego CBAM oraz organizacji projektu, planowanie</w:t>
      </w:r>
      <w:r w:rsidR="005A1CAE" w:rsidRPr="005A1CAE">
        <w:rPr>
          <w:noProof/>
        </w:rPr>
        <w:t xml:space="preserve"> i</w:t>
      </w:r>
      <w:r w:rsidR="005A1CAE">
        <w:rPr>
          <w:noProof/>
        </w:rPr>
        <w:t> </w:t>
      </w:r>
      <w:r w:rsidR="005A1CAE" w:rsidRPr="005A1CAE">
        <w:rPr>
          <w:noProof/>
        </w:rPr>
        <w:t>zar</w:t>
      </w:r>
      <w:r w:rsidRPr="005A1CAE">
        <w:rPr>
          <w:noProof/>
        </w:rPr>
        <w:t>ządzanie nimi, opracowywanie, wdrażanie</w:t>
      </w:r>
      <w:r w:rsidR="005A1CAE" w:rsidRPr="005A1CAE">
        <w:rPr>
          <w:noProof/>
        </w:rPr>
        <w:t xml:space="preserve"> i</w:t>
      </w:r>
      <w:r w:rsidR="005A1CAE">
        <w:rPr>
          <w:noProof/>
        </w:rPr>
        <w:t> </w:t>
      </w:r>
      <w:r w:rsidR="005A1CAE" w:rsidRPr="005A1CAE">
        <w:rPr>
          <w:noProof/>
        </w:rPr>
        <w:t>org</w:t>
      </w:r>
      <w:r w:rsidRPr="005A1CAE">
        <w:rPr>
          <w:noProof/>
        </w:rPr>
        <w:t>anizowanie modelu usług, zarządzanie operacjami</w:t>
      </w:r>
      <w:r w:rsidR="005A1CAE" w:rsidRPr="005A1CAE">
        <w:rPr>
          <w:noProof/>
        </w:rPr>
        <w:t xml:space="preserve"> i</w:t>
      </w:r>
      <w:r w:rsidR="005A1CAE">
        <w:rPr>
          <w:noProof/>
        </w:rPr>
        <w:t> </w:t>
      </w:r>
      <w:r w:rsidR="005A1CAE" w:rsidRPr="005A1CAE">
        <w:rPr>
          <w:noProof/>
        </w:rPr>
        <w:t>wsp</w:t>
      </w:r>
      <w:r w:rsidRPr="005A1CAE">
        <w:rPr>
          <w:noProof/>
        </w:rPr>
        <w:t>ieranie służb TRADE i COM, organów ds. klimatu</w:t>
      </w:r>
      <w:r w:rsidR="005A1CAE" w:rsidRPr="005A1CAE">
        <w:rPr>
          <w:noProof/>
        </w:rPr>
        <w:t xml:space="preserve"> i</w:t>
      </w:r>
      <w:r w:rsidR="005A1CAE">
        <w:rPr>
          <w:noProof/>
        </w:rPr>
        <w:t> </w:t>
      </w:r>
      <w:r w:rsidR="005A1CAE" w:rsidRPr="005A1CAE">
        <w:rPr>
          <w:noProof/>
        </w:rPr>
        <w:t>org</w:t>
      </w:r>
      <w:r w:rsidRPr="005A1CAE">
        <w:rPr>
          <w:noProof/>
        </w:rPr>
        <w:t>anów celnych, równolegle</w:t>
      </w:r>
      <w:r w:rsidR="005A1CAE" w:rsidRPr="005A1CAE">
        <w:rPr>
          <w:noProof/>
        </w:rPr>
        <w:t xml:space="preserve"> z</w:t>
      </w:r>
      <w:r w:rsidR="005A1CAE">
        <w:rPr>
          <w:noProof/>
        </w:rPr>
        <w:t> </w:t>
      </w:r>
      <w:r w:rsidR="005A1CAE" w:rsidRPr="005A1CAE">
        <w:rPr>
          <w:noProof/>
        </w:rPr>
        <w:t>prz</w:t>
      </w:r>
      <w:r w:rsidRPr="005A1CAE">
        <w:rPr>
          <w:noProof/>
        </w:rPr>
        <w:t>ejściowym</w:t>
      </w:r>
      <w:r w:rsidR="005A1CAE" w:rsidRPr="005A1CAE">
        <w:rPr>
          <w:noProof/>
        </w:rPr>
        <w:t xml:space="preserve"> i</w:t>
      </w:r>
      <w:r w:rsidR="005A1CAE">
        <w:rPr>
          <w:noProof/>
        </w:rPr>
        <w:t> </w:t>
      </w:r>
      <w:r w:rsidR="005A1CAE" w:rsidRPr="005A1CAE">
        <w:rPr>
          <w:noProof/>
        </w:rPr>
        <w:t>doc</w:t>
      </w:r>
      <w:r w:rsidRPr="005A1CAE">
        <w:rPr>
          <w:noProof/>
        </w:rPr>
        <w:t>elowym systemem informatycznym CBAM.</w:t>
      </w:r>
    </w:p>
    <w:p w14:paraId="3AD9D79B" w14:textId="77777777" w:rsidR="008F38A1" w:rsidRPr="005A1CAE" w:rsidRDefault="008F38A1" w:rsidP="008F38A1">
      <w:pPr>
        <w:pStyle w:val="Text1"/>
        <w:rPr>
          <w:noProof/>
        </w:rPr>
      </w:pPr>
      <w:r w:rsidRPr="005A1CAE">
        <w:rPr>
          <w:i/>
          <w:noProof/>
        </w:rPr>
        <w:t>Proponowany plan rozmieszczenia członków zespołu informatycznego CBAM jest następujący:</w:t>
      </w:r>
    </w:p>
    <w:tbl>
      <w:tblPr>
        <w:tblStyle w:val="Tabela-Siatka"/>
        <w:tblW w:w="0" w:type="auto"/>
        <w:jc w:val="center"/>
        <w:tblLayout w:type="fixed"/>
        <w:tblLook w:val="04A0" w:firstRow="1" w:lastRow="0" w:firstColumn="1" w:lastColumn="0" w:noHBand="0" w:noVBand="1"/>
      </w:tblPr>
      <w:tblGrid>
        <w:gridCol w:w="2632"/>
        <w:gridCol w:w="992"/>
        <w:gridCol w:w="992"/>
        <w:gridCol w:w="993"/>
        <w:gridCol w:w="992"/>
        <w:gridCol w:w="971"/>
      </w:tblGrid>
      <w:tr w:rsidR="00793103" w:rsidRPr="005A1CAE" w14:paraId="16B4F5AD" w14:textId="77777777" w:rsidTr="00793103">
        <w:trPr>
          <w:trHeight w:val="300"/>
          <w:jc w:val="center"/>
        </w:trPr>
        <w:tc>
          <w:tcPr>
            <w:tcW w:w="2632" w:type="dxa"/>
            <w:tcBorders>
              <w:top w:val="single" w:sz="8" w:space="0" w:color="auto"/>
              <w:left w:val="single" w:sz="8" w:space="0" w:color="auto"/>
              <w:bottom w:val="single" w:sz="8" w:space="0" w:color="auto"/>
              <w:right w:val="single" w:sz="8" w:space="0" w:color="auto"/>
            </w:tcBorders>
            <w:tcMar>
              <w:left w:w="108" w:type="dxa"/>
              <w:right w:w="108" w:type="dxa"/>
            </w:tcMar>
          </w:tcPr>
          <w:p w14:paraId="523128B4" w14:textId="77777777" w:rsidR="008F38A1" w:rsidRPr="005A1CAE" w:rsidRDefault="008F38A1">
            <w:pPr>
              <w:rPr>
                <w:noProof/>
              </w:rPr>
            </w:pPr>
            <w:r w:rsidRPr="005A1CAE">
              <w:rPr>
                <w:b/>
                <w:noProof/>
              </w:rPr>
              <w:t>Rok</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F36199" w14:textId="77777777" w:rsidR="008F38A1" w:rsidRPr="005A1CAE" w:rsidRDefault="008F38A1" w:rsidP="00793103">
            <w:pPr>
              <w:jc w:val="center"/>
              <w:rPr>
                <w:noProof/>
              </w:rPr>
            </w:pPr>
            <w:r w:rsidRPr="005A1CAE">
              <w:rPr>
                <w:b/>
                <w:noProof/>
              </w:rPr>
              <w:t>2023</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DF40D1E" w14:textId="77777777" w:rsidR="008F38A1" w:rsidRPr="005A1CAE" w:rsidRDefault="008F38A1" w:rsidP="00793103">
            <w:pPr>
              <w:jc w:val="center"/>
              <w:rPr>
                <w:noProof/>
              </w:rPr>
            </w:pPr>
            <w:r w:rsidRPr="005A1CAE">
              <w:rPr>
                <w:b/>
                <w:noProof/>
              </w:rPr>
              <w:t>2024</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6A7E5E7" w14:textId="77777777" w:rsidR="008F38A1" w:rsidRPr="005A1CAE" w:rsidRDefault="008F38A1" w:rsidP="00793103">
            <w:pPr>
              <w:jc w:val="center"/>
              <w:rPr>
                <w:noProof/>
              </w:rPr>
            </w:pPr>
            <w:r w:rsidRPr="005A1CAE">
              <w:rPr>
                <w:b/>
                <w:noProof/>
              </w:rPr>
              <w:t>2025</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22BBCFD" w14:textId="77777777" w:rsidR="008F38A1" w:rsidRPr="005A1CAE" w:rsidRDefault="008F38A1" w:rsidP="00793103">
            <w:pPr>
              <w:jc w:val="center"/>
              <w:rPr>
                <w:noProof/>
              </w:rPr>
            </w:pPr>
            <w:r w:rsidRPr="005A1CAE">
              <w:rPr>
                <w:b/>
                <w:noProof/>
              </w:rPr>
              <w:t>2026</w:t>
            </w:r>
          </w:p>
        </w:tc>
        <w:tc>
          <w:tcPr>
            <w:tcW w:w="971" w:type="dxa"/>
            <w:tcBorders>
              <w:top w:val="single" w:sz="8" w:space="0" w:color="auto"/>
              <w:left w:val="single" w:sz="8" w:space="0" w:color="auto"/>
              <w:bottom w:val="single" w:sz="8" w:space="0" w:color="auto"/>
              <w:right w:val="single" w:sz="8" w:space="0" w:color="auto"/>
            </w:tcBorders>
            <w:tcMar>
              <w:left w:w="108" w:type="dxa"/>
              <w:right w:w="108" w:type="dxa"/>
            </w:tcMar>
          </w:tcPr>
          <w:p w14:paraId="72FE093A" w14:textId="77777777" w:rsidR="008F38A1" w:rsidRPr="005A1CAE" w:rsidRDefault="008F38A1" w:rsidP="00793103">
            <w:pPr>
              <w:jc w:val="center"/>
              <w:rPr>
                <w:noProof/>
              </w:rPr>
            </w:pPr>
            <w:r w:rsidRPr="005A1CAE">
              <w:rPr>
                <w:b/>
                <w:noProof/>
              </w:rPr>
              <w:t>2027</w:t>
            </w:r>
          </w:p>
        </w:tc>
      </w:tr>
      <w:tr w:rsidR="00793103" w:rsidRPr="005A1CAE" w14:paraId="0DABA420" w14:textId="77777777" w:rsidTr="00793103">
        <w:trPr>
          <w:trHeight w:val="300"/>
          <w:jc w:val="center"/>
        </w:trPr>
        <w:tc>
          <w:tcPr>
            <w:tcW w:w="2632" w:type="dxa"/>
            <w:tcBorders>
              <w:top w:val="single" w:sz="8" w:space="0" w:color="auto"/>
              <w:left w:val="single" w:sz="8" w:space="0" w:color="auto"/>
              <w:bottom w:val="single" w:sz="8" w:space="0" w:color="auto"/>
              <w:right w:val="single" w:sz="8" w:space="0" w:color="auto"/>
            </w:tcBorders>
            <w:tcMar>
              <w:left w:w="108" w:type="dxa"/>
              <w:right w:w="108" w:type="dxa"/>
            </w:tcMar>
          </w:tcPr>
          <w:p w14:paraId="3741AE36" w14:textId="77777777" w:rsidR="008F38A1" w:rsidRPr="005A1CAE" w:rsidRDefault="008F38A1">
            <w:pPr>
              <w:rPr>
                <w:noProof/>
              </w:rPr>
            </w:pPr>
            <w:r w:rsidRPr="005A1CAE">
              <w:rPr>
                <w:b/>
                <w:noProof/>
              </w:rPr>
              <w:t>Liczba pracowników</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DC52894" w14:textId="77777777" w:rsidR="008F38A1" w:rsidRPr="005A1CAE" w:rsidRDefault="008F38A1">
            <w:pPr>
              <w:rPr>
                <w:noProof/>
              </w:rPr>
            </w:pPr>
            <w:r w:rsidRPr="005A1CAE">
              <w:rPr>
                <w:noProof/>
              </w:rPr>
              <w:t>8</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FB2A33C" w14:textId="77777777" w:rsidR="008F38A1" w:rsidRPr="005A1CAE" w:rsidRDefault="008F38A1">
            <w:pPr>
              <w:rPr>
                <w:noProof/>
              </w:rPr>
            </w:pPr>
            <w:r w:rsidRPr="005A1CAE">
              <w:rPr>
                <w:noProof/>
              </w:rPr>
              <w:t>12</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32D1D2C" w14:textId="77777777" w:rsidR="008F38A1" w:rsidRPr="005A1CAE" w:rsidRDefault="008F38A1">
            <w:pPr>
              <w:rPr>
                <w:noProof/>
              </w:rPr>
            </w:pPr>
            <w:r w:rsidRPr="005A1CAE">
              <w:rPr>
                <w:noProof/>
              </w:rPr>
              <w:t>15</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4C4FBCC" w14:textId="77777777" w:rsidR="008F38A1" w:rsidRPr="005A1CAE" w:rsidRDefault="00CB795E">
            <w:pPr>
              <w:rPr>
                <w:noProof/>
              </w:rPr>
            </w:pPr>
            <w:r w:rsidRPr="005A1CAE">
              <w:rPr>
                <w:noProof/>
              </w:rPr>
              <w:t>15</w:t>
            </w:r>
          </w:p>
        </w:tc>
        <w:tc>
          <w:tcPr>
            <w:tcW w:w="971" w:type="dxa"/>
            <w:tcBorders>
              <w:top w:val="single" w:sz="8" w:space="0" w:color="auto"/>
              <w:left w:val="single" w:sz="8" w:space="0" w:color="auto"/>
              <w:bottom w:val="single" w:sz="8" w:space="0" w:color="auto"/>
              <w:right w:val="single" w:sz="8" w:space="0" w:color="auto"/>
            </w:tcBorders>
            <w:tcMar>
              <w:left w:w="108" w:type="dxa"/>
              <w:right w:w="108" w:type="dxa"/>
            </w:tcMar>
          </w:tcPr>
          <w:p w14:paraId="03FCA0A6" w14:textId="77777777" w:rsidR="008F38A1" w:rsidRPr="005A1CAE" w:rsidRDefault="008F38A1">
            <w:pPr>
              <w:rPr>
                <w:noProof/>
              </w:rPr>
            </w:pPr>
            <w:r w:rsidRPr="005A1CAE">
              <w:rPr>
                <w:noProof/>
              </w:rPr>
              <w:t>15</w:t>
            </w:r>
          </w:p>
        </w:tc>
      </w:tr>
      <w:tr w:rsidR="00793103" w:rsidRPr="005A1CAE" w14:paraId="19B477E3" w14:textId="77777777" w:rsidTr="00793103">
        <w:trPr>
          <w:trHeight w:val="300"/>
          <w:jc w:val="center"/>
        </w:trPr>
        <w:tc>
          <w:tcPr>
            <w:tcW w:w="2632" w:type="dxa"/>
            <w:tcBorders>
              <w:top w:val="single" w:sz="8" w:space="0" w:color="auto"/>
              <w:left w:val="single" w:sz="8" w:space="0" w:color="auto"/>
              <w:bottom w:val="single" w:sz="8" w:space="0" w:color="auto"/>
              <w:right w:val="single" w:sz="8" w:space="0" w:color="auto"/>
            </w:tcBorders>
            <w:tcMar>
              <w:left w:w="108" w:type="dxa"/>
              <w:right w:w="108" w:type="dxa"/>
            </w:tcMar>
          </w:tcPr>
          <w:p w14:paraId="0CC40C5C" w14:textId="77777777" w:rsidR="008F38A1" w:rsidRPr="005A1CAE" w:rsidRDefault="008F38A1">
            <w:pPr>
              <w:rPr>
                <w:noProof/>
              </w:rPr>
            </w:pPr>
            <w:r w:rsidRPr="005A1CAE">
              <w:rPr>
                <w:b/>
                <w:noProof/>
              </w:rPr>
              <w:t>AD</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1AE9C1" w14:textId="77777777" w:rsidR="008F38A1" w:rsidRPr="005A1CAE" w:rsidRDefault="008F38A1">
            <w:pPr>
              <w:rPr>
                <w:noProof/>
              </w:rPr>
            </w:pPr>
            <w:r w:rsidRPr="005A1CAE">
              <w:rPr>
                <w:noProof/>
              </w:rPr>
              <w:t>4</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868421" w14:textId="77777777" w:rsidR="008F38A1" w:rsidRPr="005A1CAE" w:rsidRDefault="008F38A1">
            <w:pPr>
              <w:rPr>
                <w:noProof/>
              </w:rPr>
            </w:pPr>
            <w:r w:rsidRPr="005A1CAE">
              <w:rPr>
                <w:noProof/>
              </w:rPr>
              <w:t>5</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287B8DD" w14:textId="77777777" w:rsidR="008F38A1" w:rsidRPr="005A1CAE" w:rsidRDefault="008F38A1">
            <w:pPr>
              <w:rPr>
                <w:noProof/>
              </w:rPr>
            </w:pPr>
            <w:r w:rsidRPr="005A1CAE">
              <w:rPr>
                <w:noProof/>
              </w:rPr>
              <w:t>5</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BCBA5B6" w14:textId="77777777" w:rsidR="008F38A1" w:rsidRPr="005A1CAE" w:rsidRDefault="008F38A1">
            <w:pPr>
              <w:rPr>
                <w:noProof/>
              </w:rPr>
            </w:pPr>
            <w:r w:rsidRPr="005A1CAE">
              <w:rPr>
                <w:noProof/>
              </w:rPr>
              <w:t>5</w:t>
            </w:r>
          </w:p>
        </w:tc>
        <w:tc>
          <w:tcPr>
            <w:tcW w:w="971" w:type="dxa"/>
            <w:tcBorders>
              <w:top w:val="single" w:sz="8" w:space="0" w:color="auto"/>
              <w:left w:val="single" w:sz="8" w:space="0" w:color="auto"/>
              <w:bottom w:val="single" w:sz="8" w:space="0" w:color="auto"/>
              <w:right w:val="single" w:sz="8" w:space="0" w:color="auto"/>
            </w:tcBorders>
            <w:tcMar>
              <w:left w:w="108" w:type="dxa"/>
              <w:right w:w="108" w:type="dxa"/>
            </w:tcMar>
          </w:tcPr>
          <w:p w14:paraId="4EA1367F" w14:textId="77777777" w:rsidR="008F38A1" w:rsidRPr="005A1CAE" w:rsidRDefault="008F38A1">
            <w:pPr>
              <w:rPr>
                <w:noProof/>
              </w:rPr>
            </w:pPr>
            <w:r w:rsidRPr="005A1CAE">
              <w:rPr>
                <w:noProof/>
              </w:rPr>
              <w:t>5</w:t>
            </w:r>
          </w:p>
        </w:tc>
      </w:tr>
      <w:tr w:rsidR="00793103" w:rsidRPr="005A1CAE" w14:paraId="059FDF39" w14:textId="77777777" w:rsidTr="00793103">
        <w:trPr>
          <w:trHeight w:val="300"/>
          <w:jc w:val="center"/>
        </w:trPr>
        <w:tc>
          <w:tcPr>
            <w:tcW w:w="2632" w:type="dxa"/>
            <w:tcBorders>
              <w:top w:val="single" w:sz="8" w:space="0" w:color="auto"/>
              <w:left w:val="single" w:sz="8" w:space="0" w:color="auto"/>
              <w:bottom w:val="single" w:sz="8" w:space="0" w:color="auto"/>
              <w:right w:val="single" w:sz="8" w:space="0" w:color="auto"/>
            </w:tcBorders>
            <w:tcMar>
              <w:left w:w="108" w:type="dxa"/>
              <w:right w:w="108" w:type="dxa"/>
            </w:tcMar>
          </w:tcPr>
          <w:p w14:paraId="3B67F976" w14:textId="77777777" w:rsidR="008F38A1" w:rsidRPr="005A1CAE" w:rsidRDefault="008F38A1">
            <w:pPr>
              <w:rPr>
                <w:noProof/>
              </w:rPr>
            </w:pPr>
            <w:r w:rsidRPr="005A1CAE">
              <w:rPr>
                <w:b/>
                <w:noProof/>
              </w:rPr>
              <w:t>CA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ED9EDF9" w14:textId="77777777" w:rsidR="008F38A1" w:rsidRPr="005A1CAE" w:rsidRDefault="008F38A1">
            <w:pPr>
              <w:rPr>
                <w:noProof/>
              </w:rPr>
            </w:pPr>
            <w:r w:rsidRPr="005A1CAE">
              <w:rPr>
                <w:noProof/>
              </w:rPr>
              <w:t>4</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98B3596" w14:textId="77777777" w:rsidR="008F38A1" w:rsidRPr="005A1CAE" w:rsidRDefault="008F38A1">
            <w:pPr>
              <w:rPr>
                <w:noProof/>
              </w:rPr>
            </w:pPr>
            <w:r w:rsidRPr="005A1CAE">
              <w:rPr>
                <w:noProof/>
              </w:rPr>
              <w:t>7</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C9383F2" w14:textId="77777777" w:rsidR="008F38A1" w:rsidRPr="005A1CAE" w:rsidRDefault="008F38A1">
            <w:pPr>
              <w:rPr>
                <w:noProof/>
              </w:rPr>
            </w:pPr>
            <w:r w:rsidRPr="005A1CAE">
              <w:rPr>
                <w:noProof/>
              </w:rPr>
              <w:t>10</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239CD8E" w14:textId="77777777" w:rsidR="008F38A1" w:rsidRPr="005A1CAE" w:rsidRDefault="00CB795E">
            <w:pPr>
              <w:rPr>
                <w:noProof/>
              </w:rPr>
            </w:pPr>
            <w:r w:rsidRPr="005A1CAE">
              <w:rPr>
                <w:noProof/>
              </w:rPr>
              <w:t>10</w:t>
            </w:r>
          </w:p>
        </w:tc>
        <w:tc>
          <w:tcPr>
            <w:tcW w:w="971" w:type="dxa"/>
            <w:tcBorders>
              <w:top w:val="single" w:sz="8" w:space="0" w:color="auto"/>
              <w:left w:val="single" w:sz="8" w:space="0" w:color="auto"/>
              <w:bottom w:val="single" w:sz="8" w:space="0" w:color="auto"/>
              <w:right w:val="single" w:sz="8" w:space="0" w:color="auto"/>
            </w:tcBorders>
            <w:tcMar>
              <w:left w:w="108" w:type="dxa"/>
              <w:right w:w="108" w:type="dxa"/>
            </w:tcMar>
          </w:tcPr>
          <w:p w14:paraId="1E8F96FB" w14:textId="77777777" w:rsidR="008F38A1" w:rsidRPr="005A1CAE" w:rsidRDefault="00CB795E">
            <w:pPr>
              <w:rPr>
                <w:noProof/>
              </w:rPr>
            </w:pPr>
            <w:r w:rsidRPr="005A1CAE">
              <w:rPr>
                <w:noProof/>
              </w:rPr>
              <w:t>10</w:t>
            </w:r>
          </w:p>
        </w:tc>
      </w:tr>
    </w:tbl>
    <w:p w14:paraId="61433E7C" w14:textId="51AF0847" w:rsidR="008F38A1" w:rsidRPr="005A1CAE" w:rsidRDefault="008F38A1" w:rsidP="00793103">
      <w:pPr>
        <w:pStyle w:val="Text1"/>
        <w:rPr>
          <w:noProof/>
        </w:rPr>
      </w:pPr>
      <w:r w:rsidRPr="005A1CAE">
        <w:rPr>
          <w:noProof/>
        </w:rPr>
        <w:t>W zależności od potrzeb</w:t>
      </w:r>
      <w:r w:rsidR="005A1CAE" w:rsidRPr="005A1CAE">
        <w:rPr>
          <w:noProof/>
        </w:rPr>
        <w:t xml:space="preserve"> z</w:t>
      </w:r>
      <w:r w:rsidR="005A1CAE">
        <w:rPr>
          <w:noProof/>
        </w:rPr>
        <w:t> </w:t>
      </w:r>
      <w:r w:rsidR="005A1CAE" w:rsidRPr="005A1CAE">
        <w:rPr>
          <w:noProof/>
        </w:rPr>
        <w:t>bud</w:t>
      </w:r>
      <w:r w:rsidRPr="005A1CAE">
        <w:rPr>
          <w:noProof/>
        </w:rPr>
        <w:t>żetu CBAM na technologie informatyczne zostanie zatrudniony dodatkowy personel zewnętrzny (PXE).</w:t>
      </w:r>
    </w:p>
    <w:p w14:paraId="6BC0FE66" w14:textId="1943997A" w:rsidR="00D0690F" w:rsidRPr="005A1CAE" w:rsidRDefault="00D0690F" w:rsidP="009F612D">
      <w:pPr>
        <w:pStyle w:val="ManualHeading3"/>
        <w:rPr>
          <w:bCs/>
          <w:noProof/>
          <w:szCs w:val="24"/>
        </w:rPr>
      </w:pPr>
      <w:r w:rsidRPr="005A1CAE">
        <w:rPr>
          <w:noProof/>
        </w:rPr>
        <w:t>1.5.2.</w:t>
      </w:r>
      <w:r w:rsidRPr="005A1CAE">
        <w:rPr>
          <w:noProof/>
        </w:rPr>
        <w:tab/>
        <w:t>Wartość dodana</w:t>
      </w:r>
      <w:r w:rsidR="005A1CAE" w:rsidRPr="005A1CAE">
        <w:rPr>
          <w:noProof/>
        </w:rPr>
        <w:t xml:space="preserve"> z</w:t>
      </w:r>
      <w:r w:rsidR="005A1CAE">
        <w:rPr>
          <w:noProof/>
        </w:rPr>
        <w:t> </w:t>
      </w:r>
      <w:r w:rsidR="005A1CAE" w:rsidRPr="005A1CAE">
        <w:rPr>
          <w:noProof/>
        </w:rPr>
        <w:t>tyt</w:t>
      </w:r>
      <w:r w:rsidRPr="005A1CAE">
        <w:rPr>
          <w:noProof/>
        </w:rPr>
        <w:t>ułu zaangażowania Unii Europejskiej (może wynikać</w:t>
      </w:r>
      <w:r w:rsidR="005A1CAE" w:rsidRPr="005A1CAE">
        <w:rPr>
          <w:noProof/>
        </w:rPr>
        <w:t xml:space="preserve"> z</w:t>
      </w:r>
      <w:r w:rsidR="005A1CAE">
        <w:rPr>
          <w:noProof/>
        </w:rPr>
        <w:t> </w:t>
      </w:r>
      <w:r w:rsidR="005A1CAE" w:rsidRPr="005A1CAE">
        <w:rPr>
          <w:noProof/>
        </w:rPr>
        <w:t>róż</w:t>
      </w:r>
      <w:r w:rsidRPr="005A1CAE">
        <w:rPr>
          <w:noProof/>
        </w:rPr>
        <w:t>nych czynników, na przykład korzyści koordynacyjnych, pewności prawa, większej efektywności lub komplementarności). Na potrzeby tej sekcji „wartość dodaną</w:t>
      </w:r>
      <w:r w:rsidR="005A1CAE" w:rsidRPr="005A1CAE">
        <w:rPr>
          <w:noProof/>
        </w:rPr>
        <w:t xml:space="preserve"> z</w:t>
      </w:r>
      <w:r w:rsidR="005A1CAE">
        <w:rPr>
          <w:noProof/>
        </w:rPr>
        <w:t> </w:t>
      </w:r>
      <w:r w:rsidR="005A1CAE" w:rsidRPr="005A1CAE">
        <w:rPr>
          <w:noProof/>
        </w:rPr>
        <w:t>tyt</w:t>
      </w:r>
      <w:r w:rsidRPr="005A1CAE">
        <w:rPr>
          <w:noProof/>
        </w:rPr>
        <w:t>ułu zaangażowania Unii Europejskiej” należy rozumieć jako wartość wynikającą</w:t>
      </w:r>
      <w:r w:rsidR="005A1CAE" w:rsidRPr="005A1CAE">
        <w:rPr>
          <w:noProof/>
        </w:rPr>
        <w:t xml:space="preserve"> z</w:t>
      </w:r>
      <w:r w:rsidR="005A1CAE">
        <w:rPr>
          <w:noProof/>
        </w:rPr>
        <w:t> </w:t>
      </w:r>
      <w:r w:rsidR="005A1CAE" w:rsidRPr="005A1CAE">
        <w:rPr>
          <w:noProof/>
        </w:rPr>
        <w:t>uni</w:t>
      </w:r>
      <w:r w:rsidRPr="005A1CAE">
        <w:rPr>
          <w:noProof/>
        </w:rPr>
        <w:t>jnej interwencji, wykraczającą poza wartość, która zostałaby wytworzona przez same państwa członkowskie.</w:t>
      </w:r>
      <w:bookmarkEnd w:id="56"/>
      <w:bookmarkEnd w:id="57"/>
      <w:bookmarkEnd w:id="58"/>
      <w:bookmarkEnd w:id="59"/>
      <w:bookmarkEnd w:id="60"/>
    </w:p>
    <w:p w14:paraId="65EC89B6" w14:textId="1C6F7FE4"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noProof/>
        </w:rPr>
      </w:pPr>
      <w:r w:rsidRPr="005A1CAE">
        <w:rPr>
          <w:noProof/>
        </w:rPr>
        <w:t>Przyczyny działania na poziomie UE (</w:t>
      </w:r>
      <w:r w:rsidRPr="005A1CAE">
        <w:rPr>
          <w:i/>
          <w:noProof/>
        </w:rPr>
        <w:t>ex ante</w:t>
      </w:r>
      <w:r w:rsidRPr="005A1CAE">
        <w:rPr>
          <w:noProof/>
        </w:rPr>
        <w:t>): Redukcja emisji gazów cieplarnianych jest zasadniczo kwestią transgraniczną, wymagającą skutecznych działań na możliwie największą skalę. UE jako organizacja ponadnarodowa jest właściwym podmiotem do ustanowienia skutecznej polityki klimatycznej w UE, tak jak to uczyniła</w:t>
      </w:r>
      <w:r w:rsidR="005A1CAE" w:rsidRPr="005A1CAE">
        <w:rPr>
          <w:noProof/>
        </w:rPr>
        <w:t xml:space="preserve"> w</w:t>
      </w:r>
      <w:r w:rsidR="005A1CAE">
        <w:rPr>
          <w:noProof/>
        </w:rPr>
        <w:t> </w:t>
      </w:r>
      <w:r w:rsidR="005A1CAE" w:rsidRPr="005A1CAE">
        <w:rPr>
          <w:noProof/>
        </w:rPr>
        <w:t>prz</w:t>
      </w:r>
      <w:r w:rsidRPr="005A1CAE">
        <w:rPr>
          <w:noProof/>
        </w:rPr>
        <w:t xml:space="preserve">ypadku systemu EU ETS. </w:t>
      </w:r>
    </w:p>
    <w:p w14:paraId="3E6BF24B" w14:textId="532E0DB5"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noProof/>
        </w:rPr>
      </w:pPr>
      <w:r w:rsidRPr="005A1CAE">
        <w:rPr>
          <w:noProof/>
        </w:rPr>
        <w:t>Na poziomie UE istnieje już zharmonizowana opłata za emisję gazów cieplarnianych. Składa się na nią opłata wynikająca z EU ETS dla sektorów objętych systemem. Jedynym sensownym sposobem zapewnienia równoważności polityki</w:t>
      </w:r>
      <w:r w:rsidR="005A1CAE" w:rsidRPr="005A1CAE">
        <w:rPr>
          <w:noProof/>
        </w:rPr>
        <w:t xml:space="preserve"> w</w:t>
      </w:r>
      <w:r w:rsidR="005A1CAE">
        <w:rPr>
          <w:noProof/>
        </w:rPr>
        <w:t> </w:t>
      </w:r>
      <w:r w:rsidR="005A1CAE" w:rsidRPr="005A1CAE">
        <w:rPr>
          <w:noProof/>
        </w:rPr>
        <w:t>zak</w:t>
      </w:r>
      <w:r w:rsidRPr="005A1CAE">
        <w:rPr>
          <w:noProof/>
        </w:rPr>
        <w:t>resie ustalania opłat za emisję gazów cieplarnianych stosowanej na unijnym rynku wewnętrznym</w:t>
      </w:r>
      <w:r w:rsidR="005A1CAE" w:rsidRPr="005A1CAE">
        <w:rPr>
          <w:noProof/>
        </w:rPr>
        <w:t xml:space="preserve"> i</w:t>
      </w:r>
      <w:r w:rsidR="005A1CAE">
        <w:rPr>
          <w:noProof/>
        </w:rPr>
        <w:t> </w:t>
      </w:r>
      <w:r w:rsidR="005A1CAE" w:rsidRPr="005A1CAE">
        <w:rPr>
          <w:noProof/>
        </w:rPr>
        <w:t>maj</w:t>
      </w:r>
      <w:r w:rsidRPr="005A1CAE">
        <w:rPr>
          <w:noProof/>
        </w:rPr>
        <w:t>ącej zastosowanie do przywozu jest podjęcie działań na szczeblu Unii.</w:t>
      </w:r>
    </w:p>
    <w:p w14:paraId="4E3B05A8" w14:textId="5A2189A8"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Wszelkie inicjatywy powinny być realizowane</w:t>
      </w:r>
      <w:r w:rsidR="005A1CAE" w:rsidRPr="005A1CAE">
        <w:rPr>
          <w:noProof/>
        </w:rPr>
        <w:t xml:space="preserve"> w</w:t>
      </w:r>
      <w:r w:rsidR="005A1CAE">
        <w:rPr>
          <w:noProof/>
        </w:rPr>
        <w:t> </w:t>
      </w:r>
      <w:r w:rsidR="005A1CAE" w:rsidRPr="005A1CAE">
        <w:rPr>
          <w:noProof/>
        </w:rPr>
        <w:t>spo</w:t>
      </w:r>
      <w:r w:rsidRPr="005A1CAE">
        <w:rPr>
          <w:noProof/>
        </w:rPr>
        <w:t>sób zapewniający importerom, niezależnie od państwa pochodzenia</w:t>
      </w:r>
      <w:r w:rsidR="005A1CAE" w:rsidRPr="005A1CAE">
        <w:rPr>
          <w:noProof/>
        </w:rPr>
        <w:t xml:space="preserve"> i</w:t>
      </w:r>
      <w:r w:rsidR="005A1CAE">
        <w:rPr>
          <w:noProof/>
        </w:rPr>
        <w:t> </w:t>
      </w:r>
      <w:r w:rsidR="005A1CAE" w:rsidRPr="005A1CAE">
        <w:rPr>
          <w:noProof/>
        </w:rPr>
        <w:t>por</w:t>
      </w:r>
      <w:r w:rsidRPr="005A1CAE">
        <w:rPr>
          <w:noProof/>
        </w:rPr>
        <w:t xml:space="preserve">tu wprowadzenia lub przeznaczenia na </w:t>
      </w:r>
      <w:r w:rsidRPr="005A1CAE">
        <w:rPr>
          <w:noProof/>
        </w:rPr>
        <w:lastRenderedPageBreak/>
        <w:t>terytorium UE, jednolite warunki</w:t>
      </w:r>
      <w:r w:rsidR="005A1CAE" w:rsidRPr="005A1CAE">
        <w:rPr>
          <w:noProof/>
        </w:rPr>
        <w:t xml:space="preserve"> i</w:t>
      </w:r>
      <w:r w:rsidR="005A1CAE">
        <w:rPr>
          <w:noProof/>
        </w:rPr>
        <w:t> </w:t>
      </w:r>
      <w:r w:rsidR="005A1CAE" w:rsidRPr="005A1CAE">
        <w:rPr>
          <w:noProof/>
        </w:rPr>
        <w:t>zac</w:t>
      </w:r>
      <w:r w:rsidRPr="005A1CAE">
        <w:rPr>
          <w:noProof/>
        </w:rPr>
        <w:t>hęty do redukcji emisji gazów cieplarnianych, które są równoważne</w:t>
      </w:r>
      <w:r w:rsidR="005A1CAE" w:rsidRPr="005A1CAE">
        <w:rPr>
          <w:noProof/>
        </w:rPr>
        <w:t xml:space="preserve"> z</w:t>
      </w:r>
      <w:r w:rsidR="005A1CAE">
        <w:rPr>
          <w:noProof/>
        </w:rPr>
        <w:t> </w:t>
      </w:r>
      <w:r w:rsidR="005A1CAE" w:rsidRPr="005A1CAE">
        <w:rPr>
          <w:noProof/>
        </w:rPr>
        <w:t>war</w:t>
      </w:r>
      <w:r w:rsidRPr="005A1CAE">
        <w:rPr>
          <w:noProof/>
        </w:rPr>
        <w:t>unkami</w:t>
      </w:r>
      <w:r w:rsidR="005A1CAE" w:rsidRPr="005A1CAE">
        <w:rPr>
          <w:noProof/>
        </w:rPr>
        <w:t xml:space="preserve"> i</w:t>
      </w:r>
      <w:r w:rsidR="005A1CAE">
        <w:rPr>
          <w:noProof/>
        </w:rPr>
        <w:t> </w:t>
      </w:r>
      <w:r w:rsidR="005A1CAE" w:rsidRPr="005A1CAE">
        <w:rPr>
          <w:noProof/>
        </w:rPr>
        <w:t>zac</w:t>
      </w:r>
      <w:r w:rsidRPr="005A1CAE">
        <w:rPr>
          <w:noProof/>
        </w:rPr>
        <w:t>hętami stosowanymi</w:t>
      </w:r>
      <w:r w:rsidR="005A1CAE" w:rsidRPr="005A1CAE">
        <w:rPr>
          <w:noProof/>
        </w:rPr>
        <w:t xml:space="preserve"> w</w:t>
      </w:r>
      <w:r w:rsidR="005A1CAE">
        <w:rPr>
          <w:noProof/>
        </w:rPr>
        <w:t> </w:t>
      </w:r>
      <w:r w:rsidR="005A1CAE" w:rsidRPr="005A1CAE">
        <w:rPr>
          <w:noProof/>
        </w:rPr>
        <w:t>odn</w:t>
      </w:r>
      <w:r w:rsidRPr="005A1CAE">
        <w:rPr>
          <w:noProof/>
        </w:rPr>
        <w:t>iesieniu do producentów wewnątrzunijnych. Jedynym skutecznym sposobem na osiągnięcie tego celu jest podjęcie działań na szczeblu UE.</w:t>
      </w:r>
    </w:p>
    <w:p w14:paraId="4954D2C6" w14:textId="316904D6"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Proponowane uproszczenie wprowadzone rozporządzeniem zmieniającym najlepiej przeprowadzić na szczeblu UE, aby zapewnić pewność</w:t>
      </w:r>
      <w:r w:rsidR="005A1CAE" w:rsidRPr="005A1CAE">
        <w:rPr>
          <w:noProof/>
        </w:rPr>
        <w:t xml:space="preserve"> i</w:t>
      </w:r>
      <w:r w:rsidR="005A1CAE">
        <w:rPr>
          <w:noProof/>
        </w:rPr>
        <w:t> </w:t>
      </w:r>
      <w:r w:rsidR="005A1CAE" w:rsidRPr="005A1CAE">
        <w:rPr>
          <w:noProof/>
        </w:rPr>
        <w:t>spó</w:t>
      </w:r>
      <w:r w:rsidRPr="005A1CAE">
        <w:rPr>
          <w:noProof/>
        </w:rPr>
        <w:t>jność prawa. Zapewni to równe warunki działania unijnych przedsiębiorstw</w:t>
      </w:r>
      <w:r w:rsidR="005A1CAE" w:rsidRPr="005A1CAE">
        <w:rPr>
          <w:noProof/>
        </w:rPr>
        <w:t xml:space="preserve"> i</w:t>
      </w:r>
      <w:r w:rsidR="005A1CAE">
        <w:rPr>
          <w:noProof/>
        </w:rPr>
        <w:t> </w:t>
      </w:r>
      <w:r w:rsidR="005A1CAE" w:rsidRPr="005A1CAE">
        <w:rPr>
          <w:noProof/>
        </w:rPr>
        <w:t>org</w:t>
      </w:r>
      <w:r w:rsidRPr="005A1CAE">
        <w:rPr>
          <w:noProof/>
        </w:rPr>
        <w:t>anów, które skorzystają</w:t>
      </w:r>
      <w:r w:rsidR="005A1CAE" w:rsidRPr="005A1CAE">
        <w:rPr>
          <w:noProof/>
        </w:rPr>
        <w:t xml:space="preserve"> z</w:t>
      </w:r>
      <w:r w:rsidR="005A1CAE">
        <w:rPr>
          <w:noProof/>
        </w:rPr>
        <w:t> </w:t>
      </w:r>
      <w:r w:rsidR="005A1CAE" w:rsidRPr="005A1CAE">
        <w:rPr>
          <w:noProof/>
        </w:rPr>
        <w:t>rac</w:t>
      </w:r>
      <w:r w:rsidRPr="005A1CAE">
        <w:rPr>
          <w:noProof/>
        </w:rPr>
        <w:t>jonalizacji wymogów sprawozdawczych wynikającej</w:t>
      </w:r>
      <w:r w:rsidR="005A1CAE" w:rsidRPr="005A1CAE">
        <w:rPr>
          <w:noProof/>
        </w:rPr>
        <w:t xml:space="preserve"> z</w:t>
      </w:r>
      <w:r w:rsidR="005A1CAE">
        <w:rPr>
          <w:noProof/>
        </w:rPr>
        <w:t> </w:t>
      </w:r>
      <w:r w:rsidR="005A1CAE" w:rsidRPr="005A1CAE">
        <w:rPr>
          <w:noProof/>
        </w:rPr>
        <w:t>nin</w:t>
      </w:r>
      <w:r w:rsidRPr="005A1CAE">
        <w:rPr>
          <w:noProof/>
        </w:rPr>
        <w:t>iejszego wniosku.</w:t>
      </w:r>
    </w:p>
    <w:p w14:paraId="5626E07A" w14:textId="6DC81456"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b/>
          <w:noProof/>
        </w:rPr>
        <w:t>Oczekiwana wygenerowana unijna wartość dodana (</w:t>
      </w:r>
      <w:r w:rsidRPr="005A1CAE">
        <w:rPr>
          <w:b/>
          <w:i/>
          <w:noProof/>
        </w:rPr>
        <w:t>ex post</w:t>
      </w:r>
      <w:r w:rsidRPr="005A1CAE">
        <w:rPr>
          <w:b/>
          <w:noProof/>
        </w:rPr>
        <w:t>)</w:t>
      </w:r>
      <w:r w:rsidRPr="005A1CAE">
        <w:rPr>
          <w:noProof/>
        </w:rPr>
        <w:t>: Równolegle do EU ETS na szczeblu UE mogą zostać ustanowione</w:t>
      </w:r>
      <w:r w:rsidR="005A1CAE" w:rsidRPr="005A1CAE">
        <w:rPr>
          <w:noProof/>
        </w:rPr>
        <w:t xml:space="preserve"> w</w:t>
      </w:r>
      <w:r w:rsidR="005A1CAE">
        <w:rPr>
          <w:noProof/>
        </w:rPr>
        <w:t> </w:t>
      </w:r>
      <w:r w:rsidR="005A1CAE" w:rsidRPr="005A1CAE">
        <w:rPr>
          <w:noProof/>
        </w:rPr>
        <w:t>naj</w:t>
      </w:r>
      <w:r w:rsidRPr="005A1CAE">
        <w:rPr>
          <w:noProof/>
        </w:rPr>
        <w:t xml:space="preserve">bardziej odpowiedni sposób redukcja emisji gazów cieplarnianych oraz ochrona przed ryzykiem ucieczki emisji na jednolitym rynku UE. Ponadto potrzebę minimalnych kosztów administracyjnych można najlepiej zaspokoić dzięki ustanowieniu spójnych przepisów dla całego jednolitego rynku, co tym bardziej podkreśla wartość dodaną interwencji na szczeblu UE. </w:t>
      </w:r>
    </w:p>
    <w:p w14:paraId="2C7E8D66" w14:textId="24EC985F"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Konsultacje publiczne potwierdziły wartość dodaną podejmowania działań dotyczących CBAM na szczeblu UE</w:t>
      </w:r>
      <w:r w:rsidR="005A1CAE" w:rsidRPr="005A1CAE">
        <w:rPr>
          <w:noProof/>
        </w:rPr>
        <w:t>. W</w:t>
      </w:r>
      <w:r w:rsidR="005A1CAE">
        <w:rPr>
          <w:noProof/>
        </w:rPr>
        <w:t> </w:t>
      </w:r>
      <w:r w:rsidR="005A1CAE" w:rsidRPr="005A1CAE">
        <w:rPr>
          <w:noProof/>
        </w:rPr>
        <w:t>szc</w:t>
      </w:r>
      <w:r w:rsidRPr="005A1CAE">
        <w:rPr>
          <w:noProof/>
        </w:rPr>
        <w:t>zególności zainteresowane podmioty są zgodne, że unijny CBAM jest konieczny ze względu na istniejące różnice między ambicjami UE</w:t>
      </w:r>
      <w:r w:rsidR="005A1CAE" w:rsidRPr="005A1CAE">
        <w:rPr>
          <w:noProof/>
        </w:rPr>
        <w:t xml:space="preserve"> a</w:t>
      </w:r>
      <w:r w:rsidR="005A1CAE">
        <w:rPr>
          <w:noProof/>
        </w:rPr>
        <w:t> </w:t>
      </w:r>
      <w:r w:rsidR="005A1CAE" w:rsidRPr="005A1CAE">
        <w:rPr>
          <w:noProof/>
        </w:rPr>
        <w:t>amb</w:t>
      </w:r>
      <w:r w:rsidRPr="005A1CAE">
        <w:rPr>
          <w:noProof/>
        </w:rPr>
        <w:t>icjami pozostałych państw świata,</w:t>
      </w:r>
      <w:r w:rsidR="005A1CAE" w:rsidRPr="005A1CAE">
        <w:rPr>
          <w:noProof/>
        </w:rPr>
        <w:t xml:space="preserve"> a</w:t>
      </w:r>
      <w:r w:rsidR="005A1CAE">
        <w:rPr>
          <w:noProof/>
        </w:rPr>
        <w:t> </w:t>
      </w:r>
      <w:r w:rsidR="005A1CAE" w:rsidRPr="005A1CAE">
        <w:rPr>
          <w:noProof/>
        </w:rPr>
        <w:t>tak</w:t>
      </w:r>
      <w:r w:rsidRPr="005A1CAE">
        <w:rPr>
          <w:noProof/>
        </w:rPr>
        <w:t>że aby wspierać globalne starania na rzecz klimatu. Ponadto</w:t>
      </w:r>
      <w:r w:rsidR="005A1CAE" w:rsidRPr="005A1CAE">
        <w:rPr>
          <w:noProof/>
        </w:rPr>
        <w:t xml:space="preserve"> z</w:t>
      </w:r>
      <w:r w:rsidR="005A1CAE">
        <w:rPr>
          <w:noProof/>
        </w:rPr>
        <w:t> </w:t>
      </w:r>
      <w:r w:rsidR="005A1CAE" w:rsidRPr="005A1CAE">
        <w:rPr>
          <w:noProof/>
        </w:rPr>
        <w:t>uwa</w:t>
      </w:r>
      <w:r w:rsidRPr="005A1CAE">
        <w:rPr>
          <w:noProof/>
        </w:rPr>
        <w:t>gi na pozycję UE</w:t>
      </w:r>
      <w:r w:rsidR="005A1CAE" w:rsidRPr="005A1CAE">
        <w:rPr>
          <w:noProof/>
        </w:rPr>
        <w:t xml:space="preserve"> w</w:t>
      </w:r>
      <w:r w:rsidR="005A1CAE">
        <w:rPr>
          <w:noProof/>
        </w:rPr>
        <w:t> </w:t>
      </w:r>
      <w:r w:rsidR="005A1CAE" w:rsidRPr="005A1CAE">
        <w:rPr>
          <w:noProof/>
        </w:rPr>
        <w:t>han</w:t>
      </w:r>
      <w:r w:rsidRPr="005A1CAE">
        <w:rPr>
          <w:noProof/>
        </w:rPr>
        <w:t>dlu międzynarodowym, jeśli wprowadzi ona CBAM, wpływ na środowisko</w:t>
      </w:r>
      <w:r w:rsidR="005A1CAE" w:rsidRPr="005A1CAE">
        <w:rPr>
          <w:noProof/>
        </w:rPr>
        <w:t xml:space="preserve"> w</w:t>
      </w:r>
      <w:r w:rsidR="005A1CAE">
        <w:rPr>
          <w:noProof/>
        </w:rPr>
        <w:t> </w:t>
      </w:r>
      <w:r w:rsidR="005A1CAE" w:rsidRPr="005A1CAE">
        <w:rPr>
          <w:noProof/>
        </w:rPr>
        <w:t>kon</w:t>
      </w:r>
      <w:r w:rsidRPr="005A1CAE">
        <w:rPr>
          <w:noProof/>
        </w:rPr>
        <w:t>tekście międzynarodowych ambitnych celów klimatycznych będzie najbardziej skuteczny jako potencjalny przykład do naśladowania.</w:t>
      </w:r>
    </w:p>
    <w:p w14:paraId="0E035D2C" w14:textId="77777777"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Cel redukcji emisji oraz osiągnięcia neutralności klimatycznej wymaga zatem – przy braku równie ambitnej polityki globalnej – działań ze strony Unii Europejskiej.</w:t>
      </w:r>
    </w:p>
    <w:p w14:paraId="321A0FAA" w14:textId="25882971" w:rsidR="00D0690F" w:rsidRPr="005A1CAE" w:rsidRDefault="00D0690F" w:rsidP="009F612D">
      <w:pPr>
        <w:pStyle w:val="ManualHeading3"/>
        <w:rPr>
          <w:noProof/>
        </w:rPr>
      </w:pPr>
      <w:bookmarkStart w:id="61" w:name="_Toc514938030"/>
      <w:bookmarkStart w:id="62" w:name="_Toc520485037"/>
      <w:bookmarkStart w:id="63" w:name="_Toc160804579"/>
      <w:bookmarkStart w:id="64" w:name="_Toc167220271"/>
      <w:bookmarkStart w:id="65" w:name="_Toc177549004"/>
      <w:r w:rsidRPr="005A1CAE">
        <w:rPr>
          <w:noProof/>
        </w:rPr>
        <w:t>1.5.3.</w:t>
      </w:r>
      <w:r w:rsidRPr="005A1CAE">
        <w:rPr>
          <w:noProof/>
        </w:rPr>
        <w:tab/>
        <w:t>Główne wnioski wyciągnięte</w:t>
      </w:r>
      <w:r w:rsidR="005A1CAE" w:rsidRPr="005A1CAE">
        <w:rPr>
          <w:noProof/>
        </w:rPr>
        <w:t xml:space="preserve"> z</w:t>
      </w:r>
      <w:r w:rsidR="005A1CAE">
        <w:rPr>
          <w:noProof/>
        </w:rPr>
        <w:t> </w:t>
      </w:r>
      <w:r w:rsidR="005A1CAE" w:rsidRPr="005A1CAE">
        <w:rPr>
          <w:noProof/>
        </w:rPr>
        <w:t>pod</w:t>
      </w:r>
      <w:r w:rsidRPr="005A1CAE">
        <w:rPr>
          <w:noProof/>
        </w:rPr>
        <w:t>obnych działań</w:t>
      </w:r>
      <w:bookmarkEnd w:id="61"/>
      <w:bookmarkEnd w:id="62"/>
      <w:bookmarkEnd w:id="63"/>
      <w:bookmarkEnd w:id="64"/>
      <w:bookmarkEnd w:id="65"/>
    </w:p>
    <w:p w14:paraId="2CD7CCD1" w14:textId="16189052"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bookmarkStart w:id="66" w:name="_Toc514938033"/>
      <w:bookmarkStart w:id="67" w:name="_Toc520485038"/>
      <w:bookmarkStart w:id="68" w:name="_Toc160804580"/>
      <w:bookmarkStart w:id="69" w:name="_Toc167220272"/>
      <w:bookmarkStart w:id="70" w:name="_Toc177549005"/>
      <w:r w:rsidRPr="005A1CAE">
        <w:rPr>
          <w:noProof/>
        </w:rPr>
        <w:t>Wniosek zmieniający oparto na doświadczeniach zdobytych podczas wdrażania CBAM, którego przejściowy okres obowiązywania rozpoczął się</w:t>
      </w:r>
      <w:r w:rsidR="005A1CAE" w:rsidRPr="005A1CAE">
        <w:rPr>
          <w:noProof/>
        </w:rPr>
        <w:t> </w:t>
      </w:r>
      <w:r w:rsidRPr="005A1CAE">
        <w:rPr>
          <w:noProof/>
        </w:rPr>
        <w:t>1 października 2023</w:t>
      </w:r>
      <w:r w:rsidR="005A1CAE" w:rsidRPr="005A1CAE">
        <w:rPr>
          <w:noProof/>
        </w:rPr>
        <w:t> </w:t>
      </w:r>
      <w:r w:rsidRPr="005A1CAE">
        <w:rPr>
          <w:noProof/>
        </w:rPr>
        <w:t>r.</w:t>
      </w:r>
    </w:p>
    <w:p w14:paraId="6DD94284" w14:textId="22210E9C" w:rsidR="00D0690F" w:rsidRPr="005A1CAE" w:rsidRDefault="00D0690F" w:rsidP="009F612D">
      <w:pPr>
        <w:pStyle w:val="ManualHeading3"/>
        <w:rPr>
          <w:noProof/>
        </w:rPr>
      </w:pPr>
      <w:r w:rsidRPr="005A1CAE">
        <w:rPr>
          <w:noProof/>
        </w:rPr>
        <w:t>1.5.4.</w:t>
      </w:r>
      <w:r w:rsidRPr="005A1CAE">
        <w:rPr>
          <w:noProof/>
        </w:rPr>
        <w:tab/>
        <w:t>Spójność</w:t>
      </w:r>
      <w:r w:rsidR="005A1CAE" w:rsidRPr="005A1CAE">
        <w:rPr>
          <w:noProof/>
        </w:rPr>
        <w:t xml:space="preserve"> z</w:t>
      </w:r>
      <w:r w:rsidR="005A1CAE">
        <w:rPr>
          <w:noProof/>
        </w:rPr>
        <w:t> </w:t>
      </w:r>
      <w:r w:rsidR="005A1CAE" w:rsidRPr="005A1CAE">
        <w:rPr>
          <w:noProof/>
        </w:rPr>
        <w:t>wie</w:t>
      </w:r>
      <w:r w:rsidRPr="005A1CAE">
        <w:rPr>
          <w:noProof/>
        </w:rPr>
        <w:t>loletnimi ramami finansowymi oraz możliwa synergia</w:t>
      </w:r>
      <w:r w:rsidR="005A1CAE" w:rsidRPr="005A1CAE">
        <w:rPr>
          <w:noProof/>
        </w:rPr>
        <w:t xml:space="preserve"> z</w:t>
      </w:r>
      <w:r w:rsidR="005A1CAE">
        <w:rPr>
          <w:noProof/>
        </w:rPr>
        <w:t> </w:t>
      </w:r>
      <w:r w:rsidR="005A1CAE" w:rsidRPr="005A1CAE">
        <w:rPr>
          <w:noProof/>
        </w:rPr>
        <w:t>inn</w:t>
      </w:r>
      <w:r w:rsidRPr="005A1CAE">
        <w:rPr>
          <w:noProof/>
        </w:rPr>
        <w:t>ymi właściwymi instrumentami</w:t>
      </w:r>
      <w:bookmarkEnd w:id="66"/>
      <w:bookmarkEnd w:id="67"/>
      <w:bookmarkEnd w:id="68"/>
      <w:bookmarkEnd w:id="69"/>
      <w:bookmarkEnd w:id="70"/>
    </w:p>
    <w:p w14:paraId="42D9C4EE" w14:textId="7D081CB9"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rPr>
      </w:pPr>
      <w:bookmarkStart w:id="71" w:name="_Toc514938036"/>
      <w:bookmarkStart w:id="72" w:name="_Toc520485039"/>
      <w:bookmarkStart w:id="73" w:name="_Toc160804581"/>
      <w:bookmarkStart w:id="74" w:name="_Toc167220273"/>
      <w:bookmarkStart w:id="75" w:name="_Toc177549006"/>
      <w:r w:rsidRPr="005A1CAE">
        <w:rPr>
          <w:noProof/>
        </w:rPr>
        <w:t>16 lipca 2025</w:t>
      </w:r>
      <w:r w:rsidR="005A1CAE" w:rsidRPr="005A1CAE">
        <w:rPr>
          <w:noProof/>
        </w:rPr>
        <w:t> </w:t>
      </w:r>
      <w:r w:rsidRPr="005A1CAE">
        <w:rPr>
          <w:noProof/>
        </w:rPr>
        <w:t>r. Komisja przedstawiła wniosek dotyczący ambitnych</w:t>
      </w:r>
      <w:r w:rsidR="005A1CAE" w:rsidRPr="005A1CAE">
        <w:rPr>
          <w:noProof/>
        </w:rPr>
        <w:t xml:space="preserve"> i</w:t>
      </w:r>
      <w:r w:rsidR="005A1CAE">
        <w:rPr>
          <w:noProof/>
        </w:rPr>
        <w:t> </w:t>
      </w:r>
      <w:r w:rsidR="005A1CAE" w:rsidRPr="005A1CAE">
        <w:rPr>
          <w:noProof/>
        </w:rPr>
        <w:t>dyn</w:t>
      </w:r>
      <w:r w:rsidRPr="005A1CAE">
        <w:rPr>
          <w:noProof/>
        </w:rPr>
        <w:t>amicznych wieloletnich ram finansowych („WRF”)</w:t>
      </w:r>
      <w:r w:rsidR="005A1CAE" w:rsidRPr="005A1CAE">
        <w:rPr>
          <w:noProof/>
        </w:rPr>
        <w:t xml:space="preserve"> o</w:t>
      </w:r>
      <w:r w:rsidR="005A1CAE">
        <w:rPr>
          <w:noProof/>
        </w:rPr>
        <w:t> </w:t>
      </w:r>
      <w:r w:rsidR="005A1CAE" w:rsidRPr="005A1CAE">
        <w:rPr>
          <w:noProof/>
        </w:rPr>
        <w:t>war</w:t>
      </w:r>
      <w:r w:rsidRPr="005A1CAE">
        <w:rPr>
          <w:noProof/>
        </w:rPr>
        <w:t>tości prawie 2 bln EUR. Komisja przedstawiła pięć nowych zasobów własnych, które mają służyć finansowaniu jej priorytetów</w:t>
      </w:r>
      <w:r w:rsidR="005A1CAE" w:rsidRPr="005A1CAE">
        <w:rPr>
          <w:noProof/>
        </w:rPr>
        <w:t xml:space="preserve"> i</w:t>
      </w:r>
      <w:r w:rsidR="005A1CAE">
        <w:rPr>
          <w:noProof/>
        </w:rPr>
        <w:t> </w:t>
      </w:r>
      <w:r w:rsidR="005A1CAE" w:rsidRPr="005A1CAE">
        <w:rPr>
          <w:noProof/>
        </w:rPr>
        <w:t>spł</w:t>
      </w:r>
      <w:r w:rsidRPr="005A1CAE">
        <w:rPr>
          <w:noProof/>
        </w:rPr>
        <w:t>acie pożyczek zaciągniętych przez UE</w:t>
      </w:r>
      <w:r w:rsidR="005A1CAE" w:rsidRPr="005A1CAE">
        <w:rPr>
          <w:noProof/>
        </w:rPr>
        <w:t xml:space="preserve"> w</w:t>
      </w:r>
      <w:r w:rsidR="005A1CAE">
        <w:rPr>
          <w:noProof/>
        </w:rPr>
        <w:t> </w:t>
      </w:r>
      <w:r w:rsidR="005A1CAE" w:rsidRPr="005A1CAE">
        <w:rPr>
          <w:noProof/>
        </w:rPr>
        <w:t>ram</w:t>
      </w:r>
      <w:r w:rsidRPr="005A1CAE">
        <w:rPr>
          <w:noProof/>
        </w:rPr>
        <w:t>ach NextGenerationEU oraz ograniczeniu wkładów krajowych do budżetu UE. Proponowane nowe zasoby własne obejmują CBAM, który ma generować średnio około 1,45 mld EUR rocznie (w cenach bieżących)</w:t>
      </w:r>
      <w:r w:rsidR="005A1CAE" w:rsidRPr="005A1CAE">
        <w:rPr>
          <w:noProof/>
        </w:rPr>
        <w:t xml:space="preserve"> w</w:t>
      </w:r>
      <w:r w:rsidR="005A1CAE">
        <w:rPr>
          <w:noProof/>
        </w:rPr>
        <w:t> </w:t>
      </w:r>
      <w:r w:rsidR="005A1CAE" w:rsidRPr="005A1CAE">
        <w:rPr>
          <w:noProof/>
        </w:rPr>
        <w:t>lat</w:t>
      </w:r>
      <w:r w:rsidRPr="005A1CAE">
        <w:rPr>
          <w:noProof/>
        </w:rPr>
        <w:t>ach 2028–2034.</w:t>
      </w:r>
    </w:p>
    <w:p w14:paraId="3764A56B" w14:textId="50F44FFB"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Wniosek zmieniający zwiększa zakres zadań</w:t>
      </w:r>
      <w:r w:rsidR="005A1CAE" w:rsidRPr="005A1CAE">
        <w:rPr>
          <w:noProof/>
        </w:rPr>
        <w:t xml:space="preserve"> i</w:t>
      </w:r>
      <w:r w:rsidR="005A1CAE">
        <w:rPr>
          <w:noProof/>
        </w:rPr>
        <w:t> </w:t>
      </w:r>
      <w:r w:rsidR="005A1CAE" w:rsidRPr="005A1CAE">
        <w:rPr>
          <w:noProof/>
        </w:rPr>
        <w:t>obo</w:t>
      </w:r>
      <w:r w:rsidRPr="005A1CAE">
        <w:rPr>
          <w:noProof/>
        </w:rPr>
        <w:t>wiązków Komisji</w:t>
      </w:r>
      <w:r w:rsidR="005A1CAE" w:rsidRPr="005A1CAE">
        <w:rPr>
          <w:noProof/>
        </w:rPr>
        <w:t xml:space="preserve"> w</w:t>
      </w:r>
      <w:r w:rsidR="005A1CAE">
        <w:rPr>
          <w:noProof/>
        </w:rPr>
        <w:t> </w:t>
      </w:r>
      <w:r w:rsidR="005A1CAE" w:rsidRPr="005A1CAE">
        <w:rPr>
          <w:noProof/>
        </w:rPr>
        <w:t>zak</w:t>
      </w:r>
      <w:r w:rsidRPr="005A1CAE">
        <w:rPr>
          <w:noProof/>
        </w:rPr>
        <w:t>resie zapewnienia skutecznego wdrażania CBAM</w:t>
      </w:r>
      <w:r w:rsidR="005A1CAE" w:rsidRPr="005A1CAE">
        <w:rPr>
          <w:noProof/>
        </w:rPr>
        <w:t xml:space="preserve"> i</w:t>
      </w:r>
      <w:r w:rsidR="005A1CAE">
        <w:rPr>
          <w:noProof/>
        </w:rPr>
        <w:t> </w:t>
      </w:r>
      <w:r w:rsidR="005A1CAE" w:rsidRPr="005A1CAE">
        <w:rPr>
          <w:noProof/>
        </w:rPr>
        <w:t>zap</w:t>
      </w:r>
      <w:r w:rsidRPr="005A1CAE">
        <w:rPr>
          <w:noProof/>
        </w:rPr>
        <w:t>obiegania jego obchodzeniu lub unikaniu. Wymaga to dodatkowego wsparcia budżetowego</w:t>
      </w:r>
      <w:r w:rsidR="005A1CAE" w:rsidRPr="005A1CAE">
        <w:rPr>
          <w:noProof/>
        </w:rPr>
        <w:t xml:space="preserve"> w</w:t>
      </w:r>
      <w:r w:rsidR="005A1CAE">
        <w:rPr>
          <w:noProof/>
        </w:rPr>
        <w:t> </w:t>
      </w:r>
      <w:r w:rsidR="005A1CAE" w:rsidRPr="005A1CAE">
        <w:rPr>
          <w:noProof/>
        </w:rPr>
        <w:t>obe</w:t>
      </w:r>
      <w:r w:rsidRPr="005A1CAE">
        <w:rPr>
          <w:noProof/>
        </w:rPr>
        <w:t>cnych WRF. Ponadto, bez uszczerbku dla wyniku negocjacji</w:t>
      </w:r>
      <w:r w:rsidR="005A1CAE" w:rsidRPr="005A1CAE">
        <w:rPr>
          <w:noProof/>
        </w:rPr>
        <w:t xml:space="preserve"> w</w:t>
      </w:r>
      <w:r w:rsidR="005A1CAE">
        <w:rPr>
          <w:noProof/>
        </w:rPr>
        <w:t> </w:t>
      </w:r>
      <w:r w:rsidR="005A1CAE" w:rsidRPr="005A1CAE">
        <w:rPr>
          <w:noProof/>
        </w:rPr>
        <w:t>spr</w:t>
      </w:r>
      <w:r w:rsidRPr="005A1CAE">
        <w:rPr>
          <w:noProof/>
        </w:rPr>
        <w:t>awie kolejnych WRF, ponieważ większość zadań ma charakter powtarzalny, należy udostępnić odpowiednie środki finansowe</w:t>
      </w:r>
      <w:r w:rsidR="005A1CAE" w:rsidRPr="005A1CAE">
        <w:rPr>
          <w:noProof/>
        </w:rPr>
        <w:t xml:space="preserve"> w</w:t>
      </w:r>
      <w:r w:rsidR="005A1CAE">
        <w:rPr>
          <w:noProof/>
        </w:rPr>
        <w:t> </w:t>
      </w:r>
      <w:r w:rsidR="005A1CAE" w:rsidRPr="005A1CAE">
        <w:rPr>
          <w:noProof/>
        </w:rPr>
        <w:t>ram</w:t>
      </w:r>
      <w:r w:rsidRPr="005A1CAE">
        <w:rPr>
          <w:noProof/>
        </w:rPr>
        <w:t>ach kolejnych WRF.</w:t>
      </w:r>
    </w:p>
    <w:p w14:paraId="2B2AD43C" w14:textId="00007311" w:rsidR="00D0690F" w:rsidRPr="005A1CAE" w:rsidRDefault="00D0690F" w:rsidP="009F612D">
      <w:pPr>
        <w:pStyle w:val="ManualHeading3"/>
        <w:rPr>
          <w:noProof/>
        </w:rPr>
      </w:pPr>
      <w:r w:rsidRPr="005A1CAE">
        <w:rPr>
          <w:noProof/>
        </w:rPr>
        <w:lastRenderedPageBreak/>
        <w:t>1.5.5.</w:t>
      </w:r>
      <w:r w:rsidRPr="005A1CAE">
        <w:rPr>
          <w:noProof/>
        </w:rPr>
        <w:tab/>
        <w:t>Ocena różnych dostępnych możliwości finansowania,</w:t>
      </w:r>
      <w:r w:rsidR="005A1CAE" w:rsidRPr="005A1CAE">
        <w:rPr>
          <w:noProof/>
        </w:rPr>
        <w:t xml:space="preserve"> w</w:t>
      </w:r>
      <w:r w:rsidR="005A1CAE">
        <w:rPr>
          <w:noProof/>
        </w:rPr>
        <w:t> </w:t>
      </w:r>
      <w:r w:rsidR="005A1CAE" w:rsidRPr="005A1CAE">
        <w:rPr>
          <w:noProof/>
        </w:rPr>
        <w:t>tym</w:t>
      </w:r>
      <w:r w:rsidRPr="005A1CAE">
        <w:rPr>
          <w:noProof/>
        </w:rPr>
        <w:t xml:space="preserve"> możliwości przegrupowania środków</w:t>
      </w:r>
      <w:bookmarkEnd w:id="71"/>
      <w:bookmarkEnd w:id="72"/>
      <w:bookmarkEnd w:id="73"/>
      <w:bookmarkEnd w:id="74"/>
      <w:bookmarkEnd w:id="75"/>
    </w:p>
    <w:p w14:paraId="251CDDE3" w14:textId="7457B0DD" w:rsidR="00D0690F" w:rsidRPr="005A1CAE" w:rsidRDefault="00793103" w:rsidP="00793103">
      <w:pPr>
        <w:pStyle w:val="Text1"/>
        <w:pBdr>
          <w:top w:val="single" w:sz="4" w:space="1" w:color="auto"/>
          <w:left w:val="single" w:sz="4" w:space="4" w:color="auto"/>
          <w:bottom w:val="single" w:sz="4" w:space="1" w:color="auto"/>
          <w:right w:val="single" w:sz="4" w:space="4" w:color="auto"/>
        </w:pBdr>
        <w:rPr>
          <w:noProof/>
        </w:rPr>
      </w:pPr>
      <w:r w:rsidRPr="005A1CAE">
        <w:rPr>
          <w:noProof/>
        </w:rPr>
        <w:t>Koszty wprowadzenia</w:t>
      </w:r>
      <w:r w:rsidR="005A1CAE" w:rsidRPr="005A1CAE">
        <w:rPr>
          <w:noProof/>
        </w:rPr>
        <w:t xml:space="preserve"> w</w:t>
      </w:r>
      <w:r w:rsidR="005A1CAE">
        <w:rPr>
          <w:noProof/>
        </w:rPr>
        <w:t> </w:t>
      </w:r>
      <w:r w:rsidR="005A1CAE" w:rsidRPr="005A1CAE">
        <w:rPr>
          <w:noProof/>
        </w:rPr>
        <w:t>życ</w:t>
      </w:r>
      <w:r w:rsidRPr="005A1CAE">
        <w:rPr>
          <w:noProof/>
        </w:rPr>
        <w:t>ie CBAM zostaną sfinansowane</w:t>
      </w:r>
      <w:r w:rsidR="005A1CAE" w:rsidRPr="005A1CAE">
        <w:rPr>
          <w:noProof/>
        </w:rPr>
        <w:t xml:space="preserve"> z</w:t>
      </w:r>
      <w:r w:rsidR="005A1CAE">
        <w:rPr>
          <w:noProof/>
        </w:rPr>
        <w:t> </w:t>
      </w:r>
      <w:r w:rsidR="005A1CAE" w:rsidRPr="005A1CAE">
        <w:rPr>
          <w:noProof/>
        </w:rPr>
        <w:t>bud</w:t>
      </w:r>
      <w:r w:rsidRPr="005A1CAE">
        <w:rPr>
          <w:noProof/>
        </w:rPr>
        <w:t>żetu UE.</w:t>
      </w:r>
    </w:p>
    <w:p w14:paraId="5F790A01" w14:textId="782DB758" w:rsidR="00D0690F" w:rsidRPr="005A1CAE" w:rsidRDefault="00D0690F" w:rsidP="009F612D">
      <w:pPr>
        <w:pStyle w:val="ManualHeading2"/>
        <w:rPr>
          <w:bCs/>
          <w:noProof/>
          <w:szCs w:val="24"/>
        </w:rPr>
      </w:pPr>
      <w:r w:rsidRPr="005A1CAE">
        <w:rPr>
          <w:noProof/>
        </w:rPr>
        <w:br w:type="page"/>
      </w:r>
      <w:bookmarkStart w:id="76" w:name="_Toc514938039"/>
      <w:bookmarkStart w:id="77" w:name="_Toc520485040"/>
      <w:bookmarkStart w:id="78" w:name="_Toc160804582"/>
      <w:bookmarkStart w:id="79" w:name="_Toc167220274"/>
      <w:bookmarkStart w:id="80" w:name="_Toc177549007"/>
      <w:r w:rsidRPr="005A1CAE">
        <w:rPr>
          <w:noProof/>
        </w:rPr>
        <w:lastRenderedPageBreak/>
        <w:t>1.6.</w:t>
      </w:r>
      <w:r w:rsidRPr="005A1CAE">
        <w:rPr>
          <w:noProof/>
        </w:rPr>
        <w:tab/>
        <w:t>Czas trwania wniosku/inicjatywy</w:t>
      </w:r>
      <w:r w:rsidR="005A1CAE" w:rsidRPr="005A1CAE">
        <w:rPr>
          <w:noProof/>
        </w:rPr>
        <w:t xml:space="preserve"> i</w:t>
      </w:r>
      <w:r w:rsidR="005A1CAE">
        <w:rPr>
          <w:noProof/>
        </w:rPr>
        <w:t> </w:t>
      </w:r>
      <w:r w:rsidR="005A1CAE" w:rsidRPr="005A1CAE">
        <w:rPr>
          <w:noProof/>
        </w:rPr>
        <w:t>jeg</w:t>
      </w:r>
      <w:r w:rsidRPr="005A1CAE">
        <w:rPr>
          <w:noProof/>
        </w:rPr>
        <w:t>o/jej wpływu finansowego</w:t>
      </w:r>
      <w:bookmarkEnd w:id="76"/>
      <w:bookmarkEnd w:id="77"/>
      <w:bookmarkEnd w:id="78"/>
      <w:bookmarkEnd w:id="79"/>
      <w:bookmarkEnd w:id="80"/>
    </w:p>
    <w:p w14:paraId="4181BF93" w14:textId="77777777" w:rsidR="00D0690F" w:rsidRPr="005A1CAE" w:rsidRDefault="00D0690F" w:rsidP="009F612D">
      <w:pPr>
        <w:pStyle w:val="Text1"/>
        <w:rPr>
          <w:noProof/>
        </w:rPr>
      </w:pPr>
      <w:r w:rsidRPr="005A1CAE">
        <w:rPr>
          <w:rFonts w:ascii="Wingdings" w:hAnsi="Wingdings"/>
          <w:noProof/>
        </w:rPr>
        <w:t></w:t>
      </w:r>
      <w:r w:rsidRPr="005A1CAE">
        <w:rPr>
          <w:noProof/>
        </w:rPr>
        <w:t xml:space="preserve"> </w:t>
      </w:r>
      <w:r w:rsidRPr="005A1CAE">
        <w:rPr>
          <w:b/>
          <w:noProof/>
        </w:rPr>
        <w:t xml:space="preserve">Ograniczony czas trwania </w:t>
      </w:r>
    </w:p>
    <w:p w14:paraId="299F43DE" w14:textId="77777777" w:rsidR="00D0690F" w:rsidRPr="005A1CAE" w:rsidRDefault="00D0690F" w:rsidP="009F612D">
      <w:pPr>
        <w:pStyle w:val="ListDash2"/>
        <w:rPr>
          <w:noProof/>
        </w:rPr>
      </w:pPr>
      <w:r w:rsidRPr="005A1CAE">
        <w:rPr>
          <w:rFonts w:ascii="Wingdings" w:hAnsi="Wingdings"/>
          <w:noProof/>
        </w:rPr>
        <w:t></w:t>
      </w:r>
      <w:r w:rsidRPr="005A1CAE">
        <w:rPr>
          <w:noProof/>
        </w:rPr>
        <w:tab/>
        <w:t xml:space="preserve">Czas trwania wniosku/inicjatywy: od [DD/MM]RRRR r. do [DD/MM]RRRR r. </w:t>
      </w:r>
    </w:p>
    <w:p w14:paraId="5DFB70D7" w14:textId="511D8464" w:rsidR="00D0690F" w:rsidRPr="005A1CAE" w:rsidRDefault="00D0690F" w:rsidP="009F612D">
      <w:pPr>
        <w:pStyle w:val="ListDash2"/>
        <w:rPr>
          <w:noProof/>
        </w:rPr>
      </w:pPr>
      <w:r w:rsidRPr="005A1CAE">
        <w:rPr>
          <w:rFonts w:ascii="Wingdings" w:hAnsi="Wingdings"/>
          <w:noProof/>
        </w:rPr>
        <w:t></w:t>
      </w:r>
      <w:r w:rsidRPr="005A1CAE">
        <w:rPr>
          <w:noProof/>
        </w:rPr>
        <w:tab/>
        <w:t>Czas trwania wpływu finansowego: od RRRR r. do RRRR r.</w:t>
      </w:r>
      <w:r w:rsidR="005A1CAE" w:rsidRPr="005A1CAE">
        <w:rPr>
          <w:noProof/>
        </w:rPr>
        <w:t xml:space="preserve"> w</w:t>
      </w:r>
      <w:r w:rsidR="005A1CAE">
        <w:rPr>
          <w:noProof/>
        </w:rPr>
        <w:t> </w:t>
      </w:r>
      <w:r w:rsidR="005A1CAE" w:rsidRPr="005A1CAE">
        <w:rPr>
          <w:noProof/>
        </w:rPr>
        <w:t>odn</w:t>
      </w:r>
      <w:r w:rsidRPr="005A1CAE">
        <w:rPr>
          <w:noProof/>
        </w:rPr>
        <w:t>iesieniu do środków na zobowiązania oraz od RRRR r. do RRRR r.</w:t>
      </w:r>
      <w:r w:rsidR="005A1CAE" w:rsidRPr="005A1CAE">
        <w:rPr>
          <w:noProof/>
        </w:rPr>
        <w:t xml:space="preserve"> w</w:t>
      </w:r>
      <w:r w:rsidR="005A1CAE">
        <w:rPr>
          <w:noProof/>
        </w:rPr>
        <w:t> </w:t>
      </w:r>
      <w:r w:rsidR="005A1CAE" w:rsidRPr="005A1CAE">
        <w:rPr>
          <w:noProof/>
        </w:rPr>
        <w:t>odn</w:t>
      </w:r>
      <w:r w:rsidRPr="005A1CAE">
        <w:rPr>
          <w:noProof/>
        </w:rPr>
        <w:t xml:space="preserve">iesieniu do środków na płatności. </w:t>
      </w:r>
    </w:p>
    <w:p w14:paraId="1224D61A" w14:textId="77777777" w:rsidR="00D0690F" w:rsidRPr="005A1CAE" w:rsidRDefault="00793103" w:rsidP="009F612D">
      <w:pPr>
        <w:pStyle w:val="Text1"/>
        <w:rPr>
          <w:noProof/>
        </w:rPr>
      </w:pPr>
      <w:r w:rsidRPr="005A1CAE">
        <w:rPr>
          <w:rFonts w:ascii="Wingdings" w:hAnsi="Wingdings"/>
          <w:noProof/>
        </w:rPr>
        <w:t></w:t>
      </w:r>
      <w:r w:rsidRPr="005A1CAE">
        <w:rPr>
          <w:noProof/>
        </w:rPr>
        <w:t xml:space="preserve"> </w:t>
      </w:r>
      <w:r w:rsidRPr="005A1CAE">
        <w:rPr>
          <w:b/>
          <w:noProof/>
        </w:rPr>
        <w:t>Nieograniczony czas trwania</w:t>
      </w:r>
    </w:p>
    <w:p w14:paraId="2A366FCD" w14:textId="409A8BD0" w:rsidR="00D0690F" w:rsidRPr="005A1CAE" w:rsidRDefault="00D0690F" w:rsidP="009F612D">
      <w:pPr>
        <w:pStyle w:val="ListDash1"/>
        <w:rPr>
          <w:noProof/>
        </w:rPr>
      </w:pPr>
      <w:r w:rsidRPr="005A1CAE">
        <w:rPr>
          <w:noProof/>
        </w:rPr>
        <w:t>Wprowadzenie</w:t>
      </w:r>
      <w:r w:rsidR="005A1CAE" w:rsidRPr="005A1CAE">
        <w:rPr>
          <w:noProof/>
        </w:rPr>
        <w:t xml:space="preserve"> w</w:t>
      </w:r>
      <w:r w:rsidR="005A1CAE">
        <w:rPr>
          <w:noProof/>
        </w:rPr>
        <w:t> </w:t>
      </w:r>
      <w:r w:rsidR="005A1CAE" w:rsidRPr="005A1CAE">
        <w:rPr>
          <w:noProof/>
        </w:rPr>
        <w:t>życ</w:t>
      </w:r>
      <w:r w:rsidRPr="005A1CAE">
        <w:rPr>
          <w:noProof/>
        </w:rPr>
        <w:t>ie</w:t>
      </w:r>
      <w:r w:rsidR="005A1CAE" w:rsidRPr="005A1CAE">
        <w:rPr>
          <w:noProof/>
        </w:rPr>
        <w:t xml:space="preserve"> z</w:t>
      </w:r>
      <w:r w:rsidR="005A1CAE">
        <w:rPr>
          <w:noProof/>
        </w:rPr>
        <w:t> </w:t>
      </w:r>
      <w:r w:rsidR="005A1CAE" w:rsidRPr="005A1CAE">
        <w:rPr>
          <w:noProof/>
        </w:rPr>
        <w:t>okr</w:t>
      </w:r>
      <w:r w:rsidRPr="005A1CAE">
        <w:rPr>
          <w:noProof/>
        </w:rPr>
        <w:t>esem rozruchu od RRRR r. do RRRR r.,</w:t>
      </w:r>
    </w:p>
    <w:p w14:paraId="056BC279" w14:textId="77777777" w:rsidR="00D0690F" w:rsidRPr="005A1CAE" w:rsidRDefault="00D0690F" w:rsidP="009F612D">
      <w:pPr>
        <w:pStyle w:val="ListDash1"/>
        <w:rPr>
          <w:noProof/>
        </w:rPr>
      </w:pPr>
      <w:r w:rsidRPr="005A1CAE">
        <w:rPr>
          <w:noProof/>
        </w:rPr>
        <w:t>po którym następuje faza operacyjna.</w:t>
      </w:r>
    </w:p>
    <w:p w14:paraId="12105BE0" w14:textId="77777777" w:rsidR="00D0690F" w:rsidRPr="005A1CAE" w:rsidRDefault="00D0690F" w:rsidP="009F612D">
      <w:pPr>
        <w:pStyle w:val="ManualHeading2"/>
        <w:rPr>
          <w:bCs/>
          <w:noProof/>
          <w:szCs w:val="24"/>
        </w:rPr>
      </w:pPr>
      <w:bookmarkStart w:id="81" w:name="_Toc514938040"/>
      <w:bookmarkStart w:id="82" w:name="_Toc520485041"/>
      <w:bookmarkStart w:id="83" w:name="_Toc160804583"/>
      <w:bookmarkStart w:id="84" w:name="_Toc167220275"/>
      <w:bookmarkStart w:id="85" w:name="_Toc177549008"/>
      <w:r w:rsidRPr="005A1CAE">
        <w:rPr>
          <w:noProof/>
        </w:rPr>
        <w:t>1.7.</w:t>
      </w:r>
      <w:r w:rsidRPr="005A1CAE">
        <w:rPr>
          <w:noProof/>
        </w:rPr>
        <w:tab/>
        <w:t>Planowane metody wykonania budżetu</w:t>
      </w:r>
      <w:bookmarkEnd w:id="81"/>
      <w:bookmarkEnd w:id="82"/>
      <w:bookmarkEnd w:id="83"/>
      <w:bookmarkEnd w:id="84"/>
      <w:bookmarkEnd w:id="85"/>
    </w:p>
    <w:p w14:paraId="18A15188" w14:textId="77777777" w:rsidR="00D0690F" w:rsidRPr="005A1CAE" w:rsidRDefault="00793103" w:rsidP="009F612D">
      <w:pPr>
        <w:pStyle w:val="Text1"/>
        <w:rPr>
          <w:noProof/>
        </w:rPr>
      </w:pPr>
      <w:r w:rsidRPr="005A1CAE">
        <w:rPr>
          <w:rFonts w:ascii="Wingdings" w:hAnsi="Wingdings"/>
          <w:noProof/>
        </w:rPr>
        <w:t></w:t>
      </w:r>
      <w:r w:rsidRPr="005A1CAE">
        <w:rPr>
          <w:i/>
          <w:noProof/>
        </w:rPr>
        <w:t xml:space="preserve"> </w:t>
      </w:r>
      <w:r w:rsidRPr="005A1CAE">
        <w:rPr>
          <w:b/>
          <w:noProof/>
        </w:rPr>
        <w:t>Bezpośrednie zarządzanie</w:t>
      </w:r>
      <w:r w:rsidRPr="005A1CAE">
        <w:rPr>
          <w:noProof/>
        </w:rPr>
        <w:t xml:space="preserve"> przez Komisję</w:t>
      </w:r>
    </w:p>
    <w:p w14:paraId="7FC187DF" w14:textId="3CCA7BA9" w:rsidR="00D0690F" w:rsidRPr="005A1CAE" w:rsidRDefault="00793103" w:rsidP="009F612D">
      <w:pPr>
        <w:pStyle w:val="ListDash2"/>
        <w:rPr>
          <w:rFonts w:cs="EUAlbertina"/>
          <w:noProof/>
        </w:rPr>
      </w:pPr>
      <w:r w:rsidRPr="005A1CAE">
        <w:rPr>
          <w:rFonts w:ascii="Wingdings" w:hAnsi="Wingdings"/>
          <w:noProof/>
        </w:rPr>
        <w:t></w:t>
      </w:r>
      <w:r w:rsidR="005A1CAE" w:rsidRPr="005A1CAE">
        <w:rPr>
          <w:noProof/>
        </w:rPr>
        <w:t xml:space="preserve"> w</w:t>
      </w:r>
      <w:r w:rsidR="005A1CAE">
        <w:rPr>
          <w:noProof/>
        </w:rPr>
        <w:t> </w:t>
      </w:r>
      <w:r w:rsidR="005A1CAE" w:rsidRPr="005A1CAE">
        <w:rPr>
          <w:noProof/>
        </w:rPr>
        <w:t>ram</w:t>
      </w:r>
      <w:r w:rsidRPr="005A1CAE">
        <w:rPr>
          <w:noProof/>
        </w:rPr>
        <w:t>ach jej służb,</w:t>
      </w:r>
      <w:r w:rsidR="005A1CAE" w:rsidRPr="005A1CAE">
        <w:rPr>
          <w:noProof/>
        </w:rPr>
        <w:t xml:space="preserve"> w</w:t>
      </w:r>
      <w:r w:rsidR="005A1CAE">
        <w:rPr>
          <w:noProof/>
        </w:rPr>
        <w:t> </w:t>
      </w:r>
      <w:r w:rsidR="005A1CAE" w:rsidRPr="005A1CAE">
        <w:rPr>
          <w:noProof/>
        </w:rPr>
        <w:t>tym</w:t>
      </w:r>
      <w:r w:rsidRPr="005A1CAE">
        <w:rPr>
          <w:noProof/>
        </w:rPr>
        <w:t xml:space="preserve"> za pośrednictwem jej pracowników</w:t>
      </w:r>
      <w:r w:rsidR="005A1CAE" w:rsidRPr="005A1CAE">
        <w:rPr>
          <w:noProof/>
        </w:rPr>
        <w:t xml:space="preserve"> w</w:t>
      </w:r>
      <w:r w:rsidR="005A1CAE">
        <w:rPr>
          <w:noProof/>
        </w:rPr>
        <w:t> </w:t>
      </w:r>
      <w:r w:rsidR="005A1CAE" w:rsidRPr="005A1CAE">
        <w:rPr>
          <w:noProof/>
        </w:rPr>
        <w:t>del</w:t>
      </w:r>
      <w:r w:rsidRPr="005A1CAE">
        <w:rPr>
          <w:noProof/>
        </w:rPr>
        <w:t xml:space="preserve">egaturach Unii </w:t>
      </w:r>
    </w:p>
    <w:p w14:paraId="3E86826E" w14:textId="77777777" w:rsidR="00D0690F" w:rsidRPr="005A1CAE" w:rsidRDefault="00D0690F" w:rsidP="009F612D">
      <w:pPr>
        <w:pStyle w:val="ListDash2"/>
        <w:rPr>
          <w:noProof/>
        </w:rPr>
      </w:pPr>
      <w:r w:rsidRPr="005A1CAE">
        <w:rPr>
          <w:rFonts w:ascii="Wingdings" w:hAnsi="Wingdings"/>
          <w:noProof/>
        </w:rPr>
        <w:t></w:t>
      </w:r>
      <w:r w:rsidRPr="005A1CAE">
        <w:rPr>
          <w:noProof/>
        </w:rPr>
        <w:t xml:space="preserve"> przez agencje wykonawcze </w:t>
      </w:r>
    </w:p>
    <w:p w14:paraId="494678B9" w14:textId="4CE18027" w:rsidR="00D0690F" w:rsidRPr="005A1CAE" w:rsidRDefault="00D0690F" w:rsidP="009F612D">
      <w:pPr>
        <w:pStyle w:val="Text1"/>
        <w:rPr>
          <w:noProof/>
        </w:rPr>
      </w:pPr>
      <w:r w:rsidRPr="005A1CAE">
        <w:rPr>
          <w:rFonts w:ascii="Wingdings" w:hAnsi="Wingdings"/>
          <w:noProof/>
        </w:rPr>
        <w:t></w:t>
      </w:r>
      <w:r w:rsidRPr="005A1CAE">
        <w:rPr>
          <w:b/>
          <w:i/>
          <w:noProof/>
        </w:rPr>
        <w:t xml:space="preserve"> </w:t>
      </w:r>
      <w:r w:rsidRPr="005A1CAE">
        <w:rPr>
          <w:b/>
          <w:noProof/>
        </w:rPr>
        <w:t>Zarządzanie dzielone</w:t>
      </w:r>
      <w:r w:rsidR="005A1CAE" w:rsidRPr="005A1CAE">
        <w:rPr>
          <w:noProof/>
        </w:rPr>
        <w:t xml:space="preserve"> z</w:t>
      </w:r>
      <w:r w:rsidR="005A1CAE">
        <w:rPr>
          <w:noProof/>
        </w:rPr>
        <w:t> </w:t>
      </w:r>
      <w:r w:rsidR="005A1CAE" w:rsidRPr="005A1CAE">
        <w:rPr>
          <w:noProof/>
        </w:rPr>
        <w:t>pań</w:t>
      </w:r>
      <w:r w:rsidRPr="005A1CAE">
        <w:rPr>
          <w:noProof/>
        </w:rPr>
        <w:t xml:space="preserve">stwami członkowskimi </w:t>
      </w:r>
    </w:p>
    <w:p w14:paraId="2F9224FA" w14:textId="4A93F51D" w:rsidR="00D0690F" w:rsidRPr="005A1CAE" w:rsidRDefault="00D0690F" w:rsidP="009F612D">
      <w:pPr>
        <w:pStyle w:val="Text1"/>
        <w:rPr>
          <w:noProof/>
        </w:rPr>
      </w:pPr>
      <w:r w:rsidRPr="005A1CAE">
        <w:rPr>
          <w:rFonts w:ascii="Wingdings" w:hAnsi="Wingdings"/>
          <w:noProof/>
        </w:rPr>
        <w:t></w:t>
      </w:r>
      <w:r w:rsidRPr="005A1CAE">
        <w:rPr>
          <w:i/>
          <w:noProof/>
        </w:rPr>
        <w:t xml:space="preserve"> </w:t>
      </w:r>
      <w:r w:rsidRPr="005A1CAE">
        <w:rPr>
          <w:b/>
          <w:noProof/>
        </w:rPr>
        <w:t>Zarządzanie pośrednie</w:t>
      </w:r>
      <w:r w:rsidRPr="005A1CAE">
        <w:rPr>
          <w:noProof/>
        </w:rPr>
        <w:t xml:space="preserve"> przez przekazanie zadań związanych</w:t>
      </w:r>
      <w:r w:rsidR="005A1CAE" w:rsidRPr="005A1CAE">
        <w:rPr>
          <w:noProof/>
        </w:rPr>
        <w:t xml:space="preserve"> z</w:t>
      </w:r>
      <w:r w:rsidR="005A1CAE">
        <w:rPr>
          <w:noProof/>
        </w:rPr>
        <w:t> </w:t>
      </w:r>
      <w:r w:rsidR="005A1CAE" w:rsidRPr="005A1CAE">
        <w:rPr>
          <w:noProof/>
        </w:rPr>
        <w:t>wyk</w:t>
      </w:r>
      <w:r w:rsidRPr="005A1CAE">
        <w:rPr>
          <w:noProof/>
        </w:rPr>
        <w:t>onaniem budżetu:</w:t>
      </w:r>
    </w:p>
    <w:p w14:paraId="14A16782" w14:textId="77777777" w:rsidR="00D0690F" w:rsidRPr="005A1CAE" w:rsidRDefault="00D0690F" w:rsidP="009F612D">
      <w:pPr>
        <w:pStyle w:val="ListDash2"/>
        <w:rPr>
          <w:noProof/>
        </w:rPr>
      </w:pPr>
      <w:r w:rsidRPr="005A1CAE">
        <w:rPr>
          <w:rFonts w:ascii="Wingdings" w:hAnsi="Wingdings"/>
          <w:noProof/>
        </w:rPr>
        <w:t></w:t>
      </w:r>
      <w:r w:rsidRPr="005A1CAE">
        <w:rPr>
          <w:noProof/>
        </w:rPr>
        <w:t xml:space="preserve"> państwom trzecim lub organom przez nie wyznaczonym</w:t>
      </w:r>
    </w:p>
    <w:p w14:paraId="0F0CB428" w14:textId="7DB91E82" w:rsidR="00D0690F" w:rsidRPr="005A1CAE" w:rsidRDefault="00D0690F" w:rsidP="009F612D">
      <w:pPr>
        <w:pStyle w:val="ListDash2"/>
        <w:rPr>
          <w:noProof/>
        </w:rPr>
      </w:pPr>
      <w:r w:rsidRPr="005A1CAE">
        <w:rPr>
          <w:rFonts w:ascii="Wingdings" w:hAnsi="Wingdings"/>
          <w:noProof/>
        </w:rPr>
        <w:t></w:t>
      </w:r>
      <w:r w:rsidRPr="005A1CAE">
        <w:rPr>
          <w:noProof/>
        </w:rPr>
        <w:t xml:space="preserve"> organizacjom międzynarodowym</w:t>
      </w:r>
      <w:r w:rsidR="005A1CAE" w:rsidRPr="005A1CAE">
        <w:rPr>
          <w:noProof/>
        </w:rPr>
        <w:t xml:space="preserve"> i</w:t>
      </w:r>
      <w:r w:rsidR="005A1CAE">
        <w:rPr>
          <w:noProof/>
        </w:rPr>
        <w:t> </w:t>
      </w:r>
      <w:r w:rsidR="005A1CAE" w:rsidRPr="005A1CAE">
        <w:rPr>
          <w:noProof/>
        </w:rPr>
        <w:t>ich</w:t>
      </w:r>
      <w:r w:rsidRPr="005A1CAE">
        <w:rPr>
          <w:noProof/>
        </w:rPr>
        <w:t xml:space="preserve"> agencjom (wyszczególnić)</w:t>
      </w:r>
    </w:p>
    <w:p w14:paraId="75681268" w14:textId="1B4C3069" w:rsidR="00D0690F" w:rsidRPr="005A1CAE" w:rsidRDefault="00D0690F" w:rsidP="009F612D">
      <w:pPr>
        <w:pStyle w:val="ListDash2"/>
        <w:rPr>
          <w:noProof/>
        </w:rPr>
      </w:pPr>
      <w:r w:rsidRPr="005A1CAE">
        <w:rPr>
          <w:rFonts w:ascii="Wingdings" w:hAnsi="Wingdings"/>
          <w:noProof/>
        </w:rPr>
        <w:t></w:t>
      </w:r>
      <w:r w:rsidRPr="005A1CAE">
        <w:rPr>
          <w:noProof/>
        </w:rPr>
        <w:t xml:space="preserve"> Europejskiemu Bankowi Inwestycyjnemu</w:t>
      </w:r>
      <w:r w:rsidR="005A1CAE" w:rsidRPr="005A1CAE">
        <w:rPr>
          <w:noProof/>
        </w:rPr>
        <w:t xml:space="preserve"> i</w:t>
      </w:r>
      <w:r w:rsidR="005A1CAE">
        <w:rPr>
          <w:noProof/>
        </w:rPr>
        <w:t> </w:t>
      </w:r>
      <w:r w:rsidR="005A1CAE" w:rsidRPr="005A1CAE">
        <w:rPr>
          <w:noProof/>
        </w:rPr>
        <w:t>Eur</w:t>
      </w:r>
      <w:r w:rsidRPr="005A1CAE">
        <w:rPr>
          <w:noProof/>
        </w:rPr>
        <w:t>opejskiemu Funduszowi Inwestycyjnemu</w:t>
      </w:r>
    </w:p>
    <w:p w14:paraId="3497229B" w14:textId="6F83926C" w:rsidR="00D0690F" w:rsidRPr="005A1CAE" w:rsidRDefault="00D0690F" w:rsidP="009F612D">
      <w:pPr>
        <w:pStyle w:val="ListDash2"/>
        <w:rPr>
          <w:noProof/>
        </w:rPr>
      </w:pPr>
      <w:r w:rsidRPr="005A1CAE">
        <w:rPr>
          <w:rFonts w:ascii="Wingdings" w:hAnsi="Wingdings"/>
          <w:noProof/>
        </w:rPr>
        <w:t></w:t>
      </w:r>
      <w:r w:rsidRPr="005A1CAE">
        <w:rPr>
          <w:noProof/>
        </w:rPr>
        <w:t xml:space="preserve"> organom,</w:t>
      </w:r>
      <w:r w:rsidR="005A1CAE" w:rsidRPr="005A1CAE">
        <w:rPr>
          <w:noProof/>
        </w:rPr>
        <w:t xml:space="preserve"> o</w:t>
      </w:r>
      <w:r w:rsidR="005A1CAE">
        <w:rPr>
          <w:noProof/>
        </w:rPr>
        <w:t> </w:t>
      </w:r>
      <w:r w:rsidR="005A1CAE" w:rsidRPr="005A1CAE">
        <w:rPr>
          <w:noProof/>
        </w:rPr>
        <w:t>któ</w:t>
      </w:r>
      <w:r w:rsidRPr="005A1CAE">
        <w:rPr>
          <w:noProof/>
        </w:rPr>
        <w:t>rych mowa</w:t>
      </w:r>
      <w:r w:rsidR="005A1CAE" w:rsidRPr="005A1CAE">
        <w:rPr>
          <w:noProof/>
        </w:rPr>
        <w:t xml:space="preserve"> w</w:t>
      </w:r>
      <w:r w:rsidR="005A1CAE">
        <w:rPr>
          <w:noProof/>
        </w:rPr>
        <w:t> </w:t>
      </w:r>
      <w:r w:rsidR="005A1CAE" w:rsidRPr="005A1CAE">
        <w:rPr>
          <w:noProof/>
        </w:rPr>
        <w:t>art</w:t>
      </w:r>
      <w:r w:rsidRPr="005A1CAE">
        <w:rPr>
          <w:noProof/>
        </w:rPr>
        <w:t>.</w:t>
      </w:r>
      <w:r w:rsidR="005A1CAE" w:rsidRPr="005A1CAE">
        <w:rPr>
          <w:noProof/>
        </w:rPr>
        <w:t> </w:t>
      </w:r>
      <w:r w:rsidRPr="005A1CAE">
        <w:rPr>
          <w:noProof/>
        </w:rPr>
        <w:t>70</w:t>
      </w:r>
      <w:r w:rsidR="005A1CAE" w:rsidRPr="005A1CAE">
        <w:rPr>
          <w:noProof/>
        </w:rPr>
        <w:t xml:space="preserve"> i</w:t>
      </w:r>
      <w:r w:rsidR="005A1CAE">
        <w:rPr>
          <w:noProof/>
        </w:rPr>
        <w:t> </w:t>
      </w:r>
      <w:r w:rsidR="005A1CAE" w:rsidRPr="005A1CAE">
        <w:rPr>
          <w:noProof/>
        </w:rPr>
        <w:t>7</w:t>
      </w:r>
      <w:r w:rsidRPr="005A1CAE">
        <w:rPr>
          <w:noProof/>
        </w:rPr>
        <w:t>1 rozporządzenia finansowego</w:t>
      </w:r>
    </w:p>
    <w:p w14:paraId="251773D8" w14:textId="77777777" w:rsidR="00D0690F" w:rsidRPr="005A1CAE" w:rsidRDefault="00D0690F" w:rsidP="009F612D">
      <w:pPr>
        <w:pStyle w:val="ListDash2"/>
        <w:rPr>
          <w:noProof/>
        </w:rPr>
      </w:pPr>
      <w:r w:rsidRPr="005A1CAE">
        <w:rPr>
          <w:rFonts w:ascii="Wingdings" w:hAnsi="Wingdings"/>
          <w:noProof/>
        </w:rPr>
        <w:t></w:t>
      </w:r>
      <w:r w:rsidRPr="005A1CAE">
        <w:rPr>
          <w:noProof/>
        </w:rPr>
        <w:t xml:space="preserve"> organom prawa publicznego</w:t>
      </w:r>
    </w:p>
    <w:p w14:paraId="0FC3EFA7" w14:textId="3B51EB0D" w:rsidR="00D0690F" w:rsidRPr="005A1CAE" w:rsidRDefault="00D0690F" w:rsidP="009F612D">
      <w:pPr>
        <w:pStyle w:val="ListDash2"/>
        <w:rPr>
          <w:noProof/>
        </w:rPr>
      </w:pPr>
      <w:r w:rsidRPr="005A1CAE">
        <w:rPr>
          <w:rFonts w:ascii="Wingdings" w:hAnsi="Wingdings"/>
          <w:noProof/>
        </w:rPr>
        <w:t></w:t>
      </w:r>
      <w:r w:rsidRPr="005A1CAE">
        <w:rPr>
          <w:noProof/>
        </w:rPr>
        <w:t xml:space="preserve"> podmiotom podlegającym prawu prywatnemu, które świadczą usługi użyteczności publicznej,</w:t>
      </w:r>
      <w:r w:rsidR="005A1CAE" w:rsidRPr="005A1CAE">
        <w:rPr>
          <w:noProof/>
        </w:rPr>
        <w:t xml:space="preserve"> w</w:t>
      </w:r>
      <w:r w:rsidR="005A1CAE">
        <w:rPr>
          <w:noProof/>
        </w:rPr>
        <w:t> </w:t>
      </w:r>
      <w:r w:rsidR="005A1CAE" w:rsidRPr="005A1CAE">
        <w:rPr>
          <w:noProof/>
        </w:rPr>
        <w:t>zak</w:t>
      </w:r>
      <w:r w:rsidRPr="005A1CAE">
        <w:rPr>
          <w:noProof/>
        </w:rPr>
        <w:t>resie,</w:t>
      </w:r>
      <w:r w:rsidR="005A1CAE" w:rsidRPr="005A1CAE">
        <w:rPr>
          <w:noProof/>
        </w:rPr>
        <w:t xml:space="preserve"> w</w:t>
      </w:r>
      <w:r w:rsidR="005A1CAE">
        <w:rPr>
          <w:noProof/>
        </w:rPr>
        <w:t> </w:t>
      </w:r>
      <w:r w:rsidR="005A1CAE" w:rsidRPr="005A1CAE">
        <w:rPr>
          <w:noProof/>
        </w:rPr>
        <w:t>jak</w:t>
      </w:r>
      <w:r w:rsidRPr="005A1CAE">
        <w:rPr>
          <w:noProof/>
        </w:rPr>
        <w:t>im są im zapewnione odpowiednie gwarancje finansowe</w:t>
      </w:r>
    </w:p>
    <w:p w14:paraId="6ACD8666" w14:textId="19DE08FD" w:rsidR="00D0690F" w:rsidRPr="005A1CAE" w:rsidRDefault="00D0690F" w:rsidP="009F612D">
      <w:pPr>
        <w:pStyle w:val="ListDash2"/>
        <w:rPr>
          <w:noProof/>
        </w:rPr>
      </w:pPr>
      <w:r w:rsidRPr="005A1CAE">
        <w:rPr>
          <w:rFonts w:ascii="Wingdings" w:hAnsi="Wingdings"/>
          <w:noProof/>
        </w:rPr>
        <w:t></w:t>
      </w:r>
      <w:r w:rsidRPr="005A1CAE">
        <w:rPr>
          <w:noProof/>
        </w:rPr>
        <w:t xml:space="preserve"> podmiotom podlegającym prawu prywatnemu państwa członkowskiego, którym powierzono realizację partnerstwa publiczno-prywatnego</w:t>
      </w:r>
      <w:r w:rsidR="005A1CAE" w:rsidRPr="005A1CAE">
        <w:rPr>
          <w:noProof/>
        </w:rPr>
        <w:t xml:space="preserve"> i</w:t>
      </w:r>
      <w:r w:rsidR="005A1CAE">
        <w:rPr>
          <w:noProof/>
        </w:rPr>
        <w:t> </w:t>
      </w:r>
      <w:r w:rsidR="005A1CAE" w:rsidRPr="005A1CAE">
        <w:rPr>
          <w:noProof/>
        </w:rPr>
        <w:t>zap</w:t>
      </w:r>
      <w:r w:rsidRPr="005A1CAE">
        <w:rPr>
          <w:noProof/>
        </w:rPr>
        <w:t>ewniono odpowiednie gwarancje finansowe</w:t>
      </w:r>
    </w:p>
    <w:p w14:paraId="69A9E1C0" w14:textId="679953B9" w:rsidR="00D0690F" w:rsidRPr="005A1CAE" w:rsidRDefault="00D0690F" w:rsidP="009F612D">
      <w:pPr>
        <w:pStyle w:val="ListDash2"/>
        <w:rPr>
          <w:noProof/>
        </w:rPr>
      </w:pPr>
      <w:r w:rsidRPr="005A1CAE">
        <w:rPr>
          <w:rFonts w:ascii="Wingdings" w:hAnsi="Wingdings"/>
          <w:noProof/>
        </w:rPr>
        <w:t></w:t>
      </w:r>
      <w:r w:rsidRPr="005A1CAE">
        <w:rPr>
          <w:noProof/>
        </w:rPr>
        <w:t xml:space="preserve"> podmiotom lub osobom odpowiedzialnym za wykonanie określonych działań</w:t>
      </w:r>
      <w:r w:rsidR="005A1CAE" w:rsidRPr="005A1CAE">
        <w:rPr>
          <w:noProof/>
        </w:rPr>
        <w:t xml:space="preserve"> w</w:t>
      </w:r>
      <w:r w:rsidR="005A1CAE">
        <w:rPr>
          <w:noProof/>
        </w:rPr>
        <w:t> </w:t>
      </w:r>
      <w:r w:rsidR="005A1CAE" w:rsidRPr="005A1CAE">
        <w:rPr>
          <w:noProof/>
        </w:rPr>
        <w:t>dzi</w:t>
      </w:r>
      <w:r w:rsidRPr="005A1CAE">
        <w:rPr>
          <w:noProof/>
        </w:rPr>
        <w:t>edzinie wspólnej polityki zagranicznej</w:t>
      </w:r>
      <w:r w:rsidR="005A1CAE" w:rsidRPr="005A1CAE">
        <w:rPr>
          <w:noProof/>
        </w:rPr>
        <w:t xml:space="preserve"> i</w:t>
      </w:r>
      <w:r w:rsidR="005A1CAE">
        <w:rPr>
          <w:noProof/>
        </w:rPr>
        <w:t> </w:t>
      </w:r>
      <w:r w:rsidR="005A1CAE" w:rsidRPr="005A1CAE">
        <w:rPr>
          <w:noProof/>
        </w:rPr>
        <w:t>bez</w:t>
      </w:r>
      <w:r w:rsidRPr="005A1CAE">
        <w:rPr>
          <w:noProof/>
        </w:rPr>
        <w:t>pieczeństwa na mocy tytułu V Traktatu</w:t>
      </w:r>
      <w:r w:rsidR="005A1CAE" w:rsidRPr="005A1CAE">
        <w:rPr>
          <w:noProof/>
        </w:rPr>
        <w:t xml:space="preserve"> o</w:t>
      </w:r>
      <w:r w:rsidR="005A1CAE">
        <w:rPr>
          <w:noProof/>
        </w:rPr>
        <w:t> </w:t>
      </w:r>
      <w:r w:rsidR="005A1CAE" w:rsidRPr="005A1CAE">
        <w:rPr>
          <w:noProof/>
        </w:rPr>
        <w:t>Uni</w:t>
      </w:r>
      <w:r w:rsidRPr="005A1CAE">
        <w:rPr>
          <w:noProof/>
        </w:rPr>
        <w:t>i Europejskiej oraz określonym we właściwym podstawowym akcie prawnym</w:t>
      </w:r>
    </w:p>
    <w:p w14:paraId="354675C4" w14:textId="5C828EC6" w:rsidR="00D0690F" w:rsidRPr="005A1CAE" w:rsidRDefault="00D0690F" w:rsidP="009F612D">
      <w:pPr>
        <w:pStyle w:val="ListDash2"/>
        <w:rPr>
          <w:noProof/>
        </w:rPr>
      </w:pPr>
      <w:r w:rsidRPr="005A1CAE">
        <w:rPr>
          <w:rFonts w:ascii="Wingdings" w:hAnsi="Wingdings"/>
          <w:noProof/>
        </w:rPr>
        <w:t></w:t>
      </w:r>
      <w:r w:rsidRPr="005A1CAE">
        <w:rPr>
          <w:rFonts w:ascii="Wingdings" w:hAnsi="Wingdings"/>
          <w:noProof/>
        </w:rPr>
        <w:t></w:t>
      </w:r>
      <w:r w:rsidRPr="005A1CAE">
        <w:rPr>
          <w:noProof/>
        </w:rPr>
        <w:t>podmiotom mającym siedzibę</w:t>
      </w:r>
      <w:r w:rsidR="005A1CAE" w:rsidRPr="005A1CAE">
        <w:rPr>
          <w:noProof/>
        </w:rPr>
        <w:t xml:space="preserve"> w</w:t>
      </w:r>
      <w:r w:rsidR="005A1CAE">
        <w:rPr>
          <w:noProof/>
        </w:rPr>
        <w:t> </w:t>
      </w:r>
      <w:r w:rsidR="005A1CAE" w:rsidRPr="005A1CAE">
        <w:rPr>
          <w:noProof/>
        </w:rPr>
        <w:t>pań</w:t>
      </w:r>
      <w:r w:rsidRPr="005A1CAE">
        <w:rPr>
          <w:noProof/>
        </w:rPr>
        <w:t>stwie członkowskim, podlegającym prawu prywatnemu państwa członkowskiego lub prawu Unii</w:t>
      </w:r>
      <w:r w:rsidR="005A1CAE" w:rsidRPr="005A1CAE">
        <w:rPr>
          <w:noProof/>
        </w:rPr>
        <w:t xml:space="preserve"> i</w:t>
      </w:r>
      <w:r w:rsidR="005A1CAE">
        <w:rPr>
          <w:noProof/>
        </w:rPr>
        <w:t> </w:t>
      </w:r>
      <w:r w:rsidR="005A1CAE" w:rsidRPr="005A1CAE">
        <w:rPr>
          <w:noProof/>
        </w:rPr>
        <w:t>kwa</w:t>
      </w:r>
      <w:r w:rsidRPr="005A1CAE">
        <w:rPr>
          <w:noProof/>
        </w:rPr>
        <w:t>lifikującym się, zgodnie</w:t>
      </w:r>
      <w:r w:rsidR="005A1CAE" w:rsidRPr="005A1CAE">
        <w:rPr>
          <w:noProof/>
        </w:rPr>
        <w:t xml:space="preserve"> z</w:t>
      </w:r>
      <w:r w:rsidR="005A1CAE">
        <w:rPr>
          <w:noProof/>
        </w:rPr>
        <w:t> </w:t>
      </w:r>
      <w:r w:rsidR="005A1CAE" w:rsidRPr="005A1CAE">
        <w:rPr>
          <w:noProof/>
        </w:rPr>
        <w:t>prz</w:t>
      </w:r>
      <w:r w:rsidRPr="005A1CAE">
        <w:rPr>
          <w:noProof/>
        </w:rPr>
        <w:t>episami sektorowymi, do powierzenia im wykonywania środków finansowych Unii lub gwarancji budżetowych,</w:t>
      </w:r>
      <w:r w:rsidR="005A1CAE" w:rsidRPr="005A1CAE">
        <w:rPr>
          <w:noProof/>
        </w:rPr>
        <w:t xml:space="preserve"> w</w:t>
      </w:r>
      <w:r w:rsidR="005A1CAE">
        <w:rPr>
          <w:noProof/>
        </w:rPr>
        <w:t> </w:t>
      </w:r>
      <w:r w:rsidR="005A1CAE" w:rsidRPr="005A1CAE">
        <w:rPr>
          <w:noProof/>
        </w:rPr>
        <w:t>zak</w:t>
      </w:r>
      <w:r w:rsidRPr="005A1CAE">
        <w:rPr>
          <w:noProof/>
        </w:rPr>
        <w:t>resie,</w:t>
      </w:r>
      <w:r w:rsidR="005A1CAE" w:rsidRPr="005A1CAE">
        <w:rPr>
          <w:noProof/>
        </w:rPr>
        <w:t xml:space="preserve"> w</w:t>
      </w:r>
      <w:r w:rsidR="005A1CAE">
        <w:rPr>
          <w:noProof/>
        </w:rPr>
        <w:t> </w:t>
      </w:r>
      <w:r w:rsidR="005A1CAE" w:rsidRPr="005A1CAE">
        <w:rPr>
          <w:noProof/>
        </w:rPr>
        <w:t>jak</w:t>
      </w:r>
      <w:r w:rsidRPr="005A1CAE">
        <w:rPr>
          <w:noProof/>
        </w:rPr>
        <w:t>im podmioty te są kontrolowane przez podmioty prawa publicznego lub podmioty podlegające prawu prywatnemu świadczące usługi użyteczności publicznej,</w:t>
      </w:r>
      <w:r w:rsidR="005A1CAE" w:rsidRPr="005A1CAE">
        <w:rPr>
          <w:noProof/>
        </w:rPr>
        <w:t xml:space="preserve"> a</w:t>
      </w:r>
      <w:r w:rsidR="005A1CAE">
        <w:rPr>
          <w:noProof/>
        </w:rPr>
        <w:t> </w:t>
      </w:r>
      <w:r w:rsidR="005A1CAE" w:rsidRPr="005A1CAE">
        <w:rPr>
          <w:noProof/>
        </w:rPr>
        <w:t>tak</w:t>
      </w:r>
      <w:r w:rsidRPr="005A1CAE">
        <w:rPr>
          <w:noProof/>
        </w:rPr>
        <w:t>że posiadają odpowiednie gwarancje finansowe</w:t>
      </w:r>
      <w:r w:rsidR="005A1CAE" w:rsidRPr="005A1CAE">
        <w:rPr>
          <w:noProof/>
        </w:rPr>
        <w:t xml:space="preserve"> w</w:t>
      </w:r>
      <w:r w:rsidR="005A1CAE">
        <w:rPr>
          <w:noProof/>
        </w:rPr>
        <w:t> </w:t>
      </w:r>
      <w:r w:rsidR="005A1CAE" w:rsidRPr="005A1CAE">
        <w:rPr>
          <w:noProof/>
        </w:rPr>
        <w:t>for</w:t>
      </w:r>
      <w:r w:rsidRPr="005A1CAE">
        <w:rPr>
          <w:noProof/>
        </w:rPr>
        <w:t xml:space="preserve">mie odpowiedzialności solidarnej organów kontrolnych lub równoważne gwarancje finansowe, które mogą być </w:t>
      </w:r>
      <w:r w:rsidRPr="005A1CAE">
        <w:rPr>
          <w:noProof/>
        </w:rPr>
        <w:lastRenderedPageBreak/>
        <w:t>ograniczone,</w:t>
      </w:r>
      <w:r w:rsidR="005A1CAE" w:rsidRPr="005A1CAE">
        <w:rPr>
          <w:noProof/>
        </w:rPr>
        <w:t xml:space="preserve"> w</w:t>
      </w:r>
      <w:r w:rsidR="005A1CAE">
        <w:rPr>
          <w:noProof/>
        </w:rPr>
        <w:t> </w:t>
      </w:r>
      <w:r w:rsidR="005A1CAE" w:rsidRPr="005A1CAE">
        <w:rPr>
          <w:noProof/>
        </w:rPr>
        <w:t>odn</w:t>
      </w:r>
      <w:r w:rsidRPr="005A1CAE">
        <w:rPr>
          <w:noProof/>
        </w:rPr>
        <w:t>iesieniu do każdego działania, do maksymalnej kwoty wsparcia Unii.</w:t>
      </w:r>
    </w:p>
    <w:p w14:paraId="6B20B312" w14:textId="77777777" w:rsidR="00D0690F" w:rsidRPr="005A1CAE" w:rsidRDefault="00D0690F" w:rsidP="009F612D">
      <w:pPr>
        <w:rPr>
          <w:noProof/>
        </w:rPr>
      </w:pPr>
      <w:r w:rsidRPr="005A1CAE">
        <w:rPr>
          <w:noProof/>
        </w:rPr>
        <w:t xml:space="preserve">Uwagi </w:t>
      </w:r>
    </w:p>
    <w:p w14:paraId="6082B5B2" w14:textId="77777777" w:rsidR="00D0690F" w:rsidRPr="005A1CAE" w:rsidRDefault="00793103" w:rsidP="00793103">
      <w:pPr>
        <w:pBdr>
          <w:top w:val="single" w:sz="4" w:space="1" w:color="auto"/>
          <w:left w:val="single" w:sz="4" w:space="4" w:color="auto"/>
          <w:bottom w:val="single" w:sz="4" w:space="1" w:color="auto"/>
          <w:right w:val="single" w:sz="4" w:space="4" w:color="auto"/>
        </w:pBdr>
        <w:rPr>
          <w:noProof/>
        </w:rPr>
        <w:sectPr w:rsidR="00D0690F" w:rsidRPr="005A1CAE" w:rsidSect="009A1A09">
          <w:pgSz w:w="11907" w:h="16840" w:code="9"/>
          <w:pgMar w:top="1134" w:right="1418" w:bottom="1134" w:left="1418" w:header="709" w:footer="709" w:gutter="0"/>
          <w:cols w:space="708"/>
          <w:docGrid w:linePitch="360"/>
        </w:sectPr>
      </w:pPr>
      <w:r w:rsidRPr="005A1CAE">
        <w:rPr>
          <w:noProof/>
        </w:rPr>
        <w:t xml:space="preserve">Nie dotyczy. </w:t>
      </w:r>
    </w:p>
    <w:p w14:paraId="118146C2" w14:textId="77777777" w:rsidR="00D0690F" w:rsidRPr="005A1CAE" w:rsidRDefault="00D0690F" w:rsidP="009F612D">
      <w:pPr>
        <w:pStyle w:val="ManualHeading1"/>
        <w:rPr>
          <w:bCs/>
          <w:noProof/>
          <w:szCs w:val="24"/>
        </w:rPr>
      </w:pPr>
      <w:bookmarkStart w:id="86" w:name="_Toc514938041"/>
      <w:bookmarkStart w:id="87" w:name="_Toc520485042"/>
      <w:bookmarkStart w:id="88" w:name="_Toc160804584"/>
      <w:bookmarkStart w:id="89" w:name="_Toc167220276"/>
      <w:bookmarkStart w:id="90" w:name="_Toc177549009"/>
      <w:r w:rsidRPr="005A1CAE">
        <w:rPr>
          <w:noProof/>
        </w:rPr>
        <w:lastRenderedPageBreak/>
        <w:t>2.</w:t>
      </w:r>
      <w:r w:rsidRPr="005A1CAE">
        <w:rPr>
          <w:noProof/>
        </w:rPr>
        <w:tab/>
        <w:t>ŚRODKI ZARZĄDZANIA</w:t>
      </w:r>
      <w:bookmarkEnd w:id="86"/>
      <w:bookmarkEnd w:id="87"/>
      <w:bookmarkEnd w:id="88"/>
      <w:bookmarkEnd w:id="89"/>
      <w:bookmarkEnd w:id="90"/>
      <w:r w:rsidRPr="005A1CAE">
        <w:rPr>
          <w:noProof/>
        </w:rPr>
        <w:t xml:space="preserve"> </w:t>
      </w:r>
    </w:p>
    <w:p w14:paraId="278432D5" w14:textId="1EF4B63D" w:rsidR="00D0690F" w:rsidRPr="005A1CAE" w:rsidRDefault="00D0690F" w:rsidP="009F612D">
      <w:pPr>
        <w:pStyle w:val="ManualHeading2"/>
        <w:rPr>
          <w:noProof/>
        </w:rPr>
      </w:pPr>
      <w:bookmarkStart w:id="91" w:name="_Toc514938042"/>
      <w:bookmarkStart w:id="92" w:name="_Toc520485043"/>
      <w:bookmarkStart w:id="93" w:name="_Toc160804585"/>
      <w:bookmarkStart w:id="94" w:name="_Toc167220277"/>
      <w:bookmarkStart w:id="95" w:name="_Toc177549010"/>
      <w:r w:rsidRPr="005A1CAE">
        <w:rPr>
          <w:noProof/>
        </w:rPr>
        <w:t>2.1.</w:t>
      </w:r>
      <w:r w:rsidRPr="005A1CAE">
        <w:rPr>
          <w:noProof/>
        </w:rPr>
        <w:tab/>
        <w:t>Zasady nadzoru</w:t>
      </w:r>
      <w:r w:rsidR="005A1CAE" w:rsidRPr="005A1CAE">
        <w:rPr>
          <w:noProof/>
        </w:rPr>
        <w:t xml:space="preserve"> i</w:t>
      </w:r>
      <w:r w:rsidR="005A1CAE">
        <w:rPr>
          <w:noProof/>
        </w:rPr>
        <w:t> </w:t>
      </w:r>
      <w:r w:rsidR="005A1CAE" w:rsidRPr="005A1CAE">
        <w:rPr>
          <w:noProof/>
        </w:rPr>
        <w:t>spr</w:t>
      </w:r>
      <w:r w:rsidRPr="005A1CAE">
        <w:rPr>
          <w:noProof/>
        </w:rPr>
        <w:t>awozdawczości</w:t>
      </w:r>
      <w:bookmarkEnd w:id="91"/>
      <w:bookmarkEnd w:id="92"/>
      <w:bookmarkEnd w:id="93"/>
      <w:bookmarkEnd w:id="94"/>
      <w:bookmarkEnd w:id="95"/>
      <w:r w:rsidRPr="005A1CAE">
        <w:rPr>
          <w:noProof/>
        </w:rPr>
        <w:t xml:space="preserve"> </w:t>
      </w:r>
    </w:p>
    <w:p w14:paraId="159ECB41" w14:textId="7C6AFCFC" w:rsidR="00793103" w:rsidRPr="005A1CAE" w:rsidRDefault="00793103" w:rsidP="00793103">
      <w:pPr>
        <w:pStyle w:val="Text1"/>
        <w:pBdr>
          <w:top w:val="single" w:sz="4" w:space="1" w:color="auto"/>
          <w:left w:val="single" w:sz="4" w:space="4" w:color="auto"/>
          <w:bottom w:val="single" w:sz="4" w:space="1" w:color="auto"/>
          <w:right w:val="single" w:sz="4" w:space="4" w:color="auto"/>
        </w:pBdr>
        <w:rPr>
          <w:noProof/>
        </w:rPr>
      </w:pPr>
      <w:r w:rsidRPr="005A1CAE">
        <w:rPr>
          <w:noProof/>
        </w:rPr>
        <w:t>Komisja zapewni wprowadzenie ustaleń dotyczących monitorowania</w:t>
      </w:r>
      <w:r w:rsidR="005A1CAE" w:rsidRPr="005A1CAE">
        <w:rPr>
          <w:noProof/>
        </w:rPr>
        <w:t xml:space="preserve"> i</w:t>
      </w:r>
      <w:r w:rsidR="005A1CAE">
        <w:rPr>
          <w:noProof/>
        </w:rPr>
        <w:t> </w:t>
      </w:r>
      <w:r w:rsidR="005A1CAE" w:rsidRPr="005A1CAE">
        <w:rPr>
          <w:noProof/>
        </w:rPr>
        <w:t>oce</w:t>
      </w:r>
      <w:r w:rsidRPr="005A1CAE">
        <w:rPr>
          <w:noProof/>
        </w:rPr>
        <w:t>ny funkcjonowania CBAM</w:t>
      </w:r>
      <w:r w:rsidR="005A1CAE" w:rsidRPr="005A1CAE">
        <w:rPr>
          <w:noProof/>
        </w:rPr>
        <w:t xml:space="preserve"> i</w:t>
      </w:r>
      <w:r w:rsidR="005A1CAE">
        <w:rPr>
          <w:noProof/>
        </w:rPr>
        <w:t> </w:t>
      </w:r>
      <w:r w:rsidR="005A1CAE" w:rsidRPr="005A1CAE">
        <w:rPr>
          <w:noProof/>
        </w:rPr>
        <w:t>jeg</w:t>
      </w:r>
      <w:r w:rsidRPr="005A1CAE">
        <w:rPr>
          <w:noProof/>
        </w:rPr>
        <w:t>o oceny</w:t>
      </w:r>
      <w:r w:rsidR="005A1CAE" w:rsidRPr="005A1CAE">
        <w:rPr>
          <w:noProof/>
        </w:rPr>
        <w:t xml:space="preserve"> w</w:t>
      </w:r>
      <w:r w:rsidR="005A1CAE">
        <w:rPr>
          <w:noProof/>
        </w:rPr>
        <w:t> </w:t>
      </w:r>
      <w:r w:rsidR="005A1CAE" w:rsidRPr="005A1CAE">
        <w:rPr>
          <w:noProof/>
        </w:rPr>
        <w:t>odn</w:t>
      </w:r>
      <w:r w:rsidRPr="005A1CAE">
        <w:rPr>
          <w:noProof/>
        </w:rPr>
        <w:t xml:space="preserve">iesieniu do głównych celów polityki. </w:t>
      </w:r>
    </w:p>
    <w:p w14:paraId="07E84719" w14:textId="77E28033" w:rsidR="00D0690F" w:rsidRPr="005A1CAE" w:rsidRDefault="00793103" w:rsidP="00793103">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5A1CAE">
        <w:rPr>
          <w:noProof/>
        </w:rPr>
        <w:t>Przed zakończeniem okresu przejściowego</w:t>
      </w:r>
      <w:r w:rsidR="005A1CAE" w:rsidRPr="005A1CAE">
        <w:rPr>
          <w:noProof/>
        </w:rPr>
        <w:t xml:space="preserve"> z</w:t>
      </w:r>
      <w:r w:rsidR="005A1CAE">
        <w:rPr>
          <w:noProof/>
        </w:rPr>
        <w:t> </w:t>
      </w:r>
      <w:r w:rsidR="005A1CAE" w:rsidRPr="005A1CAE">
        <w:rPr>
          <w:noProof/>
        </w:rPr>
        <w:t>koń</w:t>
      </w:r>
      <w:r w:rsidRPr="005A1CAE">
        <w:rPr>
          <w:noProof/>
        </w:rPr>
        <w:t>cem 2025</w:t>
      </w:r>
      <w:r w:rsidR="005A1CAE" w:rsidRPr="005A1CAE">
        <w:rPr>
          <w:noProof/>
        </w:rPr>
        <w:t> </w:t>
      </w:r>
      <w:r w:rsidRPr="005A1CAE">
        <w:rPr>
          <w:noProof/>
        </w:rPr>
        <w:t>r. Komisja opublikuje kompleksowe oceny funkcjonowania CBAM,</w:t>
      </w:r>
      <w:r w:rsidR="005A1CAE" w:rsidRPr="005A1CAE">
        <w:rPr>
          <w:noProof/>
        </w:rPr>
        <w:t xml:space="preserve"> w</w:t>
      </w:r>
      <w:r w:rsidR="005A1CAE">
        <w:rPr>
          <w:noProof/>
        </w:rPr>
        <w:t> </w:t>
      </w:r>
      <w:r w:rsidR="005A1CAE" w:rsidRPr="005A1CAE">
        <w:rPr>
          <w:noProof/>
        </w:rPr>
        <w:t>tym</w:t>
      </w:r>
      <w:r w:rsidRPr="005A1CAE">
        <w:rPr>
          <w:noProof/>
        </w:rPr>
        <w:t xml:space="preserve"> zarządzania tym mechanizmem,</w:t>
      </w:r>
      <w:r w:rsidR="005A1CAE" w:rsidRPr="005A1CAE">
        <w:rPr>
          <w:noProof/>
        </w:rPr>
        <w:t xml:space="preserve"> a</w:t>
      </w:r>
      <w:r w:rsidR="005A1CAE">
        <w:rPr>
          <w:noProof/>
        </w:rPr>
        <w:t> </w:t>
      </w:r>
      <w:r w:rsidR="005A1CAE" w:rsidRPr="005A1CAE">
        <w:rPr>
          <w:noProof/>
        </w:rPr>
        <w:t>nas</w:t>
      </w:r>
      <w:r w:rsidRPr="005A1CAE">
        <w:rPr>
          <w:noProof/>
        </w:rPr>
        <w:t>tępnie będzie publikować takie oceny co dwa lata.</w:t>
      </w:r>
    </w:p>
    <w:p w14:paraId="74FC2C52" w14:textId="0CBD38D2" w:rsidR="00D0690F" w:rsidRPr="005A1CAE" w:rsidRDefault="00D0690F" w:rsidP="009F612D">
      <w:pPr>
        <w:pStyle w:val="ManualHeading2"/>
        <w:rPr>
          <w:bCs/>
          <w:noProof/>
          <w:szCs w:val="24"/>
        </w:rPr>
      </w:pPr>
      <w:bookmarkStart w:id="96" w:name="_Toc514938045"/>
      <w:bookmarkStart w:id="97" w:name="_Toc520485044"/>
      <w:bookmarkStart w:id="98" w:name="_Toc160804586"/>
      <w:bookmarkStart w:id="99" w:name="_Toc167220278"/>
      <w:bookmarkStart w:id="100" w:name="_Toc177549011"/>
      <w:r w:rsidRPr="005A1CAE">
        <w:rPr>
          <w:noProof/>
        </w:rPr>
        <w:t>2.2.</w:t>
      </w:r>
      <w:r w:rsidRPr="005A1CAE">
        <w:rPr>
          <w:noProof/>
        </w:rPr>
        <w:tab/>
        <w:t>System zarządzania</w:t>
      </w:r>
      <w:r w:rsidR="005A1CAE" w:rsidRPr="005A1CAE">
        <w:rPr>
          <w:noProof/>
        </w:rPr>
        <w:t xml:space="preserve"> i</w:t>
      </w:r>
      <w:r w:rsidR="005A1CAE">
        <w:rPr>
          <w:noProof/>
        </w:rPr>
        <w:t> </w:t>
      </w:r>
      <w:r w:rsidR="005A1CAE" w:rsidRPr="005A1CAE">
        <w:rPr>
          <w:noProof/>
        </w:rPr>
        <w:t>kon</w:t>
      </w:r>
      <w:r w:rsidRPr="005A1CAE">
        <w:rPr>
          <w:noProof/>
        </w:rPr>
        <w:t>troli</w:t>
      </w:r>
      <w:bookmarkEnd w:id="96"/>
      <w:bookmarkEnd w:id="97"/>
      <w:bookmarkEnd w:id="98"/>
      <w:bookmarkEnd w:id="99"/>
      <w:bookmarkEnd w:id="100"/>
      <w:r w:rsidRPr="005A1CAE">
        <w:rPr>
          <w:noProof/>
        </w:rPr>
        <w:t xml:space="preserve"> </w:t>
      </w:r>
    </w:p>
    <w:p w14:paraId="093D465F" w14:textId="2E9BE12A" w:rsidR="00D0690F" w:rsidRPr="005A1CAE" w:rsidRDefault="00D0690F" w:rsidP="009F612D">
      <w:pPr>
        <w:pStyle w:val="ManualHeading3"/>
        <w:rPr>
          <w:noProof/>
        </w:rPr>
      </w:pPr>
      <w:bookmarkStart w:id="101" w:name="_Toc514938046"/>
      <w:bookmarkStart w:id="102" w:name="_Toc520485045"/>
      <w:bookmarkStart w:id="103" w:name="_Toc160804587"/>
      <w:bookmarkStart w:id="104" w:name="_Toc167220279"/>
      <w:bookmarkStart w:id="105" w:name="_Toc177549012"/>
      <w:r w:rsidRPr="005A1CAE">
        <w:rPr>
          <w:noProof/>
        </w:rPr>
        <w:t>2.2.1.</w:t>
      </w:r>
      <w:r w:rsidRPr="005A1CAE">
        <w:rPr>
          <w:noProof/>
        </w:rPr>
        <w:tab/>
        <w:t>Uzasadnienie dla proponowanych metod wykonania budżetu, mechanizmów finansowania wykonania, sposobów dokonywania płatności</w:t>
      </w:r>
      <w:r w:rsidR="005A1CAE" w:rsidRPr="005A1CAE">
        <w:rPr>
          <w:noProof/>
        </w:rPr>
        <w:t xml:space="preserve"> i</w:t>
      </w:r>
      <w:r w:rsidR="005A1CAE">
        <w:rPr>
          <w:noProof/>
        </w:rPr>
        <w:t> </w:t>
      </w:r>
      <w:r w:rsidR="005A1CAE" w:rsidRPr="005A1CAE">
        <w:rPr>
          <w:noProof/>
        </w:rPr>
        <w:t>str</w:t>
      </w:r>
      <w:r w:rsidRPr="005A1CAE">
        <w:rPr>
          <w:noProof/>
        </w:rPr>
        <w:t>ategii kontroli</w:t>
      </w:r>
      <w:bookmarkEnd w:id="101"/>
      <w:bookmarkEnd w:id="102"/>
      <w:bookmarkEnd w:id="103"/>
      <w:bookmarkEnd w:id="104"/>
      <w:bookmarkEnd w:id="105"/>
    </w:p>
    <w:p w14:paraId="0EC1524D" w14:textId="22DA9E9F"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ind w:left="720"/>
        <w:rPr>
          <w:rFonts w:eastAsia="Times New Roman"/>
          <w:noProof/>
          <w:szCs w:val="24"/>
        </w:rPr>
      </w:pPr>
      <w:bookmarkStart w:id="106" w:name="_Toc514938047"/>
      <w:bookmarkStart w:id="107" w:name="_Toc520485046"/>
      <w:bookmarkStart w:id="108" w:name="_Toc160804588"/>
      <w:bookmarkStart w:id="109" w:name="_Toc167220280"/>
      <w:bookmarkStart w:id="110" w:name="_Toc177549013"/>
      <w:r w:rsidRPr="005A1CAE">
        <w:rPr>
          <w:noProof/>
        </w:rPr>
        <w:t>Znacząco scentralizowana struktura CBAM umożliwia jego jednolite</w:t>
      </w:r>
      <w:r w:rsidR="005A1CAE" w:rsidRPr="005A1CAE">
        <w:rPr>
          <w:noProof/>
        </w:rPr>
        <w:t xml:space="preserve"> i</w:t>
      </w:r>
      <w:r w:rsidR="005A1CAE">
        <w:rPr>
          <w:noProof/>
        </w:rPr>
        <w:t> </w:t>
      </w:r>
      <w:r w:rsidR="005A1CAE" w:rsidRPr="005A1CAE">
        <w:rPr>
          <w:noProof/>
        </w:rPr>
        <w:t>sku</w:t>
      </w:r>
      <w:r w:rsidRPr="005A1CAE">
        <w:rPr>
          <w:noProof/>
        </w:rPr>
        <w:t>teczne wdrożenie</w:t>
      </w:r>
      <w:r w:rsidR="005A1CAE" w:rsidRPr="005A1CAE">
        <w:rPr>
          <w:noProof/>
        </w:rPr>
        <w:t xml:space="preserve"> w</w:t>
      </w:r>
      <w:r w:rsidR="005A1CAE">
        <w:rPr>
          <w:noProof/>
        </w:rPr>
        <w:t> </w:t>
      </w:r>
      <w:r w:rsidR="005A1CAE" w:rsidRPr="005A1CAE">
        <w:rPr>
          <w:noProof/>
        </w:rPr>
        <w:t>cał</w:t>
      </w:r>
      <w:r w:rsidRPr="005A1CAE">
        <w:rPr>
          <w:noProof/>
        </w:rPr>
        <w:t>ej UE,</w:t>
      </w:r>
      <w:r w:rsidR="005A1CAE" w:rsidRPr="005A1CAE">
        <w:rPr>
          <w:noProof/>
        </w:rPr>
        <w:t xml:space="preserve"> w</w:t>
      </w:r>
      <w:r w:rsidR="005A1CAE">
        <w:rPr>
          <w:noProof/>
        </w:rPr>
        <w:t> </w:t>
      </w:r>
      <w:r w:rsidR="005A1CAE" w:rsidRPr="005A1CAE">
        <w:rPr>
          <w:noProof/>
        </w:rPr>
        <w:t>tym w</w:t>
      </w:r>
      <w:r w:rsidR="005A1CAE">
        <w:rPr>
          <w:noProof/>
        </w:rPr>
        <w:t> </w:t>
      </w:r>
      <w:r w:rsidR="005A1CAE" w:rsidRPr="005A1CAE">
        <w:rPr>
          <w:noProof/>
        </w:rPr>
        <w:t>pań</w:t>
      </w:r>
      <w:r w:rsidRPr="005A1CAE">
        <w:rPr>
          <w:noProof/>
        </w:rPr>
        <w:t>stwach członkowskich, których zdolności administracyjne</w:t>
      </w:r>
      <w:r w:rsidR="005A1CAE" w:rsidRPr="005A1CAE">
        <w:rPr>
          <w:noProof/>
        </w:rPr>
        <w:t xml:space="preserve"> w</w:t>
      </w:r>
      <w:r w:rsidR="005A1CAE">
        <w:rPr>
          <w:noProof/>
        </w:rPr>
        <w:t> </w:t>
      </w:r>
      <w:r w:rsidR="005A1CAE" w:rsidRPr="005A1CAE">
        <w:rPr>
          <w:noProof/>
        </w:rPr>
        <w:t>zak</w:t>
      </w:r>
      <w:r w:rsidRPr="005A1CAE">
        <w:rPr>
          <w:noProof/>
        </w:rPr>
        <w:t>resie kwestii klimatycznych są bardziej ograniczone. Większość zadań związanych</w:t>
      </w:r>
      <w:r w:rsidR="005A1CAE" w:rsidRPr="005A1CAE">
        <w:rPr>
          <w:noProof/>
        </w:rPr>
        <w:t xml:space="preserve"> z</w:t>
      </w:r>
      <w:r w:rsidR="005A1CAE">
        <w:rPr>
          <w:noProof/>
        </w:rPr>
        <w:t> </w:t>
      </w:r>
      <w:r w:rsidR="005A1CAE" w:rsidRPr="005A1CAE">
        <w:rPr>
          <w:noProof/>
        </w:rPr>
        <w:t>wdr</w:t>
      </w:r>
      <w:r w:rsidRPr="005A1CAE">
        <w:rPr>
          <w:noProof/>
        </w:rPr>
        <w:t>ażaniem</w:t>
      </w:r>
      <w:r w:rsidR="005A1CAE" w:rsidRPr="005A1CAE">
        <w:rPr>
          <w:noProof/>
        </w:rPr>
        <w:t xml:space="preserve"> i</w:t>
      </w:r>
      <w:r w:rsidR="005A1CAE">
        <w:rPr>
          <w:noProof/>
        </w:rPr>
        <w:t> </w:t>
      </w:r>
      <w:r w:rsidR="005A1CAE" w:rsidRPr="005A1CAE">
        <w:rPr>
          <w:noProof/>
        </w:rPr>
        <w:t>egz</w:t>
      </w:r>
      <w:r w:rsidRPr="005A1CAE">
        <w:rPr>
          <w:noProof/>
        </w:rPr>
        <w:t>ekwowaniem CBAM powierzono służbom Komisji. Wymaga to również zwiększenia liczby jej zadań kontrolnych</w:t>
      </w:r>
      <w:r w:rsidR="005A1CAE" w:rsidRPr="005A1CAE">
        <w:rPr>
          <w:noProof/>
        </w:rPr>
        <w:t xml:space="preserve"> w</w:t>
      </w:r>
      <w:r w:rsidR="005A1CAE">
        <w:rPr>
          <w:noProof/>
        </w:rPr>
        <w:t> </w:t>
      </w:r>
      <w:r w:rsidR="005A1CAE" w:rsidRPr="005A1CAE">
        <w:rPr>
          <w:noProof/>
        </w:rPr>
        <w:t>cel</w:t>
      </w:r>
      <w:r w:rsidRPr="005A1CAE">
        <w:rPr>
          <w:noProof/>
        </w:rPr>
        <w:t>u zapewnienia prawidłowego wdrożenia CBAM</w:t>
      </w:r>
      <w:r w:rsidR="005A1CAE" w:rsidRPr="005A1CAE">
        <w:rPr>
          <w:noProof/>
        </w:rPr>
        <w:t xml:space="preserve"> i</w:t>
      </w:r>
      <w:r w:rsidR="005A1CAE">
        <w:rPr>
          <w:noProof/>
        </w:rPr>
        <w:t> </w:t>
      </w:r>
      <w:r w:rsidR="005A1CAE" w:rsidRPr="005A1CAE">
        <w:rPr>
          <w:noProof/>
        </w:rPr>
        <w:t>zar</w:t>
      </w:r>
      <w:r w:rsidRPr="005A1CAE">
        <w:rPr>
          <w:noProof/>
        </w:rPr>
        <w:t>ządzania tym mechanizmem. Ponadto Komisja przewidziała zwiększenie liczby środków zapobiegania nadużyciom finansowym.</w:t>
      </w:r>
    </w:p>
    <w:p w14:paraId="297F18C2" w14:textId="1EA819CA"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ind w:left="720"/>
        <w:rPr>
          <w:noProof/>
        </w:rPr>
      </w:pPr>
      <w:r w:rsidRPr="005A1CAE">
        <w:rPr>
          <w:noProof/>
        </w:rPr>
        <w:t>Niniejszy wniosek zmieniający zawiera szereg przepisów służących zmniejszeniu ryzyka obchodzenia przepisów</w:t>
      </w:r>
      <w:r w:rsidR="005A1CAE" w:rsidRPr="005A1CAE">
        <w:rPr>
          <w:noProof/>
        </w:rPr>
        <w:t xml:space="preserve"> i</w:t>
      </w:r>
      <w:r w:rsidR="005A1CAE">
        <w:rPr>
          <w:noProof/>
        </w:rPr>
        <w:t> </w:t>
      </w:r>
      <w:r w:rsidR="005A1CAE" w:rsidRPr="005A1CAE">
        <w:rPr>
          <w:noProof/>
        </w:rPr>
        <w:t>uni</w:t>
      </w:r>
      <w:r w:rsidRPr="005A1CAE">
        <w:rPr>
          <w:noProof/>
        </w:rPr>
        <w:t>kania ich</w:t>
      </w:r>
      <w:r w:rsidR="005A1CAE" w:rsidRPr="005A1CAE">
        <w:rPr>
          <w:noProof/>
        </w:rPr>
        <w:t xml:space="preserve"> w</w:t>
      </w:r>
      <w:r w:rsidR="005A1CAE">
        <w:rPr>
          <w:noProof/>
        </w:rPr>
        <w:t> </w:t>
      </w:r>
      <w:r w:rsidR="005A1CAE" w:rsidRPr="005A1CAE">
        <w:rPr>
          <w:noProof/>
        </w:rPr>
        <w:t>cel</w:t>
      </w:r>
      <w:r w:rsidRPr="005A1CAE">
        <w:rPr>
          <w:noProof/>
        </w:rPr>
        <w:t>u zwiększenia skuteczności CBAM. To</w:t>
      </w:r>
      <w:r w:rsidR="005A1CAE" w:rsidRPr="005A1CAE">
        <w:rPr>
          <w:noProof/>
        </w:rPr>
        <w:t xml:space="preserve"> z</w:t>
      </w:r>
      <w:r w:rsidR="005A1CAE">
        <w:rPr>
          <w:noProof/>
        </w:rPr>
        <w:t> </w:t>
      </w:r>
      <w:r w:rsidR="005A1CAE" w:rsidRPr="005A1CAE">
        <w:rPr>
          <w:noProof/>
        </w:rPr>
        <w:t>kol</w:t>
      </w:r>
      <w:r w:rsidRPr="005A1CAE">
        <w:rPr>
          <w:noProof/>
        </w:rPr>
        <w:t>ei oznacza dodatkowe potrzeby finansowe dla Komisji związane</w:t>
      </w:r>
      <w:r w:rsidR="005A1CAE" w:rsidRPr="005A1CAE">
        <w:rPr>
          <w:noProof/>
        </w:rPr>
        <w:t xml:space="preserve"> z</w:t>
      </w:r>
      <w:r w:rsidR="005A1CAE">
        <w:rPr>
          <w:noProof/>
        </w:rPr>
        <w:t> </w:t>
      </w:r>
      <w:r w:rsidR="005A1CAE" w:rsidRPr="005A1CAE">
        <w:rPr>
          <w:noProof/>
        </w:rPr>
        <w:t>wyk</w:t>
      </w:r>
      <w:r w:rsidRPr="005A1CAE">
        <w:rPr>
          <w:noProof/>
        </w:rPr>
        <w:t>onaniem tych dodatkowych zadań</w:t>
      </w:r>
      <w:r w:rsidR="005A1CAE" w:rsidRPr="005A1CAE">
        <w:rPr>
          <w:noProof/>
        </w:rPr>
        <w:t xml:space="preserve"> i</w:t>
      </w:r>
      <w:r w:rsidR="005A1CAE">
        <w:rPr>
          <w:noProof/>
        </w:rPr>
        <w:t> </w:t>
      </w:r>
      <w:r w:rsidR="005A1CAE" w:rsidRPr="005A1CAE">
        <w:rPr>
          <w:noProof/>
        </w:rPr>
        <w:t>roz</w:t>
      </w:r>
      <w:r w:rsidRPr="005A1CAE">
        <w:rPr>
          <w:noProof/>
        </w:rPr>
        <w:t xml:space="preserve">szerzeniem rejestru CBAM. </w:t>
      </w:r>
    </w:p>
    <w:p w14:paraId="0BE59A94" w14:textId="79C4EA3C" w:rsidR="00D0690F" w:rsidRPr="005A1CAE" w:rsidRDefault="00D0690F" w:rsidP="009F612D">
      <w:pPr>
        <w:pStyle w:val="ManualHeading3"/>
        <w:rPr>
          <w:bCs/>
          <w:noProof/>
          <w:szCs w:val="24"/>
        </w:rPr>
      </w:pPr>
      <w:r w:rsidRPr="005A1CAE">
        <w:rPr>
          <w:noProof/>
        </w:rPr>
        <w:t>2.2.2.</w:t>
      </w:r>
      <w:r w:rsidRPr="005A1CAE">
        <w:rPr>
          <w:noProof/>
        </w:rPr>
        <w:tab/>
        <w:t>Informacje dotyczące zidentyfikowanego ryzyka</w:t>
      </w:r>
      <w:r w:rsidR="005A1CAE" w:rsidRPr="005A1CAE">
        <w:rPr>
          <w:noProof/>
        </w:rPr>
        <w:t xml:space="preserve"> i</w:t>
      </w:r>
      <w:r w:rsidR="005A1CAE">
        <w:rPr>
          <w:noProof/>
        </w:rPr>
        <w:t> </w:t>
      </w:r>
      <w:r w:rsidR="005A1CAE" w:rsidRPr="005A1CAE">
        <w:rPr>
          <w:noProof/>
        </w:rPr>
        <w:t>sys</w:t>
      </w:r>
      <w:r w:rsidRPr="005A1CAE">
        <w:rPr>
          <w:noProof/>
        </w:rPr>
        <w:t>temów kontroli wewnętrznej ustanowionych</w:t>
      </w:r>
      <w:r w:rsidR="005A1CAE" w:rsidRPr="005A1CAE">
        <w:rPr>
          <w:noProof/>
        </w:rPr>
        <w:t xml:space="preserve"> w</w:t>
      </w:r>
      <w:r w:rsidR="005A1CAE">
        <w:rPr>
          <w:noProof/>
        </w:rPr>
        <w:t> </w:t>
      </w:r>
      <w:r w:rsidR="005A1CAE" w:rsidRPr="005A1CAE">
        <w:rPr>
          <w:noProof/>
        </w:rPr>
        <w:t>cel</w:t>
      </w:r>
      <w:r w:rsidRPr="005A1CAE">
        <w:rPr>
          <w:noProof/>
        </w:rPr>
        <w:t>u jego ograniczenia</w:t>
      </w:r>
      <w:bookmarkEnd w:id="106"/>
      <w:bookmarkEnd w:id="107"/>
      <w:bookmarkEnd w:id="108"/>
      <w:bookmarkEnd w:id="109"/>
      <w:bookmarkEnd w:id="110"/>
    </w:p>
    <w:p w14:paraId="0267D9EA" w14:textId="44559DFE"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bookmarkStart w:id="111" w:name="_Toc514938048"/>
      <w:bookmarkStart w:id="112" w:name="_Toc520485047"/>
      <w:bookmarkStart w:id="113" w:name="_Toc160804589"/>
      <w:bookmarkStart w:id="114" w:name="_Toc167220281"/>
      <w:bookmarkStart w:id="115" w:name="_Toc177549014"/>
      <w:r w:rsidRPr="005A1CAE">
        <w:rPr>
          <w:noProof/>
        </w:rPr>
        <w:t>CBAM będzie opierać się na systemie deklaratywnym, który wiąże się</w:t>
      </w:r>
      <w:r w:rsidR="005A1CAE" w:rsidRPr="005A1CAE">
        <w:rPr>
          <w:noProof/>
        </w:rPr>
        <w:t xml:space="preserve"> z</w:t>
      </w:r>
      <w:r w:rsidR="005A1CAE">
        <w:rPr>
          <w:noProof/>
        </w:rPr>
        <w:t> </w:t>
      </w:r>
      <w:r w:rsidR="005A1CAE" w:rsidRPr="005A1CAE">
        <w:rPr>
          <w:noProof/>
        </w:rPr>
        <w:t>ryz</w:t>
      </w:r>
      <w:r w:rsidRPr="005A1CAE">
        <w:rPr>
          <w:noProof/>
        </w:rPr>
        <w:t>ykiem braku deklaracji lub błędnych deklaracji. Zidentyfikowano ryzyko braku deklaracji</w:t>
      </w:r>
      <w:r w:rsidR="005A1CAE" w:rsidRPr="005A1CAE">
        <w:rPr>
          <w:noProof/>
        </w:rPr>
        <w:t xml:space="preserve"> i</w:t>
      </w:r>
      <w:r w:rsidR="005A1CAE">
        <w:rPr>
          <w:noProof/>
        </w:rPr>
        <w:t> </w:t>
      </w:r>
      <w:r w:rsidR="005A1CAE" w:rsidRPr="005A1CAE">
        <w:rPr>
          <w:noProof/>
        </w:rPr>
        <w:t>błę</w:t>
      </w:r>
      <w:r w:rsidRPr="005A1CAE">
        <w:rPr>
          <w:noProof/>
        </w:rPr>
        <w:t>dnych deklaracji (np. intensywności emisji, wielkości przywozu, miejsca produkcji towarów objętych CBAM).</w:t>
      </w:r>
    </w:p>
    <w:p w14:paraId="651F97AF" w14:textId="71D999C8"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Opracowywany jest system kontroli wewnętrznej łączący linie obrony,</w:t>
      </w:r>
      <w:r w:rsidR="005A1CAE" w:rsidRPr="005A1CAE">
        <w:rPr>
          <w:noProof/>
        </w:rPr>
        <w:t xml:space="preserve"> w</w:t>
      </w:r>
      <w:r w:rsidR="005A1CAE">
        <w:rPr>
          <w:noProof/>
        </w:rPr>
        <w:t> </w:t>
      </w:r>
      <w:r w:rsidR="005A1CAE" w:rsidRPr="005A1CAE">
        <w:rPr>
          <w:noProof/>
        </w:rPr>
        <w:t>ram</w:t>
      </w:r>
      <w:r w:rsidRPr="005A1CAE">
        <w:rPr>
          <w:noProof/>
        </w:rPr>
        <w:t>ach którego stosuje się zarówno zautomatyzowane kontrole oparte na ocenie eksperckiej, jak</w:t>
      </w:r>
      <w:r w:rsidR="005A1CAE" w:rsidRPr="005A1CAE">
        <w:rPr>
          <w:noProof/>
        </w:rPr>
        <w:t xml:space="preserve"> i</w:t>
      </w:r>
      <w:r w:rsidR="005A1CAE">
        <w:rPr>
          <w:noProof/>
        </w:rPr>
        <w:t> </w:t>
      </w:r>
      <w:r w:rsidR="005A1CAE" w:rsidRPr="005A1CAE">
        <w:rPr>
          <w:noProof/>
        </w:rPr>
        <w:t>oce</w:t>
      </w:r>
      <w:r w:rsidRPr="005A1CAE">
        <w:rPr>
          <w:noProof/>
        </w:rPr>
        <w:t>ny ryzyka. Planuje się wdrożenie technik analizy danych</w:t>
      </w:r>
      <w:r w:rsidR="005A1CAE" w:rsidRPr="005A1CAE">
        <w:rPr>
          <w:noProof/>
        </w:rPr>
        <w:t xml:space="preserve"> w</w:t>
      </w:r>
      <w:r w:rsidR="005A1CAE">
        <w:rPr>
          <w:noProof/>
        </w:rPr>
        <w:t> </w:t>
      </w:r>
      <w:r w:rsidR="005A1CAE" w:rsidRPr="005A1CAE">
        <w:rPr>
          <w:noProof/>
        </w:rPr>
        <w:t>cel</w:t>
      </w:r>
      <w:r w:rsidRPr="005A1CAE">
        <w:rPr>
          <w:noProof/>
        </w:rPr>
        <w:t>u wykrywania takich rodzajów ryzyka.</w:t>
      </w:r>
    </w:p>
    <w:p w14:paraId="080AFED4" w14:textId="1A4B18A8"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Aby ograniczyć ryzyko braku deklaracji, system wymaga uzyskania upoważnienia przed przywozem towarów objętych zakresem rozporządzenia. Krajowe organy celne będą odpowiedzialne za egzekwowanie tej zasady poprzez niedopuszczanie tych towarów do obrotu do czasu uzyskania przez zgłaszającego upoważnienia zgodnie</w:t>
      </w:r>
      <w:r w:rsidR="005A1CAE" w:rsidRPr="005A1CAE">
        <w:rPr>
          <w:noProof/>
        </w:rPr>
        <w:t xml:space="preserve"> z</w:t>
      </w:r>
      <w:r w:rsidR="005A1CAE">
        <w:rPr>
          <w:noProof/>
        </w:rPr>
        <w:t> </w:t>
      </w:r>
      <w:r w:rsidR="005A1CAE" w:rsidRPr="005A1CAE">
        <w:rPr>
          <w:noProof/>
        </w:rPr>
        <w:t>prz</w:t>
      </w:r>
      <w:r w:rsidRPr="005A1CAE">
        <w:rPr>
          <w:noProof/>
        </w:rPr>
        <w:t>episami niniejszego rozporządzenia. Ponadto służby Komisji będą również często monitorować</w:t>
      </w:r>
      <w:r w:rsidR="005A1CAE" w:rsidRPr="005A1CAE">
        <w:rPr>
          <w:noProof/>
        </w:rPr>
        <w:t xml:space="preserve"> w</w:t>
      </w:r>
      <w:r w:rsidR="005A1CAE">
        <w:rPr>
          <w:noProof/>
        </w:rPr>
        <w:t> </w:t>
      </w:r>
      <w:r w:rsidR="005A1CAE" w:rsidRPr="005A1CAE">
        <w:rPr>
          <w:noProof/>
        </w:rPr>
        <w:t>dan</w:t>
      </w:r>
      <w:r w:rsidRPr="005A1CAE">
        <w:rPr>
          <w:noProof/>
        </w:rPr>
        <w:t>ym roku ewentualne przypadki importerów, którzy nie rozpoczęli procesu uzyskiwania upoważnienia pomimo osiągnięcia lub zbliżenia się do progu sprawozdawczości CBAM (w tym</w:t>
      </w:r>
      <w:r w:rsidR="005A1CAE" w:rsidRPr="005A1CAE">
        <w:rPr>
          <w:noProof/>
        </w:rPr>
        <w:t xml:space="preserve"> w</w:t>
      </w:r>
      <w:r w:rsidR="005A1CAE">
        <w:rPr>
          <w:noProof/>
        </w:rPr>
        <w:t> </w:t>
      </w:r>
      <w:r w:rsidR="005A1CAE" w:rsidRPr="005A1CAE">
        <w:rPr>
          <w:noProof/>
        </w:rPr>
        <w:t>prz</w:t>
      </w:r>
      <w:r w:rsidRPr="005A1CAE">
        <w:rPr>
          <w:noProof/>
        </w:rPr>
        <w:t>ypadku przywozu transgranicznego).</w:t>
      </w:r>
    </w:p>
    <w:p w14:paraId="28DEC4DD" w14:textId="0AA6D358"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Aby ograniczyć ryzyko błędnych deklaracji, wprowadzone zostanie podejście oparte na analizie ryzyka, oparte na wcześniej ustalonych kryteriach, oraz audyty wyrywkowe. Obecny wniosek</w:t>
      </w:r>
      <w:r w:rsidR="005A1CAE" w:rsidRPr="005A1CAE">
        <w:rPr>
          <w:noProof/>
        </w:rPr>
        <w:t xml:space="preserve"> w</w:t>
      </w:r>
      <w:r w:rsidR="005A1CAE">
        <w:rPr>
          <w:noProof/>
        </w:rPr>
        <w:t> </w:t>
      </w:r>
      <w:r w:rsidR="005A1CAE" w:rsidRPr="005A1CAE">
        <w:rPr>
          <w:noProof/>
        </w:rPr>
        <w:t>spr</w:t>
      </w:r>
      <w:r w:rsidRPr="005A1CAE">
        <w:rPr>
          <w:noProof/>
        </w:rPr>
        <w:t xml:space="preserve">awie CBAM przewiduje przyznanie służbom Komisji uprawnień do żądania dowodów umożliwiających wykorzystanie </w:t>
      </w:r>
      <w:r w:rsidRPr="005A1CAE">
        <w:rPr>
          <w:noProof/>
        </w:rPr>
        <w:lastRenderedPageBreak/>
        <w:t>rzeczywistych emisji</w:t>
      </w:r>
      <w:r w:rsidR="005A1CAE" w:rsidRPr="005A1CAE">
        <w:rPr>
          <w:noProof/>
        </w:rPr>
        <w:t xml:space="preserve"> w</w:t>
      </w:r>
      <w:r w:rsidR="005A1CAE">
        <w:rPr>
          <w:noProof/>
        </w:rPr>
        <w:t> </w:t>
      </w:r>
      <w:r w:rsidR="005A1CAE" w:rsidRPr="005A1CAE">
        <w:rPr>
          <w:noProof/>
        </w:rPr>
        <w:t>odn</w:t>
      </w:r>
      <w:r w:rsidRPr="005A1CAE">
        <w:rPr>
          <w:noProof/>
        </w:rPr>
        <w:t>iesieniu do niektórych kodów CN lub pochodzenia. We wniosku przewidziano również dodatkowe warunki dotyczące wykorzystania rzeczywistych emisji</w:t>
      </w:r>
      <w:r w:rsidR="005A1CAE" w:rsidRPr="005A1CAE">
        <w:rPr>
          <w:noProof/>
        </w:rPr>
        <w:t xml:space="preserve"> w</w:t>
      </w:r>
      <w:r w:rsidR="005A1CAE">
        <w:rPr>
          <w:noProof/>
        </w:rPr>
        <w:t> </w:t>
      </w:r>
      <w:r w:rsidR="005A1CAE" w:rsidRPr="005A1CAE">
        <w:rPr>
          <w:noProof/>
        </w:rPr>
        <w:t>odn</w:t>
      </w:r>
      <w:r w:rsidRPr="005A1CAE">
        <w:rPr>
          <w:noProof/>
        </w:rPr>
        <w:t>iesieniu do niektórych kodów CN lub pochodzenia.</w:t>
      </w:r>
    </w:p>
    <w:p w14:paraId="05330E75" w14:textId="77777777"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Odstraszający system kar będzie również służył jako środek zniechęcający do ewentualnego obchodzenia przepisów. Audyt będzie miał miejsce zarówno na poziomie deklaracji CBAM składanych przez organy krajowe, jak i na poziomie zgłoszeń przywozowych składanych przez organy celne.</w:t>
      </w:r>
    </w:p>
    <w:p w14:paraId="12BE4C83" w14:textId="418193BB" w:rsidR="00D0690F" w:rsidRPr="005A1CAE" w:rsidRDefault="00D0690F" w:rsidP="009F612D">
      <w:pPr>
        <w:pStyle w:val="ManualHeading3"/>
        <w:rPr>
          <w:noProof/>
        </w:rPr>
      </w:pPr>
      <w:r w:rsidRPr="005A1CAE">
        <w:rPr>
          <w:noProof/>
        </w:rPr>
        <w:t>2.2.3.</w:t>
      </w:r>
      <w:r w:rsidRPr="005A1CAE">
        <w:rPr>
          <w:noProof/>
        </w:rPr>
        <w:tab/>
        <w:t>Oszacowanie</w:t>
      </w:r>
      <w:r w:rsidR="005A1CAE" w:rsidRPr="005A1CAE">
        <w:rPr>
          <w:noProof/>
        </w:rPr>
        <w:t xml:space="preserve"> i</w:t>
      </w:r>
      <w:r w:rsidR="005A1CAE">
        <w:rPr>
          <w:noProof/>
        </w:rPr>
        <w:t> </w:t>
      </w:r>
      <w:r w:rsidR="005A1CAE" w:rsidRPr="005A1CAE">
        <w:rPr>
          <w:noProof/>
        </w:rPr>
        <w:t>uza</w:t>
      </w:r>
      <w:r w:rsidRPr="005A1CAE">
        <w:rPr>
          <w:noProof/>
        </w:rPr>
        <w:t>sadnienie efektywności kosztowej kontroli (relacja kosztów kontroli do wartości zarządzanych funduszy powiązanych) oraz ocena prawdopodobnego ryzyka błędu (przy płatności</w:t>
      </w:r>
      <w:r w:rsidR="005A1CAE" w:rsidRPr="005A1CAE">
        <w:rPr>
          <w:noProof/>
        </w:rPr>
        <w:t xml:space="preserve"> i</w:t>
      </w:r>
      <w:r w:rsidR="005A1CAE">
        <w:rPr>
          <w:noProof/>
        </w:rPr>
        <w:t> </w:t>
      </w:r>
      <w:r w:rsidR="005A1CAE" w:rsidRPr="005A1CAE">
        <w:rPr>
          <w:noProof/>
        </w:rPr>
        <w:t>prz</w:t>
      </w:r>
      <w:r w:rsidRPr="005A1CAE">
        <w:rPr>
          <w:noProof/>
        </w:rPr>
        <w:t>y zamykaniu)</w:t>
      </w:r>
      <w:bookmarkEnd w:id="111"/>
      <w:bookmarkEnd w:id="112"/>
      <w:bookmarkEnd w:id="113"/>
      <w:bookmarkEnd w:id="114"/>
      <w:bookmarkEnd w:id="115"/>
      <w:r w:rsidRPr="005A1CAE">
        <w:rPr>
          <w:noProof/>
        </w:rPr>
        <w:t xml:space="preserve"> </w:t>
      </w:r>
    </w:p>
    <w:p w14:paraId="298A054C" w14:textId="2D3C67D3"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bookmarkStart w:id="116" w:name="_Toc514938049"/>
      <w:bookmarkStart w:id="117" w:name="_Toc520485048"/>
      <w:bookmarkStart w:id="118" w:name="_Toc160804590"/>
      <w:bookmarkStart w:id="119" w:name="_Toc167220282"/>
      <w:bookmarkStart w:id="120" w:name="_Toc177549015"/>
      <w:r w:rsidRPr="005A1CAE">
        <w:rPr>
          <w:noProof/>
        </w:rPr>
        <w:t>Służby Komisji będą kontrolować prawidłowe stosowanie CBAM,</w:t>
      </w:r>
      <w:r w:rsidR="005A1CAE" w:rsidRPr="005A1CAE">
        <w:rPr>
          <w:noProof/>
        </w:rPr>
        <w:t xml:space="preserve"> w</w:t>
      </w:r>
      <w:r w:rsidR="005A1CAE">
        <w:rPr>
          <w:noProof/>
        </w:rPr>
        <w:t> </w:t>
      </w:r>
      <w:r w:rsidR="005A1CAE" w:rsidRPr="005A1CAE">
        <w:rPr>
          <w:noProof/>
        </w:rPr>
        <w:t>szc</w:t>
      </w:r>
      <w:r w:rsidRPr="005A1CAE">
        <w:rPr>
          <w:noProof/>
        </w:rPr>
        <w:t>zególności przekazywanie certyfikatów CBAM do umorzenia</w:t>
      </w:r>
      <w:r w:rsidR="005A1CAE" w:rsidRPr="005A1CAE">
        <w:rPr>
          <w:noProof/>
        </w:rPr>
        <w:t xml:space="preserve"> i</w:t>
      </w:r>
      <w:r w:rsidR="005A1CAE">
        <w:rPr>
          <w:noProof/>
        </w:rPr>
        <w:t> </w:t>
      </w:r>
      <w:r w:rsidR="005A1CAE" w:rsidRPr="005A1CAE">
        <w:rPr>
          <w:noProof/>
        </w:rPr>
        <w:t>pra</w:t>
      </w:r>
      <w:r w:rsidRPr="005A1CAE">
        <w:rPr>
          <w:noProof/>
        </w:rPr>
        <w:t xml:space="preserve">widłowe stosowanie progu </w:t>
      </w:r>
      <w:r w:rsidRPr="005A1CAE">
        <w:rPr>
          <w:i/>
          <w:noProof/>
        </w:rPr>
        <w:t>de minimis</w:t>
      </w:r>
      <w:r w:rsidR="005A1CAE" w:rsidRPr="005A1CAE">
        <w:rPr>
          <w:noProof/>
        </w:rPr>
        <w:t>. W</w:t>
      </w:r>
      <w:r w:rsidR="005A1CAE">
        <w:rPr>
          <w:noProof/>
        </w:rPr>
        <w:t> </w:t>
      </w:r>
      <w:r w:rsidR="005A1CAE" w:rsidRPr="005A1CAE">
        <w:rPr>
          <w:noProof/>
        </w:rPr>
        <w:t>cel</w:t>
      </w:r>
      <w:r w:rsidRPr="005A1CAE">
        <w:rPr>
          <w:noProof/>
        </w:rPr>
        <w:t>u zapewnienia opłacalności kontroli</w:t>
      </w:r>
      <w:r w:rsidR="005A1CAE" w:rsidRPr="005A1CAE">
        <w:rPr>
          <w:noProof/>
        </w:rPr>
        <w:t xml:space="preserve"> i</w:t>
      </w:r>
      <w:r w:rsidR="005A1CAE">
        <w:rPr>
          <w:noProof/>
        </w:rPr>
        <w:t> </w:t>
      </w:r>
      <w:r w:rsidR="005A1CAE" w:rsidRPr="005A1CAE">
        <w:rPr>
          <w:noProof/>
        </w:rPr>
        <w:t>prz</w:t>
      </w:r>
      <w:r w:rsidRPr="005A1CAE">
        <w:rPr>
          <w:noProof/>
        </w:rPr>
        <w:t xml:space="preserve">eciwdziałania ryzyku obchodzenia przepisów zastosowany zostanie efektywny system zarządzania ryzykiem. </w:t>
      </w:r>
    </w:p>
    <w:p w14:paraId="2EFA07EE" w14:textId="572F27C9" w:rsidR="00D0690F" w:rsidRPr="005A1CAE" w:rsidRDefault="00D0690F" w:rsidP="009F612D">
      <w:pPr>
        <w:pStyle w:val="ManualHeading2"/>
        <w:rPr>
          <w:bCs/>
          <w:noProof/>
          <w:szCs w:val="24"/>
        </w:rPr>
      </w:pPr>
      <w:r w:rsidRPr="005A1CAE">
        <w:rPr>
          <w:noProof/>
        </w:rPr>
        <w:t>2.3.</w:t>
      </w:r>
      <w:r w:rsidRPr="005A1CAE">
        <w:rPr>
          <w:noProof/>
        </w:rPr>
        <w:tab/>
        <w:t>Środki zapobiegania nadużyciom finansowym</w:t>
      </w:r>
      <w:r w:rsidR="005A1CAE" w:rsidRPr="005A1CAE">
        <w:rPr>
          <w:noProof/>
        </w:rPr>
        <w:t xml:space="preserve"> i</w:t>
      </w:r>
      <w:r w:rsidR="005A1CAE">
        <w:rPr>
          <w:noProof/>
        </w:rPr>
        <w:t> </w:t>
      </w:r>
      <w:r w:rsidR="005A1CAE" w:rsidRPr="005A1CAE">
        <w:rPr>
          <w:noProof/>
        </w:rPr>
        <w:t>nie</w:t>
      </w:r>
      <w:r w:rsidRPr="005A1CAE">
        <w:rPr>
          <w:noProof/>
        </w:rPr>
        <w:t>prawidłowościom</w:t>
      </w:r>
      <w:bookmarkEnd w:id="116"/>
      <w:bookmarkEnd w:id="117"/>
      <w:bookmarkEnd w:id="118"/>
      <w:bookmarkEnd w:id="119"/>
      <w:bookmarkEnd w:id="120"/>
      <w:r w:rsidRPr="005A1CAE">
        <w:rPr>
          <w:noProof/>
        </w:rPr>
        <w:t xml:space="preserve"> </w:t>
      </w:r>
    </w:p>
    <w:p w14:paraId="490F0EB3" w14:textId="1D99D27D"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Należy zapewnić ochronę interesów finansowych Unii</w:t>
      </w:r>
      <w:r w:rsidR="005A1CAE" w:rsidRPr="005A1CAE">
        <w:rPr>
          <w:noProof/>
        </w:rPr>
        <w:t xml:space="preserve"> w</w:t>
      </w:r>
      <w:r w:rsidR="005A1CAE">
        <w:rPr>
          <w:noProof/>
        </w:rPr>
        <w:t> </w:t>
      </w:r>
      <w:r w:rsidR="005A1CAE" w:rsidRPr="005A1CAE">
        <w:rPr>
          <w:noProof/>
        </w:rPr>
        <w:t>cał</w:t>
      </w:r>
      <w:r w:rsidRPr="005A1CAE">
        <w:rPr>
          <w:noProof/>
        </w:rPr>
        <w:t>ym cyklu wydatkowania, przez zastosowanie proporcjonalnych środków obejmujących zapobieganie nieprawidłowościom oraz ich wykrywanie</w:t>
      </w:r>
      <w:r w:rsidR="005A1CAE" w:rsidRPr="005A1CAE">
        <w:rPr>
          <w:noProof/>
        </w:rPr>
        <w:t xml:space="preserve"> i</w:t>
      </w:r>
      <w:r w:rsidR="005A1CAE">
        <w:rPr>
          <w:noProof/>
        </w:rPr>
        <w:t> </w:t>
      </w:r>
      <w:r w:rsidR="005A1CAE" w:rsidRPr="005A1CAE">
        <w:rPr>
          <w:noProof/>
        </w:rPr>
        <w:t>bad</w:t>
      </w:r>
      <w:r w:rsidRPr="005A1CAE">
        <w:rPr>
          <w:noProof/>
        </w:rPr>
        <w:t>anie, odzyskiwanie środków utraconych, nienależnie wypłaconych lub niewłaściwie wykorzystanych oraz,</w:t>
      </w:r>
      <w:r w:rsidR="005A1CAE" w:rsidRPr="005A1CAE">
        <w:rPr>
          <w:noProof/>
        </w:rPr>
        <w:t xml:space="preserve"> w</w:t>
      </w:r>
      <w:r w:rsidR="005A1CAE">
        <w:rPr>
          <w:noProof/>
        </w:rPr>
        <w:t> </w:t>
      </w:r>
      <w:r w:rsidR="005A1CAE" w:rsidRPr="005A1CAE">
        <w:rPr>
          <w:noProof/>
        </w:rPr>
        <w:t>sto</w:t>
      </w:r>
      <w:r w:rsidRPr="005A1CAE">
        <w:rPr>
          <w:noProof/>
        </w:rPr>
        <w:t>sownych przypadkach, nakładanie kar administracyjnych</w:t>
      </w:r>
      <w:r w:rsidR="005A1CAE" w:rsidRPr="005A1CAE">
        <w:rPr>
          <w:noProof/>
        </w:rPr>
        <w:t xml:space="preserve"> i</w:t>
      </w:r>
      <w:r w:rsidR="005A1CAE">
        <w:rPr>
          <w:noProof/>
        </w:rPr>
        <w:t> </w:t>
      </w:r>
      <w:r w:rsidR="005A1CAE" w:rsidRPr="005A1CAE">
        <w:rPr>
          <w:noProof/>
        </w:rPr>
        <w:t>fin</w:t>
      </w:r>
      <w:r w:rsidRPr="005A1CAE">
        <w:rPr>
          <w:noProof/>
        </w:rPr>
        <w:t xml:space="preserve">ansowych. </w:t>
      </w:r>
    </w:p>
    <w:p w14:paraId="61B3CFAD" w14:textId="542EE9BC"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Skuteczne działania</w:t>
      </w:r>
      <w:r w:rsidR="005A1CAE" w:rsidRPr="005A1CAE">
        <w:rPr>
          <w:noProof/>
        </w:rPr>
        <w:t xml:space="preserve"> w</w:t>
      </w:r>
      <w:r w:rsidR="005A1CAE">
        <w:rPr>
          <w:noProof/>
        </w:rPr>
        <w:t> </w:t>
      </w:r>
      <w:r w:rsidR="005A1CAE" w:rsidRPr="005A1CAE">
        <w:rPr>
          <w:noProof/>
        </w:rPr>
        <w:t>zak</w:t>
      </w:r>
      <w:r w:rsidRPr="005A1CAE">
        <w:rPr>
          <w:noProof/>
        </w:rPr>
        <w:t>resie zapobiegania nadużyciom finansowym wymagają aktywnej współpracy,</w:t>
      </w:r>
      <w:r w:rsidR="005A1CAE" w:rsidRPr="005A1CAE">
        <w:rPr>
          <w:noProof/>
        </w:rPr>
        <w:t xml:space="preserve"> w</w:t>
      </w:r>
      <w:r w:rsidR="005A1CAE">
        <w:rPr>
          <w:noProof/>
        </w:rPr>
        <w:t> </w:t>
      </w:r>
      <w:r w:rsidR="005A1CAE" w:rsidRPr="005A1CAE">
        <w:rPr>
          <w:noProof/>
        </w:rPr>
        <w:t>tym</w:t>
      </w:r>
      <w:r w:rsidRPr="005A1CAE">
        <w:rPr>
          <w:noProof/>
        </w:rPr>
        <w:t xml:space="preserve"> wymiany wiedzy</w:t>
      </w:r>
      <w:r w:rsidR="005A1CAE" w:rsidRPr="005A1CAE">
        <w:rPr>
          <w:noProof/>
        </w:rPr>
        <w:t xml:space="preserve"> i</w:t>
      </w:r>
      <w:r w:rsidR="005A1CAE">
        <w:rPr>
          <w:noProof/>
        </w:rPr>
        <w:t> </w:t>
      </w:r>
      <w:r w:rsidR="005A1CAE" w:rsidRPr="005A1CAE">
        <w:rPr>
          <w:noProof/>
        </w:rPr>
        <w:t>inf</w:t>
      </w:r>
      <w:r w:rsidRPr="005A1CAE">
        <w:rPr>
          <w:noProof/>
        </w:rPr>
        <w:t>ormacji, między organami celnymi</w:t>
      </w:r>
      <w:r w:rsidR="005A1CAE" w:rsidRPr="005A1CAE">
        <w:rPr>
          <w:noProof/>
        </w:rPr>
        <w:t xml:space="preserve"> a</w:t>
      </w:r>
      <w:r w:rsidR="005A1CAE">
        <w:rPr>
          <w:noProof/>
        </w:rPr>
        <w:t> </w:t>
      </w:r>
      <w:r w:rsidR="005A1CAE" w:rsidRPr="005A1CAE">
        <w:rPr>
          <w:noProof/>
        </w:rPr>
        <w:t>wła</w:t>
      </w:r>
      <w:r w:rsidRPr="005A1CAE">
        <w:rPr>
          <w:noProof/>
        </w:rPr>
        <w:t>ściwymi organami na szczeblu krajowym</w:t>
      </w:r>
      <w:r w:rsidR="005A1CAE" w:rsidRPr="005A1CAE">
        <w:rPr>
          <w:noProof/>
        </w:rPr>
        <w:t xml:space="preserve"> i</w:t>
      </w:r>
      <w:r w:rsidR="005A1CAE">
        <w:rPr>
          <w:noProof/>
        </w:rPr>
        <w:t> </w:t>
      </w:r>
      <w:r w:rsidR="005A1CAE" w:rsidRPr="005A1CAE">
        <w:rPr>
          <w:noProof/>
        </w:rPr>
        <w:t>uni</w:t>
      </w:r>
      <w:r w:rsidRPr="005A1CAE">
        <w:rPr>
          <w:noProof/>
        </w:rPr>
        <w:t>jnym; mogą również wymagać współpracy</w:t>
      </w:r>
      <w:r w:rsidR="005A1CAE" w:rsidRPr="005A1CAE">
        <w:rPr>
          <w:noProof/>
        </w:rPr>
        <w:t xml:space="preserve"> z</w:t>
      </w:r>
      <w:r w:rsidR="005A1CAE">
        <w:rPr>
          <w:noProof/>
        </w:rPr>
        <w:t> </w:t>
      </w:r>
      <w:r w:rsidR="005A1CAE" w:rsidRPr="005A1CAE">
        <w:rPr>
          <w:noProof/>
        </w:rPr>
        <w:t>pań</w:t>
      </w:r>
      <w:r w:rsidRPr="005A1CAE">
        <w:rPr>
          <w:noProof/>
        </w:rPr>
        <w:t>stwami trzecimi</w:t>
      </w:r>
      <w:r w:rsidR="005A1CAE" w:rsidRPr="005A1CAE">
        <w:rPr>
          <w:noProof/>
        </w:rPr>
        <w:t>. W</w:t>
      </w:r>
      <w:r w:rsidR="005A1CAE">
        <w:rPr>
          <w:noProof/>
        </w:rPr>
        <w:t> </w:t>
      </w:r>
      <w:r w:rsidR="005A1CAE" w:rsidRPr="005A1CAE">
        <w:rPr>
          <w:noProof/>
        </w:rPr>
        <w:t>obe</w:t>
      </w:r>
      <w:r w:rsidRPr="005A1CAE">
        <w:rPr>
          <w:noProof/>
        </w:rPr>
        <w:t>cnej wersji rozporządzenia</w:t>
      </w:r>
      <w:r w:rsidR="005A1CAE" w:rsidRPr="005A1CAE">
        <w:rPr>
          <w:noProof/>
        </w:rPr>
        <w:t xml:space="preserve"> w</w:t>
      </w:r>
      <w:r w:rsidR="005A1CAE">
        <w:rPr>
          <w:noProof/>
        </w:rPr>
        <w:t> </w:t>
      </w:r>
      <w:r w:rsidR="005A1CAE" w:rsidRPr="005A1CAE">
        <w:rPr>
          <w:noProof/>
        </w:rPr>
        <w:t>spr</w:t>
      </w:r>
      <w:r w:rsidRPr="005A1CAE">
        <w:rPr>
          <w:noProof/>
        </w:rPr>
        <w:t>awie CBAM przewidziano już solidne kanały współpracy między właściwymi organami krajowymi</w:t>
      </w:r>
      <w:r w:rsidR="005A1CAE" w:rsidRPr="005A1CAE">
        <w:rPr>
          <w:noProof/>
        </w:rPr>
        <w:t xml:space="preserve"> a</w:t>
      </w:r>
      <w:r w:rsidR="005A1CAE">
        <w:rPr>
          <w:noProof/>
        </w:rPr>
        <w:t> </w:t>
      </w:r>
      <w:r w:rsidR="005A1CAE" w:rsidRPr="005A1CAE">
        <w:rPr>
          <w:noProof/>
        </w:rPr>
        <w:t>org</w:t>
      </w:r>
      <w:r w:rsidRPr="005A1CAE">
        <w:rPr>
          <w:noProof/>
        </w:rPr>
        <w:t>anami celnymi. Utworzono sieć zarządzania ryzykiem CBAM, która rozpoczęła już prace nad przeciwdziałaniem obchodzeniu przepisów dotyczących CBAM, czego efektem</w:t>
      </w:r>
      <w:r w:rsidR="005A1CAE" w:rsidRPr="005A1CAE">
        <w:rPr>
          <w:noProof/>
        </w:rPr>
        <w:t xml:space="preserve"> w</w:t>
      </w:r>
      <w:r w:rsidR="005A1CAE">
        <w:rPr>
          <w:noProof/>
        </w:rPr>
        <w:t> </w:t>
      </w:r>
      <w:r w:rsidR="005A1CAE" w:rsidRPr="005A1CAE">
        <w:rPr>
          <w:noProof/>
        </w:rPr>
        <w:t>nin</w:t>
      </w:r>
      <w:r w:rsidRPr="005A1CAE">
        <w:rPr>
          <w:noProof/>
        </w:rPr>
        <w:t>iejszym wniosku są usprawnienia operacyjne rozporządzenia</w:t>
      </w:r>
      <w:r w:rsidR="005A1CAE" w:rsidRPr="005A1CAE">
        <w:rPr>
          <w:noProof/>
        </w:rPr>
        <w:t xml:space="preserve"> w</w:t>
      </w:r>
      <w:r w:rsidR="005A1CAE">
        <w:rPr>
          <w:noProof/>
        </w:rPr>
        <w:t> </w:t>
      </w:r>
      <w:r w:rsidR="005A1CAE" w:rsidRPr="005A1CAE">
        <w:rPr>
          <w:noProof/>
        </w:rPr>
        <w:t>spr</w:t>
      </w:r>
      <w:r w:rsidRPr="005A1CAE">
        <w:rPr>
          <w:noProof/>
        </w:rPr>
        <w:t>awie CBAM mające na celu przeciwdziałanie ryzyku obchodzenia przepisów.</w:t>
      </w:r>
    </w:p>
    <w:p w14:paraId="4A331A35" w14:textId="482E335E"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Wniosek zmieniający jeszcze bardziej zwiększa ryzyko obchodzenia przepisów dotyczących CBAM,</w:t>
      </w:r>
      <w:r w:rsidR="005A1CAE" w:rsidRPr="005A1CAE">
        <w:rPr>
          <w:noProof/>
        </w:rPr>
        <w:t xml:space="preserve"> w</w:t>
      </w:r>
      <w:r w:rsidR="005A1CAE">
        <w:rPr>
          <w:noProof/>
        </w:rPr>
        <w:t> </w:t>
      </w:r>
      <w:r w:rsidR="005A1CAE" w:rsidRPr="005A1CAE">
        <w:rPr>
          <w:noProof/>
        </w:rPr>
        <w:t>szc</w:t>
      </w:r>
      <w:r w:rsidRPr="005A1CAE">
        <w:rPr>
          <w:noProof/>
        </w:rPr>
        <w:t>zególności przez 1) zwiększenie zdolności</w:t>
      </w:r>
      <w:r w:rsidR="005A1CAE" w:rsidRPr="005A1CAE">
        <w:rPr>
          <w:noProof/>
        </w:rPr>
        <w:t xml:space="preserve"> w</w:t>
      </w:r>
      <w:r w:rsidR="005A1CAE">
        <w:rPr>
          <w:noProof/>
        </w:rPr>
        <w:t> </w:t>
      </w:r>
      <w:r w:rsidR="005A1CAE" w:rsidRPr="005A1CAE">
        <w:rPr>
          <w:noProof/>
        </w:rPr>
        <w:t>zak</w:t>
      </w:r>
      <w:r w:rsidRPr="005A1CAE">
        <w:rPr>
          <w:noProof/>
        </w:rPr>
        <w:t>resie monitorowania identyfikowalności, które będą miały na celu ograniczenie ryzyka błędnej deklaracji intensywności emisji, 2) zwiększenie szczegółowości zgłaszania składu materiałowego</w:t>
      </w:r>
      <w:r w:rsidR="005A1CAE" w:rsidRPr="005A1CAE">
        <w:rPr>
          <w:noProof/>
        </w:rPr>
        <w:t xml:space="preserve"> i</w:t>
      </w:r>
      <w:r w:rsidR="005A1CAE">
        <w:rPr>
          <w:noProof/>
        </w:rPr>
        <w:t> </w:t>
      </w:r>
      <w:r w:rsidR="005A1CAE" w:rsidRPr="005A1CAE">
        <w:rPr>
          <w:noProof/>
        </w:rPr>
        <w:t>che</w:t>
      </w:r>
      <w:r w:rsidRPr="005A1CAE">
        <w:rPr>
          <w:noProof/>
        </w:rPr>
        <w:t>micznego kodów CN, która będzie miała na celu ograniczenie ryzyka błędnej deklaracji intensywności emisji oraz 3) środki przeciwko nadużyciom. Ponadto proponuje się włączenie złomu przedkonsumenckiego jako prekursora CBAM, który był kanałem obchodzenia przepisów, służącym do sztucznego ograniczenia emisji</w:t>
      </w:r>
      <w:r w:rsidR="005A1CAE" w:rsidRPr="005A1CAE">
        <w:rPr>
          <w:noProof/>
        </w:rPr>
        <w:t xml:space="preserve"> z</w:t>
      </w:r>
      <w:r w:rsidR="005A1CAE">
        <w:rPr>
          <w:noProof/>
        </w:rPr>
        <w:t> </w:t>
      </w:r>
      <w:r w:rsidR="005A1CAE" w:rsidRPr="005A1CAE">
        <w:rPr>
          <w:noProof/>
        </w:rPr>
        <w:t>pro</w:t>
      </w:r>
      <w:r w:rsidRPr="005A1CAE">
        <w:rPr>
          <w:noProof/>
        </w:rPr>
        <w:t>cesu produkcji,</w:t>
      </w:r>
      <w:r w:rsidR="005A1CAE" w:rsidRPr="005A1CAE">
        <w:rPr>
          <w:noProof/>
        </w:rPr>
        <w:t xml:space="preserve"> a</w:t>
      </w:r>
      <w:r w:rsidR="005A1CAE">
        <w:rPr>
          <w:noProof/>
        </w:rPr>
        <w:t> </w:t>
      </w:r>
      <w:r w:rsidR="005A1CAE" w:rsidRPr="005A1CAE">
        <w:rPr>
          <w:noProof/>
        </w:rPr>
        <w:t>tym</w:t>
      </w:r>
      <w:r w:rsidRPr="005A1CAE">
        <w:rPr>
          <w:noProof/>
        </w:rPr>
        <w:t xml:space="preserve"> samym jego odpowiedzialności finansowej CBAM. </w:t>
      </w:r>
    </w:p>
    <w:p w14:paraId="25812E7C" w14:textId="77777777"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Szczególną uwagę należy zwrócić na nierzetelne podmioty gospodarcze (np. przedsiębiorstwa fasadowe, znikające podmioty gospodarcze) oraz na handel transgraniczny wewnątrz UE. Wspomniana powyżej sieć zarządzania ryzykiem CBAM będzie miała na celu przeciwdziałanie takiemu ryzyku.</w:t>
      </w:r>
    </w:p>
    <w:p w14:paraId="67E10C9B" w14:textId="053E7CC0"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lastRenderedPageBreak/>
        <w:t>Należy opracować szybkie działania</w:t>
      </w:r>
      <w:r w:rsidR="005A1CAE" w:rsidRPr="005A1CAE">
        <w:rPr>
          <w:noProof/>
        </w:rPr>
        <w:t xml:space="preserve"> w</w:t>
      </w:r>
      <w:r w:rsidR="005A1CAE">
        <w:rPr>
          <w:noProof/>
        </w:rPr>
        <w:t> </w:t>
      </w:r>
      <w:r w:rsidR="005A1CAE" w:rsidRPr="005A1CAE">
        <w:rPr>
          <w:noProof/>
        </w:rPr>
        <w:t>zak</w:t>
      </w:r>
      <w:r w:rsidRPr="005A1CAE">
        <w:rPr>
          <w:noProof/>
        </w:rPr>
        <w:t>resie zwalczania nadużyć finansowych, aby reagować na nowe/nowo wykryte ryzyko nadużyć finansowych. Właściwe organy powinny zgłaszać przypadki powtarzających się nadużyć finansowych</w:t>
      </w:r>
      <w:r w:rsidR="005A1CAE" w:rsidRPr="005A1CAE">
        <w:rPr>
          <w:noProof/>
        </w:rPr>
        <w:t xml:space="preserve"> i</w:t>
      </w:r>
      <w:r w:rsidR="005A1CAE">
        <w:rPr>
          <w:noProof/>
        </w:rPr>
        <w:t> </w:t>
      </w:r>
      <w:r w:rsidR="005A1CAE" w:rsidRPr="005A1CAE">
        <w:rPr>
          <w:noProof/>
        </w:rPr>
        <w:t>dzi</w:t>
      </w:r>
      <w:r w:rsidRPr="005A1CAE">
        <w:rPr>
          <w:noProof/>
        </w:rPr>
        <w:t>elić się wiedzą na ich temat. Rejestr CBAM jest wdrażany zgodnie</w:t>
      </w:r>
      <w:r w:rsidR="005A1CAE" w:rsidRPr="005A1CAE">
        <w:rPr>
          <w:noProof/>
        </w:rPr>
        <w:t xml:space="preserve"> z</w:t>
      </w:r>
      <w:r w:rsidR="005A1CAE">
        <w:rPr>
          <w:noProof/>
        </w:rPr>
        <w:t> </w:t>
      </w:r>
      <w:r w:rsidR="005A1CAE" w:rsidRPr="005A1CAE">
        <w:rPr>
          <w:noProof/>
        </w:rPr>
        <w:t>zas</w:t>
      </w:r>
      <w:r w:rsidRPr="005A1CAE">
        <w:rPr>
          <w:noProof/>
        </w:rPr>
        <w:t>adami wymiany wiedzy</w:t>
      </w:r>
      <w:r w:rsidR="005A1CAE" w:rsidRPr="005A1CAE">
        <w:rPr>
          <w:noProof/>
        </w:rPr>
        <w:t xml:space="preserve"> i</w:t>
      </w:r>
      <w:r w:rsidR="005A1CAE">
        <w:rPr>
          <w:noProof/>
        </w:rPr>
        <w:t> </w:t>
      </w:r>
      <w:r w:rsidR="005A1CAE" w:rsidRPr="005A1CAE">
        <w:rPr>
          <w:noProof/>
        </w:rPr>
        <w:t>zau</w:t>
      </w:r>
      <w:r w:rsidRPr="005A1CAE">
        <w:rPr>
          <w:noProof/>
        </w:rPr>
        <w:t>tomatyzowanych kontroli oraz kontroli</w:t>
      </w:r>
      <w:r w:rsidR="005A1CAE" w:rsidRPr="005A1CAE">
        <w:rPr>
          <w:noProof/>
        </w:rPr>
        <w:t xml:space="preserve"> i</w:t>
      </w:r>
      <w:r w:rsidR="005A1CAE">
        <w:rPr>
          <w:noProof/>
        </w:rPr>
        <w:t> </w:t>
      </w:r>
      <w:r w:rsidR="005A1CAE" w:rsidRPr="005A1CAE">
        <w:rPr>
          <w:noProof/>
        </w:rPr>
        <w:t>wym</w:t>
      </w:r>
      <w:r w:rsidRPr="005A1CAE">
        <w:rPr>
          <w:noProof/>
        </w:rPr>
        <w:t>iany informacji między zainteresowanymi stronami. System zarządzania ryzykiem CBAM będzie opierał się</w:t>
      </w:r>
      <w:r w:rsidR="005A1CAE" w:rsidRPr="005A1CAE">
        <w:rPr>
          <w:noProof/>
        </w:rPr>
        <w:t xml:space="preserve"> w</w:t>
      </w:r>
      <w:r w:rsidR="005A1CAE">
        <w:rPr>
          <w:noProof/>
        </w:rPr>
        <w:t> </w:t>
      </w:r>
      <w:r w:rsidR="005A1CAE" w:rsidRPr="005A1CAE">
        <w:rPr>
          <w:noProof/>
        </w:rPr>
        <w:t>szc</w:t>
      </w:r>
      <w:r w:rsidRPr="005A1CAE">
        <w:rPr>
          <w:noProof/>
        </w:rPr>
        <w:t>zególności na ugruntowanych</w:t>
      </w:r>
      <w:r w:rsidR="005A1CAE" w:rsidRPr="005A1CAE">
        <w:rPr>
          <w:noProof/>
        </w:rPr>
        <w:t xml:space="preserve"> i</w:t>
      </w:r>
      <w:r w:rsidR="005A1CAE">
        <w:rPr>
          <w:noProof/>
        </w:rPr>
        <w:t> </w:t>
      </w:r>
      <w:r w:rsidR="005A1CAE" w:rsidRPr="005A1CAE">
        <w:rPr>
          <w:noProof/>
        </w:rPr>
        <w:t>fun</w:t>
      </w:r>
      <w:r w:rsidRPr="005A1CAE">
        <w:rPr>
          <w:noProof/>
        </w:rPr>
        <w:t>kcjonujących interfejsach komunikacyjnych</w:t>
      </w:r>
      <w:r w:rsidR="005A1CAE" w:rsidRPr="005A1CAE">
        <w:rPr>
          <w:noProof/>
        </w:rPr>
        <w:t xml:space="preserve"> z</w:t>
      </w:r>
      <w:r w:rsidR="005A1CAE">
        <w:rPr>
          <w:noProof/>
        </w:rPr>
        <w:t> </w:t>
      </w:r>
      <w:r w:rsidR="005A1CAE" w:rsidRPr="005A1CAE">
        <w:rPr>
          <w:noProof/>
        </w:rPr>
        <w:t>org</w:t>
      </w:r>
      <w:r w:rsidRPr="005A1CAE">
        <w:rPr>
          <w:noProof/>
        </w:rPr>
        <w:t>anami celnymi (CRMS2)</w:t>
      </w:r>
      <w:r w:rsidR="005A1CAE" w:rsidRPr="005A1CAE">
        <w:rPr>
          <w:noProof/>
        </w:rPr>
        <w:t xml:space="preserve"> w</w:t>
      </w:r>
      <w:r w:rsidR="005A1CAE">
        <w:rPr>
          <w:noProof/>
        </w:rPr>
        <w:t> </w:t>
      </w:r>
      <w:r w:rsidR="005A1CAE" w:rsidRPr="005A1CAE">
        <w:rPr>
          <w:noProof/>
        </w:rPr>
        <w:t>cel</w:t>
      </w:r>
      <w:r w:rsidRPr="005A1CAE">
        <w:rPr>
          <w:noProof/>
        </w:rPr>
        <w:t>u informowania</w:t>
      </w:r>
      <w:r w:rsidR="005A1CAE" w:rsidRPr="005A1CAE">
        <w:rPr>
          <w:noProof/>
        </w:rPr>
        <w:t xml:space="preserve"> o</w:t>
      </w:r>
      <w:r w:rsidR="005A1CAE">
        <w:rPr>
          <w:noProof/>
        </w:rPr>
        <w:t> </w:t>
      </w:r>
      <w:r w:rsidR="005A1CAE" w:rsidRPr="005A1CAE">
        <w:rPr>
          <w:noProof/>
        </w:rPr>
        <w:t>moż</w:t>
      </w:r>
      <w:r w:rsidRPr="005A1CAE">
        <w:rPr>
          <w:noProof/>
        </w:rPr>
        <w:t>liwych przypadkach obchodzenia przepisów.</w:t>
      </w:r>
    </w:p>
    <w:p w14:paraId="3FAD940A" w14:textId="16E71E2E" w:rsidR="00D0690F" w:rsidRPr="005A1CAE" w:rsidRDefault="00793103" w:rsidP="00793103">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5A1CAE">
        <w:rPr>
          <w:noProof/>
        </w:rPr>
        <w:t>Upoważnieni zgłaszający CBAM lub importerzy niewywiązujący się</w:t>
      </w:r>
      <w:r w:rsidR="005A1CAE" w:rsidRPr="005A1CAE">
        <w:rPr>
          <w:noProof/>
        </w:rPr>
        <w:t xml:space="preserve"> z</w:t>
      </w:r>
      <w:r w:rsidR="005A1CAE">
        <w:rPr>
          <w:noProof/>
        </w:rPr>
        <w:t> </w:t>
      </w:r>
      <w:r w:rsidR="005A1CAE" w:rsidRPr="005A1CAE">
        <w:rPr>
          <w:noProof/>
        </w:rPr>
        <w:t>obo</w:t>
      </w:r>
      <w:r w:rsidRPr="005A1CAE">
        <w:rPr>
          <w:noProof/>
        </w:rPr>
        <w:t>wiązków określonych</w:t>
      </w:r>
      <w:r w:rsidR="005A1CAE" w:rsidRPr="005A1CAE">
        <w:rPr>
          <w:noProof/>
        </w:rPr>
        <w:t xml:space="preserve"> w</w:t>
      </w:r>
      <w:r w:rsidR="005A1CAE">
        <w:rPr>
          <w:noProof/>
        </w:rPr>
        <w:t> </w:t>
      </w:r>
      <w:r w:rsidR="005A1CAE" w:rsidRPr="005A1CAE">
        <w:rPr>
          <w:noProof/>
        </w:rPr>
        <w:t>roz</w:t>
      </w:r>
      <w:r w:rsidRPr="005A1CAE">
        <w:rPr>
          <w:noProof/>
        </w:rPr>
        <w:t>porządzeniu</w:t>
      </w:r>
      <w:r w:rsidR="005A1CAE" w:rsidRPr="005A1CAE">
        <w:rPr>
          <w:noProof/>
        </w:rPr>
        <w:t xml:space="preserve"> w</w:t>
      </w:r>
      <w:r w:rsidR="005A1CAE">
        <w:rPr>
          <w:noProof/>
        </w:rPr>
        <w:t> </w:t>
      </w:r>
      <w:r w:rsidR="005A1CAE" w:rsidRPr="005A1CAE">
        <w:rPr>
          <w:noProof/>
        </w:rPr>
        <w:t>spr</w:t>
      </w:r>
      <w:r w:rsidRPr="005A1CAE">
        <w:rPr>
          <w:noProof/>
        </w:rPr>
        <w:t>awie CBAM będą podlegali karze</w:t>
      </w:r>
      <w:r w:rsidR="005A1CAE" w:rsidRPr="005A1CAE">
        <w:rPr>
          <w:noProof/>
        </w:rPr>
        <w:t>. W</w:t>
      </w:r>
      <w:r w:rsidR="005A1CAE">
        <w:rPr>
          <w:noProof/>
        </w:rPr>
        <w:t> </w:t>
      </w:r>
      <w:r w:rsidR="005A1CAE" w:rsidRPr="005A1CAE">
        <w:rPr>
          <w:noProof/>
        </w:rPr>
        <w:t>prz</w:t>
      </w:r>
      <w:r w:rsidRPr="005A1CAE">
        <w:rPr>
          <w:noProof/>
        </w:rPr>
        <w:t>ypadku powtarzających się naruszeń właściwy organ krajowy może podjąć decyzję</w:t>
      </w:r>
      <w:r w:rsidR="005A1CAE" w:rsidRPr="005A1CAE">
        <w:rPr>
          <w:noProof/>
        </w:rPr>
        <w:t xml:space="preserve"> o</w:t>
      </w:r>
      <w:r w:rsidR="005A1CAE">
        <w:rPr>
          <w:noProof/>
        </w:rPr>
        <w:t> </w:t>
      </w:r>
      <w:r w:rsidR="005A1CAE" w:rsidRPr="005A1CAE">
        <w:rPr>
          <w:noProof/>
        </w:rPr>
        <w:t>zaw</w:t>
      </w:r>
      <w:r w:rsidRPr="005A1CAE">
        <w:rPr>
          <w:noProof/>
        </w:rPr>
        <w:t>ieszeniu rachunku zgłaszającego.</w:t>
      </w:r>
    </w:p>
    <w:p w14:paraId="01151589" w14:textId="77777777" w:rsidR="00793103" w:rsidRPr="005A1CAE" w:rsidRDefault="00793103" w:rsidP="00793103">
      <w:pPr>
        <w:pStyle w:val="Text1"/>
        <w:pBdr>
          <w:top w:val="single" w:sz="8" w:space="1" w:color="000000"/>
          <w:left w:val="single" w:sz="8" w:space="4" w:color="000000"/>
          <w:bottom w:val="single" w:sz="8" w:space="1" w:color="000000"/>
          <w:right w:val="single" w:sz="8" w:space="4" w:color="000000"/>
        </w:pBdr>
        <w:rPr>
          <w:noProof/>
        </w:rPr>
        <w:sectPr w:rsidR="00793103" w:rsidRPr="005A1CAE" w:rsidSect="009A1A09">
          <w:pgSz w:w="11907" w:h="16840" w:code="9"/>
          <w:pgMar w:top="1134" w:right="1418" w:bottom="1134" w:left="1418" w:header="709" w:footer="709" w:gutter="0"/>
          <w:cols w:space="708"/>
          <w:docGrid w:linePitch="360"/>
        </w:sectPr>
      </w:pPr>
    </w:p>
    <w:p w14:paraId="20E7CA57" w14:textId="77777777" w:rsidR="00D0690F" w:rsidRPr="005A1CAE" w:rsidRDefault="00D0690F" w:rsidP="009F612D">
      <w:pPr>
        <w:pStyle w:val="ManualHeading1"/>
        <w:rPr>
          <w:bCs/>
          <w:noProof/>
          <w:szCs w:val="24"/>
        </w:rPr>
      </w:pPr>
      <w:bookmarkStart w:id="121" w:name="_Toc514938050"/>
      <w:bookmarkStart w:id="122" w:name="_Toc520485049"/>
      <w:bookmarkStart w:id="123" w:name="_Toc160804591"/>
      <w:bookmarkStart w:id="124" w:name="_Toc167220283"/>
      <w:bookmarkStart w:id="125" w:name="_Toc177549016"/>
      <w:r w:rsidRPr="005A1CAE">
        <w:rPr>
          <w:noProof/>
        </w:rPr>
        <w:lastRenderedPageBreak/>
        <w:t>3.</w:t>
      </w:r>
      <w:r w:rsidRPr="005A1CAE">
        <w:rPr>
          <w:noProof/>
        </w:rPr>
        <w:tab/>
        <w:t>SZACUNKOWY WPŁYW FINANSOWY WNIOSKU/INICJATYWY</w:t>
      </w:r>
      <w:bookmarkEnd w:id="121"/>
      <w:bookmarkEnd w:id="122"/>
      <w:bookmarkEnd w:id="123"/>
      <w:bookmarkEnd w:id="124"/>
      <w:bookmarkEnd w:id="125"/>
      <w:r w:rsidRPr="005A1CAE">
        <w:rPr>
          <w:noProof/>
        </w:rPr>
        <w:t xml:space="preserve"> </w:t>
      </w:r>
    </w:p>
    <w:p w14:paraId="774A2D77" w14:textId="2E361D3B" w:rsidR="00D0690F" w:rsidRPr="005A1CAE" w:rsidRDefault="00D0690F" w:rsidP="009F612D">
      <w:pPr>
        <w:pStyle w:val="ManualHeading2"/>
        <w:rPr>
          <w:noProof/>
        </w:rPr>
      </w:pPr>
      <w:bookmarkStart w:id="126" w:name="_Toc514938051"/>
      <w:bookmarkStart w:id="127" w:name="_Toc520485050"/>
      <w:bookmarkStart w:id="128" w:name="_Toc160804592"/>
      <w:bookmarkStart w:id="129" w:name="_Toc167220284"/>
      <w:bookmarkStart w:id="130" w:name="_Toc177549017"/>
      <w:r w:rsidRPr="005A1CAE">
        <w:rPr>
          <w:noProof/>
        </w:rPr>
        <w:t>3.1.</w:t>
      </w:r>
      <w:r w:rsidRPr="005A1CAE">
        <w:rPr>
          <w:noProof/>
        </w:rPr>
        <w:tab/>
        <w:t>Działy wieloletnich ram finansowych</w:t>
      </w:r>
      <w:r w:rsidR="005A1CAE" w:rsidRPr="005A1CAE">
        <w:rPr>
          <w:noProof/>
        </w:rPr>
        <w:t xml:space="preserve"> i</w:t>
      </w:r>
      <w:r w:rsidR="005A1CAE">
        <w:rPr>
          <w:noProof/>
        </w:rPr>
        <w:t> </w:t>
      </w:r>
      <w:r w:rsidR="005A1CAE" w:rsidRPr="005A1CAE">
        <w:rPr>
          <w:noProof/>
        </w:rPr>
        <w:t>lin</w:t>
      </w:r>
      <w:r w:rsidRPr="005A1CAE">
        <w:rPr>
          <w:noProof/>
        </w:rPr>
        <w:t>ie budżetowe po stronie wydatków, na które wniosek/inicjatywa ma wpływ</w:t>
      </w:r>
      <w:bookmarkEnd w:id="126"/>
      <w:bookmarkEnd w:id="127"/>
      <w:bookmarkEnd w:id="128"/>
      <w:bookmarkEnd w:id="129"/>
      <w:bookmarkEnd w:id="130"/>
      <w:r w:rsidRPr="005A1CAE">
        <w:rPr>
          <w:noProof/>
        </w:rPr>
        <w:t xml:space="preserve"> </w:t>
      </w:r>
    </w:p>
    <w:p w14:paraId="73BF2CF8" w14:textId="77777777" w:rsidR="00D0690F" w:rsidRPr="005A1CAE" w:rsidRDefault="00D0690F" w:rsidP="009F612D">
      <w:pPr>
        <w:pStyle w:val="ListBullet1"/>
        <w:rPr>
          <w:noProof/>
        </w:rPr>
      </w:pPr>
      <w:r w:rsidRPr="005A1CAE">
        <w:rPr>
          <w:noProof/>
        </w:rPr>
        <w:t xml:space="preserve">Istniejące linie budżetowe </w:t>
      </w:r>
    </w:p>
    <w:p w14:paraId="082D1C8F" w14:textId="2F49E742" w:rsidR="004B7651" w:rsidRPr="005A1CAE" w:rsidRDefault="00D0690F" w:rsidP="004B7651">
      <w:pPr>
        <w:pStyle w:val="Text1"/>
        <w:rPr>
          <w:i/>
          <w:noProof/>
        </w:rPr>
      </w:pPr>
      <w:r w:rsidRPr="005A1CAE">
        <w:rPr>
          <w:i/>
          <w:noProof/>
          <w:u w:val="single"/>
        </w:rPr>
        <w:t>Według</w:t>
      </w:r>
      <w:r w:rsidRPr="005A1CAE">
        <w:rPr>
          <w:i/>
          <w:noProof/>
        </w:rPr>
        <w:t xml:space="preserve"> działów wieloletnich ram finansowych</w:t>
      </w:r>
      <w:r w:rsidR="005A1CAE" w:rsidRPr="005A1CAE">
        <w:rPr>
          <w:i/>
          <w:noProof/>
        </w:rPr>
        <w:t xml:space="preserve"> i</w:t>
      </w:r>
      <w:r w:rsidR="005A1CAE">
        <w:rPr>
          <w:i/>
          <w:noProof/>
        </w:rPr>
        <w:t> </w:t>
      </w:r>
      <w:r w:rsidR="005A1CAE" w:rsidRPr="005A1CAE">
        <w:rPr>
          <w:i/>
          <w:noProof/>
        </w:rPr>
        <w:t>lin</w:t>
      </w:r>
      <w:r w:rsidRPr="005A1CAE">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852"/>
        <w:gridCol w:w="1206"/>
        <w:gridCol w:w="966"/>
        <w:gridCol w:w="1463"/>
      </w:tblGrid>
      <w:tr w:rsidR="004B7651" w:rsidRPr="005A1CAE" w14:paraId="2DA316E6" w14:textId="77777777">
        <w:trPr>
          <w:jc w:val="center"/>
        </w:trPr>
        <w:tc>
          <w:tcPr>
            <w:tcW w:w="1092" w:type="dxa"/>
            <w:vMerge w:val="restart"/>
            <w:vAlign w:val="center"/>
          </w:tcPr>
          <w:p w14:paraId="45AD542B" w14:textId="77777777" w:rsidR="004B7651" w:rsidRPr="005A1CAE" w:rsidRDefault="004B7651">
            <w:pPr>
              <w:spacing w:before="60" w:after="60"/>
              <w:jc w:val="center"/>
              <w:rPr>
                <w:noProof/>
              </w:rPr>
            </w:pPr>
            <w:r w:rsidRPr="005A1CAE">
              <w:rPr>
                <w:noProof/>
                <w:sz w:val="18"/>
              </w:rPr>
              <w:t>Dział wieloletnich ram finansowych</w:t>
            </w:r>
          </w:p>
        </w:tc>
        <w:tc>
          <w:tcPr>
            <w:tcW w:w="4002" w:type="dxa"/>
            <w:vAlign w:val="center"/>
          </w:tcPr>
          <w:p w14:paraId="2582D4A2" w14:textId="77777777" w:rsidR="004B7651" w:rsidRPr="005A1CAE" w:rsidRDefault="004B7651">
            <w:pPr>
              <w:spacing w:before="60" w:after="60"/>
              <w:jc w:val="center"/>
              <w:rPr>
                <w:noProof/>
              </w:rPr>
            </w:pPr>
            <w:r w:rsidRPr="005A1CAE">
              <w:rPr>
                <w:noProof/>
                <w:sz w:val="20"/>
              </w:rPr>
              <w:t>Linia budżetowa</w:t>
            </w:r>
          </w:p>
        </w:tc>
        <w:tc>
          <w:tcPr>
            <w:tcW w:w="1092" w:type="dxa"/>
            <w:vAlign w:val="center"/>
          </w:tcPr>
          <w:p w14:paraId="27240A9E" w14:textId="77777777" w:rsidR="004B7651" w:rsidRPr="005A1CAE" w:rsidRDefault="004B7651">
            <w:pPr>
              <w:spacing w:before="60" w:after="60"/>
              <w:jc w:val="center"/>
              <w:rPr>
                <w:noProof/>
              </w:rPr>
            </w:pPr>
            <w:r w:rsidRPr="005A1CAE">
              <w:rPr>
                <w:noProof/>
                <w:sz w:val="18"/>
              </w:rPr>
              <w:t>Rodzaj wydatków</w:t>
            </w:r>
          </w:p>
        </w:tc>
        <w:tc>
          <w:tcPr>
            <w:tcW w:w="4487" w:type="dxa"/>
            <w:gridSpan w:val="4"/>
            <w:vAlign w:val="center"/>
          </w:tcPr>
          <w:p w14:paraId="2CB818FB" w14:textId="77777777" w:rsidR="004B7651" w:rsidRPr="005A1CAE" w:rsidRDefault="004B7651">
            <w:pPr>
              <w:spacing w:before="60" w:after="60"/>
              <w:jc w:val="center"/>
              <w:rPr>
                <w:noProof/>
              </w:rPr>
            </w:pPr>
            <w:r w:rsidRPr="005A1CAE">
              <w:rPr>
                <w:noProof/>
                <w:sz w:val="20"/>
              </w:rPr>
              <w:t xml:space="preserve">Wkład </w:t>
            </w:r>
          </w:p>
        </w:tc>
      </w:tr>
      <w:tr w:rsidR="004B7651" w:rsidRPr="005A1CAE" w14:paraId="4C8B615B" w14:textId="77777777" w:rsidTr="00CE5A0B">
        <w:trPr>
          <w:cantSplit/>
          <w:jc w:val="center"/>
        </w:trPr>
        <w:tc>
          <w:tcPr>
            <w:tcW w:w="1092" w:type="dxa"/>
            <w:vMerge/>
            <w:vAlign w:val="center"/>
          </w:tcPr>
          <w:p w14:paraId="64B2347E" w14:textId="77777777" w:rsidR="004B7651" w:rsidRPr="005A1CAE" w:rsidRDefault="004B7651">
            <w:pPr>
              <w:jc w:val="center"/>
              <w:rPr>
                <w:noProof/>
              </w:rPr>
            </w:pPr>
          </w:p>
        </w:tc>
        <w:tc>
          <w:tcPr>
            <w:tcW w:w="4002" w:type="dxa"/>
            <w:vAlign w:val="center"/>
          </w:tcPr>
          <w:p w14:paraId="2394B5CB" w14:textId="5C33D237" w:rsidR="004B7651" w:rsidRPr="005A1CAE" w:rsidRDefault="004B7651">
            <w:pPr>
              <w:rPr>
                <w:noProof/>
              </w:rPr>
            </w:pPr>
            <w:r w:rsidRPr="005A1CAE">
              <w:rPr>
                <w:noProof/>
                <w:sz w:val="20"/>
              </w:rPr>
              <w:t>Numer</w:t>
            </w:r>
            <w:r w:rsidRPr="005A1CAE">
              <w:rPr>
                <w:noProof/>
              </w:rPr>
              <w:br/>
            </w:r>
          </w:p>
        </w:tc>
        <w:tc>
          <w:tcPr>
            <w:tcW w:w="1092" w:type="dxa"/>
            <w:vAlign w:val="center"/>
          </w:tcPr>
          <w:p w14:paraId="1B0EF56E" w14:textId="77777777" w:rsidR="004B7651" w:rsidRPr="005A1CAE" w:rsidRDefault="004B7651">
            <w:pPr>
              <w:jc w:val="center"/>
              <w:rPr>
                <w:noProof/>
              </w:rPr>
            </w:pPr>
            <w:r w:rsidRPr="005A1CAE">
              <w:rPr>
                <w:noProof/>
                <w:sz w:val="18"/>
              </w:rPr>
              <w:t>Zróżn. / niezróżn.</w:t>
            </w:r>
            <w:r w:rsidRPr="005A1CAE">
              <w:rPr>
                <w:rStyle w:val="Odwoanieprzypisudolnego"/>
                <w:noProof/>
                <w:sz w:val="18"/>
                <w:szCs w:val="18"/>
              </w:rPr>
              <w:footnoteReference w:id="29"/>
            </w:r>
          </w:p>
        </w:tc>
        <w:tc>
          <w:tcPr>
            <w:tcW w:w="852" w:type="dxa"/>
            <w:vAlign w:val="center"/>
          </w:tcPr>
          <w:p w14:paraId="27EA37C8" w14:textId="77777777" w:rsidR="004B7651" w:rsidRPr="005A1CAE" w:rsidRDefault="004B7651">
            <w:pPr>
              <w:jc w:val="center"/>
              <w:rPr>
                <w:b/>
                <w:noProof/>
                <w:sz w:val="18"/>
              </w:rPr>
            </w:pPr>
            <w:r w:rsidRPr="005A1CAE">
              <w:rPr>
                <w:noProof/>
                <w:sz w:val="18"/>
              </w:rPr>
              <w:t>państw EFTA</w:t>
            </w:r>
            <w:r w:rsidRPr="005A1CAE">
              <w:rPr>
                <w:rStyle w:val="Odwoanieprzypisudolnego"/>
                <w:noProof/>
                <w:sz w:val="18"/>
                <w:szCs w:val="18"/>
              </w:rPr>
              <w:footnoteReference w:id="30"/>
            </w:r>
          </w:p>
        </w:tc>
        <w:tc>
          <w:tcPr>
            <w:tcW w:w="1206" w:type="dxa"/>
            <w:vAlign w:val="center"/>
          </w:tcPr>
          <w:p w14:paraId="5F6ABDAF" w14:textId="2EE33B14" w:rsidR="004B7651" w:rsidRPr="005A1CAE" w:rsidRDefault="004B7651">
            <w:pPr>
              <w:jc w:val="center"/>
              <w:rPr>
                <w:noProof/>
                <w:sz w:val="18"/>
                <w:szCs w:val="18"/>
              </w:rPr>
            </w:pPr>
            <w:r w:rsidRPr="005A1CAE">
              <w:rPr>
                <w:noProof/>
                <w:sz w:val="18"/>
              </w:rPr>
              <w:t>krajów kandydujących</w:t>
            </w:r>
            <w:r w:rsidR="005A1CAE" w:rsidRPr="005A1CAE">
              <w:rPr>
                <w:noProof/>
                <w:sz w:val="18"/>
              </w:rPr>
              <w:t xml:space="preserve"> i</w:t>
            </w:r>
            <w:r w:rsidR="005A1CAE">
              <w:rPr>
                <w:noProof/>
                <w:sz w:val="18"/>
              </w:rPr>
              <w:t> </w:t>
            </w:r>
            <w:r w:rsidR="005A1CAE" w:rsidRPr="005A1CAE">
              <w:rPr>
                <w:noProof/>
                <w:sz w:val="20"/>
                <w:szCs w:val="20"/>
              </w:rPr>
              <w:t>pot</w:t>
            </w:r>
            <w:r w:rsidRPr="005A1CAE">
              <w:rPr>
                <w:noProof/>
                <w:sz w:val="20"/>
                <w:szCs w:val="20"/>
              </w:rPr>
              <w:t>encjalnych</w:t>
            </w:r>
            <w:r w:rsidRPr="005A1CAE">
              <w:rPr>
                <w:noProof/>
                <w:sz w:val="18"/>
              </w:rPr>
              <w:t xml:space="preserve"> kandydatów</w:t>
            </w:r>
          </w:p>
          <w:p w14:paraId="1CFBCE19" w14:textId="77777777" w:rsidR="004B7651" w:rsidRPr="005A1CAE" w:rsidRDefault="004B7651">
            <w:pPr>
              <w:jc w:val="center"/>
              <w:rPr>
                <w:noProof/>
                <w:sz w:val="18"/>
                <w:szCs w:val="18"/>
              </w:rPr>
            </w:pPr>
          </w:p>
        </w:tc>
        <w:tc>
          <w:tcPr>
            <w:tcW w:w="966" w:type="dxa"/>
            <w:vAlign w:val="center"/>
          </w:tcPr>
          <w:p w14:paraId="031E61AA" w14:textId="154DF7D1" w:rsidR="004B7651" w:rsidRPr="005A1CAE" w:rsidRDefault="004B7651">
            <w:pPr>
              <w:jc w:val="center"/>
              <w:rPr>
                <w:noProof/>
                <w:sz w:val="18"/>
                <w:szCs w:val="18"/>
              </w:rPr>
            </w:pPr>
            <w:r w:rsidRPr="005A1CAE">
              <w:rPr>
                <w:noProof/>
                <w:sz w:val="18"/>
              </w:rPr>
              <w:t>innych państw trzecich</w:t>
            </w:r>
          </w:p>
          <w:p w14:paraId="3F955C4C" w14:textId="77777777" w:rsidR="004B7651" w:rsidRPr="005A1CAE" w:rsidRDefault="004B7651">
            <w:pPr>
              <w:jc w:val="center"/>
              <w:rPr>
                <w:noProof/>
                <w:sz w:val="18"/>
                <w:szCs w:val="18"/>
              </w:rPr>
            </w:pPr>
          </w:p>
        </w:tc>
        <w:tc>
          <w:tcPr>
            <w:tcW w:w="1463" w:type="dxa"/>
            <w:vAlign w:val="center"/>
          </w:tcPr>
          <w:p w14:paraId="6002A986" w14:textId="03805093" w:rsidR="004B7651" w:rsidRPr="005A1CAE" w:rsidRDefault="004B7651">
            <w:pPr>
              <w:jc w:val="center"/>
              <w:rPr>
                <w:noProof/>
              </w:rPr>
            </w:pPr>
            <w:r w:rsidRPr="005A1CAE">
              <w:rPr>
                <w:noProof/>
                <w:sz w:val="18"/>
              </w:rPr>
              <w:t xml:space="preserve"> pochodzący</w:t>
            </w:r>
            <w:r w:rsidR="005A1CAE" w:rsidRPr="005A1CAE">
              <w:rPr>
                <w:noProof/>
                <w:sz w:val="18"/>
              </w:rPr>
              <w:t xml:space="preserve"> z</w:t>
            </w:r>
            <w:r w:rsidR="005A1CAE">
              <w:rPr>
                <w:noProof/>
                <w:sz w:val="18"/>
              </w:rPr>
              <w:t> </w:t>
            </w:r>
            <w:r w:rsidR="005A1CAE" w:rsidRPr="005A1CAE">
              <w:rPr>
                <w:noProof/>
                <w:sz w:val="18"/>
              </w:rPr>
              <w:t>poz</w:t>
            </w:r>
            <w:r w:rsidRPr="005A1CAE">
              <w:rPr>
                <w:noProof/>
                <w:sz w:val="18"/>
              </w:rPr>
              <w:t>ostałych dochodów przeznaczonych na określony cel</w:t>
            </w:r>
          </w:p>
          <w:p w14:paraId="612E6952" w14:textId="77777777" w:rsidR="004B7651" w:rsidRPr="005A1CAE" w:rsidRDefault="004B7651">
            <w:pPr>
              <w:jc w:val="center"/>
              <w:rPr>
                <w:noProof/>
                <w:sz w:val="18"/>
                <w:szCs w:val="18"/>
              </w:rPr>
            </w:pPr>
          </w:p>
        </w:tc>
      </w:tr>
      <w:tr w:rsidR="004B7651" w:rsidRPr="005A1CAE" w14:paraId="52E30542" w14:textId="77777777" w:rsidTr="00CE5A0B">
        <w:trPr>
          <w:jc w:val="center"/>
        </w:trPr>
        <w:tc>
          <w:tcPr>
            <w:tcW w:w="1092" w:type="dxa"/>
            <w:vAlign w:val="center"/>
          </w:tcPr>
          <w:p w14:paraId="1A22AF7C" w14:textId="77777777" w:rsidR="004B7651" w:rsidRPr="005A1CAE" w:rsidRDefault="004B7651">
            <w:pPr>
              <w:jc w:val="center"/>
              <w:rPr>
                <w:noProof/>
                <w:color w:val="0000FF"/>
              </w:rPr>
            </w:pPr>
            <w:r w:rsidRPr="005A1CAE">
              <w:rPr>
                <w:noProof/>
              </w:rPr>
              <w:t>7</w:t>
            </w:r>
          </w:p>
        </w:tc>
        <w:tc>
          <w:tcPr>
            <w:tcW w:w="4002" w:type="dxa"/>
            <w:vAlign w:val="center"/>
          </w:tcPr>
          <w:p w14:paraId="3FB2F034" w14:textId="77777777" w:rsidR="004B7651" w:rsidRPr="005A1CAE" w:rsidRDefault="004B7651">
            <w:pPr>
              <w:spacing w:before="60"/>
              <w:rPr>
                <w:noProof/>
              </w:rPr>
            </w:pPr>
            <w:r w:rsidRPr="005A1CAE">
              <w:rPr>
                <w:noProof/>
                <w:sz w:val="22"/>
              </w:rPr>
              <w:t>20 01 02 01</w:t>
            </w:r>
          </w:p>
          <w:p w14:paraId="4EB5D1A8" w14:textId="77777777" w:rsidR="004B7651" w:rsidRPr="005A1CAE" w:rsidRDefault="004B7651">
            <w:pPr>
              <w:spacing w:after="60"/>
              <w:rPr>
                <w:noProof/>
              </w:rPr>
            </w:pPr>
          </w:p>
        </w:tc>
        <w:tc>
          <w:tcPr>
            <w:tcW w:w="1092" w:type="dxa"/>
            <w:vAlign w:val="center"/>
          </w:tcPr>
          <w:p w14:paraId="303900E9" w14:textId="77777777" w:rsidR="004B7651" w:rsidRPr="005A1CAE" w:rsidRDefault="004B7651">
            <w:pPr>
              <w:jc w:val="center"/>
              <w:rPr>
                <w:noProof/>
                <w:color w:val="0000FF"/>
              </w:rPr>
            </w:pPr>
            <w:r w:rsidRPr="005A1CAE">
              <w:rPr>
                <w:noProof/>
                <w:sz w:val="22"/>
              </w:rPr>
              <w:t>Zróżn. / niezróżn.</w:t>
            </w:r>
          </w:p>
        </w:tc>
        <w:tc>
          <w:tcPr>
            <w:tcW w:w="852" w:type="dxa"/>
            <w:vAlign w:val="center"/>
          </w:tcPr>
          <w:p w14:paraId="15E4AD2F" w14:textId="77777777" w:rsidR="004B7651" w:rsidRPr="005A1CAE" w:rsidRDefault="004B7651">
            <w:pPr>
              <w:jc w:val="center"/>
              <w:rPr>
                <w:noProof/>
                <w:sz w:val="20"/>
                <w:szCs w:val="20"/>
              </w:rPr>
            </w:pPr>
            <w:r w:rsidRPr="005A1CAE">
              <w:rPr>
                <w:noProof/>
                <w:sz w:val="20"/>
              </w:rPr>
              <w:t>NIE</w:t>
            </w:r>
          </w:p>
        </w:tc>
        <w:tc>
          <w:tcPr>
            <w:tcW w:w="1206" w:type="dxa"/>
            <w:vAlign w:val="center"/>
          </w:tcPr>
          <w:p w14:paraId="00D4A2F1" w14:textId="6B28C319" w:rsidR="004B7651" w:rsidRPr="005A1CAE" w:rsidRDefault="004B7651">
            <w:pPr>
              <w:jc w:val="center"/>
              <w:rPr>
                <w:noProof/>
                <w:sz w:val="20"/>
                <w:szCs w:val="20"/>
              </w:rPr>
            </w:pPr>
            <w:r w:rsidRPr="005A1CAE">
              <w:rPr>
                <w:noProof/>
                <w:sz w:val="20"/>
              </w:rPr>
              <w:t>TAK/ NIE</w:t>
            </w:r>
          </w:p>
          <w:p w14:paraId="787BBA3C" w14:textId="77777777" w:rsidR="004B7651" w:rsidRPr="005A1CAE" w:rsidRDefault="004B7651">
            <w:pPr>
              <w:spacing w:before="60"/>
              <w:rPr>
                <w:rFonts w:eastAsia="Times New Roman"/>
                <w:noProof/>
                <w:sz w:val="22"/>
              </w:rPr>
            </w:pPr>
          </w:p>
          <w:p w14:paraId="3DA482F7" w14:textId="77777777" w:rsidR="004B7651" w:rsidRPr="005A1CAE" w:rsidRDefault="004B7651">
            <w:pPr>
              <w:jc w:val="center"/>
              <w:rPr>
                <w:noProof/>
                <w:sz w:val="20"/>
                <w:szCs w:val="20"/>
              </w:rPr>
            </w:pPr>
          </w:p>
        </w:tc>
        <w:tc>
          <w:tcPr>
            <w:tcW w:w="966" w:type="dxa"/>
            <w:vAlign w:val="center"/>
          </w:tcPr>
          <w:p w14:paraId="6B4103C9" w14:textId="209F8CF6" w:rsidR="004B7651" w:rsidRPr="005A1CAE" w:rsidRDefault="004B7651">
            <w:pPr>
              <w:jc w:val="center"/>
              <w:rPr>
                <w:noProof/>
                <w:sz w:val="20"/>
                <w:szCs w:val="20"/>
              </w:rPr>
            </w:pPr>
            <w:r w:rsidRPr="005A1CAE">
              <w:rPr>
                <w:noProof/>
                <w:sz w:val="20"/>
              </w:rPr>
              <w:t>TAK/ NIE</w:t>
            </w:r>
          </w:p>
          <w:p w14:paraId="383B2FDB" w14:textId="77777777" w:rsidR="004B7651" w:rsidRPr="005A1CAE" w:rsidRDefault="004B7651">
            <w:pPr>
              <w:jc w:val="center"/>
              <w:rPr>
                <w:noProof/>
                <w:sz w:val="22"/>
              </w:rPr>
            </w:pPr>
          </w:p>
        </w:tc>
        <w:tc>
          <w:tcPr>
            <w:tcW w:w="1463" w:type="dxa"/>
            <w:vAlign w:val="center"/>
          </w:tcPr>
          <w:p w14:paraId="51A7A585" w14:textId="77777777" w:rsidR="004B7651" w:rsidRPr="005A1CAE" w:rsidRDefault="004B7651">
            <w:pPr>
              <w:jc w:val="center"/>
              <w:rPr>
                <w:noProof/>
                <w:sz w:val="20"/>
                <w:szCs w:val="20"/>
              </w:rPr>
            </w:pPr>
            <w:r w:rsidRPr="005A1CAE">
              <w:rPr>
                <w:noProof/>
                <w:sz w:val="20"/>
              </w:rPr>
              <w:t xml:space="preserve">TAK/ NIE </w:t>
            </w:r>
          </w:p>
          <w:p w14:paraId="2785CBAA" w14:textId="77777777" w:rsidR="004B7651" w:rsidRPr="005A1CAE" w:rsidRDefault="004B7651">
            <w:pPr>
              <w:jc w:val="center"/>
              <w:rPr>
                <w:noProof/>
                <w:sz w:val="20"/>
                <w:szCs w:val="20"/>
              </w:rPr>
            </w:pPr>
          </w:p>
        </w:tc>
      </w:tr>
      <w:tr w:rsidR="004B7651" w:rsidRPr="005A1CAE" w14:paraId="3CF685B9" w14:textId="77777777" w:rsidTr="00CE5A0B">
        <w:trPr>
          <w:jc w:val="center"/>
        </w:trPr>
        <w:tc>
          <w:tcPr>
            <w:tcW w:w="1092" w:type="dxa"/>
            <w:vAlign w:val="center"/>
          </w:tcPr>
          <w:p w14:paraId="6A4DA046" w14:textId="77777777" w:rsidR="004B7651" w:rsidRPr="005A1CAE" w:rsidRDefault="004B7651">
            <w:pPr>
              <w:jc w:val="center"/>
              <w:rPr>
                <w:noProof/>
                <w:color w:val="0000FF"/>
              </w:rPr>
            </w:pPr>
            <w:r w:rsidRPr="005A1CAE">
              <w:rPr>
                <w:noProof/>
              </w:rPr>
              <w:t>3</w:t>
            </w:r>
          </w:p>
        </w:tc>
        <w:tc>
          <w:tcPr>
            <w:tcW w:w="4002" w:type="dxa"/>
            <w:vAlign w:val="center"/>
          </w:tcPr>
          <w:p w14:paraId="3F0A7B77" w14:textId="77777777" w:rsidR="004B7651" w:rsidRPr="005A1CAE" w:rsidRDefault="004B7651">
            <w:pPr>
              <w:spacing w:before="60"/>
              <w:rPr>
                <w:noProof/>
              </w:rPr>
            </w:pPr>
            <w:r w:rsidRPr="005A1CAE">
              <w:rPr>
                <w:noProof/>
                <w:sz w:val="22"/>
              </w:rPr>
              <w:t>09 20 04 01 (CBAM)</w:t>
            </w:r>
          </w:p>
          <w:p w14:paraId="102F5C80" w14:textId="77777777" w:rsidR="004B7651" w:rsidRPr="005A1CAE" w:rsidRDefault="004B7651">
            <w:pPr>
              <w:spacing w:after="60"/>
              <w:rPr>
                <w:noProof/>
              </w:rPr>
            </w:pPr>
          </w:p>
        </w:tc>
        <w:tc>
          <w:tcPr>
            <w:tcW w:w="1092" w:type="dxa"/>
            <w:vAlign w:val="center"/>
          </w:tcPr>
          <w:p w14:paraId="03FC4CEE" w14:textId="77777777" w:rsidR="004B7651" w:rsidRPr="005A1CAE" w:rsidRDefault="004B7651">
            <w:pPr>
              <w:jc w:val="center"/>
              <w:rPr>
                <w:noProof/>
                <w:color w:val="0000FF"/>
              </w:rPr>
            </w:pPr>
            <w:r w:rsidRPr="005A1CAE">
              <w:rPr>
                <w:noProof/>
                <w:sz w:val="22"/>
              </w:rPr>
              <w:t>Zróżn.</w:t>
            </w:r>
          </w:p>
        </w:tc>
        <w:tc>
          <w:tcPr>
            <w:tcW w:w="852" w:type="dxa"/>
            <w:vAlign w:val="center"/>
          </w:tcPr>
          <w:p w14:paraId="0120034F" w14:textId="77777777" w:rsidR="004B7651" w:rsidRPr="005A1CAE" w:rsidRDefault="004B7651">
            <w:pPr>
              <w:jc w:val="center"/>
              <w:rPr>
                <w:noProof/>
                <w:sz w:val="20"/>
                <w:szCs w:val="20"/>
              </w:rPr>
            </w:pPr>
            <w:r w:rsidRPr="005A1CAE">
              <w:rPr>
                <w:noProof/>
                <w:sz w:val="20"/>
              </w:rPr>
              <w:t>NIE</w:t>
            </w:r>
          </w:p>
        </w:tc>
        <w:tc>
          <w:tcPr>
            <w:tcW w:w="1206" w:type="dxa"/>
            <w:vAlign w:val="center"/>
          </w:tcPr>
          <w:p w14:paraId="442B8DB2" w14:textId="15D17C70" w:rsidR="004B7651" w:rsidRPr="005A1CAE" w:rsidRDefault="004B7651">
            <w:pPr>
              <w:jc w:val="center"/>
              <w:rPr>
                <w:noProof/>
                <w:sz w:val="20"/>
                <w:szCs w:val="20"/>
              </w:rPr>
            </w:pPr>
            <w:r w:rsidRPr="005A1CAE">
              <w:rPr>
                <w:noProof/>
                <w:sz w:val="20"/>
              </w:rPr>
              <w:t>TAK/ NIE</w:t>
            </w:r>
          </w:p>
          <w:p w14:paraId="55E7AEA5" w14:textId="77777777" w:rsidR="004B7651" w:rsidRPr="005A1CAE" w:rsidRDefault="004B7651">
            <w:pPr>
              <w:spacing w:before="60"/>
              <w:rPr>
                <w:rFonts w:eastAsia="Times New Roman"/>
                <w:noProof/>
                <w:sz w:val="22"/>
              </w:rPr>
            </w:pPr>
          </w:p>
          <w:p w14:paraId="3423D219" w14:textId="77777777" w:rsidR="004B7651" w:rsidRPr="005A1CAE" w:rsidRDefault="004B7651">
            <w:pPr>
              <w:jc w:val="center"/>
              <w:rPr>
                <w:noProof/>
                <w:sz w:val="20"/>
                <w:szCs w:val="20"/>
              </w:rPr>
            </w:pPr>
          </w:p>
        </w:tc>
        <w:tc>
          <w:tcPr>
            <w:tcW w:w="966" w:type="dxa"/>
            <w:vAlign w:val="center"/>
          </w:tcPr>
          <w:p w14:paraId="5D3FE0F9" w14:textId="23EF7CA8" w:rsidR="004B7651" w:rsidRPr="005A1CAE" w:rsidRDefault="004B7651">
            <w:pPr>
              <w:jc w:val="center"/>
              <w:rPr>
                <w:noProof/>
                <w:sz w:val="20"/>
                <w:szCs w:val="20"/>
              </w:rPr>
            </w:pPr>
            <w:r w:rsidRPr="005A1CAE">
              <w:rPr>
                <w:noProof/>
                <w:sz w:val="20"/>
              </w:rPr>
              <w:t>TAK/ NIE</w:t>
            </w:r>
          </w:p>
          <w:p w14:paraId="76A68CC4" w14:textId="77777777" w:rsidR="004B7651" w:rsidRPr="005A1CAE" w:rsidRDefault="004B7651">
            <w:pPr>
              <w:jc w:val="center"/>
              <w:rPr>
                <w:noProof/>
                <w:sz w:val="22"/>
              </w:rPr>
            </w:pPr>
          </w:p>
        </w:tc>
        <w:tc>
          <w:tcPr>
            <w:tcW w:w="1463" w:type="dxa"/>
            <w:vAlign w:val="center"/>
          </w:tcPr>
          <w:p w14:paraId="6E733303" w14:textId="77777777" w:rsidR="004B7651" w:rsidRPr="005A1CAE" w:rsidRDefault="004B7651">
            <w:pPr>
              <w:jc w:val="center"/>
              <w:rPr>
                <w:noProof/>
                <w:sz w:val="20"/>
                <w:szCs w:val="20"/>
              </w:rPr>
            </w:pPr>
            <w:r w:rsidRPr="005A1CAE">
              <w:rPr>
                <w:noProof/>
                <w:sz w:val="20"/>
              </w:rPr>
              <w:t xml:space="preserve">TAK/ NIE </w:t>
            </w:r>
          </w:p>
          <w:p w14:paraId="5478E503" w14:textId="77777777" w:rsidR="004B7651" w:rsidRPr="005A1CAE" w:rsidRDefault="004B7651">
            <w:pPr>
              <w:jc w:val="center"/>
              <w:rPr>
                <w:noProof/>
                <w:sz w:val="20"/>
                <w:szCs w:val="20"/>
              </w:rPr>
            </w:pPr>
          </w:p>
        </w:tc>
      </w:tr>
    </w:tbl>
    <w:p w14:paraId="5874D7AF" w14:textId="77777777" w:rsidR="004B7651" w:rsidRPr="005A1CAE" w:rsidRDefault="004B7651" w:rsidP="004B7651">
      <w:pPr>
        <w:pStyle w:val="Text1"/>
        <w:ind w:left="0"/>
        <w:rPr>
          <w:i/>
          <w:noProof/>
        </w:rPr>
      </w:pPr>
    </w:p>
    <w:p w14:paraId="1583275F" w14:textId="77777777" w:rsidR="004B7651" w:rsidRPr="005A1CAE" w:rsidRDefault="004B7651" w:rsidP="009F612D">
      <w:pPr>
        <w:pStyle w:val="Text1"/>
        <w:rPr>
          <w:i/>
          <w:noProof/>
        </w:rPr>
      </w:pPr>
    </w:p>
    <w:p w14:paraId="638A3656" w14:textId="77777777" w:rsidR="00D0690F" w:rsidRPr="005A1CAE" w:rsidRDefault="00D0690F" w:rsidP="009F612D">
      <w:pPr>
        <w:pStyle w:val="ListBullet1"/>
        <w:rPr>
          <w:noProof/>
        </w:rPr>
      </w:pPr>
      <w:r w:rsidRPr="005A1CAE">
        <w:rPr>
          <w:noProof/>
        </w:rPr>
        <w:t xml:space="preserve">Proponowane nowe linie budżetowe </w:t>
      </w:r>
    </w:p>
    <w:p w14:paraId="48535E61" w14:textId="1CEC5A27" w:rsidR="00D0690F" w:rsidRPr="005A1CAE" w:rsidRDefault="00D0690F" w:rsidP="009F612D">
      <w:pPr>
        <w:pStyle w:val="Text1"/>
        <w:rPr>
          <w:i/>
          <w:noProof/>
          <w:sz w:val="20"/>
        </w:rPr>
      </w:pPr>
      <w:r w:rsidRPr="005A1CAE">
        <w:rPr>
          <w:i/>
          <w:noProof/>
          <w:u w:val="single"/>
        </w:rPr>
        <w:t>Według</w:t>
      </w:r>
      <w:r w:rsidRPr="005A1CAE">
        <w:rPr>
          <w:i/>
          <w:noProof/>
        </w:rPr>
        <w:t xml:space="preserve"> działów wieloletnich ram finansowych</w:t>
      </w:r>
      <w:r w:rsidR="005A1CAE" w:rsidRPr="005A1CAE">
        <w:rPr>
          <w:i/>
          <w:noProof/>
        </w:rPr>
        <w:t xml:space="preserve"> i</w:t>
      </w:r>
      <w:r w:rsidR="005A1CAE">
        <w:rPr>
          <w:i/>
          <w:noProof/>
        </w:rPr>
        <w:t> </w:t>
      </w:r>
      <w:r w:rsidR="005A1CAE" w:rsidRPr="005A1CAE">
        <w:rPr>
          <w:i/>
          <w:noProof/>
        </w:rPr>
        <w:t>lin</w:t>
      </w:r>
      <w:r w:rsidRPr="005A1CAE">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D0690F" w:rsidRPr="005A1CAE" w14:paraId="38443368" w14:textId="77777777" w:rsidTr="00793103">
        <w:trPr>
          <w:jc w:val="center"/>
        </w:trPr>
        <w:tc>
          <w:tcPr>
            <w:tcW w:w="1092" w:type="dxa"/>
            <w:vMerge w:val="restart"/>
            <w:vAlign w:val="center"/>
          </w:tcPr>
          <w:p w14:paraId="4158809C" w14:textId="77777777" w:rsidR="00D0690F" w:rsidRPr="005A1CAE" w:rsidRDefault="00D0690F" w:rsidP="009F612D">
            <w:pPr>
              <w:spacing w:before="60" w:after="60"/>
              <w:jc w:val="center"/>
              <w:rPr>
                <w:noProof/>
                <w:sz w:val="18"/>
                <w:szCs w:val="18"/>
              </w:rPr>
            </w:pPr>
            <w:r w:rsidRPr="005A1CAE">
              <w:rPr>
                <w:noProof/>
                <w:sz w:val="18"/>
              </w:rPr>
              <w:t>Dział wieloletnich ram finansowych</w:t>
            </w:r>
          </w:p>
        </w:tc>
        <w:tc>
          <w:tcPr>
            <w:tcW w:w="4002" w:type="dxa"/>
            <w:vAlign w:val="center"/>
          </w:tcPr>
          <w:p w14:paraId="7B4AC48C" w14:textId="77777777" w:rsidR="00D0690F" w:rsidRPr="005A1CAE" w:rsidRDefault="00D0690F" w:rsidP="009F612D">
            <w:pPr>
              <w:spacing w:before="60" w:after="60"/>
              <w:jc w:val="center"/>
              <w:rPr>
                <w:noProof/>
              </w:rPr>
            </w:pPr>
            <w:r w:rsidRPr="005A1CAE">
              <w:rPr>
                <w:noProof/>
                <w:sz w:val="20"/>
              </w:rPr>
              <w:t>Linia budżetowa</w:t>
            </w:r>
          </w:p>
        </w:tc>
        <w:tc>
          <w:tcPr>
            <w:tcW w:w="1092" w:type="dxa"/>
            <w:vAlign w:val="center"/>
          </w:tcPr>
          <w:p w14:paraId="7E6333EE" w14:textId="77777777" w:rsidR="00D0690F" w:rsidRPr="005A1CAE" w:rsidRDefault="00D0690F" w:rsidP="009F612D">
            <w:pPr>
              <w:spacing w:before="60" w:after="60"/>
              <w:jc w:val="center"/>
              <w:rPr>
                <w:noProof/>
              </w:rPr>
            </w:pPr>
            <w:r w:rsidRPr="005A1CAE">
              <w:rPr>
                <w:noProof/>
                <w:sz w:val="18"/>
              </w:rPr>
              <w:t>Rodzaj wydatków</w:t>
            </w:r>
          </w:p>
        </w:tc>
        <w:tc>
          <w:tcPr>
            <w:tcW w:w="4487" w:type="dxa"/>
            <w:gridSpan w:val="4"/>
            <w:vAlign w:val="center"/>
          </w:tcPr>
          <w:p w14:paraId="3ECC2214" w14:textId="77777777" w:rsidR="00D0690F" w:rsidRPr="005A1CAE" w:rsidRDefault="00D0690F" w:rsidP="009F612D">
            <w:pPr>
              <w:spacing w:before="60" w:after="60"/>
              <w:jc w:val="center"/>
              <w:rPr>
                <w:noProof/>
              </w:rPr>
            </w:pPr>
            <w:r w:rsidRPr="005A1CAE">
              <w:rPr>
                <w:noProof/>
                <w:sz w:val="20"/>
              </w:rPr>
              <w:t xml:space="preserve">Wkład </w:t>
            </w:r>
          </w:p>
        </w:tc>
      </w:tr>
      <w:tr w:rsidR="00D0690F" w:rsidRPr="005A1CAE" w14:paraId="46E44799" w14:textId="77777777" w:rsidTr="00793103">
        <w:trPr>
          <w:cantSplit/>
          <w:jc w:val="center"/>
        </w:trPr>
        <w:tc>
          <w:tcPr>
            <w:tcW w:w="1092" w:type="dxa"/>
            <w:vMerge/>
            <w:vAlign w:val="center"/>
          </w:tcPr>
          <w:p w14:paraId="2B74E3F7" w14:textId="77777777" w:rsidR="00D0690F" w:rsidRPr="005A1CAE" w:rsidRDefault="00D0690F" w:rsidP="009F612D">
            <w:pPr>
              <w:jc w:val="center"/>
              <w:rPr>
                <w:noProof/>
              </w:rPr>
            </w:pPr>
          </w:p>
        </w:tc>
        <w:tc>
          <w:tcPr>
            <w:tcW w:w="4002" w:type="dxa"/>
            <w:vAlign w:val="center"/>
          </w:tcPr>
          <w:p w14:paraId="3E5A43A3" w14:textId="14C171B4" w:rsidR="00D0690F" w:rsidRPr="005A1CAE" w:rsidRDefault="00D0690F" w:rsidP="009F612D">
            <w:pPr>
              <w:rPr>
                <w:noProof/>
              </w:rPr>
            </w:pPr>
            <w:r w:rsidRPr="005A1CAE">
              <w:rPr>
                <w:noProof/>
                <w:sz w:val="20"/>
              </w:rPr>
              <w:t>Numer</w:t>
            </w:r>
            <w:r w:rsidRPr="005A1CAE">
              <w:rPr>
                <w:noProof/>
              </w:rPr>
              <w:br/>
            </w:r>
          </w:p>
        </w:tc>
        <w:tc>
          <w:tcPr>
            <w:tcW w:w="1092" w:type="dxa"/>
            <w:vAlign w:val="center"/>
          </w:tcPr>
          <w:p w14:paraId="27E193F1" w14:textId="77777777" w:rsidR="00D0690F" w:rsidRPr="005A1CAE" w:rsidRDefault="00D0690F" w:rsidP="009F612D">
            <w:pPr>
              <w:jc w:val="center"/>
              <w:rPr>
                <w:noProof/>
              </w:rPr>
            </w:pPr>
            <w:r w:rsidRPr="005A1CAE">
              <w:rPr>
                <w:noProof/>
                <w:sz w:val="18"/>
              </w:rPr>
              <w:t>Zróżn. / niezróżn.</w:t>
            </w:r>
          </w:p>
        </w:tc>
        <w:tc>
          <w:tcPr>
            <w:tcW w:w="966" w:type="dxa"/>
            <w:vAlign w:val="center"/>
          </w:tcPr>
          <w:p w14:paraId="13F54238" w14:textId="77777777" w:rsidR="00D0690F" w:rsidRPr="005A1CAE" w:rsidRDefault="00D0690F" w:rsidP="009F612D">
            <w:pPr>
              <w:jc w:val="center"/>
              <w:rPr>
                <w:noProof/>
                <w:sz w:val="18"/>
              </w:rPr>
            </w:pPr>
            <w:r w:rsidRPr="005A1CAE">
              <w:rPr>
                <w:noProof/>
                <w:sz w:val="18"/>
              </w:rPr>
              <w:t>państw EFTA</w:t>
            </w:r>
          </w:p>
        </w:tc>
        <w:tc>
          <w:tcPr>
            <w:tcW w:w="1092" w:type="dxa"/>
            <w:vAlign w:val="center"/>
          </w:tcPr>
          <w:p w14:paraId="42FA24A0" w14:textId="0C9BBE45" w:rsidR="00D0690F" w:rsidRPr="005A1CAE" w:rsidRDefault="00D0690F" w:rsidP="009F612D">
            <w:pPr>
              <w:jc w:val="center"/>
              <w:rPr>
                <w:noProof/>
                <w:sz w:val="18"/>
              </w:rPr>
            </w:pPr>
            <w:r w:rsidRPr="005A1CAE">
              <w:rPr>
                <w:noProof/>
                <w:sz w:val="18"/>
              </w:rPr>
              <w:t>krajów kandydujących</w:t>
            </w:r>
            <w:r w:rsidR="005A1CAE" w:rsidRPr="005A1CAE">
              <w:rPr>
                <w:noProof/>
                <w:sz w:val="18"/>
              </w:rPr>
              <w:t xml:space="preserve"> i</w:t>
            </w:r>
            <w:r w:rsidR="005A1CAE">
              <w:rPr>
                <w:noProof/>
                <w:sz w:val="18"/>
              </w:rPr>
              <w:t> </w:t>
            </w:r>
            <w:r w:rsidR="005A1CAE" w:rsidRPr="005A1CAE">
              <w:rPr>
                <w:noProof/>
                <w:sz w:val="18"/>
              </w:rPr>
              <w:t>pot</w:t>
            </w:r>
            <w:r w:rsidRPr="005A1CAE">
              <w:rPr>
                <w:noProof/>
                <w:sz w:val="18"/>
              </w:rPr>
              <w:t>encjalnych kandydatów</w:t>
            </w:r>
          </w:p>
        </w:tc>
        <w:tc>
          <w:tcPr>
            <w:tcW w:w="966" w:type="dxa"/>
            <w:vAlign w:val="center"/>
          </w:tcPr>
          <w:p w14:paraId="115BF681" w14:textId="77777777" w:rsidR="00D0690F" w:rsidRPr="005A1CAE" w:rsidRDefault="00D0690F" w:rsidP="009F612D">
            <w:pPr>
              <w:jc w:val="center"/>
              <w:rPr>
                <w:noProof/>
                <w:sz w:val="18"/>
              </w:rPr>
            </w:pPr>
            <w:r w:rsidRPr="005A1CAE">
              <w:rPr>
                <w:noProof/>
                <w:sz w:val="18"/>
              </w:rPr>
              <w:t>innych państw trzecich</w:t>
            </w:r>
          </w:p>
        </w:tc>
        <w:tc>
          <w:tcPr>
            <w:tcW w:w="1463" w:type="dxa"/>
            <w:vAlign w:val="center"/>
          </w:tcPr>
          <w:p w14:paraId="100C6751" w14:textId="2A58EA6E" w:rsidR="00D0690F" w:rsidRPr="005A1CAE" w:rsidRDefault="00D0690F" w:rsidP="009F612D">
            <w:pPr>
              <w:jc w:val="center"/>
              <w:rPr>
                <w:noProof/>
              </w:rPr>
            </w:pPr>
            <w:r w:rsidRPr="005A1CAE">
              <w:rPr>
                <w:noProof/>
                <w:sz w:val="18"/>
              </w:rPr>
              <w:t>pochodzący</w:t>
            </w:r>
            <w:r w:rsidR="005A1CAE" w:rsidRPr="005A1CAE">
              <w:rPr>
                <w:noProof/>
                <w:sz w:val="18"/>
              </w:rPr>
              <w:t xml:space="preserve"> z</w:t>
            </w:r>
            <w:r w:rsidR="005A1CAE">
              <w:rPr>
                <w:noProof/>
                <w:sz w:val="18"/>
              </w:rPr>
              <w:t> </w:t>
            </w:r>
            <w:r w:rsidR="005A1CAE" w:rsidRPr="005A1CAE">
              <w:rPr>
                <w:noProof/>
                <w:sz w:val="18"/>
              </w:rPr>
              <w:t>poz</w:t>
            </w:r>
            <w:r w:rsidRPr="005A1CAE">
              <w:rPr>
                <w:noProof/>
                <w:sz w:val="18"/>
              </w:rPr>
              <w:t xml:space="preserve">ostałych dochodów przeznaczonych na określony cel </w:t>
            </w:r>
          </w:p>
        </w:tc>
      </w:tr>
      <w:tr w:rsidR="00793103" w:rsidRPr="005A1CAE" w14:paraId="29215E9A" w14:textId="77777777" w:rsidTr="00793103">
        <w:trPr>
          <w:cantSplit/>
          <w:jc w:val="center"/>
        </w:trPr>
        <w:tc>
          <w:tcPr>
            <w:tcW w:w="1092" w:type="dxa"/>
            <w:vAlign w:val="center"/>
          </w:tcPr>
          <w:p w14:paraId="3E9B82C3" w14:textId="77777777" w:rsidR="00793103" w:rsidRPr="005A1CAE" w:rsidRDefault="00793103" w:rsidP="00793103">
            <w:pPr>
              <w:jc w:val="center"/>
              <w:rPr>
                <w:noProof/>
                <w:color w:val="0000FF"/>
              </w:rPr>
            </w:pPr>
            <w:r w:rsidRPr="005A1CAE">
              <w:rPr>
                <w:noProof/>
              </w:rPr>
              <w:t>Nie dotyczy</w:t>
            </w:r>
          </w:p>
        </w:tc>
        <w:tc>
          <w:tcPr>
            <w:tcW w:w="4002" w:type="dxa"/>
            <w:vAlign w:val="center"/>
          </w:tcPr>
          <w:p w14:paraId="6EF445EF" w14:textId="77777777" w:rsidR="00793103" w:rsidRPr="005A1CAE" w:rsidRDefault="00793103" w:rsidP="00793103">
            <w:pPr>
              <w:spacing w:before="60"/>
              <w:jc w:val="center"/>
              <w:rPr>
                <w:noProof/>
              </w:rPr>
            </w:pPr>
            <w:r w:rsidRPr="005A1CAE">
              <w:rPr>
                <w:noProof/>
                <w:sz w:val="22"/>
              </w:rPr>
              <w:t>Nie dotyczy</w:t>
            </w:r>
          </w:p>
          <w:p w14:paraId="2C2BCC86" w14:textId="77777777" w:rsidR="00793103" w:rsidRPr="005A1CAE" w:rsidRDefault="00793103" w:rsidP="00793103">
            <w:pPr>
              <w:spacing w:after="60"/>
              <w:jc w:val="center"/>
              <w:rPr>
                <w:noProof/>
              </w:rPr>
            </w:pPr>
          </w:p>
        </w:tc>
        <w:tc>
          <w:tcPr>
            <w:tcW w:w="1092" w:type="dxa"/>
            <w:vAlign w:val="center"/>
          </w:tcPr>
          <w:p w14:paraId="2751FD55" w14:textId="77777777" w:rsidR="00793103" w:rsidRPr="005A1CAE" w:rsidRDefault="00793103" w:rsidP="00793103">
            <w:pPr>
              <w:jc w:val="center"/>
              <w:rPr>
                <w:noProof/>
                <w:color w:val="0000FF"/>
              </w:rPr>
            </w:pPr>
            <w:r w:rsidRPr="005A1CAE">
              <w:rPr>
                <w:noProof/>
                <w:sz w:val="22"/>
              </w:rPr>
              <w:t>Zróżn. / niezróżn.</w:t>
            </w:r>
          </w:p>
        </w:tc>
        <w:tc>
          <w:tcPr>
            <w:tcW w:w="966" w:type="dxa"/>
            <w:vAlign w:val="center"/>
          </w:tcPr>
          <w:p w14:paraId="0F7078C1" w14:textId="77777777" w:rsidR="00793103" w:rsidRPr="005A1CAE" w:rsidRDefault="00793103" w:rsidP="00793103">
            <w:pPr>
              <w:jc w:val="center"/>
              <w:rPr>
                <w:noProof/>
                <w:sz w:val="20"/>
                <w:szCs w:val="20"/>
              </w:rPr>
            </w:pPr>
            <w:r w:rsidRPr="005A1CAE">
              <w:rPr>
                <w:noProof/>
                <w:sz w:val="20"/>
              </w:rPr>
              <w:t>TAK/ NIE</w:t>
            </w:r>
          </w:p>
        </w:tc>
        <w:tc>
          <w:tcPr>
            <w:tcW w:w="1092" w:type="dxa"/>
            <w:vAlign w:val="center"/>
          </w:tcPr>
          <w:p w14:paraId="68D5338A" w14:textId="77777777" w:rsidR="00793103" w:rsidRPr="005A1CAE" w:rsidRDefault="00793103" w:rsidP="00793103">
            <w:pPr>
              <w:jc w:val="center"/>
              <w:rPr>
                <w:noProof/>
                <w:sz w:val="20"/>
                <w:szCs w:val="20"/>
              </w:rPr>
            </w:pPr>
            <w:r w:rsidRPr="005A1CAE">
              <w:rPr>
                <w:noProof/>
                <w:sz w:val="20"/>
              </w:rPr>
              <w:t>TAK/ NIE</w:t>
            </w:r>
          </w:p>
        </w:tc>
        <w:tc>
          <w:tcPr>
            <w:tcW w:w="966" w:type="dxa"/>
            <w:vAlign w:val="center"/>
          </w:tcPr>
          <w:p w14:paraId="56273483" w14:textId="77777777" w:rsidR="00793103" w:rsidRPr="005A1CAE" w:rsidRDefault="00793103" w:rsidP="00793103">
            <w:pPr>
              <w:jc w:val="center"/>
              <w:rPr>
                <w:noProof/>
                <w:sz w:val="20"/>
                <w:szCs w:val="20"/>
              </w:rPr>
            </w:pPr>
            <w:r w:rsidRPr="005A1CAE">
              <w:rPr>
                <w:noProof/>
                <w:sz w:val="20"/>
              </w:rPr>
              <w:t>TAK/ NIE</w:t>
            </w:r>
          </w:p>
        </w:tc>
        <w:tc>
          <w:tcPr>
            <w:tcW w:w="1463" w:type="dxa"/>
            <w:vAlign w:val="center"/>
          </w:tcPr>
          <w:p w14:paraId="39165756" w14:textId="77777777" w:rsidR="00793103" w:rsidRPr="005A1CAE" w:rsidRDefault="00793103" w:rsidP="00793103">
            <w:pPr>
              <w:jc w:val="center"/>
              <w:rPr>
                <w:noProof/>
                <w:sz w:val="20"/>
                <w:szCs w:val="20"/>
              </w:rPr>
            </w:pPr>
            <w:r w:rsidRPr="005A1CAE">
              <w:rPr>
                <w:noProof/>
                <w:sz w:val="20"/>
              </w:rPr>
              <w:t>TAK/ NIE</w:t>
            </w:r>
          </w:p>
        </w:tc>
      </w:tr>
    </w:tbl>
    <w:p w14:paraId="0037040E" w14:textId="77777777" w:rsidR="00D0690F" w:rsidRPr="005A1CAE" w:rsidRDefault="00D0690F" w:rsidP="009F612D">
      <w:pPr>
        <w:rPr>
          <w:noProof/>
        </w:rPr>
        <w:sectPr w:rsidR="00D0690F" w:rsidRPr="005A1CAE" w:rsidSect="009A1A09">
          <w:pgSz w:w="11907" w:h="16840" w:code="1"/>
          <w:pgMar w:top="1134" w:right="1418" w:bottom="1134" w:left="1418" w:header="709" w:footer="709" w:gutter="0"/>
          <w:cols w:space="708"/>
          <w:docGrid w:linePitch="360"/>
        </w:sectPr>
      </w:pPr>
    </w:p>
    <w:p w14:paraId="59A332D9" w14:textId="77777777" w:rsidR="00D0690F" w:rsidRPr="005A1CAE" w:rsidRDefault="00D0690F" w:rsidP="009F612D">
      <w:pPr>
        <w:pStyle w:val="ManualHeading2"/>
        <w:rPr>
          <w:bCs/>
          <w:noProof/>
          <w:szCs w:val="24"/>
        </w:rPr>
      </w:pPr>
      <w:bookmarkStart w:id="131" w:name="_Toc514938052"/>
      <w:bookmarkStart w:id="132" w:name="_Toc520485051"/>
      <w:bookmarkStart w:id="133" w:name="_Toc160804593"/>
      <w:bookmarkStart w:id="134" w:name="_Toc167220285"/>
      <w:bookmarkStart w:id="135" w:name="_Toc177549018"/>
      <w:r w:rsidRPr="005A1CAE">
        <w:rPr>
          <w:noProof/>
        </w:rPr>
        <w:lastRenderedPageBreak/>
        <w:t>3.2.</w:t>
      </w:r>
      <w:r w:rsidRPr="005A1CAE">
        <w:rPr>
          <w:noProof/>
        </w:rPr>
        <w:tab/>
        <w:t>Szacunkowy wpływ finansowy wniosku na środki</w:t>
      </w:r>
      <w:bookmarkEnd w:id="131"/>
      <w:bookmarkEnd w:id="132"/>
      <w:bookmarkEnd w:id="133"/>
      <w:bookmarkEnd w:id="134"/>
      <w:bookmarkEnd w:id="135"/>
      <w:r w:rsidRPr="005A1CAE">
        <w:rPr>
          <w:noProof/>
        </w:rPr>
        <w:t xml:space="preserve"> </w:t>
      </w:r>
    </w:p>
    <w:p w14:paraId="64E29DA7" w14:textId="77777777" w:rsidR="00D0690F" w:rsidRPr="005A1CAE" w:rsidRDefault="00D0690F" w:rsidP="009F612D">
      <w:pPr>
        <w:pStyle w:val="ManualHeading3"/>
        <w:rPr>
          <w:noProof/>
        </w:rPr>
      </w:pPr>
      <w:bookmarkStart w:id="136" w:name="_Toc514938053"/>
      <w:bookmarkStart w:id="137" w:name="_Toc520485052"/>
      <w:bookmarkStart w:id="138" w:name="_Toc160804594"/>
      <w:bookmarkStart w:id="139" w:name="_Toc167220286"/>
      <w:bookmarkStart w:id="140" w:name="_Toc177549019"/>
      <w:r w:rsidRPr="005A1CAE">
        <w:rPr>
          <w:noProof/>
        </w:rPr>
        <w:t>3.2.1.</w:t>
      </w:r>
      <w:r w:rsidRPr="005A1CAE">
        <w:rPr>
          <w:noProof/>
        </w:rPr>
        <w:tab/>
        <w:t>Podsumowanie szacunkowego wpływu na środki operacyjne</w:t>
      </w:r>
      <w:bookmarkEnd w:id="136"/>
      <w:bookmarkEnd w:id="137"/>
      <w:bookmarkEnd w:id="138"/>
      <w:bookmarkEnd w:id="139"/>
      <w:bookmarkEnd w:id="140"/>
      <w:r w:rsidRPr="005A1CAE">
        <w:rPr>
          <w:noProof/>
        </w:rPr>
        <w:t xml:space="preserve"> </w:t>
      </w:r>
    </w:p>
    <w:p w14:paraId="64C6EA54" w14:textId="323F1C1B" w:rsidR="00D0690F" w:rsidRPr="005A1CAE" w:rsidRDefault="00D0690F" w:rsidP="009F612D">
      <w:pPr>
        <w:pStyle w:val="ListDash1"/>
        <w:rPr>
          <w:noProof/>
        </w:rPr>
      </w:pPr>
      <w:r w:rsidRPr="005A1CAE">
        <w:rPr>
          <w:rFonts w:ascii="Wingdings" w:hAnsi="Wingdings"/>
          <w:noProof/>
        </w:rPr>
        <w:t></w:t>
      </w:r>
      <w:r w:rsidRPr="005A1CAE">
        <w:rPr>
          <w:noProof/>
        </w:rPr>
        <w:tab/>
        <w:t>Wniosek/inicjatywa nie wiąże się</w:t>
      </w:r>
      <w:r w:rsidR="005A1CAE" w:rsidRPr="005A1CAE">
        <w:rPr>
          <w:noProof/>
        </w:rPr>
        <w:t xml:space="preserve"> z</w:t>
      </w:r>
      <w:r w:rsidR="005A1CAE">
        <w:rPr>
          <w:noProof/>
        </w:rPr>
        <w:t> </w:t>
      </w:r>
      <w:r w:rsidR="005A1CAE" w:rsidRPr="005A1CAE">
        <w:rPr>
          <w:noProof/>
        </w:rPr>
        <w:t>kon</w:t>
      </w:r>
      <w:r w:rsidRPr="005A1CAE">
        <w:rPr>
          <w:noProof/>
        </w:rPr>
        <w:t xml:space="preserve">iecznością wykorzystania środków operacyjnych </w:t>
      </w:r>
    </w:p>
    <w:p w14:paraId="3E18907A" w14:textId="1A2B0030" w:rsidR="00724527" w:rsidRPr="005A1CAE" w:rsidRDefault="00793103" w:rsidP="00724527">
      <w:pPr>
        <w:pStyle w:val="ListDash1"/>
        <w:rPr>
          <w:noProof/>
        </w:rPr>
      </w:pPr>
      <w:r w:rsidRPr="005A1CAE">
        <w:rPr>
          <w:rFonts w:ascii="Wingdings" w:hAnsi="Wingdings"/>
          <w:noProof/>
        </w:rPr>
        <w:t></w:t>
      </w:r>
      <w:r w:rsidRPr="005A1CAE">
        <w:rPr>
          <w:noProof/>
        </w:rPr>
        <w:tab/>
        <w:t>Wniosek/inicjatywa wiąże się</w:t>
      </w:r>
      <w:r w:rsidR="005A1CAE" w:rsidRPr="005A1CAE">
        <w:rPr>
          <w:noProof/>
        </w:rPr>
        <w:t xml:space="preserve"> z</w:t>
      </w:r>
      <w:r w:rsidR="005A1CAE">
        <w:rPr>
          <w:noProof/>
        </w:rPr>
        <w:t> </w:t>
      </w:r>
      <w:r w:rsidR="005A1CAE" w:rsidRPr="005A1CAE">
        <w:rPr>
          <w:noProof/>
        </w:rPr>
        <w:t>kon</w:t>
      </w:r>
      <w:r w:rsidRPr="005A1CAE">
        <w:rPr>
          <w:noProof/>
        </w:rPr>
        <w:t>iecznością wykorzystania środków operacyjnych, jak określono poniżej</w:t>
      </w:r>
    </w:p>
    <w:p w14:paraId="4F6B6ABE" w14:textId="37FD4041" w:rsidR="00D357A3" w:rsidRPr="005A1CAE" w:rsidRDefault="00D357A3" w:rsidP="00724527">
      <w:pPr>
        <w:rPr>
          <w:noProof/>
        </w:rPr>
      </w:pPr>
      <w:r w:rsidRPr="005A1CAE">
        <w:rPr>
          <w:noProof/>
        </w:rPr>
        <w:t>Kwoty związane</w:t>
      </w:r>
      <w:r w:rsidR="005A1CAE" w:rsidRPr="005A1CAE">
        <w:rPr>
          <w:noProof/>
        </w:rPr>
        <w:t xml:space="preserve"> z</w:t>
      </w:r>
      <w:r w:rsidR="005A1CAE">
        <w:rPr>
          <w:noProof/>
        </w:rPr>
        <w:t> </w:t>
      </w:r>
      <w:r w:rsidR="005A1CAE" w:rsidRPr="005A1CAE">
        <w:rPr>
          <w:noProof/>
        </w:rPr>
        <w:t>okr</w:t>
      </w:r>
      <w:r w:rsidRPr="005A1CAE">
        <w:rPr>
          <w:noProof/>
        </w:rPr>
        <w:t>esem programowania 2028–2034 mają charakter orientacyjny</w:t>
      </w:r>
      <w:r w:rsidR="005A1CAE" w:rsidRPr="005A1CAE">
        <w:rPr>
          <w:noProof/>
        </w:rPr>
        <w:t xml:space="preserve"> i</w:t>
      </w:r>
      <w:r w:rsidR="005A1CAE">
        <w:rPr>
          <w:noProof/>
        </w:rPr>
        <w:t> </w:t>
      </w:r>
      <w:r w:rsidR="005A1CAE" w:rsidRPr="005A1CAE">
        <w:rPr>
          <w:noProof/>
        </w:rPr>
        <w:t>nie</w:t>
      </w:r>
      <w:r w:rsidRPr="005A1CAE">
        <w:rPr>
          <w:noProof/>
        </w:rPr>
        <w:t xml:space="preserve"> przesądzają</w:t>
      </w:r>
      <w:r w:rsidR="005A1CAE" w:rsidRPr="005A1CAE">
        <w:rPr>
          <w:noProof/>
        </w:rPr>
        <w:t xml:space="preserve"> o</w:t>
      </w:r>
      <w:r w:rsidR="005A1CAE">
        <w:rPr>
          <w:noProof/>
        </w:rPr>
        <w:t> </w:t>
      </w:r>
      <w:r w:rsidR="005A1CAE" w:rsidRPr="005A1CAE">
        <w:rPr>
          <w:noProof/>
        </w:rPr>
        <w:t>wyn</w:t>
      </w:r>
      <w:r w:rsidRPr="005A1CAE">
        <w:rPr>
          <w:noProof/>
        </w:rPr>
        <w:t>iku trwających negocjacji</w:t>
      </w:r>
      <w:r w:rsidR="005A1CAE" w:rsidRPr="005A1CAE">
        <w:rPr>
          <w:noProof/>
        </w:rPr>
        <w:t xml:space="preserve"> w</w:t>
      </w:r>
      <w:r w:rsidR="005A1CAE">
        <w:rPr>
          <w:noProof/>
        </w:rPr>
        <w:t> </w:t>
      </w:r>
      <w:r w:rsidR="005A1CAE" w:rsidRPr="005A1CAE">
        <w:rPr>
          <w:noProof/>
        </w:rPr>
        <w:t>spr</w:t>
      </w:r>
      <w:r w:rsidRPr="005A1CAE">
        <w:rPr>
          <w:noProof/>
        </w:rPr>
        <w:t>awie kolejnych WRF.</w:t>
      </w:r>
    </w:p>
    <w:p w14:paraId="66EACD5E" w14:textId="5E1EE9E4" w:rsidR="00D0690F" w:rsidRPr="005A1CAE" w:rsidRDefault="00D0690F" w:rsidP="009F612D">
      <w:pPr>
        <w:pStyle w:val="ManualHeading3"/>
        <w:rPr>
          <w:noProof/>
        </w:rPr>
      </w:pPr>
      <w:bookmarkStart w:id="141" w:name="_Toc160804595"/>
      <w:bookmarkStart w:id="142" w:name="_Toc167220287"/>
      <w:bookmarkStart w:id="143" w:name="_Toc177549020"/>
      <w:r w:rsidRPr="005A1CAE">
        <w:rPr>
          <w:noProof/>
        </w:rPr>
        <w:t>3.2.1.1.</w:t>
      </w:r>
      <w:r w:rsidRPr="005A1CAE">
        <w:rPr>
          <w:noProof/>
        </w:rPr>
        <w:tab/>
        <w:t>Środki</w:t>
      </w:r>
      <w:r w:rsidR="005A1CAE" w:rsidRPr="005A1CAE">
        <w:rPr>
          <w:noProof/>
        </w:rPr>
        <w:t xml:space="preserve"> z</w:t>
      </w:r>
      <w:r w:rsidR="005A1CAE">
        <w:rPr>
          <w:noProof/>
        </w:rPr>
        <w:t> </w:t>
      </w:r>
      <w:r w:rsidR="005A1CAE" w:rsidRPr="005A1CAE">
        <w:rPr>
          <w:noProof/>
        </w:rPr>
        <w:t>uch</w:t>
      </w:r>
      <w:r w:rsidRPr="005A1CAE">
        <w:rPr>
          <w:noProof/>
        </w:rPr>
        <w:t>walonego budżetu</w:t>
      </w:r>
      <w:bookmarkEnd w:id="141"/>
      <w:bookmarkEnd w:id="142"/>
      <w:bookmarkEnd w:id="143"/>
    </w:p>
    <w:p w14:paraId="58D580E3" w14:textId="77777777" w:rsidR="00D0690F" w:rsidRPr="005A1CAE" w:rsidRDefault="00D0690F" w:rsidP="009F612D">
      <w:pPr>
        <w:jc w:val="right"/>
        <w:rPr>
          <w:noProof/>
          <w:sz w:val="18"/>
          <w:szCs w:val="18"/>
        </w:rPr>
      </w:pPr>
      <w:r w:rsidRPr="005A1CAE">
        <w:rPr>
          <w:noProof/>
          <w:sz w:val="18"/>
        </w:rPr>
        <w:t>w mln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D0690F" w:rsidRPr="005A1CAE" w14:paraId="1C592EF6" w14:textId="77777777" w:rsidTr="009F612D">
        <w:tc>
          <w:tcPr>
            <w:tcW w:w="1739" w:type="pct"/>
            <w:shd w:val="thinDiagStripe" w:color="C0C0C0" w:fill="auto"/>
            <w:vAlign w:val="center"/>
          </w:tcPr>
          <w:p w14:paraId="11BE7A55" w14:textId="77777777" w:rsidR="00D0690F" w:rsidRPr="005A1CAE" w:rsidRDefault="00D0690F" w:rsidP="009F612D">
            <w:pPr>
              <w:spacing w:before="60" w:after="60"/>
              <w:jc w:val="center"/>
              <w:rPr>
                <w:b/>
                <w:noProof/>
              </w:rPr>
            </w:pPr>
            <w:r w:rsidRPr="005A1CAE">
              <w:rPr>
                <w:b/>
                <w:noProof/>
                <w:sz w:val="22"/>
              </w:rPr>
              <w:t xml:space="preserve">Dział wieloletnich ram finansowych </w:t>
            </w:r>
          </w:p>
        </w:tc>
        <w:tc>
          <w:tcPr>
            <w:tcW w:w="396" w:type="pct"/>
            <w:vAlign w:val="center"/>
          </w:tcPr>
          <w:p w14:paraId="5367B7A4" w14:textId="77777777" w:rsidR="00D0690F" w:rsidRPr="005A1CAE" w:rsidRDefault="00793103" w:rsidP="009F612D">
            <w:pPr>
              <w:spacing w:before="60" w:after="60"/>
              <w:jc w:val="center"/>
              <w:rPr>
                <w:noProof/>
              </w:rPr>
            </w:pPr>
            <w:r w:rsidRPr="005A1CAE">
              <w:rPr>
                <w:noProof/>
                <w:sz w:val="22"/>
              </w:rPr>
              <w:t>3</w:t>
            </w:r>
          </w:p>
        </w:tc>
        <w:tc>
          <w:tcPr>
            <w:tcW w:w="2865" w:type="pct"/>
            <w:vAlign w:val="center"/>
          </w:tcPr>
          <w:p w14:paraId="4CFCE139" w14:textId="21125DF2" w:rsidR="00D0690F" w:rsidRPr="005A1CAE" w:rsidRDefault="00793103" w:rsidP="009F612D">
            <w:pPr>
              <w:spacing w:before="60" w:after="60"/>
              <w:rPr>
                <w:noProof/>
              </w:rPr>
            </w:pPr>
            <w:r w:rsidRPr="005A1CAE">
              <w:rPr>
                <w:noProof/>
              </w:rPr>
              <w:t>Zasoby naturalne</w:t>
            </w:r>
            <w:r w:rsidR="005A1CAE" w:rsidRPr="005A1CAE">
              <w:rPr>
                <w:noProof/>
              </w:rPr>
              <w:t xml:space="preserve"> i</w:t>
            </w:r>
            <w:r w:rsidR="005A1CAE">
              <w:rPr>
                <w:noProof/>
              </w:rPr>
              <w:t> </w:t>
            </w:r>
            <w:r w:rsidR="005A1CAE" w:rsidRPr="005A1CAE">
              <w:rPr>
                <w:noProof/>
              </w:rPr>
              <w:t>śro</w:t>
            </w:r>
            <w:r w:rsidRPr="005A1CAE">
              <w:rPr>
                <w:noProof/>
              </w:rPr>
              <w:t>dowisko (IT)</w:t>
            </w:r>
          </w:p>
        </w:tc>
      </w:tr>
    </w:tbl>
    <w:p w14:paraId="246B5262" w14:textId="77777777" w:rsidR="00D0690F" w:rsidRPr="005A1CAE" w:rsidRDefault="00D0690F" w:rsidP="009F612D">
      <w:pPr>
        <w:rPr>
          <w:noProof/>
          <w:sz w:val="16"/>
        </w:rPr>
      </w:pPr>
    </w:p>
    <w:tbl>
      <w:tblPr>
        <w:tblW w:w="5000" w:type="pct"/>
        <w:tblLook w:val="04A0" w:firstRow="1" w:lastRow="0" w:firstColumn="1" w:lastColumn="0" w:noHBand="0" w:noVBand="1"/>
      </w:tblPr>
      <w:tblGrid>
        <w:gridCol w:w="3638"/>
        <w:gridCol w:w="167"/>
        <w:gridCol w:w="1215"/>
        <w:gridCol w:w="69"/>
        <w:gridCol w:w="1185"/>
        <w:gridCol w:w="46"/>
        <w:gridCol w:w="1141"/>
        <w:gridCol w:w="162"/>
        <w:gridCol w:w="1026"/>
        <w:gridCol w:w="277"/>
        <w:gridCol w:w="1012"/>
        <w:gridCol w:w="291"/>
        <w:gridCol w:w="2220"/>
        <w:gridCol w:w="47"/>
        <w:gridCol w:w="1488"/>
      </w:tblGrid>
      <w:tr w:rsidR="00D0690F" w:rsidRPr="005A1CAE" w14:paraId="1D07AB49" w14:textId="77777777" w:rsidTr="00FB0585">
        <w:trPr>
          <w:trHeight w:val="420"/>
        </w:trPr>
        <w:tc>
          <w:tcPr>
            <w:tcW w:w="2250"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44444A39" w14:textId="77777777" w:rsidR="00D0690F" w:rsidRPr="005A1CAE" w:rsidRDefault="00D0690F" w:rsidP="009F612D">
            <w:pPr>
              <w:spacing w:before="0" w:after="0"/>
              <w:jc w:val="center"/>
              <w:rPr>
                <w:noProof/>
                <w:color w:val="000000"/>
                <w:sz w:val="22"/>
              </w:rPr>
            </w:pPr>
            <w:r w:rsidRPr="005A1CAE">
              <w:rPr>
                <w:noProof/>
                <w:color w:val="000000"/>
                <w:sz w:val="22"/>
              </w:rPr>
              <w:t xml:space="preserve">Dyrekcja Generalna: </w:t>
            </w:r>
            <w:r w:rsidRPr="005A1CAE">
              <w:rPr>
                <w:noProof/>
                <w:sz w:val="22"/>
              </w:rPr>
              <w:t>TAXUD</w:t>
            </w:r>
          </w:p>
        </w:tc>
        <w:tc>
          <w:tcPr>
            <w:tcW w:w="468" w:type="pct"/>
            <w:gridSpan w:val="2"/>
            <w:tcBorders>
              <w:top w:val="single" w:sz="8" w:space="0" w:color="auto"/>
              <w:left w:val="nil"/>
              <w:bottom w:val="single" w:sz="8" w:space="0" w:color="auto"/>
              <w:right w:val="single" w:sz="8" w:space="0" w:color="auto"/>
            </w:tcBorders>
            <w:vAlign w:val="center"/>
            <w:hideMark/>
          </w:tcPr>
          <w:p w14:paraId="0AE057A2"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468" w:type="pct"/>
            <w:gridSpan w:val="2"/>
            <w:tcBorders>
              <w:top w:val="single" w:sz="8" w:space="0" w:color="auto"/>
              <w:left w:val="nil"/>
              <w:bottom w:val="single" w:sz="8" w:space="0" w:color="auto"/>
              <w:right w:val="single" w:sz="8" w:space="0" w:color="auto"/>
            </w:tcBorders>
            <w:vAlign w:val="center"/>
            <w:hideMark/>
          </w:tcPr>
          <w:p w14:paraId="5B8E9D0B"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468" w:type="pct"/>
            <w:gridSpan w:val="2"/>
            <w:tcBorders>
              <w:top w:val="single" w:sz="8" w:space="0" w:color="auto"/>
              <w:left w:val="nil"/>
              <w:bottom w:val="single" w:sz="8" w:space="0" w:color="auto"/>
              <w:right w:val="single" w:sz="8" w:space="0" w:color="auto"/>
            </w:tcBorders>
            <w:vAlign w:val="center"/>
            <w:hideMark/>
          </w:tcPr>
          <w:p w14:paraId="092B9BDF"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795" w:type="pct"/>
            <w:tcBorders>
              <w:top w:val="single" w:sz="8" w:space="0" w:color="auto"/>
              <w:left w:val="nil"/>
              <w:bottom w:val="single" w:sz="8" w:space="0" w:color="auto"/>
              <w:right w:val="single" w:sz="8" w:space="0" w:color="auto"/>
            </w:tcBorders>
            <w:vAlign w:val="center"/>
            <w:hideMark/>
          </w:tcPr>
          <w:p w14:paraId="69076A90"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550"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5C900B20"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OGÓŁEM WRF 2021–2027</w:t>
            </w:r>
          </w:p>
        </w:tc>
      </w:tr>
      <w:tr w:rsidR="00D0690F" w:rsidRPr="005A1CAE" w14:paraId="76732445" w14:textId="77777777" w:rsidTr="00FB0585">
        <w:trPr>
          <w:trHeight w:val="288"/>
        </w:trPr>
        <w:tc>
          <w:tcPr>
            <w:tcW w:w="2250" w:type="pct"/>
            <w:gridSpan w:val="6"/>
            <w:vMerge/>
            <w:tcBorders>
              <w:top w:val="single" w:sz="8" w:space="0" w:color="auto"/>
              <w:left w:val="single" w:sz="8" w:space="0" w:color="auto"/>
              <w:bottom w:val="single" w:sz="8" w:space="0" w:color="auto"/>
              <w:right w:val="single" w:sz="8" w:space="0" w:color="auto"/>
            </w:tcBorders>
            <w:vAlign w:val="center"/>
            <w:hideMark/>
          </w:tcPr>
          <w:p w14:paraId="4A42CF22" w14:textId="77777777" w:rsidR="00D0690F" w:rsidRPr="005A1CAE" w:rsidRDefault="00D0690F" w:rsidP="009F612D">
            <w:pPr>
              <w:spacing w:before="0" w:after="0"/>
              <w:jc w:val="left"/>
              <w:rPr>
                <w:noProof/>
                <w:color w:val="000000"/>
                <w:sz w:val="22"/>
                <w:lang w:eastAsia="en-IE"/>
              </w:rPr>
            </w:pPr>
          </w:p>
        </w:tc>
        <w:tc>
          <w:tcPr>
            <w:tcW w:w="468" w:type="pct"/>
            <w:gridSpan w:val="2"/>
            <w:tcBorders>
              <w:top w:val="nil"/>
              <w:left w:val="nil"/>
              <w:bottom w:val="single" w:sz="8" w:space="0" w:color="auto"/>
              <w:right w:val="single" w:sz="8" w:space="0" w:color="auto"/>
            </w:tcBorders>
            <w:vAlign w:val="center"/>
            <w:hideMark/>
          </w:tcPr>
          <w:p w14:paraId="00112D5D"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2024</w:t>
            </w:r>
          </w:p>
        </w:tc>
        <w:tc>
          <w:tcPr>
            <w:tcW w:w="468" w:type="pct"/>
            <w:gridSpan w:val="2"/>
            <w:tcBorders>
              <w:top w:val="nil"/>
              <w:left w:val="nil"/>
              <w:bottom w:val="single" w:sz="8" w:space="0" w:color="auto"/>
              <w:right w:val="single" w:sz="8" w:space="0" w:color="auto"/>
            </w:tcBorders>
            <w:vAlign w:val="center"/>
            <w:hideMark/>
          </w:tcPr>
          <w:p w14:paraId="2E05EC61"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2025</w:t>
            </w:r>
          </w:p>
        </w:tc>
        <w:tc>
          <w:tcPr>
            <w:tcW w:w="468" w:type="pct"/>
            <w:gridSpan w:val="2"/>
            <w:tcBorders>
              <w:top w:val="nil"/>
              <w:left w:val="nil"/>
              <w:bottom w:val="single" w:sz="8" w:space="0" w:color="auto"/>
              <w:right w:val="single" w:sz="8" w:space="0" w:color="auto"/>
            </w:tcBorders>
            <w:vAlign w:val="center"/>
            <w:hideMark/>
          </w:tcPr>
          <w:p w14:paraId="344A036E"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2026</w:t>
            </w:r>
          </w:p>
        </w:tc>
        <w:tc>
          <w:tcPr>
            <w:tcW w:w="795" w:type="pct"/>
            <w:tcBorders>
              <w:top w:val="nil"/>
              <w:left w:val="nil"/>
              <w:bottom w:val="single" w:sz="8" w:space="0" w:color="auto"/>
              <w:right w:val="single" w:sz="8" w:space="0" w:color="auto"/>
            </w:tcBorders>
            <w:vAlign w:val="center"/>
            <w:hideMark/>
          </w:tcPr>
          <w:p w14:paraId="1672714C"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2027</w:t>
            </w:r>
          </w:p>
        </w:tc>
        <w:tc>
          <w:tcPr>
            <w:tcW w:w="550" w:type="pct"/>
            <w:gridSpan w:val="2"/>
            <w:vMerge/>
            <w:tcBorders>
              <w:top w:val="single" w:sz="8" w:space="0" w:color="auto"/>
              <w:left w:val="single" w:sz="8" w:space="0" w:color="auto"/>
              <w:bottom w:val="single" w:sz="8" w:space="0" w:color="auto"/>
              <w:right w:val="single" w:sz="8" w:space="0" w:color="auto"/>
            </w:tcBorders>
            <w:vAlign w:val="center"/>
            <w:hideMark/>
          </w:tcPr>
          <w:p w14:paraId="3F713E63" w14:textId="77777777" w:rsidR="00D0690F" w:rsidRPr="005A1CAE" w:rsidRDefault="00D0690F" w:rsidP="009F612D">
            <w:pPr>
              <w:spacing w:before="0" w:after="0"/>
              <w:jc w:val="left"/>
              <w:rPr>
                <w:b/>
                <w:bCs/>
                <w:noProof/>
                <w:color w:val="000000"/>
                <w:sz w:val="20"/>
                <w:szCs w:val="20"/>
                <w:lang w:eastAsia="en-IE"/>
              </w:rPr>
            </w:pPr>
          </w:p>
        </w:tc>
      </w:tr>
      <w:tr w:rsidR="00D0690F" w:rsidRPr="005A1CAE" w14:paraId="43581733" w14:textId="77777777" w:rsidTr="000362CB">
        <w:trPr>
          <w:trHeight w:val="300"/>
        </w:trPr>
        <w:tc>
          <w:tcPr>
            <w:tcW w:w="5000" w:type="pct"/>
            <w:gridSpan w:val="15"/>
            <w:tcBorders>
              <w:top w:val="single" w:sz="8" w:space="0" w:color="auto"/>
              <w:left w:val="single" w:sz="8" w:space="0" w:color="auto"/>
              <w:bottom w:val="single" w:sz="8" w:space="0" w:color="auto"/>
              <w:right w:val="single" w:sz="8" w:space="0" w:color="auto"/>
            </w:tcBorders>
            <w:vAlign w:val="center"/>
            <w:hideMark/>
          </w:tcPr>
          <w:p w14:paraId="3A434FC5" w14:textId="77777777" w:rsidR="00D0690F" w:rsidRPr="005A1CAE" w:rsidRDefault="00D0690F" w:rsidP="009F612D">
            <w:pPr>
              <w:spacing w:before="0" w:after="0"/>
              <w:jc w:val="left"/>
              <w:rPr>
                <w:noProof/>
                <w:color w:val="000000"/>
                <w:sz w:val="21"/>
                <w:szCs w:val="21"/>
              </w:rPr>
            </w:pPr>
            <w:r w:rsidRPr="005A1CAE">
              <w:rPr>
                <w:noProof/>
                <w:color w:val="000000"/>
                <w:sz w:val="21"/>
              </w:rPr>
              <w:t xml:space="preserve">Środki operacyjne </w:t>
            </w:r>
          </w:p>
        </w:tc>
      </w:tr>
      <w:tr w:rsidR="00A85B79" w:rsidRPr="005A1CAE" w14:paraId="1910D04B" w14:textId="77777777" w:rsidTr="00FB0585">
        <w:trPr>
          <w:trHeight w:val="288"/>
        </w:trPr>
        <w:tc>
          <w:tcPr>
            <w:tcW w:w="1284" w:type="pct"/>
            <w:vMerge w:val="restart"/>
            <w:tcBorders>
              <w:top w:val="nil"/>
              <w:left w:val="single" w:sz="8" w:space="0" w:color="auto"/>
              <w:bottom w:val="single" w:sz="8" w:space="0" w:color="auto"/>
              <w:right w:val="single" w:sz="8" w:space="0" w:color="auto"/>
            </w:tcBorders>
            <w:noWrap/>
            <w:vAlign w:val="center"/>
            <w:hideMark/>
          </w:tcPr>
          <w:p w14:paraId="257EE92E" w14:textId="14319ACC" w:rsidR="00793103" w:rsidRPr="005A1CAE" w:rsidRDefault="00793103" w:rsidP="00793103">
            <w:pPr>
              <w:spacing w:before="0" w:after="0"/>
              <w:jc w:val="left"/>
              <w:rPr>
                <w:noProof/>
                <w:color w:val="000000"/>
                <w:sz w:val="22"/>
              </w:rPr>
            </w:pPr>
            <w:r w:rsidRPr="005A1CAE">
              <w:rPr>
                <w:noProof/>
                <w:sz w:val="22"/>
              </w:rPr>
              <w:t>Linia budżetowa 09 20 04 01 (CBAM)</w:t>
            </w:r>
          </w:p>
        </w:tc>
        <w:tc>
          <w:tcPr>
            <w:tcW w:w="497" w:type="pct"/>
            <w:gridSpan w:val="2"/>
            <w:tcBorders>
              <w:top w:val="nil"/>
              <w:left w:val="nil"/>
              <w:bottom w:val="single" w:sz="8" w:space="0" w:color="auto"/>
              <w:right w:val="single" w:sz="8" w:space="0" w:color="auto"/>
            </w:tcBorders>
            <w:vAlign w:val="center"/>
            <w:hideMark/>
          </w:tcPr>
          <w:p w14:paraId="10C44189" w14:textId="77777777" w:rsidR="00793103" w:rsidRPr="005A1CAE" w:rsidRDefault="00793103" w:rsidP="00793103">
            <w:pPr>
              <w:spacing w:before="0" w:after="0"/>
              <w:rPr>
                <w:noProof/>
                <w:color w:val="000000"/>
                <w:sz w:val="18"/>
                <w:szCs w:val="18"/>
              </w:rPr>
            </w:pPr>
            <w:r w:rsidRPr="005A1CAE">
              <w:rPr>
                <w:noProof/>
                <w:color w:val="000000"/>
                <w:sz w:val="18"/>
              </w:rPr>
              <w:t>Środki na zobowiązania</w:t>
            </w:r>
          </w:p>
        </w:tc>
        <w:tc>
          <w:tcPr>
            <w:tcW w:w="469" w:type="pct"/>
            <w:gridSpan w:val="3"/>
            <w:tcBorders>
              <w:top w:val="single" w:sz="8" w:space="0" w:color="auto"/>
              <w:left w:val="nil"/>
              <w:bottom w:val="single" w:sz="8" w:space="0" w:color="auto"/>
              <w:right w:val="single" w:sz="8" w:space="0" w:color="auto"/>
            </w:tcBorders>
            <w:vAlign w:val="center"/>
            <w:hideMark/>
          </w:tcPr>
          <w:p w14:paraId="5412E49C" w14:textId="77777777" w:rsidR="00793103" w:rsidRPr="005A1CAE" w:rsidRDefault="00793103" w:rsidP="00793103">
            <w:pPr>
              <w:spacing w:before="0" w:after="0"/>
              <w:jc w:val="center"/>
              <w:rPr>
                <w:noProof/>
                <w:color w:val="000000"/>
                <w:sz w:val="14"/>
                <w:szCs w:val="14"/>
              </w:rPr>
            </w:pPr>
            <w:r w:rsidRPr="005A1CAE">
              <w:rPr>
                <w:noProof/>
                <w:color w:val="000000"/>
                <w:sz w:val="14"/>
              </w:rPr>
              <w:t>(1a)</w:t>
            </w:r>
          </w:p>
        </w:tc>
        <w:tc>
          <w:tcPr>
            <w:tcW w:w="468" w:type="pct"/>
            <w:gridSpan w:val="2"/>
            <w:tcBorders>
              <w:top w:val="nil"/>
              <w:left w:val="nil"/>
              <w:bottom w:val="single" w:sz="8" w:space="0" w:color="auto"/>
              <w:right w:val="single" w:sz="8" w:space="0" w:color="auto"/>
            </w:tcBorders>
            <w:vAlign w:val="center"/>
            <w:hideMark/>
          </w:tcPr>
          <w:p w14:paraId="73D90538" w14:textId="77777777" w:rsidR="00793103" w:rsidRPr="005A1CAE" w:rsidRDefault="00793103" w:rsidP="00793103">
            <w:pPr>
              <w:spacing w:before="0" w:after="0"/>
              <w:jc w:val="right"/>
              <w:rPr>
                <w:noProof/>
                <w:color w:val="000000"/>
                <w:sz w:val="20"/>
                <w:szCs w:val="20"/>
              </w:rPr>
            </w:pPr>
            <w:r w:rsidRPr="005A1CAE">
              <w:rPr>
                <w:noProof/>
                <w:sz w:val="20"/>
              </w:rPr>
              <w:t>28,090 </w:t>
            </w:r>
          </w:p>
        </w:tc>
        <w:tc>
          <w:tcPr>
            <w:tcW w:w="468" w:type="pct"/>
            <w:gridSpan w:val="2"/>
            <w:tcBorders>
              <w:top w:val="nil"/>
              <w:left w:val="nil"/>
              <w:bottom w:val="single" w:sz="8" w:space="0" w:color="auto"/>
              <w:right w:val="single" w:sz="8" w:space="0" w:color="auto"/>
            </w:tcBorders>
            <w:vAlign w:val="center"/>
            <w:hideMark/>
          </w:tcPr>
          <w:p w14:paraId="67AA194C" w14:textId="77777777" w:rsidR="00793103" w:rsidRPr="005A1CAE" w:rsidRDefault="00793103" w:rsidP="00793103">
            <w:pPr>
              <w:spacing w:before="0" w:after="0"/>
              <w:jc w:val="right"/>
              <w:rPr>
                <w:noProof/>
                <w:color w:val="000000"/>
                <w:sz w:val="20"/>
                <w:szCs w:val="20"/>
              </w:rPr>
            </w:pPr>
            <w:r w:rsidRPr="005A1CAE">
              <w:rPr>
                <w:noProof/>
                <w:sz w:val="20"/>
              </w:rPr>
              <w:t>34,750 </w:t>
            </w:r>
          </w:p>
        </w:tc>
        <w:tc>
          <w:tcPr>
            <w:tcW w:w="468" w:type="pct"/>
            <w:gridSpan w:val="2"/>
            <w:tcBorders>
              <w:top w:val="nil"/>
              <w:left w:val="nil"/>
              <w:bottom w:val="single" w:sz="8" w:space="0" w:color="auto"/>
              <w:right w:val="single" w:sz="8" w:space="0" w:color="auto"/>
            </w:tcBorders>
            <w:vAlign w:val="center"/>
            <w:hideMark/>
          </w:tcPr>
          <w:p w14:paraId="03995E71" w14:textId="77777777" w:rsidR="00793103" w:rsidRPr="005A1CAE" w:rsidRDefault="00793103" w:rsidP="00793103">
            <w:pPr>
              <w:spacing w:before="0" w:after="0"/>
              <w:jc w:val="right"/>
              <w:rPr>
                <w:noProof/>
                <w:color w:val="000000"/>
                <w:sz w:val="20"/>
                <w:szCs w:val="20"/>
              </w:rPr>
            </w:pPr>
            <w:r w:rsidRPr="005A1CAE">
              <w:rPr>
                <w:noProof/>
                <w:sz w:val="20"/>
              </w:rPr>
              <w:t>33,700</w:t>
            </w:r>
          </w:p>
        </w:tc>
        <w:tc>
          <w:tcPr>
            <w:tcW w:w="795" w:type="pct"/>
            <w:tcBorders>
              <w:top w:val="nil"/>
              <w:left w:val="nil"/>
              <w:bottom w:val="single" w:sz="8" w:space="0" w:color="auto"/>
              <w:right w:val="single" w:sz="8" w:space="0" w:color="auto"/>
            </w:tcBorders>
            <w:vAlign w:val="center"/>
            <w:hideMark/>
          </w:tcPr>
          <w:p w14:paraId="2DC8C2C2" w14:textId="77777777" w:rsidR="00793103" w:rsidRPr="005A1CAE" w:rsidRDefault="000F3CF0" w:rsidP="00793103">
            <w:pPr>
              <w:spacing w:before="0" w:after="0"/>
              <w:jc w:val="right"/>
              <w:rPr>
                <w:noProof/>
                <w:color w:val="000000"/>
                <w:sz w:val="20"/>
                <w:szCs w:val="20"/>
              </w:rPr>
            </w:pPr>
            <w:r w:rsidRPr="005A1CAE">
              <w:rPr>
                <w:noProof/>
                <w:sz w:val="20"/>
              </w:rPr>
              <w:t>35,150 </w:t>
            </w:r>
          </w:p>
        </w:tc>
        <w:tc>
          <w:tcPr>
            <w:tcW w:w="550" w:type="pct"/>
            <w:gridSpan w:val="2"/>
            <w:tcBorders>
              <w:top w:val="nil"/>
              <w:left w:val="nil"/>
              <w:bottom w:val="single" w:sz="8" w:space="0" w:color="auto"/>
              <w:right w:val="single" w:sz="8" w:space="0" w:color="auto"/>
            </w:tcBorders>
            <w:shd w:val="clear" w:color="000000" w:fill="D9D9D9"/>
            <w:vAlign w:val="center"/>
            <w:hideMark/>
          </w:tcPr>
          <w:p w14:paraId="09E45EAD" w14:textId="77777777" w:rsidR="00793103" w:rsidRPr="005A1CAE" w:rsidRDefault="00D67375" w:rsidP="00793103">
            <w:pPr>
              <w:spacing w:before="0" w:after="0"/>
              <w:jc w:val="right"/>
              <w:rPr>
                <w:b/>
                <w:bCs/>
                <w:noProof/>
                <w:color w:val="000000"/>
                <w:sz w:val="20"/>
                <w:szCs w:val="20"/>
              </w:rPr>
            </w:pPr>
            <w:r w:rsidRPr="005A1CAE">
              <w:rPr>
                <w:b/>
                <w:noProof/>
                <w:sz w:val="20"/>
              </w:rPr>
              <w:t>131,690</w:t>
            </w:r>
          </w:p>
        </w:tc>
      </w:tr>
      <w:tr w:rsidR="00A85B79" w:rsidRPr="005A1CAE" w14:paraId="4112AE6F" w14:textId="77777777" w:rsidTr="00FB0585">
        <w:trPr>
          <w:trHeight w:val="315"/>
        </w:trPr>
        <w:tc>
          <w:tcPr>
            <w:tcW w:w="1284" w:type="pct"/>
            <w:vMerge/>
            <w:tcBorders>
              <w:top w:val="nil"/>
              <w:left w:val="single" w:sz="8" w:space="0" w:color="auto"/>
              <w:bottom w:val="single" w:sz="8" w:space="0" w:color="auto"/>
              <w:right w:val="single" w:sz="8" w:space="0" w:color="auto"/>
            </w:tcBorders>
            <w:vAlign w:val="center"/>
            <w:hideMark/>
          </w:tcPr>
          <w:p w14:paraId="35137EA0" w14:textId="77777777" w:rsidR="00793103" w:rsidRPr="005A1CAE" w:rsidRDefault="00793103" w:rsidP="00793103">
            <w:pPr>
              <w:spacing w:before="0" w:after="0"/>
              <w:jc w:val="left"/>
              <w:rPr>
                <w:noProof/>
                <w:color w:val="000000"/>
                <w:sz w:val="22"/>
                <w:lang w:eastAsia="en-IE"/>
              </w:rPr>
            </w:pPr>
          </w:p>
        </w:tc>
        <w:tc>
          <w:tcPr>
            <w:tcW w:w="497" w:type="pct"/>
            <w:gridSpan w:val="2"/>
            <w:tcBorders>
              <w:top w:val="nil"/>
              <w:left w:val="nil"/>
              <w:bottom w:val="single" w:sz="8" w:space="0" w:color="auto"/>
              <w:right w:val="single" w:sz="8" w:space="0" w:color="auto"/>
            </w:tcBorders>
            <w:vAlign w:val="center"/>
            <w:hideMark/>
          </w:tcPr>
          <w:p w14:paraId="47ED8E80" w14:textId="77777777" w:rsidR="00793103" w:rsidRPr="005A1CAE" w:rsidRDefault="00793103" w:rsidP="00793103">
            <w:pPr>
              <w:spacing w:before="0" w:after="0"/>
              <w:rPr>
                <w:noProof/>
                <w:color w:val="000000"/>
                <w:sz w:val="18"/>
                <w:szCs w:val="18"/>
              </w:rPr>
            </w:pPr>
            <w:r w:rsidRPr="005A1CAE">
              <w:rPr>
                <w:noProof/>
                <w:color w:val="000000"/>
                <w:sz w:val="18"/>
              </w:rPr>
              <w:t>Środki na płatności</w:t>
            </w:r>
          </w:p>
        </w:tc>
        <w:tc>
          <w:tcPr>
            <w:tcW w:w="469" w:type="pct"/>
            <w:gridSpan w:val="3"/>
            <w:tcBorders>
              <w:top w:val="single" w:sz="8" w:space="0" w:color="auto"/>
              <w:left w:val="nil"/>
              <w:bottom w:val="single" w:sz="8" w:space="0" w:color="auto"/>
              <w:right w:val="single" w:sz="8" w:space="0" w:color="auto"/>
            </w:tcBorders>
            <w:vAlign w:val="center"/>
            <w:hideMark/>
          </w:tcPr>
          <w:p w14:paraId="7F809E30" w14:textId="77777777" w:rsidR="00793103" w:rsidRPr="005A1CAE" w:rsidRDefault="00793103" w:rsidP="00793103">
            <w:pPr>
              <w:spacing w:before="0" w:after="0"/>
              <w:jc w:val="center"/>
              <w:rPr>
                <w:noProof/>
                <w:color w:val="000000"/>
                <w:sz w:val="14"/>
                <w:szCs w:val="14"/>
              </w:rPr>
            </w:pPr>
            <w:r w:rsidRPr="005A1CAE">
              <w:rPr>
                <w:noProof/>
                <w:color w:val="000000"/>
                <w:sz w:val="14"/>
              </w:rPr>
              <w:t>(2a)</w:t>
            </w:r>
          </w:p>
        </w:tc>
        <w:tc>
          <w:tcPr>
            <w:tcW w:w="468" w:type="pct"/>
            <w:gridSpan w:val="2"/>
            <w:tcBorders>
              <w:top w:val="nil"/>
              <w:left w:val="nil"/>
              <w:bottom w:val="single" w:sz="8" w:space="0" w:color="auto"/>
              <w:right w:val="single" w:sz="8" w:space="0" w:color="auto"/>
            </w:tcBorders>
            <w:vAlign w:val="center"/>
            <w:hideMark/>
          </w:tcPr>
          <w:p w14:paraId="0441818A" w14:textId="77777777" w:rsidR="00793103" w:rsidRPr="005A1CAE" w:rsidRDefault="00793103" w:rsidP="00793103">
            <w:pPr>
              <w:spacing w:before="0" w:after="0"/>
              <w:jc w:val="right"/>
              <w:rPr>
                <w:noProof/>
                <w:color w:val="000000"/>
                <w:sz w:val="20"/>
                <w:szCs w:val="20"/>
              </w:rPr>
            </w:pPr>
            <w:r w:rsidRPr="005A1CAE">
              <w:rPr>
                <w:noProof/>
                <w:sz w:val="20"/>
              </w:rPr>
              <w:t>17,530 </w:t>
            </w:r>
          </w:p>
        </w:tc>
        <w:tc>
          <w:tcPr>
            <w:tcW w:w="468" w:type="pct"/>
            <w:gridSpan w:val="2"/>
            <w:tcBorders>
              <w:top w:val="nil"/>
              <w:left w:val="nil"/>
              <w:bottom w:val="single" w:sz="8" w:space="0" w:color="auto"/>
              <w:right w:val="single" w:sz="8" w:space="0" w:color="auto"/>
            </w:tcBorders>
            <w:vAlign w:val="center"/>
            <w:hideMark/>
          </w:tcPr>
          <w:p w14:paraId="60134666" w14:textId="77777777" w:rsidR="00793103" w:rsidRPr="005A1CAE" w:rsidRDefault="00793103" w:rsidP="00793103">
            <w:pPr>
              <w:spacing w:before="0" w:after="0"/>
              <w:jc w:val="right"/>
              <w:rPr>
                <w:noProof/>
                <w:color w:val="000000"/>
                <w:sz w:val="20"/>
                <w:szCs w:val="20"/>
              </w:rPr>
            </w:pPr>
            <w:r w:rsidRPr="005A1CAE">
              <w:rPr>
                <w:noProof/>
                <w:sz w:val="20"/>
              </w:rPr>
              <w:t>21,157 </w:t>
            </w:r>
          </w:p>
        </w:tc>
        <w:tc>
          <w:tcPr>
            <w:tcW w:w="468" w:type="pct"/>
            <w:gridSpan w:val="2"/>
            <w:tcBorders>
              <w:top w:val="nil"/>
              <w:left w:val="nil"/>
              <w:bottom w:val="single" w:sz="8" w:space="0" w:color="auto"/>
              <w:right w:val="single" w:sz="8" w:space="0" w:color="auto"/>
            </w:tcBorders>
            <w:vAlign w:val="center"/>
            <w:hideMark/>
          </w:tcPr>
          <w:p w14:paraId="5E80AAE4" w14:textId="77777777" w:rsidR="00793103" w:rsidRPr="005A1CAE" w:rsidRDefault="001F30B4" w:rsidP="00793103">
            <w:pPr>
              <w:spacing w:before="0" w:after="0"/>
              <w:jc w:val="right"/>
              <w:rPr>
                <w:noProof/>
                <w:color w:val="000000"/>
                <w:sz w:val="20"/>
                <w:szCs w:val="20"/>
              </w:rPr>
            </w:pPr>
            <w:r w:rsidRPr="005A1CAE">
              <w:rPr>
                <w:noProof/>
                <w:sz w:val="20"/>
              </w:rPr>
              <w:t>32,090</w:t>
            </w:r>
          </w:p>
        </w:tc>
        <w:tc>
          <w:tcPr>
            <w:tcW w:w="795" w:type="pct"/>
            <w:tcBorders>
              <w:top w:val="nil"/>
              <w:left w:val="nil"/>
              <w:bottom w:val="single" w:sz="8" w:space="0" w:color="auto"/>
              <w:right w:val="single" w:sz="8" w:space="0" w:color="auto"/>
            </w:tcBorders>
            <w:vAlign w:val="center"/>
            <w:hideMark/>
          </w:tcPr>
          <w:p w14:paraId="0928E5FE" w14:textId="77777777" w:rsidR="00793103" w:rsidRPr="005A1CAE" w:rsidRDefault="00B21D89" w:rsidP="00793103">
            <w:pPr>
              <w:spacing w:before="0" w:after="0"/>
              <w:jc w:val="right"/>
              <w:rPr>
                <w:noProof/>
                <w:color w:val="000000"/>
                <w:sz w:val="20"/>
                <w:szCs w:val="20"/>
              </w:rPr>
            </w:pPr>
            <w:r w:rsidRPr="005A1CAE">
              <w:rPr>
                <w:noProof/>
                <w:sz w:val="20"/>
              </w:rPr>
              <w:t>34,067</w:t>
            </w:r>
          </w:p>
        </w:tc>
        <w:tc>
          <w:tcPr>
            <w:tcW w:w="550" w:type="pct"/>
            <w:gridSpan w:val="2"/>
            <w:tcBorders>
              <w:top w:val="nil"/>
              <w:left w:val="nil"/>
              <w:bottom w:val="single" w:sz="8" w:space="0" w:color="auto"/>
              <w:right w:val="single" w:sz="8" w:space="0" w:color="auto"/>
            </w:tcBorders>
            <w:shd w:val="clear" w:color="000000" w:fill="D9D9D9"/>
            <w:vAlign w:val="center"/>
            <w:hideMark/>
          </w:tcPr>
          <w:p w14:paraId="010BE9BD" w14:textId="77777777" w:rsidR="00793103" w:rsidRPr="005A1CAE" w:rsidRDefault="00B21D89" w:rsidP="00793103">
            <w:pPr>
              <w:spacing w:before="0" w:after="0"/>
              <w:jc w:val="right"/>
              <w:rPr>
                <w:b/>
                <w:bCs/>
                <w:noProof/>
                <w:color w:val="000000"/>
                <w:sz w:val="20"/>
                <w:szCs w:val="20"/>
              </w:rPr>
            </w:pPr>
            <w:r w:rsidRPr="005A1CAE">
              <w:rPr>
                <w:b/>
                <w:noProof/>
                <w:sz w:val="20"/>
              </w:rPr>
              <w:t>104,844</w:t>
            </w:r>
          </w:p>
        </w:tc>
      </w:tr>
      <w:tr w:rsidR="00A85B79" w:rsidRPr="005A1CAE" w14:paraId="6C4BFEB3" w14:textId="77777777" w:rsidTr="00FB0585">
        <w:trPr>
          <w:trHeight w:val="315"/>
        </w:trPr>
        <w:tc>
          <w:tcPr>
            <w:tcW w:w="1284" w:type="pct"/>
            <w:vMerge w:val="restart"/>
            <w:tcBorders>
              <w:top w:val="nil"/>
              <w:left w:val="single" w:sz="8" w:space="0" w:color="auto"/>
              <w:bottom w:val="single" w:sz="8" w:space="0" w:color="auto"/>
              <w:right w:val="single" w:sz="8" w:space="0" w:color="auto"/>
            </w:tcBorders>
            <w:vAlign w:val="center"/>
            <w:hideMark/>
          </w:tcPr>
          <w:p w14:paraId="04BAA9B4" w14:textId="77777777" w:rsidR="00793103" w:rsidRPr="005A1CAE" w:rsidRDefault="00793103" w:rsidP="00793103">
            <w:pPr>
              <w:spacing w:before="0" w:after="0"/>
              <w:rPr>
                <w:noProof/>
                <w:color w:val="000000"/>
                <w:sz w:val="20"/>
                <w:szCs w:val="20"/>
              </w:rPr>
            </w:pPr>
            <w:r w:rsidRPr="005A1CAE">
              <w:rPr>
                <w:noProof/>
                <w:sz w:val="20"/>
              </w:rPr>
              <w:t>Linia budżetowa</w:t>
            </w:r>
          </w:p>
        </w:tc>
        <w:tc>
          <w:tcPr>
            <w:tcW w:w="497" w:type="pct"/>
            <w:gridSpan w:val="2"/>
            <w:tcBorders>
              <w:top w:val="nil"/>
              <w:left w:val="nil"/>
              <w:bottom w:val="single" w:sz="8" w:space="0" w:color="auto"/>
              <w:right w:val="single" w:sz="8" w:space="0" w:color="auto"/>
            </w:tcBorders>
            <w:vAlign w:val="center"/>
            <w:hideMark/>
          </w:tcPr>
          <w:p w14:paraId="080D0103" w14:textId="77777777" w:rsidR="00793103" w:rsidRPr="005A1CAE" w:rsidRDefault="00793103" w:rsidP="00793103">
            <w:pPr>
              <w:spacing w:before="0" w:after="0"/>
              <w:rPr>
                <w:noProof/>
                <w:color w:val="000000"/>
                <w:sz w:val="18"/>
                <w:szCs w:val="18"/>
              </w:rPr>
            </w:pPr>
            <w:r w:rsidRPr="005A1CAE">
              <w:rPr>
                <w:noProof/>
                <w:color w:val="000000"/>
                <w:sz w:val="18"/>
              </w:rPr>
              <w:t>Środki na zobowiązania</w:t>
            </w:r>
          </w:p>
        </w:tc>
        <w:tc>
          <w:tcPr>
            <w:tcW w:w="469" w:type="pct"/>
            <w:gridSpan w:val="3"/>
            <w:tcBorders>
              <w:top w:val="single" w:sz="8" w:space="0" w:color="auto"/>
              <w:left w:val="nil"/>
              <w:bottom w:val="single" w:sz="8" w:space="0" w:color="auto"/>
              <w:right w:val="single" w:sz="8" w:space="0" w:color="auto"/>
            </w:tcBorders>
            <w:vAlign w:val="center"/>
            <w:hideMark/>
          </w:tcPr>
          <w:p w14:paraId="75EC806A" w14:textId="77777777" w:rsidR="00793103" w:rsidRPr="005A1CAE" w:rsidRDefault="00793103" w:rsidP="00793103">
            <w:pPr>
              <w:spacing w:before="0" w:after="0"/>
              <w:jc w:val="center"/>
              <w:rPr>
                <w:noProof/>
                <w:color w:val="000000"/>
                <w:sz w:val="14"/>
                <w:szCs w:val="14"/>
              </w:rPr>
            </w:pPr>
            <w:r w:rsidRPr="005A1CAE">
              <w:rPr>
                <w:noProof/>
                <w:color w:val="000000"/>
                <w:sz w:val="14"/>
              </w:rPr>
              <w:t>(1b)</w:t>
            </w:r>
          </w:p>
        </w:tc>
        <w:tc>
          <w:tcPr>
            <w:tcW w:w="468" w:type="pct"/>
            <w:gridSpan w:val="2"/>
            <w:tcBorders>
              <w:top w:val="nil"/>
              <w:left w:val="nil"/>
              <w:bottom w:val="single" w:sz="8" w:space="0" w:color="auto"/>
              <w:right w:val="single" w:sz="8" w:space="0" w:color="auto"/>
            </w:tcBorders>
            <w:vAlign w:val="center"/>
            <w:hideMark/>
          </w:tcPr>
          <w:p w14:paraId="0D0768C8" w14:textId="77777777" w:rsidR="00793103" w:rsidRPr="005A1CAE" w:rsidRDefault="00793103" w:rsidP="00793103">
            <w:pPr>
              <w:spacing w:before="0" w:after="0"/>
              <w:jc w:val="right"/>
              <w:rPr>
                <w:noProof/>
                <w:color w:val="000000"/>
                <w:sz w:val="20"/>
                <w:szCs w:val="20"/>
              </w:rPr>
            </w:pPr>
            <w:r w:rsidRPr="005A1CAE">
              <w:rPr>
                <w:noProof/>
                <w:sz w:val="20"/>
              </w:rPr>
              <w:t xml:space="preserve"> </w:t>
            </w:r>
          </w:p>
        </w:tc>
        <w:tc>
          <w:tcPr>
            <w:tcW w:w="468" w:type="pct"/>
            <w:gridSpan w:val="2"/>
            <w:tcBorders>
              <w:top w:val="nil"/>
              <w:left w:val="nil"/>
              <w:bottom w:val="single" w:sz="8" w:space="0" w:color="auto"/>
              <w:right w:val="single" w:sz="8" w:space="0" w:color="auto"/>
            </w:tcBorders>
            <w:vAlign w:val="center"/>
            <w:hideMark/>
          </w:tcPr>
          <w:p w14:paraId="704B8750" w14:textId="77777777" w:rsidR="00793103" w:rsidRPr="005A1CAE" w:rsidRDefault="00793103" w:rsidP="00793103">
            <w:pPr>
              <w:spacing w:before="0" w:after="0"/>
              <w:jc w:val="right"/>
              <w:rPr>
                <w:noProof/>
                <w:color w:val="000000"/>
                <w:sz w:val="20"/>
                <w:szCs w:val="20"/>
              </w:rPr>
            </w:pPr>
            <w:r w:rsidRPr="005A1CAE">
              <w:rPr>
                <w:noProof/>
                <w:sz w:val="20"/>
              </w:rPr>
              <w:t xml:space="preserve"> </w:t>
            </w:r>
          </w:p>
        </w:tc>
        <w:tc>
          <w:tcPr>
            <w:tcW w:w="468" w:type="pct"/>
            <w:gridSpan w:val="2"/>
            <w:tcBorders>
              <w:top w:val="nil"/>
              <w:left w:val="nil"/>
              <w:bottom w:val="single" w:sz="8" w:space="0" w:color="auto"/>
              <w:right w:val="single" w:sz="8" w:space="0" w:color="auto"/>
            </w:tcBorders>
            <w:vAlign w:val="center"/>
            <w:hideMark/>
          </w:tcPr>
          <w:p w14:paraId="1C92ECEB" w14:textId="77777777" w:rsidR="00793103" w:rsidRPr="005A1CAE" w:rsidRDefault="00793103" w:rsidP="00793103">
            <w:pPr>
              <w:spacing w:before="0" w:after="0"/>
              <w:jc w:val="right"/>
              <w:rPr>
                <w:noProof/>
                <w:color w:val="000000"/>
                <w:sz w:val="20"/>
                <w:szCs w:val="20"/>
              </w:rPr>
            </w:pPr>
            <w:r w:rsidRPr="005A1CAE">
              <w:rPr>
                <w:noProof/>
                <w:sz w:val="20"/>
              </w:rPr>
              <w:t xml:space="preserve"> </w:t>
            </w:r>
          </w:p>
        </w:tc>
        <w:tc>
          <w:tcPr>
            <w:tcW w:w="795" w:type="pct"/>
            <w:tcBorders>
              <w:top w:val="nil"/>
              <w:left w:val="nil"/>
              <w:bottom w:val="single" w:sz="8" w:space="0" w:color="auto"/>
              <w:right w:val="single" w:sz="8" w:space="0" w:color="auto"/>
            </w:tcBorders>
            <w:vAlign w:val="center"/>
            <w:hideMark/>
          </w:tcPr>
          <w:p w14:paraId="4B97B9BA" w14:textId="77777777" w:rsidR="00793103" w:rsidRPr="005A1CAE" w:rsidRDefault="00793103" w:rsidP="00793103">
            <w:pPr>
              <w:spacing w:before="0" w:after="0"/>
              <w:jc w:val="right"/>
              <w:rPr>
                <w:noProof/>
                <w:color w:val="000000"/>
                <w:sz w:val="20"/>
                <w:szCs w:val="20"/>
              </w:rPr>
            </w:pPr>
            <w:r w:rsidRPr="005A1CAE">
              <w:rPr>
                <w:noProof/>
                <w:sz w:val="20"/>
              </w:rPr>
              <w:t xml:space="preserve"> </w:t>
            </w:r>
          </w:p>
        </w:tc>
        <w:tc>
          <w:tcPr>
            <w:tcW w:w="550" w:type="pct"/>
            <w:gridSpan w:val="2"/>
            <w:tcBorders>
              <w:top w:val="nil"/>
              <w:left w:val="nil"/>
              <w:bottom w:val="single" w:sz="8" w:space="0" w:color="auto"/>
              <w:right w:val="single" w:sz="8" w:space="0" w:color="auto"/>
            </w:tcBorders>
            <w:shd w:val="clear" w:color="000000" w:fill="D9D9D9"/>
            <w:vAlign w:val="center"/>
            <w:hideMark/>
          </w:tcPr>
          <w:p w14:paraId="16BD03EB" w14:textId="77777777" w:rsidR="00793103" w:rsidRPr="005A1CAE" w:rsidRDefault="00793103" w:rsidP="00793103">
            <w:pPr>
              <w:spacing w:before="0" w:after="0"/>
              <w:jc w:val="right"/>
              <w:rPr>
                <w:b/>
                <w:bCs/>
                <w:noProof/>
                <w:color w:val="000000"/>
                <w:sz w:val="20"/>
                <w:szCs w:val="20"/>
              </w:rPr>
            </w:pPr>
            <w:r w:rsidRPr="005A1CAE">
              <w:rPr>
                <w:b/>
                <w:noProof/>
                <w:sz w:val="20"/>
              </w:rPr>
              <w:t>0,000</w:t>
            </w:r>
          </w:p>
        </w:tc>
      </w:tr>
      <w:tr w:rsidR="00A85B79" w:rsidRPr="005A1CAE" w14:paraId="7646C1A3" w14:textId="77777777" w:rsidTr="00FB0585">
        <w:trPr>
          <w:trHeight w:val="315"/>
        </w:trPr>
        <w:tc>
          <w:tcPr>
            <w:tcW w:w="1284" w:type="pct"/>
            <w:vMerge/>
            <w:tcBorders>
              <w:top w:val="nil"/>
              <w:left w:val="single" w:sz="8" w:space="0" w:color="auto"/>
              <w:bottom w:val="single" w:sz="8" w:space="0" w:color="auto"/>
              <w:right w:val="single" w:sz="8" w:space="0" w:color="auto"/>
            </w:tcBorders>
            <w:vAlign w:val="center"/>
            <w:hideMark/>
          </w:tcPr>
          <w:p w14:paraId="3A76F8F0" w14:textId="77777777" w:rsidR="00793103" w:rsidRPr="005A1CAE" w:rsidRDefault="00793103" w:rsidP="00793103">
            <w:pPr>
              <w:spacing w:before="0" w:after="0"/>
              <w:jc w:val="left"/>
              <w:rPr>
                <w:noProof/>
                <w:color w:val="000000"/>
                <w:sz w:val="20"/>
                <w:szCs w:val="20"/>
                <w:lang w:eastAsia="en-IE"/>
              </w:rPr>
            </w:pPr>
          </w:p>
        </w:tc>
        <w:tc>
          <w:tcPr>
            <w:tcW w:w="497" w:type="pct"/>
            <w:gridSpan w:val="2"/>
            <w:tcBorders>
              <w:top w:val="nil"/>
              <w:left w:val="nil"/>
              <w:bottom w:val="single" w:sz="8" w:space="0" w:color="auto"/>
              <w:right w:val="single" w:sz="8" w:space="0" w:color="auto"/>
            </w:tcBorders>
            <w:vAlign w:val="center"/>
            <w:hideMark/>
          </w:tcPr>
          <w:p w14:paraId="0138D5D9" w14:textId="77777777" w:rsidR="00793103" w:rsidRPr="005A1CAE" w:rsidRDefault="00793103" w:rsidP="00793103">
            <w:pPr>
              <w:spacing w:before="0" w:after="0"/>
              <w:rPr>
                <w:noProof/>
                <w:color w:val="000000"/>
                <w:sz w:val="18"/>
                <w:szCs w:val="18"/>
              </w:rPr>
            </w:pPr>
            <w:r w:rsidRPr="005A1CAE">
              <w:rPr>
                <w:noProof/>
                <w:color w:val="000000"/>
                <w:sz w:val="18"/>
              </w:rPr>
              <w:t>Środki na płatności</w:t>
            </w:r>
          </w:p>
        </w:tc>
        <w:tc>
          <w:tcPr>
            <w:tcW w:w="469" w:type="pct"/>
            <w:gridSpan w:val="3"/>
            <w:tcBorders>
              <w:top w:val="single" w:sz="8" w:space="0" w:color="auto"/>
              <w:left w:val="nil"/>
              <w:bottom w:val="single" w:sz="8" w:space="0" w:color="auto"/>
              <w:right w:val="single" w:sz="8" w:space="0" w:color="auto"/>
            </w:tcBorders>
            <w:vAlign w:val="center"/>
            <w:hideMark/>
          </w:tcPr>
          <w:p w14:paraId="7C70A452" w14:textId="77777777" w:rsidR="00793103" w:rsidRPr="005A1CAE" w:rsidRDefault="00793103" w:rsidP="00793103">
            <w:pPr>
              <w:spacing w:before="0" w:after="0"/>
              <w:jc w:val="center"/>
              <w:rPr>
                <w:noProof/>
                <w:color w:val="000000"/>
                <w:sz w:val="14"/>
                <w:szCs w:val="14"/>
              </w:rPr>
            </w:pPr>
            <w:r w:rsidRPr="005A1CAE">
              <w:rPr>
                <w:noProof/>
                <w:color w:val="000000"/>
                <w:sz w:val="14"/>
              </w:rPr>
              <w:t>(2b)</w:t>
            </w:r>
          </w:p>
        </w:tc>
        <w:tc>
          <w:tcPr>
            <w:tcW w:w="468" w:type="pct"/>
            <w:gridSpan w:val="2"/>
            <w:tcBorders>
              <w:top w:val="nil"/>
              <w:left w:val="nil"/>
              <w:bottom w:val="single" w:sz="8" w:space="0" w:color="auto"/>
              <w:right w:val="single" w:sz="8" w:space="0" w:color="auto"/>
            </w:tcBorders>
            <w:vAlign w:val="center"/>
            <w:hideMark/>
          </w:tcPr>
          <w:p w14:paraId="085CCA5D" w14:textId="77777777" w:rsidR="00793103" w:rsidRPr="005A1CAE" w:rsidRDefault="00793103" w:rsidP="00793103">
            <w:pPr>
              <w:spacing w:before="0" w:after="0"/>
              <w:jc w:val="right"/>
              <w:rPr>
                <w:noProof/>
                <w:color w:val="000000"/>
                <w:sz w:val="20"/>
                <w:szCs w:val="20"/>
              </w:rPr>
            </w:pPr>
            <w:r w:rsidRPr="005A1CAE">
              <w:rPr>
                <w:noProof/>
                <w:sz w:val="20"/>
              </w:rPr>
              <w:t xml:space="preserve"> </w:t>
            </w:r>
          </w:p>
        </w:tc>
        <w:tc>
          <w:tcPr>
            <w:tcW w:w="468" w:type="pct"/>
            <w:gridSpan w:val="2"/>
            <w:tcBorders>
              <w:top w:val="nil"/>
              <w:left w:val="nil"/>
              <w:bottom w:val="single" w:sz="8" w:space="0" w:color="auto"/>
              <w:right w:val="single" w:sz="8" w:space="0" w:color="auto"/>
            </w:tcBorders>
            <w:vAlign w:val="center"/>
            <w:hideMark/>
          </w:tcPr>
          <w:p w14:paraId="6ACC1871" w14:textId="77777777" w:rsidR="00793103" w:rsidRPr="005A1CAE" w:rsidRDefault="00793103" w:rsidP="00793103">
            <w:pPr>
              <w:spacing w:before="0" w:after="0"/>
              <w:jc w:val="right"/>
              <w:rPr>
                <w:noProof/>
                <w:color w:val="000000"/>
                <w:sz w:val="20"/>
                <w:szCs w:val="20"/>
              </w:rPr>
            </w:pPr>
            <w:r w:rsidRPr="005A1CAE">
              <w:rPr>
                <w:noProof/>
                <w:sz w:val="20"/>
              </w:rPr>
              <w:t xml:space="preserve"> </w:t>
            </w:r>
          </w:p>
        </w:tc>
        <w:tc>
          <w:tcPr>
            <w:tcW w:w="468" w:type="pct"/>
            <w:gridSpan w:val="2"/>
            <w:tcBorders>
              <w:top w:val="nil"/>
              <w:left w:val="nil"/>
              <w:bottom w:val="single" w:sz="8" w:space="0" w:color="auto"/>
              <w:right w:val="single" w:sz="8" w:space="0" w:color="auto"/>
            </w:tcBorders>
            <w:vAlign w:val="center"/>
            <w:hideMark/>
          </w:tcPr>
          <w:p w14:paraId="32D28BE8" w14:textId="77777777" w:rsidR="00793103" w:rsidRPr="005A1CAE" w:rsidRDefault="00793103" w:rsidP="00793103">
            <w:pPr>
              <w:spacing w:before="0" w:after="0"/>
              <w:jc w:val="right"/>
              <w:rPr>
                <w:noProof/>
                <w:color w:val="000000"/>
                <w:sz w:val="20"/>
                <w:szCs w:val="20"/>
              </w:rPr>
            </w:pPr>
            <w:r w:rsidRPr="005A1CAE">
              <w:rPr>
                <w:noProof/>
                <w:sz w:val="20"/>
              </w:rPr>
              <w:t xml:space="preserve"> </w:t>
            </w:r>
          </w:p>
        </w:tc>
        <w:tc>
          <w:tcPr>
            <w:tcW w:w="795" w:type="pct"/>
            <w:tcBorders>
              <w:top w:val="nil"/>
              <w:left w:val="nil"/>
              <w:bottom w:val="single" w:sz="8" w:space="0" w:color="auto"/>
              <w:right w:val="single" w:sz="8" w:space="0" w:color="auto"/>
            </w:tcBorders>
            <w:vAlign w:val="center"/>
            <w:hideMark/>
          </w:tcPr>
          <w:p w14:paraId="524E09A3" w14:textId="77777777" w:rsidR="00793103" w:rsidRPr="005A1CAE" w:rsidRDefault="00793103" w:rsidP="00793103">
            <w:pPr>
              <w:spacing w:before="0" w:after="0"/>
              <w:jc w:val="right"/>
              <w:rPr>
                <w:noProof/>
                <w:color w:val="000000"/>
                <w:sz w:val="20"/>
                <w:szCs w:val="20"/>
              </w:rPr>
            </w:pPr>
            <w:r w:rsidRPr="005A1CAE">
              <w:rPr>
                <w:noProof/>
                <w:sz w:val="20"/>
              </w:rPr>
              <w:t xml:space="preserve"> </w:t>
            </w:r>
          </w:p>
        </w:tc>
        <w:tc>
          <w:tcPr>
            <w:tcW w:w="550" w:type="pct"/>
            <w:gridSpan w:val="2"/>
            <w:tcBorders>
              <w:top w:val="nil"/>
              <w:left w:val="nil"/>
              <w:bottom w:val="single" w:sz="8" w:space="0" w:color="auto"/>
              <w:right w:val="single" w:sz="8" w:space="0" w:color="auto"/>
            </w:tcBorders>
            <w:shd w:val="clear" w:color="000000" w:fill="D9D9D9"/>
            <w:vAlign w:val="center"/>
            <w:hideMark/>
          </w:tcPr>
          <w:p w14:paraId="16D4A190" w14:textId="77777777" w:rsidR="00793103" w:rsidRPr="005A1CAE" w:rsidRDefault="00793103" w:rsidP="00793103">
            <w:pPr>
              <w:spacing w:before="0" w:after="0"/>
              <w:jc w:val="right"/>
              <w:rPr>
                <w:b/>
                <w:bCs/>
                <w:noProof/>
                <w:color w:val="000000"/>
                <w:sz w:val="20"/>
                <w:szCs w:val="20"/>
              </w:rPr>
            </w:pPr>
            <w:r w:rsidRPr="005A1CAE">
              <w:rPr>
                <w:b/>
                <w:noProof/>
                <w:sz w:val="20"/>
              </w:rPr>
              <w:t>0,000</w:t>
            </w:r>
          </w:p>
        </w:tc>
      </w:tr>
      <w:tr w:rsidR="00D0690F" w:rsidRPr="005A1CAE" w14:paraId="1FD6D212" w14:textId="77777777" w:rsidTr="000362CB">
        <w:trPr>
          <w:trHeight w:val="288"/>
        </w:trPr>
        <w:tc>
          <w:tcPr>
            <w:tcW w:w="5000" w:type="pct"/>
            <w:gridSpan w:val="15"/>
            <w:tcBorders>
              <w:top w:val="single" w:sz="8" w:space="0" w:color="auto"/>
              <w:left w:val="single" w:sz="8" w:space="0" w:color="auto"/>
              <w:bottom w:val="single" w:sz="8" w:space="0" w:color="auto"/>
              <w:right w:val="single" w:sz="8" w:space="0" w:color="auto"/>
            </w:tcBorders>
            <w:noWrap/>
            <w:vAlign w:val="bottom"/>
            <w:hideMark/>
          </w:tcPr>
          <w:p w14:paraId="137F907D" w14:textId="77777777" w:rsidR="00D0690F" w:rsidRPr="005A1CAE" w:rsidRDefault="00D0690F" w:rsidP="009F612D">
            <w:pPr>
              <w:spacing w:before="0" w:after="0"/>
              <w:jc w:val="left"/>
              <w:rPr>
                <w:noProof/>
                <w:color w:val="000000"/>
                <w:sz w:val="22"/>
              </w:rPr>
            </w:pPr>
            <w:r w:rsidRPr="005A1CAE">
              <w:rPr>
                <w:noProof/>
                <w:color w:val="000000"/>
                <w:sz w:val="22"/>
              </w:rPr>
              <w:t>Środki administracyjne finansowane ze środków przydzielonych na określone programy</w:t>
            </w:r>
          </w:p>
        </w:tc>
      </w:tr>
      <w:tr w:rsidR="00A85B79" w:rsidRPr="005A1CAE" w14:paraId="0380316B" w14:textId="77777777" w:rsidTr="00FB0585">
        <w:trPr>
          <w:trHeight w:val="288"/>
        </w:trPr>
        <w:tc>
          <w:tcPr>
            <w:tcW w:w="1284" w:type="pct"/>
            <w:tcBorders>
              <w:top w:val="nil"/>
              <w:left w:val="single" w:sz="8" w:space="0" w:color="auto"/>
              <w:bottom w:val="single" w:sz="8" w:space="0" w:color="auto"/>
              <w:right w:val="single" w:sz="8" w:space="0" w:color="auto"/>
            </w:tcBorders>
            <w:vAlign w:val="center"/>
            <w:hideMark/>
          </w:tcPr>
          <w:p w14:paraId="0F45BB08" w14:textId="77777777" w:rsidR="00D0690F" w:rsidRPr="005A1CAE" w:rsidRDefault="00D0690F" w:rsidP="009F612D">
            <w:pPr>
              <w:spacing w:before="0" w:after="0"/>
              <w:rPr>
                <w:noProof/>
                <w:color w:val="000000"/>
                <w:sz w:val="20"/>
                <w:szCs w:val="20"/>
              </w:rPr>
            </w:pPr>
            <w:r w:rsidRPr="005A1CAE">
              <w:rPr>
                <w:noProof/>
                <w:color w:val="000000"/>
                <w:sz w:val="20"/>
              </w:rPr>
              <w:t>Linia budżetowa</w:t>
            </w:r>
          </w:p>
        </w:tc>
        <w:tc>
          <w:tcPr>
            <w:tcW w:w="497" w:type="pct"/>
            <w:gridSpan w:val="2"/>
            <w:tcBorders>
              <w:top w:val="nil"/>
              <w:left w:val="nil"/>
              <w:bottom w:val="single" w:sz="8" w:space="0" w:color="auto"/>
              <w:right w:val="single" w:sz="8" w:space="0" w:color="auto"/>
            </w:tcBorders>
            <w:vAlign w:val="center"/>
            <w:hideMark/>
          </w:tcPr>
          <w:p w14:paraId="0124E81E" w14:textId="77777777" w:rsidR="00D0690F" w:rsidRPr="005A1CAE" w:rsidRDefault="00D0690F" w:rsidP="009F612D">
            <w:pPr>
              <w:spacing w:before="0" w:after="0"/>
              <w:jc w:val="right"/>
              <w:rPr>
                <w:noProof/>
                <w:color w:val="000000"/>
                <w:sz w:val="18"/>
                <w:szCs w:val="18"/>
              </w:rPr>
            </w:pPr>
            <w:r w:rsidRPr="005A1CAE">
              <w:rPr>
                <w:noProof/>
                <w:color w:val="000000"/>
                <w:sz w:val="18"/>
              </w:rPr>
              <w:t xml:space="preserve"> </w:t>
            </w:r>
          </w:p>
        </w:tc>
        <w:tc>
          <w:tcPr>
            <w:tcW w:w="469" w:type="pct"/>
            <w:gridSpan w:val="3"/>
            <w:tcBorders>
              <w:top w:val="single" w:sz="8" w:space="0" w:color="auto"/>
              <w:left w:val="nil"/>
              <w:bottom w:val="single" w:sz="8" w:space="0" w:color="auto"/>
              <w:right w:val="single" w:sz="8" w:space="0" w:color="auto"/>
            </w:tcBorders>
            <w:vAlign w:val="center"/>
            <w:hideMark/>
          </w:tcPr>
          <w:p w14:paraId="7FE981F0" w14:textId="77777777" w:rsidR="00D0690F" w:rsidRPr="005A1CAE" w:rsidRDefault="00D0690F" w:rsidP="009F612D">
            <w:pPr>
              <w:spacing w:before="0" w:after="0"/>
              <w:jc w:val="center"/>
              <w:rPr>
                <w:noProof/>
                <w:color w:val="000000"/>
                <w:sz w:val="14"/>
                <w:szCs w:val="14"/>
              </w:rPr>
            </w:pPr>
            <w:r w:rsidRPr="005A1CAE">
              <w:rPr>
                <w:noProof/>
                <w:color w:val="000000"/>
                <w:sz w:val="14"/>
              </w:rPr>
              <w:t>(3)</w:t>
            </w:r>
          </w:p>
        </w:tc>
        <w:tc>
          <w:tcPr>
            <w:tcW w:w="468" w:type="pct"/>
            <w:gridSpan w:val="2"/>
            <w:tcBorders>
              <w:top w:val="nil"/>
              <w:left w:val="nil"/>
              <w:bottom w:val="single" w:sz="8" w:space="0" w:color="auto"/>
              <w:right w:val="single" w:sz="8" w:space="0" w:color="auto"/>
            </w:tcBorders>
            <w:vAlign w:val="center"/>
            <w:hideMark/>
          </w:tcPr>
          <w:p w14:paraId="3C2AD97D" w14:textId="77777777" w:rsidR="00D0690F" w:rsidRPr="005A1CAE" w:rsidRDefault="00D0690F" w:rsidP="009F612D">
            <w:pPr>
              <w:spacing w:before="0" w:after="0"/>
              <w:jc w:val="right"/>
              <w:rPr>
                <w:b/>
                <w:bCs/>
                <w:noProof/>
                <w:color w:val="000000"/>
                <w:sz w:val="20"/>
                <w:szCs w:val="20"/>
              </w:rPr>
            </w:pPr>
            <w:r w:rsidRPr="005A1CAE">
              <w:rPr>
                <w:b/>
                <w:noProof/>
                <w:color w:val="000000"/>
                <w:sz w:val="20"/>
              </w:rPr>
              <w:t xml:space="preserve"> </w:t>
            </w:r>
          </w:p>
        </w:tc>
        <w:tc>
          <w:tcPr>
            <w:tcW w:w="468" w:type="pct"/>
            <w:gridSpan w:val="2"/>
            <w:tcBorders>
              <w:top w:val="nil"/>
              <w:left w:val="nil"/>
              <w:bottom w:val="single" w:sz="8" w:space="0" w:color="auto"/>
              <w:right w:val="single" w:sz="8" w:space="0" w:color="auto"/>
            </w:tcBorders>
            <w:vAlign w:val="center"/>
            <w:hideMark/>
          </w:tcPr>
          <w:p w14:paraId="52E654D2" w14:textId="77777777" w:rsidR="00D0690F" w:rsidRPr="005A1CAE" w:rsidRDefault="00D0690F" w:rsidP="009F612D">
            <w:pPr>
              <w:spacing w:before="0" w:after="0"/>
              <w:jc w:val="right"/>
              <w:rPr>
                <w:b/>
                <w:bCs/>
                <w:noProof/>
                <w:color w:val="000000"/>
                <w:sz w:val="20"/>
                <w:szCs w:val="20"/>
              </w:rPr>
            </w:pPr>
            <w:r w:rsidRPr="005A1CAE">
              <w:rPr>
                <w:b/>
                <w:noProof/>
                <w:color w:val="000000"/>
                <w:sz w:val="20"/>
              </w:rPr>
              <w:t xml:space="preserve"> </w:t>
            </w:r>
          </w:p>
        </w:tc>
        <w:tc>
          <w:tcPr>
            <w:tcW w:w="468" w:type="pct"/>
            <w:gridSpan w:val="2"/>
            <w:tcBorders>
              <w:top w:val="nil"/>
              <w:left w:val="nil"/>
              <w:bottom w:val="single" w:sz="8" w:space="0" w:color="auto"/>
              <w:right w:val="single" w:sz="8" w:space="0" w:color="auto"/>
            </w:tcBorders>
            <w:vAlign w:val="center"/>
            <w:hideMark/>
          </w:tcPr>
          <w:p w14:paraId="6950CFE8" w14:textId="77777777" w:rsidR="00D0690F" w:rsidRPr="005A1CAE" w:rsidRDefault="00D0690F" w:rsidP="009F612D">
            <w:pPr>
              <w:spacing w:before="0" w:after="0"/>
              <w:jc w:val="right"/>
              <w:rPr>
                <w:b/>
                <w:bCs/>
                <w:noProof/>
                <w:color w:val="000000"/>
                <w:sz w:val="20"/>
                <w:szCs w:val="20"/>
              </w:rPr>
            </w:pPr>
            <w:r w:rsidRPr="005A1CAE">
              <w:rPr>
                <w:b/>
                <w:noProof/>
                <w:color w:val="000000"/>
                <w:sz w:val="20"/>
              </w:rPr>
              <w:t xml:space="preserve"> </w:t>
            </w:r>
          </w:p>
        </w:tc>
        <w:tc>
          <w:tcPr>
            <w:tcW w:w="795" w:type="pct"/>
            <w:tcBorders>
              <w:top w:val="nil"/>
              <w:left w:val="nil"/>
              <w:bottom w:val="single" w:sz="8" w:space="0" w:color="auto"/>
              <w:right w:val="single" w:sz="8" w:space="0" w:color="auto"/>
            </w:tcBorders>
            <w:vAlign w:val="center"/>
            <w:hideMark/>
          </w:tcPr>
          <w:p w14:paraId="5C44EC65" w14:textId="77777777" w:rsidR="00D0690F" w:rsidRPr="005A1CAE" w:rsidRDefault="00D0690F" w:rsidP="009F612D">
            <w:pPr>
              <w:spacing w:before="0" w:after="0"/>
              <w:jc w:val="right"/>
              <w:rPr>
                <w:b/>
                <w:bCs/>
                <w:noProof/>
                <w:color w:val="000000"/>
                <w:sz w:val="20"/>
                <w:szCs w:val="20"/>
              </w:rPr>
            </w:pPr>
            <w:r w:rsidRPr="005A1CAE">
              <w:rPr>
                <w:b/>
                <w:noProof/>
                <w:color w:val="000000"/>
                <w:sz w:val="20"/>
              </w:rPr>
              <w:t xml:space="preserve"> </w:t>
            </w:r>
          </w:p>
        </w:tc>
        <w:tc>
          <w:tcPr>
            <w:tcW w:w="550" w:type="pct"/>
            <w:gridSpan w:val="2"/>
            <w:tcBorders>
              <w:top w:val="nil"/>
              <w:left w:val="nil"/>
              <w:bottom w:val="single" w:sz="8" w:space="0" w:color="auto"/>
              <w:right w:val="single" w:sz="8" w:space="0" w:color="auto"/>
            </w:tcBorders>
            <w:shd w:val="clear" w:color="000000" w:fill="D9D9D9"/>
            <w:vAlign w:val="center"/>
            <w:hideMark/>
          </w:tcPr>
          <w:p w14:paraId="5B2DB4DC" w14:textId="77777777" w:rsidR="00D0690F" w:rsidRPr="005A1CAE" w:rsidRDefault="00D0690F" w:rsidP="009F612D">
            <w:pPr>
              <w:spacing w:before="0" w:after="0"/>
              <w:jc w:val="right"/>
              <w:rPr>
                <w:b/>
                <w:bCs/>
                <w:noProof/>
                <w:color w:val="000000"/>
                <w:sz w:val="20"/>
                <w:szCs w:val="20"/>
              </w:rPr>
            </w:pPr>
            <w:r w:rsidRPr="005A1CAE">
              <w:rPr>
                <w:b/>
                <w:noProof/>
                <w:color w:val="000000"/>
                <w:sz w:val="20"/>
              </w:rPr>
              <w:t>0,000</w:t>
            </w:r>
          </w:p>
        </w:tc>
      </w:tr>
      <w:tr w:rsidR="00793103" w:rsidRPr="005A1CAE" w14:paraId="6E674675" w14:textId="77777777" w:rsidTr="00FB0585">
        <w:trPr>
          <w:trHeight w:val="288"/>
        </w:trPr>
        <w:tc>
          <w:tcPr>
            <w:tcW w:w="1284" w:type="pct"/>
            <w:vMerge w:val="restart"/>
            <w:tcBorders>
              <w:top w:val="nil"/>
              <w:left w:val="single" w:sz="8" w:space="0" w:color="auto"/>
              <w:right w:val="single" w:sz="8" w:space="0" w:color="auto"/>
            </w:tcBorders>
            <w:vAlign w:val="center"/>
            <w:hideMark/>
          </w:tcPr>
          <w:p w14:paraId="67F49303" w14:textId="77777777" w:rsidR="00793103" w:rsidRPr="005A1CAE" w:rsidRDefault="00793103" w:rsidP="00793103">
            <w:pPr>
              <w:spacing w:before="0" w:after="0"/>
              <w:jc w:val="center"/>
              <w:rPr>
                <w:b/>
                <w:bCs/>
                <w:noProof/>
                <w:color w:val="000000"/>
                <w:sz w:val="22"/>
              </w:rPr>
            </w:pPr>
            <w:r w:rsidRPr="005A1CAE">
              <w:rPr>
                <w:b/>
                <w:noProof/>
                <w:color w:val="000000"/>
                <w:sz w:val="22"/>
              </w:rPr>
              <w:t>OGÓŁEM środki</w:t>
            </w:r>
          </w:p>
          <w:p w14:paraId="2CB8BC53" w14:textId="77777777" w:rsidR="00793103" w:rsidRPr="005A1CAE" w:rsidRDefault="00793103" w:rsidP="00793103">
            <w:pPr>
              <w:spacing w:before="0" w:after="0"/>
              <w:jc w:val="center"/>
              <w:rPr>
                <w:b/>
                <w:bCs/>
                <w:noProof/>
                <w:color w:val="000000"/>
                <w:sz w:val="22"/>
              </w:rPr>
            </w:pPr>
            <w:r w:rsidRPr="005A1CAE">
              <w:rPr>
                <w:b/>
                <w:noProof/>
                <w:color w:val="000000"/>
                <w:sz w:val="22"/>
              </w:rPr>
              <w:t xml:space="preserve">dla </w:t>
            </w:r>
            <w:r w:rsidRPr="005A1CAE">
              <w:rPr>
                <w:b/>
                <w:noProof/>
                <w:sz w:val="22"/>
              </w:rPr>
              <w:t>DG TAXUD</w:t>
            </w:r>
          </w:p>
        </w:tc>
        <w:tc>
          <w:tcPr>
            <w:tcW w:w="497" w:type="pct"/>
            <w:gridSpan w:val="2"/>
            <w:tcBorders>
              <w:top w:val="nil"/>
              <w:left w:val="nil"/>
              <w:bottom w:val="single" w:sz="8" w:space="0" w:color="auto"/>
              <w:right w:val="single" w:sz="8" w:space="0" w:color="auto"/>
            </w:tcBorders>
            <w:vAlign w:val="center"/>
            <w:hideMark/>
          </w:tcPr>
          <w:p w14:paraId="461D74A6" w14:textId="77777777" w:rsidR="00793103" w:rsidRPr="005A1CAE" w:rsidRDefault="00793103" w:rsidP="00793103">
            <w:pPr>
              <w:spacing w:before="0" w:after="0"/>
              <w:rPr>
                <w:noProof/>
                <w:color w:val="000000"/>
                <w:sz w:val="18"/>
                <w:szCs w:val="18"/>
              </w:rPr>
            </w:pPr>
            <w:r w:rsidRPr="005A1CAE">
              <w:rPr>
                <w:noProof/>
                <w:color w:val="000000"/>
                <w:sz w:val="18"/>
              </w:rPr>
              <w:t>Środki na zobowiązania</w:t>
            </w:r>
          </w:p>
        </w:tc>
        <w:tc>
          <w:tcPr>
            <w:tcW w:w="469" w:type="pct"/>
            <w:gridSpan w:val="3"/>
            <w:tcBorders>
              <w:top w:val="single" w:sz="8" w:space="0" w:color="auto"/>
              <w:left w:val="nil"/>
              <w:bottom w:val="single" w:sz="8" w:space="0" w:color="auto"/>
              <w:right w:val="single" w:sz="8" w:space="0" w:color="auto"/>
            </w:tcBorders>
            <w:vAlign w:val="center"/>
            <w:hideMark/>
          </w:tcPr>
          <w:p w14:paraId="7310DC7E" w14:textId="77777777" w:rsidR="00793103" w:rsidRPr="005A1CAE" w:rsidRDefault="00793103" w:rsidP="00793103">
            <w:pPr>
              <w:spacing w:before="0" w:after="0"/>
              <w:jc w:val="center"/>
              <w:rPr>
                <w:noProof/>
                <w:color w:val="000000"/>
                <w:sz w:val="14"/>
                <w:szCs w:val="14"/>
              </w:rPr>
            </w:pPr>
            <w:r w:rsidRPr="005A1CAE">
              <w:rPr>
                <w:noProof/>
                <w:color w:val="000000"/>
                <w:sz w:val="14"/>
              </w:rPr>
              <w:t>=1a+1b+3</w:t>
            </w:r>
          </w:p>
        </w:tc>
        <w:tc>
          <w:tcPr>
            <w:tcW w:w="468" w:type="pct"/>
            <w:gridSpan w:val="2"/>
            <w:tcBorders>
              <w:top w:val="nil"/>
              <w:left w:val="nil"/>
              <w:bottom w:val="single" w:sz="8" w:space="0" w:color="auto"/>
              <w:right w:val="single" w:sz="8" w:space="0" w:color="auto"/>
            </w:tcBorders>
            <w:shd w:val="clear" w:color="000000" w:fill="D9D9D9"/>
            <w:vAlign w:val="center"/>
            <w:hideMark/>
          </w:tcPr>
          <w:p w14:paraId="68E7C5F5" w14:textId="77777777" w:rsidR="00793103" w:rsidRPr="005A1CAE" w:rsidRDefault="00793103" w:rsidP="00793103">
            <w:pPr>
              <w:spacing w:before="0" w:after="0"/>
              <w:jc w:val="right"/>
              <w:rPr>
                <w:b/>
                <w:bCs/>
                <w:noProof/>
                <w:color w:val="000000"/>
                <w:sz w:val="20"/>
                <w:szCs w:val="20"/>
              </w:rPr>
            </w:pPr>
            <w:r w:rsidRPr="005A1CAE">
              <w:rPr>
                <w:b/>
                <w:noProof/>
                <w:sz w:val="20"/>
              </w:rPr>
              <w:t>28,090</w:t>
            </w:r>
          </w:p>
        </w:tc>
        <w:tc>
          <w:tcPr>
            <w:tcW w:w="468" w:type="pct"/>
            <w:gridSpan w:val="2"/>
            <w:tcBorders>
              <w:top w:val="nil"/>
              <w:left w:val="nil"/>
              <w:bottom w:val="single" w:sz="8" w:space="0" w:color="auto"/>
              <w:right w:val="single" w:sz="8" w:space="0" w:color="auto"/>
            </w:tcBorders>
            <w:shd w:val="clear" w:color="000000" w:fill="D9D9D9"/>
            <w:vAlign w:val="center"/>
            <w:hideMark/>
          </w:tcPr>
          <w:p w14:paraId="1EA22F55" w14:textId="77777777" w:rsidR="00793103" w:rsidRPr="005A1CAE" w:rsidRDefault="00793103" w:rsidP="00793103">
            <w:pPr>
              <w:spacing w:before="0" w:after="0"/>
              <w:jc w:val="right"/>
              <w:rPr>
                <w:b/>
                <w:bCs/>
                <w:noProof/>
                <w:color w:val="000000"/>
                <w:sz w:val="20"/>
                <w:szCs w:val="20"/>
              </w:rPr>
            </w:pPr>
            <w:r w:rsidRPr="005A1CAE">
              <w:rPr>
                <w:b/>
                <w:noProof/>
                <w:sz w:val="20"/>
              </w:rPr>
              <w:t>34,750</w:t>
            </w:r>
          </w:p>
        </w:tc>
        <w:tc>
          <w:tcPr>
            <w:tcW w:w="468" w:type="pct"/>
            <w:gridSpan w:val="2"/>
            <w:tcBorders>
              <w:top w:val="nil"/>
              <w:left w:val="nil"/>
              <w:bottom w:val="single" w:sz="8" w:space="0" w:color="auto"/>
              <w:right w:val="single" w:sz="8" w:space="0" w:color="auto"/>
            </w:tcBorders>
            <w:shd w:val="clear" w:color="000000" w:fill="D9D9D9"/>
            <w:vAlign w:val="center"/>
            <w:hideMark/>
          </w:tcPr>
          <w:p w14:paraId="4EFE95DD" w14:textId="77777777" w:rsidR="00793103" w:rsidRPr="005A1CAE" w:rsidRDefault="00FB0585" w:rsidP="00793103">
            <w:pPr>
              <w:spacing w:before="0" w:after="0"/>
              <w:jc w:val="right"/>
              <w:rPr>
                <w:b/>
                <w:bCs/>
                <w:noProof/>
                <w:color w:val="000000"/>
                <w:sz w:val="20"/>
                <w:szCs w:val="20"/>
              </w:rPr>
            </w:pPr>
            <w:r w:rsidRPr="005A1CAE">
              <w:rPr>
                <w:b/>
                <w:noProof/>
                <w:sz w:val="20"/>
              </w:rPr>
              <w:t>33,700</w:t>
            </w:r>
          </w:p>
        </w:tc>
        <w:tc>
          <w:tcPr>
            <w:tcW w:w="795" w:type="pct"/>
            <w:tcBorders>
              <w:top w:val="nil"/>
              <w:left w:val="nil"/>
              <w:bottom w:val="single" w:sz="8" w:space="0" w:color="auto"/>
              <w:right w:val="single" w:sz="8" w:space="0" w:color="auto"/>
            </w:tcBorders>
            <w:shd w:val="clear" w:color="000000" w:fill="D9D9D9"/>
            <w:vAlign w:val="center"/>
            <w:hideMark/>
          </w:tcPr>
          <w:p w14:paraId="17C80BCA" w14:textId="77777777" w:rsidR="00793103" w:rsidRPr="005A1CAE" w:rsidRDefault="00FB0585" w:rsidP="00793103">
            <w:pPr>
              <w:spacing w:before="0" w:after="0"/>
              <w:jc w:val="right"/>
              <w:rPr>
                <w:b/>
                <w:bCs/>
                <w:noProof/>
                <w:color w:val="000000"/>
                <w:sz w:val="20"/>
                <w:szCs w:val="20"/>
              </w:rPr>
            </w:pPr>
            <w:r w:rsidRPr="005A1CAE">
              <w:rPr>
                <w:b/>
                <w:noProof/>
                <w:sz w:val="20"/>
              </w:rPr>
              <w:t>35,150 </w:t>
            </w:r>
          </w:p>
        </w:tc>
        <w:tc>
          <w:tcPr>
            <w:tcW w:w="550" w:type="pct"/>
            <w:gridSpan w:val="2"/>
            <w:tcBorders>
              <w:top w:val="nil"/>
              <w:left w:val="nil"/>
              <w:bottom w:val="single" w:sz="8" w:space="0" w:color="auto"/>
              <w:right w:val="single" w:sz="8" w:space="0" w:color="auto"/>
            </w:tcBorders>
            <w:shd w:val="clear" w:color="000000" w:fill="D9D9D9"/>
            <w:vAlign w:val="center"/>
            <w:hideMark/>
          </w:tcPr>
          <w:p w14:paraId="70790950" w14:textId="77777777" w:rsidR="00793103" w:rsidRPr="005A1CAE" w:rsidRDefault="00FB0585" w:rsidP="00793103">
            <w:pPr>
              <w:spacing w:before="0" w:after="0"/>
              <w:jc w:val="right"/>
              <w:rPr>
                <w:b/>
                <w:bCs/>
                <w:noProof/>
                <w:color w:val="000000"/>
                <w:sz w:val="20"/>
                <w:szCs w:val="20"/>
              </w:rPr>
            </w:pPr>
            <w:r w:rsidRPr="005A1CAE">
              <w:rPr>
                <w:b/>
                <w:noProof/>
                <w:sz w:val="20"/>
              </w:rPr>
              <w:t>131,690</w:t>
            </w:r>
          </w:p>
        </w:tc>
      </w:tr>
      <w:tr w:rsidR="00793103" w:rsidRPr="005A1CAE" w14:paraId="514F5D4C" w14:textId="77777777" w:rsidTr="00FB0585">
        <w:trPr>
          <w:trHeight w:val="288"/>
        </w:trPr>
        <w:tc>
          <w:tcPr>
            <w:tcW w:w="1284" w:type="pct"/>
            <w:vMerge/>
            <w:tcBorders>
              <w:left w:val="single" w:sz="8" w:space="0" w:color="auto"/>
              <w:bottom w:val="single" w:sz="4" w:space="0" w:color="auto"/>
              <w:right w:val="single" w:sz="8" w:space="0" w:color="auto"/>
            </w:tcBorders>
            <w:vAlign w:val="center"/>
            <w:hideMark/>
          </w:tcPr>
          <w:p w14:paraId="0B06F536" w14:textId="77777777" w:rsidR="00793103" w:rsidRPr="005A1CAE" w:rsidRDefault="00793103" w:rsidP="00793103">
            <w:pPr>
              <w:spacing w:before="0" w:after="0"/>
              <w:jc w:val="center"/>
              <w:rPr>
                <w:b/>
                <w:bCs/>
                <w:noProof/>
                <w:color w:val="000000"/>
                <w:sz w:val="22"/>
                <w:lang w:eastAsia="en-IE"/>
              </w:rPr>
            </w:pPr>
          </w:p>
        </w:tc>
        <w:tc>
          <w:tcPr>
            <w:tcW w:w="497" w:type="pct"/>
            <w:gridSpan w:val="2"/>
            <w:tcBorders>
              <w:top w:val="nil"/>
              <w:left w:val="single" w:sz="8" w:space="0" w:color="auto"/>
              <w:bottom w:val="single" w:sz="8" w:space="0" w:color="auto"/>
              <w:right w:val="single" w:sz="8" w:space="0" w:color="auto"/>
            </w:tcBorders>
            <w:vAlign w:val="center"/>
            <w:hideMark/>
          </w:tcPr>
          <w:p w14:paraId="24F9D217" w14:textId="77777777" w:rsidR="00793103" w:rsidRPr="005A1CAE" w:rsidRDefault="00793103" w:rsidP="00793103">
            <w:pPr>
              <w:spacing w:before="0" w:after="0"/>
              <w:rPr>
                <w:noProof/>
                <w:color w:val="000000"/>
                <w:sz w:val="18"/>
                <w:szCs w:val="18"/>
              </w:rPr>
            </w:pPr>
            <w:r w:rsidRPr="005A1CAE">
              <w:rPr>
                <w:noProof/>
                <w:color w:val="000000"/>
                <w:sz w:val="18"/>
              </w:rPr>
              <w:t>Środki na płatności</w:t>
            </w:r>
          </w:p>
        </w:tc>
        <w:tc>
          <w:tcPr>
            <w:tcW w:w="469" w:type="pct"/>
            <w:gridSpan w:val="3"/>
            <w:tcBorders>
              <w:top w:val="single" w:sz="8" w:space="0" w:color="auto"/>
              <w:left w:val="nil"/>
              <w:bottom w:val="single" w:sz="8" w:space="0" w:color="auto"/>
              <w:right w:val="single" w:sz="8" w:space="0" w:color="auto"/>
            </w:tcBorders>
            <w:vAlign w:val="center"/>
            <w:hideMark/>
          </w:tcPr>
          <w:p w14:paraId="1EFD7C0C" w14:textId="77777777" w:rsidR="00793103" w:rsidRPr="005A1CAE" w:rsidRDefault="00793103" w:rsidP="00793103">
            <w:pPr>
              <w:spacing w:before="0" w:after="0"/>
              <w:jc w:val="center"/>
              <w:rPr>
                <w:noProof/>
                <w:color w:val="000000"/>
                <w:sz w:val="14"/>
                <w:szCs w:val="14"/>
              </w:rPr>
            </w:pPr>
            <w:r w:rsidRPr="005A1CAE">
              <w:rPr>
                <w:noProof/>
                <w:color w:val="000000"/>
                <w:sz w:val="14"/>
              </w:rPr>
              <w:t>=2 a+2b+3</w:t>
            </w:r>
          </w:p>
        </w:tc>
        <w:tc>
          <w:tcPr>
            <w:tcW w:w="468" w:type="pct"/>
            <w:gridSpan w:val="2"/>
            <w:tcBorders>
              <w:top w:val="nil"/>
              <w:left w:val="nil"/>
              <w:bottom w:val="single" w:sz="8" w:space="0" w:color="auto"/>
              <w:right w:val="single" w:sz="8" w:space="0" w:color="auto"/>
            </w:tcBorders>
            <w:shd w:val="clear" w:color="000000" w:fill="D9D9D9"/>
            <w:vAlign w:val="center"/>
            <w:hideMark/>
          </w:tcPr>
          <w:p w14:paraId="7D8C9AF8" w14:textId="77777777" w:rsidR="00793103" w:rsidRPr="005A1CAE" w:rsidRDefault="00793103" w:rsidP="00793103">
            <w:pPr>
              <w:spacing w:before="0" w:after="0"/>
              <w:jc w:val="right"/>
              <w:rPr>
                <w:b/>
                <w:bCs/>
                <w:noProof/>
                <w:color w:val="000000"/>
                <w:sz w:val="20"/>
                <w:szCs w:val="20"/>
              </w:rPr>
            </w:pPr>
            <w:r w:rsidRPr="005A1CAE">
              <w:rPr>
                <w:b/>
                <w:noProof/>
                <w:sz w:val="20"/>
              </w:rPr>
              <w:t>17,530</w:t>
            </w:r>
          </w:p>
        </w:tc>
        <w:tc>
          <w:tcPr>
            <w:tcW w:w="468" w:type="pct"/>
            <w:gridSpan w:val="2"/>
            <w:tcBorders>
              <w:top w:val="nil"/>
              <w:left w:val="nil"/>
              <w:bottom w:val="single" w:sz="8" w:space="0" w:color="auto"/>
              <w:right w:val="single" w:sz="8" w:space="0" w:color="auto"/>
            </w:tcBorders>
            <w:shd w:val="clear" w:color="000000" w:fill="D9D9D9"/>
            <w:vAlign w:val="center"/>
            <w:hideMark/>
          </w:tcPr>
          <w:p w14:paraId="1622084B" w14:textId="77777777" w:rsidR="00793103" w:rsidRPr="005A1CAE" w:rsidRDefault="00793103" w:rsidP="00793103">
            <w:pPr>
              <w:spacing w:before="0" w:after="0"/>
              <w:jc w:val="right"/>
              <w:rPr>
                <w:b/>
                <w:bCs/>
                <w:noProof/>
                <w:color w:val="000000"/>
                <w:sz w:val="20"/>
                <w:szCs w:val="20"/>
              </w:rPr>
            </w:pPr>
            <w:r w:rsidRPr="005A1CAE">
              <w:rPr>
                <w:b/>
                <w:noProof/>
                <w:sz w:val="20"/>
              </w:rPr>
              <w:t>21,157</w:t>
            </w:r>
          </w:p>
        </w:tc>
        <w:tc>
          <w:tcPr>
            <w:tcW w:w="468" w:type="pct"/>
            <w:gridSpan w:val="2"/>
            <w:tcBorders>
              <w:top w:val="nil"/>
              <w:left w:val="nil"/>
              <w:bottom w:val="single" w:sz="8" w:space="0" w:color="auto"/>
              <w:right w:val="single" w:sz="8" w:space="0" w:color="auto"/>
            </w:tcBorders>
            <w:shd w:val="clear" w:color="000000" w:fill="D9D9D9"/>
            <w:vAlign w:val="center"/>
            <w:hideMark/>
          </w:tcPr>
          <w:p w14:paraId="32A4E3D0" w14:textId="77777777" w:rsidR="00793103" w:rsidRPr="005A1CAE" w:rsidRDefault="00FB0585" w:rsidP="00793103">
            <w:pPr>
              <w:spacing w:before="0" w:after="0"/>
              <w:jc w:val="right"/>
              <w:rPr>
                <w:b/>
                <w:bCs/>
                <w:noProof/>
                <w:color w:val="000000"/>
                <w:sz w:val="20"/>
                <w:szCs w:val="20"/>
              </w:rPr>
            </w:pPr>
            <w:r w:rsidRPr="005A1CAE">
              <w:rPr>
                <w:b/>
                <w:noProof/>
                <w:sz w:val="20"/>
              </w:rPr>
              <w:t>32,090</w:t>
            </w:r>
          </w:p>
        </w:tc>
        <w:tc>
          <w:tcPr>
            <w:tcW w:w="795" w:type="pct"/>
            <w:tcBorders>
              <w:top w:val="nil"/>
              <w:left w:val="nil"/>
              <w:bottom w:val="single" w:sz="8" w:space="0" w:color="auto"/>
              <w:right w:val="single" w:sz="8" w:space="0" w:color="auto"/>
            </w:tcBorders>
            <w:shd w:val="clear" w:color="000000" w:fill="D9D9D9"/>
            <w:vAlign w:val="center"/>
            <w:hideMark/>
          </w:tcPr>
          <w:p w14:paraId="7AC46FBC" w14:textId="77777777" w:rsidR="00793103" w:rsidRPr="005A1CAE" w:rsidRDefault="00FB0585" w:rsidP="00793103">
            <w:pPr>
              <w:spacing w:before="0" w:after="0"/>
              <w:jc w:val="right"/>
              <w:rPr>
                <w:b/>
                <w:bCs/>
                <w:noProof/>
                <w:color w:val="000000"/>
                <w:sz w:val="20"/>
                <w:szCs w:val="20"/>
              </w:rPr>
            </w:pPr>
            <w:r w:rsidRPr="005A1CAE">
              <w:rPr>
                <w:b/>
                <w:noProof/>
                <w:sz w:val="20"/>
              </w:rPr>
              <w:t>34,067</w:t>
            </w:r>
          </w:p>
        </w:tc>
        <w:tc>
          <w:tcPr>
            <w:tcW w:w="550" w:type="pct"/>
            <w:gridSpan w:val="2"/>
            <w:tcBorders>
              <w:top w:val="nil"/>
              <w:left w:val="nil"/>
              <w:bottom w:val="single" w:sz="8" w:space="0" w:color="auto"/>
              <w:right w:val="single" w:sz="8" w:space="0" w:color="auto"/>
            </w:tcBorders>
            <w:shd w:val="clear" w:color="000000" w:fill="D9D9D9"/>
            <w:vAlign w:val="center"/>
            <w:hideMark/>
          </w:tcPr>
          <w:p w14:paraId="5CFF82F2" w14:textId="77777777" w:rsidR="00793103" w:rsidRPr="005A1CAE" w:rsidRDefault="00FB0585" w:rsidP="00793103">
            <w:pPr>
              <w:spacing w:before="0" w:after="0"/>
              <w:jc w:val="right"/>
              <w:rPr>
                <w:b/>
                <w:bCs/>
                <w:noProof/>
                <w:color w:val="000000"/>
                <w:sz w:val="20"/>
                <w:szCs w:val="20"/>
              </w:rPr>
            </w:pPr>
            <w:r w:rsidRPr="005A1CAE">
              <w:rPr>
                <w:b/>
                <w:noProof/>
                <w:sz w:val="20"/>
              </w:rPr>
              <w:t>104,844</w:t>
            </w:r>
          </w:p>
        </w:tc>
      </w:tr>
      <w:tr w:rsidR="00D0690F" w:rsidRPr="005A1CAE" w14:paraId="37557CC0" w14:textId="77777777" w:rsidTr="00FB0585">
        <w:trPr>
          <w:trHeight w:val="300"/>
        </w:trPr>
        <w:tc>
          <w:tcPr>
            <w:tcW w:w="2232" w:type="pct"/>
            <w:gridSpan w:val="5"/>
            <w:vMerge w:val="restart"/>
            <w:tcBorders>
              <w:top w:val="single" w:sz="8" w:space="0" w:color="auto"/>
              <w:left w:val="single" w:sz="8" w:space="0" w:color="auto"/>
              <w:bottom w:val="single" w:sz="8" w:space="0" w:color="000000"/>
              <w:right w:val="single" w:sz="8" w:space="0" w:color="000000"/>
            </w:tcBorders>
            <w:vAlign w:val="center"/>
            <w:hideMark/>
          </w:tcPr>
          <w:p w14:paraId="5F438C51" w14:textId="77777777" w:rsidR="00D0690F" w:rsidRPr="005A1CAE" w:rsidRDefault="00D0690F" w:rsidP="009F612D">
            <w:pPr>
              <w:spacing w:before="0" w:after="0"/>
              <w:jc w:val="center"/>
              <w:rPr>
                <w:b/>
                <w:bCs/>
                <w:noProof/>
                <w:color w:val="000000"/>
                <w:sz w:val="22"/>
              </w:rPr>
            </w:pPr>
            <w:r w:rsidRPr="005A1CAE">
              <w:rPr>
                <w:b/>
                <w:noProof/>
                <w:color w:val="000000"/>
                <w:sz w:val="22"/>
              </w:rPr>
              <w:t xml:space="preserve"> </w:t>
            </w:r>
          </w:p>
        </w:tc>
        <w:tc>
          <w:tcPr>
            <w:tcW w:w="427" w:type="pct"/>
            <w:gridSpan w:val="2"/>
            <w:tcBorders>
              <w:top w:val="single" w:sz="8" w:space="0" w:color="auto"/>
              <w:left w:val="nil"/>
              <w:bottom w:val="single" w:sz="8" w:space="0" w:color="auto"/>
              <w:right w:val="single" w:sz="8" w:space="0" w:color="auto"/>
            </w:tcBorders>
            <w:vAlign w:val="center"/>
            <w:hideMark/>
          </w:tcPr>
          <w:p w14:paraId="3D6AE973"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427" w:type="pct"/>
            <w:gridSpan w:val="2"/>
            <w:tcBorders>
              <w:top w:val="single" w:sz="8" w:space="0" w:color="auto"/>
              <w:left w:val="nil"/>
              <w:bottom w:val="single" w:sz="8" w:space="0" w:color="auto"/>
              <w:right w:val="single" w:sz="8" w:space="0" w:color="auto"/>
            </w:tcBorders>
            <w:vAlign w:val="center"/>
            <w:hideMark/>
          </w:tcPr>
          <w:p w14:paraId="498ABB71"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463" w:type="pct"/>
            <w:gridSpan w:val="2"/>
            <w:tcBorders>
              <w:top w:val="single" w:sz="8" w:space="0" w:color="auto"/>
              <w:left w:val="nil"/>
              <w:bottom w:val="single" w:sz="8" w:space="0" w:color="auto"/>
              <w:right w:val="single" w:sz="8" w:space="0" w:color="auto"/>
            </w:tcBorders>
            <w:vAlign w:val="center"/>
            <w:hideMark/>
          </w:tcPr>
          <w:p w14:paraId="6A45AFA5"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918" w:type="pct"/>
            <w:gridSpan w:val="3"/>
            <w:tcBorders>
              <w:top w:val="single" w:sz="8" w:space="0" w:color="auto"/>
              <w:left w:val="nil"/>
              <w:bottom w:val="single" w:sz="8" w:space="0" w:color="auto"/>
              <w:right w:val="single" w:sz="8" w:space="0" w:color="auto"/>
            </w:tcBorders>
            <w:vAlign w:val="center"/>
            <w:hideMark/>
          </w:tcPr>
          <w:p w14:paraId="0E7045BB"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533" w:type="pct"/>
            <w:vMerge w:val="restart"/>
            <w:tcBorders>
              <w:top w:val="single" w:sz="8" w:space="0" w:color="auto"/>
              <w:left w:val="single" w:sz="8" w:space="0" w:color="auto"/>
              <w:bottom w:val="single" w:sz="8" w:space="0" w:color="auto"/>
              <w:right w:val="single" w:sz="8" w:space="0" w:color="auto"/>
            </w:tcBorders>
            <w:vAlign w:val="center"/>
            <w:hideMark/>
          </w:tcPr>
          <w:p w14:paraId="042FC2EC"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OGÓŁEM WRF 2021–2027</w:t>
            </w:r>
          </w:p>
        </w:tc>
      </w:tr>
      <w:tr w:rsidR="00D0690F" w:rsidRPr="005A1CAE" w14:paraId="7418E4AC" w14:textId="77777777" w:rsidTr="00FB0585">
        <w:trPr>
          <w:trHeight w:val="300"/>
        </w:trPr>
        <w:tc>
          <w:tcPr>
            <w:tcW w:w="2232" w:type="pct"/>
            <w:gridSpan w:val="5"/>
            <w:vMerge/>
            <w:tcBorders>
              <w:top w:val="single" w:sz="8" w:space="0" w:color="auto"/>
              <w:left w:val="single" w:sz="8" w:space="0" w:color="auto"/>
              <w:bottom w:val="single" w:sz="8" w:space="0" w:color="000000"/>
              <w:right w:val="single" w:sz="8" w:space="0" w:color="000000"/>
            </w:tcBorders>
            <w:vAlign w:val="center"/>
            <w:hideMark/>
          </w:tcPr>
          <w:p w14:paraId="659FA13F" w14:textId="77777777" w:rsidR="00D0690F" w:rsidRPr="005A1CAE" w:rsidRDefault="00D0690F" w:rsidP="009F612D">
            <w:pPr>
              <w:spacing w:before="0" w:after="0"/>
              <w:jc w:val="left"/>
              <w:rPr>
                <w:b/>
                <w:bCs/>
                <w:noProof/>
                <w:color w:val="000000"/>
                <w:sz w:val="22"/>
                <w:lang w:eastAsia="en-IE"/>
              </w:rPr>
            </w:pPr>
          </w:p>
        </w:tc>
        <w:tc>
          <w:tcPr>
            <w:tcW w:w="427" w:type="pct"/>
            <w:gridSpan w:val="2"/>
            <w:tcBorders>
              <w:top w:val="nil"/>
              <w:left w:val="nil"/>
              <w:bottom w:val="single" w:sz="8" w:space="0" w:color="auto"/>
              <w:right w:val="single" w:sz="8" w:space="0" w:color="auto"/>
            </w:tcBorders>
            <w:vAlign w:val="center"/>
            <w:hideMark/>
          </w:tcPr>
          <w:p w14:paraId="37F9E360"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2024</w:t>
            </w:r>
          </w:p>
        </w:tc>
        <w:tc>
          <w:tcPr>
            <w:tcW w:w="427" w:type="pct"/>
            <w:gridSpan w:val="2"/>
            <w:tcBorders>
              <w:top w:val="nil"/>
              <w:left w:val="nil"/>
              <w:bottom w:val="single" w:sz="8" w:space="0" w:color="auto"/>
              <w:right w:val="single" w:sz="8" w:space="0" w:color="auto"/>
            </w:tcBorders>
            <w:vAlign w:val="center"/>
            <w:hideMark/>
          </w:tcPr>
          <w:p w14:paraId="0894AC86"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2025</w:t>
            </w:r>
          </w:p>
        </w:tc>
        <w:tc>
          <w:tcPr>
            <w:tcW w:w="463" w:type="pct"/>
            <w:gridSpan w:val="2"/>
            <w:tcBorders>
              <w:top w:val="nil"/>
              <w:left w:val="nil"/>
              <w:bottom w:val="single" w:sz="8" w:space="0" w:color="auto"/>
              <w:right w:val="single" w:sz="8" w:space="0" w:color="auto"/>
            </w:tcBorders>
            <w:vAlign w:val="center"/>
            <w:hideMark/>
          </w:tcPr>
          <w:p w14:paraId="4AAB5191"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2026</w:t>
            </w:r>
          </w:p>
        </w:tc>
        <w:tc>
          <w:tcPr>
            <w:tcW w:w="918" w:type="pct"/>
            <w:gridSpan w:val="3"/>
            <w:tcBorders>
              <w:top w:val="nil"/>
              <w:left w:val="nil"/>
              <w:bottom w:val="single" w:sz="8" w:space="0" w:color="auto"/>
              <w:right w:val="single" w:sz="8" w:space="0" w:color="auto"/>
            </w:tcBorders>
            <w:vAlign w:val="center"/>
            <w:hideMark/>
          </w:tcPr>
          <w:p w14:paraId="29650D0E"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2027</w:t>
            </w:r>
          </w:p>
        </w:tc>
        <w:tc>
          <w:tcPr>
            <w:tcW w:w="533" w:type="pct"/>
            <w:vMerge/>
            <w:tcBorders>
              <w:top w:val="single" w:sz="8" w:space="0" w:color="auto"/>
              <w:left w:val="single" w:sz="8" w:space="0" w:color="auto"/>
              <w:bottom w:val="single" w:sz="8" w:space="0" w:color="auto"/>
              <w:right w:val="single" w:sz="8" w:space="0" w:color="auto"/>
            </w:tcBorders>
            <w:vAlign w:val="center"/>
            <w:hideMark/>
          </w:tcPr>
          <w:p w14:paraId="24B2A2B6" w14:textId="77777777" w:rsidR="00D0690F" w:rsidRPr="005A1CAE" w:rsidRDefault="00D0690F" w:rsidP="009F612D">
            <w:pPr>
              <w:spacing w:before="0" w:after="0"/>
              <w:jc w:val="left"/>
              <w:rPr>
                <w:b/>
                <w:bCs/>
                <w:noProof/>
                <w:color w:val="000000"/>
                <w:sz w:val="20"/>
                <w:szCs w:val="20"/>
                <w:lang w:eastAsia="en-IE"/>
              </w:rPr>
            </w:pPr>
          </w:p>
        </w:tc>
      </w:tr>
      <w:tr w:rsidR="00793103" w:rsidRPr="005A1CAE" w14:paraId="282F7EC1" w14:textId="77777777" w:rsidTr="00FB0585">
        <w:trPr>
          <w:trHeight w:val="432"/>
        </w:trPr>
        <w:tc>
          <w:tcPr>
            <w:tcW w:w="1345" w:type="pct"/>
            <w:gridSpan w:val="2"/>
            <w:vMerge w:val="restart"/>
            <w:tcBorders>
              <w:top w:val="nil"/>
              <w:left w:val="single" w:sz="8" w:space="0" w:color="auto"/>
              <w:bottom w:val="single" w:sz="8" w:space="0" w:color="auto"/>
              <w:right w:val="single" w:sz="8" w:space="0" w:color="auto"/>
            </w:tcBorders>
            <w:vAlign w:val="center"/>
            <w:hideMark/>
          </w:tcPr>
          <w:p w14:paraId="7A09A267" w14:textId="498BBB53" w:rsidR="00793103" w:rsidRPr="005A1CAE" w:rsidRDefault="00793103" w:rsidP="00793103">
            <w:pPr>
              <w:spacing w:before="0" w:after="0"/>
              <w:rPr>
                <w:noProof/>
                <w:color w:val="000000"/>
                <w:sz w:val="21"/>
                <w:szCs w:val="21"/>
              </w:rPr>
            </w:pPr>
            <w:r w:rsidRPr="005A1CAE">
              <w:rPr>
                <w:noProof/>
                <w:color w:val="000000"/>
                <w:sz w:val="21"/>
              </w:rPr>
              <w:lastRenderedPageBreak/>
              <w:t>OGÓŁEM środki operacyjne</w:t>
            </w:r>
            <w:r w:rsidRPr="005A1CAE">
              <w:rPr>
                <w:noProof/>
              </w:rPr>
              <w:br/>
            </w:r>
          </w:p>
        </w:tc>
        <w:tc>
          <w:tcPr>
            <w:tcW w:w="462" w:type="pct"/>
            <w:gridSpan w:val="2"/>
            <w:tcBorders>
              <w:top w:val="nil"/>
              <w:left w:val="nil"/>
              <w:bottom w:val="single" w:sz="8" w:space="0" w:color="auto"/>
              <w:right w:val="single" w:sz="8" w:space="0" w:color="auto"/>
            </w:tcBorders>
            <w:vAlign w:val="center"/>
            <w:hideMark/>
          </w:tcPr>
          <w:p w14:paraId="5EA83670" w14:textId="77777777" w:rsidR="00793103" w:rsidRPr="005A1CAE" w:rsidRDefault="00793103" w:rsidP="00793103">
            <w:pPr>
              <w:spacing w:before="0" w:after="0"/>
              <w:rPr>
                <w:noProof/>
                <w:color w:val="000000"/>
                <w:sz w:val="18"/>
                <w:szCs w:val="18"/>
              </w:rPr>
            </w:pPr>
            <w:r w:rsidRPr="005A1CAE">
              <w:rPr>
                <w:noProof/>
                <w:color w:val="000000"/>
                <w:sz w:val="18"/>
              </w:rPr>
              <w:t>Środki na zobowiązania</w:t>
            </w:r>
          </w:p>
        </w:tc>
        <w:tc>
          <w:tcPr>
            <w:tcW w:w="425" w:type="pct"/>
            <w:tcBorders>
              <w:top w:val="single" w:sz="8" w:space="0" w:color="auto"/>
              <w:left w:val="nil"/>
              <w:bottom w:val="single" w:sz="8" w:space="0" w:color="auto"/>
              <w:right w:val="single" w:sz="8" w:space="0" w:color="auto"/>
            </w:tcBorders>
            <w:vAlign w:val="center"/>
            <w:hideMark/>
          </w:tcPr>
          <w:p w14:paraId="763D4B9D" w14:textId="77777777" w:rsidR="00793103" w:rsidRPr="005A1CAE" w:rsidRDefault="00793103" w:rsidP="00793103">
            <w:pPr>
              <w:spacing w:before="0" w:after="0"/>
              <w:jc w:val="center"/>
              <w:rPr>
                <w:noProof/>
                <w:color w:val="000000"/>
                <w:sz w:val="14"/>
                <w:szCs w:val="14"/>
              </w:rPr>
            </w:pPr>
            <w:r w:rsidRPr="005A1CAE">
              <w:rPr>
                <w:noProof/>
                <w:color w:val="000000"/>
                <w:sz w:val="14"/>
              </w:rPr>
              <w:t>(4)</w:t>
            </w:r>
          </w:p>
        </w:tc>
        <w:tc>
          <w:tcPr>
            <w:tcW w:w="427" w:type="pct"/>
            <w:gridSpan w:val="2"/>
            <w:tcBorders>
              <w:top w:val="nil"/>
              <w:left w:val="nil"/>
              <w:bottom w:val="single" w:sz="8" w:space="0" w:color="auto"/>
              <w:right w:val="single" w:sz="8" w:space="0" w:color="auto"/>
            </w:tcBorders>
            <w:shd w:val="clear" w:color="000000" w:fill="D9D9D9"/>
            <w:vAlign w:val="center"/>
            <w:hideMark/>
          </w:tcPr>
          <w:p w14:paraId="288AB994" w14:textId="77777777" w:rsidR="00793103" w:rsidRPr="005A1CAE" w:rsidRDefault="00793103" w:rsidP="00793103">
            <w:pPr>
              <w:spacing w:before="0" w:after="0"/>
              <w:jc w:val="right"/>
              <w:rPr>
                <w:noProof/>
                <w:color w:val="000000"/>
                <w:sz w:val="20"/>
                <w:szCs w:val="20"/>
              </w:rPr>
            </w:pPr>
            <w:r w:rsidRPr="005A1CAE">
              <w:rPr>
                <w:noProof/>
                <w:sz w:val="20"/>
              </w:rPr>
              <w:t>28,090</w:t>
            </w:r>
          </w:p>
        </w:tc>
        <w:tc>
          <w:tcPr>
            <w:tcW w:w="427" w:type="pct"/>
            <w:gridSpan w:val="2"/>
            <w:tcBorders>
              <w:top w:val="nil"/>
              <w:left w:val="nil"/>
              <w:bottom w:val="single" w:sz="8" w:space="0" w:color="auto"/>
              <w:right w:val="single" w:sz="8" w:space="0" w:color="auto"/>
            </w:tcBorders>
            <w:shd w:val="clear" w:color="000000" w:fill="D9D9D9"/>
            <w:vAlign w:val="center"/>
            <w:hideMark/>
          </w:tcPr>
          <w:p w14:paraId="6CFE19D6" w14:textId="77777777" w:rsidR="00793103" w:rsidRPr="005A1CAE" w:rsidRDefault="00793103" w:rsidP="00793103">
            <w:pPr>
              <w:spacing w:before="0" w:after="0"/>
              <w:jc w:val="right"/>
              <w:rPr>
                <w:noProof/>
                <w:color w:val="000000"/>
                <w:sz w:val="20"/>
                <w:szCs w:val="20"/>
              </w:rPr>
            </w:pPr>
            <w:r w:rsidRPr="005A1CAE">
              <w:rPr>
                <w:noProof/>
                <w:sz w:val="20"/>
              </w:rPr>
              <w:t>34,750</w:t>
            </w:r>
          </w:p>
        </w:tc>
        <w:tc>
          <w:tcPr>
            <w:tcW w:w="463" w:type="pct"/>
            <w:gridSpan w:val="2"/>
            <w:tcBorders>
              <w:top w:val="nil"/>
              <w:left w:val="nil"/>
              <w:bottom w:val="single" w:sz="8" w:space="0" w:color="auto"/>
              <w:right w:val="single" w:sz="8" w:space="0" w:color="auto"/>
            </w:tcBorders>
            <w:shd w:val="clear" w:color="000000" w:fill="D9D9D9"/>
            <w:vAlign w:val="center"/>
            <w:hideMark/>
          </w:tcPr>
          <w:p w14:paraId="6B3213FC" w14:textId="77777777" w:rsidR="00793103" w:rsidRPr="005A1CAE" w:rsidRDefault="00FB0585" w:rsidP="00793103">
            <w:pPr>
              <w:spacing w:before="0" w:after="0"/>
              <w:jc w:val="right"/>
              <w:rPr>
                <w:noProof/>
                <w:color w:val="000000"/>
                <w:sz w:val="20"/>
                <w:szCs w:val="20"/>
              </w:rPr>
            </w:pPr>
            <w:r w:rsidRPr="005A1CAE">
              <w:rPr>
                <w:noProof/>
                <w:sz w:val="20"/>
              </w:rPr>
              <w:t>33,700</w:t>
            </w:r>
          </w:p>
        </w:tc>
        <w:tc>
          <w:tcPr>
            <w:tcW w:w="918" w:type="pct"/>
            <w:gridSpan w:val="3"/>
            <w:tcBorders>
              <w:top w:val="nil"/>
              <w:left w:val="nil"/>
              <w:bottom w:val="single" w:sz="8" w:space="0" w:color="auto"/>
              <w:right w:val="single" w:sz="8" w:space="0" w:color="auto"/>
            </w:tcBorders>
            <w:shd w:val="clear" w:color="000000" w:fill="D9D9D9"/>
            <w:vAlign w:val="center"/>
            <w:hideMark/>
          </w:tcPr>
          <w:p w14:paraId="7B35A474" w14:textId="77777777" w:rsidR="00793103" w:rsidRPr="005A1CAE" w:rsidRDefault="00FB0585" w:rsidP="00793103">
            <w:pPr>
              <w:spacing w:before="0" w:after="0"/>
              <w:jc w:val="right"/>
              <w:rPr>
                <w:noProof/>
                <w:color w:val="000000"/>
                <w:sz w:val="20"/>
                <w:szCs w:val="20"/>
              </w:rPr>
            </w:pPr>
            <w:r w:rsidRPr="005A1CAE">
              <w:rPr>
                <w:noProof/>
                <w:sz w:val="20"/>
              </w:rPr>
              <w:t>35,150 </w:t>
            </w:r>
          </w:p>
        </w:tc>
        <w:tc>
          <w:tcPr>
            <w:tcW w:w="533" w:type="pct"/>
            <w:tcBorders>
              <w:top w:val="nil"/>
              <w:left w:val="nil"/>
              <w:bottom w:val="single" w:sz="8" w:space="0" w:color="auto"/>
              <w:right w:val="single" w:sz="8" w:space="0" w:color="auto"/>
            </w:tcBorders>
            <w:shd w:val="clear" w:color="000000" w:fill="D9D9D9"/>
            <w:vAlign w:val="center"/>
            <w:hideMark/>
          </w:tcPr>
          <w:p w14:paraId="53F2E45C" w14:textId="77777777" w:rsidR="00793103" w:rsidRPr="005A1CAE" w:rsidRDefault="00FB0585" w:rsidP="00793103">
            <w:pPr>
              <w:spacing w:before="0" w:after="0"/>
              <w:jc w:val="right"/>
              <w:rPr>
                <w:b/>
                <w:bCs/>
                <w:noProof/>
                <w:color w:val="000000"/>
                <w:sz w:val="20"/>
                <w:szCs w:val="20"/>
              </w:rPr>
            </w:pPr>
            <w:r w:rsidRPr="005A1CAE">
              <w:rPr>
                <w:b/>
                <w:noProof/>
                <w:sz w:val="20"/>
              </w:rPr>
              <w:t>131,690</w:t>
            </w:r>
          </w:p>
        </w:tc>
      </w:tr>
      <w:tr w:rsidR="00793103" w:rsidRPr="005A1CAE" w14:paraId="05055F82" w14:textId="77777777" w:rsidTr="00FB0585">
        <w:trPr>
          <w:trHeight w:val="456"/>
        </w:trPr>
        <w:tc>
          <w:tcPr>
            <w:tcW w:w="1345" w:type="pct"/>
            <w:gridSpan w:val="2"/>
            <w:vMerge/>
            <w:tcBorders>
              <w:top w:val="nil"/>
              <w:left w:val="single" w:sz="8" w:space="0" w:color="auto"/>
              <w:bottom w:val="single" w:sz="8" w:space="0" w:color="auto"/>
              <w:right w:val="single" w:sz="8" w:space="0" w:color="auto"/>
            </w:tcBorders>
            <w:vAlign w:val="center"/>
            <w:hideMark/>
          </w:tcPr>
          <w:p w14:paraId="411E8A14" w14:textId="77777777" w:rsidR="00793103" w:rsidRPr="005A1CAE" w:rsidRDefault="00793103" w:rsidP="00793103">
            <w:pPr>
              <w:spacing w:before="0" w:after="0"/>
              <w:jc w:val="left"/>
              <w:rPr>
                <w:noProof/>
                <w:color w:val="000000"/>
                <w:sz w:val="21"/>
                <w:szCs w:val="21"/>
                <w:lang w:eastAsia="en-IE"/>
              </w:rPr>
            </w:pPr>
          </w:p>
        </w:tc>
        <w:tc>
          <w:tcPr>
            <w:tcW w:w="462" w:type="pct"/>
            <w:gridSpan w:val="2"/>
            <w:tcBorders>
              <w:top w:val="nil"/>
              <w:left w:val="nil"/>
              <w:bottom w:val="single" w:sz="8" w:space="0" w:color="auto"/>
              <w:right w:val="single" w:sz="8" w:space="0" w:color="auto"/>
            </w:tcBorders>
            <w:vAlign w:val="center"/>
            <w:hideMark/>
          </w:tcPr>
          <w:p w14:paraId="4BA4048C" w14:textId="77777777" w:rsidR="00793103" w:rsidRPr="005A1CAE" w:rsidRDefault="00793103" w:rsidP="00793103">
            <w:pPr>
              <w:spacing w:before="0" w:after="0"/>
              <w:rPr>
                <w:noProof/>
                <w:color w:val="000000"/>
                <w:sz w:val="18"/>
                <w:szCs w:val="18"/>
              </w:rPr>
            </w:pPr>
            <w:r w:rsidRPr="005A1CAE">
              <w:rPr>
                <w:noProof/>
                <w:color w:val="000000"/>
                <w:sz w:val="18"/>
              </w:rPr>
              <w:t>Środki na płatności</w:t>
            </w:r>
          </w:p>
        </w:tc>
        <w:tc>
          <w:tcPr>
            <w:tcW w:w="425" w:type="pct"/>
            <w:tcBorders>
              <w:top w:val="single" w:sz="8" w:space="0" w:color="auto"/>
              <w:left w:val="nil"/>
              <w:bottom w:val="single" w:sz="8" w:space="0" w:color="auto"/>
              <w:right w:val="single" w:sz="8" w:space="0" w:color="auto"/>
            </w:tcBorders>
            <w:vAlign w:val="center"/>
            <w:hideMark/>
          </w:tcPr>
          <w:p w14:paraId="6E4F3C2F" w14:textId="77777777" w:rsidR="00793103" w:rsidRPr="005A1CAE" w:rsidRDefault="00793103" w:rsidP="00793103">
            <w:pPr>
              <w:spacing w:before="0" w:after="0"/>
              <w:jc w:val="center"/>
              <w:rPr>
                <w:noProof/>
                <w:color w:val="000000"/>
                <w:sz w:val="14"/>
                <w:szCs w:val="14"/>
              </w:rPr>
            </w:pPr>
            <w:r w:rsidRPr="005A1CAE">
              <w:rPr>
                <w:noProof/>
                <w:color w:val="000000"/>
                <w:sz w:val="14"/>
              </w:rPr>
              <w:t>(5)</w:t>
            </w:r>
          </w:p>
        </w:tc>
        <w:tc>
          <w:tcPr>
            <w:tcW w:w="427" w:type="pct"/>
            <w:gridSpan w:val="2"/>
            <w:tcBorders>
              <w:top w:val="nil"/>
              <w:left w:val="nil"/>
              <w:bottom w:val="single" w:sz="8" w:space="0" w:color="auto"/>
              <w:right w:val="single" w:sz="8" w:space="0" w:color="auto"/>
            </w:tcBorders>
            <w:shd w:val="clear" w:color="000000" w:fill="D9D9D9"/>
            <w:vAlign w:val="center"/>
            <w:hideMark/>
          </w:tcPr>
          <w:p w14:paraId="70C4C24B" w14:textId="77777777" w:rsidR="00793103" w:rsidRPr="005A1CAE" w:rsidRDefault="00793103" w:rsidP="00793103">
            <w:pPr>
              <w:spacing w:before="0" w:after="0"/>
              <w:jc w:val="right"/>
              <w:rPr>
                <w:noProof/>
                <w:color w:val="000000"/>
                <w:sz w:val="20"/>
                <w:szCs w:val="20"/>
              </w:rPr>
            </w:pPr>
            <w:r w:rsidRPr="005A1CAE">
              <w:rPr>
                <w:noProof/>
                <w:sz w:val="20"/>
              </w:rPr>
              <w:t>17,530</w:t>
            </w:r>
          </w:p>
        </w:tc>
        <w:tc>
          <w:tcPr>
            <w:tcW w:w="427" w:type="pct"/>
            <w:gridSpan w:val="2"/>
            <w:tcBorders>
              <w:top w:val="nil"/>
              <w:left w:val="nil"/>
              <w:bottom w:val="single" w:sz="8" w:space="0" w:color="auto"/>
              <w:right w:val="single" w:sz="8" w:space="0" w:color="auto"/>
            </w:tcBorders>
            <w:shd w:val="clear" w:color="000000" w:fill="D9D9D9"/>
            <w:vAlign w:val="center"/>
            <w:hideMark/>
          </w:tcPr>
          <w:p w14:paraId="475EB4C0" w14:textId="77777777" w:rsidR="00793103" w:rsidRPr="005A1CAE" w:rsidRDefault="00793103" w:rsidP="00793103">
            <w:pPr>
              <w:spacing w:before="0" w:after="0"/>
              <w:jc w:val="right"/>
              <w:rPr>
                <w:noProof/>
                <w:color w:val="000000"/>
                <w:sz w:val="20"/>
                <w:szCs w:val="20"/>
              </w:rPr>
            </w:pPr>
            <w:r w:rsidRPr="005A1CAE">
              <w:rPr>
                <w:noProof/>
                <w:sz w:val="20"/>
              </w:rPr>
              <w:t>21,157</w:t>
            </w:r>
          </w:p>
        </w:tc>
        <w:tc>
          <w:tcPr>
            <w:tcW w:w="463" w:type="pct"/>
            <w:gridSpan w:val="2"/>
            <w:tcBorders>
              <w:top w:val="nil"/>
              <w:left w:val="nil"/>
              <w:bottom w:val="single" w:sz="8" w:space="0" w:color="auto"/>
              <w:right w:val="single" w:sz="8" w:space="0" w:color="auto"/>
            </w:tcBorders>
            <w:shd w:val="clear" w:color="000000" w:fill="D9D9D9"/>
            <w:vAlign w:val="center"/>
            <w:hideMark/>
          </w:tcPr>
          <w:p w14:paraId="17490D2F" w14:textId="77777777" w:rsidR="00793103" w:rsidRPr="005A1CAE" w:rsidRDefault="00FB0585" w:rsidP="00793103">
            <w:pPr>
              <w:spacing w:before="0" w:after="0"/>
              <w:jc w:val="right"/>
              <w:rPr>
                <w:noProof/>
                <w:color w:val="000000"/>
                <w:sz w:val="20"/>
                <w:szCs w:val="20"/>
              </w:rPr>
            </w:pPr>
            <w:r w:rsidRPr="005A1CAE">
              <w:rPr>
                <w:noProof/>
                <w:sz w:val="20"/>
              </w:rPr>
              <w:t>32,090</w:t>
            </w:r>
          </w:p>
        </w:tc>
        <w:tc>
          <w:tcPr>
            <w:tcW w:w="918" w:type="pct"/>
            <w:gridSpan w:val="3"/>
            <w:tcBorders>
              <w:top w:val="nil"/>
              <w:left w:val="nil"/>
              <w:bottom w:val="single" w:sz="8" w:space="0" w:color="auto"/>
              <w:right w:val="single" w:sz="8" w:space="0" w:color="auto"/>
            </w:tcBorders>
            <w:shd w:val="clear" w:color="000000" w:fill="D9D9D9"/>
            <w:vAlign w:val="center"/>
            <w:hideMark/>
          </w:tcPr>
          <w:p w14:paraId="688B78F9" w14:textId="77777777" w:rsidR="00793103" w:rsidRPr="005A1CAE" w:rsidRDefault="00FB0585" w:rsidP="00793103">
            <w:pPr>
              <w:spacing w:before="0" w:after="0"/>
              <w:jc w:val="right"/>
              <w:rPr>
                <w:noProof/>
                <w:color w:val="000000"/>
                <w:sz w:val="20"/>
                <w:szCs w:val="20"/>
              </w:rPr>
            </w:pPr>
            <w:r w:rsidRPr="005A1CAE">
              <w:rPr>
                <w:noProof/>
                <w:sz w:val="20"/>
              </w:rPr>
              <w:t>34,067</w:t>
            </w:r>
          </w:p>
        </w:tc>
        <w:tc>
          <w:tcPr>
            <w:tcW w:w="533" w:type="pct"/>
            <w:tcBorders>
              <w:top w:val="nil"/>
              <w:left w:val="nil"/>
              <w:bottom w:val="single" w:sz="8" w:space="0" w:color="auto"/>
              <w:right w:val="single" w:sz="8" w:space="0" w:color="auto"/>
            </w:tcBorders>
            <w:shd w:val="clear" w:color="000000" w:fill="D9D9D9"/>
            <w:vAlign w:val="center"/>
            <w:hideMark/>
          </w:tcPr>
          <w:p w14:paraId="49ACCB70" w14:textId="77777777" w:rsidR="00793103" w:rsidRPr="005A1CAE" w:rsidRDefault="00FB0585" w:rsidP="00793103">
            <w:pPr>
              <w:spacing w:before="0" w:after="0"/>
              <w:jc w:val="right"/>
              <w:rPr>
                <w:b/>
                <w:bCs/>
                <w:noProof/>
                <w:color w:val="000000"/>
                <w:sz w:val="20"/>
                <w:szCs w:val="20"/>
              </w:rPr>
            </w:pPr>
            <w:r w:rsidRPr="005A1CAE">
              <w:rPr>
                <w:b/>
                <w:noProof/>
                <w:sz w:val="20"/>
              </w:rPr>
              <w:t>104,844</w:t>
            </w:r>
          </w:p>
        </w:tc>
      </w:tr>
      <w:tr w:rsidR="00793103" w:rsidRPr="005A1CAE" w14:paraId="37EF0F0F" w14:textId="77777777" w:rsidTr="00FB0585">
        <w:trPr>
          <w:trHeight w:val="924"/>
        </w:trPr>
        <w:tc>
          <w:tcPr>
            <w:tcW w:w="1807" w:type="pct"/>
            <w:gridSpan w:val="4"/>
            <w:tcBorders>
              <w:top w:val="single" w:sz="8" w:space="0" w:color="auto"/>
              <w:left w:val="single" w:sz="8" w:space="0" w:color="auto"/>
              <w:bottom w:val="single" w:sz="8" w:space="0" w:color="auto"/>
              <w:right w:val="single" w:sz="8" w:space="0" w:color="auto"/>
            </w:tcBorders>
            <w:vAlign w:val="center"/>
            <w:hideMark/>
          </w:tcPr>
          <w:p w14:paraId="3A2DAD35" w14:textId="77777777" w:rsidR="00793103" w:rsidRPr="005A1CAE" w:rsidRDefault="00793103" w:rsidP="00793103">
            <w:pPr>
              <w:spacing w:before="0" w:after="0"/>
              <w:rPr>
                <w:noProof/>
                <w:color w:val="000000"/>
                <w:sz w:val="21"/>
                <w:szCs w:val="21"/>
              </w:rPr>
            </w:pPr>
            <w:r w:rsidRPr="005A1CAE">
              <w:rPr>
                <w:noProof/>
                <w:color w:val="000000"/>
                <w:sz w:val="21"/>
              </w:rPr>
              <w:t xml:space="preserve">OGÓŁEM środki administracyjne finansowane ze środków przydzielonych na określone programy </w:t>
            </w:r>
          </w:p>
        </w:tc>
        <w:tc>
          <w:tcPr>
            <w:tcW w:w="425" w:type="pct"/>
            <w:tcBorders>
              <w:top w:val="single" w:sz="8" w:space="0" w:color="auto"/>
              <w:left w:val="nil"/>
              <w:bottom w:val="single" w:sz="8" w:space="0" w:color="auto"/>
              <w:right w:val="single" w:sz="8" w:space="0" w:color="auto"/>
            </w:tcBorders>
            <w:vAlign w:val="center"/>
            <w:hideMark/>
          </w:tcPr>
          <w:p w14:paraId="055A9FD3" w14:textId="77777777" w:rsidR="00793103" w:rsidRPr="005A1CAE" w:rsidRDefault="00793103" w:rsidP="00793103">
            <w:pPr>
              <w:spacing w:before="0" w:after="0"/>
              <w:jc w:val="center"/>
              <w:rPr>
                <w:noProof/>
                <w:color w:val="000000"/>
                <w:sz w:val="14"/>
                <w:szCs w:val="14"/>
              </w:rPr>
            </w:pPr>
            <w:r w:rsidRPr="005A1CAE">
              <w:rPr>
                <w:noProof/>
                <w:color w:val="000000"/>
                <w:sz w:val="14"/>
              </w:rPr>
              <w:t>(6)</w:t>
            </w:r>
          </w:p>
        </w:tc>
        <w:tc>
          <w:tcPr>
            <w:tcW w:w="427" w:type="pct"/>
            <w:gridSpan w:val="2"/>
            <w:tcBorders>
              <w:top w:val="nil"/>
              <w:left w:val="nil"/>
              <w:bottom w:val="single" w:sz="8" w:space="0" w:color="auto"/>
              <w:right w:val="single" w:sz="8" w:space="0" w:color="auto"/>
            </w:tcBorders>
            <w:shd w:val="clear" w:color="000000" w:fill="D9D9D9"/>
            <w:vAlign w:val="center"/>
            <w:hideMark/>
          </w:tcPr>
          <w:p w14:paraId="00B225C4" w14:textId="77777777" w:rsidR="00793103" w:rsidRPr="005A1CAE" w:rsidRDefault="00793103" w:rsidP="00793103">
            <w:pPr>
              <w:spacing w:before="0" w:after="0"/>
              <w:jc w:val="right"/>
              <w:rPr>
                <w:noProof/>
                <w:color w:val="000000"/>
                <w:sz w:val="20"/>
                <w:szCs w:val="20"/>
              </w:rPr>
            </w:pPr>
            <w:r w:rsidRPr="005A1CAE">
              <w:rPr>
                <w:noProof/>
                <w:color w:val="000000"/>
                <w:sz w:val="20"/>
              </w:rPr>
              <w:t>0,000</w:t>
            </w:r>
          </w:p>
        </w:tc>
        <w:tc>
          <w:tcPr>
            <w:tcW w:w="427" w:type="pct"/>
            <w:gridSpan w:val="2"/>
            <w:tcBorders>
              <w:top w:val="nil"/>
              <w:left w:val="nil"/>
              <w:bottom w:val="single" w:sz="8" w:space="0" w:color="auto"/>
              <w:right w:val="single" w:sz="8" w:space="0" w:color="auto"/>
            </w:tcBorders>
            <w:shd w:val="clear" w:color="000000" w:fill="D9D9D9"/>
            <w:vAlign w:val="center"/>
            <w:hideMark/>
          </w:tcPr>
          <w:p w14:paraId="4D5F87F3" w14:textId="77777777" w:rsidR="00793103" w:rsidRPr="005A1CAE" w:rsidRDefault="00793103" w:rsidP="00793103">
            <w:pPr>
              <w:spacing w:before="0" w:after="0"/>
              <w:jc w:val="right"/>
              <w:rPr>
                <w:noProof/>
                <w:color w:val="000000"/>
                <w:sz w:val="20"/>
                <w:szCs w:val="20"/>
              </w:rPr>
            </w:pPr>
            <w:r w:rsidRPr="005A1CAE">
              <w:rPr>
                <w:noProof/>
                <w:sz w:val="20"/>
              </w:rPr>
              <w:t>0,000</w:t>
            </w:r>
          </w:p>
        </w:tc>
        <w:tc>
          <w:tcPr>
            <w:tcW w:w="463" w:type="pct"/>
            <w:gridSpan w:val="2"/>
            <w:tcBorders>
              <w:top w:val="nil"/>
              <w:left w:val="nil"/>
              <w:bottom w:val="single" w:sz="8" w:space="0" w:color="auto"/>
              <w:right w:val="single" w:sz="8" w:space="0" w:color="auto"/>
            </w:tcBorders>
            <w:shd w:val="clear" w:color="000000" w:fill="D9D9D9"/>
            <w:vAlign w:val="center"/>
            <w:hideMark/>
          </w:tcPr>
          <w:p w14:paraId="64EF5483" w14:textId="77777777" w:rsidR="00793103" w:rsidRPr="005A1CAE" w:rsidRDefault="00793103" w:rsidP="00793103">
            <w:pPr>
              <w:spacing w:before="0" w:after="0"/>
              <w:jc w:val="right"/>
              <w:rPr>
                <w:noProof/>
                <w:color w:val="000000"/>
                <w:sz w:val="20"/>
                <w:szCs w:val="20"/>
              </w:rPr>
            </w:pPr>
            <w:r w:rsidRPr="005A1CAE">
              <w:rPr>
                <w:noProof/>
                <w:sz w:val="20"/>
              </w:rPr>
              <w:t>0,000</w:t>
            </w:r>
          </w:p>
        </w:tc>
        <w:tc>
          <w:tcPr>
            <w:tcW w:w="918" w:type="pct"/>
            <w:gridSpan w:val="3"/>
            <w:tcBorders>
              <w:top w:val="nil"/>
              <w:left w:val="nil"/>
              <w:bottom w:val="single" w:sz="8" w:space="0" w:color="auto"/>
              <w:right w:val="single" w:sz="8" w:space="0" w:color="auto"/>
            </w:tcBorders>
            <w:shd w:val="clear" w:color="000000" w:fill="D9D9D9"/>
            <w:vAlign w:val="center"/>
            <w:hideMark/>
          </w:tcPr>
          <w:p w14:paraId="4C8A05B9" w14:textId="77777777" w:rsidR="00793103" w:rsidRPr="005A1CAE" w:rsidRDefault="00793103" w:rsidP="00793103">
            <w:pPr>
              <w:spacing w:before="0" w:after="0"/>
              <w:jc w:val="right"/>
              <w:rPr>
                <w:noProof/>
                <w:color w:val="000000"/>
                <w:sz w:val="20"/>
                <w:szCs w:val="20"/>
              </w:rPr>
            </w:pPr>
            <w:r w:rsidRPr="005A1CAE">
              <w:rPr>
                <w:noProof/>
                <w:sz w:val="20"/>
              </w:rPr>
              <w:t>0,000</w:t>
            </w:r>
          </w:p>
        </w:tc>
        <w:tc>
          <w:tcPr>
            <w:tcW w:w="533" w:type="pct"/>
            <w:tcBorders>
              <w:top w:val="nil"/>
              <w:left w:val="nil"/>
              <w:bottom w:val="single" w:sz="8" w:space="0" w:color="auto"/>
              <w:right w:val="single" w:sz="8" w:space="0" w:color="auto"/>
            </w:tcBorders>
            <w:shd w:val="clear" w:color="000000" w:fill="D9D9D9"/>
            <w:vAlign w:val="center"/>
            <w:hideMark/>
          </w:tcPr>
          <w:p w14:paraId="660A65C4" w14:textId="77777777" w:rsidR="00793103" w:rsidRPr="005A1CAE" w:rsidRDefault="00793103" w:rsidP="00793103">
            <w:pPr>
              <w:spacing w:before="0" w:after="0"/>
              <w:jc w:val="right"/>
              <w:rPr>
                <w:b/>
                <w:bCs/>
                <w:noProof/>
                <w:color w:val="000000"/>
                <w:sz w:val="20"/>
                <w:szCs w:val="20"/>
              </w:rPr>
            </w:pPr>
            <w:r w:rsidRPr="005A1CAE">
              <w:rPr>
                <w:noProof/>
                <w:sz w:val="20"/>
              </w:rPr>
              <w:t>0,000</w:t>
            </w:r>
          </w:p>
        </w:tc>
      </w:tr>
      <w:tr w:rsidR="00793103" w:rsidRPr="005A1CAE" w14:paraId="149AB6E7" w14:textId="77777777" w:rsidTr="00FB0585">
        <w:trPr>
          <w:trHeight w:val="564"/>
        </w:trPr>
        <w:tc>
          <w:tcPr>
            <w:tcW w:w="1345" w:type="pct"/>
            <w:gridSpan w:val="2"/>
            <w:tcBorders>
              <w:top w:val="nil"/>
              <w:left w:val="single" w:sz="8" w:space="0" w:color="auto"/>
              <w:bottom w:val="nil"/>
              <w:right w:val="single" w:sz="8" w:space="0" w:color="auto"/>
            </w:tcBorders>
            <w:shd w:val="thinDiagStripe" w:color="C0C0C0" w:fill="F1F1F1"/>
            <w:vAlign w:val="center"/>
            <w:hideMark/>
          </w:tcPr>
          <w:p w14:paraId="692179C7" w14:textId="77777777" w:rsidR="00793103" w:rsidRPr="005A1CAE" w:rsidRDefault="00793103" w:rsidP="00793103">
            <w:pPr>
              <w:spacing w:before="0" w:after="0"/>
              <w:jc w:val="center"/>
              <w:rPr>
                <w:b/>
                <w:bCs/>
                <w:noProof/>
                <w:color w:val="000000"/>
                <w:sz w:val="22"/>
              </w:rPr>
            </w:pPr>
            <w:r w:rsidRPr="005A1CAE">
              <w:rPr>
                <w:b/>
                <w:noProof/>
                <w:color w:val="000000"/>
                <w:sz w:val="22"/>
              </w:rPr>
              <w:t xml:space="preserve">OGÓŁEM środki na </w:t>
            </w:r>
            <w:r w:rsidRPr="005A1CAE">
              <w:rPr>
                <w:b/>
                <w:noProof/>
                <w:sz w:val="22"/>
              </w:rPr>
              <w:t>DZIAŁ 3</w:t>
            </w:r>
          </w:p>
        </w:tc>
        <w:tc>
          <w:tcPr>
            <w:tcW w:w="462" w:type="pct"/>
            <w:gridSpan w:val="2"/>
            <w:tcBorders>
              <w:top w:val="nil"/>
              <w:left w:val="nil"/>
              <w:bottom w:val="single" w:sz="8" w:space="0" w:color="auto"/>
              <w:right w:val="single" w:sz="8" w:space="0" w:color="auto"/>
            </w:tcBorders>
            <w:vAlign w:val="center"/>
            <w:hideMark/>
          </w:tcPr>
          <w:p w14:paraId="4449C480" w14:textId="77777777" w:rsidR="00793103" w:rsidRPr="005A1CAE" w:rsidRDefault="00793103" w:rsidP="00793103">
            <w:pPr>
              <w:spacing w:before="0" w:after="0"/>
              <w:rPr>
                <w:noProof/>
                <w:color w:val="000000"/>
                <w:sz w:val="18"/>
                <w:szCs w:val="18"/>
              </w:rPr>
            </w:pPr>
            <w:r w:rsidRPr="005A1CAE">
              <w:rPr>
                <w:noProof/>
                <w:color w:val="000000"/>
                <w:sz w:val="18"/>
              </w:rPr>
              <w:t>Środki na zobowiązania</w:t>
            </w:r>
          </w:p>
        </w:tc>
        <w:tc>
          <w:tcPr>
            <w:tcW w:w="425" w:type="pct"/>
            <w:tcBorders>
              <w:top w:val="single" w:sz="8" w:space="0" w:color="auto"/>
              <w:left w:val="nil"/>
              <w:bottom w:val="single" w:sz="8" w:space="0" w:color="auto"/>
              <w:right w:val="single" w:sz="8" w:space="0" w:color="auto"/>
            </w:tcBorders>
            <w:vAlign w:val="center"/>
            <w:hideMark/>
          </w:tcPr>
          <w:p w14:paraId="5D0429FB" w14:textId="77777777" w:rsidR="00793103" w:rsidRPr="005A1CAE" w:rsidRDefault="00793103" w:rsidP="00793103">
            <w:pPr>
              <w:spacing w:before="0" w:after="0"/>
              <w:jc w:val="center"/>
              <w:rPr>
                <w:noProof/>
                <w:color w:val="000000"/>
                <w:sz w:val="14"/>
                <w:szCs w:val="14"/>
              </w:rPr>
            </w:pPr>
            <w:r w:rsidRPr="005A1CAE">
              <w:rPr>
                <w:noProof/>
                <w:color w:val="000000"/>
                <w:sz w:val="14"/>
              </w:rPr>
              <w:t>=4+6</w:t>
            </w:r>
          </w:p>
        </w:tc>
        <w:tc>
          <w:tcPr>
            <w:tcW w:w="427" w:type="pct"/>
            <w:gridSpan w:val="2"/>
            <w:tcBorders>
              <w:top w:val="nil"/>
              <w:left w:val="nil"/>
              <w:bottom w:val="single" w:sz="8" w:space="0" w:color="auto"/>
              <w:right w:val="single" w:sz="8" w:space="0" w:color="auto"/>
            </w:tcBorders>
            <w:shd w:val="clear" w:color="000000" w:fill="D9D9D9"/>
            <w:vAlign w:val="center"/>
            <w:hideMark/>
          </w:tcPr>
          <w:p w14:paraId="03CB66F7" w14:textId="77777777" w:rsidR="00793103" w:rsidRPr="005A1CAE" w:rsidRDefault="00793103" w:rsidP="00793103">
            <w:pPr>
              <w:spacing w:before="0" w:after="0"/>
              <w:jc w:val="right"/>
              <w:rPr>
                <w:b/>
                <w:bCs/>
                <w:noProof/>
                <w:color w:val="000000"/>
                <w:sz w:val="20"/>
                <w:szCs w:val="20"/>
              </w:rPr>
            </w:pPr>
            <w:r w:rsidRPr="005A1CAE">
              <w:rPr>
                <w:b/>
                <w:noProof/>
                <w:sz w:val="20"/>
              </w:rPr>
              <w:t>28,090</w:t>
            </w:r>
          </w:p>
        </w:tc>
        <w:tc>
          <w:tcPr>
            <w:tcW w:w="427" w:type="pct"/>
            <w:gridSpan w:val="2"/>
            <w:tcBorders>
              <w:top w:val="nil"/>
              <w:left w:val="nil"/>
              <w:bottom w:val="single" w:sz="8" w:space="0" w:color="auto"/>
              <w:right w:val="single" w:sz="8" w:space="0" w:color="auto"/>
            </w:tcBorders>
            <w:shd w:val="clear" w:color="000000" w:fill="D9D9D9"/>
            <w:vAlign w:val="center"/>
            <w:hideMark/>
          </w:tcPr>
          <w:p w14:paraId="2D39D0F9" w14:textId="77777777" w:rsidR="00793103" w:rsidRPr="005A1CAE" w:rsidRDefault="00793103" w:rsidP="00793103">
            <w:pPr>
              <w:spacing w:before="0" w:after="0"/>
              <w:jc w:val="right"/>
              <w:rPr>
                <w:b/>
                <w:bCs/>
                <w:noProof/>
                <w:color w:val="000000"/>
                <w:sz w:val="20"/>
                <w:szCs w:val="20"/>
              </w:rPr>
            </w:pPr>
            <w:r w:rsidRPr="005A1CAE">
              <w:rPr>
                <w:b/>
                <w:noProof/>
                <w:sz w:val="20"/>
              </w:rPr>
              <w:t>34,750</w:t>
            </w:r>
          </w:p>
        </w:tc>
        <w:tc>
          <w:tcPr>
            <w:tcW w:w="463" w:type="pct"/>
            <w:gridSpan w:val="2"/>
            <w:tcBorders>
              <w:top w:val="nil"/>
              <w:left w:val="nil"/>
              <w:bottom w:val="single" w:sz="8" w:space="0" w:color="auto"/>
              <w:right w:val="single" w:sz="8" w:space="0" w:color="auto"/>
            </w:tcBorders>
            <w:shd w:val="clear" w:color="000000" w:fill="D9D9D9"/>
            <w:vAlign w:val="center"/>
            <w:hideMark/>
          </w:tcPr>
          <w:p w14:paraId="1E129FA0" w14:textId="77777777" w:rsidR="00793103" w:rsidRPr="005A1CAE" w:rsidRDefault="00FB0585" w:rsidP="00793103">
            <w:pPr>
              <w:spacing w:before="0" w:after="0"/>
              <w:jc w:val="right"/>
              <w:rPr>
                <w:b/>
                <w:bCs/>
                <w:noProof/>
                <w:color w:val="000000"/>
                <w:sz w:val="20"/>
                <w:szCs w:val="20"/>
              </w:rPr>
            </w:pPr>
            <w:r w:rsidRPr="005A1CAE">
              <w:rPr>
                <w:b/>
                <w:noProof/>
                <w:sz w:val="20"/>
              </w:rPr>
              <w:t>33,700</w:t>
            </w:r>
          </w:p>
        </w:tc>
        <w:tc>
          <w:tcPr>
            <w:tcW w:w="918" w:type="pct"/>
            <w:gridSpan w:val="3"/>
            <w:tcBorders>
              <w:top w:val="nil"/>
              <w:left w:val="nil"/>
              <w:bottom w:val="single" w:sz="8" w:space="0" w:color="auto"/>
              <w:right w:val="single" w:sz="8" w:space="0" w:color="auto"/>
            </w:tcBorders>
            <w:shd w:val="clear" w:color="000000" w:fill="D9D9D9"/>
            <w:vAlign w:val="center"/>
            <w:hideMark/>
          </w:tcPr>
          <w:p w14:paraId="4B827552" w14:textId="77777777" w:rsidR="00793103" w:rsidRPr="005A1CAE" w:rsidRDefault="00FB0585" w:rsidP="00793103">
            <w:pPr>
              <w:spacing w:before="0" w:after="0"/>
              <w:jc w:val="right"/>
              <w:rPr>
                <w:b/>
                <w:bCs/>
                <w:noProof/>
                <w:color w:val="000000"/>
                <w:sz w:val="20"/>
                <w:szCs w:val="20"/>
              </w:rPr>
            </w:pPr>
            <w:r w:rsidRPr="005A1CAE">
              <w:rPr>
                <w:b/>
                <w:noProof/>
                <w:sz w:val="20"/>
              </w:rPr>
              <w:t>35,150 </w:t>
            </w:r>
          </w:p>
        </w:tc>
        <w:tc>
          <w:tcPr>
            <w:tcW w:w="533" w:type="pct"/>
            <w:tcBorders>
              <w:top w:val="nil"/>
              <w:left w:val="nil"/>
              <w:bottom w:val="single" w:sz="8" w:space="0" w:color="auto"/>
              <w:right w:val="single" w:sz="8" w:space="0" w:color="auto"/>
            </w:tcBorders>
            <w:shd w:val="clear" w:color="000000" w:fill="D9D9D9"/>
            <w:vAlign w:val="center"/>
            <w:hideMark/>
          </w:tcPr>
          <w:p w14:paraId="66DBAD78" w14:textId="77777777" w:rsidR="00793103" w:rsidRPr="005A1CAE" w:rsidRDefault="00FB0585" w:rsidP="00793103">
            <w:pPr>
              <w:spacing w:before="0" w:after="0"/>
              <w:jc w:val="right"/>
              <w:rPr>
                <w:b/>
                <w:bCs/>
                <w:noProof/>
                <w:color w:val="000000"/>
                <w:sz w:val="20"/>
                <w:szCs w:val="20"/>
              </w:rPr>
            </w:pPr>
            <w:r w:rsidRPr="005A1CAE">
              <w:rPr>
                <w:b/>
                <w:noProof/>
                <w:sz w:val="20"/>
              </w:rPr>
              <w:t>131,690</w:t>
            </w:r>
          </w:p>
        </w:tc>
      </w:tr>
      <w:tr w:rsidR="00793103" w:rsidRPr="005A1CAE" w14:paraId="7241AA98" w14:textId="77777777" w:rsidTr="00FB0585">
        <w:trPr>
          <w:trHeight w:val="528"/>
        </w:trPr>
        <w:tc>
          <w:tcPr>
            <w:tcW w:w="1345"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0E677B63" w14:textId="77777777" w:rsidR="00793103" w:rsidRPr="005A1CAE" w:rsidRDefault="00793103" w:rsidP="00793103">
            <w:pPr>
              <w:spacing w:before="0" w:after="0"/>
              <w:jc w:val="center"/>
              <w:rPr>
                <w:noProof/>
                <w:color w:val="000000"/>
                <w:sz w:val="22"/>
              </w:rPr>
            </w:pPr>
            <w:r w:rsidRPr="005A1CAE">
              <w:rPr>
                <w:noProof/>
                <w:color w:val="000000"/>
                <w:sz w:val="22"/>
              </w:rPr>
              <w:t>wieloletnich ram finansowych</w:t>
            </w:r>
          </w:p>
        </w:tc>
        <w:tc>
          <w:tcPr>
            <w:tcW w:w="462" w:type="pct"/>
            <w:gridSpan w:val="2"/>
            <w:tcBorders>
              <w:top w:val="nil"/>
              <w:left w:val="nil"/>
              <w:bottom w:val="single" w:sz="8" w:space="0" w:color="auto"/>
              <w:right w:val="single" w:sz="8" w:space="0" w:color="auto"/>
            </w:tcBorders>
            <w:vAlign w:val="center"/>
            <w:hideMark/>
          </w:tcPr>
          <w:p w14:paraId="32F532AC" w14:textId="77777777" w:rsidR="00793103" w:rsidRPr="005A1CAE" w:rsidRDefault="00793103" w:rsidP="00793103">
            <w:pPr>
              <w:spacing w:before="0" w:after="0"/>
              <w:rPr>
                <w:noProof/>
                <w:color w:val="000000"/>
                <w:sz w:val="18"/>
                <w:szCs w:val="18"/>
              </w:rPr>
            </w:pPr>
            <w:r w:rsidRPr="005A1CAE">
              <w:rPr>
                <w:noProof/>
                <w:color w:val="000000"/>
                <w:sz w:val="18"/>
              </w:rPr>
              <w:t>Środki na płatności</w:t>
            </w:r>
          </w:p>
        </w:tc>
        <w:tc>
          <w:tcPr>
            <w:tcW w:w="425" w:type="pct"/>
            <w:tcBorders>
              <w:top w:val="single" w:sz="8" w:space="0" w:color="auto"/>
              <w:left w:val="nil"/>
              <w:bottom w:val="single" w:sz="8" w:space="0" w:color="auto"/>
              <w:right w:val="single" w:sz="8" w:space="0" w:color="auto"/>
            </w:tcBorders>
            <w:vAlign w:val="center"/>
            <w:hideMark/>
          </w:tcPr>
          <w:p w14:paraId="03A5C2AF" w14:textId="77777777" w:rsidR="00793103" w:rsidRPr="005A1CAE" w:rsidRDefault="00793103" w:rsidP="00793103">
            <w:pPr>
              <w:spacing w:before="0" w:after="0"/>
              <w:jc w:val="center"/>
              <w:rPr>
                <w:noProof/>
                <w:color w:val="000000"/>
                <w:sz w:val="14"/>
                <w:szCs w:val="14"/>
              </w:rPr>
            </w:pPr>
            <w:r w:rsidRPr="005A1CAE">
              <w:rPr>
                <w:noProof/>
                <w:color w:val="000000"/>
                <w:sz w:val="14"/>
              </w:rPr>
              <w:t>=5+6</w:t>
            </w:r>
          </w:p>
        </w:tc>
        <w:tc>
          <w:tcPr>
            <w:tcW w:w="427" w:type="pct"/>
            <w:gridSpan w:val="2"/>
            <w:tcBorders>
              <w:top w:val="nil"/>
              <w:left w:val="nil"/>
              <w:bottom w:val="single" w:sz="8" w:space="0" w:color="auto"/>
              <w:right w:val="single" w:sz="8" w:space="0" w:color="auto"/>
            </w:tcBorders>
            <w:shd w:val="clear" w:color="000000" w:fill="D9D9D9"/>
            <w:vAlign w:val="center"/>
            <w:hideMark/>
          </w:tcPr>
          <w:p w14:paraId="092A7105" w14:textId="77777777" w:rsidR="00793103" w:rsidRPr="005A1CAE" w:rsidRDefault="00793103" w:rsidP="00793103">
            <w:pPr>
              <w:spacing w:before="0" w:after="0"/>
              <w:jc w:val="right"/>
              <w:rPr>
                <w:b/>
                <w:bCs/>
                <w:noProof/>
                <w:color w:val="000000"/>
                <w:sz w:val="20"/>
                <w:szCs w:val="20"/>
              </w:rPr>
            </w:pPr>
            <w:r w:rsidRPr="005A1CAE">
              <w:rPr>
                <w:b/>
                <w:noProof/>
                <w:sz w:val="20"/>
              </w:rPr>
              <w:t>17,530</w:t>
            </w:r>
          </w:p>
        </w:tc>
        <w:tc>
          <w:tcPr>
            <w:tcW w:w="427" w:type="pct"/>
            <w:gridSpan w:val="2"/>
            <w:tcBorders>
              <w:top w:val="nil"/>
              <w:left w:val="nil"/>
              <w:bottom w:val="single" w:sz="8" w:space="0" w:color="auto"/>
              <w:right w:val="single" w:sz="8" w:space="0" w:color="auto"/>
            </w:tcBorders>
            <w:shd w:val="clear" w:color="000000" w:fill="D9D9D9"/>
            <w:vAlign w:val="center"/>
            <w:hideMark/>
          </w:tcPr>
          <w:p w14:paraId="3C3E7E32" w14:textId="77777777" w:rsidR="00793103" w:rsidRPr="005A1CAE" w:rsidRDefault="00793103" w:rsidP="00793103">
            <w:pPr>
              <w:spacing w:before="0" w:after="0"/>
              <w:jc w:val="right"/>
              <w:rPr>
                <w:b/>
                <w:bCs/>
                <w:noProof/>
                <w:color w:val="000000"/>
                <w:sz w:val="20"/>
                <w:szCs w:val="20"/>
              </w:rPr>
            </w:pPr>
            <w:r w:rsidRPr="005A1CAE">
              <w:rPr>
                <w:b/>
                <w:noProof/>
                <w:sz w:val="20"/>
              </w:rPr>
              <w:t>21,157</w:t>
            </w:r>
          </w:p>
        </w:tc>
        <w:tc>
          <w:tcPr>
            <w:tcW w:w="463" w:type="pct"/>
            <w:gridSpan w:val="2"/>
            <w:tcBorders>
              <w:top w:val="nil"/>
              <w:left w:val="nil"/>
              <w:bottom w:val="single" w:sz="8" w:space="0" w:color="auto"/>
              <w:right w:val="single" w:sz="8" w:space="0" w:color="auto"/>
            </w:tcBorders>
            <w:shd w:val="clear" w:color="000000" w:fill="D9D9D9"/>
            <w:vAlign w:val="center"/>
            <w:hideMark/>
          </w:tcPr>
          <w:p w14:paraId="447C128A" w14:textId="77777777" w:rsidR="00793103" w:rsidRPr="005A1CAE" w:rsidRDefault="00FB0585" w:rsidP="00793103">
            <w:pPr>
              <w:spacing w:before="0" w:after="0"/>
              <w:jc w:val="right"/>
              <w:rPr>
                <w:b/>
                <w:bCs/>
                <w:noProof/>
                <w:color w:val="000000"/>
                <w:sz w:val="20"/>
                <w:szCs w:val="20"/>
              </w:rPr>
            </w:pPr>
            <w:r w:rsidRPr="005A1CAE">
              <w:rPr>
                <w:b/>
                <w:noProof/>
                <w:sz w:val="20"/>
              </w:rPr>
              <w:t>32,090</w:t>
            </w:r>
          </w:p>
        </w:tc>
        <w:tc>
          <w:tcPr>
            <w:tcW w:w="918" w:type="pct"/>
            <w:gridSpan w:val="3"/>
            <w:tcBorders>
              <w:top w:val="nil"/>
              <w:left w:val="nil"/>
              <w:bottom w:val="single" w:sz="8" w:space="0" w:color="auto"/>
              <w:right w:val="single" w:sz="8" w:space="0" w:color="auto"/>
            </w:tcBorders>
            <w:shd w:val="clear" w:color="000000" w:fill="D9D9D9"/>
            <w:vAlign w:val="center"/>
            <w:hideMark/>
          </w:tcPr>
          <w:p w14:paraId="66E011D2" w14:textId="77777777" w:rsidR="00793103" w:rsidRPr="005A1CAE" w:rsidRDefault="00FB0585" w:rsidP="00793103">
            <w:pPr>
              <w:spacing w:before="0" w:after="0"/>
              <w:jc w:val="right"/>
              <w:rPr>
                <w:b/>
                <w:bCs/>
                <w:noProof/>
                <w:color w:val="000000"/>
                <w:sz w:val="20"/>
                <w:szCs w:val="20"/>
              </w:rPr>
            </w:pPr>
            <w:r w:rsidRPr="005A1CAE">
              <w:rPr>
                <w:b/>
                <w:noProof/>
                <w:sz w:val="20"/>
              </w:rPr>
              <w:t>34,067</w:t>
            </w:r>
          </w:p>
        </w:tc>
        <w:tc>
          <w:tcPr>
            <w:tcW w:w="533" w:type="pct"/>
            <w:tcBorders>
              <w:top w:val="nil"/>
              <w:left w:val="nil"/>
              <w:bottom w:val="single" w:sz="8" w:space="0" w:color="auto"/>
              <w:right w:val="single" w:sz="8" w:space="0" w:color="auto"/>
            </w:tcBorders>
            <w:shd w:val="clear" w:color="000000" w:fill="D9D9D9"/>
            <w:vAlign w:val="center"/>
            <w:hideMark/>
          </w:tcPr>
          <w:p w14:paraId="3D188F63" w14:textId="77777777" w:rsidR="00793103" w:rsidRPr="005A1CAE" w:rsidRDefault="00FB0585" w:rsidP="00793103">
            <w:pPr>
              <w:spacing w:before="0" w:after="0"/>
              <w:jc w:val="right"/>
              <w:rPr>
                <w:b/>
                <w:bCs/>
                <w:noProof/>
                <w:color w:val="000000"/>
                <w:sz w:val="20"/>
                <w:szCs w:val="20"/>
              </w:rPr>
            </w:pPr>
            <w:r w:rsidRPr="005A1CAE">
              <w:rPr>
                <w:b/>
                <w:noProof/>
                <w:sz w:val="20"/>
              </w:rPr>
              <w:t>104,844</w:t>
            </w:r>
          </w:p>
        </w:tc>
      </w:tr>
      <w:tr w:rsidR="00724527" w:rsidRPr="005A1CAE" w14:paraId="0F9F4E5F" w14:textId="77777777" w:rsidTr="00FB0585">
        <w:trPr>
          <w:trHeight w:val="528"/>
        </w:trPr>
        <w:tc>
          <w:tcPr>
            <w:tcW w:w="1345" w:type="pct"/>
            <w:gridSpan w:val="2"/>
            <w:tcBorders>
              <w:top w:val="nil"/>
              <w:left w:val="single" w:sz="8" w:space="0" w:color="auto"/>
              <w:bottom w:val="single" w:sz="8" w:space="0" w:color="auto"/>
              <w:right w:val="single" w:sz="8" w:space="0" w:color="auto"/>
            </w:tcBorders>
            <w:shd w:val="thinDiagStripe" w:color="C0C0C0" w:fill="F1F1F1"/>
            <w:vAlign w:val="center"/>
          </w:tcPr>
          <w:p w14:paraId="5C3A7D0E" w14:textId="77777777" w:rsidR="00724527" w:rsidRPr="005A1CAE" w:rsidRDefault="00724527" w:rsidP="00793103">
            <w:pPr>
              <w:spacing w:before="0" w:after="0"/>
              <w:jc w:val="center"/>
              <w:rPr>
                <w:noProof/>
                <w:color w:val="000000"/>
                <w:sz w:val="22"/>
                <w:lang w:eastAsia="en-IE"/>
              </w:rPr>
            </w:pPr>
          </w:p>
        </w:tc>
        <w:tc>
          <w:tcPr>
            <w:tcW w:w="462" w:type="pct"/>
            <w:gridSpan w:val="2"/>
            <w:tcBorders>
              <w:top w:val="nil"/>
              <w:left w:val="nil"/>
              <w:bottom w:val="single" w:sz="8" w:space="0" w:color="auto"/>
              <w:right w:val="single" w:sz="8" w:space="0" w:color="auto"/>
            </w:tcBorders>
            <w:vAlign w:val="center"/>
          </w:tcPr>
          <w:p w14:paraId="4ADC7B65" w14:textId="77777777" w:rsidR="00724527" w:rsidRPr="005A1CAE" w:rsidRDefault="00724527" w:rsidP="00793103">
            <w:pPr>
              <w:spacing w:before="0" w:after="0"/>
              <w:rPr>
                <w:noProof/>
                <w:color w:val="000000"/>
                <w:sz w:val="18"/>
                <w:szCs w:val="18"/>
                <w:lang w:eastAsia="en-IE"/>
              </w:rPr>
            </w:pPr>
          </w:p>
        </w:tc>
        <w:tc>
          <w:tcPr>
            <w:tcW w:w="425" w:type="pct"/>
            <w:tcBorders>
              <w:top w:val="single" w:sz="8" w:space="0" w:color="auto"/>
              <w:left w:val="nil"/>
              <w:bottom w:val="single" w:sz="8" w:space="0" w:color="auto"/>
              <w:right w:val="single" w:sz="8" w:space="0" w:color="auto"/>
            </w:tcBorders>
            <w:vAlign w:val="center"/>
          </w:tcPr>
          <w:p w14:paraId="0776AE75" w14:textId="77777777" w:rsidR="00724527" w:rsidRPr="005A1CAE" w:rsidRDefault="00724527" w:rsidP="00793103">
            <w:pPr>
              <w:spacing w:before="0" w:after="0"/>
              <w:jc w:val="center"/>
              <w:rPr>
                <w:noProof/>
                <w:color w:val="000000"/>
                <w:sz w:val="14"/>
                <w:szCs w:val="14"/>
                <w:lang w:eastAsia="en-IE"/>
              </w:rPr>
            </w:pPr>
          </w:p>
        </w:tc>
        <w:tc>
          <w:tcPr>
            <w:tcW w:w="427" w:type="pct"/>
            <w:gridSpan w:val="2"/>
            <w:tcBorders>
              <w:top w:val="nil"/>
              <w:left w:val="nil"/>
              <w:bottom w:val="single" w:sz="8" w:space="0" w:color="auto"/>
              <w:right w:val="single" w:sz="8" w:space="0" w:color="auto"/>
            </w:tcBorders>
            <w:shd w:val="clear" w:color="000000" w:fill="D9D9D9"/>
            <w:vAlign w:val="center"/>
          </w:tcPr>
          <w:p w14:paraId="6F0F6D08" w14:textId="77777777" w:rsidR="00724527" w:rsidRPr="005A1CAE" w:rsidRDefault="00724527" w:rsidP="00793103">
            <w:pPr>
              <w:spacing w:before="0" w:after="0"/>
              <w:jc w:val="right"/>
              <w:rPr>
                <w:b/>
                <w:bCs/>
                <w:noProof/>
                <w:sz w:val="20"/>
                <w:szCs w:val="20"/>
                <w:lang w:eastAsia="en-IE"/>
              </w:rPr>
            </w:pPr>
          </w:p>
        </w:tc>
        <w:tc>
          <w:tcPr>
            <w:tcW w:w="427" w:type="pct"/>
            <w:gridSpan w:val="2"/>
            <w:tcBorders>
              <w:top w:val="nil"/>
              <w:left w:val="nil"/>
              <w:bottom w:val="single" w:sz="8" w:space="0" w:color="auto"/>
              <w:right w:val="single" w:sz="8" w:space="0" w:color="auto"/>
            </w:tcBorders>
            <w:shd w:val="clear" w:color="000000" w:fill="D9D9D9"/>
            <w:vAlign w:val="center"/>
          </w:tcPr>
          <w:p w14:paraId="3DD6C464" w14:textId="77777777" w:rsidR="00724527" w:rsidRPr="005A1CAE" w:rsidRDefault="00724527" w:rsidP="00793103">
            <w:pPr>
              <w:spacing w:before="0" w:after="0"/>
              <w:jc w:val="right"/>
              <w:rPr>
                <w:b/>
                <w:bCs/>
                <w:noProof/>
                <w:sz w:val="20"/>
                <w:szCs w:val="20"/>
                <w:lang w:eastAsia="en-IE"/>
              </w:rPr>
            </w:pPr>
          </w:p>
        </w:tc>
        <w:tc>
          <w:tcPr>
            <w:tcW w:w="463" w:type="pct"/>
            <w:gridSpan w:val="2"/>
            <w:tcBorders>
              <w:top w:val="nil"/>
              <w:left w:val="nil"/>
              <w:bottom w:val="single" w:sz="8" w:space="0" w:color="auto"/>
              <w:right w:val="single" w:sz="8" w:space="0" w:color="auto"/>
            </w:tcBorders>
            <w:shd w:val="clear" w:color="000000" w:fill="D9D9D9"/>
            <w:vAlign w:val="center"/>
          </w:tcPr>
          <w:p w14:paraId="73390D29" w14:textId="77777777" w:rsidR="00724527" w:rsidRPr="005A1CAE" w:rsidRDefault="00724527" w:rsidP="00793103">
            <w:pPr>
              <w:spacing w:before="0" w:after="0"/>
              <w:jc w:val="right"/>
              <w:rPr>
                <w:b/>
                <w:bCs/>
                <w:noProof/>
                <w:sz w:val="20"/>
                <w:szCs w:val="20"/>
                <w:lang w:eastAsia="en-IE"/>
              </w:rPr>
            </w:pPr>
          </w:p>
        </w:tc>
        <w:tc>
          <w:tcPr>
            <w:tcW w:w="918" w:type="pct"/>
            <w:gridSpan w:val="3"/>
            <w:tcBorders>
              <w:top w:val="nil"/>
              <w:left w:val="nil"/>
              <w:bottom w:val="single" w:sz="8" w:space="0" w:color="auto"/>
              <w:right w:val="single" w:sz="8" w:space="0" w:color="auto"/>
            </w:tcBorders>
            <w:shd w:val="clear" w:color="000000" w:fill="D9D9D9"/>
            <w:vAlign w:val="center"/>
          </w:tcPr>
          <w:p w14:paraId="6EBAE01E" w14:textId="77777777" w:rsidR="00724527" w:rsidRPr="005A1CAE" w:rsidRDefault="00724527" w:rsidP="00793103">
            <w:pPr>
              <w:spacing w:before="0" w:after="0"/>
              <w:jc w:val="right"/>
              <w:rPr>
                <w:b/>
                <w:bCs/>
                <w:noProof/>
                <w:sz w:val="20"/>
                <w:szCs w:val="20"/>
                <w:lang w:eastAsia="en-IE"/>
              </w:rPr>
            </w:pPr>
          </w:p>
        </w:tc>
        <w:tc>
          <w:tcPr>
            <w:tcW w:w="533" w:type="pct"/>
            <w:tcBorders>
              <w:top w:val="nil"/>
              <w:left w:val="nil"/>
              <w:bottom w:val="single" w:sz="8" w:space="0" w:color="auto"/>
              <w:right w:val="single" w:sz="8" w:space="0" w:color="auto"/>
            </w:tcBorders>
            <w:shd w:val="clear" w:color="000000" w:fill="D9D9D9"/>
            <w:vAlign w:val="center"/>
          </w:tcPr>
          <w:p w14:paraId="1234D36A" w14:textId="77777777" w:rsidR="00724527" w:rsidRPr="005A1CAE" w:rsidRDefault="00724527" w:rsidP="00793103">
            <w:pPr>
              <w:spacing w:before="0" w:after="0"/>
              <w:jc w:val="right"/>
              <w:rPr>
                <w:b/>
                <w:bCs/>
                <w:noProof/>
                <w:sz w:val="20"/>
                <w:szCs w:val="20"/>
                <w:lang w:eastAsia="en-IE"/>
              </w:rPr>
            </w:pPr>
          </w:p>
        </w:tc>
      </w:tr>
    </w:tbl>
    <w:p w14:paraId="6D8E4336" w14:textId="77777777" w:rsidR="00D0690F" w:rsidRPr="005A1CAE" w:rsidRDefault="00D0690F" w:rsidP="009F612D">
      <w:pPr>
        <w:rPr>
          <w:noProof/>
        </w:rPr>
      </w:pPr>
    </w:p>
    <w:tbl>
      <w:tblPr>
        <w:tblW w:w="5000" w:type="pct"/>
        <w:tblLook w:val="04A0" w:firstRow="1" w:lastRow="0" w:firstColumn="1" w:lastColumn="0" w:noHBand="0" w:noVBand="1"/>
      </w:tblPr>
      <w:tblGrid>
        <w:gridCol w:w="4023"/>
        <w:gridCol w:w="1217"/>
        <w:gridCol w:w="644"/>
        <w:gridCol w:w="786"/>
        <w:gridCol w:w="985"/>
        <w:gridCol w:w="985"/>
        <w:gridCol w:w="1296"/>
        <w:gridCol w:w="2569"/>
        <w:gridCol w:w="1489"/>
      </w:tblGrid>
      <w:tr w:rsidR="00724527" w:rsidRPr="005A1CAE" w14:paraId="2F962F2E" w14:textId="77777777" w:rsidTr="00103539">
        <w:trPr>
          <w:trHeight w:val="288"/>
        </w:trPr>
        <w:tc>
          <w:tcPr>
            <w:tcW w:w="1437" w:type="pct"/>
            <w:tcBorders>
              <w:top w:val="nil"/>
              <w:left w:val="nil"/>
              <w:bottom w:val="nil"/>
              <w:right w:val="nil"/>
            </w:tcBorders>
            <w:noWrap/>
            <w:vAlign w:val="bottom"/>
            <w:hideMark/>
          </w:tcPr>
          <w:p w14:paraId="05B5715F" w14:textId="77777777" w:rsidR="00724527" w:rsidRPr="005A1CAE" w:rsidRDefault="00724527">
            <w:pPr>
              <w:spacing w:before="0" w:after="0"/>
              <w:jc w:val="left"/>
              <w:rPr>
                <w:noProof/>
                <w:sz w:val="20"/>
                <w:szCs w:val="24"/>
                <w:lang w:eastAsia="en-IE"/>
              </w:rPr>
            </w:pPr>
          </w:p>
        </w:tc>
        <w:tc>
          <w:tcPr>
            <w:tcW w:w="435" w:type="pct"/>
            <w:tcBorders>
              <w:top w:val="nil"/>
              <w:left w:val="nil"/>
              <w:bottom w:val="nil"/>
              <w:right w:val="nil"/>
            </w:tcBorders>
            <w:noWrap/>
            <w:vAlign w:val="bottom"/>
            <w:hideMark/>
          </w:tcPr>
          <w:p w14:paraId="1CCAFBA4" w14:textId="77777777" w:rsidR="00724527" w:rsidRPr="005A1CAE" w:rsidRDefault="00724527">
            <w:pPr>
              <w:spacing w:before="0" w:after="0"/>
              <w:jc w:val="left"/>
              <w:rPr>
                <w:noProof/>
                <w:sz w:val="20"/>
                <w:szCs w:val="20"/>
                <w:lang w:eastAsia="en-IE"/>
              </w:rPr>
            </w:pPr>
          </w:p>
        </w:tc>
        <w:tc>
          <w:tcPr>
            <w:tcW w:w="230" w:type="pct"/>
            <w:tcBorders>
              <w:top w:val="nil"/>
              <w:left w:val="nil"/>
              <w:bottom w:val="nil"/>
              <w:right w:val="nil"/>
            </w:tcBorders>
            <w:noWrap/>
            <w:vAlign w:val="bottom"/>
            <w:hideMark/>
          </w:tcPr>
          <w:p w14:paraId="322489E9" w14:textId="77777777" w:rsidR="00724527" w:rsidRPr="005A1CAE" w:rsidRDefault="00724527">
            <w:pPr>
              <w:spacing w:before="0" w:after="0"/>
              <w:jc w:val="left"/>
              <w:rPr>
                <w:noProof/>
                <w:sz w:val="20"/>
                <w:szCs w:val="20"/>
                <w:lang w:eastAsia="en-IE"/>
              </w:rPr>
            </w:pPr>
          </w:p>
        </w:tc>
        <w:tc>
          <w:tcPr>
            <w:tcW w:w="281" w:type="pct"/>
            <w:tcBorders>
              <w:top w:val="nil"/>
              <w:left w:val="nil"/>
              <w:bottom w:val="nil"/>
              <w:right w:val="single" w:sz="4" w:space="0" w:color="auto"/>
            </w:tcBorders>
            <w:noWrap/>
            <w:vAlign w:val="bottom"/>
            <w:hideMark/>
          </w:tcPr>
          <w:p w14:paraId="3ECB867D" w14:textId="77777777" w:rsidR="00724527" w:rsidRPr="005A1CAE" w:rsidRDefault="00724527">
            <w:pPr>
              <w:spacing w:before="0" w:after="0"/>
              <w:jc w:val="left"/>
              <w:rPr>
                <w:noProof/>
                <w:sz w:val="20"/>
                <w:szCs w:val="20"/>
                <w:lang w:eastAsia="en-IE"/>
              </w:rPr>
            </w:pPr>
          </w:p>
        </w:tc>
        <w:tc>
          <w:tcPr>
            <w:tcW w:w="352" w:type="pct"/>
            <w:tcBorders>
              <w:top w:val="single" w:sz="8" w:space="0" w:color="auto"/>
              <w:left w:val="single" w:sz="4" w:space="0" w:color="auto"/>
              <w:bottom w:val="nil"/>
              <w:right w:val="single" w:sz="8" w:space="0" w:color="auto"/>
            </w:tcBorders>
            <w:vAlign w:val="center"/>
            <w:hideMark/>
          </w:tcPr>
          <w:p w14:paraId="20F330E5" w14:textId="77777777" w:rsidR="00724527" w:rsidRPr="005A1CAE" w:rsidRDefault="00724527">
            <w:pPr>
              <w:spacing w:before="0" w:after="0"/>
              <w:jc w:val="center"/>
              <w:rPr>
                <w:noProof/>
                <w:color w:val="000000"/>
                <w:sz w:val="20"/>
                <w:szCs w:val="20"/>
              </w:rPr>
            </w:pPr>
            <w:r w:rsidRPr="005A1CAE">
              <w:rPr>
                <w:noProof/>
                <w:color w:val="000000"/>
                <w:sz w:val="20"/>
              </w:rPr>
              <w:t>Rok</w:t>
            </w:r>
          </w:p>
        </w:tc>
        <w:tc>
          <w:tcPr>
            <w:tcW w:w="352" w:type="pct"/>
            <w:tcBorders>
              <w:top w:val="single" w:sz="8" w:space="0" w:color="auto"/>
              <w:left w:val="nil"/>
              <w:bottom w:val="nil"/>
              <w:right w:val="single" w:sz="8" w:space="0" w:color="auto"/>
            </w:tcBorders>
            <w:vAlign w:val="center"/>
            <w:hideMark/>
          </w:tcPr>
          <w:p w14:paraId="2CA77F9C" w14:textId="77777777" w:rsidR="00724527" w:rsidRPr="005A1CAE" w:rsidRDefault="00724527">
            <w:pPr>
              <w:spacing w:before="0" w:after="0"/>
              <w:jc w:val="center"/>
              <w:rPr>
                <w:noProof/>
                <w:color w:val="000000"/>
                <w:sz w:val="20"/>
                <w:szCs w:val="20"/>
              </w:rPr>
            </w:pPr>
            <w:r w:rsidRPr="005A1CAE">
              <w:rPr>
                <w:noProof/>
                <w:color w:val="000000"/>
                <w:sz w:val="20"/>
              </w:rPr>
              <w:t>Rok</w:t>
            </w:r>
          </w:p>
        </w:tc>
        <w:tc>
          <w:tcPr>
            <w:tcW w:w="463" w:type="pct"/>
            <w:tcBorders>
              <w:top w:val="single" w:sz="8" w:space="0" w:color="auto"/>
              <w:left w:val="nil"/>
              <w:bottom w:val="nil"/>
              <w:right w:val="single" w:sz="8" w:space="0" w:color="auto"/>
            </w:tcBorders>
            <w:vAlign w:val="center"/>
            <w:hideMark/>
          </w:tcPr>
          <w:p w14:paraId="30D742EA" w14:textId="77777777" w:rsidR="00724527" w:rsidRPr="005A1CAE" w:rsidRDefault="00724527">
            <w:pPr>
              <w:spacing w:before="0" w:after="0"/>
              <w:jc w:val="center"/>
              <w:rPr>
                <w:noProof/>
                <w:color w:val="000000"/>
                <w:sz w:val="20"/>
                <w:szCs w:val="20"/>
              </w:rPr>
            </w:pPr>
            <w:r w:rsidRPr="005A1CAE">
              <w:rPr>
                <w:noProof/>
                <w:color w:val="000000"/>
                <w:sz w:val="20"/>
              </w:rPr>
              <w:t>Rok</w:t>
            </w:r>
          </w:p>
        </w:tc>
        <w:tc>
          <w:tcPr>
            <w:tcW w:w="918" w:type="pct"/>
            <w:tcBorders>
              <w:top w:val="single" w:sz="8" w:space="0" w:color="auto"/>
              <w:left w:val="nil"/>
              <w:bottom w:val="nil"/>
              <w:right w:val="single" w:sz="8" w:space="0" w:color="auto"/>
            </w:tcBorders>
            <w:vAlign w:val="center"/>
            <w:hideMark/>
          </w:tcPr>
          <w:p w14:paraId="4D2ECA2C" w14:textId="77777777" w:rsidR="00724527" w:rsidRPr="005A1CAE" w:rsidRDefault="00724527">
            <w:pPr>
              <w:spacing w:before="0" w:after="0"/>
              <w:jc w:val="center"/>
              <w:rPr>
                <w:noProof/>
                <w:color w:val="000000"/>
                <w:sz w:val="20"/>
                <w:szCs w:val="20"/>
              </w:rPr>
            </w:pPr>
            <w:r w:rsidRPr="005A1CAE">
              <w:rPr>
                <w:noProof/>
                <w:color w:val="000000"/>
                <w:sz w:val="20"/>
              </w:rPr>
              <w:t>Rok</w:t>
            </w:r>
          </w:p>
        </w:tc>
        <w:tc>
          <w:tcPr>
            <w:tcW w:w="533" w:type="pct"/>
            <w:vMerge w:val="restart"/>
            <w:tcBorders>
              <w:top w:val="single" w:sz="8" w:space="0" w:color="auto"/>
              <w:left w:val="single" w:sz="8" w:space="0" w:color="auto"/>
              <w:bottom w:val="single" w:sz="8" w:space="0" w:color="000000"/>
              <w:right w:val="single" w:sz="8" w:space="0" w:color="auto"/>
            </w:tcBorders>
            <w:vAlign w:val="center"/>
            <w:hideMark/>
          </w:tcPr>
          <w:p w14:paraId="170ED88C" w14:textId="77777777" w:rsidR="00724527" w:rsidRPr="005A1CAE" w:rsidRDefault="00724527">
            <w:pPr>
              <w:spacing w:before="0" w:after="0"/>
              <w:jc w:val="center"/>
              <w:rPr>
                <w:b/>
                <w:bCs/>
                <w:noProof/>
                <w:color w:val="000000"/>
                <w:sz w:val="20"/>
                <w:szCs w:val="20"/>
              </w:rPr>
            </w:pPr>
            <w:r w:rsidRPr="005A1CAE">
              <w:rPr>
                <w:b/>
                <w:noProof/>
                <w:color w:val="000000"/>
                <w:sz w:val="20"/>
              </w:rPr>
              <w:t>OGÓŁEM WRF 2021–2027</w:t>
            </w:r>
          </w:p>
        </w:tc>
      </w:tr>
      <w:tr w:rsidR="00724527" w:rsidRPr="005A1CAE" w14:paraId="27EA66EE" w14:textId="77777777" w:rsidTr="00103539">
        <w:trPr>
          <w:trHeight w:val="300"/>
        </w:trPr>
        <w:tc>
          <w:tcPr>
            <w:tcW w:w="1437" w:type="pct"/>
            <w:tcBorders>
              <w:top w:val="nil"/>
              <w:left w:val="nil"/>
              <w:bottom w:val="nil"/>
              <w:right w:val="nil"/>
            </w:tcBorders>
            <w:noWrap/>
            <w:vAlign w:val="bottom"/>
            <w:hideMark/>
          </w:tcPr>
          <w:p w14:paraId="2F9CB3A8" w14:textId="77777777" w:rsidR="00724527" w:rsidRPr="005A1CAE" w:rsidRDefault="00724527">
            <w:pPr>
              <w:rPr>
                <w:noProof/>
                <w:lang w:eastAsia="en-IE"/>
              </w:rPr>
            </w:pPr>
          </w:p>
        </w:tc>
        <w:tc>
          <w:tcPr>
            <w:tcW w:w="435" w:type="pct"/>
            <w:tcBorders>
              <w:top w:val="nil"/>
              <w:left w:val="nil"/>
              <w:bottom w:val="nil"/>
              <w:right w:val="nil"/>
            </w:tcBorders>
            <w:noWrap/>
            <w:vAlign w:val="bottom"/>
            <w:hideMark/>
          </w:tcPr>
          <w:p w14:paraId="29A4F37F" w14:textId="77777777" w:rsidR="00724527" w:rsidRPr="005A1CAE" w:rsidRDefault="00724527">
            <w:pPr>
              <w:spacing w:before="0" w:after="0"/>
              <w:jc w:val="left"/>
              <w:rPr>
                <w:noProof/>
                <w:sz w:val="20"/>
                <w:szCs w:val="20"/>
                <w:lang w:eastAsia="en-IE"/>
              </w:rPr>
            </w:pPr>
          </w:p>
        </w:tc>
        <w:tc>
          <w:tcPr>
            <w:tcW w:w="230" w:type="pct"/>
            <w:tcBorders>
              <w:top w:val="nil"/>
              <w:left w:val="nil"/>
              <w:bottom w:val="nil"/>
              <w:right w:val="nil"/>
            </w:tcBorders>
            <w:noWrap/>
            <w:vAlign w:val="bottom"/>
            <w:hideMark/>
          </w:tcPr>
          <w:p w14:paraId="381E2335" w14:textId="77777777" w:rsidR="00724527" w:rsidRPr="005A1CAE" w:rsidRDefault="00724527">
            <w:pPr>
              <w:spacing w:before="0" w:after="0"/>
              <w:jc w:val="left"/>
              <w:rPr>
                <w:noProof/>
                <w:sz w:val="20"/>
                <w:szCs w:val="20"/>
                <w:lang w:eastAsia="en-IE"/>
              </w:rPr>
            </w:pPr>
          </w:p>
        </w:tc>
        <w:tc>
          <w:tcPr>
            <w:tcW w:w="281" w:type="pct"/>
            <w:tcBorders>
              <w:top w:val="nil"/>
              <w:left w:val="nil"/>
              <w:bottom w:val="nil"/>
              <w:right w:val="single" w:sz="4" w:space="0" w:color="auto"/>
            </w:tcBorders>
            <w:noWrap/>
            <w:vAlign w:val="bottom"/>
            <w:hideMark/>
          </w:tcPr>
          <w:p w14:paraId="77397A72" w14:textId="77777777" w:rsidR="00724527" w:rsidRPr="005A1CAE" w:rsidRDefault="00724527">
            <w:pPr>
              <w:spacing w:before="0" w:after="0"/>
              <w:jc w:val="left"/>
              <w:rPr>
                <w:noProof/>
                <w:sz w:val="20"/>
                <w:szCs w:val="20"/>
                <w:lang w:eastAsia="en-IE"/>
              </w:rPr>
            </w:pPr>
          </w:p>
        </w:tc>
        <w:tc>
          <w:tcPr>
            <w:tcW w:w="352" w:type="pct"/>
            <w:tcBorders>
              <w:top w:val="nil"/>
              <w:left w:val="single" w:sz="4" w:space="0" w:color="auto"/>
              <w:bottom w:val="single" w:sz="8" w:space="0" w:color="auto"/>
              <w:right w:val="single" w:sz="8" w:space="0" w:color="auto"/>
            </w:tcBorders>
            <w:vAlign w:val="center"/>
            <w:hideMark/>
          </w:tcPr>
          <w:p w14:paraId="731B7194" w14:textId="77777777" w:rsidR="00724527" w:rsidRPr="005A1CAE" w:rsidRDefault="00724527">
            <w:pPr>
              <w:spacing w:before="0" w:after="0"/>
              <w:jc w:val="center"/>
              <w:rPr>
                <w:b/>
                <w:bCs/>
                <w:noProof/>
                <w:color w:val="000000"/>
                <w:sz w:val="20"/>
                <w:szCs w:val="20"/>
              </w:rPr>
            </w:pPr>
            <w:r w:rsidRPr="005A1CAE">
              <w:rPr>
                <w:b/>
                <w:noProof/>
                <w:color w:val="000000"/>
                <w:sz w:val="20"/>
              </w:rPr>
              <w:t>2024</w:t>
            </w:r>
          </w:p>
        </w:tc>
        <w:tc>
          <w:tcPr>
            <w:tcW w:w="352" w:type="pct"/>
            <w:tcBorders>
              <w:top w:val="nil"/>
              <w:left w:val="nil"/>
              <w:bottom w:val="single" w:sz="8" w:space="0" w:color="auto"/>
              <w:right w:val="single" w:sz="8" w:space="0" w:color="auto"/>
            </w:tcBorders>
            <w:vAlign w:val="center"/>
            <w:hideMark/>
          </w:tcPr>
          <w:p w14:paraId="7EE138DE" w14:textId="77777777" w:rsidR="00724527" w:rsidRPr="005A1CAE" w:rsidRDefault="00724527">
            <w:pPr>
              <w:spacing w:before="0" w:after="0"/>
              <w:jc w:val="center"/>
              <w:rPr>
                <w:b/>
                <w:bCs/>
                <w:noProof/>
                <w:color w:val="000000"/>
                <w:sz w:val="20"/>
                <w:szCs w:val="20"/>
              </w:rPr>
            </w:pPr>
            <w:r w:rsidRPr="005A1CAE">
              <w:rPr>
                <w:b/>
                <w:noProof/>
                <w:color w:val="000000"/>
                <w:sz w:val="20"/>
              </w:rPr>
              <w:t>2025</w:t>
            </w:r>
          </w:p>
        </w:tc>
        <w:tc>
          <w:tcPr>
            <w:tcW w:w="463" w:type="pct"/>
            <w:tcBorders>
              <w:top w:val="nil"/>
              <w:left w:val="nil"/>
              <w:bottom w:val="single" w:sz="8" w:space="0" w:color="auto"/>
              <w:right w:val="single" w:sz="8" w:space="0" w:color="auto"/>
            </w:tcBorders>
            <w:vAlign w:val="center"/>
            <w:hideMark/>
          </w:tcPr>
          <w:p w14:paraId="214F9177" w14:textId="77777777" w:rsidR="00724527" w:rsidRPr="005A1CAE" w:rsidRDefault="00724527">
            <w:pPr>
              <w:spacing w:before="0" w:after="0"/>
              <w:jc w:val="center"/>
              <w:rPr>
                <w:b/>
                <w:bCs/>
                <w:noProof/>
                <w:color w:val="000000"/>
                <w:sz w:val="20"/>
                <w:szCs w:val="20"/>
              </w:rPr>
            </w:pPr>
            <w:r w:rsidRPr="005A1CAE">
              <w:rPr>
                <w:b/>
                <w:noProof/>
                <w:color w:val="000000"/>
                <w:sz w:val="20"/>
              </w:rPr>
              <w:t>2026</w:t>
            </w:r>
          </w:p>
        </w:tc>
        <w:tc>
          <w:tcPr>
            <w:tcW w:w="918" w:type="pct"/>
            <w:tcBorders>
              <w:top w:val="nil"/>
              <w:left w:val="nil"/>
              <w:bottom w:val="single" w:sz="8" w:space="0" w:color="auto"/>
              <w:right w:val="single" w:sz="8" w:space="0" w:color="auto"/>
            </w:tcBorders>
            <w:vAlign w:val="center"/>
            <w:hideMark/>
          </w:tcPr>
          <w:p w14:paraId="048C3C9B" w14:textId="77777777" w:rsidR="00724527" w:rsidRPr="005A1CAE" w:rsidRDefault="00724527">
            <w:pPr>
              <w:spacing w:before="0" w:after="0"/>
              <w:jc w:val="center"/>
              <w:rPr>
                <w:b/>
                <w:bCs/>
                <w:noProof/>
                <w:color w:val="000000"/>
                <w:sz w:val="20"/>
                <w:szCs w:val="20"/>
              </w:rPr>
            </w:pPr>
            <w:r w:rsidRPr="005A1CAE">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14:paraId="12FDA688" w14:textId="77777777" w:rsidR="00724527" w:rsidRPr="005A1CAE" w:rsidRDefault="00724527">
            <w:pPr>
              <w:spacing w:before="0" w:after="0"/>
              <w:jc w:val="left"/>
              <w:rPr>
                <w:b/>
                <w:bCs/>
                <w:noProof/>
                <w:color w:val="000000"/>
                <w:sz w:val="20"/>
                <w:szCs w:val="20"/>
                <w:lang w:eastAsia="en-IE"/>
              </w:rPr>
            </w:pPr>
          </w:p>
        </w:tc>
      </w:tr>
      <w:tr w:rsidR="00724527" w:rsidRPr="005A1CAE" w14:paraId="21DFAE85" w14:textId="77777777" w:rsidTr="00103539">
        <w:trPr>
          <w:trHeight w:val="300"/>
        </w:trPr>
        <w:tc>
          <w:tcPr>
            <w:tcW w:w="1437" w:type="pct"/>
            <w:vMerge w:val="restart"/>
            <w:tcBorders>
              <w:top w:val="single" w:sz="8" w:space="0" w:color="auto"/>
              <w:left w:val="single" w:sz="8" w:space="0" w:color="auto"/>
              <w:bottom w:val="single" w:sz="8" w:space="0" w:color="auto"/>
              <w:right w:val="single" w:sz="8" w:space="0" w:color="auto"/>
            </w:tcBorders>
            <w:vAlign w:val="center"/>
            <w:hideMark/>
          </w:tcPr>
          <w:p w14:paraId="667B82CA" w14:textId="77777777" w:rsidR="00724527" w:rsidRPr="005A1CAE" w:rsidRDefault="00724527">
            <w:pPr>
              <w:spacing w:before="0" w:after="0"/>
              <w:rPr>
                <w:noProof/>
                <w:color w:val="000000"/>
                <w:sz w:val="21"/>
                <w:szCs w:val="21"/>
              </w:rPr>
            </w:pPr>
            <w:r w:rsidRPr="005A1CAE">
              <w:rPr>
                <w:rFonts w:ascii="Calibri" w:hAnsi="Calibri"/>
                <w:noProof/>
                <w:color w:val="000000"/>
                <w:sz w:val="21"/>
              </w:rPr>
              <w:t xml:space="preserve">• </w:t>
            </w:r>
            <w:r w:rsidRPr="005A1CAE">
              <w:rPr>
                <w:noProof/>
                <w:color w:val="000000"/>
                <w:sz w:val="21"/>
              </w:rPr>
              <w:t>OGÓŁEM środki operacyjne (wszystkie działy operacyjne)</w:t>
            </w:r>
          </w:p>
        </w:tc>
        <w:tc>
          <w:tcPr>
            <w:tcW w:w="435" w:type="pct"/>
            <w:tcBorders>
              <w:top w:val="single" w:sz="8" w:space="0" w:color="auto"/>
              <w:left w:val="nil"/>
              <w:bottom w:val="single" w:sz="8" w:space="0" w:color="auto"/>
              <w:right w:val="single" w:sz="8" w:space="0" w:color="auto"/>
            </w:tcBorders>
            <w:vAlign w:val="center"/>
            <w:hideMark/>
          </w:tcPr>
          <w:p w14:paraId="2B55606B" w14:textId="77777777" w:rsidR="00724527" w:rsidRPr="005A1CAE" w:rsidRDefault="00724527">
            <w:pPr>
              <w:spacing w:before="0" w:after="0"/>
              <w:rPr>
                <w:noProof/>
                <w:color w:val="000000"/>
                <w:sz w:val="18"/>
                <w:szCs w:val="18"/>
              </w:rPr>
            </w:pPr>
            <w:r w:rsidRPr="005A1CAE">
              <w:rPr>
                <w:noProof/>
                <w:color w:val="000000"/>
                <w:sz w:val="18"/>
              </w:rPr>
              <w:t>Środki na zobowiązania</w:t>
            </w:r>
          </w:p>
        </w:tc>
        <w:tc>
          <w:tcPr>
            <w:tcW w:w="511" w:type="pct"/>
            <w:gridSpan w:val="2"/>
            <w:tcBorders>
              <w:top w:val="single" w:sz="8" w:space="0" w:color="auto"/>
              <w:left w:val="nil"/>
              <w:bottom w:val="single" w:sz="8" w:space="0" w:color="auto"/>
              <w:right w:val="single" w:sz="8" w:space="0" w:color="000000"/>
            </w:tcBorders>
            <w:vAlign w:val="center"/>
            <w:hideMark/>
          </w:tcPr>
          <w:p w14:paraId="0560A4F8" w14:textId="77777777" w:rsidR="00724527" w:rsidRPr="005A1CAE" w:rsidRDefault="00724527">
            <w:pPr>
              <w:spacing w:before="0" w:after="0"/>
              <w:jc w:val="center"/>
              <w:rPr>
                <w:noProof/>
                <w:color w:val="000000"/>
                <w:sz w:val="14"/>
                <w:szCs w:val="14"/>
              </w:rPr>
            </w:pPr>
            <w:r w:rsidRPr="005A1CAE">
              <w:rPr>
                <w:noProof/>
                <w:color w:val="000000"/>
                <w:sz w:val="14"/>
              </w:rPr>
              <w:t>(4)</w:t>
            </w:r>
          </w:p>
        </w:tc>
        <w:tc>
          <w:tcPr>
            <w:tcW w:w="352" w:type="pct"/>
            <w:tcBorders>
              <w:top w:val="nil"/>
              <w:left w:val="nil"/>
              <w:bottom w:val="single" w:sz="8" w:space="0" w:color="auto"/>
              <w:right w:val="single" w:sz="8" w:space="0" w:color="auto"/>
            </w:tcBorders>
            <w:shd w:val="clear" w:color="000000" w:fill="D9D9D9"/>
            <w:vAlign w:val="center"/>
            <w:hideMark/>
          </w:tcPr>
          <w:p w14:paraId="67A56521" w14:textId="77777777" w:rsidR="00724527" w:rsidRPr="005A1CAE" w:rsidRDefault="00724527">
            <w:pPr>
              <w:spacing w:before="0" w:after="0"/>
              <w:jc w:val="right"/>
              <w:rPr>
                <w:noProof/>
                <w:color w:val="000000"/>
                <w:sz w:val="20"/>
                <w:szCs w:val="20"/>
              </w:rPr>
            </w:pPr>
            <w:r w:rsidRPr="005A1CAE">
              <w:rPr>
                <w:noProof/>
                <w:sz w:val="20"/>
              </w:rPr>
              <w:t>28,090</w:t>
            </w:r>
          </w:p>
        </w:tc>
        <w:tc>
          <w:tcPr>
            <w:tcW w:w="352" w:type="pct"/>
            <w:tcBorders>
              <w:top w:val="nil"/>
              <w:left w:val="nil"/>
              <w:bottom w:val="single" w:sz="8" w:space="0" w:color="auto"/>
              <w:right w:val="single" w:sz="8" w:space="0" w:color="auto"/>
            </w:tcBorders>
            <w:shd w:val="clear" w:color="000000" w:fill="D9D9D9"/>
            <w:vAlign w:val="center"/>
            <w:hideMark/>
          </w:tcPr>
          <w:p w14:paraId="4F25952E" w14:textId="77777777" w:rsidR="00724527" w:rsidRPr="005A1CAE" w:rsidRDefault="00724527">
            <w:pPr>
              <w:spacing w:before="0" w:after="0"/>
              <w:jc w:val="right"/>
              <w:rPr>
                <w:noProof/>
                <w:color w:val="000000"/>
                <w:sz w:val="20"/>
                <w:szCs w:val="20"/>
              </w:rPr>
            </w:pPr>
            <w:r w:rsidRPr="005A1CAE">
              <w:rPr>
                <w:noProof/>
                <w:sz w:val="20"/>
              </w:rPr>
              <w:t>34,750</w:t>
            </w:r>
          </w:p>
        </w:tc>
        <w:tc>
          <w:tcPr>
            <w:tcW w:w="463" w:type="pct"/>
            <w:tcBorders>
              <w:top w:val="nil"/>
              <w:left w:val="nil"/>
              <w:bottom w:val="single" w:sz="8" w:space="0" w:color="auto"/>
              <w:right w:val="single" w:sz="8" w:space="0" w:color="auto"/>
            </w:tcBorders>
            <w:shd w:val="clear" w:color="000000" w:fill="D9D9D9"/>
            <w:vAlign w:val="center"/>
            <w:hideMark/>
          </w:tcPr>
          <w:p w14:paraId="6FD8D8A7" w14:textId="77777777" w:rsidR="00724527" w:rsidRPr="005A1CAE" w:rsidRDefault="00103539">
            <w:pPr>
              <w:spacing w:before="0" w:after="0"/>
              <w:jc w:val="right"/>
              <w:rPr>
                <w:noProof/>
                <w:color w:val="000000"/>
                <w:sz w:val="20"/>
                <w:szCs w:val="20"/>
              </w:rPr>
            </w:pPr>
            <w:r w:rsidRPr="005A1CAE">
              <w:rPr>
                <w:noProof/>
                <w:sz w:val="20"/>
              </w:rPr>
              <w:t>33,700</w:t>
            </w:r>
          </w:p>
        </w:tc>
        <w:tc>
          <w:tcPr>
            <w:tcW w:w="918" w:type="pct"/>
            <w:tcBorders>
              <w:top w:val="nil"/>
              <w:left w:val="nil"/>
              <w:bottom w:val="single" w:sz="8" w:space="0" w:color="auto"/>
              <w:right w:val="single" w:sz="8" w:space="0" w:color="auto"/>
            </w:tcBorders>
            <w:shd w:val="clear" w:color="000000" w:fill="D9D9D9"/>
            <w:vAlign w:val="center"/>
            <w:hideMark/>
          </w:tcPr>
          <w:p w14:paraId="6CFC81CA" w14:textId="77777777" w:rsidR="00724527" w:rsidRPr="005A1CAE" w:rsidRDefault="00103539">
            <w:pPr>
              <w:spacing w:before="0" w:after="0"/>
              <w:jc w:val="right"/>
              <w:rPr>
                <w:noProof/>
                <w:color w:val="000000"/>
                <w:sz w:val="20"/>
                <w:szCs w:val="20"/>
              </w:rPr>
            </w:pPr>
            <w:r w:rsidRPr="005A1CAE">
              <w:rPr>
                <w:noProof/>
                <w:sz w:val="20"/>
              </w:rPr>
              <w:t>35,150 </w:t>
            </w:r>
          </w:p>
        </w:tc>
        <w:tc>
          <w:tcPr>
            <w:tcW w:w="533" w:type="pct"/>
            <w:tcBorders>
              <w:top w:val="nil"/>
              <w:left w:val="nil"/>
              <w:bottom w:val="single" w:sz="8" w:space="0" w:color="auto"/>
              <w:right w:val="single" w:sz="8" w:space="0" w:color="auto"/>
            </w:tcBorders>
            <w:shd w:val="clear" w:color="000000" w:fill="D9D9D9"/>
            <w:vAlign w:val="center"/>
            <w:hideMark/>
          </w:tcPr>
          <w:p w14:paraId="2E0C1DCB" w14:textId="77777777" w:rsidR="00724527" w:rsidRPr="005A1CAE" w:rsidRDefault="00103539">
            <w:pPr>
              <w:spacing w:before="0" w:after="0"/>
              <w:jc w:val="right"/>
              <w:rPr>
                <w:b/>
                <w:bCs/>
                <w:noProof/>
                <w:color w:val="000000"/>
                <w:sz w:val="20"/>
                <w:szCs w:val="20"/>
              </w:rPr>
            </w:pPr>
            <w:r w:rsidRPr="005A1CAE">
              <w:rPr>
                <w:b/>
                <w:noProof/>
                <w:sz w:val="20"/>
              </w:rPr>
              <w:t>131,690</w:t>
            </w:r>
          </w:p>
        </w:tc>
      </w:tr>
      <w:tr w:rsidR="00724527" w:rsidRPr="005A1CAE" w14:paraId="652008D9" w14:textId="77777777" w:rsidTr="00103539">
        <w:trPr>
          <w:trHeight w:val="300"/>
        </w:trPr>
        <w:tc>
          <w:tcPr>
            <w:tcW w:w="1437" w:type="pct"/>
            <w:vMerge/>
            <w:tcBorders>
              <w:top w:val="single" w:sz="8" w:space="0" w:color="auto"/>
              <w:left w:val="single" w:sz="8" w:space="0" w:color="auto"/>
              <w:bottom w:val="single" w:sz="8" w:space="0" w:color="auto"/>
              <w:right w:val="single" w:sz="8" w:space="0" w:color="auto"/>
            </w:tcBorders>
            <w:vAlign w:val="center"/>
            <w:hideMark/>
          </w:tcPr>
          <w:p w14:paraId="1D36D985" w14:textId="77777777" w:rsidR="00724527" w:rsidRPr="005A1CAE" w:rsidRDefault="00724527">
            <w:pPr>
              <w:spacing w:before="0" w:after="0"/>
              <w:jc w:val="left"/>
              <w:rPr>
                <w:noProof/>
                <w:color w:val="000000"/>
                <w:sz w:val="21"/>
                <w:szCs w:val="21"/>
                <w:lang w:eastAsia="en-IE"/>
              </w:rPr>
            </w:pPr>
          </w:p>
        </w:tc>
        <w:tc>
          <w:tcPr>
            <w:tcW w:w="435" w:type="pct"/>
            <w:tcBorders>
              <w:top w:val="nil"/>
              <w:left w:val="nil"/>
              <w:bottom w:val="single" w:sz="8" w:space="0" w:color="auto"/>
              <w:right w:val="single" w:sz="8" w:space="0" w:color="auto"/>
            </w:tcBorders>
            <w:vAlign w:val="center"/>
            <w:hideMark/>
          </w:tcPr>
          <w:p w14:paraId="5C437571" w14:textId="77777777" w:rsidR="00724527" w:rsidRPr="005A1CAE" w:rsidRDefault="00724527">
            <w:pPr>
              <w:spacing w:before="0" w:after="0"/>
              <w:rPr>
                <w:noProof/>
                <w:color w:val="000000"/>
                <w:sz w:val="18"/>
                <w:szCs w:val="18"/>
              </w:rPr>
            </w:pPr>
            <w:r w:rsidRPr="005A1CAE">
              <w:rPr>
                <w:noProof/>
                <w:color w:val="000000"/>
                <w:sz w:val="18"/>
              </w:rPr>
              <w:t>Środki na płatności</w:t>
            </w:r>
          </w:p>
        </w:tc>
        <w:tc>
          <w:tcPr>
            <w:tcW w:w="511" w:type="pct"/>
            <w:gridSpan w:val="2"/>
            <w:tcBorders>
              <w:top w:val="single" w:sz="8" w:space="0" w:color="auto"/>
              <w:left w:val="nil"/>
              <w:bottom w:val="single" w:sz="8" w:space="0" w:color="auto"/>
              <w:right w:val="single" w:sz="8" w:space="0" w:color="000000"/>
            </w:tcBorders>
            <w:vAlign w:val="center"/>
            <w:hideMark/>
          </w:tcPr>
          <w:p w14:paraId="22FD5DBF" w14:textId="77777777" w:rsidR="00724527" w:rsidRPr="005A1CAE" w:rsidRDefault="00724527">
            <w:pPr>
              <w:spacing w:before="0" w:after="0"/>
              <w:jc w:val="center"/>
              <w:rPr>
                <w:noProof/>
                <w:color w:val="000000"/>
                <w:sz w:val="14"/>
                <w:szCs w:val="14"/>
              </w:rPr>
            </w:pPr>
            <w:r w:rsidRPr="005A1CAE">
              <w:rPr>
                <w:noProof/>
                <w:color w:val="000000"/>
                <w:sz w:val="14"/>
              </w:rPr>
              <w:t>(5)</w:t>
            </w:r>
          </w:p>
        </w:tc>
        <w:tc>
          <w:tcPr>
            <w:tcW w:w="352" w:type="pct"/>
            <w:tcBorders>
              <w:top w:val="nil"/>
              <w:left w:val="nil"/>
              <w:bottom w:val="single" w:sz="8" w:space="0" w:color="auto"/>
              <w:right w:val="single" w:sz="8" w:space="0" w:color="auto"/>
            </w:tcBorders>
            <w:shd w:val="clear" w:color="000000" w:fill="D9D9D9"/>
            <w:vAlign w:val="center"/>
            <w:hideMark/>
          </w:tcPr>
          <w:p w14:paraId="6D023F3A" w14:textId="77777777" w:rsidR="00724527" w:rsidRPr="005A1CAE" w:rsidRDefault="00724527">
            <w:pPr>
              <w:spacing w:before="0" w:after="0"/>
              <w:jc w:val="right"/>
              <w:rPr>
                <w:noProof/>
                <w:color w:val="000000"/>
                <w:sz w:val="20"/>
                <w:szCs w:val="20"/>
              </w:rPr>
            </w:pPr>
            <w:r w:rsidRPr="005A1CAE">
              <w:rPr>
                <w:noProof/>
                <w:sz w:val="20"/>
              </w:rPr>
              <w:t>17,530</w:t>
            </w:r>
          </w:p>
        </w:tc>
        <w:tc>
          <w:tcPr>
            <w:tcW w:w="352" w:type="pct"/>
            <w:tcBorders>
              <w:top w:val="nil"/>
              <w:left w:val="nil"/>
              <w:bottom w:val="single" w:sz="8" w:space="0" w:color="auto"/>
              <w:right w:val="single" w:sz="8" w:space="0" w:color="auto"/>
            </w:tcBorders>
            <w:shd w:val="clear" w:color="000000" w:fill="D9D9D9"/>
            <w:vAlign w:val="center"/>
            <w:hideMark/>
          </w:tcPr>
          <w:p w14:paraId="0A4081EB" w14:textId="77777777" w:rsidR="00724527" w:rsidRPr="005A1CAE" w:rsidRDefault="00724527">
            <w:pPr>
              <w:spacing w:before="0" w:after="0"/>
              <w:jc w:val="right"/>
              <w:rPr>
                <w:noProof/>
                <w:color w:val="000000"/>
                <w:sz w:val="20"/>
                <w:szCs w:val="20"/>
              </w:rPr>
            </w:pPr>
            <w:r w:rsidRPr="005A1CAE">
              <w:rPr>
                <w:noProof/>
                <w:sz w:val="20"/>
              </w:rPr>
              <w:t>21,157</w:t>
            </w:r>
          </w:p>
        </w:tc>
        <w:tc>
          <w:tcPr>
            <w:tcW w:w="463" w:type="pct"/>
            <w:tcBorders>
              <w:top w:val="nil"/>
              <w:left w:val="nil"/>
              <w:bottom w:val="single" w:sz="8" w:space="0" w:color="auto"/>
              <w:right w:val="single" w:sz="8" w:space="0" w:color="auto"/>
            </w:tcBorders>
            <w:shd w:val="clear" w:color="000000" w:fill="D9D9D9"/>
            <w:vAlign w:val="center"/>
            <w:hideMark/>
          </w:tcPr>
          <w:p w14:paraId="67C4D2EF" w14:textId="77777777" w:rsidR="00724527" w:rsidRPr="005A1CAE" w:rsidRDefault="00103539">
            <w:pPr>
              <w:spacing w:before="0" w:after="0"/>
              <w:jc w:val="right"/>
              <w:rPr>
                <w:noProof/>
                <w:color w:val="000000"/>
                <w:sz w:val="20"/>
                <w:szCs w:val="20"/>
              </w:rPr>
            </w:pPr>
            <w:r w:rsidRPr="005A1CAE">
              <w:rPr>
                <w:noProof/>
                <w:sz w:val="20"/>
              </w:rPr>
              <w:t>32,090</w:t>
            </w:r>
          </w:p>
        </w:tc>
        <w:tc>
          <w:tcPr>
            <w:tcW w:w="918" w:type="pct"/>
            <w:tcBorders>
              <w:top w:val="nil"/>
              <w:left w:val="nil"/>
              <w:bottom w:val="single" w:sz="8" w:space="0" w:color="auto"/>
              <w:right w:val="single" w:sz="8" w:space="0" w:color="auto"/>
            </w:tcBorders>
            <w:shd w:val="clear" w:color="000000" w:fill="D9D9D9"/>
            <w:vAlign w:val="center"/>
            <w:hideMark/>
          </w:tcPr>
          <w:p w14:paraId="04DD0E5E" w14:textId="77777777" w:rsidR="00724527" w:rsidRPr="005A1CAE" w:rsidRDefault="00103539">
            <w:pPr>
              <w:spacing w:before="0" w:after="0"/>
              <w:jc w:val="right"/>
              <w:rPr>
                <w:noProof/>
                <w:color w:val="000000"/>
                <w:sz w:val="20"/>
                <w:szCs w:val="20"/>
              </w:rPr>
            </w:pPr>
            <w:r w:rsidRPr="005A1CAE">
              <w:rPr>
                <w:noProof/>
                <w:sz w:val="20"/>
              </w:rPr>
              <w:t>34,067</w:t>
            </w:r>
          </w:p>
        </w:tc>
        <w:tc>
          <w:tcPr>
            <w:tcW w:w="533" w:type="pct"/>
            <w:tcBorders>
              <w:top w:val="nil"/>
              <w:left w:val="nil"/>
              <w:bottom w:val="single" w:sz="8" w:space="0" w:color="auto"/>
              <w:right w:val="single" w:sz="8" w:space="0" w:color="auto"/>
            </w:tcBorders>
            <w:shd w:val="clear" w:color="000000" w:fill="D9D9D9"/>
            <w:vAlign w:val="center"/>
            <w:hideMark/>
          </w:tcPr>
          <w:p w14:paraId="2F7CE312" w14:textId="77777777" w:rsidR="00724527" w:rsidRPr="005A1CAE" w:rsidRDefault="00103539">
            <w:pPr>
              <w:spacing w:before="0" w:after="0"/>
              <w:jc w:val="right"/>
              <w:rPr>
                <w:b/>
                <w:bCs/>
                <w:noProof/>
                <w:color w:val="000000"/>
                <w:sz w:val="20"/>
                <w:szCs w:val="20"/>
              </w:rPr>
            </w:pPr>
            <w:r w:rsidRPr="005A1CAE">
              <w:rPr>
                <w:b/>
                <w:noProof/>
                <w:sz w:val="20"/>
              </w:rPr>
              <w:t>104,844</w:t>
            </w:r>
          </w:p>
        </w:tc>
      </w:tr>
      <w:tr w:rsidR="00724527" w:rsidRPr="005A1CAE" w14:paraId="683D43AB" w14:textId="77777777" w:rsidTr="00103539">
        <w:trPr>
          <w:trHeight w:val="990"/>
        </w:trPr>
        <w:tc>
          <w:tcPr>
            <w:tcW w:w="1872" w:type="pct"/>
            <w:gridSpan w:val="2"/>
            <w:tcBorders>
              <w:top w:val="single" w:sz="8" w:space="0" w:color="auto"/>
              <w:left w:val="single" w:sz="8" w:space="0" w:color="auto"/>
              <w:bottom w:val="single" w:sz="8" w:space="0" w:color="auto"/>
              <w:right w:val="single" w:sz="8" w:space="0" w:color="000000"/>
            </w:tcBorders>
            <w:vAlign w:val="center"/>
            <w:hideMark/>
          </w:tcPr>
          <w:p w14:paraId="19004879" w14:textId="77777777" w:rsidR="00724527" w:rsidRPr="005A1CAE" w:rsidRDefault="00724527">
            <w:pPr>
              <w:spacing w:before="0" w:after="0"/>
              <w:rPr>
                <w:noProof/>
                <w:color w:val="000000"/>
                <w:sz w:val="21"/>
                <w:szCs w:val="21"/>
              </w:rPr>
            </w:pPr>
            <w:r w:rsidRPr="005A1CAE">
              <w:rPr>
                <w:rFonts w:ascii="Calibri" w:hAnsi="Calibri"/>
                <w:noProof/>
                <w:color w:val="000000"/>
                <w:sz w:val="21"/>
              </w:rPr>
              <w:t>•</w:t>
            </w:r>
            <w:r w:rsidRPr="005A1CAE">
              <w:rPr>
                <w:noProof/>
                <w:color w:val="000000"/>
                <w:sz w:val="21"/>
              </w:rPr>
              <w:t xml:space="preserve"> OGÓŁEM środki administracyjne finansowane ze środków przydzielonych na określone programy (wszystkie działy operacyjne)</w:t>
            </w:r>
          </w:p>
        </w:tc>
        <w:tc>
          <w:tcPr>
            <w:tcW w:w="511" w:type="pct"/>
            <w:gridSpan w:val="2"/>
            <w:tcBorders>
              <w:top w:val="single" w:sz="8" w:space="0" w:color="auto"/>
              <w:left w:val="nil"/>
              <w:bottom w:val="single" w:sz="8" w:space="0" w:color="auto"/>
              <w:right w:val="single" w:sz="8" w:space="0" w:color="000000"/>
            </w:tcBorders>
            <w:vAlign w:val="center"/>
            <w:hideMark/>
          </w:tcPr>
          <w:p w14:paraId="3AE9030E" w14:textId="77777777" w:rsidR="00724527" w:rsidRPr="005A1CAE" w:rsidRDefault="00724527">
            <w:pPr>
              <w:spacing w:before="0" w:after="0"/>
              <w:jc w:val="center"/>
              <w:rPr>
                <w:noProof/>
                <w:color w:val="000000"/>
                <w:sz w:val="14"/>
                <w:szCs w:val="14"/>
              </w:rPr>
            </w:pPr>
            <w:r w:rsidRPr="005A1CAE">
              <w:rPr>
                <w:noProof/>
                <w:color w:val="000000"/>
                <w:sz w:val="14"/>
              </w:rPr>
              <w:t>(6)</w:t>
            </w:r>
          </w:p>
        </w:tc>
        <w:tc>
          <w:tcPr>
            <w:tcW w:w="352" w:type="pct"/>
            <w:tcBorders>
              <w:top w:val="nil"/>
              <w:left w:val="nil"/>
              <w:bottom w:val="single" w:sz="8" w:space="0" w:color="auto"/>
              <w:right w:val="single" w:sz="8" w:space="0" w:color="auto"/>
            </w:tcBorders>
            <w:shd w:val="clear" w:color="000000" w:fill="D9D9D9"/>
            <w:vAlign w:val="center"/>
            <w:hideMark/>
          </w:tcPr>
          <w:p w14:paraId="1826F34D" w14:textId="77777777" w:rsidR="00724527" w:rsidRPr="005A1CAE" w:rsidRDefault="00724527">
            <w:pPr>
              <w:spacing w:before="0" w:after="0"/>
              <w:jc w:val="right"/>
              <w:rPr>
                <w:noProof/>
                <w:color w:val="000000"/>
                <w:sz w:val="20"/>
                <w:szCs w:val="20"/>
              </w:rPr>
            </w:pPr>
            <w:r w:rsidRPr="005A1CAE">
              <w:rPr>
                <w:noProof/>
                <w:color w:val="000000"/>
                <w:sz w:val="20"/>
              </w:rPr>
              <w:t>0,000</w:t>
            </w:r>
          </w:p>
        </w:tc>
        <w:tc>
          <w:tcPr>
            <w:tcW w:w="352" w:type="pct"/>
            <w:tcBorders>
              <w:top w:val="nil"/>
              <w:left w:val="nil"/>
              <w:bottom w:val="single" w:sz="8" w:space="0" w:color="auto"/>
              <w:right w:val="single" w:sz="8" w:space="0" w:color="auto"/>
            </w:tcBorders>
            <w:shd w:val="clear" w:color="000000" w:fill="D9D9D9"/>
            <w:vAlign w:val="center"/>
            <w:hideMark/>
          </w:tcPr>
          <w:p w14:paraId="295081D4" w14:textId="77777777" w:rsidR="00724527" w:rsidRPr="005A1CAE" w:rsidRDefault="00724527">
            <w:pPr>
              <w:spacing w:before="0" w:after="0"/>
              <w:jc w:val="right"/>
              <w:rPr>
                <w:noProof/>
                <w:color w:val="000000"/>
                <w:sz w:val="20"/>
                <w:szCs w:val="20"/>
              </w:rPr>
            </w:pPr>
            <w:r w:rsidRPr="005A1CAE">
              <w:rPr>
                <w:noProof/>
                <w:sz w:val="20"/>
              </w:rPr>
              <w:t>0,000</w:t>
            </w:r>
          </w:p>
        </w:tc>
        <w:tc>
          <w:tcPr>
            <w:tcW w:w="463" w:type="pct"/>
            <w:tcBorders>
              <w:top w:val="nil"/>
              <w:left w:val="nil"/>
              <w:bottom w:val="single" w:sz="8" w:space="0" w:color="auto"/>
              <w:right w:val="single" w:sz="8" w:space="0" w:color="auto"/>
            </w:tcBorders>
            <w:shd w:val="clear" w:color="000000" w:fill="D9D9D9"/>
            <w:vAlign w:val="center"/>
            <w:hideMark/>
          </w:tcPr>
          <w:p w14:paraId="109165FB" w14:textId="77777777" w:rsidR="00724527" w:rsidRPr="005A1CAE" w:rsidRDefault="00724527">
            <w:pPr>
              <w:spacing w:before="0" w:after="0"/>
              <w:jc w:val="right"/>
              <w:rPr>
                <w:noProof/>
                <w:color w:val="000000"/>
                <w:sz w:val="20"/>
                <w:szCs w:val="20"/>
              </w:rPr>
            </w:pPr>
            <w:r w:rsidRPr="005A1CAE">
              <w:rPr>
                <w:noProof/>
                <w:sz w:val="20"/>
              </w:rPr>
              <w:t>0,000</w:t>
            </w:r>
          </w:p>
        </w:tc>
        <w:tc>
          <w:tcPr>
            <w:tcW w:w="918" w:type="pct"/>
            <w:tcBorders>
              <w:top w:val="nil"/>
              <w:left w:val="nil"/>
              <w:bottom w:val="single" w:sz="8" w:space="0" w:color="auto"/>
              <w:right w:val="single" w:sz="8" w:space="0" w:color="auto"/>
            </w:tcBorders>
            <w:shd w:val="clear" w:color="000000" w:fill="D9D9D9"/>
            <w:vAlign w:val="center"/>
            <w:hideMark/>
          </w:tcPr>
          <w:p w14:paraId="3501F7FF" w14:textId="77777777" w:rsidR="00724527" w:rsidRPr="005A1CAE" w:rsidRDefault="00724527">
            <w:pPr>
              <w:spacing w:before="0" w:after="0"/>
              <w:jc w:val="right"/>
              <w:rPr>
                <w:noProof/>
                <w:color w:val="000000"/>
                <w:sz w:val="20"/>
                <w:szCs w:val="20"/>
              </w:rPr>
            </w:pPr>
            <w:r w:rsidRPr="005A1CAE">
              <w:rPr>
                <w:noProof/>
                <w:sz w:val="20"/>
              </w:rPr>
              <w:t>0,000</w:t>
            </w:r>
          </w:p>
        </w:tc>
        <w:tc>
          <w:tcPr>
            <w:tcW w:w="533" w:type="pct"/>
            <w:tcBorders>
              <w:top w:val="nil"/>
              <w:left w:val="nil"/>
              <w:bottom w:val="single" w:sz="8" w:space="0" w:color="auto"/>
              <w:right w:val="single" w:sz="8" w:space="0" w:color="auto"/>
            </w:tcBorders>
            <w:shd w:val="clear" w:color="000000" w:fill="D9D9D9"/>
            <w:vAlign w:val="center"/>
            <w:hideMark/>
          </w:tcPr>
          <w:p w14:paraId="2793B2C0" w14:textId="77777777" w:rsidR="00724527" w:rsidRPr="005A1CAE" w:rsidRDefault="00724527">
            <w:pPr>
              <w:spacing w:before="0" w:after="0"/>
              <w:jc w:val="right"/>
              <w:rPr>
                <w:b/>
                <w:bCs/>
                <w:noProof/>
                <w:color w:val="000000"/>
                <w:sz w:val="20"/>
                <w:szCs w:val="20"/>
              </w:rPr>
            </w:pPr>
            <w:r w:rsidRPr="005A1CAE">
              <w:rPr>
                <w:noProof/>
                <w:sz w:val="20"/>
              </w:rPr>
              <w:t>0,000</w:t>
            </w:r>
          </w:p>
        </w:tc>
      </w:tr>
      <w:tr w:rsidR="00724527" w:rsidRPr="005A1CAE" w14:paraId="63F2220D" w14:textId="77777777" w:rsidTr="00103539">
        <w:trPr>
          <w:trHeight w:val="564"/>
        </w:trPr>
        <w:tc>
          <w:tcPr>
            <w:tcW w:w="1437" w:type="pct"/>
            <w:tcBorders>
              <w:top w:val="nil"/>
              <w:left w:val="single" w:sz="8" w:space="0" w:color="auto"/>
              <w:bottom w:val="nil"/>
              <w:right w:val="single" w:sz="8" w:space="0" w:color="auto"/>
            </w:tcBorders>
            <w:shd w:val="thinDiagStripe" w:color="C0C0C0" w:fill="F1F1F1"/>
            <w:vAlign w:val="center"/>
            <w:hideMark/>
          </w:tcPr>
          <w:p w14:paraId="1159E1BF" w14:textId="2B710DD1" w:rsidR="00724527" w:rsidRPr="005A1CAE" w:rsidRDefault="00724527">
            <w:pPr>
              <w:spacing w:before="0" w:after="0"/>
              <w:jc w:val="center"/>
              <w:rPr>
                <w:b/>
                <w:bCs/>
                <w:noProof/>
                <w:color w:val="000000"/>
                <w:sz w:val="22"/>
              </w:rPr>
            </w:pPr>
            <w:r w:rsidRPr="005A1CAE">
              <w:rPr>
                <w:b/>
                <w:noProof/>
                <w:color w:val="000000"/>
                <w:sz w:val="22"/>
              </w:rPr>
              <w:t>OGÓŁEM środki na DZIAŁY od</w:t>
            </w:r>
            <w:r w:rsidR="005A1CAE" w:rsidRPr="005A1CAE">
              <w:rPr>
                <w:b/>
                <w:noProof/>
                <w:color w:val="000000"/>
                <w:sz w:val="22"/>
              </w:rPr>
              <w:t> </w:t>
            </w:r>
            <w:r w:rsidRPr="005A1CAE">
              <w:rPr>
                <w:b/>
                <w:noProof/>
                <w:color w:val="000000"/>
                <w:sz w:val="22"/>
              </w:rPr>
              <w:t>1 do</w:t>
            </w:r>
            <w:r w:rsidR="005A1CAE" w:rsidRPr="005A1CAE">
              <w:rPr>
                <w:b/>
                <w:noProof/>
                <w:color w:val="000000"/>
                <w:sz w:val="22"/>
              </w:rPr>
              <w:t> </w:t>
            </w:r>
            <w:r w:rsidRPr="005A1CAE">
              <w:rPr>
                <w:b/>
                <w:noProof/>
                <w:color w:val="000000"/>
                <w:sz w:val="22"/>
              </w:rPr>
              <w:t>6</w:t>
            </w:r>
          </w:p>
        </w:tc>
        <w:tc>
          <w:tcPr>
            <w:tcW w:w="435" w:type="pct"/>
            <w:tcBorders>
              <w:top w:val="nil"/>
              <w:left w:val="nil"/>
              <w:bottom w:val="nil"/>
              <w:right w:val="single" w:sz="8" w:space="0" w:color="auto"/>
            </w:tcBorders>
            <w:vAlign w:val="center"/>
            <w:hideMark/>
          </w:tcPr>
          <w:p w14:paraId="40362212" w14:textId="77777777" w:rsidR="00724527" w:rsidRPr="005A1CAE" w:rsidRDefault="00724527">
            <w:pPr>
              <w:spacing w:before="0" w:after="0"/>
              <w:rPr>
                <w:noProof/>
                <w:color w:val="000000"/>
                <w:sz w:val="18"/>
                <w:szCs w:val="18"/>
              </w:rPr>
            </w:pPr>
            <w:r w:rsidRPr="005A1CAE">
              <w:rPr>
                <w:noProof/>
                <w:color w:val="000000"/>
                <w:sz w:val="18"/>
              </w:rPr>
              <w:t>Środki na zobowiązania</w:t>
            </w:r>
          </w:p>
        </w:tc>
        <w:tc>
          <w:tcPr>
            <w:tcW w:w="511" w:type="pct"/>
            <w:gridSpan w:val="2"/>
            <w:tcBorders>
              <w:top w:val="single" w:sz="8" w:space="0" w:color="auto"/>
              <w:left w:val="nil"/>
              <w:bottom w:val="nil"/>
              <w:right w:val="single" w:sz="8" w:space="0" w:color="000000"/>
            </w:tcBorders>
            <w:vAlign w:val="center"/>
            <w:hideMark/>
          </w:tcPr>
          <w:p w14:paraId="77C5E387" w14:textId="77777777" w:rsidR="00724527" w:rsidRPr="005A1CAE" w:rsidRDefault="00724527">
            <w:pPr>
              <w:spacing w:before="0" w:after="0"/>
              <w:jc w:val="center"/>
              <w:rPr>
                <w:noProof/>
                <w:color w:val="000000"/>
                <w:sz w:val="14"/>
                <w:szCs w:val="14"/>
              </w:rPr>
            </w:pPr>
            <w:r w:rsidRPr="005A1CAE">
              <w:rPr>
                <w:noProof/>
                <w:color w:val="000000"/>
                <w:sz w:val="14"/>
              </w:rPr>
              <w:t>=4+6</w:t>
            </w:r>
          </w:p>
        </w:tc>
        <w:tc>
          <w:tcPr>
            <w:tcW w:w="352" w:type="pct"/>
            <w:tcBorders>
              <w:top w:val="nil"/>
              <w:left w:val="nil"/>
              <w:bottom w:val="single" w:sz="8" w:space="0" w:color="auto"/>
              <w:right w:val="single" w:sz="8" w:space="0" w:color="auto"/>
            </w:tcBorders>
            <w:shd w:val="clear" w:color="000000" w:fill="D9D9D9"/>
            <w:vAlign w:val="center"/>
            <w:hideMark/>
          </w:tcPr>
          <w:p w14:paraId="7DB6ADD2" w14:textId="77777777" w:rsidR="00724527" w:rsidRPr="005A1CAE" w:rsidRDefault="00724527">
            <w:pPr>
              <w:spacing w:before="0" w:after="0"/>
              <w:jc w:val="right"/>
              <w:rPr>
                <w:b/>
                <w:bCs/>
                <w:noProof/>
                <w:color w:val="000000"/>
                <w:sz w:val="20"/>
                <w:szCs w:val="20"/>
              </w:rPr>
            </w:pPr>
            <w:r w:rsidRPr="005A1CAE">
              <w:rPr>
                <w:b/>
                <w:noProof/>
                <w:sz w:val="20"/>
              </w:rPr>
              <w:t>28,090</w:t>
            </w:r>
          </w:p>
        </w:tc>
        <w:tc>
          <w:tcPr>
            <w:tcW w:w="352" w:type="pct"/>
            <w:tcBorders>
              <w:top w:val="nil"/>
              <w:left w:val="nil"/>
              <w:bottom w:val="single" w:sz="8" w:space="0" w:color="auto"/>
              <w:right w:val="single" w:sz="8" w:space="0" w:color="auto"/>
            </w:tcBorders>
            <w:shd w:val="clear" w:color="000000" w:fill="D9D9D9"/>
            <w:vAlign w:val="center"/>
            <w:hideMark/>
          </w:tcPr>
          <w:p w14:paraId="64375430" w14:textId="77777777" w:rsidR="00724527" w:rsidRPr="005A1CAE" w:rsidRDefault="00724527">
            <w:pPr>
              <w:spacing w:before="0" w:after="0"/>
              <w:jc w:val="right"/>
              <w:rPr>
                <w:b/>
                <w:bCs/>
                <w:noProof/>
                <w:color w:val="000000"/>
                <w:sz w:val="20"/>
                <w:szCs w:val="20"/>
              </w:rPr>
            </w:pPr>
            <w:r w:rsidRPr="005A1CAE">
              <w:rPr>
                <w:b/>
                <w:noProof/>
                <w:sz w:val="20"/>
              </w:rPr>
              <w:t>34,750</w:t>
            </w:r>
          </w:p>
        </w:tc>
        <w:tc>
          <w:tcPr>
            <w:tcW w:w="463" w:type="pct"/>
            <w:tcBorders>
              <w:top w:val="nil"/>
              <w:left w:val="nil"/>
              <w:bottom w:val="single" w:sz="8" w:space="0" w:color="auto"/>
              <w:right w:val="single" w:sz="8" w:space="0" w:color="auto"/>
            </w:tcBorders>
            <w:shd w:val="clear" w:color="000000" w:fill="D9D9D9"/>
            <w:vAlign w:val="center"/>
            <w:hideMark/>
          </w:tcPr>
          <w:p w14:paraId="39A59BDD" w14:textId="77777777" w:rsidR="00724527" w:rsidRPr="005A1CAE" w:rsidRDefault="00103539">
            <w:pPr>
              <w:spacing w:before="0" w:after="0"/>
              <w:jc w:val="right"/>
              <w:rPr>
                <w:b/>
                <w:bCs/>
                <w:noProof/>
                <w:color w:val="000000"/>
                <w:sz w:val="20"/>
                <w:szCs w:val="20"/>
              </w:rPr>
            </w:pPr>
            <w:r w:rsidRPr="005A1CAE">
              <w:rPr>
                <w:noProof/>
                <w:sz w:val="20"/>
              </w:rPr>
              <w:t>33,700</w:t>
            </w:r>
          </w:p>
        </w:tc>
        <w:tc>
          <w:tcPr>
            <w:tcW w:w="918" w:type="pct"/>
            <w:tcBorders>
              <w:top w:val="nil"/>
              <w:left w:val="nil"/>
              <w:bottom w:val="single" w:sz="8" w:space="0" w:color="auto"/>
              <w:right w:val="single" w:sz="8" w:space="0" w:color="auto"/>
            </w:tcBorders>
            <w:shd w:val="clear" w:color="000000" w:fill="D9D9D9"/>
            <w:vAlign w:val="center"/>
            <w:hideMark/>
          </w:tcPr>
          <w:p w14:paraId="215952BE" w14:textId="77777777" w:rsidR="00724527" w:rsidRPr="005A1CAE" w:rsidRDefault="00103539">
            <w:pPr>
              <w:spacing w:before="0" w:after="0"/>
              <w:jc w:val="right"/>
              <w:rPr>
                <w:b/>
                <w:bCs/>
                <w:noProof/>
                <w:color w:val="000000"/>
                <w:sz w:val="20"/>
                <w:szCs w:val="20"/>
              </w:rPr>
            </w:pPr>
            <w:r w:rsidRPr="005A1CAE">
              <w:rPr>
                <w:noProof/>
                <w:sz w:val="20"/>
              </w:rPr>
              <w:t>35,150 </w:t>
            </w:r>
          </w:p>
        </w:tc>
        <w:tc>
          <w:tcPr>
            <w:tcW w:w="533" w:type="pct"/>
            <w:tcBorders>
              <w:top w:val="nil"/>
              <w:left w:val="nil"/>
              <w:bottom w:val="single" w:sz="8" w:space="0" w:color="auto"/>
              <w:right w:val="single" w:sz="8" w:space="0" w:color="auto"/>
            </w:tcBorders>
            <w:shd w:val="clear" w:color="000000" w:fill="D9D9D9"/>
            <w:vAlign w:val="center"/>
            <w:hideMark/>
          </w:tcPr>
          <w:p w14:paraId="7AC7F440" w14:textId="77777777" w:rsidR="00724527" w:rsidRPr="005A1CAE" w:rsidRDefault="00103539">
            <w:pPr>
              <w:spacing w:before="0" w:after="0"/>
              <w:jc w:val="right"/>
              <w:rPr>
                <w:b/>
                <w:bCs/>
                <w:noProof/>
                <w:color w:val="000000"/>
                <w:sz w:val="20"/>
                <w:szCs w:val="20"/>
              </w:rPr>
            </w:pPr>
            <w:r w:rsidRPr="005A1CAE">
              <w:rPr>
                <w:b/>
                <w:noProof/>
                <w:sz w:val="20"/>
              </w:rPr>
              <w:t>131,690</w:t>
            </w:r>
          </w:p>
        </w:tc>
      </w:tr>
      <w:tr w:rsidR="00724527" w:rsidRPr="005A1CAE" w14:paraId="4EEAC75B" w14:textId="77777777" w:rsidTr="00103539">
        <w:trPr>
          <w:trHeight w:val="588"/>
        </w:trPr>
        <w:tc>
          <w:tcPr>
            <w:tcW w:w="1437" w:type="pct"/>
            <w:tcBorders>
              <w:top w:val="nil"/>
              <w:left w:val="single" w:sz="8" w:space="0" w:color="auto"/>
              <w:bottom w:val="single" w:sz="8" w:space="0" w:color="auto"/>
              <w:right w:val="single" w:sz="8" w:space="0" w:color="auto"/>
            </w:tcBorders>
            <w:shd w:val="thinDiagStripe" w:color="C0C0C0" w:fill="F1F1F1"/>
            <w:vAlign w:val="center"/>
            <w:hideMark/>
          </w:tcPr>
          <w:p w14:paraId="5B112EA7" w14:textId="77777777" w:rsidR="00724527" w:rsidRPr="005A1CAE" w:rsidRDefault="00724527">
            <w:pPr>
              <w:spacing w:before="0" w:after="0"/>
              <w:jc w:val="center"/>
              <w:rPr>
                <w:noProof/>
                <w:color w:val="000000"/>
                <w:sz w:val="20"/>
                <w:szCs w:val="20"/>
              </w:rPr>
            </w:pPr>
            <w:r w:rsidRPr="005A1CAE">
              <w:rPr>
                <w:noProof/>
                <w:color w:val="000000"/>
                <w:sz w:val="20"/>
              </w:rPr>
              <w:t>wieloletnich ram finansowych</w:t>
            </w:r>
            <w:r w:rsidRPr="005A1CAE">
              <w:rPr>
                <w:noProof/>
              </w:rPr>
              <w:t xml:space="preserve"> </w:t>
            </w:r>
            <w:r w:rsidRPr="005A1CAE">
              <w:rPr>
                <w:noProof/>
              </w:rPr>
              <w:br/>
            </w:r>
            <w:r w:rsidRPr="005A1CAE">
              <w:rPr>
                <w:noProof/>
                <w:color w:val="000000"/>
                <w:sz w:val="20"/>
              </w:rPr>
              <w:t>(kwota referencyjna)</w:t>
            </w:r>
          </w:p>
        </w:tc>
        <w:tc>
          <w:tcPr>
            <w:tcW w:w="435" w:type="pct"/>
            <w:tcBorders>
              <w:top w:val="nil"/>
              <w:left w:val="nil"/>
              <w:bottom w:val="single" w:sz="8" w:space="0" w:color="auto"/>
              <w:right w:val="single" w:sz="8" w:space="0" w:color="auto"/>
            </w:tcBorders>
            <w:vAlign w:val="center"/>
            <w:hideMark/>
          </w:tcPr>
          <w:p w14:paraId="3D37A605" w14:textId="77777777" w:rsidR="00724527" w:rsidRPr="005A1CAE" w:rsidRDefault="00724527">
            <w:pPr>
              <w:spacing w:before="0" w:after="0"/>
              <w:rPr>
                <w:noProof/>
                <w:color w:val="000000"/>
                <w:sz w:val="18"/>
                <w:szCs w:val="18"/>
              </w:rPr>
            </w:pPr>
            <w:r w:rsidRPr="005A1CAE">
              <w:rPr>
                <w:noProof/>
                <w:color w:val="000000"/>
                <w:sz w:val="18"/>
              </w:rPr>
              <w:t>Środki na płatności</w:t>
            </w:r>
          </w:p>
        </w:tc>
        <w:tc>
          <w:tcPr>
            <w:tcW w:w="511" w:type="pct"/>
            <w:gridSpan w:val="2"/>
            <w:tcBorders>
              <w:top w:val="single" w:sz="8" w:space="0" w:color="auto"/>
              <w:left w:val="nil"/>
              <w:bottom w:val="single" w:sz="8" w:space="0" w:color="auto"/>
              <w:right w:val="single" w:sz="8" w:space="0" w:color="000000"/>
            </w:tcBorders>
            <w:vAlign w:val="center"/>
            <w:hideMark/>
          </w:tcPr>
          <w:p w14:paraId="1AE8D021" w14:textId="77777777" w:rsidR="00724527" w:rsidRPr="005A1CAE" w:rsidRDefault="00724527">
            <w:pPr>
              <w:spacing w:before="0" w:after="0"/>
              <w:jc w:val="center"/>
              <w:rPr>
                <w:noProof/>
                <w:color w:val="000000"/>
                <w:sz w:val="14"/>
                <w:szCs w:val="14"/>
              </w:rPr>
            </w:pPr>
            <w:r w:rsidRPr="005A1CAE">
              <w:rPr>
                <w:noProof/>
                <w:color w:val="000000"/>
                <w:sz w:val="14"/>
              </w:rPr>
              <w:t>=5+6</w:t>
            </w:r>
          </w:p>
        </w:tc>
        <w:tc>
          <w:tcPr>
            <w:tcW w:w="352" w:type="pct"/>
            <w:tcBorders>
              <w:top w:val="nil"/>
              <w:left w:val="nil"/>
              <w:bottom w:val="single" w:sz="8" w:space="0" w:color="auto"/>
              <w:right w:val="single" w:sz="8" w:space="0" w:color="auto"/>
            </w:tcBorders>
            <w:shd w:val="clear" w:color="000000" w:fill="D9D9D9"/>
            <w:vAlign w:val="center"/>
            <w:hideMark/>
          </w:tcPr>
          <w:p w14:paraId="7085524F" w14:textId="77777777" w:rsidR="00724527" w:rsidRPr="005A1CAE" w:rsidRDefault="00724527">
            <w:pPr>
              <w:spacing w:before="0" w:after="0"/>
              <w:jc w:val="right"/>
              <w:rPr>
                <w:b/>
                <w:bCs/>
                <w:noProof/>
                <w:color w:val="000000"/>
                <w:sz w:val="20"/>
                <w:szCs w:val="20"/>
              </w:rPr>
            </w:pPr>
            <w:r w:rsidRPr="005A1CAE">
              <w:rPr>
                <w:b/>
                <w:noProof/>
                <w:sz w:val="20"/>
              </w:rPr>
              <w:t>17,530</w:t>
            </w:r>
          </w:p>
        </w:tc>
        <w:tc>
          <w:tcPr>
            <w:tcW w:w="352" w:type="pct"/>
            <w:tcBorders>
              <w:top w:val="nil"/>
              <w:left w:val="nil"/>
              <w:bottom w:val="single" w:sz="8" w:space="0" w:color="auto"/>
              <w:right w:val="single" w:sz="8" w:space="0" w:color="auto"/>
            </w:tcBorders>
            <w:shd w:val="clear" w:color="000000" w:fill="D9D9D9"/>
            <w:vAlign w:val="center"/>
            <w:hideMark/>
          </w:tcPr>
          <w:p w14:paraId="45B3961D" w14:textId="77777777" w:rsidR="00724527" w:rsidRPr="005A1CAE" w:rsidRDefault="00724527">
            <w:pPr>
              <w:spacing w:before="0" w:after="0"/>
              <w:jc w:val="right"/>
              <w:rPr>
                <w:b/>
                <w:bCs/>
                <w:noProof/>
                <w:color w:val="000000"/>
                <w:sz w:val="20"/>
                <w:szCs w:val="20"/>
              </w:rPr>
            </w:pPr>
            <w:r w:rsidRPr="005A1CAE">
              <w:rPr>
                <w:b/>
                <w:noProof/>
                <w:sz w:val="20"/>
              </w:rPr>
              <w:t>21,157</w:t>
            </w:r>
          </w:p>
        </w:tc>
        <w:tc>
          <w:tcPr>
            <w:tcW w:w="463" w:type="pct"/>
            <w:tcBorders>
              <w:top w:val="nil"/>
              <w:left w:val="nil"/>
              <w:bottom w:val="single" w:sz="8" w:space="0" w:color="auto"/>
              <w:right w:val="single" w:sz="8" w:space="0" w:color="auto"/>
            </w:tcBorders>
            <w:shd w:val="clear" w:color="000000" w:fill="D9D9D9"/>
            <w:vAlign w:val="center"/>
            <w:hideMark/>
          </w:tcPr>
          <w:p w14:paraId="1592A24A" w14:textId="77777777" w:rsidR="00724527" w:rsidRPr="005A1CAE" w:rsidRDefault="00103539">
            <w:pPr>
              <w:spacing w:before="0" w:after="0"/>
              <w:jc w:val="right"/>
              <w:rPr>
                <w:b/>
                <w:bCs/>
                <w:noProof/>
                <w:color w:val="000000"/>
                <w:sz w:val="20"/>
                <w:szCs w:val="20"/>
              </w:rPr>
            </w:pPr>
            <w:r w:rsidRPr="005A1CAE">
              <w:rPr>
                <w:noProof/>
                <w:sz w:val="20"/>
              </w:rPr>
              <w:t>32,090</w:t>
            </w:r>
          </w:p>
        </w:tc>
        <w:tc>
          <w:tcPr>
            <w:tcW w:w="918" w:type="pct"/>
            <w:tcBorders>
              <w:top w:val="nil"/>
              <w:left w:val="nil"/>
              <w:bottom w:val="single" w:sz="8" w:space="0" w:color="auto"/>
              <w:right w:val="single" w:sz="8" w:space="0" w:color="auto"/>
            </w:tcBorders>
            <w:shd w:val="clear" w:color="000000" w:fill="D9D9D9"/>
            <w:vAlign w:val="center"/>
            <w:hideMark/>
          </w:tcPr>
          <w:p w14:paraId="3568BCDC" w14:textId="77777777" w:rsidR="00724527" w:rsidRPr="005A1CAE" w:rsidRDefault="00103539">
            <w:pPr>
              <w:spacing w:before="0" w:after="0"/>
              <w:jc w:val="right"/>
              <w:rPr>
                <w:b/>
                <w:bCs/>
                <w:noProof/>
                <w:color w:val="000000"/>
                <w:sz w:val="20"/>
                <w:szCs w:val="20"/>
              </w:rPr>
            </w:pPr>
            <w:r w:rsidRPr="005A1CAE">
              <w:rPr>
                <w:noProof/>
                <w:sz w:val="20"/>
              </w:rPr>
              <w:t>34,067</w:t>
            </w:r>
          </w:p>
        </w:tc>
        <w:tc>
          <w:tcPr>
            <w:tcW w:w="533" w:type="pct"/>
            <w:tcBorders>
              <w:top w:val="nil"/>
              <w:left w:val="nil"/>
              <w:bottom w:val="single" w:sz="8" w:space="0" w:color="auto"/>
              <w:right w:val="single" w:sz="8" w:space="0" w:color="auto"/>
            </w:tcBorders>
            <w:shd w:val="clear" w:color="000000" w:fill="D9D9D9"/>
            <w:vAlign w:val="center"/>
            <w:hideMark/>
          </w:tcPr>
          <w:p w14:paraId="0E2224CF" w14:textId="77777777" w:rsidR="00724527" w:rsidRPr="005A1CAE" w:rsidRDefault="00103539">
            <w:pPr>
              <w:spacing w:before="0" w:after="0"/>
              <w:jc w:val="right"/>
              <w:rPr>
                <w:b/>
                <w:bCs/>
                <w:noProof/>
                <w:color w:val="000000"/>
                <w:sz w:val="20"/>
                <w:szCs w:val="20"/>
              </w:rPr>
            </w:pPr>
            <w:r w:rsidRPr="005A1CAE">
              <w:rPr>
                <w:b/>
                <w:noProof/>
                <w:sz w:val="20"/>
              </w:rPr>
              <w:t>104,844</w:t>
            </w:r>
          </w:p>
        </w:tc>
      </w:tr>
    </w:tbl>
    <w:p w14:paraId="1FEEC3B4" w14:textId="77777777" w:rsidR="007A036C" w:rsidRPr="005A1CAE" w:rsidRDefault="007A036C" w:rsidP="009F612D">
      <w:pPr>
        <w:rPr>
          <w:noProof/>
        </w:rPr>
      </w:pPr>
    </w:p>
    <w:tbl>
      <w:tblPr>
        <w:tblW w:w="5000" w:type="pct"/>
        <w:tblLook w:val="04A0" w:firstRow="1" w:lastRow="0" w:firstColumn="1" w:lastColumn="0" w:noHBand="0" w:noVBand="1"/>
      </w:tblPr>
      <w:tblGrid>
        <w:gridCol w:w="3175"/>
        <w:gridCol w:w="1614"/>
        <w:gridCol w:w="766"/>
        <w:gridCol w:w="872"/>
        <w:gridCol w:w="872"/>
        <w:gridCol w:w="872"/>
        <w:gridCol w:w="1068"/>
        <w:gridCol w:w="1068"/>
        <w:gridCol w:w="1063"/>
        <w:gridCol w:w="2624"/>
      </w:tblGrid>
      <w:tr w:rsidR="00D357A3" w:rsidRPr="005A1CAE" w14:paraId="6B71DAA5" w14:textId="77777777" w:rsidTr="00D357A3">
        <w:trPr>
          <w:trHeight w:val="288"/>
        </w:trPr>
        <w:tc>
          <w:tcPr>
            <w:tcW w:w="1135" w:type="pct"/>
            <w:tcBorders>
              <w:top w:val="nil"/>
              <w:left w:val="nil"/>
              <w:bottom w:val="nil"/>
              <w:right w:val="nil"/>
            </w:tcBorders>
            <w:noWrap/>
            <w:vAlign w:val="bottom"/>
            <w:hideMark/>
          </w:tcPr>
          <w:p w14:paraId="25D69B78" w14:textId="77777777" w:rsidR="00D357A3" w:rsidRPr="005A1CAE" w:rsidRDefault="00D357A3" w:rsidP="00D357A3">
            <w:pPr>
              <w:spacing w:before="0" w:after="0"/>
              <w:jc w:val="left"/>
              <w:rPr>
                <w:noProof/>
                <w:sz w:val="20"/>
                <w:szCs w:val="24"/>
                <w:lang w:eastAsia="en-IE"/>
              </w:rPr>
            </w:pPr>
          </w:p>
        </w:tc>
        <w:tc>
          <w:tcPr>
            <w:tcW w:w="576" w:type="pct"/>
            <w:tcBorders>
              <w:top w:val="nil"/>
              <w:left w:val="nil"/>
              <w:bottom w:val="nil"/>
              <w:right w:val="nil"/>
            </w:tcBorders>
            <w:noWrap/>
            <w:vAlign w:val="bottom"/>
            <w:hideMark/>
          </w:tcPr>
          <w:p w14:paraId="35172495" w14:textId="77777777" w:rsidR="00D357A3" w:rsidRPr="005A1CAE" w:rsidRDefault="00D357A3" w:rsidP="00D357A3">
            <w:pPr>
              <w:spacing w:before="0" w:after="0"/>
              <w:jc w:val="left"/>
              <w:rPr>
                <w:noProof/>
                <w:sz w:val="20"/>
                <w:szCs w:val="20"/>
                <w:lang w:eastAsia="en-IE"/>
              </w:rPr>
            </w:pPr>
          </w:p>
        </w:tc>
        <w:tc>
          <w:tcPr>
            <w:tcW w:w="270" w:type="pct"/>
            <w:tcBorders>
              <w:top w:val="single" w:sz="8" w:space="0" w:color="auto"/>
              <w:left w:val="single" w:sz="4" w:space="0" w:color="auto"/>
              <w:bottom w:val="nil"/>
              <w:right w:val="single" w:sz="8" w:space="0" w:color="auto"/>
            </w:tcBorders>
            <w:vAlign w:val="center"/>
            <w:hideMark/>
          </w:tcPr>
          <w:p w14:paraId="53E347BD" w14:textId="77777777" w:rsidR="00D357A3" w:rsidRPr="005A1CAE" w:rsidRDefault="00D357A3" w:rsidP="00D357A3">
            <w:pPr>
              <w:spacing w:before="0" w:after="0"/>
              <w:jc w:val="center"/>
              <w:rPr>
                <w:noProof/>
                <w:color w:val="000000"/>
                <w:sz w:val="20"/>
                <w:szCs w:val="20"/>
              </w:rPr>
            </w:pPr>
            <w:r w:rsidRPr="005A1CAE">
              <w:rPr>
                <w:noProof/>
                <w:color w:val="000000"/>
                <w:sz w:val="20"/>
              </w:rPr>
              <w:t>Rok</w:t>
            </w:r>
          </w:p>
        </w:tc>
        <w:tc>
          <w:tcPr>
            <w:tcW w:w="312" w:type="pct"/>
            <w:tcBorders>
              <w:top w:val="single" w:sz="8" w:space="0" w:color="auto"/>
              <w:left w:val="nil"/>
              <w:bottom w:val="nil"/>
              <w:right w:val="single" w:sz="8" w:space="0" w:color="auto"/>
            </w:tcBorders>
            <w:vAlign w:val="center"/>
            <w:hideMark/>
          </w:tcPr>
          <w:p w14:paraId="5143EECF" w14:textId="77777777" w:rsidR="00D357A3" w:rsidRPr="005A1CAE" w:rsidRDefault="00D357A3" w:rsidP="00D357A3">
            <w:pPr>
              <w:spacing w:before="0" w:after="0"/>
              <w:jc w:val="center"/>
              <w:rPr>
                <w:noProof/>
                <w:color w:val="000000"/>
                <w:sz w:val="20"/>
                <w:szCs w:val="20"/>
              </w:rPr>
            </w:pPr>
            <w:r w:rsidRPr="005A1CAE">
              <w:rPr>
                <w:noProof/>
                <w:color w:val="000000"/>
                <w:sz w:val="20"/>
              </w:rPr>
              <w:t>Rok</w:t>
            </w:r>
          </w:p>
        </w:tc>
        <w:tc>
          <w:tcPr>
            <w:tcW w:w="312" w:type="pct"/>
            <w:tcBorders>
              <w:top w:val="single" w:sz="8" w:space="0" w:color="auto"/>
              <w:left w:val="nil"/>
              <w:bottom w:val="nil"/>
              <w:right w:val="single" w:sz="8" w:space="0" w:color="auto"/>
            </w:tcBorders>
            <w:vAlign w:val="center"/>
            <w:hideMark/>
          </w:tcPr>
          <w:p w14:paraId="362D4A2D" w14:textId="77777777" w:rsidR="00D357A3" w:rsidRPr="005A1CAE" w:rsidRDefault="00D357A3" w:rsidP="00D357A3">
            <w:pPr>
              <w:spacing w:before="0" w:after="0"/>
              <w:jc w:val="center"/>
              <w:rPr>
                <w:noProof/>
                <w:color w:val="000000"/>
                <w:sz w:val="20"/>
                <w:szCs w:val="20"/>
              </w:rPr>
            </w:pPr>
            <w:r w:rsidRPr="005A1CAE">
              <w:rPr>
                <w:noProof/>
                <w:color w:val="000000"/>
                <w:sz w:val="20"/>
              </w:rPr>
              <w:t>Rok</w:t>
            </w:r>
          </w:p>
        </w:tc>
        <w:tc>
          <w:tcPr>
            <w:tcW w:w="312" w:type="pct"/>
            <w:tcBorders>
              <w:top w:val="single" w:sz="8" w:space="0" w:color="auto"/>
              <w:left w:val="nil"/>
              <w:bottom w:val="nil"/>
              <w:right w:val="single" w:sz="4" w:space="0" w:color="auto"/>
            </w:tcBorders>
            <w:vAlign w:val="center"/>
            <w:hideMark/>
          </w:tcPr>
          <w:p w14:paraId="02836510" w14:textId="77777777" w:rsidR="00D357A3" w:rsidRPr="005A1CAE" w:rsidRDefault="00D357A3" w:rsidP="00D357A3">
            <w:pPr>
              <w:spacing w:before="0" w:after="0"/>
              <w:jc w:val="center"/>
              <w:rPr>
                <w:noProof/>
                <w:color w:val="000000"/>
                <w:sz w:val="20"/>
                <w:szCs w:val="20"/>
              </w:rPr>
            </w:pPr>
            <w:r w:rsidRPr="005A1CAE">
              <w:rPr>
                <w:noProof/>
                <w:color w:val="000000"/>
                <w:sz w:val="20"/>
              </w:rPr>
              <w:t>Rok</w:t>
            </w:r>
          </w:p>
        </w:tc>
        <w:tc>
          <w:tcPr>
            <w:tcW w:w="382" w:type="pct"/>
            <w:tcBorders>
              <w:top w:val="single" w:sz="4" w:space="0" w:color="auto"/>
              <w:left w:val="single" w:sz="4" w:space="0" w:color="auto"/>
              <w:right w:val="single" w:sz="4" w:space="0" w:color="auto"/>
            </w:tcBorders>
            <w:vAlign w:val="center"/>
          </w:tcPr>
          <w:p w14:paraId="05C8B995" w14:textId="77777777" w:rsidR="00D357A3" w:rsidRPr="005A1CAE" w:rsidRDefault="00D357A3" w:rsidP="00D357A3">
            <w:pPr>
              <w:spacing w:before="0" w:after="0"/>
              <w:jc w:val="center"/>
              <w:rPr>
                <w:b/>
                <w:bCs/>
                <w:noProof/>
                <w:color w:val="000000"/>
                <w:sz w:val="20"/>
                <w:szCs w:val="20"/>
              </w:rPr>
            </w:pPr>
            <w:r w:rsidRPr="005A1CAE">
              <w:rPr>
                <w:noProof/>
                <w:color w:val="000000"/>
                <w:sz w:val="20"/>
              </w:rPr>
              <w:t>Rok</w:t>
            </w:r>
          </w:p>
        </w:tc>
        <w:tc>
          <w:tcPr>
            <w:tcW w:w="382" w:type="pct"/>
            <w:tcBorders>
              <w:top w:val="single" w:sz="4" w:space="0" w:color="auto"/>
              <w:left w:val="single" w:sz="4" w:space="0" w:color="auto"/>
              <w:right w:val="single" w:sz="4" w:space="0" w:color="auto"/>
            </w:tcBorders>
          </w:tcPr>
          <w:p w14:paraId="00844767" w14:textId="77777777" w:rsidR="00D357A3" w:rsidRPr="005A1CAE" w:rsidRDefault="00D357A3" w:rsidP="00D357A3">
            <w:pPr>
              <w:spacing w:before="0" w:after="0"/>
              <w:jc w:val="center"/>
              <w:rPr>
                <w:b/>
                <w:bCs/>
                <w:noProof/>
                <w:color w:val="000000"/>
                <w:sz w:val="20"/>
                <w:szCs w:val="20"/>
              </w:rPr>
            </w:pPr>
            <w:r w:rsidRPr="005A1CAE">
              <w:rPr>
                <w:noProof/>
                <w:color w:val="000000"/>
                <w:sz w:val="20"/>
              </w:rPr>
              <w:t>Rok</w:t>
            </w:r>
          </w:p>
        </w:tc>
        <w:tc>
          <w:tcPr>
            <w:tcW w:w="380" w:type="pct"/>
            <w:tcBorders>
              <w:top w:val="single" w:sz="4" w:space="0" w:color="auto"/>
              <w:left w:val="single" w:sz="4" w:space="0" w:color="auto"/>
              <w:right w:val="single" w:sz="4" w:space="0" w:color="auto"/>
            </w:tcBorders>
          </w:tcPr>
          <w:p w14:paraId="6DB3DC59" w14:textId="77777777" w:rsidR="00D357A3" w:rsidRPr="005A1CAE" w:rsidRDefault="00D357A3" w:rsidP="00D357A3">
            <w:pPr>
              <w:spacing w:before="0" w:after="0"/>
              <w:jc w:val="center"/>
              <w:rPr>
                <w:b/>
                <w:bCs/>
                <w:noProof/>
                <w:color w:val="000000"/>
                <w:sz w:val="20"/>
                <w:szCs w:val="20"/>
              </w:rPr>
            </w:pPr>
            <w:r w:rsidRPr="005A1CAE">
              <w:rPr>
                <w:noProof/>
                <w:color w:val="000000"/>
                <w:sz w:val="20"/>
              </w:rPr>
              <w:t>Rok</w:t>
            </w:r>
          </w:p>
        </w:tc>
        <w:tc>
          <w:tcPr>
            <w:tcW w:w="938" w:type="pct"/>
            <w:vMerge w:val="restart"/>
            <w:tcBorders>
              <w:top w:val="single" w:sz="8" w:space="0" w:color="auto"/>
              <w:left w:val="single" w:sz="4" w:space="0" w:color="auto"/>
              <w:bottom w:val="single" w:sz="8" w:space="0" w:color="000000"/>
              <w:right w:val="single" w:sz="8" w:space="0" w:color="auto"/>
            </w:tcBorders>
            <w:vAlign w:val="center"/>
            <w:hideMark/>
          </w:tcPr>
          <w:p w14:paraId="28193E25" w14:textId="77777777" w:rsidR="00D357A3" w:rsidRPr="005A1CAE" w:rsidRDefault="00D357A3" w:rsidP="00D357A3">
            <w:pPr>
              <w:spacing w:before="0" w:after="0"/>
              <w:jc w:val="center"/>
              <w:rPr>
                <w:b/>
                <w:bCs/>
                <w:noProof/>
                <w:color w:val="000000"/>
                <w:sz w:val="20"/>
                <w:szCs w:val="20"/>
              </w:rPr>
            </w:pPr>
            <w:r w:rsidRPr="005A1CAE">
              <w:rPr>
                <w:b/>
                <w:noProof/>
                <w:color w:val="000000"/>
                <w:sz w:val="20"/>
              </w:rPr>
              <w:t>OGÓŁEM WRF 2028–2034</w:t>
            </w:r>
          </w:p>
        </w:tc>
      </w:tr>
      <w:tr w:rsidR="00D357A3" w:rsidRPr="005A1CAE" w14:paraId="1C9FBF54" w14:textId="77777777" w:rsidTr="00D357A3">
        <w:trPr>
          <w:trHeight w:val="300"/>
        </w:trPr>
        <w:tc>
          <w:tcPr>
            <w:tcW w:w="1135" w:type="pct"/>
            <w:tcBorders>
              <w:top w:val="nil"/>
              <w:left w:val="nil"/>
              <w:bottom w:val="nil"/>
              <w:right w:val="nil"/>
            </w:tcBorders>
            <w:noWrap/>
            <w:vAlign w:val="bottom"/>
            <w:hideMark/>
          </w:tcPr>
          <w:p w14:paraId="09DDD78B" w14:textId="77777777" w:rsidR="00D357A3" w:rsidRPr="005A1CAE" w:rsidRDefault="00D357A3" w:rsidP="00D357A3">
            <w:pPr>
              <w:spacing w:before="0" w:after="0"/>
              <w:jc w:val="center"/>
              <w:rPr>
                <w:b/>
                <w:bCs/>
                <w:noProof/>
                <w:color w:val="000000"/>
                <w:sz w:val="20"/>
                <w:szCs w:val="20"/>
                <w:lang w:eastAsia="en-IE"/>
              </w:rPr>
            </w:pPr>
          </w:p>
        </w:tc>
        <w:tc>
          <w:tcPr>
            <w:tcW w:w="576" w:type="pct"/>
            <w:tcBorders>
              <w:top w:val="nil"/>
              <w:left w:val="nil"/>
              <w:bottom w:val="nil"/>
              <w:right w:val="nil"/>
            </w:tcBorders>
            <w:noWrap/>
            <w:vAlign w:val="bottom"/>
            <w:hideMark/>
          </w:tcPr>
          <w:p w14:paraId="1EA29CAE" w14:textId="77777777" w:rsidR="00D357A3" w:rsidRPr="005A1CAE" w:rsidRDefault="00D357A3" w:rsidP="00D357A3">
            <w:pPr>
              <w:spacing w:before="0" w:after="0"/>
              <w:jc w:val="left"/>
              <w:rPr>
                <w:noProof/>
                <w:sz w:val="20"/>
                <w:szCs w:val="20"/>
                <w:lang w:eastAsia="en-IE"/>
              </w:rPr>
            </w:pPr>
          </w:p>
        </w:tc>
        <w:tc>
          <w:tcPr>
            <w:tcW w:w="270" w:type="pct"/>
            <w:tcBorders>
              <w:top w:val="nil"/>
              <w:left w:val="single" w:sz="4" w:space="0" w:color="auto"/>
              <w:bottom w:val="single" w:sz="8" w:space="0" w:color="auto"/>
              <w:right w:val="single" w:sz="8" w:space="0" w:color="auto"/>
            </w:tcBorders>
            <w:vAlign w:val="center"/>
            <w:hideMark/>
          </w:tcPr>
          <w:p w14:paraId="5F6186FE" w14:textId="77777777" w:rsidR="00D357A3" w:rsidRPr="005A1CAE" w:rsidRDefault="00D357A3" w:rsidP="00D357A3">
            <w:pPr>
              <w:spacing w:before="0" w:after="0"/>
              <w:jc w:val="center"/>
              <w:rPr>
                <w:b/>
                <w:bCs/>
                <w:noProof/>
                <w:color w:val="000000"/>
                <w:sz w:val="20"/>
                <w:szCs w:val="20"/>
              </w:rPr>
            </w:pPr>
            <w:r w:rsidRPr="005A1CAE">
              <w:rPr>
                <w:b/>
                <w:noProof/>
                <w:color w:val="000000"/>
                <w:sz w:val="20"/>
              </w:rPr>
              <w:t>2028</w:t>
            </w:r>
          </w:p>
        </w:tc>
        <w:tc>
          <w:tcPr>
            <w:tcW w:w="312" w:type="pct"/>
            <w:tcBorders>
              <w:top w:val="nil"/>
              <w:left w:val="nil"/>
              <w:bottom w:val="single" w:sz="8" w:space="0" w:color="auto"/>
              <w:right w:val="single" w:sz="8" w:space="0" w:color="auto"/>
            </w:tcBorders>
            <w:vAlign w:val="center"/>
            <w:hideMark/>
          </w:tcPr>
          <w:p w14:paraId="3B849890" w14:textId="77777777" w:rsidR="00D357A3" w:rsidRPr="005A1CAE" w:rsidRDefault="00D357A3" w:rsidP="00D357A3">
            <w:pPr>
              <w:spacing w:before="0" w:after="0"/>
              <w:jc w:val="center"/>
              <w:rPr>
                <w:b/>
                <w:bCs/>
                <w:noProof/>
                <w:color w:val="000000"/>
                <w:sz w:val="20"/>
                <w:szCs w:val="20"/>
              </w:rPr>
            </w:pPr>
            <w:r w:rsidRPr="005A1CAE">
              <w:rPr>
                <w:b/>
                <w:noProof/>
                <w:color w:val="000000"/>
                <w:sz w:val="20"/>
              </w:rPr>
              <w:t>2029</w:t>
            </w:r>
          </w:p>
        </w:tc>
        <w:tc>
          <w:tcPr>
            <w:tcW w:w="312" w:type="pct"/>
            <w:tcBorders>
              <w:top w:val="nil"/>
              <w:left w:val="nil"/>
              <w:bottom w:val="single" w:sz="8" w:space="0" w:color="auto"/>
              <w:right w:val="single" w:sz="8" w:space="0" w:color="auto"/>
            </w:tcBorders>
            <w:vAlign w:val="center"/>
            <w:hideMark/>
          </w:tcPr>
          <w:p w14:paraId="68DDA16E" w14:textId="77777777" w:rsidR="00D357A3" w:rsidRPr="005A1CAE" w:rsidRDefault="00D357A3" w:rsidP="00D357A3">
            <w:pPr>
              <w:spacing w:before="0" w:after="0"/>
              <w:jc w:val="center"/>
              <w:rPr>
                <w:b/>
                <w:bCs/>
                <w:noProof/>
                <w:color w:val="000000"/>
                <w:sz w:val="20"/>
                <w:szCs w:val="20"/>
              </w:rPr>
            </w:pPr>
            <w:r w:rsidRPr="005A1CAE">
              <w:rPr>
                <w:b/>
                <w:noProof/>
                <w:color w:val="000000"/>
                <w:sz w:val="20"/>
              </w:rPr>
              <w:t>2030</w:t>
            </w:r>
          </w:p>
        </w:tc>
        <w:tc>
          <w:tcPr>
            <w:tcW w:w="312" w:type="pct"/>
            <w:tcBorders>
              <w:top w:val="nil"/>
              <w:left w:val="nil"/>
              <w:bottom w:val="single" w:sz="8" w:space="0" w:color="auto"/>
              <w:right w:val="single" w:sz="4" w:space="0" w:color="auto"/>
            </w:tcBorders>
            <w:vAlign w:val="center"/>
            <w:hideMark/>
          </w:tcPr>
          <w:p w14:paraId="1986DFFD" w14:textId="77777777" w:rsidR="00D357A3" w:rsidRPr="005A1CAE" w:rsidRDefault="00D357A3" w:rsidP="00D357A3">
            <w:pPr>
              <w:spacing w:before="0" w:after="0"/>
              <w:jc w:val="center"/>
              <w:rPr>
                <w:b/>
                <w:bCs/>
                <w:noProof/>
                <w:color w:val="000000"/>
                <w:sz w:val="20"/>
                <w:szCs w:val="20"/>
              </w:rPr>
            </w:pPr>
            <w:r w:rsidRPr="005A1CAE">
              <w:rPr>
                <w:b/>
                <w:noProof/>
                <w:color w:val="000000"/>
                <w:sz w:val="20"/>
              </w:rPr>
              <w:t>2031</w:t>
            </w:r>
          </w:p>
        </w:tc>
        <w:tc>
          <w:tcPr>
            <w:tcW w:w="382" w:type="pct"/>
            <w:tcBorders>
              <w:left w:val="single" w:sz="4" w:space="0" w:color="auto"/>
              <w:bottom w:val="single" w:sz="4" w:space="0" w:color="auto"/>
              <w:right w:val="single" w:sz="4" w:space="0" w:color="auto"/>
            </w:tcBorders>
            <w:vAlign w:val="center"/>
          </w:tcPr>
          <w:p w14:paraId="664BBD62" w14:textId="77777777" w:rsidR="00D357A3" w:rsidRPr="005A1CAE" w:rsidRDefault="00D357A3" w:rsidP="007A036C">
            <w:pPr>
              <w:spacing w:before="0" w:after="0"/>
              <w:jc w:val="center"/>
              <w:rPr>
                <w:b/>
                <w:bCs/>
                <w:noProof/>
                <w:color w:val="000000"/>
                <w:sz w:val="20"/>
                <w:szCs w:val="20"/>
              </w:rPr>
            </w:pPr>
            <w:r w:rsidRPr="005A1CAE">
              <w:rPr>
                <w:b/>
                <w:noProof/>
                <w:color w:val="000000"/>
                <w:sz w:val="20"/>
              </w:rPr>
              <w:t>2032</w:t>
            </w:r>
          </w:p>
        </w:tc>
        <w:tc>
          <w:tcPr>
            <w:tcW w:w="382" w:type="pct"/>
            <w:tcBorders>
              <w:left w:val="single" w:sz="4" w:space="0" w:color="auto"/>
              <w:bottom w:val="single" w:sz="4" w:space="0" w:color="auto"/>
              <w:right w:val="single" w:sz="4" w:space="0" w:color="auto"/>
            </w:tcBorders>
            <w:vAlign w:val="center"/>
          </w:tcPr>
          <w:p w14:paraId="02AD3597" w14:textId="77777777" w:rsidR="00D357A3" w:rsidRPr="005A1CAE" w:rsidRDefault="00D357A3" w:rsidP="007A036C">
            <w:pPr>
              <w:spacing w:before="0" w:after="0"/>
              <w:jc w:val="center"/>
              <w:rPr>
                <w:b/>
                <w:bCs/>
                <w:noProof/>
                <w:color w:val="000000"/>
                <w:sz w:val="20"/>
                <w:szCs w:val="20"/>
              </w:rPr>
            </w:pPr>
            <w:r w:rsidRPr="005A1CAE">
              <w:rPr>
                <w:b/>
                <w:noProof/>
                <w:color w:val="000000"/>
                <w:sz w:val="20"/>
              </w:rPr>
              <w:t>2033</w:t>
            </w:r>
          </w:p>
        </w:tc>
        <w:tc>
          <w:tcPr>
            <w:tcW w:w="380" w:type="pct"/>
            <w:tcBorders>
              <w:left w:val="single" w:sz="4" w:space="0" w:color="auto"/>
              <w:bottom w:val="single" w:sz="4" w:space="0" w:color="auto"/>
              <w:right w:val="single" w:sz="4" w:space="0" w:color="auto"/>
            </w:tcBorders>
            <w:vAlign w:val="center"/>
          </w:tcPr>
          <w:p w14:paraId="49EDA54A" w14:textId="77777777" w:rsidR="00D357A3" w:rsidRPr="005A1CAE" w:rsidRDefault="00D357A3" w:rsidP="007A036C">
            <w:pPr>
              <w:spacing w:before="0" w:after="0"/>
              <w:jc w:val="center"/>
              <w:rPr>
                <w:b/>
                <w:bCs/>
                <w:noProof/>
                <w:color w:val="000000"/>
                <w:sz w:val="20"/>
                <w:szCs w:val="20"/>
              </w:rPr>
            </w:pPr>
            <w:r w:rsidRPr="005A1CAE">
              <w:rPr>
                <w:b/>
                <w:noProof/>
                <w:color w:val="000000"/>
                <w:sz w:val="20"/>
              </w:rPr>
              <w:t>2034</w:t>
            </w:r>
          </w:p>
        </w:tc>
        <w:tc>
          <w:tcPr>
            <w:tcW w:w="938" w:type="pct"/>
            <w:vMerge/>
            <w:tcBorders>
              <w:top w:val="single" w:sz="8" w:space="0" w:color="auto"/>
              <w:left w:val="single" w:sz="4" w:space="0" w:color="auto"/>
              <w:bottom w:val="single" w:sz="8" w:space="0" w:color="000000"/>
              <w:right w:val="single" w:sz="8" w:space="0" w:color="auto"/>
            </w:tcBorders>
            <w:vAlign w:val="center"/>
            <w:hideMark/>
          </w:tcPr>
          <w:p w14:paraId="3CEAF402" w14:textId="77777777" w:rsidR="00D357A3" w:rsidRPr="005A1CAE" w:rsidRDefault="00D357A3" w:rsidP="00D357A3">
            <w:pPr>
              <w:spacing w:before="0" w:after="0"/>
              <w:jc w:val="left"/>
              <w:rPr>
                <w:b/>
                <w:bCs/>
                <w:noProof/>
                <w:color w:val="000000"/>
                <w:sz w:val="20"/>
                <w:szCs w:val="20"/>
                <w:lang w:eastAsia="en-IE"/>
              </w:rPr>
            </w:pPr>
          </w:p>
        </w:tc>
      </w:tr>
      <w:tr w:rsidR="00D357A3" w:rsidRPr="005A1CAE" w14:paraId="3D9007F1" w14:textId="77777777" w:rsidTr="00D357A3">
        <w:trPr>
          <w:trHeight w:val="300"/>
        </w:trPr>
        <w:tc>
          <w:tcPr>
            <w:tcW w:w="1135" w:type="pct"/>
            <w:vMerge w:val="restart"/>
            <w:tcBorders>
              <w:top w:val="single" w:sz="8" w:space="0" w:color="auto"/>
              <w:left w:val="single" w:sz="8" w:space="0" w:color="auto"/>
              <w:bottom w:val="single" w:sz="8" w:space="0" w:color="auto"/>
              <w:right w:val="single" w:sz="8" w:space="0" w:color="auto"/>
            </w:tcBorders>
            <w:vAlign w:val="center"/>
            <w:hideMark/>
          </w:tcPr>
          <w:p w14:paraId="377BC1BF" w14:textId="77777777" w:rsidR="00D357A3" w:rsidRPr="005A1CAE" w:rsidRDefault="00D357A3" w:rsidP="00D357A3">
            <w:pPr>
              <w:spacing w:before="0" w:after="0"/>
              <w:rPr>
                <w:noProof/>
                <w:color w:val="000000"/>
                <w:sz w:val="21"/>
                <w:szCs w:val="21"/>
              </w:rPr>
            </w:pPr>
            <w:r w:rsidRPr="005A1CAE">
              <w:rPr>
                <w:rFonts w:ascii="Calibri" w:hAnsi="Calibri"/>
                <w:noProof/>
                <w:color w:val="000000"/>
                <w:sz w:val="21"/>
              </w:rPr>
              <w:lastRenderedPageBreak/>
              <w:t xml:space="preserve">• </w:t>
            </w:r>
            <w:r w:rsidRPr="005A1CAE">
              <w:rPr>
                <w:noProof/>
                <w:color w:val="000000"/>
                <w:sz w:val="21"/>
              </w:rPr>
              <w:t>OGÓŁEM środki operacyjne (wszystkie działy operacyjne)</w:t>
            </w:r>
          </w:p>
        </w:tc>
        <w:tc>
          <w:tcPr>
            <w:tcW w:w="576" w:type="pct"/>
            <w:tcBorders>
              <w:top w:val="single" w:sz="8" w:space="0" w:color="auto"/>
              <w:left w:val="nil"/>
              <w:bottom w:val="single" w:sz="8" w:space="0" w:color="auto"/>
              <w:right w:val="single" w:sz="8" w:space="0" w:color="auto"/>
            </w:tcBorders>
            <w:vAlign w:val="center"/>
            <w:hideMark/>
          </w:tcPr>
          <w:p w14:paraId="21C49A20" w14:textId="77777777" w:rsidR="00D357A3" w:rsidRPr="005A1CAE" w:rsidRDefault="00D357A3" w:rsidP="00D357A3">
            <w:pPr>
              <w:spacing w:before="0" w:after="0"/>
              <w:rPr>
                <w:noProof/>
                <w:color w:val="000000"/>
                <w:sz w:val="18"/>
                <w:szCs w:val="18"/>
              </w:rPr>
            </w:pPr>
            <w:r w:rsidRPr="005A1CAE">
              <w:rPr>
                <w:noProof/>
                <w:color w:val="000000"/>
                <w:sz w:val="18"/>
              </w:rPr>
              <w:t>Środki na zobowiązania</w:t>
            </w:r>
          </w:p>
        </w:tc>
        <w:tc>
          <w:tcPr>
            <w:tcW w:w="270" w:type="pct"/>
            <w:tcBorders>
              <w:top w:val="nil"/>
              <w:left w:val="nil"/>
              <w:bottom w:val="single" w:sz="8" w:space="0" w:color="auto"/>
              <w:right w:val="single" w:sz="8" w:space="0" w:color="auto"/>
            </w:tcBorders>
            <w:shd w:val="clear" w:color="000000" w:fill="D9D9D9"/>
            <w:vAlign w:val="center"/>
            <w:hideMark/>
          </w:tcPr>
          <w:p w14:paraId="0E597A05" w14:textId="77777777" w:rsidR="00D357A3" w:rsidRPr="005A1CAE" w:rsidRDefault="00D357A3" w:rsidP="00D357A3">
            <w:pPr>
              <w:spacing w:before="0" w:after="0"/>
              <w:jc w:val="right"/>
              <w:rPr>
                <w:noProof/>
                <w:color w:val="000000"/>
                <w:sz w:val="20"/>
                <w:szCs w:val="20"/>
              </w:rPr>
            </w:pPr>
            <w:r w:rsidRPr="005A1CAE">
              <w:rPr>
                <w:noProof/>
                <w:sz w:val="20"/>
              </w:rPr>
              <w:t>29,100</w:t>
            </w:r>
          </w:p>
        </w:tc>
        <w:tc>
          <w:tcPr>
            <w:tcW w:w="312" w:type="pct"/>
            <w:tcBorders>
              <w:top w:val="nil"/>
              <w:left w:val="nil"/>
              <w:bottom w:val="single" w:sz="8" w:space="0" w:color="auto"/>
              <w:right w:val="single" w:sz="8" w:space="0" w:color="auto"/>
            </w:tcBorders>
            <w:shd w:val="clear" w:color="000000" w:fill="D9D9D9"/>
            <w:vAlign w:val="center"/>
            <w:hideMark/>
          </w:tcPr>
          <w:p w14:paraId="19AAD4BB" w14:textId="77777777" w:rsidR="00D357A3" w:rsidRPr="005A1CAE" w:rsidRDefault="00D357A3" w:rsidP="00D357A3">
            <w:pPr>
              <w:spacing w:before="0" w:after="0"/>
              <w:jc w:val="right"/>
              <w:rPr>
                <w:noProof/>
                <w:color w:val="000000"/>
                <w:sz w:val="20"/>
                <w:szCs w:val="20"/>
              </w:rPr>
            </w:pPr>
            <w:r w:rsidRPr="005A1CAE">
              <w:rPr>
                <w:noProof/>
                <w:sz w:val="20"/>
              </w:rPr>
              <w:t>24,823</w:t>
            </w:r>
          </w:p>
        </w:tc>
        <w:tc>
          <w:tcPr>
            <w:tcW w:w="312" w:type="pct"/>
            <w:tcBorders>
              <w:top w:val="nil"/>
              <w:left w:val="nil"/>
              <w:bottom w:val="single" w:sz="8" w:space="0" w:color="auto"/>
              <w:right w:val="single" w:sz="8" w:space="0" w:color="auto"/>
            </w:tcBorders>
            <w:shd w:val="clear" w:color="000000" w:fill="D9D9D9"/>
            <w:vAlign w:val="center"/>
            <w:hideMark/>
          </w:tcPr>
          <w:p w14:paraId="49AFC547" w14:textId="77777777" w:rsidR="00D357A3" w:rsidRPr="005A1CAE" w:rsidRDefault="00D357A3" w:rsidP="00D357A3">
            <w:pPr>
              <w:spacing w:before="0" w:after="0"/>
              <w:jc w:val="right"/>
              <w:rPr>
                <w:noProof/>
                <w:color w:val="000000"/>
                <w:sz w:val="20"/>
                <w:szCs w:val="20"/>
              </w:rPr>
            </w:pPr>
            <w:r w:rsidRPr="005A1CAE">
              <w:rPr>
                <w:noProof/>
                <w:sz w:val="20"/>
              </w:rPr>
              <w:t>25,568</w:t>
            </w:r>
          </w:p>
        </w:tc>
        <w:tc>
          <w:tcPr>
            <w:tcW w:w="312" w:type="pct"/>
            <w:tcBorders>
              <w:top w:val="nil"/>
              <w:left w:val="nil"/>
              <w:bottom w:val="single" w:sz="8" w:space="0" w:color="auto"/>
              <w:right w:val="single" w:sz="4" w:space="0" w:color="auto"/>
            </w:tcBorders>
            <w:shd w:val="clear" w:color="000000" w:fill="D9D9D9"/>
            <w:vAlign w:val="center"/>
            <w:hideMark/>
          </w:tcPr>
          <w:p w14:paraId="7730093C" w14:textId="77777777" w:rsidR="00D357A3" w:rsidRPr="005A1CAE" w:rsidRDefault="00D357A3" w:rsidP="00D357A3">
            <w:pPr>
              <w:spacing w:before="0" w:after="0"/>
              <w:jc w:val="right"/>
              <w:rPr>
                <w:noProof/>
                <w:color w:val="000000"/>
                <w:sz w:val="20"/>
                <w:szCs w:val="20"/>
              </w:rPr>
            </w:pPr>
            <w:r w:rsidRPr="005A1CAE">
              <w:rPr>
                <w:noProof/>
                <w:sz w:val="20"/>
              </w:rPr>
              <w:t>26,335</w:t>
            </w:r>
          </w:p>
        </w:tc>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08DF37D7" w14:textId="77777777" w:rsidR="00D357A3" w:rsidRPr="005A1CAE" w:rsidRDefault="00D357A3" w:rsidP="00D357A3">
            <w:pPr>
              <w:spacing w:before="0" w:after="0"/>
              <w:jc w:val="right"/>
              <w:rPr>
                <w:b/>
                <w:noProof/>
                <w:sz w:val="20"/>
                <w:szCs w:val="20"/>
              </w:rPr>
            </w:pPr>
            <w:r w:rsidRPr="005A1CAE">
              <w:rPr>
                <w:noProof/>
                <w:sz w:val="20"/>
              </w:rPr>
              <w:t>27,125</w:t>
            </w:r>
          </w:p>
        </w:tc>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766DDC17" w14:textId="77777777" w:rsidR="00D357A3" w:rsidRPr="005A1CAE" w:rsidRDefault="00D357A3" w:rsidP="00D357A3">
            <w:pPr>
              <w:spacing w:before="0" w:after="0"/>
              <w:jc w:val="right"/>
              <w:rPr>
                <w:b/>
                <w:noProof/>
                <w:sz w:val="20"/>
                <w:szCs w:val="20"/>
              </w:rPr>
            </w:pPr>
            <w:r w:rsidRPr="005A1CAE">
              <w:rPr>
                <w:noProof/>
                <w:sz w:val="20"/>
              </w:rPr>
              <w:t>27,939</w:t>
            </w:r>
          </w:p>
        </w:tc>
        <w:tc>
          <w:tcPr>
            <w:tcW w:w="380" w:type="pct"/>
            <w:tcBorders>
              <w:top w:val="single" w:sz="4" w:space="0" w:color="auto"/>
              <w:left w:val="single" w:sz="4" w:space="0" w:color="auto"/>
              <w:bottom w:val="single" w:sz="4" w:space="0" w:color="auto"/>
              <w:right w:val="single" w:sz="4" w:space="0" w:color="auto"/>
            </w:tcBorders>
            <w:shd w:val="clear" w:color="000000" w:fill="D9D9D9"/>
            <w:vAlign w:val="center"/>
          </w:tcPr>
          <w:p w14:paraId="6FA145E7" w14:textId="77777777" w:rsidR="00D357A3" w:rsidRPr="005A1CAE" w:rsidRDefault="00D357A3" w:rsidP="00D357A3">
            <w:pPr>
              <w:spacing w:before="0" w:after="0"/>
              <w:jc w:val="right"/>
              <w:rPr>
                <w:b/>
                <w:noProof/>
                <w:sz w:val="20"/>
                <w:szCs w:val="20"/>
              </w:rPr>
            </w:pPr>
            <w:r w:rsidRPr="005A1CAE">
              <w:rPr>
                <w:noProof/>
                <w:sz w:val="20"/>
              </w:rPr>
              <w:t>28,777</w:t>
            </w:r>
          </w:p>
        </w:tc>
        <w:tc>
          <w:tcPr>
            <w:tcW w:w="938" w:type="pct"/>
            <w:tcBorders>
              <w:top w:val="nil"/>
              <w:left w:val="single" w:sz="4" w:space="0" w:color="auto"/>
              <w:bottom w:val="single" w:sz="8" w:space="0" w:color="auto"/>
              <w:right w:val="single" w:sz="8" w:space="0" w:color="auto"/>
            </w:tcBorders>
            <w:shd w:val="clear" w:color="000000" w:fill="D9D9D9"/>
            <w:vAlign w:val="center"/>
            <w:hideMark/>
          </w:tcPr>
          <w:p w14:paraId="1903B052" w14:textId="77777777" w:rsidR="00D357A3" w:rsidRPr="005A1CAE" w:rsidRDefault="00D357A3" w:rsidP="00724527">
            <w:pPr>
              <w:spacing w:before="0" w:after="0"/>
              <w:jc w:val="center"/>
              <w:rPr>
                <w:b/>
                <w:bCs/>
                <w:noProof/>
                <w:color w:val="000000"/>
                <w:sz w:val="20"/>
                <w:szCs w:val="20"/>
              </w:rPr>
            </w:pPr>
            <w:r w:rsidRPr="005A1CAE">
              <w:rPr>
                <w:b/>
                <w:noProof/>
                <w:sz w:val="20"/>
              </w:rPr>
              <w:t>189,667</w:t>
            </w:r>
          </w:p>
        </w:tc>
      </w:tr>
      <w:tr w:rsidR="00D357A3" w:rsidRPr="005A1CAE" w14:paraId="4A75FF20" w14:textId="77777777" w:rsidTr="00D357A3">
        <w:trPr>
          <w:trHeight w:val="300"/>
        </w:trPr>
        <w:tc>
          <w:tcPr>
            <w:tcW w:w="1135" w:type="pct"/>
            <w:vMerge/>
            <w:tcBorders>
              <w:top w:val="single" w:sz="8" w:space="0" w:color="auto"/>
              <w:left w:val="single" w:sz="8" w:space="0" w:color="auto"/>
              <w:bottom w:val="single" w:sz="8" w:space="0" w:color="auto"/>
              <w:right w:val="single" w:sz="8" w:space="0" w:color="auto"/>
            </w:tcBorders>
            <w:vAlign w:val="center"/>
            <w:hideMark/>
          </w:tcPr>
          <w:p w14:paraId="598D6D55" w14:textId="77777777" w:rsidR="00D357A3" w:rsidRPr="005A1CAE" w:rsidRDefault="00D357A3" w:rsidP="00D357A3">
            <w:pPr>
              <w:spacing w:before="0" w:after="0"/>
              <w:jc w:val="left"/>
              <w:rPr>
                <w:noProof/>
                <w:color w:val="000000"/>
                <w:sz w:val="21"/>
                <w:szCs w:val="21"/>
                <w:lang w:eastAsia="en-IE"/>
              </w:rPr>
            </w:pPr>
          </w:p>
        </w:tc>
        <w:tc>
          <w:tcPr>
            <w:tcW w:w="576" w:type="pct"/>
            <w:tcBorders>
              <w:top w:val="nil"/>
              <w:left w:val="nil"/>
              <w:bottom w:val="single" w:sz="8" w:space="0" w:color="auto"/>
              <w:right w:val="single" w:sz="8" w:space="0" w:color="auto"/>
            </w:tcBorders>
            <w:vAlign w:val="center"/>
            <w:hideMark/>
          </w:tcPr>
          <w:p w14:paraId="21A84C58" w14:textId="77777777" w:rsidR="00D357A3" w:rsidRPr="005A1CAE" w:rsidRDefault="00D357A3" w:rsidP="00D357A3">
            <w:pPr>
              <w:spacing w:before="0" w:after="0"/>
              <w:rPr>
                <w:noProof/>
                <w:color w:val="000000"/>
                <w:sz w:val="18"/>
                <w:szCs w:val="18"/>
              </w:rPr>
            </w:pPr>
            <w:r w:rsidRPr="005A1CAE">
              <w:rPr>
                <w:noProof/>
                <w:color w:val="000000"/>
                <w:sz w:val="18"/>
              </w:rPr>
              <w:t>Środki na płatności</w:t>
            </w:r>
          </w:p>
        </w:tc>
        <w:tc>
          <w:tcPr>
            <w:tcW w:w="270" w:type="pct"/>
            <w:tcBorders>
              <w:top w:val="nil"/>
              <w:left w:val="nil"/>
              <w:bottom w:val="single" w:sz="8" w:space="0" w:color="auto"/>
              <w:right w:val="single" w:sz="8" w:space="0" w:color="auto"/>
            </w:tcBorders>
            <w:shd w:val="clear" w:color="000000" w:fill="D9D9D9"/>
            <w:vAlign w:val="center"/>
            <w:hideMark/>
          </w:tcPr>
          <w:p w14:paraId="5085861D" w14:textId="77777777" w:rsidR="00D357A3" w:rsidRPr="005A1CAE" w:rsidRDefault="00D357A3" w:rsidP="00D357A3">
            <w:pPr>
              <w:spacing w:before="0" w:after="0"/>
              <w:jc w:val="right"/>
              <w:rPr>
                <w:noProof/>
                <w:color w:val="000000"/>
                <w:sz w:val="20"/>
                <w:szCs w:val="20"/>
              </w:rPr>
            </w:pPr>
            <w:r w:rsidRPr="005A1CAE">
              <w:rPr>
                <w:noProof/>
                <w:sz w:val="20"/>
              </w:rPr>
              <w:t xml:space="preserve"> 18,042</w:t>
            </w:r>
          </w:p>
        </w:tc>
        <w:tc>
          <w:tcPr>
            <w:tcW w:w="312" w:type="pct"/>
            <w:tcBorders>
              <w:top w:val="nil"/>
              <w:left w:val="nil"/>
              <w:bottom w:val="single" w:sz="8" w:space="0" w:color="auto"/>
              <w:right w:val="single" w:sz="8" w:space="0" w:color="auto"/>
            </w:tcBorders>
            <w:shd w:val="clear" w:color="000000" w:fill="D9D9D9"/>
            <w:vAlign w:val="center"/>
            <w:hideMark/>
          </w:tcPr>
          <w:p w14:paraId="2D76DE94" w14:textId="77777777" w:rsidR="00D357A3" w:rsidRPr="005A1CAE" w:rsidRDefault="00D357A3" w:rsidP="00D357A3">
            <w:pPr>
              <w:spacing w:before="0" w:after="0"/>
              <w:jc w:val="right"/>
              <w:rPr>
                <w:noProof/>
                <w:color w:val="000000"/>
                <w:sz w:val="20"/>
                <w:szCs w:val="20"/>
              </w:rPr>
            </w:pPr>
            <w:r w:rsidRPr="005A1CAE">
              <w:rPr>
                <w:noProof/>
                <w:sz w:val="20"/>
              </w:rPr>
              <w:t>15,142</w:t>
            </w:r>
          </w:p>
        </w:tc>
        <w:tc>
          <w:tcPr>
            <w:tcW w:w="312" w:type="pct"/>
            <w:tcBorders>
              <w:top w:val="nil"/>
              <w:left w:val="nil"/>
              <w:bottom w:val="single" w:sz="8" w:space="0" w:color="auto"/>
              <w:right w:val="single" w:sz="8" w:space="0" w:color="auto"/>
            </w:tcBorders>
            <w:shd w:val="clear" w:color="000000" w:fill="D9D9D9"/>
            <w:vAlign w:val="center"/>
            <w:hideMark/>
          </w:tcPr>
          <w:p w14:paraId="444597A7" w14:textId="77777777" w:rsidR="00D357A3" w:rsidRPr="005A1CAE" w:rsidRDefault="00D357A3" w:rsidP="00D357A3">
            <w:pPr>
              <w:spacing w:before="0" w:after="0"/>
              <w:jc w:val="right"/>
              <w:rPr>
                <w:noProof/>
                <w:color w:val="000000"/>
                <w:sz w:val="20"/>
                <w:szCs w:val="20"/>
              </w:rPr>
            </w:pPr>
            <w:r w:rsidRPr="005A1CAE">
              <w:rPr>
                <w:noProof/>
                <w:sz w:val="20"/>
              </w:rPr>
              <w:t>15,852</w:t>
            </w:r>
          </w:p>
        </w:tc>
        <w:tc>
          <w:tcPr>
            <w:tcW w:w="312" w:type="pct"/>
            <w:tcBorders>
              <w:top w:val="nil"/>
              <w:left w:val="nil"/>
              <w:bottom w:val="single" w:sz="8" w:space="0" w:color="auto"/>
              <w:right w:val="single" w:sz="4" w:space="0" w:color="auto"/>
            </w:tcBorders>
            <w:shd w:val="clear" w:color="000000" w:fill="D9D9D9"/>
            <w:vAlign w:val="center"/>
            <w:hideMark/>
          </w:tcPr>
          <w:p w14:paraId="3CD7AAE0" w14:textId="77777777" w:rsidR="00D357A3" w:rsidRPr="005A1CAE" w:rsidRDefault="00D357A3" w:rsidP="00D357A3">
            <w:pPr>
              <w:spacing w:before="0" w:after="0"/>
              <w:jc w:val="right"/>
              <w:rPr>
                <w:noProof/>
                <w:color w:val="000000"/>
                <w:sz w:val="20"/>
                <w:szCs w:val="20"/>
              </w:rPr>
            </w:pPr>
            <w:r w:rsidRPr="005A1CAE">
              <w:rPr>
                <w:noProof/>
                <w:sz w:val="20"/>
              </w:rPr>
              <w:t>16,064</w:t>
            </w:r>
          </w:p>
        </w:tc>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38C3189C" w14:textId="77777777" w:rsidR="00D357A3" w:rsidRPr="005A1CAE" w:rsidRDefault="00D357A3" w:rsidP="00D357A3">
            <w:pPr>
              <w:spacing w:before="0" w:after="0"/>
              <w:jc w:val="right"/>
              <w:rPr>
                <w:b/>
                <w:noProof/>
                <w:sz w:val="20"/>
                <w:szCs w:val="20"/>
              </w:rPr>
            </w:pPr>
            <w:r w:rsidRPr="005A1CAE">
              <w:rPr>
                <w:noProof/>
                <w:sz w:val="20"/>
              </w:rPr>
              <w:t>25,769</w:t>
            </w:r>
          </w:p>
        </w:tc>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2F93EC38" w14:textId="77777777" w:rsidR="00D357A3" w:rsidRPr="005A1CAE" w:rsidRDefault="00D357A3" w:rsidP="00D357A3">
            <w:pPr>
              <w:spacing w:before="0" w:after="0"/>
              <w:jc w:val="right"/>
              <w:rPr>
                <w:b/>
                <w:noProof/>
                <w:sz w:val="20"/>
                <w:szCs w:val="20"/>
              </w:rPr>
            </w:pPr>
            <w:r w:rsidRPr="005A1CAE">
              <w:rPr>
                <w:noProof/>
                <w:sz w:val="20"/>
              </w:rPr>
              <w:t>26,542</w:t>
            </w:r>
          </w:p>
        </w:tc>
        <w:tc>
          <w:tcPr>
            <w:tcW w:w="380" w:type="pct"/>
            <w:tcBorders>
              <w:top w:val="single" w:sz="4" w:space="0" w:color="auto"/>
              <w:left w:val="single" w:sz="4" w:space="0" w:color="auto"/>
              <w:bottom w:val="single" w:sz="4" w:space="0" w:color="auto"/>
              <w:right w:val="single" w:sz="4" w:space="0" w:color="auto"/>
            </w:tcBorders>
            <w:shd w:val="clear" w:color="000000" w:fill="D9D9D9"/>
            <w:vAlign w:val="center"/>
          </w:tcPr>
          <w:p w14:paraId="58D9E820" w14:textId="77777777" w:rsidR="00D357A3" w:rsidRPr="005A1CAE" w:rsidRDefault="00D357A3" w:rsidP="00D357A3">
            <w:pPr>
              <w:spacing w:before="0" w:after="0"/>
              <w:jc w:val="right"/>
              <w:rPr>
                <w:b/>
                <w:noProof/>
                <w:sz w:val="20"/>
                <w:szCs w:val="20"/>
              </w:rPr>
            </w:pPr>
            <w:r w:rsidRPr="005A1CAE">
              <w:rPr>
                <w:noProof/>
                <w:sz w:val="20"/>
              </w:rPr>
              <w:t>31,367</w:t>
            </w:r>
          </w:p>
        </w:tc>
        <w:tc>
          <w:tcPr>
            <w:tcW w:w="938" w:type="pct"/>
            <w:tcBorders>
              <w:top w:val="nil"/>
              <w:left w:val="single" w:sz="4" w:space="0" w:color="auto"/>
              <w:bottom w:val="single" w:sz="8" w:space="0" w:color="auto"/>
              <w:right w:val="single" w:sz="8" w:space="0" w:color="auto"/>
            </w:tcBorders>
            <w:shd w:val="clear" w:color="000000" w:fill="D9D9D9"/>
            <w:vAlign w:val="center"/>
            <w:hideMark/>
          </w:tcPr>
          <w:p w14:paraId="3AAAEDEA" w14:textId="77777777" w:rsidR="00D357A3" w:rsidRPr="005A1CAE" w:rsidRDefault="00D357A3" w:rsidP="00724527">
            <w:pPr>
              <w:spacing w:before="0" w:after="0"/>
              <w:jc w:val="center"/>
              <w:rPr>
                <w:b/>
                <w:bCs/>
                <w:noProof/>
                <w:color w:val="000000"/>
                <w:sz w:val="20"/>
                <w:szCs w:val="20"/>
              </w:rPr>
            </w:pPr>
            <w:r w:rsidRPr="005A1CAE">
              <w:rPr>
                <w:noProof/>
                <w:sz w:val="20"/>
              </w:rPr>
              <w:t>148,778</w:t>
            </w:r>
          </w:p>
        </w:tc>
      </w:tr>
      <w:tr w:rsidR="00D357A3" w:rsidRPr="005A1CAE" w14:paraId="1D2D5C59" w14:textId="77777777" w:rsidTr="00D357A3">
        <w:trPr>
          <w:trHeight w:val="990"/>
        </w:trPr>
        <w:tc>
          <w:tcPr>
            <w:tcW w:w="1712" w:type="pct"/>
            <w:gridSpan w:val="2"/>
            <w:tcBorders>
              <w:top w:val="single" w:sz="8" w:space="0" w:color="auto"/>
              <w:left w:val="single" w:sz="8" w:space="0" w:color="auto"/>
              <w:bottom w:val="single" w:sz="8" w:space="0" w:color="auto"/>
              <w:right w:val="single" w:sz="8" w:space="0" w:color="000000"/>
            </w:tcBorders>
            <w:vAlign w:val="center"/>
            <w:hideMark/>
          </w:tcPr>
          <w:p w14:paraId="2BC955A7" w14:textId="77777777" w:rsidR="00D357A3" w:rsidRPr="005A1CAE" w:rsidRDefault="00D357A3" w:rsidP="00D357A3">
            <w:pPr>
              <w:spacing w:before="0" w:after="0"/>
              <w:rPr>
                <w:noProof/>
                <w:color w:val="000000"/>
                <w:sz w:val="21"/>
                <w:szCs w:val="21"/>
              </w:rPr>
            </w:pPr>
            <w:r w:rsidRPr="005A1CAE">
              <w:rPr>
                <w:rFonts w:ascii="Calibri" w:hAnsi="Calibri"/>
                <w:noProof/>
                <w:color w:val="000000"/>
                <w:sz w:val="21"/>
              </w:rPr>
              <w:t>•</w:t>
            </w:r>
            <w:r w:rsidRPr="005A1CAE">
              <w:rPr>
                <w:noProof/>
                <w:color w:val="000000"/>
                <w:sz w:val="21"/>
              </w:rPr>
              <w:t xml:space="preserve"> OGÓŁEM środki administracyjne finansowane ze środków przydzielonych na określone programy (wszystkie działy operacyjne)</w:t>
            </w:r>
          </w:p>
        </w:tc>
        <w:tc>
          <w:tcPr>
            <w:tcW w:w="270" w:type="pct"/>
            <w:tcBorders>
              <w:top w:val="nil"/>
              <w:left w:val="nil"/>
              <w:bottom w:val="single" w:sz="8" w:space="0" w:color="auto"/>
              <w:right w:val="single" w:sz="8" w:space="0" w:color="auto"/>
            </w:tcBorders>
            <w:shd w:val="clear" w:color="000000" w:fill="D9D9D9"/>
            <w:vAlign w:val="center"/>
            <w:hideMark/>
          </w:tcPr>
          <w:p w14:paraId="65E7B824" w14:textId="77777777" w:rsidR="00D357A3" w:rsidRPr="005A1CAE" w:rsidRDefault="00D357A3" w:rsidP="00D357A3">
            <w:pPr>
              <w:spacing w:before="0" w:after="0"/>
              <w:jc w:val="right"/>
              <w:rPr>
                <w:noProof/>
                <w:color w:val="000000"/>
                <w:sz w:val="20"/>
                <w:szCs w:val="20"/>
                <w:lang w:eastAsia="en-IE"/>
              </w:rPr>
            </w:pPr>
          </w:p>
        </w:tc>
        <w:tc>
          <w:tcPr>
            <w:tcW w:w="312" w:type="pct"/>
            <w:tcBorders>
              <w:top w:val="nil"/>
              <w:left w:val="nil"/>
              <w:bottom w:val="single" w:sz="8" w:space="0" w:color="auto"/>
              <w:right w:val="single" w:sz="8" w:space="0" w:color="auto"/>
            </w:tcBorders>
            <w:shd w:val="clear" w:color="000000" w:fill="D9D9D9"/>
            <w:vAlign w:val="center"/>
            <w:hideMark/>
          </w:tcPr>
          <w:p w14:paraId="05901A11" w14:textId="77777777" w:rsidR="00D357A3" w:rsidRPr="005A1CAE" w:rsidRDefault="00D357A3" w:rsidP="00D357A3">
            <w:pPr>
              <w:spacing w:before="0" w:after="0"/>
              <w:jc w:val="right"/>
              <w:rPr>
                <w:noProof/>
                <w:color w:val="000000"/>
                <w:sz w:val="20"/>
                <w:szCs w:val="20"/>
                <w:lang w:eastAsia="en-IE"/>
              </w:rPr>
            </w:pPr>
          </w:p>
        </w:tc>
        <w:tc>
          <w:tcPr>
            <w:tcW w:w="312" w:type="pct"/>
            <w:tcBorders>
              <w:top w:val="nil"/>
              <w:left w:val="nil"/>
              <w:bottom w:val="single" w:sz="8" w:space="0" w:color="auto"/>
              <w:right w:val="single" w:sz="8" w:space="0" w:color="auto"/>
            </w:tcBorders>
            <w:shd w:val="clear" w:color="000000" w:fill="D9D9D9"/>
            <w:vAlign w:val="center"/>
            <w:hideMark/>
          </w:tcPr>
          <w:p w14:paraId="0444C19D" w14:textId="77777777" w:rsidR="00D357A3" w:rsidRPr="005A1CAE" w:rsidRDefault="00D357A3" w:rsidP="00D357A3">
            <w:pPr>
              <w:spacing w:before="0" w:after="0"/>
              <w:jc w:val="right"/>
              <w:rPr>
                <w:noProof/>
                <w:color w:val="000000"/>
                <w:sz w:val="20"/>
                <w:szCs w:val="20"/>
              </w:rPr>
            </w:pPr>
            <w:r w:rsidRPr="005A1CAE">
              <w:rPr>
                <w:noProof/>
                <w:sz w:val="20"/>
              </w:rPr>
              <w:t xml:space="preserve"> </w:t>
            </w:r>
          </w:p>
        </w:tc>
        <w:tc>
          <w:tcPr>
            <w:tcW w:w="312" w:type="pct"/>
            <w:tcBorders>
              <w:top w:val="nil"/>
              <w:left w:val="nil"/>
              <w:bottom w:val="single" w:sz="8" w:space="0" w:color="auto"/>
              <w:right w:val="single" w:sz="4" w:space="0" w:color="auto"/>
            </w:tcBorders>
            <w:shd w:val="clear" w:color="000000" w:fill="D9D9D9"/>
            <w:vAlign w:val="center"/>
            <w:hideMark/>
          </w:tcPr>
          <w:p w14:paraId="5CC469CB" w14:textId="77777777" w:rsidR="00D357A3" w:rsidRPr="005A1CAE" w:rsidRDefault="00D357A3" w:rsidP="00D357A3">
            <w:pPr>
              <w:spacing w:before="0" w:after="0"/>
              <w:jc w:val="right"/>
              <w:rPr>
                <w:noProof/>
                <w:color w:val="000000"/>
                <w:sz w:val="20"/>
                <w:szCs w:val="20"/>
                <w:lang w:eastAsia="en-IE"/>
              </w:rPr>
            </w:pPr>
          </w:p>
        </w:tc>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761B6EB4" w14:textId="77777777" w:rsidR="00D357A3" w:rsidRPr="005A1CAE" w:rsidRDefault="00D357A3" w:rsidP="00D357A3">
            <w:pPr>
              <w:spacing w:before="0" w:after="0"/>
              <w:jc w:val="right"/>
              <w:rPr>
                <w:noProof/>
                <w:sz w:val="20"/>
                <w:szCs w:val="20"/>
              </w:rPr>
            </w:pPr>
            <w:r w:rsidRPr="005A1CAE">
              <w:rPr>
                <w:noProof/>
                <w:sz w:val="20"/>
              </w:rPr>
              <w:t xml:space="preserve"> </w:t>
            </w:r>
          </w:p>
        </w:tc>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1572E70E" w14:textId="77777777" w:rsidR="00D357A3" w:rsidRPr="005A1CAE" w:rsidRDefault="00D357A3" w:rsidP="00D357A3">
            <w:pPr>
              <w:spacing w:before="0" w:after="0"/>
              <w:jc w:val="right"/>
              <w:rPr>
                <w:noProof/>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000000" w:fill="D9D9D9"/>
            <w:vAlign w:val="center"/>
          </w:tcPr>
          <w:p w14:paraId="7416BAB5" w14:textId="77777777" w:rsidR="00D357A3" w:rsidRPr="005A1CAE" w:rsidRDefault="00D357A3" w:rsidP="00D357A3">
            <w:pPr>
              <w:spacing w:before="0" w:after="0"/>
              <w:jc w:val="right"/>
              <w:rPr>
                <w:noProof/>
                <w:sz w:val="20"/>
                <w:szCs w:val="20"/>
              </w:rPr>
            </w:pPr>
            <w:r w:rsidRPr="005A1CAE">
              <w:rPr>
                <w:noProof/>
                <w:sz w:val="20"/>
              </w:rPr>
              <w:t xml:space="preserve"> </w:t>
            </w:r>
          </w:p>
        </w:tc>
        <w:tc>
          <w:tcPr>
            <w:tcW w:w="938" w:type="pct"/>
            <w:tcBorders>
              <w:top w:val="nil"/>
              <w:left w:val="single" w:sz="4" w:space="0" w:color="auto"/>
              <w:bottom w:val="single" w:sz="8" w:space="0" w:color="auto"/>
              <w:right w:val="single" w:sz="8" w:space="0" w:color="auto"/>
            </w:tcBorders>
            <w:shd w:val="clear" w:color="000000" w:fill="D9D9D9"/>
            <w:vAlign w:val="center"/>
            <w:hideMark/>
          </w:tcPr>
          <w:p w14:paraId="27059B8E" w14:textId="77777777" w:rsidR="00D357A3" w:rsidRPr="005A1CAE" w:rsidRDefault="00D357A3" w:rsidP="00724527">
            <w:pPr>
              <w:spacing w:before="0" w:after="0"/>
              <w:jc w:val="center"/>
              <w:rPr>
                <w:b/>
                <w:bCs/>
                <w:noProof/>
                <w:color w:val="000000"/>
                <w:sz w:val="20"/>
                <w:szCs w:val="20"/>
                <w:lang w:eastAsia="en-IE"/>
              </w:rPr>
            </w:pPr>
          </w:p>
        </w:tc>
      </w:tr>
      <w:tr w:rsidR="007A036C" w:rsidRPr="005A1CAE" w14:paraId="46D1CD9D" w14:textId="77777777" w:rsidTr="00D357A3">
        <w:trPr>
          <w:trHeight w:val="564"/>
        </w:trPr>
        <w:tc>
          <w:tcPr>
            <w:tcW w:w="1135" w:type="pct"/>
            <w:tcBorders>
              <w:top w:val="nil"/>
              <w:left w:val="single" w:sz="8" w:space="0" w:color="auto"/>
              <w:bottom w:val="nil"/>
              <w:right w:val="single" w:sz="8" w:space="0" w:color="auto"/>
            </w:tcBorders>
            <w:shd w:val="thinDiagStripe" w:color="C0C0C0" w:fill="F1F1F1"/>
            <w:vAlign w:val="center"/>
            <w:hideMark/>
          </w:tcPr>
          <w:p w14:paraId="703C79ED" w14:textId="677CBFE3" w:rsidR="00D357A3" w:rsidRPr="005A1CAE" w:rsidRDefault="00D357A3" w:rsidP="00D357A3">
            <w:pPr>
              <w:spacing w:before="0" w:after="0"/>
              <w:jc w:val="center"/>
              <w:rPr>
                <w:b/>
                <w:bCs/>
                <w:noProof/>
                <w:color w:val="000000"/>
                <w:sz w:val="22"/>
              </w:rPr>
            </w:pPr>
            <w:r w:rsidRPr="005A1CAE">
              <w:rPr>
                <w:b/>
                <w:noProof/>
                <w:color w:val="000000"/>
                <w:sz w:val="22"/>
              </w:rPr>
              <w:t>OGÓŁEM środki na DZIAŁY od</w:t>
            </w:r>
            <w:r w:rsidR="005A1CAE" w:rsidRPr="005A1CAE">
              <w:rPr>
                <w:b/>
                <w:noProof/>
                <w:color w:val="000000"/>
                <w:sz w:val="22"/>
              </w:rPr>
              <w:t> </w:t>
            </w:r>
            <w:r w:rsidRPr="005A1CAE">
              <w:rPr>
                <w:b/>
                <w:noProof/>
                <w:color w:val="000000"/>
                <w:sz w:val="22"/>
              </w:rPr>
              <w:t>1 do</w:t>
            </w:r>
            <w:r w:rsidR="005A1CAE" w:rsidRPr="005A1CAE">
              <w:rPr>
                <w:b/>
                <w:noProof/>
                <w:color w:val="000000"/>
                <w:sz w:val="22"/>
              </w:rPr>
              <w:t> </w:t>
            </w:r>
            <w:r w:rsidRPr="005A1CAE">
              <w:rPr>
                <w:b/>
                <w:noProof/>
                <w:color w:val="000000"/>
                <w:sz w:val="22"/>
              </w:rPr>
              <w:t>3</w:t>
            </w:r>
          </w:p>
        </w:tc>
        <w:tc>
          <w:tcPr>
            <w:tcW w:w="576" w:type="pct"/>
            <w:tcBorders>
              <w:top w:val="nil"/>
              <w:left w:val="nil"/>
              <w:bottom w:val="nil"/>
              <w:right w:val="single" w:sz="8" w:space="0" w:color="auto"/>
            </w:tcBorders>
            <w:vAlign w:val="center"/>
            <w:hideMark/>
          </w:tcPr>
          <w:p w14:paraId="5B1E70C2" w14:textId="77777777" w:rsidR="00D357A3" w:rsidRPr="005A1CAE" w:rsidRDefault="00D357A3" w:rsidP="00D357A3">
            <w:pPr>
              <w:spacing w:before="0" w:after="0"/>
              <w:rPr>
                <w:noProof/>
                <w:color w:val="000000"/>
                <w:sz w:val="18"/>
                <w:szCs w:val="18"/>
              </w:rPr>
            </w:pPr>
            <w:r w:rsidRPr="005A1CAE">
              <w:rPr>
                <w:noProof/>
                <w:color w:val="000000"/>
                <w:sz w:val="18"/>
              </w:rPr>
              <w:t>Środki na zobowiązania</w:t>
            </w:r>
          </w:p>
        </w:tc>
        <w:tc>
          <w:tcPr>
            <w:tcW w:w="270" w:type="pct"/>
            <w:tcBorders>
              <w:top w:val="nil"/>
              <w:left w:val="nil"/>
              <w:bottom w:val="single" w:sz="8" w:space="0" w:color="auto"/>
              <w:right w:val="single" w:sz="8" w:space="0" w:color="auto"/>
            </w:tcBorders>
            <w:shd w:val="clear" w:color="000000" w:fill="D9D9D9"/>
            <w:vAlign w:val="center"/>
            <w:hideMark/>
          </w:tcPr>
          <w:p w14:paraId="39D89F77" w14:textId="77777777" w:rsidR="00D357A3" w:rsidRPr="005A1CAE" w:rsidRDefault="00D357A3" w:rsidP="007A036C">
            <w:pPr>
              <w:spacing w:before="0" w:after="0"/>
              <w:jc w:val="center"/>
              <w:rPr>
                <w:b/>
                <w:bCs/>
                <w:noProof/>
                <w:color w:val="000000"/>
                <w:sz w:val="20"/>
                <w:szCs w:val="20"/>
              </w:rPr>
            </w:pPr>
            <w:r w:rsidRPr="005A1CAE">
              <w:rPr>
                <w:noProof/>
                <w:sz w:val="20"/>
              </w:rPr>
              <w:t>29,100</w:t>
            </w:r>
          </w:p>
        </w:tc>
        <w:tc>
          <w:tcPr>
            <w:tcW w:w="312" w:type="pct"/>
            <w:tcBorders>
              <w:top w:val="nil"/>
              <w:left w:val="nil"/>
              <w:bottom w:val="single" w:sz="8" w:space="0" w:color="auto"/>
              <w:right w:val="single" w:sz="8" w:space="0" w:color="auto"/>
            </w:tcBorders>
            <w:shd w:val="clear" w:color="000000" w:fill="D9D9D9"/>
            <w:vAlign w:val="center"/>
            <w:hideMark/>
          </w:tcPr>
          <w:p w14:paraId="466A5BAA" w14:textId="77777777" w:rsidR="00D357A3" w:rsidRPr="005A1CAE" w:rsidRDefault="00D357A3" w:rsidP="007A036C">
            <w:pPr>
              <w:spacing w:before="0" w:after="0"/>
              <w:jc w:val="center"/>
              <w:rPr>
                <w:b/>
                <w:bCs/>
                <w:noProof/>
                <w:color w:val="000000"/>
                <w:sz w:val="20"/>
                <w:szCs w:val="20"/>
              </w:rPr>
            </w:pPr>
            <w:r w:rsidRPr="005A1CAE">
              <w:rPr>
                <w:noProof/>
                <w:sz w:val="20"/>
              </w:rPr>
              <w:t>24,823</w:t>
            </w:r>
          </w:p>
        </w:tc>
        <w:tc>
          <w:tcPr>
            <w:tcW w:w="312" w:type="pct"/>
            <w:tcBorders>
              <w:top w:val="nil"/>
              <w:left w:val="nil"/>
              <w:bottom w:val="single" w:sz="8" w:space="0" w:color="auto"/>
              <w:right w:val="single" w:sz="8" w:space="0" w:color="auto"/>
            </w:tcBorders>
            <w:shd w:val="clear" w:color="000000" w:fill="D9D9D9"/>
            <w:vAlign w:val="center"/>
            <w:hideMark/>
          </w:tcPr>
          <w:p w14:paraId="794B74E0" w14:textId="77777777" w:rsidR="00D357A3" w:rsidRPr="005A1CAE" w:rsidRDefault="00D357A3" w:rsidP="007A036C">
            <w:pPr>
              <w:spacing w:before="0" w:after="0"/>
              <w:jc w:val="center"/>
              <w:rPr>
                <w:b/>
                <w:bCs/>
                <w:noProof/>
                <w:color w:val="000000"/>
                <w:sz w:val="20"/>
                <w:szCs w:val="20"/>
              </w:rPr>
            </w:pPr>
            <w:r w:rsidRPr="005A1CAE">
              <w:rPr>
                <w:noProof/>
                <w:sz w:val="20"/>
              </w:rPr>
              <w:t>25,568</w:t>
            </w:r>
          </w:p>
        </w:tc>
        <w:tc>
          <w:tcPr>
            <w:tcW w:w="312" w:type="pct"/>
            <w:tcBorders>
              <w:top w:val="nil"/>
              <w:left w:val="nil"/>
              <w:bottom w:val="single" w:sz="8" w:space="0" w:color="auto"/>
              <w:right w:val="single" w:sz="4" w:space="0" w:color="auto"/>
            </w:tcBorders>
            <w:shd w:val="clear" w:color="000000" w:fill="D9D9D9"/>
            <w:vAlign w:val="center"/>
            <w:hideMark/>
          </w:tcPr>
          <w:p w14:paraId="5ECFB9B2" w14:textId="77777777" w:rsidR="00D357A3" w:rsidRPr="005A1CAE" w:rsidRDefault="00D357A3" w:rsidP="007A036C">
            <w:pPr>
              <w:spacing w:before="0" w:after="0"/>
              <w:jc w:val="center"/>
              <w:rPr>
                <w:b/>
                <w:bCs/>
                <w:noProof/>
                <w:color w:val="000000"/>
                <w:sz w:val="20"/>
                <w:szCs w:val="20"/>
              </w:rPr>
            </w:pPr>
            <w:r w:rsidRPr="005A1CAE">
              <w:rPr>
                <w:noProof/>
                <w:sz w:val="20"/>
              </w:rPr>
              <w:t>26,335</w:t>
            </w:r>
          </w:p>
        </w:tc>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6213D979" w14:textId="77777777" w:rsidR="00D357A3" w:rsidRPr="005A1CAE" w:rsidRDefault="00D357A3" w:rsidP="007A036C">
            <w:pPr>
              <w:spacing w:before="0" w:after="0"/>
              <w:jc w:val="center"/>
              <w:rPr>
                <w:b/>
                <w:noProof/>
                <w:sz w:val="20"/>
                <w:szCs w:val="20"/>
              </w:rPr>
            </w:pPr>
            <w:r w:rsidRPr="005A1CAE">
              <w:rPr>
                <w:noProof/>
                <w:sz w:val="20"/>
              </w:rPr>
              <w:t>27,125</w:t>
            </w:r>
          </w:p>
        </w:tc>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2E8AE1CE" w14:textId="77777777" w:rsidR="00D357A3" w:rsidRPr="005A1CAE" w:rsidRDefault="00D357A3" w:rsidP="007A036C">
            <w:pPr>
              <w:spacing w:before="0" w:after="0"/>
              <w:jc w:val="center"/>
              <w:rPr>
                <w:b/>
                <w:noProof/>
                <w:sz w:val="20"/>
                <w:szCs w:val="20"/>
              </w:rPr>
            </w:pPr>
            <w:r w:rsidRPr="005A1CAE">
              <w:rPr>
                <w:noProof/>
                <w:sz w:val="20"/>
              </w:rPr>
              <w:t>27,939</w:t>
            </w:r>
          </w:p>
        </w:tc>
        <w:tc>
          <w:tcPr>
            <w:tcW w:w="380" w:type="pct"/>
            <w:tcBorders>
              <w:top w:val="single" w:sz="4" w:space="0" w:color="auto"/>
              <w:left w:val="single" w:sz="4" w:space="0" w:color="auto"/>
              <w:bottom w:val="single" w:sz="4" w:space="0" w:color="auto"/>
              <w:right w:val="single" w:sz="4" w:space="0" w:color="auto"/>
            </w:tcBorders>
            <w:shd w:val="clear" w:color="000000" w:fill="D9D9D9"/>
            <w:vAlign w:val="center"/>
          </w:tcPr>
          <w:p w14:paraId="2105766D" w14:textId="77777777" w:rsidR="00D357A3" w:rsidRPr="005A1CAE" w:rsidRDefault="00D357A3" w:rsidP="007A036C">
            <w:pPr>
              <w:spacing w:before="0" w:after="0"/>
              <w:jc w:val="center"/>
              <w:rPr>
                <w:b/>
                <w:noProof/>
                <w:sz w:val="20"/>
                <w:szCs w:val="20"/>
              </w:rPr>
            </w:pPr>
            <w:r w:rsidRPr="005A1CAE">
              <w:rPr>
                <w:noProof/>
                <w:sz w:val="20"/>
              </w:rPr>
              <w:t>28,777</w:t>
            </w:r>
          </w:p>
        </w:tc>
        <w:tc>
          <w:tcPr>
            <w:tcW w:w="938" w:type="pct"/>
            <w:tcBorders>
              <w:top w:val="nil"/>
              <w:left w:val="single" w:sz="4" w:space="0" w:color="auto"/>
              <w:bottom w:val="single" w:sz="8" w:space="0" w:color="auto"/>
              <w:right w:val="single" w:sz="8" w:space="0" w:color="auto"/>
            </w:tcBorders>
            <w:shd w:val="clear" w:color="000000" w:fill="D9D9D9"/>
            <w:vAlign w:val="center"/>
            <w:hideMark/>
          </w:tcPr>
          <w:p w14:paraId="699CFE39" w14:textId="77777777" w:rsidR="00D357A3" w:rsidRPr="005A1CAE" w:rsidRDefault="00D357A3" w:rsidP="007A036C">
            <w:pPr>
              <w:spacing w:before="0" w:after="0"/>
              <w:jc w:val="center"/>
              <w:rPr>
                <w:b/>
                <w:bCs/>
                <w:noProof/>
                <w:color w:val="000000"/>
                <w:sz w:val="20"/>
                <w:szCs w:val="20"/>
              </w:rPr>
            </w:pPr>
            <w:r w:rsidRPr="005A1CAE">
              <w:rPr>
                <w:b/>
                <w:noProof/>
                <w:sz w:val="20"/>
              </w:rPr>
              <w:t>189,667</w:t>
            </w:r>
          </w:p>
        </w:tc>
      </w:tr>
      <w:tr w:rsidR="00D357A3" w:rsidRPr="005A1CAE" w14:paraId="30368CC8" w14:textId="77777777" w:rsidTr="007A036C">
        <w:trPr>
          <w:trHeight w:val="588"/>
        </w:trPr>
        <w:tc>
          <w:tcPr>
            <w:tcW w:w="1135" w:type="pct"/>
            <w:tcBorders>
              <w:top w:val="nil"/>
              <w:left w:val="single" w:sz="8" w:space="0" w:color="auto"/>
              <w:bottom w:val="single" w:sz="8" w:space="0" w:color="auto"/>
              <w:right w:val="single" w:sz="8" w:space="0" w:color="auto"/>
            </w:tcBorders>
            <w:shd w:val="thinDiagStripe" w:color="C0C0C0" w:fill="F1F1F1"/>
            <w:vAlign w:val="center"/>
            <w:hideMark/>
          </w:tcPr>
          <w:p w14:paraId="79C9D201" w14:textId="77777777" w:rsidR="00D357A3" w:rsidRPr="005A1CAE" w:rsidRDefault="00D357A3" w:rsidP="00D357A3">
            <w:pPr>
              <w:spacing w:before="0" w:after="0"/>
              <w:jc w:val="center"/>
              <w:rPr>
                <w:noProof/>
                <w:color w:val="000000"/>
                <w:sz w:val="20"/>
                <w:szCs w:val="20"/>
              </w:rPr>
            </w:pPr>
            <w:r w:rsidRPr="005A1CAE">
              <w:rPr>
                <w:noProof/>
                <w:color w:val="000000"/>
                <w:sz w:val="20"/>
              </w:rPr>
              <w:t>wieloletnich ram finansowych</w:t>
            </w:r>
            <w:r w:rsidRPr="005A1CAE">
              <w:rPr>
                <w:noProof/>
              </w:rPr>
              <w:t xml:space="preserve"> </w:t>
            </w:r>
            <w:r w:rsidRPr="005A1CAE">
              <w:rPr>
                <w:noProof/>
              </w:rPr>
              <w:br/>
            </w:r>
            <w:r w:rsidRPr="005A1CAE">
              <w:rPr>
                <w:noProof/>
                <w:color w:val="000000"/>
                <w:sz w:val="20"/>
              </w:rPr>
              <w:t>(kwota referencyjna)</w:t>
            </w:r>
          </w:p>
        </w:tc>
        <w:tc>
          <w:tcPr>
            <w:tcW w:w="576" w:type="pct"/>
            <w:tcBorders>
              <w:top w:val="nil"/>
              <w:left w:val="nil"/>
              <w:bottom w:val="single" w:sz="8" w:space="0" w:color="auto"/>
              <w:right w:val="single" w:sz="8" w:space="0" w:color="auto"/>
            </w:tcBorders>
            <w:vAlign w:val="center"/>
            <w:hideMark/>
          </w:tcPr>
          <w:p w14:paraId="4E8A65A0" w14:textId="77777777" w:rsidR="00D357A3" w:rsidRPr="005A1CAE" w:rsidRDefault="00D357A3" w:rsidP="00D357A3">
            <w:pPr>
              <w:spacing w:before="0" w:after="0"/>
              <w:rPr>
                <w:noProof/>
                <w:color w:val="000000"/>
                <w:sz w:val="18"/>
                <w:szCs w:val="18"/>
              </w:rPr>
            </w:pPr>
            <w:r w:rsidRPr="005A1CAE">
              <w:rPr>
                <w:noProof/>
                <w:color w:val="000000"/>
                <w:sz w:val="18"/>
              </w:rPr>
              <w:t>Środki na płatności</w:t>
            </w:r>
          </w:p>
        </w:tc>
        <w:tc>
          <w:tcPr>
            <w:tcW w:w="270" w:type="pct"/>
            <w:tcBorders>
              <w:top w:val="nil"/>
              <w:left w:val="nil"/>
              <w:bottom w:val="single" w:sz="8" w:space="0" w:color="auto"/>
              <w:right w:val="single" w:sz="8" w:space="0" w:color="auto"/>
            </w:tcBorders>
            <w:shd w:val="clear" w:color="000000" w:fill="D9D9D9"/>
            <w:vAlign w:val="center"/>
            <w:hideMark/>
          </w:tcPr>
          <w:p w14:paraId="2E698F4E" w14:textId="77777777" w:rsidR="00D357A3" w:rsidRPr="005A1CAE" w:rsidRDefault="00D357A3" w:rsidP="007A036C">
            <w:pPr>
              <w:spacing w:before="0" w:after="0"/>
              <w:jc w:val="center"/>
              <w:rPr>
                <w:b/>
                <w:bCs/>
                <w:noProof/>
                <w:color w:val="000000"/>
                <w:sz w:val="20"/>
                <w:szCs w:val="20"/>
              </w:rPr>
            </w:pPr>
            <w:r w:rsidRPr="005A1CAE">
              <w:rPr>
                <w:noProof/>
                <w:sz w:val="20"/>
              </w:rPr>
              <w:t>18,042</w:t>
            </w:r>
          </w:p>
        </w:tc>
        <w:tc>
          <w:tcPr>
            <w:tcW w:w="312" w:type="pct"/>
            <w:tcBorders>
              <w:top w:val="nil"/>
              <w:left w:val="nil"/>
              <w:bottom w:val="single" w:sz="8" w:space="0" w:color="auto"/>
              <w:right w:val="single" w:sz="8" w:space="0" w:color="auto"/>
            </w:tcBorders>
            <w:shd w:val="clear" w:color="000000" w:fill="D9D9D9"/>
            <w:vAlign w:val="center"/>
            <w:hideMark/>
          </w:tcPr>
          <w:p w14:paraId="22AB778F" w14:textId="77777777" w:rsidR="00D357A3" w:rsidRPr="005A1CAE" w:rsidRDefault="00D357A3" w:rsidP="007A036C">
            <w:pPr>
              <w:spacing w:before="0" w:after="0"/>
              <w:jc w:val="center"/>
              <w:rPr>
                <w:b/>
                <w:bCs/>
                <w:noProof/>
                <w:color w:val="000000"/>
                <w:sz w:val="20"/>
                <w:szCs w:val="20"/>
              </w:rPr>
            </w:pPr>
            <w:r w:rsidRPr="005A1CAE">
              <w:rPr>
                <w:noProof/>
                <w:sz w:val="20"/>
              </w:rPr>
              <w:t>15,142</w:t>
            </w:r>
          </w:p>
        </w:tc>
        <w:tc>
          <w:tcPr>
            <w:tcW w:w="312" w:type="pct"/>
            <w:tcBorders>
              <w:top w:val="nil"/>
              <w:left w:val="nil"/>
              <w:bottom w:val="single" w:sz="8" w:space="0" w:color="auto"/>
              <w:right w:val="single" w:sz="8" w:space="0" w:color="auto"/>
            </w:tcBorders>
            <w:shd w:val="clear" w:color="000000" w:fill="D9D9D9"/>
            <w:vAlign w:val="center"/>
            <w:hideMark/>
          </w:tcPr>
          <w:p w14:paraId="271662B9" w14:textId="77777777" w:rsidR="00D357A3" w:rsidRPr="005A1CAE" w:rsidRDefault="00D357A3" w:rsidP="007A036C">
            <w:pPr>
              <w:spacing w:before="0" w:after="0"/>
              <w:jc w:val="center"/>
              <w:rPr>
                <w:b/>
                <w:bCs/>
                <w:noProof/>
                <w:color w:val="000000"/>
                <w:sz w:val="20"/>
                <w:szCs w:val="20"/>
              </w:rPr>
            </w:pPr>
            <w:r w:rsidRPr="005A1CAE">
              <w:rPr>
                <w:noProof/>
                <w:sz w:val="20"/>
              </w:rPr>
              <w:t>15,852</w:t>
            </w:r>
          </w:p>
        </w:tc>
        <w:tc>
          <w:tcPr>
            <w:tcW w:w="312" w:type="pct"/>
            <w:tcBorders>
              <w:top w:val="nil"/>
              <w:left w:val="nil"/>
              <w:bottom w:val="single" w:sz="8" w:space="0" w:color="auto"/>
              <w:right w:val="single" w:sz="4" w:space="0" w:color="auto"/>
            </w:tcBorders>
            <w:shd w:val="clear" w:color="000000" w:fill="D9D9D9"/>
            <w:vAlign w:val="center"/>
            <w:hideMark/>
          </w:tcPr>
          <w:p w14:paraId="20D60869" w14:textId="77777777" w:rsidR="00D357A3" w:rsidRPr="005A1CAE" w:rsidRDefault="00D357A3" w:rsidP="007A036C">
            <w:pPr>
              <w:spacing w:before="0" w:after="0"/>
              <w:jc w:val="center"/>
              <w:rPr>
                <w:b/>
                <w:bCs/>
                <w:noProof/>
                <w:color w:val="000000"/>
                <w:sz w:val="20"/>
                <w:szCs w:val="20"/>
              </w:rPr>
            </w:pPr>
            <w:r w:rsidRPr="005A1CAE">
              <w:rPr>
                <w:noProof/>
                <w:sz w:val="20"/>
              </w:rPr>
              <w:t>16,064</w:t>
            </w:r>
          </w:p>
        </w:tc>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4E0D5645" w14:textId="77777777" w:rsidR="00D357A3" w:rsidRPr="005A1CAE" w:rsidRDefault="00D357A3" w:rsidP="007A036C">
            <w:pPr>
              <w:spacing w:before="0" w:after="0"/>
              <w:jc w:val="center"/>
              <w:rPr>
                <w:b/>
                <w:noProof/>
                <w:sz w:val="20"/>
                <w:szCs w:val="20"/>
              </w:rPr>
            </w:pPr>
            <w:r w:rsidRPr="005A1CAE">
              <w:rPr>
                <w:noProof/>
                <w:sz w:val="20"/>
              </w:rPr>
              <w:t>25,769</w:t>
            </w:r>
          </w:p>
        </w:tc>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70B382C2" w14:textId="77777777" w:rsidR="00D357A3" w:rsidRPr="005A1CAE" w:rsidRDefault="00D357A3" w:rsidP="007A036C">
            <w:pPr>
              <w:spacing w:before="0" w:after="0"/>
              <w:jc w:val="center"/>
              <w:rPr>
                <w:b/>
                <w:noProof/>
                <w:sz w:val="20"/>
                <w:szCs w:val="20"/>
              </w:rPr>
            </w:pPr>
            <w:r w:rsidRPr="005A1CAE">
              <w:rPr>
                <w:noProof/>
                <w:sz w:val="20"/>
              </w:rPr>
              <w:t>26,542</w:t>
            </w:r>
          </w:p>
        </w:tc>
        <w:tc>
          <w:tcPr>
            <w:tcW w:w="380" w:type="pct"/>
            <w:tcBorders>
              <w:top w:val="single" w:sz="4" w:space="0" w:color="auto"/>
              <w:left w:val="single" w:sz="4" w:space="0" w:color="auto"/>
              <w:bottom w:val="single" w:sz="4" w:space="0" w:color="auto"/>
              <w:right w:val="single" w:sz="4" w:space="0" w:color="auto"/>
            </w:tcBorders>
            <w:shd w:val="clear" w:color="000000" w:fill="D9D9D9"/>
            <w:vAlign w:val="center"/>
          </w:tcPr>
          <w:p w14:paraId="31AC49AF" w14:textId="77777777" w:rsidR="00D357A3" w:rsidRPr="005A1CAE" w:rsidRDefault="00D357A3" w:rsidP="007A036C">
            <w:pPr>
              <w:spacing w:before="0" w:after="0"/>
              <w:jc w:val="center"/>
              <w:rPr>
                <w:b/>
                <w:noProof/>
                <w:sz w:val="20"/>
                <w:szCs w:val="20"/>
              </w:rPr>
            </w:pPr>
            <w:r w:rsidRPr="005A1CAE">
              <w:rPr>
                <w:noProof/>
                <w:sz w:val="20"/>
              </w:rPr>
              <w:t>31,367</w:t>
            </w:r>
          </w:p>
        </w:tc>
        <w:tc>
          <w:tcPr>
            <w:tcW w:w="938" w:type="pct"/>
            <w:tcBorders>
              <w:top w:val="nil"/>
              <w:left w:val="single" w:sz="4" w:space="0" w:color="auto"/>
              <w:bottom w:val="single" w:sz="8" w:space="0" w:color="auto"/>
              <w:right w:val="single" w:sz="8" w:space="0" w:color="auto"/>
            </w:tcBorders>
            <w:shd w:val="clear" w:color="000000" w:fill="D9D9D9"/>
            <w:vAlign w:val="center"/>
            <w:hideMark/>
          </w:tcPr>
          <w:p w14:paraId="39938622" w14:textId="77777777" w:rsidR="00D357A3" w:rsidRPr="005A1CAE" w:rsidRDefault="00D357A3" w:rsidP="00D357A3">
            <w:pPr>
              <w:spacing w:before="0" w:after="0"/>
              <w:jc w:val="center"/>
              <w:rPr>
                <w:rFonts w:eastAsia="Times New Roman"/>
                <w:noProof/>
                <w:sz w:val="20"/>
                <w:szCs w:val="20"/>
              </w:rPr>
            </w:pPr>
            <w:r w:rsidRPr="005A1CAE">
              <w:rPr>
                <w:noProof/>
                <w:sz w:val="20"/>
              </w:rPr>
              <w:t>148,778</w:t>
            </w:r>
          </w:p>
          <w:p w14:paraId="6B8D8BBC" w14:textId="77777777" w:rsidR="00D357A3" w:rsidRPr="005A1CAE" w:rsidRDefault="00D357A3" w:rsidP="007A036C">
            <w:pPr>
              <w:spacing w:before="0" w:after="0"/>
              <w:jc w:val="center"/>
              <w:rPr>
                <w:b/>
                <w:bCs/>
                <w:noProof/>
                <w:color w:val="000000"/>
                <w:sz w:val="20"/>
                <w:szCs w:val="20"/>
                <w:lang w:eastAsia="en-IE"/>
              </w:rPr>
            </w:pPr>
          </w:p>
        </w:tc>
      </w:tr>
    </w:tbl>
    <w:p w14:paraId="37C39445" w14:textId="3FEC4A1C" w:rsidR="00D357A3" w:rsidRPr="005A1CAE" w:rsidRDefault="00D357A3" w:rsidP="009F612D">
      <w:pPr>
        <w:rPr>
          <w:noProof/>
        </w:rPr>
      </w:pPr>
      <w:r w:rsidRPr="005A1CAE">
        <w:rPr>
          <w:noProof/>
        </w:rPr>
        <w:t>* Wszystkie dane liczbowe dotyczące WRF na lata 2028–2034</w:t>
      </w:r>
      <w:r w:rsidR="005A1CAE" w:rsidRPr="005A1CAE">
        <w:rPr>
          <w:noProof/>
        </w:rPr>
        <w:t xml:space="preserve"> w</w:t>
      </w:r>
      <w:r w:rsidR="005A1CAE">
        <w:rPr>
          <w:noProof/>
        </w:rPr>
        <w:t> </w:t>
      </w:r>
      <w:r w:rsidR="005A1CAE" w:rsidRPr="005A1CAE">
        <w:rPr>
          <w:noProof/>
        </w:rPr>
        <w:t>pow</w:t>
      </w:r>
      <w:r w:rsidRPr="005A1CAE">
        <w:rPr>
          <w:noProof/>
        </w:rPr>
        <w:t>yższej tabeli mają charakter ściśle orientacyjny</w:t>
      </w:r>
      <w:r w:rsidR="005A1CAE" w:rsidRPr="005A1CAE">
        <w:rPr>
          <w:noProof/>
        </w:rPr>
        <w:t xml:space="preserve"> w</w:t>
      </w:r>
      <w:r w:rsidR="005A1CAE">
        <w:rPr>
          <w:noProof/>
        </w:rPr>
        <w:t> </w:t>
      </w:r>
      <w:r w:rsidR="005A1CAE" w:rsidRPr="005A1CAE">
        <w:rPr>
          <w:noProof/>
        </w:rPr>
        <w:t>ocz</w:t>
      </w:r>
      <w:r w:rsidRPr="005A1CAE">
        <w:rPr>
          <w:noProof/>
        </w:rPr>
        <w:t>ekiwaniu na wynik negocjacji, którego nie można</w:t>
      </w:r>
      <w:r w:rsidR="005A1CAE" w:rsidRPr="005A1CAE">
        <w:rPr>
          <w:noProof/>
        </w:rPr>
        <w:t xml:space="preserve"> z</w:t>
      </w:r>
      <w:r w:rsidR="005A1CAE">
        <w:rPr>
          <w:noProof/>
        </w:rPr>
        <w:t> </w:t>
      </w:r>
      <w:r w:rsidR="005A1CAE" w:rsidRPr="005A1CAE">
        <w:rPr>
          <w:noProof/>
        </w:rPr>
        <w:t>gór</w:t>
      </w:r>
      <w:r w:rsidRPr="005A1CAE">
        <w:rPr>
          <w:noProof/>
        </w:rPr>
        <w:t>y przewidzieć.</w:t>
      </w:r>
    </w:p>
    <w:p w14:paraId="651BFD12" w14:textId="77777777" w:rsidR="00D357A3" w:rsidRPr="005A1CAE" w:rsidRDefault="00D357A3" w:rsidP="009F612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271"/>
        <w:gridCol w:w="1083"/>
        <w:gridCol w:w="1117"/>
        <w:gridCol w:w="602"/>
        <w:gridCol w:w="604"/>
        <w:gridCol w:w="1049"/>
        <w:gridCol w:w="1072"/>
        <w:gridCol w:w="1072"/>
        <w:gridCol w:w="1293"/>
        <w:gridCol w:w="1290"/>
      </w:tblGrid>
      <w:tr w:rsidR="00D0690F" w:rsidRPr="005A1CAE" w14:paraId="0F320B12" w14:textId="77777777" w:rsidTr="00105028">
        <w:trPr>
          <w:jc w:val="center"/>
        </w:trPr>
        <w:tc>
          <w:tcPr>
            <w:tcW w:w="1722" w:type="pct"/>
            <w:gridSpan w:val="2"/>
            <w:shd w:val="thinDiagStripe" w:color="C0C0C0" w:fill="auto"/>
            <w:vAlign w:val="center"/>
          </w:tcPr>
          <w:p w14:paraId="7DC88BDA" w14:textId="77777777" w:rsidR="00D0690F" w:rsidRPr="005A1CAE" w:rsidRDefault="00D0690F" w:rsidP="009F612D">
            <w:pPr>
              <w:spacing w:before="60" w:after="60"/>
              <w:jc w:val="center"/>
              <w:rPr>
                <w:b/>
                <w:noProof/>
              </w:rPr>
            </w:pPr>
            <w:r w:rsidRPr="005A1CAE">
              <w:rPr>
                <w:noProof/>
              </w:rPr>
              <w:br w:type="page"/>
            </w:r>
            <w:r w:rsidRPr="005A1CAE">
              <w:rPr>
                <w:b/>
                <w:noProof/>
                <w:sz w:val="22"/>
              </w:rPr>
              <w:t xml:space="preserve">Dział wieloletnich ram finansowych </w:t>
            </w:r>
          </w:p>
        </w:tc>
        <w:tc>
          <w:tcPr>
            <w:tcW w:w="388" w:type="pct"/>
            <w:shd w:val="thinDiagStripe" w:color="C0C0C0" w:fill="auto"/>
            <w:vAlign w:val="center"/>
          </w:tcPr>
          <w:p w14:paraId="11AA351E" w14:textId="77777777" w:rsidR="00D0690F" w:rsidRPr="005A1CAE" w:rsidRDefault="00D0690F" w:rsidP="009F612D">
            <w:pPr>
              <w:spacing w:before="60" w:after="60"/>
              <w:jc w:val="center"/>
              <w:rPr>
                <w:noProof/>
              </w:rPr>
            </w:pPr>
            <w:r w:rsidRPr="005A1CAE">
              <w:rPr>
                <w:b/>
                <w:noProof/>
                <w:sz w:val="22"/>
              </w:rPr>
              <w:t>7</w:t>
            </w:r>
          </w:p>
        </w:tc>
        <w:tc>
          <w:tcPr>
            <w:tcW w:w="2890" w:type="pct"/>
            <w:gridSpan w:val="8"/>
            <w:vAlign w:val="center"/>
          </w:tcPr>
          <w:p w14:paraId="49C46A62" w14:textId="77777777" w:rsidR="00D0690F" w:rsidRPr="005A1CAE" w:rsidRDefault="00D0690F" w:rsidP="009F612D">
            <w:pPr>
              <w:spacing w:before="60" w:after="60"/>
              <w:rPr>
                <w:noProof/>
              </w:rPr>
            </w:pPr>
            <w:r w:rsidRPr="005A1CAE">
              <w:rPr>
                <w:noProof/>
                <w:sz w:val="22"/>
              </w:rPr>
              <w:t>„Wydatki administracyjne”</w:t>
            </w:r>
            <w:r w:rsidRPr="005A1CAE">
              <w:rPr>
                <w:noProof/>
              </w:rPr>
              <w:t xml:space="preserve"> </w:t>
            </w:r>
          </w:p>
        </w:tc>
      </w:tr>
      <w:tr w:rsidR="00D0690F" w:rsidRPr="005A1CAE" w14:paraId="64C49C0F" w14:textId="77777777" w:rsidTr="0010502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2930"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0DDF605F" w14:textId="77777777" w:rsidR="00D0690F" w:rsidRPr="005A1CAE" w:rsidRDefault="00D0690F" w:rsidP="009F612D">
            <w:pPr>
              <w:spacing w:before="0" w:after="0"/>
              <w:jc w:val="center"/>
              <w:rPr>
                <w:noProof/>
                <w:color w:val="000000"/>
                <w:szCs w:val="24"/>
              </w:rPr>
            </w:pPr>
            <w:r w:rsidRPr="005A1CAE">
              <w:rPr>
                <w:noProof/>
                <w:color w:val="000000"/>
              </w:rPr>
              <w:t>DG TAXUD</w:t>
            </w:r>
          </w:p>
        </w:tc>
        <w:tc>
          <w:tcPr>
            <w:tcW w:w="376" w:type="pct"/>
            <w:tcBorders>
              <w:top w:val="single" w:sz="8" w:space="0" w:color="auto"/>
              <w:left w:val="nil"/>
              <w:bottom w:val="nil"/>
              <w:right w:val="single" w:sz="8" w:space="0" w:color="auto"/>
            </w:tcBorders>
            <w:vAlign w:val="center"/>
            <w:hideMark/>
          </w:tcPr>
          <w:p w14:paraId="4D80E425"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384" w:type="pct"/>
            <w:tcBorders>
              <w:top w:val="single" w:sz="8" w:space="0" w:color="auto"/>
              <w:left w:val="nil"/>
              <w:bottom w:val="nil"/>
              <w:right w:val="single" w:sz="8" w:space="0" w:color="auto"/>
            </w:tcBorders>
            <w:vAlign w:val="center"/>
            <w:hideMark/>
          </w:tcPr>
          <w:p w14:paraId="64BD2BCB"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384" w:type="pct"/>
            <w:tcBorders>
              <w:top w:val="single" w:sz="8" w:space="0" w:color="auto"/>
              <w:left w:val="nil"/>
              <w:bottom w:val="nil"/>
              <w:right w:val="single" w:sz="8" w:space="0" w:color="auto"/>
            </w:tcBorders>
            <w:vAlign w:val="center"/>
            <w:hideMark/>
          </w:tcPr>
          <w:p w14:paraId="4845E81B"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463" w:type="pct"/>
            <w:tcBorders>
              <w:top w:val="single" w:sz="8" w:space="0" w:color="auto"/>
              <w:left w:val="nil"/>
              <w:bottom w:val="nil"/>
              <w:right w:val="single" w:sz="8" w:space="0" w:color="auto"/>
            </w:tcBorders>
            <w:vAlign w:val="center"/>
            <w:hideMark/>
          </w:tcPr>
          <w:p w14:paraId="3CE63A16" w14:textId="77777777" w:rsidR="00D0690F" w:rsidRPr="005A1CAE" w:rsidRDefault="00D0690F" w:rsidP="009F612D">
            <w:pPr>
              <w:spacing w:before="0" w:after="0"/>
              <w:jc w:val="center"/>
              <w:rPr>
                <w:noProof/>
                <w:color w:val="000000"/>
                <w:sz w:val="20"/>
                <w:szCs w:val="20"/>
              </w:rPr>
            </w:pPr>
            <w:r w:rsidRPr="005A1CAE">
              <w:rPr>
                <w:noProof/>
                <w:color w:val="000000"/>
                <w:sz w:val="20"/>
              </w:rPr>
              <w:t>Rok</w:t>
            </w:r>
          </w:p>
        </w:tc>
        <w:tc>
          <w:tcPr>
            <w:tcW w:w="463" w:type="pct"/>
            <w:vMerge w:val="restart"/>
            <w:tcBorders>
              <w:top w:val="single" w:sz="8" w:space="0" w:color="auto"/>
              <w:left w:val="single" w:sz="8" w:space="0" w:color="auto"/>
              <w:bottom w:val="single" w:sz="8" w:space="0" w:color="000000"/>
              <w:right w:val="single" w:sz="8" w:space="0" w:color="auto"/>
            </w:tcBorders>
            <w:vAlign w:val="center"/>
            <w:hideMark/>
          </w:tcPr>
          <w:p w14:paraId="674F3582"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OGÓŁEM WRF 2021–2027</w:t>
            </w:r>
          </w:p>
        </w:tc>
      </w:tr>
      <w:tr w:rsidR="00D0690F" w:rsidRPr="005A1CAE" w14:paraId="7ECB8576" w14:textId="77777777" w:rsidTr="0010502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30" w:type="pct"/>
            <w:gridSpan w:val="6"/>
            <w:vMerge/>
            <w:tcBorders>
              <w:top w:val="single" w:sz="8" w:space="0" w:color="auto"/>
              <w:left w:val="single" w:sz="8" w:space="0" w:color="auto"/>
              <w:bottom w:val="single" w:sz="8" w:space="0" w:color="auto"/>
              <w:right w:val="single" w:sz="8" w:space="0" w:color="auto"/>
            </w:tcBorders>
            <w:vAlign w:val="center"/>
            <w:hideMark/>
          </w:tcPr>
          <w:p w14:paraId="65A3D180" w14:textId="77777777" w:rsidR="00D0690F" w:rsidRPr="005A1CAE" w:rsidRDefault="00D0690F" w:rsidP="009F612D">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58A90479"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2024</w:t>
            </w:r>
          </w:p>
        </w:tc>
        <w:tc>
          <w:tcPr>
            <w:tcW w:w="384" w:type="pct"/>
            <w:tcBorders>
              <w:top w:val="nil"/>
              <w:left w:val="nil"/>
              <w:bottom w:val="single" w:sz="8" w:space="0" w:color="auto"/>
              <w:right w:val="single" w:sz="8" w:space="0" w:color="auto"/>
            </w:tcBorders>
            <w:vAlign w:val="center"/>
            <w:hideMark/>
          </w:tcPr>
          <w:p w14:paraId="671D8227"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2025</w:t>
            </w:r>
          </w:p>
        </w:tc>
        <w:tc>
          <w:tcPr>
            <w:tcW w:w="384" w:type="pct"/>
            <w:tcBorders>
              <w:top w:val="nil"/>
              <w:left w:val="nil"/>
              <w:bottom w:val="single" w:sz="8" w:space="0" w:color="auto"/>
              <w:right w:val="single" w:sz="8" w:space="0" w:color="auto"/>
            </w:tcBorders>
            <w:vAlign w:val="center"/>
            <w:hideMark/>
          </w:tcPr>
          <w:p w14:paraId="7216F718"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2026</w:t>
            </w:r>
          </w:p>
        </w:tc>
        <w:tc>
          <w:tcPr>
            <w:tcW w:w="463" w:type="pct"/>
            <w:tcBorders>
              <w:top w:val="nil"/>
              <w:left w:val="nil"/>
              <w:bottom w:val="single" w:sz="8" w:space="0" w:color="auto"/>
              <w:right w:val="single" w:sz="8" w:space="0" w:color="auto"/>
            </w:tcBorders>
            <w:vAlign w:val="center"/>
            <w:hideMark/>
          </w:tcPr>
          <w:p w14:paraId="76124741" w14:textId="77777777" w:rsidR="00D0690F" w:rsidRPr="005A1CAE" w:rsidRDefault="00D0690F" w:rsidP="009F612D">
            <w:pPr>
              <w:spacing w:before="0" w:after="0"/>
              <w:jc w:val="center"/>
              <w:rPr>
                <w:b/>
                <w:bCs/>
                <w:noProof/>
                <w:color w:val="000000"/>
                <w:sz w:val="20"/>
                <w:szCs w:val="20"/>
              </w:rPr>
            </w:pPr>
            <w:r w:rsidRPr="005A1CAE">
              <w:rPr>
                <w:b/>
                <w:noProof/>
                <w:color w:val="000000"/>
                <w:sz w:val="20"/>
              </w:rPr>
              <w:t>2027</w:t>
            </w:r>
          </w:p>
        </w:tc>
        <w:tc>
          <w:tcPr>
            <w:tcW w:w="463" w:type="pct"/>
            <w:vMerge/>
            <w:tcBorders>
              <w:top w:val="single" w:sz="8" w:space="0" w:color="auto"/>
              <w:left w:val="single" w:sz="8" w:space="0" w:color="auto"/>
              <w:bottom w:val="single" w:sz="8" w:space="0" w:color="000000"/>
              <w:right w:val="single" w:sz="8" w:space="0" w:color="auto"/>
            </w:tcBorders>
            <w:vAlign w:val="center"/>
            <w:hideMark/>
          </w:tcPr>
          <w:p w14:paraId="36448C6A" w14:textId="77777777" w:rsidR="00D0690F" w:rsidRPr="005A1CAE" w:rsidRDefault="00D0690F" w:rsidP="009F612D">
            <w:pPr>
              <w:spacing w:before="0" w:after="0"/>
              <w:jc w:val="left"/>
              <w:rPr>
                <w:b/>
                <w:bCs/>
                <w:noProof/>
                <w:color w:val="000000"/>
                <w:sz w:val="20"/>
                <w:szCs w:val="20"/>
                <w:lang w:eastAsia="en-IE"/>
              </w:rPr>
            </w:pPr>
          </w:p>
        </w:tc>
      </w:tr>
      <w:tr w:rsidR="00D357A3" w:rsidRPr="005A1CAE" w14:paraId="2F8570E6" w14:textId="77777777" w:rsidTr="0010502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30" w:type="pct"/>
            <w:gridSpan w:val="6"/>
            <w:tcBorders>
              <w:top w:val="single" w:sz="8" w:space="0" w:color="auto"/>
              <w:left w:val="single" w:sz="8" w:space="0" w:color="auto"/>
              <w:bottom w:val="single" w:sz="8" w:space="0" w:color="auto"/>
              <w:right w:val="single" w:sz="8" w:space="0" w:color="auto"/>
            </w:tcBorders>
            <w:vAlign w:val="center"/>
            <w:hideMark/>
          </w:tcPr>
          <w:p w14:paraId="60CC0098" w14:textId="77777777" w:rsidR="00D357A3" w:rsidRPr="005A1CAE" w:rsidRDefault="00D357A3" w:rsidP="00D357A3">
            <w:pPr>
              <w:spacing w:before="0" w:after="0"/>
              <w:jc w:val="left"/>
              <w:rPr>
                <w:rFonts w:ascii="Wingdings" w:hAnsi="Wingdings" w:cs="Calibri"/>
                <w:noProof/>
                <w:color w:val="000000"/>
                <w:sz w:val="22"/>
              </w:rPr>
            </w:pPr>
            <w:r w:rsidRPr="005A1CAE">
              <w:rPr>
                <w:rFonts w:ascii="Wingdings" w:hAnsi="Wingdings"/>
                <w:noProof/>
                <w:color w:val="000000"/>
                <w:sz w:val="22"/>
              </w:rPr>
              <w:t></w:t>
            </w:r>
            <w:r w:rsidRPr="005A1CAE">
              <w:rPr>
                <w:noProof/>
              </w:rPr>
              <w:t xml:space="preserve"> Zasoby ludzkie</w:t>
            </w:r>
            <w:r w:rsidRPr="005A1CAE">
              <w:rPr>
                <w:noProof/>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14:paraId="0D3FA375" w14:textId="77777777" w:rsidR="00D357A3" w:rsidRPr="005A1CAE" w:rsidRDefault="00D357A3" w:rsidP="00D357A3">
            <w:pPr>
              <w:spacing w:before="0" w:after="0"/>
              <w:jc w:val="right"/>
              <w:rPr>
                <w:noProof/>
                <w:color w:val="000000"/>
                <w:sz w:val="20"/>
                <w:szCs w:val="20"/>
              </w:rPr>
            </w:pPr>
            <w:r w:rsidRPr="005A1CAE">
              <w:rPr>
                <w:noProof/>
                <w:sz w:val="20"/>
              </w:rPr>
              <w:t>8,572</w:t>
            </w:r>
          </w:p>
        </w:tc>
        <w:tc>
          <w:tcPr>
            <w:tcW w:w="384" w:type="pct"/>
            <w:tcBorders>
              <w:top w:val="nil"/>
              <w:left w:val="nil"/>
              <w:bottom w:val="single" w:sz="8" w:space="0" w:color="auto"/>
              <w:right w:val="single" w:sz="8" w:space="0" w:color="auto"/>
            </w:tcBorders>
            <w:shd w:val="clear" w:color="000000" w:fill="D9D9D9"/>
            <w:vAlign w:val="center"/>
            <w:hideMark/>
          </w:tcPr>
          <w:p w14:paraId="5D6E89FB" w14:textId="77777777" w:rsidR="00D357A3" w:rsidRPr="005A1CAE" w:rsidRDefault="00D357A3" w:rsidP="00D357A3">
            <w:pPr>
              <w:spacing w:before="0" w:after="0"/>
              <w:jc w:val="right"/>
              <w:rPr>
                <w:noProof/>
                <w:color w:val="000000"/>
                <w:sz w:val="20"/>
                <w:szCs w:val="20"/>
              </w:rPr>
            </w:pPr>
            <w:r w:rsidRPr="005A1CAE">
              <w:rPr>
                <w:noProof/>
                <w:sz w:val="20"/>
              </w:rPr>
              <w:t>6,271</w:t>
            </w:r>
          </w:p>
        </w:tc>
        <w:tc>
          <w:tcPr>
            <w:tcW w:w="384" w:type="pct"/>
            <w:tcBorders>
              <w:top w:val="nil"/>
              <w:left w:val="nil"/>
              <w:bottom w:val="single" w:sz="8" w:space="0" w:color="auto"/>
              <w:right w:val="single" w:sz="8" w:space="0" w:color="auto"/>
            </w:tcBorders>
            <w:shd w:val="clear" w:color="000000" w:fill="D9D9D9"/>
            <w:vAlign w:val="center"/>
            <w:hideMark/>
          </w:tcPr>
          <w:p w14:paraId="74B05126" w14:textId="77777777" w:rsidR="00D357A3" w:rsidRPr="005A1CAE" w:rsidRDefault="00D357A3" w:rsidP="00D357A3">
            <w:pPr>
              <w:spacing w:before="0" w:after="0"/>
              <w:jc w:val="right"/>
              <w:rPr>
                <w:noProof/>
                <w:color w:val="000000"/>
                <w:sz w:val="20"/>
                <w:szCs w:val="20"/>
              </w:rPr>
            </w:pPr>
            <w:r w:rsidRPr="005A1CAE">
              <w:rPr>
                <w:noProof/>
                <w:sz w:val="20"/>
              </w:rPr>
              <w:t>8,740</w:t>
            </w:r>
          </w:p>
        </w:tc>
        <w:tc>
          <w:tcPr>
            <w:tcW w:w="463" w:type="pct"/>
            <w:tcBorders>
              <w:top w:val="nil"/>
              <w:left w:val="nil"/>
              <w:bottom w:val="single" w:sz="8" w:space="0" w:color="auto"/>
              <w:right w:val="single" w:sz="8" w:space="0" w:color="auto"/>
            </w:tcBorders>
            <w:shd w:val="clear" w:color="000000" w:fill="D9D9D9"/>
            <w:vAlign w:val="center"/>
            <w:hideMark/>
          </w:tcPr>
          <w:p w14:paraId="2B261F62" w14:textId="77777777" w:rsidR="00D357A3" w:rsidRPr="005A1CAE" w:rsidRDefault="00105028" w:rsidP="00D357A3">
            <w:pPr>
              <w:spacing w:before="0" w:after="0"/>
              <w:jc w:val="right"/>
              <w:rPr>
                <w:noProof/>
                <w:color w:val="000000"/>
                <w:sz w:val="20"/>
                <w:szCs w:val="20"/>
              </w:rPr>
            </w:pPr>
            <w:r w:rsidRPr="005A1CAE">
              <w:rPr>
                <w:noProof/>
                <w:sz w:val="20"/>
              </w:rPr>
              <w:t>11,700</w:t>
            </w:r>
          </w:p>
        </w:tc>
        <w:tc>
          <w:tcPr>
            <w:tcW w:w="463" w:type="pct"/>
            <w:tcBorders>
              <w:top w:val="nil"/>
              <w:left w:val="nil"/>
              <w:bottom w:val="single" w:sz="8" w:space="0" w:color="auto"/>
              <w:right w:val="single" w:sz="8" w:space="0" w:color="auto"/>
            </w:tcBorders>
            <w:shd w:val="clear" w:color="000000" w:fill="D9D9D9"/>
            <w:vAlign w:val="center"/>
            <w:hideMark/>
          </w:tcPr>
          <w:p w14:paraId="708EC0C0" w14:textId="77777777" w:rsidR="00D357A3" w:rsidRPr="005A1CAE" w:rsidRDefault="00105028" w:rsidP="00D357A3">
            <w:pPr>
              <w:spacing w:before="0" w:after="0"/>
              <w:jc w:val="right"/>
              <w:rPr>
                <w:b/>
                <w:bCs/>
                <w:noProof/>
                <w:color w:val="000000"/>
                <w:sz w:val="20"/>
                <w:szCs w:val="20"/>
              </w:rPr>
            </w:pPr>
            <w:r w:rsidRPr="005A1CAE">
              <w:rPr>
                <w:b/>
                <w:noProof/>
                <w:sz w:val="20"/>
              </w:rPr>
              <w:t>35,283</w:t>
            </w:r>
          </w:p>
        </w:tc>
      </w:tr>
      <w:tr w:rsidR="00D357A3" w:rsidRPr="005A1CAE" w14:paraId="14320749" w14:textId="77777777" w:rsidTr="0010502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30" w:type="pct"/>
            <w:gridSpan w:val="6"/>
            <w:tcBorders>
              <w:top w:val="single" w:sz="8" w:space="0" w:color="auto"/>
              <w:left w:val="single" w:sz="8" w:space="0" w:color="auto"/>
              <w:bottom w:val="single" w:sz="8" w:space="0" w:color="auto"/>
              <w:right w:val="single" w:sz="8" w:space="0" w:color="auto"/>
            </w:tcBorders>
            <w:vAlign w:val="center"/>
            <w:hideMark/>
          </w:tcPr>
          <w:p w14:paraId="2D48F7CE" w14:textId="77777777" w:rsidR="00D357A3" w:rsidRPr="005A1CAE" w:rsidRDefault="00D357A3" w:rsidP="00D357A3">
            <w:pPr>
              <w:spacing w:before="0" w:after="0"/>
              <w:jc w:val="left"/>
              <w:rPr>
                <w:rFonts w:ascii="Wingdings" w:hAnsi="Wingdings" w:cs="Calibri"/>
                <w:noProof/>
                <w:color w:val="000000"/>
                <w:sz w:val="22"/>
              </w:rPr>
            </w:pPr>
            <w:r w:rsidRPr="005A1CAE">
              <w:rPr>
                <w:rFonts w:ascii="Wingdings" w:hAnsi="Wingdings"/>
                <w:noProof/>
                <w:color w:val="000000"/>
                <w:sz w:val="22"/>
              </w:rPr>
              <w:t></w:t>
            </w:r>
            <w:r w:rsidRPr="005A1CAE">
              <w:rPr>
                <w:noProof/>
              </w:rPr>
              <w:t xml:space="preserve"> Pozostałe wydatki administracyjne</w:t>
            </w:r>
            <w:r w:rsidRPr="005A1CAE">
              <w:rPr>
                <w:noProof/>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14:paraId="635761EA" w14:textId="77777777" w:rsidR="00D357A3" w:rsidRPr="005A1CAE" w:rsidRDefault="00D357A3" w:rsidP="00D357A3">
            <w:pPr>
              <w:spacing w:before="0" w:after="0"/>
              <w:jc w:val="right"/>
              <w:rPr>
                <w:noProof/>
                <w:color w:val="000000"/>
                <w:sz w:val="20"/>
                <w:szCs w:val="20"/>
              </w:rPr>
            </w:pPr>
            <w:r w:rsidRPr="005A1CAE">
              <w:rPr>
                <w:noProof/>
                <w:sz w:val="20"/>
              </w:rPr>
              <w:t>0,600</w:t>
            </w:r>
          </w:p>
        </w:tc>
        <w:tc>
          <w:tcPr>
            <w:tcW w:w="384" w:type="pct"/>
            <w:tcBorders>
              <w:top w:val="nil"/>
              <w:left w:val="nil"/>
              <w:bottom w:val="single" w:sz="8" w:space="0" w:color="auto"/>
              <w:right w:val="single" w:sz="8" w:space="0" w:color="auto"/>
            </w:tcBorders>
            <w:shd w:val="clear" w:color="000000" w:fill="D9D9D9"/>
            <w:vAlign w:val="center"/>
            <w:hideMark/>
          </w:tcPr>
          <w:p w14:paraId="2A54442C" w14:textId="77777777" w:rsidR="00D357A3" w:rsidRPr="005A1CAE" w:rsidRDefault="00D357A3" w:rsidP="00D357A3">
            <w:pPr>
              <w:spacing w:before="0" w:after="0"/>
              <w:jc w:val="right"/>
              <w:rPr>
                <w:noProof/>
                <w:color w:val="000000"/>
                <w:sz w:val="20"/>
                <w:szCs w:val="20"/>
              </w:rPr>
            </w:pPr>
            <w:r w:rsidRPr="005A1CAE">
              <w:rPr>
                <w:noProof/>
                <w:sz w:val="20"/>
              </w:rPr>
              <w:t>0,300</w:t>
            </w:r>
          </w:p>
        </w:tc>
        <w:tc>
          <w:tcPr>
            <w:tcW w:w="384" w:type="pct"/>
            <w:tcBorders>
              <w:top w:val="nil"/>
              <w:left w:val="nil"/>
              <w:bottom w:val="single" w:sz="8" w:space="0" w:color="auto"/>
              <w:right w:val="single" w:sz="8" w:space="0" w:color="auto"/>
            </w:tcBorders>
            <w:shd w:val="clear" w:color="000000" w:fill="D9D9D9"/>
            <w:vAlign w:val="center"/>
            <w:hideMark/>
          </w:tcPr>
          <w:p w14:paraId="7DC8109E" w14:textId="77777777" w:rsidR="00D357A3" w:rsidRPr="005A1CAE" w:rsidRDefault="00D357A3" w:rsidP="00D357A3">
            <w:pPr>
              <w:spacing w:before="0" w:after="0"/>
              <w:jc w:val="right"/>
              <w:rPr>
                <w:noProof/>
                <w:color w:val="000000"/>
                <w:sz w:val="20"/>
                <w:szCs w:val="20"/>
              </w:rPr>
            </w:pPr>
            <w:r w:rsidRPr="005A1CAE">
              <w:rPr>
                <w:noProof/>
                <w:sz w:val="20"/>
              </w:rPr>
              <w:t>0,306</w:t>
            </w:r>
          </w:p>
        </w:tc>
        <w:tc>
          <w:tcPr>
            <w:tcW w:w="463" w:type="pct"/>
            <w:tcBorders>
              <w:top w:val="nil"/>
              <w:left w:val="nil"/>
              <w:bottom w:val="single" w:sz="8" w:space="0" w:color="auto"/>
              <w:right w:val="single" w:sz="8" w:space="0" w:color="auto"/>
            </w:tcBorders>
            <w:shd w:val="clear" w:color="000000" w:fill="D9D9D9"/>
            <w:vAlign w:val="center"/>
            <w:hideMark/>
          </w:tcPr>
          <w:p w14:paraId="7F3265EB" w14:textId="77777777" w:rsidR="00D357A3" w:rsidRPr="005A1CAE" w:rsidRDefault="00D357A3" w:rsidP="00D357A3">
            <w:pPr>
              <w:spacing w:before="0" w:after="0"/>
              <w:jc w:val="right"/>
              <w:rPr>
                <w:noProof/>
                <w:color w:val="000000"/>
                <w:sz w:val="20"/>
                <w:szCs w:val="20"/>
              </w:rPr>
            </w:pPr>
            <w:r w:rsidRPr="005A1CAE">
              <w:rPr>
                <w:noProof/>
                <w:sz w:val="20"/>
              </w:rPr>
              <w:t>0,312</w:t>
            </w:r>
          </w:p>
        </w:tc>
        <w:tc>
          <w:tcPr>
            <w:tcW w:w="463" w:type="pct"/>
            <w:tcBorders>
              <w:top w:val="nil"/>
              <w:left w:val="nil"/>
              <w:bottom w:val="single" w:sz="8" w:space="0" w:color="auto"/>
              <w:right w:val="single" w:sz="8" w:space="0" w:color="auto"/>
            </w:tcBorders>
            <w:shd w:val="clear" w:color="000000" w:fill="D9D9D9"/>
            <w:vAlign w:val="center"/>
            <w:hideMark/>
          </w:tcPr>
          <w:p w14:paraId="4B7CF78F" w14:textId="77777777" w:rsidR="00D357A3" w:rsidRPr="005A1CAE" w:rsidRDefault="00D357A3" w:rsidP="00D357A3">
            <w:pPr>
              <w:spacing w:before="0" w:after="0"/>
              <w:jc w:val="right"/>
              <w:rPr>
                <w:b/>
                <w:bCs/>
                <w:noProof/>
                <w:color w:val="000000"/>
                <w:sz w:val="20"/>
                <w:szCs w:val="20"/>
              </w:rPr>
            </w:pPr>
            <w:r w:rsidRPr="005A1CAE">
              <w:rPr>
                <w:b/>
                <w:noProof/>
                <w:sz w:val="20"/>
              </w:rPr>
              <w:t>1,518</w:t>
            </w:r>
          </w:p>
        </w:tc>
      </w:tr>
      <w:tr w:rsidR="00D357A3" w:rsidRPr="005A1CAE" w14:paraId="546884FC" w14:textId="77777777" w:rsidTr="0010502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24" w:type="pct"/>
            <w:tcBorders>
              <w:top w:val="nil"/>
              <w:left w:val="single" w:sz="8" w:space="0" w:color="auto"/>
              <w:bottom w:val="single" w:sz="8" w:space="0" w:color="auto"/>
              <w:right w:val="single" w:sz="8" w:space="0" w:color="auto"/>
            </w:tcBorders>
            <w:vAlign w:val="center"/>
            <w:hideMark/>
          </w:tcPr>
          <w:p w14:paraId="5E4E494B" w14:textId="77777777" w:rsidR="00D357A3" w:rsidRPr="005A1CAE" w:rsidRDefault="00D357A3" w:rsidP="00D357A3">
            <w:pPr>
              <w:spacing w:before="0" w:after="0"/>
              <w:jc w:val="center"/>
              <w:rPr>
                <w:b/>
                <w:bCs/>
                <w:noProof/>
                <w:color w:val="000000"/>
                <w:sz w:val="22"/>
              </w:rPr>
            </w:pPr>
            <w:r w:rsidRPr="005A1CAE">
              <w:rPr>
                <w:b/>
                <w:bCs/>
                <w:noProof/>
                <w:color w:val="000000"/>
                <w:sz w:val="22"/>
              </w:rPr>
              <w:t>OGÓŁEM DG</w:t>
            </w:r>
            <w:r w:rsidRPr="005A1CAE">
              <w:rPr>
                <w:noProof/>
                <w:color w:val="000000"/>
                <w:sz w:val="22"/>
              </w:rPr>
              <w:t xml:space="preserve"> TAXUD</w:t>
            </w:r>
          </w:p>
        </w:tc>
        <w:tc>
          <w:tcPr>
            <w:tcW w:w="1306" w:type="pct"/>
            <w:gridSpan w:val="5"/>
            <w:tcBorders>
              <w:top w:val="single" w:sz="8" w:space="0" w:color="auto"/>
              <w:left w:val="nil"/>
              <w:bottom w:val="single" w:sz="8" w:space="0" w:color="auto"/>
              <w:right w:val="single" w:sz="8" w:space="0" w:color="auto"/>
            </w:tcBorders>
            <w:vAlign w:val="center"/>
            <w:hideMark/>
          </w:tcPr>
          <w:p w14:paraId="7C5EB0E9" w14:textId="77777777" w:rsidR="00D357A3" w:rsidRPr="005A1CAE" w:rsidRDefault="00D357A3" w:rsidP="00D357A3">
            <w:pPr>
              <w:spacing w:before="0" w:after="0"/>
              <w:jc w:val="left"/>
              <w:rPr>
                <w:noProof/>
                <w:color w:val="000000"/>
                <w:sz w:val="18"/>
                <w:szCs w:val="18"/>
              </w:rPr>
            </w:pPr>
            <w:r w:rsidRPr="005A1CAE">
              <w:rPr>
                <w:noProof/>
                <w:color w:val="000000"/>
                <w:sz w:val="18"/>
              </w:rPr>
              <w:t xml:space="preserve">Środki </w:t>
            </w:r>
          </w:p>
        </w:tc>
        <w:tc>
          <w:tcPr>
            <w:tcW w:w="376" w:type="pct"/>
            <w:tcBorders>
              <w:top w:val="nil"/>
              <w:left w:val="nil"/>
              <w:bottom w:val="single" w:sz="8" w:space="0" w:color="auto"/>
              <w:right w:val="single" w:sz="8" w:space="0" w:color="auto"/>
            </w:tcBorders>
            <w:shd w:val="clear" w:color="000000" w:fill="D9D9D9"/>
            <w:vAlign w:val="center"/>
            <w:hideMark/>
          </w:tcPr>
          <w:p w14:paraId="57B5E5B6" w14:textId="77777777" w:rsidR="00D357A3" w:rsidRPr="005A1CAE" w:rsidRDefault="00D357A3" w:rsidP="00D357A3">
            <w:pPr>
              <w:spacing w:before="0" w:after="0"/>
              <w:jc w:val="right"/>
              <w:rPr>
                <w:b/>
                <w:bCs/>
                <w:noProof/>
                <w:color w:val="000000"/>
                <w:sz w:val="20"/>
                <w:szCs w:val="20"/>
              </w:rPr>
            </w:pPr>
            <w:r w:rsidRPr="005A1CAE">
              <w:rPr>
                <w:b/>
                <w:noProof/>
                <w:sz w:val="20"/>
              </w:rPr>
              <w:t>9,172</w:t>
            </w:r>
          </w:p>
        </w:tc>
        <w:tc>
          <w:tcPr>
            <w:tcW w:w="384" w:type="pct"/>
            <w:tcBorders>
              <w:top w:val="nil"/>
              <w:left w:val="nil"/>
              <w:bottom w:val="single" w:sz="8" w:space="0" w:color="auto"/>
              <w:right w:val="single" w:sz="8" w:space="0" w:color="auto"/>
            </w:tcBorders>
            <w:shd w:val="clear" w:color="000000" w:fill="D9D9D9"/>
            <w:vAlign w:val="center"/>
            <w:hideMark/>
          </w:tcPr>
          <w:p w14:paraId="783A55C0" w14:textId="77777777" w:rsidR="00D357A3" w:rsidRPr="005A1CAE" w:rsidRDefault="00D357A3" w:rsidP="00D357A3">
            <w:pPr>
              <w:spacing w:before="0" w:after="0"/>
              <w:jc w:val="right"/>
              <w:rPr>
                <w:b/>
                <w:bCs/>
                <w:noProof/>
                <w:color w:val="000000"/>
                <w:sz w:val="20"/>
                <w:szCs w:val="20"/>
              </w:rPr>
            </w:pPr>
            <w:r w:rsidRPr="005A1CAE">
              <w:rPr>
                <w:b/>
                <w:noProof/>
                <w:sz w:val="20"/>
              </w:rPr>
              <w:t>6,571</w:t>
            </w:r>
          </w:p>
        </w:tc>
        <w:tc>
          <w:tcPr>
            <w:tcW w:w="384" w:type="pct"/>
            <w:tcBorders>
              <w:top w:val="nil"/>
              <w:left w:val="nil"/>
              <w:bottom w:val="single" w:sz="8" w:space="0" w:color="auto"/>
              <w:right w:val="single" w:sz="8" w:space="0" w:color="auto"/>
            </w:tcBorders>
            <w:shd w:val="clear" w:color="000000" w:fill="D9D9D9"/>
            <w:vAlign w:val="center"/>
            <w:hideMark/>
          </w:tcPr>
          <w:p w14:paraId="70F89065" w14:textId="77777777" w:rsidR="00D357A3" w:rsidRPr="005A1CAE" w:rsidRDefault="00D357A3" w:rsidP="00D357A3">
            <w:pPr>
              <w:spacing w:before="0" w:after="0"/>
              <w:jc w:val="right"/>
              <w:rPr>
                <w:b/>
                <w:bCs/>
                <w:noProof/>
                <w:color w:val="000000"/>
                <w:sz w:val="20"/>
                <w:szCs w:val="20"/>
              </w:rPr>
            </w:pPr>
            <w:r w:rsidRPr="005A1CAE">
              <w:rPr>
                <w:b/>
                <w:noProof/>
                <w:sz w:val="20"/>
              </w:rPr>
              <w:t>9,046</w:t>
            </w:r>
          </w:p>
        </w:tc>
        <w:tc>
          <w:tcPr>
            <w:tcW w:w="463" w:type="pct"/>
            <w:tcBorders>
              <w:top w:val="nil"/>
              <w:left w:val="nil"/>
              <w:bottom w:val="single" w:sz="8" w:space="0" w:color="auto"/>
              <w:right w:val="single" w:sz="8" w:space="0" w:color="auto"/>
            </w:tcBorders>
            <w:shd w:val="clear" w:color="000000" w:fill="D9D9D9"/>
            <w:vAlign w:val="center"/>
            <w:hideMark/>
          </w:tcPr>
          <w:p w14:paraId="0AC87765" w14:textId="77777777" w:rsidR="00D357A3" w:rsidRPr="005A1CAE" w:rsidRDefault="00105028" w:rsidP="00D357A3">
            <w:pPr>
              <w:spacing w:before="0" w:after="0"/>
              <w:jc w:val="right"/>
              <w:rPr>
                <w:b/>
                <w:bCs/>
                <w:noProof/>
                <w:color w:val="000000"/>
                <w:sz w:val="20"/>
                <w:szCs w:val="20"/>
              </w:rPr>
            </w:pPr>
            <w:r w:rsidRPr="005A1CAE">
              <w:rPr>
                <w:b/>
                <w:noProof/>
                <w:sz w:val="20"/>
              </w:rPr>
              <w:t>12,012</w:t>
            </w:r>
          </w:p>
        </w:tc>
        <w:tc>
          <w:tcPr>
            <w:tcW w:w="463" w:type="pct"/>
            <w:tcBorders>
              <w:top w:val="nil"/>
              <w:left w:val="nil"/>
              <w:bottom w:val="single" w:sz="8" w:space="0" w:color="auto"/>
              <w:right w:val="single" w:sz="8" w:space="0" w:color="auto"/>
            </w:tcBorders>
            <w:shd w:val="clear" w:color="000000" w:fill="D9D9D9"/>
            <w:vAlign w:val="center"/>
            <w:hideMark/>
          </w:tcPr>
          <w:p w14:paraId="4799052E" w14:textId="77777777" w:rsidR="00D357A3" w:rsidRPr="005A1CAE" w:rsidRDefault="00105028" w:rsidP="00D357A3">
            <w:pPr>
              <w:spacing w:before="0" w:after="0"/>
              <w:jc w:val="right"/>
              <w:rPr>
                <w:b/>
                <w:bCs/>
                <w:noProof/>
                <w:color w:val="000000"/>
                <w:sz w:val="20"/>
                <w:szCs w:val="20"/>
              </w:rPr>
            </w:pPr>
            <w:r w:rsidRPr="005A1CAE">
              <w:rPr>
                <w:b/>
                <w:noProof/>
                <w:sz w:val="20"/>
              </w:rPr>
              <w:t>36,801</w:t>
            </w:r>
          </w:p>
        </w:tc>
      </w:tr>
      <w:tr w:rsidR="00D0690F" w:rsidRPr="005A1CAE" w14:paraId="264DBCF5" w14:textId="77777777" w:rsidTr="0010502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24" w:type="pct"/>
            <w:tcBorders>
              <w:top w:val="nil"/>
              <w:left w:val="nil"/>
              <w:bottom w:val="nil"/>
              <w:right w:val="nil"/>
            </w:tcBorders>
            <w:noWrap/>
            <w:vAlign w:val="bottom"/>
            <w:hideMark/>
          </w:tcPr>
          <w:p w14:paraId="48C29821" w14:textId="77777777" w:rsidR="00D0690F" w:rsidRPr="005A1CAE" w:rsidRDefault="00D0690F" w:rsidP="009F612D">
            <w:pPr>
              <w:spacing w:before="0" w:after="0"/>
              <w:jc w:val="right"/>
              <w:rPr>
                <w:b/>
                <w:bCs/>
                <w:noProof/>
                <w:color w:val="000000"/>
                <w:sz w:val="20"/>
                <w:szCs w:val="20"/>
                <w:lang w:eastAsia="en-IE"/>
              </w:rPr>
            </w:pPr>
          </w:p>
        </w:tc>
        <w:tc>
          <w:tcPr>
            <w:tcW w:w="885" w:type="pct"/>
            <w:gridSpan w:val="3"/>
            <w:tcBorders>
              <w:top w:val="nil"/>
              <w:left w:val="nil"/>
              <w:bottom w:val="nil"/>
              <w:right w:val="nil"/>
            </w:tcBorders>
            <w:noWrap/>
            <w:vAlign w:val="bottom"/>
            <w:hideMark/>
          </w:tcPr>
          <w:p w14:paraId="6C5308FF" w14:textId="77777777" w:rsidR="00D0690F" w:rsidRPr="005A1CAE" w:rsidRDefault="00D0690F" w:rsidP="009F612D">
            <w:pPr>
              <w:spacing w:before="0" w:after="0"/>
              <w:jc w:val="left"/>
              <w:rPr>
                <w:noProof/>
                <w:sz w:val="20"/>
                <w:szCs w:val="20"/>
                <w:lang w:eastAsia="en-IE"/>
              </w:rPr>
            </w:pPr>
          </w:p>
        </w:tc>
        <w:tc>
          <w:tcPr>
            <w:tcW w:w="210" w:type="pct"/>
            <w:tcBorders>
              <w:top w:val="nil"/>
              <w:left w:val="nil"/>
              <w:bottom w:val="nil"/>
              <w:right w:val="nil"/>
            </w:tcBorders>
            <w:noWrap/>
            <w:vAlign w:val="bottom"/>
            <w:hideMark/>
          </w:tcPr>
          <w:p w14:paraId="488D04C4" w14:textId="77777777" w:rsidR="00D0690F" w:rsidRPr="005A1CAE" w:rsidRDefault="00D0690F" w:rsidP="009F612D">
            <w:pPr>
              <w:spacing w:before="0" w:after="0"/>
              <w:jc w:val="left"/>
              <w:rPr>
                <w:noProof/>
                <w:sz w:val="20"/>
                <w:szCs w:val="20"/>
                <w:lang w:eastAsia="en-IE"/>
              </w:rPr>
            </w:pPr>
          </w:p>
        </w:tc>
        <w:tc>
          <w:tcPr>
            <w:tcW w:w="211" w:type="pct"/>
            <w:tcBorders>
              <w:top w:val="nil"/>
              <w:left w:val="nil"/>
              <w:bottom w:val="nil"/>
              <w:right w:val="nil"/>
            </w:tcBorders>
            <w:noWrap/>
            <w:vAlign w:val="bottom"/>
            <w:hideMark/>
          </w:tcPr>
          <w:p w14:paraId="64FC9CDB" w14:textId="77777777" w:rsidR="00D0690F" w:rsidRPr="005A1CAE" w:rsidRDefault="00D0690F" w:rsidP="009F612D">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4A1A6C9A" w14:textId="77777777" w:rsidR="00D0690F" w:rsidRPr="005A1CAE" w:rsidRDefault="00D0690F" w:rsidP="009F612D">
            <w:pPr>
              <w:spacing w:before="0" w:after="0"/>
              <w:jc w:val="left"/>
              <w:rPr>
                <w:noProof/>
                <w:sz w:val="20"/>
                <w:szCs w:val="20"/>
                <w:lang w:eastAsia="en-IE"/>
              </w:rPr>
            </w:pPr>
          </w:p>
        </w:tc>
        <w:tc>
          <w:tcPr>
            <w:tcW w:w="384" w:type="pct"/>
            <w:tcBorders>
              <w:top w:val="nil"/>
              <w:left w:val="nil"/>
              <w:bottom w:val="nil"/>
              <w:right w:val="nil"/>
            </w:tcBorders>
            <w:noWrap/>
            <w:vAlign w:val="bottom"/>
            <w:hideMark/>
          </w:tcPr>
          <w:p w14:paraId="72C53120" w14:textId="77777777" w:rsidR="00D0690F" w:rsidRPr="005A1CAE" w:rsidRDefault="00D0690F" w:rsidP="009F612D">
            <w:pPr>
              <w:spacing w:before="0" w:after="0"/>
              <w:jc w:val="left"/>
              <w:rPr>
                <w:noProof/>
                <w:sz w:val="20"/>
                <w:szCs w:val="20"/>
                <w:lang w:eastAsia="en-IE"/>
              </w:rPr>
            </w:pPr>
          </w:p>
        </w:tc>
        <w:tc>
          <w:tcPr>
            <w:tcW w:w="384" w:type="pct"/>
            <w:tcBorders>
              <w:top w:val="nil"/>
              <w:left w:val="nil"/>
              <w:bottom w:val="nil"/>
              <w:right w:val="nil"/>
            </w:tcBorders>
            <w:noWrap/>
            <w:vAlign w:val="bottom"/>
            <w:hideMark/>
          </w:tcPr>
          <w:p w14:paraId="11FA8905" w14:textId="77777777" w:rsidR="00D0690F" w:rsidRPr="005A1CAE" w:rsidRDefault="00D0690F" w:rsidP="009F612D">
            <w:pPr>
              <w:spacing w:before="0" w:after="0"/>
              <w:jc w:val="left"/>
              <w:rPr>
                <w:noProof/>
                <w:sz w:val="20"/>
                <w:szCs w:val="20"/>
                <w:lang w:eastAsia="en-IE"/>
              </w:rPr>
            </w:pPr>
          </w:p>
        </w:tc>
        <w:tc>
          <w:tcPr>
            <w:tcW w:w="463" w:type="pct"/>
            <w:tcBorders>
              <w:top w:val="nil"/>
              <w:left w:val="nil"/>
              <w:bottom w:val="nil"/>
              <w:right w:val="nil"/>
            </w:tcBorders>
            <w:noWrap/>
            <w:vAlign w:val="bottom"/>
            <w:hideMark/>
          </w:tcPr>
          <w:p w14:paraId="536749F9" w14:textId="77777777" w:rsidR="00D0690F" w:rsidRPr="005A1CAE" w:rsidRDefault="00D0690F" w:rsidP="009F612D">
            <w:pPr>
              <w:spacing w:before="0" w:after="0"/>
              <w:jc w:val="left"/>
              <w:rPr>
                <w:noProof/>
                <w:sz w:val="20"/>
                <w:szCs w:val="20"/>
                <w:lang w:eastAsia="en-IE"/>
              </w:rPr>
            </w:pPr>
          </w:p>
        </w:tc>
        <w:tc>
          <w:tcPr>
            <w:tcW w:w="463" w:type="pct"/>
            <w:tcBorders>
              <w:top w:val="nil"/>
              <w:left w:val="nil"/>
              <w:bottom w:val="nil"/>
              <w:right w:val="nil"/>
            </w:tcBorders>
            <w:noWrap/>
            <w:vAlign w:val="bottom"/>
            <w:hideMark/>
          </w:tcPr>
          <w:p w14:paraId="3C8DC866" w14:textId="77777777" w:rsidR="00D0690F" w:rsidRPr="005A1CAE" w:rsidRDefault="00D0690F" w:rsidP="009F612D">
            <w:pPr>
              <w:spacing w:before="0" w:after="0"/>
              <w:jc w:val="left"/>
              <w:rPr>
                <w:noProof/>
                <w:sz w:val="20"/>
                <w:szCs w:val="20"/>
                <w:lang w:eastAsia="en-IE"/>
              </w:rPr>
            </w:pPr>
          </w:p>
        </w:tc>
      </w:tr>
      <w:tr w:rsidR="00B431C6" w:rsidRPr="005A1CAE" w14:paraId="3C92F040" w14:textId="77777777" w:rsidTr="0010502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10" w:type="pct"/>
            <w:gridSpan w:val="4"/>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0F56DCEC" w14:textId="77777777" w:rsidR="00B431C6" w:rsidRPr="005A1CAE" w:rsidRDefault="00B431C6" w:rsidP="00B431C6">
            <w:pPr>
              <w:spacing w:before="0" w:after="0"/>
              <w:jc w:val="center"/>
              <w:rPr>
                <w:b/>
                <w:bCs/>
                <w:noProof/>
                <w:color w:val="000000"/>
                <w:sz w:val="22"/>
              </w:rPr>
            </w:pPr>
            <w:r w:rsidRPr="005A1CAE">
              <w:rPr>
                <w:b/>
                <w:noProof/>
                <w:color w:val="000000"/>
                <w:sz w:val="22"/>
              </w:rPr>
              <w:t xml:space="preserve">OGÓŁEM środki na DZIAŁ 7 wieloletnich ram finansowych </w:t>
            </w:r>
          </w:p>
        </w:tc>
        <w:tc>
          <w:tcPr>
            <w:tcW w:w="421" w:type="pct"/>
            <w:gridSpan w:val="2"/>
            <w:tcBorders>
              <w:top w:val="single" w:sz="8" w:space="0" w:color="auto"/>
              <w:left w:val="nil"/>
              <w:bottom w:val="single" w:sz="8" w:space="0" w:color="auto"/>
              <w:right w:val="single" w:sz="8" w:space="0" w:color="auto"/>
            </w:tcBorders>
            <w:vAlign w:val="center"/>
            <w:hideMark/>
          </w:tcPr>
          <w:p w14:paraId="1265FC04" w14:textId="77777777" w:rsidR="00B431C6" w:rsidRPr="005A1CAE" w:rsidRDefault="00B431C6" w:rsidP="00B431C6">
            <w:pPr>
              <w:spacing w:before="0" w:after="0"/>
              <w:jc w:val="center"/>
              <w:rPr>
                <w:noProof/>
                <w:color w:val="000000"/>
                <w:sz w:val="18"/>
                <w:szCs w:val="18"/>
              </w:rPr>
            </w:pPr>
            <w:r w:rsidRPr="005A1CAE">
              <w:rPr>
                <w:noProof/>
                <w:color w:val="000000"/>
                <w:sz w:val="18"/>
              </w:rPr>
              <w:t>(Środki na zobowiązania ogółem = środki na płatności ogółem)</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6D81D45B" w14:textId="77777777" w:rsidR="00B431C6" w:rsidRPr="005A1CAE" w:rsidRDefault="00B431C6" w:rsidP="00B431C6">
            <w:pPr>
              <w:spacing w:before="0" w:after="0"/>
              <w:jc w:val="right"/>
              <w:rPr>
                <w:b/>
                <w:bCs/>
                <w:noProof/>
                <w:color w:val="000000"/>
                <w:sz w:val="20"/>
                <w:szCs w:val="20"/>
              </w:rPr>
            </w:pPr>
            <w:r w:rsidRPr="005A1CAE">
              <w:rPr>
                <w:b/>
                <w:noProof/>
                <w:sz w:val="20"/>
              </w:rPr>
              <w:t>9,172</w:t>
            </w:r>
          </w:p>
        </w:tc>
        <w:tc>
          <w:tcPr>
            <w:tcW w:w="384" w:type="pct"/>
            <w:tcBorders>
              <w:top w:val="single" w:sz="8" w:space="0" w:color="auto"/>
              <w:left w:val="nil"/>
              <w:bottom w:val="single" w:sz="8" w:space="0" w:color="auto"/>
              <w:right w:val="single" w:sz="8" w:space="0" w:color="auto"/>
            </w:tcBorders>
            <w:shd w:val="clear" w:color="000000" w:fill="D9D9D9"/>
            <w:vAlign w:val="center"/>
            <w:hideMark/>
          </w:tcPr>
          <w:p w14:paraId="28BC9C06" w14:textId="77777777" w:rsidR="00B431C6" w:rsidRPr="005A1CAE" w:rsidRDefault="00B431C6" w:rsidP="00B431C6">
            <w:pPr>
              <w:spacing w:before="0" w:after="0"/>
              <w:jc w:val="right"/>
              <w:rPr>
                <w:b/>
                <w:bCs/>
                <w:noProof/>
                <w:color w:val="000000"/>
                <w:sz w:val="20"/>
                <w:szCs w:val="20"/>
              </w:rPr>
            </w:pPr>
            <w:r w:rsidRPr="005A1CAE">
              <w:rPr>
                <w:b/>
                <w:noProof/>
                <w:sz w:val="20"/>
              </w:rPr>
              <w:t>6,571</w:t>
            </w:r>
          </w:p>
        </w:tc>
        <w:tc>
          <w:tcPr>
            <w:tcW w:w="384" w:type="pct"/>
            <w:tcBorders>
              <w:top w:val="single" w:sz="8" w:space="0" w:color="auto"/>
              <w:left w:val="nil"/>
              <w:bottom w:val="single" w:sz="8" w:space="0" w:color="auto"/>
              <w:right w:val="single" w:sz="8" w:space="0" w:color="auto"/>
            </w:tcBorders>
            <w:shd w:val="clear" w:color="000000" w:fill="D9D9D9"/>
            <w:vAlign w:val="center"/>
            <w:hideMark/>
          </w:tcPr>
          <w:p w14:paraId="66BA5A7C" w14:textId="77777777" w:rsidR="00B431C6" w:rsidRPr="005A1CAE" w:rsidRDefault="00B431C6" w:rsidP="00B431C6">
            <w:pPr>
              <w:spacing w:before="0" w:after="0"/>
              <w:jc w:val="right"/>
              <w:rPr>
                <w:b/>
                <w:bCs/>
                <w:noProof/>
                <w:color w:val="000000"/>
                <w:sz w:val="20"/>
                <w:szCs w:val="20"/>
              </w:rPr>
            </w:pPr>
            <w:r w:rsidRPr="005A1CAE">
              <w:rPr>
                <w:b/>
                <w:noProof/>
                <w:sz w:val="20"/>
              </w:rPr>
              <w:t>9,046</w:t>
            </w:r>
          </w:p>
        </w:tc>
        <w:tc>
          <w:tcPr>
            <w:tcW w:w="463" w:type="pct"/>
            <w:tcBorders>
              <w:top w:val="single" w:sz="8" w:space="0" w:color="auto"/>
              <w:left w:val="nil"/>
              <w:bottom w:val="single" w:sz="8" w:space="0" w:color="auto"/>
              <w:right w:val="single" w:sz="8" w:space="0" w:color="auto"/>
            </w:tcBorders>
            <w:shd w:val="clear" w:color="000000" w:fill="D9D9D9"/>
            <w:vAlign w:val="center"/>
            <w:hideMark/>
          </w:tcPr>
          <w:p w14:paraId="162E2BC1" w14:textId="77777777" w:rsidR="00B431C6" w:rsidRPr="005A1CAE" w:rsidRDefault="00105028" w:rsidP="00B431C6">
            <w:pPr>
              <w:spacing w:before="0" w:after="0"/>
              <w:jc w:val="right"/>
              <w:rPr>
                <w:b/>
                <w:bCs/>
                <w:noProof/>
                <w:color w:val="000000"/>
                <w:sz w:val="20"/>
                <w:szCs w:val="20"/>
              </w:rPr>
            </w:pPr>
            <w:r w:rsidRPr="005A1CAE">
              <w:rPr>
                <w:b/>
                <w:noProof/>
                <w:sz w:val="20"/>
              </w:rPr>
              <w:t>12,012</w:t>
            </w:r>
          </w:p>
        </w:tc>
        <w:tc>
          <w:tcPr>
            <w:tcW w:w="463" w:type="pct"/>
            <w:tcBorders>
              <w:top w:val="single" w:sz="8" w:space="0" w:color="auto"/>
              <w:left w:val="nil"/>
              <w:bottom w:val="single" w:sz="8" w:space="0" w:color="auto"/>
              <w:right w:val="single" w:sz="8" w:space="0" w:color="auto"/>
            </w:tcBorders>
            <w:shd w:val="clear" w:color="000000" w:fill="D9D9D9"/>
            <w:vAlign w:val="center"/>
            <w:hideMark/>
          </w:tcPr>
          <w:p w14:paraId="04514363" w14:textId="77777777" w:rsidR="00B431C6" w:rsidRPr="005A1CAE" w:rsidRDefault="00105028" w:rsidP="00B431C6">
            <w:pPr>
              <w:spacing w:before="0" w:after="0"/>
              <w:jc w:val="right"/>
              <w:rPr>
                <w:b/>
                <w:bCs/>
                <w:noProof/>
                <w:color w:val="000000"/>
                <w:sz w:val="20"/>
                <w:szCs w:val="20"/>
              </w:rPr>
            </w:pPr>
            <w:r w:rsidRPr="005A1CAE">
              <w:rPr>
                <w:b/>
                <w:noProof/>
                <w:sz w:val="20"/>
              </w:rPr>
              <w:t>36,801</w:t>
            </w:r>
          </w:p>
        </w:tc>
      </w:tr>
    </w:tbl>
    <w:p w14:paraId="6C17A56F" w14:textId="77777777" w:rsidR="00B431C6" w:rsidRPr="005A1CAE" w:rsidRDefault="00D0690F" w:rsidP="00724527">
      <w:pPr>
        <w:jc w:val="right"/>
        <w:rPr>
          <w:noProof/>
          <w:sz w:val="20"/>
        </w:rPr>
      </w:pPr>
      <w:r w:rsidRPr="005A1CAE">
        <w:rPr>
          <w:noProof/>
          <w:sz w:val="20"/>
        </w:rPr>
        <w:t>w mln EUR (do trzech miejsc po przecinku)</w:t>
      </w:r>
    </w:p>
    <w:p w14:paraId="62327986" w14:textId="77777777" w:rsidR="00724527" w:rsidRPr="005A1CAE" w:rsidRDefault="00724527" w:rsidP="00724527">
      <w:pPr>
        <w:jc w:val="right"/>
        <w:rPr>
          <w:noProof/>
        </w:rPr>
      </w:pPr>
    </w:p>
    <w:tbl>
      <w:tblPr>
        <w:tblW w:w="5000" w:type="pct"/>
        <w:tblLook w:val="04A0" w:firstRow="1" w:lastRow="0" w:firstColumn="1" w:lastColumn="0" w:noHBand="0" w:noVBand="1"/>
      </w:tblPr>
      <w:tblGrid>
        <w:gridCol w:w="3590"/>
        <w:gridCol w:w="1974"/>
        <w:gridCol w:w="598"/>
        <w:gridCol w:w="608"/>
        <w:gridCol w:w="819"/>
        <w:gridCol w:w="821"/>
        <w:gridCol w:w="821"/>
        <w:gridCol w:w="903"/>
        <w:gridCol w:w="903"/>
        <w:gridCol w:w="904"/>
        <w:gridCol w:w="904"/>
        <w:gridCol w:w="1139"/>
      </w:tblGrid>
      <w:tr w:rsidR="00B431C6" w:rsidRPr="005A1CAE" w14:paraId="6E9B8980" w14:textId="77777777" w:rsidTr="00B431C6">
        <w:trPr>
          <w:trHeight w:val="288"/>
        </w:trPr>
        <w:tc>
          <w:tcPr>
            <w:tcW w:w="2430"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456D0097" w14:textId="77777777" w:rsidR="00B431C6" w:rsidRPr="005A1CAE" w:rsidRDefault="00B431C6" w:rsidP="00B431C6">
            <w:pPr>
              <w:spacing w:before="0" w:after="0"/>
              <w:jc w:val="center"/>
              <w:rPr>
                <w:noProof/>
                <w:color w:val="000000"/>
                <w:szCs w:val="24"/>
              </w:rPr>
            </w:pPr>
            <w:r w:rsidRPr="005A1CAE">
              <w:rPr>
                <w:noProof/>
                <w:color w:val="000000"/>
              </w:rPr>
              <w:lastRenderedPageBreak/>
              <w:t>DG TAXUD</w:t>
            </w:r>
          </w:p>
        </w:tc>
        <w:tc>
          <w:tcPr>
            <w:tcW w:w="302" w:type="pct"/>
            <w:tcBorders>
              <w:top w:val="single" w:sz="8" w:space="0" w:color="auto"/>
              <w:left w:val="nil"/>
              <w:bottom w:val="nil"/>
              <w:right w:val="single" w:sz="8" w:space="0" w:color="auto"/>
            </w:tcBorders>
            <w:vAlign w:val="center"/>
            <w:hideMark/>
          </w:tcPr>
          <w:p w14:paraId="01BC84D0" w14:textId="77777777" w:rsidR="00B431C6" w:rsidRPr="005A1CAE" w:rsidRDefault="00B431C6" w:rsidP="00B431C6">
            <w:pPr>
              <w:spacing w:before="0" w:after="0"/>
              <w:jc w:val="center"/>
              <w:rPr>
                <w:noProof/>
                <w:color w:val="000000"/>
                <w:sz w:val="20"/>
                <w:szCs w:val="20"/>
              </w:rPr>
            </w:pPr>
            <w:r w:rsidRPr="005A1CAE">
              <w:rPr>
                <w:noProof/>
                <w:color w:val="000000"/>
                <w:sz w:val="20"/>
              </w:rPr>
              <w:t>Rok</w:t>
            </w:r>
          </w:p>
        </w:tc>
        <w:tc>
          <w:tcPr>
            <w:tcW w:w="303" w:type="pct"/>
            <w:tcBorders>
              <w:top w:val="single" w:sz="8" w:space="0" w:color="auto"/>
              <w:left w:val="nil"/>
              <w:bottom w:val="nil"/>
              <w:right w:val="single" w:sz="8" w:space="0" w:color="auto"/>
            </w:tcBorders>
            <w:vAlign w:val="center"/>
            <w:hideMark/>
          </w:tcPr>
          <w:p w14:paraId="383FDEE1" w14:textId="77777777" w:rsidR="00B431C6" w:rsidRPr="005A1CAE" w:rsidRDefault="00B431C6" w:rsidP="00B431C6">
            <w:pPr>
              <w:spacing w:before="0" w:after="0"/>
              <w:jc w:val="center"/>
              <w:rPr>
                <w:noProof/>
                <w:color w:val="000000"/>
                <w:sz w:val="20"/>
                <w:szCs w:val="20"/>
              </w:rPr>
            </w:pPr>
            <w:r w:rsidRPr="005A1CAE">
              <w:rPr>
                <w:noProof/>
                <w:color w:val="000000"/>
                <w:sz w:val="20"/>
              </w:rPr>
              <w:t>Rok</w:t>
            </w:r>
          </w:p>
        </w:tc>
        <w:tc>
          <w:tcPr>
            <w:tcW w:w="303" w:type="pct"/>
            <w:tcBorders>
              <w:top w:val="single" w:sz="8" w:space="0" w:color="auto"/>
              <w:left w:val="nil"/>
              <w:bottom w:val="nil"/>
              <w:right w:val="single" w:sz="8" w:space="0" w:color="auto"/>
            </w:tcBorders>
            <w:vAlign w:val="center"/>
            <w:hideMark/>
          </w:tcPr>
          <w:p w14:paraId="055623E1" w14:textId="77777777" w:rsidR="00B431C6" w:rsidRPr="005A1CAE" w:rsidRDefault="00B431C6" w:rsidP="00B431C6">
            <w:pPr>
              <w:spacing w:before="0" w:after="0"/>
              <w:jc w:val="center"/>
              <w:rPr>
                <w:noProof/>
                <w:color w:val="000000"/>
                <w:sz w:val="20"/>
                <w:szCs w:val="20"/>
              </w:rPr>
            </w:pPr>
            <w:r w:rsidRPr="005A1CAE">
              <w:rPr>
                <w:noProof/>
                <w:color w:val="000000"/>
                <w:sz w:val="20"/>
              </w:rPr>
              <w:t>Rok</w:t>
            </w:r>
          </w:p>
        </w:tc>
        <w:tc>
          <w:tcPr>
            <w:tcW w:w="332" w:type="pct"/>
            <w:tcBorders>
              <w:top w:val="single" w:sz="8" w:space="0" w:color="auto"/>
              <w:left w:val="nil"/>
              <w:bottom w:val="nil"/>
              <w:right w:val="single" w:sz="4" w:space="0" w:color="auto"/>
            </w:tcBorders>
            <w:vAlign w:val="center"/>
          </w:tcPr>
          <w:p w14:paraId="54AB1374" w14:textId="77777777" w:rsidR="00B431C6" w:rsidRPr="005A1CAE" w:rsidRDefault="00B431C6" w:rsidP="00B431C6">
            <w:pPr>
              <w:spacing w:before="0" w:after="0"/>
              <w:jc w:val="center"/>
              <w:rPr>
                <w:noProof/>
                <w:color w:val="000000"/>
                <w:sz w:val="20"/>
                <w:szCs w:val="20"/>
              </w:rPr>
            </w:pPr>
            <w:r w:rsidRPr="005A1CAE">
              <w:rPr>
                <w:noProof/>
                <w:color w:val="000000"/>
                <w:sz w:val="20"/>
              </w:rPr>
              <w:t>Rok</w:t>
            </w:r>
          </w:p>
        </w:tc>
        <w:tc>
          <w:tcPr>
            <w:tcW w:w="332" w:type="pct"/>
            <w:tcBorders>
              <w:top w:val="single" w:sz="8" w:space="0" w:color="auto"/>
              <w:left w:val="single" w:sz="4" w:space="0" w:color="auto"/>
              <w:bottom w:val="nil"/>
              <w:right w:val="single" w:sz="4" w:space="0" w:color="auto"/>
            </w:tcBorders>
            <w:vAlign w:val="center"/>
          </w:tcPr>
          <w:p w14:paraId="42162321" w14:textId="77777777" w:rsidR="00B431C6" w:rsidRPr="005A1CAE" w:rsidRDefault="00B431C6" w:rsidP="00B431C6">
            <w:pPr>
              <w:spacing w:before="0" w:after="0"/>
              <w:jc w:val="center"/>
              <w:rPr>
                <w:noProof/>
                <w:color w:val="000000"/>
                <w:sz w:val="20"/>
                <w:szCs w:val="20"/>
              </w:rPr>
            </w:pPr>
            <w:r w:rsidRPr="005A1CAE">
              <w:rPr>
                <w:noProof/>
                <w:color w:val="000000"/>
                <w:sz w:val="20"/>
              </w:rPr>
              <w:t>Rok</w:t>
            </w:r>
          </w:p>
        </w:tc>
        <w:tc>
          <w:tcPr>
            <w:tcW w:w="332" w:type="pct"/>
            <w:tcBorders>
              <w:top w:val="single" w:sz="8" w:space="0" w:color="auto"/>
              <w:left w:val="single" w:sz="4" w:space="0" w:color="auto"/>
              <w:bottom w:val="nil"/>
              <w:right w:val="single" w:sz="4" w:space="0" w:color="auto"/>
            </w:tcBorders>
            <w:vAlign w:val="center"/>
          </w:tcPr>
          <w:p w14:paraId="664E8898" w14:textId="77777777" w:rsidR="00B431C6" w:rsidRPr="005A1CAE" w:rsidRDefault="00B431C6" w:rsidP="00B431C6">
            <w:pPr>
              <w:spacing w:before="0" w:after="0"/>
              <w:jc w:val="center"/>
              <w:rPr>
                <w:noProof/>
                <w:color w:val="000000"/>
                <w:sz w:val="20"/>
                <w:szCs w:val="20"/>
              </w:rPr>
            </w:pPr>
            <w:r w:rsidRPr="005A1CAE">
              <w:rPr>
                <w:noProof/>
                <w:color w:val="000000"/>
                <w:sz w:val="20"/>
              </w:rPr>
              <w:t>Rok</w:t>
            </w:r>
          </w:p>
        </w:tc>
        <w:tc>
          <w:tcPr>
            <w:tcW w:w="332" w:type="pct"/>
            <w:tcBorders>
              <w:top w:val="single" w:sz="8" w:space="0" w:color="auto"/>
              <w:left w:val="single" w:sz="4" w:space="0" w:color="auto"/>
              <w:bottom w:val="nil"/>
              <w:right w:val="single" w:sz="8" w:space="0" w:color="auto"/>
            </w:tcBorders>
            <w:vAlign w:val="center"/>
            <w:hideMark/>
          </w:tcPr>
          <w:p w14:paraId="6DDB26BA" w14:textId="77777777" w:rsidR="00B431C6" w:rsidRPr="005A1CAE" w:rsidRDefault="00B431C6" w:rsidP="00B431C6">
            <w:pPr>
              <w:spacing w:before="0" w:after="0"/>
              <w:jc w:val="center"/>
              <w:rPr>
                <w:noProof/>
                <w:color w:val="000000"/>
                <w:sz w:val="20"/>
                <w:szCs w:val="20"/>
              </w:rPr>
            </w:pPr>
            <w:r w:rsidRPr="005A1CAE">
              <w:rPr>
                <w:noProof/>
                <w:color w:val="000000"/>
                <w:sz w:val="20"/>
              </w:rPr>
              <w:t>Rok</w:t>
            </w:r>
          </w:p>
        </w:tc>
        <w:tc>
          <w:tcPr>
            <w:tcW w:w="334" w:type="pct"/>
            <w:vMerge w:val="restart"/>
            <w:tcBorders>
              <w:top w:val="single" w:sz="8" w:space="0" w:color="auto"/>
              <w:left w:val="single" w:sz="8" w:space="0" w:color="auto"/>
              <w:bottom w:val="single" w:sz="8" w:space="0" w:color="000000"/>
              <w:right w:val="single" w:sz="8" w:space="0" w:color="auto"/>
            </w:tcBorders>
            <w:vAlign w:val="center"/>
            <w:hideMark/>
          </w:tcPr>
          <w:p w14:paraId="0B69A2E9" w14:textId="77777777" w:rsidR="00B431C6" w:rsidRPr="005A1CAE" w:rsidRDefault="00B431C6" w:rsidP="00B431C6">
            <w:pPr>
              <w:spacing w:before="0" w:after="0"/>
              <w:jc w:val="center"/>
              <w:rPr>
                <w:b/>
                <w:bCs/>
                <w:noProof/>
                <w:color w:val="000000"/>
                <w:sz w:val="20"/>
                <w:szCs w:val="20"/>
              </w:rPr>
            </w:pPr>
            <w:r w:rsidRPr="005A1CAE">
              <w:rPr>
                <w:b/>
                <w:noProof/>
                <w:color w:val="000000"/>
                <w:sz w:val="20"/>
              </w:rPr>
              <w:t>OGÓŁEM WRF 2028–2034</w:t>
            </w:r>
          </w:p>
        </w:tc>
      </w:tr>
      <w:tr w:rsidR="00B431C6" w:rsidRPr="005A1CAE" w14:paraId="5CA4455A" w14:textId="77777777" w:rsidTr="00B431C6">
        <w:trPr>
          <w:trHeight w:val="300"/>
        </w:trPr>
        <w:tc>
          <w:tcPr>
            <w:tcW w:w="2430" w:type="pct"/>
            <w:gridSpan w:val="4"/>
            <w:vMerge/>
            <w:tcBorders>
              <w:top w:val="single" w:sz="8" w:space="0" w:color="auto"/>
              <w:left w:val="single" w:sz="8" w:space="0" w:color="auto"/>
              <w:bottom w:val="single" w:sz="8" w:space="0" w:color="auto"/>
              <w:right w:val="single" w:sz="8" w:space="0" w:color="auto"/>
            </w:tcBorders>
            <w:vAlign w:val="center"/>
            <w:hideMark/>
          </w:tcPr>
          <w:p w14:paraId="5FF6F0EE" w14:textId="77777777" w:rsidR="00B431C6" w:rsidRPr="005A1CAE" w:rsidRDefault="00B431C6" w:rsidP="00B431C6">
            <w:pPr>
              <w:spacing w:before="0" w:after="0"/>
              <w:jc w:val="left"/>
              <w:rPr>
                <w:noProof/>
                <w:color w:val="000000"/>
                <w:szCs w:val="24"/>
                <w:lang w:eastAsia="en-IE"/>
              </w:rPr>
            </w:pPr>
          </w:p>
        </w:tc>
        <w:tc>
          <w:tcPr>
            <w:tcW w:w="302" w:type="pct"/>
            <w:tcBorders>
              <w:top w:val="nil"/>
              <w:left w:val="nil"/>
              <w:bottom w:val="single" w:sz="8" w:space="0" w:color="auto"/>
              <w:right w:val="single" w:sz="8" w:space="0" w:color="auto"/>
            </w:tcBorders>
            <w:vAlign w:val="center"/>
            <w:hideMark/>
          </w:tcPr>
          <w:p w14:paraId="1F85B700" w14:textId="77777777" w:rsidR="00B431C6" w:rsidRPr="005A1CAE" w:rsidRDefault="00B431C6" w:rsidP="00B431C6">
            <w:pPr>
              <w:spacing w:before="0" w:after="0"/>
              <w:jc w:val="center"/>
              <w:rPr>
                <w:b/>
                <w:bCs/>
                <w:noProof/>
                <w:color w:val="000000"/>
                <w:sz w:val="20"/>
                <w:szCs w:val="20"/>
              </w:rPr>
            </w:pPr>
            <w:r w:rsidRPr="005A1CAE">
              <w:rPr>
                <w:b/>
                <w:noProof/>
                <w:color w:val="000000"/>
                <w:sz w:val="20"/>
              </w:rPr>
              <w:t>2028</w:t>
            </w:r>
          </w:p>
        </w:tc>
        <w:tc>
          <w:tcPr>
            <w:tcW w:w="303" w:type="pct"/>
            <w:tcBorders>
              <w:top w:val="nil"/>
              <w:left w:val="nil"/>
              <w:bottom w:val="single" w:sz="8" w:space="0" w:color="auto"/>
              <w:right w:val="single" w:sz="8" w:space="0" w:color="auto"/>
            </w:tcBorders>
            <w:vAlign w:val="center"/>
            <w:hideMark/>
          </w:tcPr>
          <w:p w14:paraId="67CA3AFD" w14:textId="77777777" w:rsidR="00B431C6" w:rsidRPr="005A1CAE" w:rsidRDefault="00B431C6" w:rsidP="00B431C6">
            <w:pPr>
              <w:spacing w:before="0" w:after="0"/>
              <w:jc w:val="center"/>
              <w:rPr>
                <w:b/>
                <w:bCs/>
                <w:noProof/>
                <w:color w:val="000000"/>
                <w:sz w:val="20"/>
                <w:szCs w:val="20"/>
              </w:rPr>
            </w:pPr>
            <w:r w:rsidRPr="005A1CAE">
              <w:rPr>
                <w:b/>
                <w:noProof/>
                <w:color w:val="000000"/>
                <w:sz w:val="20"/>
              </w:rPr>
              <w:t>2029</w:t>
            </w:r>
          </w:p>
        </w:tc>
        <w:tc>
          <w:tcPr>
            <w:tcW w:w="303" w:type="pct"/>
            <w:tcBorders>
              <w:top w:val="nil"/>
              <w:left w:val="nil"/>
              <w:bottom w:val="single" w:sz="8" w:space="0" w:color="auto"/>
              <w:right w:val="single" w:sz="8" w:space="0" w:color="auto"/>
            </w:tcBorders>
            <w:vAlign w:val="center"/>
            <w:hideMark/>
          </w:tcPr>
          <w:p w14:paraId="5445DA65" w14:textId="77777777" w:rsidR="00B431C6" w:rsidRPr="005A1CAE" w:rsidRDefault="00B431C6" w:rsidP="00B431C6">
            <w:pPr>
              <w:spacing w:before="0" w:after="0"/>
              <w:jc w:val="center"/>
              <w:rPr>
                <w:b/>
                <w:bCs/>
                <w:noProof/>
                <w:color w:val="000000"/>
                <w:sz w:val="20"/>
                <w:szCs w:val="20"/>
              </w:rPr>
            </w:pPr>
            <w:r w:rsidRPr="005A1CAE">
              <w:rPr>
                <w:b/>
                <w:noProof/>
                <w:color w:val="000000"/>
                <w:sz w:val="20"/>
              </w:rPr>
              <w:t>2030</w:t>
            </w:r>
          </w:p>
        </w:tc>
        <w:tc>
          <w:tcPr>
            <w:tcW w:w="332" w:type="pct"/>
            <w:tcBorders>
              <w:top w:val="nil"/>
              <w:left w:val="nil"/>
              <w:bottom w:val="single" w:sz="8" w:space="0" w:color="auto"/>
              <w:right w:val="single" w:sz="4" w:space="0" w:color="auto"/>
            </w:tcBorders>
            <w:vAlign w:val="center"/>
          </w:tcPr>
          <w:p w14:paraId="16D83068" w14:textId="77777777" w:rsidR="00B431C6" w:rsidRPr="005A1CAE" w:rsidRDefault="00B431C6" w:rsidP="00B431C6">
            <w:pPr>
              <w:spacing w:before="0" w:after="0"/>
              <w:jc w:val="center"/>
              <w:rPr>
                <w:b/>
                <w:bCs/>
                <w:noProof/>
                <w:color w:val="000000"/>
                <w:sz w:val="20"/>
                <w:szCs w:val="20"/>
              </w:rPr>
            </w:pPr>
            <w:r w:rsidRPr="005A1CAE">
              <w:rPr>
                <w:b/>
                <w:noProof/>
                <w:color w:val="000000"/>
                <w:sz w:val="20"/>
              </w:rPr>
              <w:t>2031</w:t>
            </w:r>
          </w:p>
        </w:tc>
        <w:tc>
          <w:tcPr>
            <w:tcW w:w="332" w:type="pct"/>
            <w:tcBorders>
              <w:top w:val="nil"/>
              <w:left w:val="single" w:sz="4" w:space="0" w:color="auto"/>
              <w:bottom w:val="single" w:sz="8" w:space="0" w:color="auto"/>
              <w:right w:val="single" w:sz="4" w:space="0" w:color="auto"/>
            </w:tcBorders>
            <w:vAlign w:val="center"/>
          </w:tcPr>
          <w:p w14:paraId="7EC5C5D7" w14:textId="77777777" w:rsidR="00B431C6" w:rsidRPr="005A1CAE" w:rsidRDefault="00B431C6" w:rsidP="00B431C6">
            <w:pPr>
              <w:spacing w:before="0" w:after="0"/>
              <w:jc w:val="center"/>
              <w:rPr>
                <w:b/>
                <w:bCs/>
                <w:noProof/>
                <w:color w:val="000000"/>
                <w:sz w:val="20"/>
                <w:szCs w:val="20"/>
              </w:rPr>
            </w:pPr>
            <w:r w:rsidRPr="005A1CAE">
              <w:rPr>
                <w:b/>
                <w:noProof/>
                <w:color w:val="000000"/>
                <w:sz w:val="20"/>
              </w:rPr>
              <w:t>2032</w:t>
            </w:r>
          </w:p>
        </w:tc>
        <w:tc>
          <w:tcPr>
            <w:tcW w:w="332" w:type="pct"/>
            <w:tcBorders>
              <w:top w:val="nil"/>
              <w:left w:val="single" w:sz="4" w:space="0" w:color="auto"/>
              <w:bottom w:val="single" w:sz="8" w:space="0" w:color="auto"/>
              <w:right w:val="single" w:sz="4" w:space="0" w:color="auto"/>
            </w:tcBorders>
            <w:vAlign w:val="center"/>
          </w:tcPr>
          <w:p w14:paraId="0443D4ED" w14:textId="77777777" w:rsidR="00B431C6" w:rsidRPr="005A1CAE" w:rsidRDefault="00B431C6" w:rsidP="00B431C6">
            <w:pPr>
              <w:spacing w:before="0" w:after="0"/>
              <w:jc w:val="center"/>
              <w:rPr>
                <w:b/>
                <w:bCs/>
                <w:noProof/>
                <w:color w:val="000000"/>
                <w:sz w:val="20"/>
                <w:szCs w:val="20"/>
              </w:rPr>
            </w:pPr>
            <w:r w:rsidRPr="005A1CAE">
              <w:rPr>
                <w:b/>
                <w:noProof/>
                <w:color w:val="000000"/>
                <w:sz w:val="20"/>
              </w:rPr>
              <w:t>2033</w:t>
            </w:r>
          </w:p>
        </w:tc>
        <w:tc>
          <w:tcPr>
            <w:tcW w:w="332" w:type="pct"/>
            <w:tcBorders>
              <w:top w:val="nil"/>
              <w:left w:val="single" w:sz="4" w:space="0" w:color="auto"/>
              <w:bottom w:val="single" w:sz="8" w:space="0" w:color="auto"/>
              <w:right w:val="single" w:sz="8" w:space="0" w:color="auto"/>
            </w:tcBorders>
            <w:vAlign w:val="center"/>
            <w:hideMark/>
          </w:tcPr>
          <w:p w14:paraId="394C397A" w14:textId="77777777" w:rsidR="00B431C6" w:rsidRPr="005A1CAE" w:rsidRDefault="00B431C6" w:rsidP="00B431C6">
            <w:pPr>
              <w:spacing w:before="0" w:after="0"/>
              <w:jc w:val="center"/>
              <w:rPr>
                <w:b/>
                <w:bCs/>
                <w:noProof/>
                <w:color w:val="000000"/>
                <w:sz w:val="20"/>
                <w:szCs w:val="20"/>
              </w:rPr>
            </w:pPr>
            <w:r w:rsidRPr="005A1CAE">
              <w:rPr>
                <w:b/>
                <w:noProof/>
                <w:color w:val="000000"/>
                <w:sz w:val="20"/>
              </w:rPr>
              <w:t>2034</w:t>
            </w:r>
          </w:p>
        </w:tc>
        <w:tc>
          <w:tcPr>
            <w:tcW w:w="334" w:type="pct"/>
            <w:vMerge/>
            <w:tcBorders>
              <w:top w:val="single" w:sz="8" w:space="0" w:color="auto"/>
              <w:left w:val="single" w:sz="8" w:space="0" w:color="auto"/>
              <w:bottom w:val="single" w:sz="8" w:space="0" w:color="000000"/>
              <w:right w:val="single" w:sz="8" w:space="0" w:color="auto"/>
            </w:tcBorders>
            <w:vAlign w:val="center"/>
            <w:hideMark/>
          </w:tcPr>
          <w:p w14:paraId="3C45CBB2" w14:textId="77777777" w:rsidR="00B431C6" w:rsidRPr="005A1CAE" w:rsidRDefault="00B431C6" w:rsidP="00B431C6">
            <w:pPr>
              <w:spacing w:before="0" w:after="0"/>
              <w:jc w:val="left"/>
              <w:rPr>
                <w:b/>
                <w:bCs/>
                <w:noProof/>
                <w:color w:val="000000"/>
                <w:sz w:val="20"/>
                <w:szCs w:val="20"/>
                <w:lang w:eastAsia="en-IE"/>
              </w:rPr>
            </w:pPr>
          </w:p>
        </w:tc>
      </w:tr>
      <w:tr w:rsidR="00B431C6" w:rsidRPr="005A1CAE" w14:paraId="77316D9A" w14:textId="77777777">
        <w:trPr>
          <w:trHeight w:val="300"/>
        </w:trPr>
        <w:tc>
          <w:tcPr>
            <w:tcW w:w="2430" w:type="pct"/>
            <w:gridSpan w:val="4"/>
            <w:tcBorders>
              <w:top w:val="single" w:sz="8" w:space="0" w:color="auto"/>
              <w:left w:val="single" w:sz="8" w:space="0" w:color="auto"/>
              <w:bottom w:val="single" w:sz="8" w:space="0" w:color="auto"/>
              <w:right w:val="single" w:sz="8" w:space="0" w:color="auto"/>
            </w:tcBorders>
            <w:vAlign w:val="center"/>
            <w:hideMark/>
          </w:tcPr>
          <w:p w14:paraId="250577CC" w14:textId="77777777" w:rsidR="00B431C6" w:rsidRPr="005A1CAE" w:rsidRDefault="00B431C6" w:rsidP="00B431C6">
            <w:pPr>
              <w:spacing w:before="0" w:after="0"/>
              <w:jc w:val="left"/>
              <w:rPr>
                <w:rFonts w:ascii="Wingdings" w:hAnsi="Wingdings" w:cs="Calibri"/>
                <w:noProof/>
                <w:color w:val="000000"/>
                <w:sz w:val="22"/>
              </w:rPr>
            </w:pPr>
            <w:r w:rsidRPr="005A1CAE">
              <w:rPr>
                <w:rFonts w:ascii="Wingdings" w:hAnsi="Wingdings"/>
                <w:noProof/>
                <w:color w:val="000000"/>
                <w:sz w:val="22"/>
              </w:rPr>
              <w:t></w:t>
            </w:r>
            <w:r w:rsidRPr="005A1CAE">
              <w:rPr>
                <w:noProof/>
              </w:rPr>
              <w:t xml:space="preserve"> Zasoby ludzkie</w:t>
            </w:r>
            <w:r w:rsidRPr="005A1CAE">
              <w:rPr>
                <w:noProof/>
                <w:color w:val="000000"/>
                <w:sz w:val="22"/>
              </w:rPr>
              <w:t xml:space="preserve"> </w:t>
            </w:r>
          </w:p>
        </w:tc>
        <w:tc>
          <w:tcPr>
            <w:tcW w:w="302" w:type="pct"/>
            <w:tcBorders>
              <w:top w:val="nil"/>
              <w:left w:val="nil"/>
              <w:bottom w:val="single" w:sz="8" w:space="0" w:color="auto"/>
              <w:right w:val="single" w:sz="8" w:space="0" w:color="auto"/>
            </w:tcBorders>
            <w:shd w:val="clear" w:color="000000" w:fill="D9D9D9"/>
            <w:vAlign w:val="center"/>
            <w:hideMark/>
          </w:tcPr>
          <w:p w14:paraId="5DD18860" w14:textId="77777777" w:rsidR="00B431C6" w:rsidRPr="005A1CAE" w:rsidRDefault="00B431C6" w:rsidP="00B431C6">
            <w:pPr>
              <w:spacing w:before="0" w:after="0"/>
              <w:jc w:val="right"/>
              <w:rPr>
                <w:noProof/>
                <w:color w:val="000000"/>
                <w:sz w:val="20"/>
                <w:szCs w:val="20"/>
              </w:rPr>
            </w:pPr>
            <w:r w:rsidRPr="005A1CAE">
              <w:rPr>
                <w:noProof/>
                <w:sz w:val="20"/>
              </w:rPr>
              <w:t>13,293</w:t>
            </w:r>
          </w:p>
        </w:tc>
        <w:tc>
          <w:tcPr>
            <w:tcW w:w="303" w:type="pct"/>
            <w:tcBorders>
              <w:top w:val="nil"/>
              <w:left w:val="nil"/>
              <w:bottom w:val="single" w:sz="8" w:space="0" w:color="auto"/>
              <w:right w:val="single" w:sz="8" w:space="0" w:color="auto"/>
            </w:tcBorders>
            <w:shd w:val="clear" w:color="000000" w:fill="D9D9D9"/>
            <w:vAlign w:val="center"/>
            <w:hideMark/>
          </w:tcPr>
          <w:p w14:paraId="4A69BEB7" w14:textId="77777777" w:rsidR="00B431C6" w:rsidRPr="005A1CAE" w:rsidRDefault="00B431C6" w:rsidP="00B431C6">
            <w:pPr>
              <w:spacing w:before="0" w:after="0"/>
              <w:jc w:val="right"/>
              <w:rPr>
                <w:noProof/>
                <w:color w:val="000000"/>
                <w:sz w:val="20"/>
                <w:szCs w:val="20"/>
              </w:rPr>
            </w:pPr>
            <w:r w:rsidRPr="005A1CAE">
              <w:rPr>
                <w:noProof/>
                <w:sz w:val="20"/>
              </w:rPr>
              <w:t>13,293</w:t>
            </w:r>
          </w:p>
        </w:tc>
        <w:tc>
          <w:tcPr>
            <w:tcW w:w="303" w:type="pct"/>
            <w:tcBorders>
              <w:top w:val="nil"/>
              <w:left w:val="nil"/>
              <w:bottom w:val="single" w:sz="8" w:space="0" w:color="auto"/>
              <w:right w:val="single" w:sz="8" w:space="0" w:color="auto"/>
            </w:tcBorders>
            <w:shd w:val="clear" w:color="000000" w:fill="D9D9D9"/>
            <w:vAlign w:val="center"/>
            <w:hideMark/>
          </w:tcPr>
          <w:p w14:paraId="55C64546" w14:textId="77777777" w:rsidR="00B431C6" w:rsidRPr="005A1CAE" w:rsidRDefault="00B431C6" w:rsidP="00B431C6">
            <w:pPr>
              <w:spacing w:before="0" w:after="0"/>
              <w:jc w:val="right"/>
              <w:rPr>
                <w:noProof/>
                <w:color w:val="000000"/>
                <w:sz w:val="20"/>
                <w:szCs w:val="20"/>
              </w:rPr>
            </w:pPr>
            <w:r w:rsidRPr="005A1CAE">
              <w:rPr>
                <w:noProof/>
                <w:sz w:val="20"/>
              </w:rPr>
              <w:t>13,293</w:t>
            </w:r>
          </w:p>
        </w:tc>
        <w:tc>
          <w:tcPr>
            <w:tcW w:w="332" w:type="pct"/>
            <w:tcBorders>
              <w:top w:val="single" w:sz="8" w:space="0" w:color="auto"/>
              <w:left w:val="nil"/>
              <w:bottom w:val="single" w:sz="8" w:space="0" w:color="auto"/>
              <w:right w:val="single" w:sz="4" w:space="0" w:color="auto"/>
            </w:tcBorders>
            <w:shd w:val="clear" w:color="000000" w:fill="D9D9D9"/>
            <w:vAlign w:val="center"/>
          </w:tcPr>
          <w:p w14:paraId="325C839E" w14:textId="77777777" w:rsidR="00B431C6" w:rsidRPr="005A1CAE" w:rsidRDefault="00B431C6" w:rsidP="00B431C6">
            <w:pPr>
              <w:spacing w:before="0" w:after="0"/>
              <w:jc w:val="right"/>
              <w:rPr>
                <w:noProof/>
                <w:sz w:val="20"/>
                <w:szCs w:val="20"/>
              </w:rPr>
            </w:pPr>
            <w:r w:rsidRPr="005A1CAE">
              <w:rPr>
                <w:noProof/>
                <w:sz w:val="20"/>
              </w:rPr>
              <w:t>13,293</w:t>
            </w:r>
          </w:p>
        </w:tc>
        <w:tc>
          <w:tcPr>
            <w:tcW w:w="332" w:type="pct"/>
            <w:tcBorders>
              <w:top w:val="single" w:sz="8" w:space="0" w:color="auto"/>
              <w:left w:val="single" w:sz="4" w:space="0" w:color="auto"/>
              <w:bottom w:val="single" w:sz="8" w:space="0" w:color="auto"/>
              <w:right w:val="single" w:sz="4" w:space="0" w:color="auto"/>
            </w:tcBorders>
            <w:shd w:val="clear" w:color="000000" w:fill="D9D9D9"/>
            <w:vAlign w:val="center"/>
          </w:tcPr>
          <w:p w14:paraId="22322189" w14:textId="77777777" w:rsidR="00B431C6" w:rsidRPr="005A1CAE" w:rsidRDefault="00B431C6" w:rsidP="00B431C6">
            <w:pPr>
              <w:spacing w:before="0" w:after="0"/>
              <w:jc w:val="right"/>
              <w:rPr>
                <w:noProof/>
                <w:sz w:val="20"/>
                <w:szCs w:val="20"/>
              </w:rPr>
            </w:pPr>
            <w:r w:rsidRPr="005A1CAE">
              <w:rPr>
                <w:noProof/>
                <w:sz w:val="20"/>
              </w:rPr>
              <w:t>13,293</w:t>
            </w:r>
          </w:p>
        </w:tc>
        <w:tc>
          <w:tcPr>
            <w:tcW w:w="332" w:type="pct"/>
            <w:tcBorders>
              <w:top w:val="single" w:sz="8" w:space="0" w:color="auto"/>
              <w:left w:val="single" w:sz="4" w:space="0" w:color="auto"/>
              <w:bottom w:val="single" w:sz="8" w:space="0" w:color="auto"/>
              <w:right w:val="single" w:sz="4" w:space="0" w:color="auto"/>
            </w:tcBorders>
            <w:shd w:val="clear" w:color="000000" w:fill="D9D9D9"/>
            <w:vAlign w:val="center"/>
          </w:tcPr>
          <w:p w14:paraId="783D5623" w14:textId="77777777" w:rsidR="00B431C6" w:rsidRPr="005A1CAE" w:rsidRDefault="00B431C6" w:rsidP="00B431C6">
            <w:pPr>
              <w:spacing w:before="0" w:after="0"/>
              <w:jc w:val="right"/>
              <w:rPr>
                <w:noProof/>
                <w:sz w:val="20"/>
                <w:szCs w:val="20"/>
              </w:rPr>
            </w:pPr>
            <w:r w:rsidRPr="005A1CAE">
              <w:rPr>
                <w:noProof/>
                <w:sz w:val="20"/>
              </w:rPr>
              <w:t>13,293</w:t>
            </w:r>
          </w:p>
        </w:tc>
        <w:tc>
          <w:tcPr>
            <w:tcW w:w="332" w:type="pct"/>
            <w:tcBorders>
              <w:top w:val="single" w:sz="8" w:space="0" w:color="auto"/>
              <w:left w:val="single" w:sz="4" w:space="0" w:color="auto"/>
              <w:bottom w:val="single" w:sz="8" w:space="0" w:color="auto"/>
              <w:right w:val="single" w:sz="8" w:space="0" w:color="auto"/>
            </w:tcBorders>
            <w:shd w:val="clear" w:color="000000" w:fill="D9D9D9"/>
            <w:vAlign w:val="center"/>
            <w:hideMark/>
          </w:tcPr>
          <w:p w14:paraId="641E86F5" w14:textId="77777777" w:rsidR="00B431C6" w:rsidRPr="005A1CAE" w:rsidRDefault="00B431C6" w:rsidP="00B431C6">
            <w:pPr>
              <w:spacing w:before="0" w:after="0"/>
              <w:jc w:val="right"/>
              <w:rPr>
                <w:noProof/>
                <w:color w:val="000000"/>
                <w:sz w:val="20"/>
                <w:szCs w:val="20"/>
              </w:rPr>
            </w:pPr>
            <w:r w:rsidRPr="005A1CAE">
              <w:rPr>
                <w:noProof/>
                <w:sz w:val="20"/>
              </w:rPr>
              <w:t>13,293</w:t>
            </w:r>
          </w:p>
        </w:tc>
        <w:tc>
          <w:tcPr>
            <w:tcW w:w="334" w:type="pct"/>
            <w:tcBorders>
              <w:top w:val="nil"/>
              <w:left w:val="nil"/>
              <w:bottom w:val="single" w:sz="8" w:space="0" w:color="auto"/>
              <w:right w:val="single" w:sz="8" w:space="0" w:color="auto"/>
            </w:tcBorders>
            <w:shd w:val="clear" w:color="000000" w:fill="D9D9D9"/>
            <w:vAlign w:val="center"/>
            <w:hideMark/>
          </w:tcPr>
          <w:p w14:paraId="022C43CB" w14:textId="77777777" w:rsidR="00B431C6" w:rsidRPr="005A1CAE" w:rsidRDefault="00B431C6" w:rsidP="00B431C6">
            <w:pPr>
              <w:spacing w:before="0" w:after="0"/>
              <w:jc w:val="right"/>
              <w:rPr>
                <w:b/>
                <w:bCs/>
                <w:noProof/>
                <w:color w:val="000000"/>
                <w:sz w:val="20"/>
                <w:szCs w:val="20"/>
              </w:rPr>
            </w:pPr>
            <w:r w:rsidRPr="005A1CAE">
              <w:rPr>
                <w:noProof/>
                <w:sz w:val="20"/>
              </w:rPr>
              <w:t>93,051</w:t>
            </w:r>
          </w:p>
        </w:tc>
      </w:tr>
      <w:tr w:rsidR="00B431C6" w:rsidRPr="005A1CAE" w14:paraId="7600283D" w14:textId="77777777">
        <w:trPr>
          <w:trHeight w:val="300"/>
        </w:trPr>
        <w:tc>
          <w:tcPr>
            <w:tcW w:w="2430" w:type="pct"/>
            <w:gridSpan w:val="4"/>
            <w:tcBorders>
              <w:top w:val="single" w:sz="8" w:space="0" w:color="auto"/>
              <w:left w:val="single" w:sz="8" w:space="0" w:color="auto"/>
              <w:bottom w:val="single" w:sz="8" w:space="0" w:color="auto"/>
              <w:right w:val="single" w:sz="8" w:space="0" w:color="auto"/>
            </w:tcBorders>
            <w:vAlign w:val="center"/>
            <w:hideMark/>
          </w:tcPr>
          <w:p w14:paraId="3E46A941" w14:textId="77777777" w:rsidR="00B431C6" w:rsidRPr="005A1CAE" w:rsidRDefault="00B431C6" w:rsidP="00B431C6">
            <w:pPr>
              <w:spacing w:before="0" w:after="0"/>
              <w:jc w:val="left"/>
              <w:rPr>
                <w:rFonts w:ascii="Wingdings" w:hAnsi="Wingdings" w:cs="Calibri"/>
                <w:noProof/>
                <w:color w:val="000000"/>
                <w:sz w:val="22"/>
              </w:rPr>
            </w:pPr>
            <w:r w:rsidRPr="005A1CAE">
              <w:rPr>
                <w:rFonts w:ascii="Wingdings" w:hAnsi="Wingdings"/>
                <w:noProof/>
                <w:color w:val="000000"/>
                <w:sz w:val="22"/>
              </w:rPr>
              <w:t></w:t>
            </w:r>
            <w:r w:rsidRPr="005A1CAE">
              <w:rPr>
                <w:noProof/>
              </w:rPr>
              <w:t xml:space="preserve"> Pozostałe wydatki administracyjne</w:t>
            </w:r>
            <w:r w:rsidRPr="005A1CAE">
              <w:rPr>
                <w:noProof/>
                <w:color w:val="000000"/>
                <w:sz w:val="22"/>
              </w:rPr>
              <w:t xml:space="preserve"> </w:t>
            </w:r>
          </w:p>
        </w:tc>
        <w:tc>
          <w:tcPr>
            <w:tcW w:w="302" w:type="pct"/>
            <w:tcBorders>
              <w:top w:val="nil"/>
              <w:left w:val="nil"/>
              <w:bottom w:val="single" w:sz="8" w:space="0" w:color="auto"/>
              <w:right w:val="single" w:sz="8" w:space="0" w:color="auto"/>
            </w:tcBorders>
            <w:shd w:val="clear" w:color="000000" w:fill="D9D9D9"/>
            <w:vAlign w:val="center"/>
            <w:hideMark/>
          </w:tcPr>
          <w:p w14:paraId="37D7FA35" w14:textId="77777777" w:rsidR="00B431C6" w:rsidRPr="005A1CAE" w:rsidRDefault="00B431C6" w:rsidP="00B431C6">
            <w:pPr>
              <w:spacing w:before="0" w:after="0"/>
              <w:jc w:val="right"/>
              <w:rPr>
                <w:noProof/>
                <w:color w:val="000000"/>
                <w:sz w:val="20"/>
                <w:szCs w:val="20"/>
              </w:rPr>
            </w:pPr>
            <w:r w:rsidRPr="005A1CAE">
              <w:rPr>
                <w:noProof/>
                <w:sz w:val="20"/>
              </w:rPr>
              <w:t>0,310</w:t>
            </w:r>
          </w:p>
        </w:tc>
        <w:tc>
          <w:tcPr>
            <w:tcW w:w="303" w:type="pct"/>
            <w:tcBorders>
              <w:top w:val="nil"/>
              <w:left w:val="nil"/>
              <w:bottom w:val="single" w:sz="8" w:space="0" w:color="auto"/>
              <w:right w:val="single" w:sz="8" w:space="0" w:color="auto"/>
            </w:tcBorders>
            <w:shd w:val="clear" w:color="000000" w:fill="D9D9D9"/>
            <w:vAlign w:val="center"/>
            <w:hideMark/>
          </w:tcPr>
          <w:p w14:paraId="73A683B0" w14:textId="77777777" w:rsidR="00B431C6" w:rsidRPr="005A1CAE" w:rsidRDefault="00B431C6" w:rsidP="00B431C6">
            <w:pPr>
              <w:spacing w:before="0" w:after="0"/>
              <w:jc w:val="right"/>
              <w:rPr>
                <w:noProof/>
                <w:color w:val="000000"/>
                <w:sz w:val="20"/>
                <w:szCs w:val="20"/>
              </w:rPr>
            </w:pPr>
            <w:r w:rsidRPr="005A1CAE">
              <w:rPr>
                <w:noProof/>
                <w:sz w:val="20"/>
              </w:rPr>
              <w:t>0,319</w:t>
            </w:r>
          </w:p>
        </w:tc>
        <w:tc>
          <w:tcPr>
            <w:tcW w:w="303" w:type="pct"/>
            <w:tcBorders>
              <w:top w:val="nil"/>
              <w:left w:val="nil"/>
              <w:bottom w:val="single" w:sz="8" w:space="0" w:color="auto"/>
              <w:right w:val="single" w:sz="8" w:space="0" w:color="auto"/>
            </w:tcBorders>
            <w:shd w:val="clear" w:color="000000" w:fill="D9D9D9"/>
            <w:vAlign w:val="center"/>
            <w:hideMark/>
          </w:tcPr>
          <w:p w14:paraId="5616FF3B" w14:textId="77777777" w:rsidR="00B431C6" w:rsidRPr="005A1CAE" w:rsidRDefault="00B431C6" w:rsidP="00B431C6">
            <w:pPr>
              <w:spacing w:before="0" w:after="0"/>
              <w:jc w:val="right"/>
              <w:rPr>
                <w:noProof/>
                <w:color w:val="000000"/>
                <w:sz w:val="20"/>
                <w:szCs w:val="20"/>
              </w:rPr>
            </w:pPr>
            <w:r w:rsidRPr="005A1CAE">
              <w:rPr>
                <w:noProof/>
                <w:sz w:val="20"/>
              </w:rPr>
              <w:t>0,329</w:t>
            </w:r>
          </w:p>
        </w:tc>
        <w:tc>
          <w:tcPr>
            <w:tcW w:w="332" w:type="pct"/>
            <w:tcBorders>
              <w:top w:val="nil"/>
              <w:left w:val="nil"/>
              <w:bottom w:val="single" w:sz="8" w:space="0" w:color="auto"/>
              <w:right w:val="single" w:sz="4" w:space="0" w:color="auto"/>
            </w:tcBorders>
            <w:shd w:val="clear" w:color="000000" w:fill="D9D9D9"/>
            <w:vAlign w:val="center"/>
          </w:tcPr>
          <w:p w14:paraId="4B4A63DB" w14:textId="77777777" w:rsidR="00B431C6" w:rsidRPr="005A1CAE" w:rsidRDefault="00B431C6" w:rsidP="00B431C6">
            <w:pPr>
              <w:spacing w:before="0" w:after="0"/>
              <w:jc w:val="right"/>
              <w:rPr>
                <w:noProof/>
                <w:sz w:val="20"/>
                <w:szCs w:val="20"/>
              </w:rPr>
            </w:pPr>
            <w:r w:rsidRPr="005A1CAE">
              <w:rPr>
                <w:noProof/>
                <w:sz w:val="20"/>
              </w:rPr>
              <w:t>0,339</w:t>
            </w:r>
          </w:p>
        </w:tc>
        <w:tc>
          <w:tcPr>
            <w:tcW w:w="332" w:type="pct"/>
            <w:tcBorders>
              <w:top w:val="nil"/>
              <w:left w:val="single" w:sz="4" w:space="0" w:color="auto"/>
              <w:bottom w:val="single" w:sz="8" w:space="0" w:color="auto"/>
              <w:right w:val="single" w:sz="4" w:space="0" w:color="auto"/>
            </w:tcBorders>
            <w:shd w:val="clear" w:color="000000" w:fill="D9D9D9"/>
            <w:vAlign w:val="center"/>
          </w:tcPr>
          <w:p w14:paraId="7FE5B833" w14:textId="77777777" w:rsidR="00B431C6" w:rsidRPr="005A1CAE" w:rsidRDefault="00B431C6" w:rsidP="00B431C6">
            <w:pPr>
              <w:spacing w:before="0" w:after="0"/>
              <w:jc w:val="right"/>
              <w:rPr>
                <w:noProof/>
                <w:sz w:val="20"/>
                <w:szCs w:val="20"/>
              </w:rPr>
            </w:pPr>
            <w:r w:rsidRPr="005A1CAE">
              <w:rPr>
                <w:noProof/>
                <w:sz w:val="20"/>
              </w:rPr>
              <w:t>0,349</w:t>
            </w:r>
          </w:p>
        </w:tc>
        <w:tc>
          <w:tcPr>
            <w:tcW w:w="332" w:type="pct"/>
            <w:tcBorders>
              <w:top w:val="nil"/>
              <w:left w:val="single" w:sz="4" w:space="0" w:color="auto"/>
              <w:bottom w:val="single" w:sz="8" w:space="0" w:color="auto"/>
              <w:right w:val="single" w:sz="4" w:space="0" w:color="auto"/>
            </w:tcBorders>
            <w:shd w:val="clear" w:color="000000" w:fill="D9D9D9"/>
            <w:vAlign w:val="center"/>
          </w:tcPr>
          <w:p w14:paraId="2AD86F18" w14:textId="77777777" w:rsidR="00B431C6" w:rsidRPr="005A1CAE" w:rsidRDefault="00B431C6" w:rsidP="00B431C6">
            <w:pPr>
              <w:spacing w:before="0" w:after="0"/>
              <w:jc w:val="right"/>
              <w:rPr>
                <w:noProof/>
                <w:sz w:val="20"/>
                <w:szCs w:val="20"/>
              </w:rPr>
            </w:pPr>
            <w:r w:rsidRPr="005A1CAE">
              <w:rPr>
                <w:noProof/>
                <w:sz w:val="20"/>
              </w:rPr>
              <w:t>0,359</w:t>
            </w:r>
          </w:p>
        </w:tc>
        <w:tc>
          <w:tcPr>
            <w:tcW w:w="332" w:type="pct"/>
            <w:tcBorders>
              <w:top w:val="nil"/>
              <w:left w:val="single" w:sz="4" w:space="0" w:color="auto"/>
              <w:bottom w:val="single" w:sz="8" w:space="0" w:color="auto"/>
              <w:right w:val="single" w:sz="8" w:space="0" w:color="auto"/>
            </w:tcBorders>
            <w:shd w:val="clear" w:color="000000" w:fill="D9D9D9"/>
            <w:vAlign w:val="center"/>
            <w:hideMark/>
          </w:tcPr>
          <w:p w14:paraId="4C2ABB38" w14:textId="77777777" w:rsidR="00B431C6" w:rsidRPr="005A1CAE" w:rsidRDefault="00B431C6" w:rsidP="00B431C6">
            <w:pPr>
              <w:spacing w:before="0" w:after="0"/>
              <w:jc w:val="right"/>
              <w:rPr>
                <w:noProof/>
                <w:color w:val="000000"/>
                <w:sz w:val="20"/>
                <w:szCs w:val="20"/>
              </w:rPr>
            </w:pPr>
            <w:r w:rsidRPr="005A1CAE">
              <w:rPr>
                <w:noProof/>
                <w:sz w:val="20"/>
              </w:rPr>
              <w:t>0,370</w:t>
            </w:r>
          </w:p>
        </w:tc>
        <w:tc>
          <w:tcPr>
            <w:tcW w:w="334" w:type="pct"/>
            <w:tcBorders>
              <w:top w:val="nil"/>
              <w:left w:val="nil"/>
              <w:bottom w:val="single" w:sz="8" w:space="0" w:color="auto"/>
              <w:right w:val="single" w:sz="8" w:space="0" w:color="auto"/>
            </w:tcBorders>
            <w:shd w:val="clear" w:color="000000" w:fill="D9D9D9"/>
            <w:vAlign w:val="center"/>
            <w:hideMark/>
          </w:tcPr>
          <w:p w14:paraId="1E5D2278" w14:textId="77777777" w:rsidR="00B431C6" w:rsidRPr="005A1CAE" w:rsidRDefault="00B431C6" w:rsidP="00B431C6">
            <w:pPr>
              <w:spacing w:before="0" w:after="0"/>
              <w:jc w:val="right"/>
              <w:rPr>
                <w:b/>
                <w:bCs/>
                <w:noProof/>
                <w:color w:val="000000"/>
                <w:sz w:val="20"/>
                <w:szCs w:val="20"/>
              </w:rPr>
            </w:pPr>
            <w:r w:rsidRPr="005A1CAE">
              <w:rPr>
                <w:noProof/>
                <w:sz w:val="20"/>
              </w:rPr>
              <w:t>2,375</w:t>
            </w:r>
          </w:p>
        </w:tc>
      </w:tr>
      <w:tr w:rsidR="007A036C" w:rsidRPr="005A1CAE" w14:paraId="1F4315F6" w14:textId="77777777" w:rsidTr="007A036C">
        <w:trPr>
          <w:trHeight w:val="300"/>
        </w:trPr>
        <w:tc>
          <w:tcPr>
            <w:tcW w:w="1293" w:type="pct"/>
            <w:tcBorders>
              <w:top w:val="nil"/>
              <w:left w:val="single" w:sz="8" w:space="0" w:color="auto"/>
              <w:bottom w:val="single" w:sz="8" w:space="0" w:color="auto"/>
              <w:right w:val="single" w:sz="8" w:space="0" w:color="auto"/>
            </w:tcBorders>
            <w:vAlign w:val="center"/>
            <w:hideMark/>
          </w:tcPr>
          <w:p w14:paraId="7F149368" w14:textId="77777777" w:rsidR="006E051A" w:rsidRPr="005A1CAE" w:rsidRDefault="006E051A" w:rsidP="006E051A">
            <w:pPr>
              <w:spacing w:before="0" w:after="0"/>
              <w:jc w:val="center"/>
              <w:rPr>
                <w:b/>
                <w:bCs/>
                <w:noProof/>
                <w:color w:val="000000"/>
                <w:sz w:val="22"/>
              </w:rPr>
            </w:pPr>
            <w:r w:rsidRPr="005A1CAE">
              <w:rPr>
                <w:b/>
                <w:bCs/>
                <w:noProof/>
                <w:color w:val="000000"/>
                <w:sz w:val="22"/>
              </w:rPr>
              <w:t>OGÓŁEM DG</w:t>
            </w:r>
            <w:r w:rsidRPr="005A1CAE">
              <w:rPr>
                <w:noProof/>
                <w:color w:val="000000"/>
                <w:sz w:val="22"/>
              </w:rPr>
              <w:t xml:space="preserve"> TAXUD</w:t>
            </w:r>
          </w:p>
        </w:tc>
        <w:tc>
          <w:tcPr>
            <w:tcW w:w="1137" w:type="pct"/>
            <w:gridSpan w:val="3"/>
            <w:tcBorders>
              <w:top w:val="single" w:sz="8" w:space="0" w:color="auto"/>
              <w:left w:val="nil"/>
              <w:bottom w:val="single" w:sz="8" w:space="0" w:color="auto"/>
              <w:right w:val="single" w:sz="8" w:space="0" w:color="auto"/>
            </w:tcBorders>
            <w:vAlign w:val="center"/>
            <w:hideMark/>
          </w:tcPr>
          <w:p w14:paraId="536808AC" w14:textId="77777777" w:rsidR="006E051A" w:rsidRPr="005A1CAE" w:rsidRDefault="006E051A" w:rsidP="006E051A">
            <w:pPr>
              <w:spacing w:before="0" w:after="0"/>
              <w:jc w:val="left"/>
              <w:rPr>
                <w:noProof/>
                <w:color w:val="000000"/>
                <w:sz w:val="18"/>
                <w:szCs w:val="18"/>
              </w:rPr>
            </w:pPr>
            <w:r w:rsidRPr="005A1CAE">
              <w:rPr>
                <w:noProof/>
                <w:color w:val="000000"/>
                <w:sz w:val="18"/>
              </w:rPr>
              <w:t>Środki</w:t>
            </w:r>
          </w:p>
        </w:tc>
        <w:tc>
          <w:tcPr>
            <w:tcW w:w="302" w:type="pct"/>
            <w:tcBorders>
              <w:top w:val="nil"/>
              <w:left w:val="nil"/>
              <w:bottom w:val="single" w:sz="8" w:space="0" w:color="auto"/>
              <w:right w:val="single" w:sz="8" w:space="0" w:color="auto"/>
            </w:tcBorders>
            <w:shd w:val="clear" w:color="000000" w:fill="D9D9D9"/>
          </w:tcPr>
          <w:p w14:paraId="59218D1E" w14:textId="77777777" w:rsidR="006E051A" w:rsidRPr="005A1CAE" w:rsidRDefault="006E051A" w:rsidP="006E051A">
            <w:pPr>
              <w:spacing w:before="0" w:after="0"/>
              <w:jc w:val="right"/>
              <w:rPr>
                <w:b/>
                <w:bCs/>
                <w:noProof/>
                <w:color w:val="000000"/>
                <w:sz w:val="20"/>
                <w:szCs w:val="20"/>
                <w:lang w:eastAsia="en-IE"/>
              </w:rPr>
            </w:pPr>
          </w:p>
        </w:tc>
        <w:tc>
          <w:tcPr>
            <w:tcW w:w="303" w:type="pct"/>
            <w:tcBorders>
              <w:top w:val="nil"/>
              <w:left w:val="nil"/>
              <w:bottom w:val="single" w:sz="8" w:space="0" w:color="auto"/>
              <w:right w:val="single" w:sz="8" w:space="0" w:color="auto"/>
            </w:tcBorders>
            <w:shd w:val="clear" w:color="000000" w:fill="D9D9D9"/>
          </w:tcPr>
          <w:p w14:paraId="772FA18B" w14:textId="77777777" w:rsidR="006E051A" w:rsidRPr="005A1CAE" w:rsidRDefault="006E051A" w:rsidP="006E051A">
            <w:pPr>
              <w:spacing w:before="0" w:after="0"/>
              <w:jc w:val="right"/>
              <w:rPr>
                <w:b/>
                <w:bCs/>
                <w:noProof/>
                <w:color w:val="000000"/>
                <w:sz w:val="20"/>
                <w:szCs w:val="20"/>
                <w:lang w:eastAsia="en-IE"/>
              </w:rPr>
            </w:pPr>
          </w:p>
        </w:tc>
        <w:tc>
          <w:tcPr>
            <w:tcW w:w="303" w:type="pct"/>
            <w:tcBorders>
              <w:top w:val="nil"/>
              <w:left w:val="nil"/>
              <w:bottom w:val="single" w:sz="8" w:space="0" w:color="auto"/>
              <w:right w:val="single" w:sz="8" w:space="0" w:color="auto"/>
            </w:tcBorders>
            <w:shd w:val="clear" w:color="000000" w:fill="D9D9D9"/>
          </w:tcPr>
          <w:p w14:paraId="7955560B" w14:textId="77777777" w:rsidR="006E051A" w:rsidRPr="005A1CAE" w:rsidRDefault="006E051A" w:rsidP="006E051A">
            <w:pPr>
              <w:spacing w:before="0" w:after="0"/>
              <w:jc w:val="right"/>
              <w:rPr>
                <w:b/>
                <w:bCs/>
                <w:noProof/>
                <w:color w:val="000000"/>
                <w:sz w:val="20"/>
                <w:szCs w:val="20"/>
                <w:lang w:eastAsia="en-IE"/>
              </w:rPr>
            </w:pPr>
          </w:p>
        </w:tc>
        <w:tc>
          <w:tcPr>
            <w:tcW w:w="332" w:type="pct"/>
            <w:tcBorders>
              <w:top w:val="nil"/>
              <w:left w:val="nil"/>
              <w:bottom w:val="single" w:sz="8" w:space="0" w:color="auto"/>
              <w:right w:val="single" w:sz="4" w:space="0" w:color="auto"/>
            </w:tcBorders>
            <w:shd w:val="clear" w:color="000000" w:fill="D9D9D9"/>
          </w:tcPr>
          <w:p w14:paraId="59D2CA46" w14:textId="77777777" w:rsidR="006E051A" w:rsidRPr="005A1CAE" w:rsidRDefault="006E051A" w:rsidP="006E051A">
            <w:pPr>
              <w:spacing w:before="0" w:after="0"/>
              <w:jc w:val="right"/>
              <w:rPr>
                <w:b/>
                <w:bCs/>
                <w:noProof/>
                <w:sz w:val="20"/>
                <w:szCs w:val="20"/>
                <w:lang w:eastAsia="en-IE"/>
              </w:rPr>
            </w:pPr>
          </w:p>
        </w:tc>
        <w:tc>
          <w:tcPr>
            <w:tcW w:w="332" w:type="pct"/>
            <w:tcBorders>
              <w:top w:val="nil"/>
              <w:left w:val="single" w:sz="4" w:space="0" w:color="auto"/>
              <w:bottom w:val="single" w:sz="8" w:space="0" w:color="auto"/>
              <w:right w:val="single" w:sz="4" w:space="0" w:color="auto"/>
            </w:tcBorders>
            <w:shd w:val="clear" w:color="000000" w:fill="D9D9D9"/>
          </w:tcPr>
          <w:p w14:paraId="06A6B706" w14:textId="77777777" w:rsidR="006E051A" w:rsidRPr="005A1CAE" w:rsidRDefault="006E051A" w:rsidP="006E051A">
            <w:pPr>
              <w:spacing w:before="0" w:after="0"/>
              <w:jc w:val="right"/>
              <w:rPr>
                <w:b/>
                <w:bCs/>
                <w:noProof/>
                <w:sz w:val="20"/>
                <w:szCs w:val="20"/>
                <w:lang w:eastAsia="en-IE"/>
              </w:rPr>
            </w:pPr>
          </w:p>
        </w:tc>
        <w:tc>
          <w:tcPr>
            <w:tcW w:w="332" w:type="pct"/>
            <w:tcBorders>
              <w:top w:val="nil"/>
              <w:left w:val="single" w:sz="4" w:space="0" w:color="auto"/>
              <w:bottom w:val="single" w:sz="8" w:space="0" w:color="auto"/>
              <w:right w:val="single" w:sz="4" w:space="0" w:color="auto"/>
            </w:tcBorders>
            <w:shd w:val="clear" w:color="000000" w:fill="D9D9D9"/>
          </w:tcPr>
          <w:p w14:paraId="44C8219E" w14:textId="77777777" w:rsidR="006E051A" w:rsidRPr="005A1CAE" w:rsidRDefault="006E051A" w:rsidP="006E051A">
            <w:pPr>
              <w:spacing w:before="0" w:after="0"/>
              <w:jc w:val="right"/>
              <w:rPr>
                <w:b/>
                <w:bCs/>
                <w:noProof/>
                <w:sz w:val="20"/>
                <w:szCs w:val="20"/>
                <w:lang w:eastAsia="en-IE"/>
              </w:rPr>
            </w:pPr>
          </w:p>
        </w:tc>
        <w:tc>
          <w:tcPr>
            <w:tcW w:w="332" w:type="pct"/>
            <w:tcBorders>
              <w:top w:val="nil"/>
              <w:left w:val="single" w:sz="4" w:space="0" w:color="auto"/>
              <w:bottom w:val="single" w:sz="8" w:space="0" w:color="auto"/>
              <w:right w:val="single" w:sz="8" w:space="0" w:color="auto"/>
            </w:tcBorders>
            <w:shd w:val="clear" w:color="000000" w:fill="D9D9D9"/>
          </w:tcPr>
          <w:p w14:paraId="4CBE8C54" w14:textId="77777777" w:rsidR="006E051A" w:rsidRPr="005A1CAE" w:rsidRDefault="006E051A" w:rsidP="006E051A">
            <w:pPr>
              <w:spacing w:before="0" w:after="0"/>
              <w:jc w:val="right"/>
              <w:rPr>
                <w:b/>
                <w:bCs/>
                <w:noProof/>
                <w:color w:val="000000"/>
                <w:sz w:val="20"/>
                <w:szCs w:val="20"/>
                <w:lang w:eastAsia="en-IE"/>
              </w:rPr>
            </w:pPr>
          </w:p>
        </w:tc>
        <w:tc>
          <w:tcPr>
            <w:tcW w:w="334" w:type="pct"/>
            <w:tcBorders>
              <w:top w:val="nil"/>
              <w:left w:val="nil"/>
              <w:bottom w:val="single" w:sz="8" w:space="0" w:color="auto"/>
              <w:right w:val="single" w:sz="8" w:space="0" w:color="auto"/>
            </w:tcBorders>
            <w:shd w:val="clear" w:color="000000" w:fill="D9D9D9"/>
            <w:vAlign w:val="center"/>
          </w:tcPr>
          <w:p w14:paraId="451A5BDD" w14:textId="77777777" w:rsidR="006E051A" w:rsidRPr="005A1CAE" w:rsidRDefault="006E051A" w:rsidP="006E051A">
            <w:pPr>
              <w:spacing w:before="0" w:after="0"/>
              <w:jc w:val="right"/>
              <w:rPr>
                <w:b/>
                <w:bCs/>
                <w:noProof/>
                <w:color w:val="000000"/>
                <w:sz w:val="20"/>
                <w:szCs w:val="20"/>
                <w:lang w:eastAsia="en-IE"/>
              </w:rPr>
            </w:pPr>
          </w:p>
        </w:tc>
      </w:tr>
      <w:tr w:rsidR="00B431C6" w:rsidRPr="005A1CAE" w14:paraId="2F322E06" w14:textId="77777777" w:rsidTr="007A036C">
        <w:trPr>
          <w:trHeight w:val="300"/>
        </w:trPr>
        <w:tc>
          <w:tcPr>
            <w:tcW w:w="1293" w:type="pct"/>
            <w:tcBorders>
              <w:top w:val="nil"/>
              <w:left w:val="nil"/>
              <w:bottom w:val="nil"/>
              <w:right w:val="nil"/>
            </w:tcBorders>
            <w:noWrap/>
            <w:vAlign w:val="bottom"/>
            <w:hideMark/>
          </w:tcPr>
          <w:p w14:paraId="6BAE4EB0" w14:textId="77777777" w:rsidR="00B431C6" w:rsidRPr="005A1CAE" w:rsidRDefault="00B431C6" w:rsidP="00B431C6">
            <w:pPr>
              <w:spacing w:before="0" w:after="0"/>
              <w:jc w:val="right"/>
              <w:rPr>
                <w:b/>
                <w:bCs/>
                <w:noProof/>
                <w:color w:val="000000"/>
                <w:sz w:val="20"/>
                <w:szCs w:val="20"/>
                <w:lang w:eastAsia="en-IE"/>
              </w:rPr>
            </w:pPr>
          </w:p>
        </w:tc>
        <w:tc>
          <w:tcPr>
            <w:tcW w:w="715" w:type="pct"/>
            <w:tcBorders>
              <w:top w:val="nil"/>
              <w:left w:val="nil"/>
              <w:bottom w:val="nil"/>
              <w:right w:val="nil"/>
            </w:tcBorders>
            <w:noWrap/>
            <w:vAlign w:val="bottom"/>
            <w:hideMark/>
          </w:tcPr>
          <w:p w14:paraId="190DAB5A" w14:textId="77777777" w:rsidR="00B431C6" w:rsidRPr="005A1CAE" w:rsidRDefault="00B431C6" w:rsidP="00B431C6">
            <w:pPr>
              <w:spacing w:before="0" w:after="0"/>
              <w:jc w:val="left"/>
              <w:rPr>
                <w:noProof/>
                <w:sz w:val="20"/>
                <w:szCs w:val="20"/>
                <w:lang w:eastAsia="en-IE"/>
              </w:rPr>
            </w:pPr>
          </w:p>
        </w:tc>
        <w:tc>
          <w:tcPr>
            <w:tcW w:w="209" w:type="pct"/>
            <w:tcBorders>
              <w:top w:val="nil"/>
              <w:left w:val="nil"/>
              <w:bottom w:val="nil"/>
              <w:right w:val="nil"/>
            </w:tcBorders>
            <w:noWrap/>
            <w:vAlign w:val="bottom"/>
            <w:hideMark/>
          </w:tcPr>
          <w:p w14:paraId="3C736773" w14:textId="77777777" w:rsidR="00B431C6" w:rsidRPr="005A1CAE" w:rsidRDefault="00B431C6" w:rsidP="00B431C6">
            <w:pPr>
              <w:spacing w:before="0" w:after="0"/>
              <w:jc w:val="left"/>
              <w:rPr>
                <w:noProof/>
                <w:sz w:val="20"/>
                <w:szCs w:val="20"/>
                <w:lang w:eastAsia="en-IE"/>
              </w:rPr>
            </w:pPr>
          </w:p>
        </w:tc>
        <w:tc>
          <w:tcPr>
            <w:tcW w:w="213" w:type="pct"/>
            <w:tcBorders>
              <w:top w:val="nil"/>
              <w:left w:val="nil"/>
              <w:bottom w:val="nil"/>
              <w:right w:val="nil"/>
            </w:tcBorders>
            <w:noWrap/>
            <w:vAlign w:val="bottom"/>
            <w:hideMark/>
          </w:tcPr>
          <w:p w14:paraId="325472C1" w14:textId="77777777" w:rsidR="00B431C6" w:rsidRPr="005A1CAE" w:rsidRDefault="00B431C6" w:rsidP="00B431C6">
            <w:pPr>
              <w:spacing w:before="0" w:after="0"/>
              <w:jc w:val="left"/>
              <w:rPr>
                <w:noProof/>
                <w:sz w:val="20"/>
                <w:szCs w:val="20"/>
                <w:lang w:eastAsia="en-IE"/>
              </w:rPr>
            </w:pPr>
          </w:p>
        </w:tc>
        <w:tc>
          <w:tcPr>
            <w:tcW w:w="302" w:type="pct"/>
            <w:tcBorders>
              <w:top w:val="nil"/>
              <w:left w:val="nil"/>
              <w:bottom w:val="nil"/>
              <w:right w:val="nil"/>
            </w:tcBorders>
            <w:noWrap/>
            <w:vAlign w:val="bottom"/>
            <w:hideMark/>
          </w:tcPr>
          <w:p w14:paraId="6CC336FE" w14:textId="77777777" w:rsidR="00B431C6" w:rsidRPr="005A1CAE" w:rsidRDefault="00B431C6" w:rsidP="00B431C6">
            <w:pPr>
              <w:spacing w:before="0" w:after="0"/>
              <w:jc w:val="left"/>
              <w:rPr>
                <w:noProof/>
                <w:sz w:val="20"/>
                <w:szCs w:val="20"/>
                <w:lang w:eastAsia="en-IE"/>
              </w:rPr>
            </w:pPr>
          </w:p>
        </w:tc>
        <w:tc>
          <w:tcPr>
            <w:tcW w:w="303" w:type="pct"/>
            <w:tcBorders>
              <w:top w:val="nil"/>
              <w:left w:val="nil"/>
              <w:bottom w:val="nil"/>
              <w:right w:val="nil"/>
            </w:tcBorders>
            <w:noWrap/>
            <w:vAlign w:val="bottom"/>
            <w:hideMark/>
          </w:tcPr>
          <w:p w14:paraId="1821A929" w14:textId="77777777" w:rsidR="00B431C6" w:rsidRPr="005A1CAE" w:rsidRDefault="00B431C6" w:rsidP="00B431C6">
            <w:pPr>
              <w:spacing w:before="0" w:after="0"/>
              <w:jc w:val="left"/>
              <w:rPr>
                <w:noProof/>
                <w:sz w:val="20"/>
                <w:szCs w:val="20"/>
                <w:lang w:eastAsia="en-IE"/>
              </w:rPr>
            </w:pPr>
          </w:p>
        </w:tc>
        <w:tc>
          <w:tcPr>
            <w:tcW w:w="303" w:type="pct"/>
            <w:tcBorders>
              <w:top w:val="nil"/>
              <w:left w:val="nil"/>
              <w:bottom w:val="nil"/>
              <w:right w:val="nil"/>
            </w:tcBorders>
            <w:noWrap/>
            <w:vAlign w:val="bottom"/>
            <w:hideMark/>
          </w:tcPr>
          <w:p w14:paraId="5E63392C" w14:textId="77777777" w:rsidR="00B431C6" w:rsidRPr="005A1CAE" w:rsidRDefault="00B431C6" w:rsidP="00B431C6">
            <w:pPr>
              <w:spacing w:before="0" w:after="0"/>
              <w:jc w:val="left"/>
              <w:rPr>
                <w:noProof/>
                <w:sz w:val="20"/>
                <w:szCs w:val="20"/>
                <w:lang w:eastAsia="en-IE"/>
              </w:rPr>
            </w:pPr>
          </w:p>
        </w:tc>
        <w:tc>
          <w:tcPr>
            <w:tcW w:w="332" w:type="pct"/>
            <w:tcBorders>
              <w:top w:val="nil"/>
              <w:left w:val="nil"/>
              <w:bottom w:val="single" w:sz="8" w:space="0" w:color="auto"/>
              <w:right w:val="nil"/>
            </w:tcBorders>
          </w:tcPr>
          <w:p w14:paraId="1F953E6E" w14:textId="77777777" w:rsidR="00B431C6" w:rsidRPr="005A1CAE" w:rsidRDefault="00B431C6" w:rsidP="00B431C6">
            <w:pPr>
              <w:spacing w:before="0" w:after="0"/>
              <w:jc w:val="left"/>
              <w:rPr>
                <w:noProof/>
                <w:sz w:val="20"/>
                <w:szCs w:val="20"/>
                <w:lang w:eastAsia="en-IE"/>
              </w:rPr>
            </w:pPr>
          </w:p>
        </w:tc>
        <w:tc>
          <w:tcPr>
            <w:tcW w:w="332" w:type="pct"/>
            <w:tcBorders>
              <w:top w:val="nil"/>
              <w:left w:val="nil"/>
              <w:bottom w:val="single" w:sz="8" w:space="0" w:color="auto"/>
              <w:right w:val="nil"/>
            </w:tcBorders>
          </w:tcPr>
          <w:p w14:paraId="3B88B596" w14:textId="77777777" w:rsidR="00B431C6" w:rsidRPr="005A1CAE" w:rsidRDefault="00B431C6" w:rsidP="00B431C6">
            <w:pPr>
              <w:spacing w:before="0" w:after="0"/>
              <w:jc w:val="left"/>
              <w:rPr>
                <w:noProof/>
                <w:sz w:val="20"/>
                <w:szCs w:val="20"/>
                <w:lang w:eastAsia="en-IE"/>
              </w:rPr>
            </w:pPr>
          </w:p>
        </w:tc>
        <w:tc>
          <w:tcPr>
            <w:tcW w:w="332" w:type="pct"/>
            <w:tcBorders>
              <w:top w:val="nil"/>
              <w:left w:val="nil"/>
              <w:bottom w:val="single" w:sz="8" w:space="0" w:color="auto"/>
              <w:right w:val="nil"/>
            </w:tcBorders>
          </w:tcPr>
          <w:p w14:paraId="06AB1B1B" w14:textId="77777777" w:rsidR="00B431C6" w:rsidRPr="005A1CAE" w:rsidRDefault="00B431C6" w:rsidP="00B431C6">
            <w:pPr>
              <w:spacing w:before="0" w:after="0"/>
              <w:jc w:val="left"/>
              <w:rPr>
                <w:noProof/>
                <w:sz w:val="20"/>
                <w:szCs w:val="20"/>
                <w:lang w:eastAsia="en-IE"/>
              </w:rPr>
            </w:pPr>
          </w:p>
        </w:tc>
        <w:tc>
          <w:tcPr>
            <w:tcW w:w="332" w:type="pct"/>
            <w:tcBorders>
              <w:top w:val="nil"/>
              <w:left w:val="nil"/>
              <w:bottom w:val="single" w:sz="8" w:space="0" w:color="auto"/>
              <w:right w:val="nil"/>
            </w:tcBorders>
            <w:noWrap/>
            <w:vAlign w:val="bottom"/>
            <w:hideMark/>
          </w:tcPr>
          <w:p w14:paraId="6D3B8597" w14:textId="77777777" w:rsidR="00B431C6" w:rsidRPr="005A1CAE" w:rsidRDefault="00B431C6" w:rsidP="00B431C6">
            <w:pPr>
              <w:spacing w:before="0" w:after="0"/>
              <w:jc w:val="left"/>
              <w:rPr>
                <w:noProof/>
                <w:sz w:val="20"/>
                <w:szCs w:val="20"/>
                <w:lang w:eastAsia="en-IE"/>
              </w:rPr>
            </w:pPr>
          </w:p>
        </w:tc>
        <w:tc>
          <w:tcPr>
            <w:tcW w:w="334" w:type="pct"/>
            <w:tcBorders>
              <w:top w:val="nil"/>
              <w:left w:val="nil"/>
              <w:bottom w:val="nil"/>
              <w:right w:val="nil"/>
            </w:tcBorders>
            <w:noWrap/>
            <w:vAlign w:val="bottom"/>
            <w:hideMark/>
          </w:tcPr>
          <w:p w14:paraId="1F80E732" w14:textId="77777777" w:rsidR="00B431C6" w:rsidRPr="005A1CAE" w:rsidRDefault="00B431C6" w:rsidP="00B431C6">
            <w:pPr>
              <w:spacing w:before="0" w:after="0"/>
              <w:jc w:val="left"/>
              <w:rPr>
                <w:noProof/>
                <w:sz w:val="20"/>
                <w:szCs w:val="20"/>
                <w:lang w:eastAsia="en-IE"/>
              </w:rPr>
            </w:pPr>
          </w:p>
        </w:tc>
      </w:tr>
      <w:tr w:rsidR="006E051A" w:rsidRPr="005A1CAE" w14:paraId="52E294A9" w14:textId="77777777" w:rsidTr="007A036C">
        <w:trPr>
          <w:trHeight w:val="900"/>
        </w:trPr>
        <w:tc>
          <w:tcPr>
            <w:tcW w:w="2008" w:type="pct"/>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331C733F" w14:textId="77777777" w:rsidR="00B431C6" w:rsidRPr="005A1CAE" w:rsidRDefault="00B431C6" w:rsidP="00B431C6">
            <w:pPr>
              <w:spacing w:before="0" w:after="0"/>
              <w:jc w:val="center"/>
              <w:rPr>
                <w:b/>
                <w:bCs/>
                <w:noProof/>
                <w:color w:val="000000"/>
                <w:sz w:val="22"/>
              </w:rPr>
            </w:pPr>
            <w:r w:rsidRPr="005A1CAE">
              <w:rPr>
                <w:b/>
                <w:noProof/>
                <w:color w:val="000000"/>
                <w:sz w:val="22"/>
              </w:rPr>
              <w:t xml:space="preserve">OGÓŁEM środki na DZIAŁ 4 wieloletnich ram finansowych </w:t>
            </w:r>
          </w:p>
        </w:tc>
        <w:tc>
          <w:tcPr>
            <w:tcW w:w="422" w:type="pct"/>
            <w:gridSpan w:val="2"/>
            <w:tcBorders>
              <w:top w:val="single" w:sz="8" w:space="0" w:color="auto"/>
              <w:left w:val="nil"/>
              <w:bottom w:val="single" w:sz="8" w:space="0" w:color="auto"/>
              <w:right w:val="single" w:sz="8" w:space="0" w:color="auto"/>
            </w:tcBorders>
            <w:vAlign w:val="center"/>
            <w:hideMark/>
          </w:tcPr>
          <w:p w14:paraId="657E1445" w14:textId="77777777" w:rsidR="00B431C6" w:rsidRPr="005A1CAE" w:rsidRDefault="00B431C6" w:rsidP="00B431C6">
            <w:pPr>
              <w:spacing w:before="0" w:after="0"/>
              <w:jc w:val="center"/>
              <w:rPr>
                <w:noProof/>
                <w:color w:val="000000"/>
                <w:sz w:val="18"/>
                <w:szCs w:val="18"/>
              </w:rPr>
            </w:pPr>
            <w:r w:rsidRPr="005A1CAE">
              <w:rPr>
                <w:noProof/>
                <w:color w:val="000000"/>
                <w:sz w:val="18"/>
              </w:rPr>
              <w:t>(Środki na zobowiązania ogółem = środki na płatności ogółem)</w:t>
            </w:r>
          </w:p>
        </w:tc>
        <w:tc>
          <w:tcPr>
            <w:tcW w:w="302" w:type="pct"/>
            <w:tcBorders>
              <w:top w:val="single" w:sz="8" w:space="0" w:color="auto"/>
              <w:left w:val="nil"/>
              <w:bottom w:val="single" w:sz="8" w:space="0" w:color="auto"/>
              <w:right w:val="single" w:sz="8" w:space="0" w:color="auto"/>
            </w:tcBorders>
            <w:shd w:val="clear" w:color="000000" w:fill="D9D9D9"/>
            <w:vAlign w:val="center"/>
          </w:tcPr>
          <w:p w14:paraId="30DC99D9" w14:textId="77777777" w:rsidR="00B431C6" w:rsidRPr="005A1CAE" w:rsidRDefault="00B431C6" w:rsidP="00B431C6">
            <w:pPr>
              <w:spacing w:before="0" w:after="0"/>
              <w:jc w:val="right"/>
              <w:rPr>
                <w:b/>
                <w:bCs/>
                <w:noProof/>
                <w:color w:val="000000"/>
                <w:sz w:val="20"/>
                <w:szCs w:val="20"/>
                <w:lang w:eastAsia="en-IE"/>
              </w:rPr>
            </w:pPr>
          </w:p>
        </w:tc>
        <w:tc>
          <w:tcPr>
            <w:tcW w:w="303" w:type="pct"/>
            <w:tcBorders>
              <w:top w:val="single" w:sz="8" w:space="0" w:color="auto"/>
              <w:left w:val="nil"/>
              <w:bottom w:val="single" w:sz="8" w:space="0" w:color="auto"/>
              <w:right w:val="single" w:sz="8" w:space="0" w:color="auto"/>
            </w:tcBorders>
            <w:shd w:val="clear" w:color="000000" w:fill="D9D9D9"/>
            <w:vAlign w:val="center"/>
          </w:tcPr>
          <w:p w14:paraId="1A06DA33" w14:textId="77777777" w:rsidR="00B431C6" w:rsidRPr="005A1CAE" w:rsidRDefault="00B431C6" w:rsidP="00B431C6">
            <w:pPr>
              <w:spacing w:before="0" w:after="0"/>
              <w:jc w:val="right"/>
              <w:rPr>
                <w:b/>
                <w:bCs/>
                <w:noProof/>
                <w:color w:val="000000"/>
                <w:sz w:val="20"/>
                <w:szCs w:val="20"/>
                <w:lang w:eastAsia="en-IE"/>
              </w:rPr>
            </w:pPr>
          </w:p>
        </w:tc>
        <w:tc>
          <w:tcPr>
            <w:tcW w:w="303" w:type="pct"/>
            <w:tcBorders>
              <w:top w:val="single" w:sz="8" w:space="0" w:color="auto"/>
              <w:left w:val="nil"/>
              <w:bottom w:val="single" w:sz="8" w:space="0" w:color="auto"/>
              <w:right w:val="single" w:sz="8" w:space="0" w:color="auto"/>
            </w:tcBorders>
            <w:shd w:val="clear" w:color="000000" w:fill="D9D9D9"/>
            <w:vAlign w:val="center"/>
          </w:tcPr>
          <w:p w14:paraId="13ED8B21" w14:textId="77777777" w:rsidR="00B431C6" w:rsidRPr="005A1CAE" w:rsidRDefault="00B431C6" w:rsidP="00B431C6">
            <w:pPr>
              <w:spacing w:before="0" w:after="0"/>
              <w:jc w:val="right"/>
              <w:rPr>
                <w:b/>
                <w:bCs/>
                <w:noProof/>
                <w:color w:val="000000"/>
                <w:sz w:val="20"/>
                <w:szCs w:val="20"/>
                <w:lang w:eastAsia="en-IE"/>
              </w:rPr>
            </w:pPr>
          </w:p>
        </w:tc>
        <w:tc>
          <w:tcPr>
            <w:tcW w:w="332" w:type="pct"/>
            <w:tcBorders>
              <w:top w:val="single" w:sz="8" w:space="0" w:color="auto"/>
              <w:left w:val="nil"/>
              <w:bottom w:val="single" w:sz="8" w:space="0" w:color="auto"/>
              <w:right w:val="single" w:sz="4" w:space="0" w:color="auto"/>
            </w:tcBorders>
            <w:shd w:val="clear" w:color="000000" w:fill="D9D9D9"/>
          </w:tcPr>
          <w:p w14:paraId="1AFF3819" w14:textId="77777777" w:rsidR="00B431C6" w:rsidRPr="005A1CAE" w:rsidRDefault="00B431C6" w:rsidP="00B431C6">
            <w:pPr>
              <w:spacing w:before="0" w:after="0"/>
              <w:jc w:val="right"/>
              <w:rPr>
                <w:b/>
                <w:bCs/>
                <w:noProof/>
                <w:sz w:val="20"/>
                <w:szCs w:val="20"/>
                <w:lang w:eastAsia="en-IE"/>
              </w:rPr>
            </w:pPr>
          </w:p>
        </w:tc>
        <w:tc>
          <w:tcPr>
            <w:tcW w:w="332" w:type="pct"/>
            <w:tcBorders>
              <w:top w:val="single" w:sz="8" w:space="0" w:color="auto"/>
              <w:left w:val="single" w:sz="4" w:space="0" w:color="auto"/>
              <w:bottom w:val="single" w:sz="8" w:space="0" w:color="auto"/>
              <w:right w:val="single" w:sz="4" w:space="0" w:color="auto"/>
            </w:tcBorders>
            <w:shd w:val="clear" w:color="000000" w:fill="D9D9D9"/>
          </w:tcPr>
          <w:p w14:paraId="4C17D905" w14:textId="77777777" w:rsidR="00B431C6" w:rsidRPr="005A1CAE" w:rsidRDefault="00B431C6" w:rsidP="00B431C6">
            <w:pPr>
              <w:spacing w:before="0" w:after="0"/>
              <w:jc w:val="right"/>
              <w:rPr>
                <w:b/>
                <w:bCs/>
                <w:noProof/>
                <w:sz w:val="20"/>
                <w:szCs w:val="20"/>
                <w:lang w:eastAsia="en-IE"/>
              </w:rPr>
            </w:pPr>
          </w:p>
        </w:tc>
        <w:tc>
          <w:tcPr>
            <w:tcW w:w="332" w:type="pct"/>
            <w:tcBorders>
              <w:top w:val="single" w:sz="8" w:space="0" w:color="auto"/>
              <w:left w:val="single" w:sz="4" w:space="0" w:color="auto"/>
              <w:bottom w:val="single" w:sz="8" w:space="0" w:color="auto"/>
              <w:right w:val="single" w:sz="4" w:space="0" w:color="auto"/>
            </w:tcBorders>
            <w:shd w:val="clear" w:color="000000" w:fill="D9D9D9"/>
          </w:tcPr>
          <w:p w14:paraId="49ED68A9" w14:textId="77777777" w:rsidR="00B431C6" w:rsidRPr="005A1CAE" w:rsidRDefault="00B431C6" w:rsidP="00B431C6">
            <w:pPr>
              <w:spacing w:before="0" w:after="0"/>
              <w:jc w:val="right"/>
              <w:rPr>
                <w:b/>
                <w:bCs/>
                <w:noProof/>
                <w:sz w:val="20"/>
                <w:szCs w:val="20"/>
                <w:lang w:eastAsia="en-IE"/>
              </w:rPr>
            </w:pPr>
          </w:p>
        </w:tc>
        <w:tc>
          <w:tcPr>
            <w:tcW w:w="332" w:type="pct"/>
            <w:tcBorders>
              <w:top w:val="single" w:sz="8" w:space="0" w:color="auto"/>
              <w:left w:val="single" w:sz="4" w:space="0" w:color="auto"/>
              <w:bottom w:val="single" w:sz="8" w:space="0" w:color="auto"/>
              <w:right w:val="single" w:sz="8" w:space="0" w:color="auto"/>
            </w:tcBorders>
            <w:shd w:val="clear" w:color="000000" w:fill="D9D9D9"/>
            <w:vAlign w:val="center"/>
          </w:tcPr>
          <w:p w14:paraId="33D4FF0D" w14:textId="77777777" w:rsidR="00B431C6" w:rsidRPr="005A1CAE" w:rsidRDefault="00B431C6" w:rsidP="00B431C6">
            <w:pPr>
              <w:spacing w:before="0" w:after="0"/>
              <w:jc w:val="right"/>
              <w:rPr>
                <w:b/>
                <w:bCs/>
                <w:noProof/>
                <w:color w:val="000000"/>
                <w:sz w:val="20"/>
                <w:szCs w:val="20"/>
                <w:lang w:eastAsia="en-IE"/>
              </w:rPr>
            </w:pPr>
          </w:p>
        </w:tc>
        <w:tc>
          <w:tcPr>
            <w:tcW w:w="334" w:type="pct"/>
            <w:tcBorders>
              <w:top w:val="single" w:sz="8" w:space="0" w:color="auto"/>
              <w:left w:val="nil"/>
              <w:bottom w:val="single" w:sz="8" w:space="0" w:color="auto"/>
              <w:right w:val="single" w:sz="8" w:space="0" w:color="auto"/>
            </w:tcBorders>
            <w:shd w:val="clear" w:color="000000" w:fill="D9D9D9"/>
            <w:vAlign w:val="center"/>
          </w:tcPr>
          <w:p w14:paraId="0D495F88" w14:textId="77777777" w:rsidR="00B431C6" w:rsidRPr="005A1CAE" w:rsidRDefault="00B431C6" w:rsidP="00B431C6">
            <w:pPr>
              <w:spacing w:before="0" w:after="0"/>
              <w:jc w:val="right"/>
              <w:rPr>
                <w:b/>
                <w:bCs/>
                <w:noProof/>
                <w:color w:val="000000"/>
                <w:sz w:val="20"/>
                <w:szCs w:val="20"/>
                <w:lang w:eastAsia="en-IE"/>
              </w:rPr>
            </w:pPr>
          </w:p>
        </w:tc>
      </w:tr>
    </w:tbl>
    <w:p w14:paraId="596DF055" w14:textId="479D2ED2" w:rsidR="00DC6838" w:rsidRPr="005A1CAE" w:rsidRDefault="00DC6838" w:rsidP="009F612D">
      <w:pPr>
        <w:rPr>
          <w:noProof/>
        </w:rPr>
      </w:pPr>
      <w:r w:rsidRPr="005A1CAE">
        <w:rPr>
          <w:noProof/>
        </w:rPr>
        <w:t>* Wszystkie dane liczbowe dotyczące WRF na lata 2028–2034</w:t>
      </w:r>
      <w:r w:rsidR="005A1CAE" w:rsidRPr="005A1CAE">
        <w:rPr>
          <w:noProof/>
        </w:rPr>
        <w:t xml:space="preserve"> w</w:t>
      </w:r>
      <w:r w:rsidR="005A1CAE">
        <w:rPr>
          <w:noProof/>
        </w:rPr>
        <w:t> </w:t>
      </w:r>
      <w:r w:rsidR="005A1CAE" w:rsidRPr="005A1CAE">
        <w:rPr>
          <w:noProof/>
        </w:rPr>
        <w:t>pow</w:t>
      </w:r>
      <w:r w:rsidRPr="005A1CAE">
        <w:rPr>
          <w:noProof/>
        </w:rPr>
        <w:t>yższej tabeli mają charakter ściśle orientacyjny</w:t>
      </w:r>
      <w:r w:rsidR="005A1CAE" w:rsidRPr="005A1CAE">
        <w:rPr>
          <w:noProof/>
        </w:rPr>
        <w:t xml:space="preserve"> w</w:t>
      </w:r>
      <w:r w:rsidR="005A1CAE">
        <w:rPr>
          <w:noProof/>
        </w:rPr>
        <w:t> </w:t>
      </w:r>
      <w:r w:rsidR="005A1CAE" w:rsidRPr="005A1CAE">
        <w:rPr>
          <w:noProof/>
        </w:rPr>
        <w:t>ocz</w:t>
      </w:r>
      <w:r w:rsidRPr="005A1CAE">
        <w:rPr>
          <w:noProof/>
        </w:rPr>
        <w:t>ekiwaniu na wynik negocjacji, którego nie można</w:t>
      </w:r>
      <w:r w:rsidR="005A1CAE" w:rsidRPr="005A1CAE">
        <w:rPr>
          <w:noProof/>
        </w:rPr>
        <w:t xml:space="preserve"> z</w:t>
      </w:r>
      <w:r w:rsidR="005A1CAE">
        <w:rPr>
          <w:noProof/>
        </w:rPr>
        <w:t> </w:t>
      </w:r>
      <w:r w:rsidR="005A1CAE" w:rsidRPr="005A1CAE">
        <w:rPr>
          <w:noProof/>
        </w:rPr>
        <w:t>gór</w:t>
      </w:r>
      <w:r w:rsidRPr="005A1CAE">
        <w:rPr>
          <w:noProof/>
        </w:rPr>
        <w:t>y przewidzieć.</w:t>
      </w:r>
    </w:p>
    <w:p w14:paraId="69A9DE05" w14:textId="77777777" w:rsidR="00DC6838" w:rsidRPr="005A1CAE" w:rsidRDefault="00DC6838" w:rsidP="009F612D">
      <w:pPr>
        <w:rPr>
          <w:noProof/>
        </w:rPr>
      </w:pPr>
    </w:p>
    <w:p w14:paraId="34B74A4C" w14:textId="77777777" w:rsidR="00DC6838" w:rsidRPr="005A1CAE" w:rsidRDefault="00DC6838" w:rsidP="00DC6838">
      <w:pPr>
        <w:tabs>
          <w:tab w:val="left" w:pos="11790"/>
        </w:tabs>
        <w:rPr>
          <w:noProof/>
          <w:sz w:val="20"/>
          <w:szCs w:val="20"/>
        </w:rPr>
      </w:pP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0"/>
        <w:gridCol w:w="869"/>
        <w:gridCol w:w="809"/>
        <w:gridCol w:w="779"/>
        <w:gridCol w:w="729"/>
        <w:gridCol w:w="729"/>
        <w:gridCol w:w="729"/>
        <w:gridCol w:w="779"/>
        <w:gridCol w:w="729"/>
        <w:gridCol w:w="819"/>
        <w:gridCol w:w="709"/>
        <w:gridCol w:w="659"/>
        <w:gridCol w:w="2680"/>
      </w:tblGrid>
      <w:tr w:rsidR="00DC6838" w:rsidRPr="005A1CAE" w14:paraId="1DB57175" w14:textId="77777777">
        <w:trPr>
          <w:jc w:val="center"/>
        </w:trPr>
        <w:tc>
          <w:tcPr>
            <w:tcW w:w="4440" w:type="dxa"/>
            <w:vAlign w:val="center"/>
          </w:tcPr>
          <w:p w14:paraId="76AA0F56" w14:textId="77777777" w:rsidR="00DC6838" w:rsidRPr="005A1CAE" w:rsidRDefault="00DC6838">
            <w:pPr>
              <w:jc w:val="center"/>
              <w:rPr>
                <w:b/>
                <w:i/>
                <w:noProof/>
              </w:rPr>
            </w:pPr>
            <w:r w:rsidRPr="005A1CAE">
              <w:rPr>
                <w:b/>
                <w:i/>
                <w:noProof/>
              </w:rPr>
              <w:t>ZATWIERDZONE ŚRODKI</w:t>
            </w:r>
          </w:p>
          <w:p w14:paraId="751B4C40" w14:textId="77777777" w:rsidR="00DC6838" w:rsidRPr="005A1CAE" w:rsidRDefault="00DC6838">
            <w:pPr>
              <w:jc w:val="center"/>
              <w:rPr>
                <w:i/>
                <w:noProof/>
              </w:rPr>
            </w:pPr>
          </w:p>
        </w:tc>
        <w:tc>
          <w:tcPr>
            <w:tcW w:w="1185" w:type="dxa"/>
            <w:vAlign w:val="center"/>
          </w:tcPr>
          <w:p w14:paraId="334936C0" w14:textId="77777777" w:rsidR="00DC6838" w:rsidRPr="005A1CAE" w:rsidRDefault="00DC6838">
            <w:pPr>
              <w:jc w:val="center"/>
              <w:rPr>
                <w:b/>
                <w:i/>
                <w:noProof/>
              </w:rPr>
            </w:pPr>
            <w:r w:rsidRPr="005A1CAE">
              <w:rPr>
                <w:b/>
                <w:i/>
                <w:noProof/>
              </w:rPr>
              <w:t>Rok</w:t>
            </w:r>
            <w:r w:rsidRPr="005A1CAE">
              <w:rPr>
                <w:noProof/>
              </w:rPr>
              <w:t xml:space="preserve"> </w:t>
            </w:r>
            <w:r w:rsidRPr="005A1CAE">
              <w:rPr>
                <w:noProof/>
              </w:rPr>
              <w:br/>
            </w:r>
            <w:r w:rsidRPr="005A1CAE">
              <w:rPr>
                <w:b/>
                <w:i/>
                <w:noProof/>
              </w:rPr>
              <w:t>2024</w:t>
            </w:r>
          </w:p>
        </w:tc>
        <w:tc>
          <w:tcPr>
            <w:tcW w:w="1095" w:type="dxa"/>
            <w:vAlign w:val="center"/>
          </w:tcPr>
          <w:p w14:paraId="1AC63533" w14:textId="77777777" w:rsidR="00DC6838" w:rsidRPr="005A1CAE" w:rsidRDefault="00DC6838">
            <w:pPr>
              <w:jc w:val="center"/>
              <w:rPr>
                <w:b/>
                <w:i/>
                <w:noProof/>
              </w:rPr>
            </w:pPr>
            <w:r w:rsidRPr="005A1CAE">
              <w:rPr>
                <w:b/>
                <w:i/>
                <w:noProof/>
              </w:rPr>
              <w:t>Rok</w:t>
            </w:r>
            <w:r w:rsidRPr="005A1CAE">
              <w:rPr>
                <w:noProof/>
              </w:rPr>
              <w:t xml:space="preserve"> </w:t>
            </w:r>
            <w:r w:rsidRPr="005A1CAE">
              <w:rPr>
                <w:noProof/>
              </w:rPr>
              <w:br/>
            </w:r>
            <w:r w:rsidRPr="005A1CAE">
              <w:rPr>
                <w:b/>
                <w:i/>
                <w:noProof/>
              </w:rPr>
              <w:t>2025</w:t>
            </w:r>
          </w:p>
        </w:tc>
        <w:tc>
          <w:tcPr>
            <w:tcW w:w="1050" w:type="dxa"/>
            <w:vAlign w:val="center"/>
          </w:tcPr>
          <w:p w14:paraId="40F3AA03" w14:textId="77777777" w:rsidR="00DC6838" w:rsidRPr="005A1CAE" w:rsidRDefault="00DC6838">
            <w:pPr>
              <w:jc w:val="center"/>
              <w:rPr>
                <w:b/>
                <w:i/>
                <w:noProof/>
              </w:rPr>
            </w:pPr>
            <w:r w:rsidRPr="005A1CAE">
              <w:rPr>
                <w:b/>
                <w:i/>
                <w:noProof/>
              </w:rPr>
              <w:t>Rok</w:t>
            </w:r>
            <w:r w:rsidRPr="005A1CAE">
              <w:rPr>
                <w:noProof/>
              </w:rPr>
              <w:t xml:space="preserve"> </w:t>
            </w:r>
            <w:r w:rsidRPr="005A1CAE">
              <w:rPr>
                <w:noProof/>
              </w:rPr>
              <w:br/>
            </w:r>
            <w:r w:rsidRPr="005A1CAE">
              <w:rPr>
                <w:b/>
                <w:i/>
                <w:noProof/>
              </w:rPr>
              <w:t>2026</w:t>
            </w:r>
          </w:p>
        </w:tc>
        <w:tc>
          <w:tcPr>
            <w:tcW w:w="975" w:type="dxa"/>
            <w:vAlign w:val="center"/>
          </w:tcPr>
          <w:p w14:paraId="5ECE0FAD" w14:textId="77777777" w:rsidR="00DC6838" w:rsidRPr="005A1CAE" w:rsidRDefault="00DC6838">
            <w:pPr>
              <w:jc w:val="center"/>
              <w:rPr>
                <w:b/>
                <w:i/>
                <w:noProof/>
              </w:rPr>
            </w:pPr>
            <w:r w:rsidRPr="005A1CAE">
              <w:rPr>
                <w:b/>
                <w:i/>
                <w:noProof/>
              </w:rPr>
              <w:t>Rok</w:t>
            </w:r>
            <w:r w:rsidRPr="005A1CAE">
              <w:rPr>
                <w:noProof/>
              </w:rPr>
              <w:t xml:space="preserve"> </w:t>
            </w:r>
            <w:r w:rsidRPr="005A1CAE">
              <w:rPr>
                <w:noProof/>
              </w:rPr>
              <w:br/>
            </w:r>
            <w:r w:rsidRPr="005A1CAE">
              <w:rPr>
                <w:b/>
                <w:i/>
                <w:noProof/>
              </w:rPr>
              <w:t>2027</w:t>
            </w:r>
          </w:p>
        </w:tc>
        <w:tc>
          <w:tcPr>
            <w:tcW w:w="975" w:type="dxa"/>
            <w:vAlign w:val="center"/>
          </w:tcPr>
          <w:p w14:paraId="223C50D7" w14:textId="77777777" w:rsidR="00DC6838" w:rsidRPr="005A1CAE" w:rsidRDefault="00DC6838">
            <w:pPr>
              <w:jc w:val="center"/>
              <w:rPr>
                <w:b/>
                <w:i/>
                <w:noProof/>
              </w:rPr>
            </w:pPr>
            <w:r w:rsidRPr="005A1CAE">
              <w:rPr>
                <w:b/>
                <w:i/>
                <w:noProof/>
              </w:rPr>
              <w:t>Rok 2028</w:t>
            </w:r>
          </w:p>
        </w:tc>
        <w:tc>
          <w:tcPr>
            <w:tcW w:w="975" w:type="dxa"/>
            <w:vAlign w:val="center"/>
          </w:tcPr>
          <w:p w14:paraId="7EF61EA5" w14:textId="77777777" w:rsidR="00DC6838" w:rsidRPr="005A1CAE" w:rsidRDefault="00DC6838">
            <w:pPr>
              <w:jc w:val="center"/>
              <w:rPr>
                <w:b/>
                <w:i/>
                <w:noProof/>
              </w:rPr>
            </w:pPr>
            <w:r w:rsidRPr="005A1CAE">
              <w:rPr>
                <w:b/>
                <w:i/>
                <w:noProof/>
              </w:rPr>
              <w:t>Rok 2029</w:t>
            </w:r>
          </w:p>
        </w:tc>
        <w:tc>
          <w:tcPr>
            <w:tcW w:w="1050" w:type="dxa"/>
            <w:vAlign w:val="center"/>
          </w:tcPr>
          <w:p w14:paraId="43029847" w14:textId="77777777" w:rsidR="00DC6838" w:rsidRPr="005A1CAE" w:rsidRDefault="00DC6838">
            <w:pPr>
              <w:jc w:val="center"/>
              <w:rPr>
                <w:b/>
                <w:i/>
                <w:noProof/>
              </w:rPr>
            </w:pPr>
            <w:r w:rsidRPr="005A1CAE">
              <w:rPr>
                <w:b/>
                <w:i/>
                <w:noProof/>
              </w:rPr>
              <w:t>Rok 2030</w:t>
            </w:r>
          </w:p>
        </w:tc>
        <w:tc>
          <w:tcPr>
            <w:tcW w:w="975" w:type="dxa"/>
            <w:vAlign w:val="center"/>
          </w:tcPr>
          <w:p w14:paraId="5598AAD7" w14:textId="77777777" w:rsidR="00DC6838" w:rsidRPr="005A1CAE" w:rsidRDefault="00DC6838">
            <w:pPr>
              <w:jc w:val="center"/>
              <w:rPr>
                <w:b/>
                <w:i/>
                <w:noProof/>
              </w:rPr>
            </w:pPr>
            <w:r w:rsidRPr="005A1CAE">
              <w:rPr>
                <w:b/>
                <w:i/>
                <w:noProof/>
              </w:rPr>
              <w:t>Rok 2031</w:t>
            </w:r>
          </w:p>
        </w:tc>
        <w:tc>
          <w:tcPr>
            <w:tcW w:w="1110" w:type="dxa"/>
            <w:vAlign w:val="center"/>
          </w:tcPr>
          <w:p w14:paraId="5CDEEC25" w14:textId="77777777" w:rsidR="00DC6838" w:rsidRPr="005A1CAE" w:rsidRDefault="00DC6838">
            <w:pPr>
              <w:jc w:val="center"/>
              <w:rPr>
                <w:b/>
                <w:i/>
                <w:noProof/>
              </w:rPr>
            </w:pPr>
            <w:r w:rsidRPr="005A1CAE">
              <w:rPr>
                <w:b/>
                <w:i/>
                <w:noProof/>
              </w:rPr>
              <w:t>Rok 2032</w:t>
            </w:r>
          </w:p>
        </w:tc>
        <w:tc>
          <w:tcPr>
            <w:tcW w:w="945" w:type="dxa"/>
            <w:vAlign w:val="center"/>
          </w:tcPr>
          <w:p w14:paraId="6F1632D0" w14:textId="77777777" w:rsidR="00DC6838" w:rsidRPr="005A1CAE" w:rsidRDefault="00DC6838">
            <w:pPr>
              <w:jc w:val="center"/>
              <w:rPr>
                <w:b/>
                <w:i/>
                <w:noProof/>
              </w:rPr>
            </w:pPr>
            <w:r w:rsidRPr="005A1CAE">
              <w:rPr>
                <w:b/>
                <w:i/>
                <w:noProof/>
              </w:rPr>
              <w:t>Rok 2033</w:t>
            </w:r>
          </w:p>
        </w:tc>
        <w:tc>
          <w:tcPr>
            <w:tcW w:w="870" w:type="dxa"/>
            <w:vAlign w:val="center"/>
          </w:tcPr>
          <w:p w14:paraId="41A83A91" w14:textId="77777777" w:rsidR="00DC6838" w:rsidRPr="005A1CAE" w:rsidRDefault="00DC6838">
            <w:pPr>
              <w:jc w:val="center"/>
              <w:rPr>
                <w:b/>
                <w:i/>
                <w:noProof/>
              </w:rPr>
            </w:pPr>
            <w:r w:rsidRPr="005A1CAE">
              <w:rPr>
                <w:b/>
                <w:i/>
                <w:noProof/>
              </w:rPr>
              <w:t>Rok 2034</w:t>
            </w:r>
          </w:p>
        </w:tc>
        <w:tc>
          <w:tcPr>
            <w:tcW w:w="3900" w:type="dxa"/>
            <w:vAlign w:val="center"/>
          </w:tcPr>
          <w:p w14:paraId="6DDBA0D1" w14:textId="77777777" w:rsidR="00DC6838" w:rsidRPr="005A1CAE" w:rsidRDefault="00DC6838">
            <w:pPr>
              <w:jc w:val="center"/>
              <w:rPr>
                <w:i/>
                <w:noProof/>
              </w:rPr>
            </w:pPr>
            <w:r w:rsidRPr="005A1CAE">
              <w:rPr>
                <w:b/>
                <w:i/>
                <w:noProof/>
              </w:rPr>
              <w:t>OGÓŁEM</w:t>
            </w:r>
            <w:r w:rsidRPr="005A1CAE">
              <w:rPr>
                <w:noProof/>
              </w:rPr>
              <w:t xml:space="preserve"> </w:t>
            </w:r>
            <w:r w:rsidRPr="005A1CAE">
              <w:rPr>
                <w:noProof/>
              </w:rPr>
              <w:br/>
            </w:r>
          </w:p>
        </w:tc>
      </w:tr>
      <w:tr w:rsidR="00DC6838" w:rsidRPr="005A1CAE" w14:paraId="09B88C83" w14:textId="77777777">
        <w:trPr>
          <w:jc w:val="center"/>
        </w:trPr>
        <w:tc>
          <w:tcPr>
            <w:tcW w:w="14059" w:type="dxa"/>
            <w:gridSpan w:val="13"/>
            <w:vAlign w:val="center"/>
          </w:tcPr>
          <w:p w14:paraId="54CE4EF9" w14:textId="77777777" w:rsidR="00DC6838" w:rsidRPr="005A1CAE" w:rsidRDefault="00DC6838">
            <w:pPr>
              <w:jc w:val="left"/>
              <w:rPr>
                <w:b/>
                <w:i/>
                <w:noProof/>
              </w:rPr>
            </w:pPr>
            <w:r w:rsidRPr="005A1CAE">
              <w:rPr>
                <w:b/>
                <w:i/>
                <w:noProof/>
              </w:rPr>
              <w:t>DZIAŁ 7 (okres programowania 2021–2027); DZIAŁ 4 (okres programowania 2028–2034)</w:t>
            </w:r>
          </w:p>
        </w:tc>
      </w:tr>
      <w:tr w:rsidR="00DC6838" w:rsidRPr="005A1CAE" w14:paraId="469574EE" w14:textId="77777777">
        <w:trPr>
          <w:jc w:val="center"/>
        </w:trPr>
        <w:tc>
          <w:tcPr>
            <w:tcW w:w="4440" w:type="dxa"/>
            <w:vAlign w:val="center"/>
          </w:tcPr>
          <w:p w14:paraId="07F34034" w14:textId="77777777" w:rsidR="00DC6838" w:rsidRPr="005A1CAE" w:rsidRDefault="00DC6838">
            <w:pPr>
              <w:jc w:val="left"/>
              <w:rPr>
                <w:i/>
                <w:noProof/>
              </w:rPr>
            </w:pPr>
            <w:r w:rsidRPr="005A1CAE">
              <w:rPr>
                <w:i/>
                <w:noProof/>
              </w:rPr>
              <w:t>Zasoby ludzkie</w:t>
            </w:r>
          </w:p>
        </w:tc>
        <w:tc>
          <w:tcPr>
            <w:tcW w:w="1185" w:type="dxa"/>
            <w:vAlign w:val="center"/>
          </w:tcPr>
          <w:p w14:paraId="19F2D0BA" w14:textId="77777777" w:rsidR="00DC6838" w:rsidRPr="005A1CAE" w:rsidRDefault="00DC6838">
            <w:pPr>
              <w:jc w:val="right"/>
              <w:rPr>
                <w:i/>
                <w:noProof/>
              </w:rPr>
            </w:pPr>
            <w:r w:rsidRPr="005A1CAE">
              <w:rPr>
                <w:i/>
                <w:noProof/>
              </w:rPr>
              <w:t>8,572</w:t>
            </w:r>
          </w:p>
        </w:tc>
        <w:tc>
          <w:tcPr>
            <w:tcW w:w="1095" w:type="dxa"/>
            <w:vAlign w:val="center"/>
          </w:tcPr>
          <w:p w14:paraId="133E2E23" w14:textId="77777777" w:rsidR="00DC6838" w:rsidRPr="005A1CAE" w:rsidRDefault="00DC6838">
            <w:pPr>
              <w:jc w:val="right"/>
              <w:rPr>
                <w:i/>
                <w:noProof/>
              </w:rPr>
            </w:pPr>
            <w:r w:rsidRPr="005A1CAE">
              <w:rPr>
                <w:i/>
                <w:noProof/>
              </w:rPr>
              <w:t>6,271</w:t>
            </w:r>
          </w:p>
        </w:tc>
        <w:tc>
          <w:tcPr>
            <w:tcW w:w="1050" w:type="dxa"/>
            <w:vAlign w:val="center"/>
          </w:tcPr>
          <w:p w14:paraId="537CC1E4" w14:textId="77777777" w:rsidR="00DC6838" w:rsidRPr="005A1CAE" w:rsidRDefault="00DC6838">
            <w:pPr>
              <w:jc w:val="right"/>
              <w:rPr>
                <w:i/>
                <w:noProof/>
              </w:rPr>
            </w:pPr>
            <w:r w:rsidRPr="005A1CAE">
              <w:rPr>
                <w:i/>
                <w:noProof/>
              </w:rPr>
              <w:t>8,740</w:t>
            </w:r>
          </w:p>
        </w:tc>
        <w:tc>
          <w:tcPr>
            <w:tcW w:w="975" w:type="dxa"/>
            <w:vAlign w:val="center"/>
          </w:tcPr>
          <w:p w14:paraId="7427251C" w14:textId="77777777" w:rsidR="00DC6838" w:rsidRPr="005A1CAE" w:rsidRDefault="00C123F4">
            <w:pPr>
              <w:jc w:val="right"/>
              <w:rPr>
                <w:i/>
                <w:noProof/>
              </w:rPr>
            </w:pPr>
            <w:r w:rsidRPr="005A1CAE">
              <w:rPr>
                <w:i/>
                <w:noProof/>
              </w:rPr>
              <w:t>11,700</w:t>
            </w:r>
          </w:p>
        </w:tc>
        <w:tc>
          <w:tcPr>
            <w:tcW w:w="975" w:type="dxa"/>
            <w:vAlign w:val="center"/>
          </w:tcPr>
          <w:p w14:paraId="1CC7A8D9" w14:textId="77777777" w:rsidR="00DC6838" w:rsidRPr="005A1CAE" w:rsidRDefault="00DC6838">
            <w:pPr>
              <w:spacing w:before="0" w:after="0"/>
              <w:rPr>
                <w:i/>
                <w:noProof/>
              </w:rPr>
            </w:pPr>
            <w:r w:rsidRPr="005A1CAE">
              <w:rPr>
                <w:i/>
                <w:noProof/>
              </w:rPr>
              <w:t> 13,293</w:t>
            </w:r>
          </w:p>
        </w:tc>
        <w:tc>
          <w:tcPr>
            <w:tcW w:w="975" w:type="dxa"/>
            <w:vAlign w:val="center"/>
          </w:tcPr>
          <w:p w14:paraId="32A5421B" w14:textId="77777777" w:rsidR="00DC6838" w:rsidRPr="005A1CAE" w:rsidRDefault="00DC6838">
            <w:pPr>
              <w:spacing w:before="0" w:after="0"/>
              <w:rPr>
                <w:i/>
                <w:noProof/>
              </w:rPr>
            </w:pPr>
            <w:r w:rsidRPr="005A1CAE">
              <w:rPr>
                <w:i/>
                <w:noProof/>
              </w:rPr>
              <w:t>13,293 </w:t>
            </w:r>
          </w:p>
        </w:tc>
        <w:tc>
          <w:tcPr>
            <w:tcW w:w="1050" w:type="dxa"/>
            <w:vAlign w:val="center"/>
          </w:tcPr>
          <w:p w14:paraId="08E5E545" w14:textId="77777777" w:rsidR="00DC6838" w:rsidRPr="005A1CAE" w:rsidRDefault="00DC6838">
            <w:pPr>
              <w:spacing w:before="0" w:after="0"/>
              <w:rPr>
                <w:i/>
                <w:noProof/>
              </w:rPr>
            </w:pPr>
            <w:r w:rsidRPr="005A1CAE">
              <w:rPr>
                <w:i/>
                <w:noProof/>
              </w:rPr>
              <w:t>13,293 </w:t>
            </w:r>
          </w:p>
        </w:tc>
        <w:tc>
          <w:tcPr>
            <w:tcW w:w="975" w:type="dxa"/>
            <w:vAlign w:val="center"/>
          </w:tcPr>
          <w:p w14:paraId="76994B46" w14:textId="77777777" w:rsidR="00DC6838" w:rsidRPr="005A1CAE" w:rsidRDefault="00DC6838">
            <w:pPr>
              <w:spacing w:before="0" w:after="0"/>
              <w:rPr>
                <w:i/>
                <w:noProof/>
              </w:rPr>
            </w:pPr>
            <w:r w:rsidRPr="005A1CAE">
              <w:rPr>
                <w:i/>
                <w:noProof/>
              </w:rPr>
              <w:t>13,293 </w:t>
            </w:r>
          </w:p>
        </w:tc>
        <w:tc>
          <w:tcPr>
            <w:tcW w:w="1110" w:type="dxa"/>
            <w:vAlign w:val="center"/>
          </w:tcPr>
          <w:p w14:paraId="71E9BA02" w14:textId="77777777" w:rsidR="00DC6838" w:rsidRPr="005A1CAE" w:rsidRDefault="00DC6838">
            <w:pPr>
              <w:spacing w:before="0" w:after="0"/>
              <w:rPr>
                <w:i/>
                <w:noProof/>
              </w:rPr>
            </w:pPr>
            <w:r w:rsidRPr="005A1CAE">
              <w:rPr>
                <w:i/>
                <w:noProof/>
              </w:rPr>
              <w:t>13,293 </w:t>
            </w:r>
          </w:p>
        </w:tc>
        <w:tc>
          <w:tcPr>
            <w:tcW w:w="945" w:type="dxa"/>
            <w:vAlign w:val="center"/>
          </w:tcPr>
          <w:p w14:paraId="2E91C90D" w14:textId="77777777" w:rsidR="00DC6838" w:rsidRPr="005A1CAE" w:rsidRDefault="00DC6838">
            <w:pPr>
              <w:spacing w:before="0" w:after="0"/>
              <w:rPr>
                <w:i/>
                <w:noProof/>
              </w:rPr>
            </w:pPr>
            <w:r w:rsidRPr="005A1CAE">
              <w:rPr>
                <w:i/>
                <w:noProof/>
              </w:rPr>
              <w:t>13,293 </w:t>
            </w:r>
          </w:p>
        </w:tc>
        <w:tc>
          <w:tcPr>
            <w:tcW w:w="870" w:type="dxa"/>
            <w:vAlign w:val="center"/>
          </w:tcPr>
          <w:p w14:paraId="29DAC7F9" w14:textId="77777777" w:rsidR="00DC6838" w:rsidRPr="005A1CAE" w:rsidRDefault="00DC6838">
            <w:pPr>
              <w:spacing w:before="0" w:after="0"/>
              <w:rPr>
                <w:i/>
                <w:noProof/>
              </w:rPr>
            </w:pPr>
            <w:r w:rsidRPr="005A1CAE">
              <w:rPr>
                <w:i/>
                <w:noProof/>
              </w:rPr>
              <w:t>13,293 </w:t>
            </w:r>
          </w:p>
        </w:tc>
        <w:tc>
          <w:tcPr>
            <w:tcW w:w="3900" w:type="dxa"/>
            <w:vAlign w:val="center"/>
          </w:tcPr>
          <w:p w14:paraId="4936638A" w14:textId="77777777" w:rsidR="00DC6838" w:rsidRPr="005A1CAE" w:rsidRDefault="005E349A">
            <w:pPr>
              <w:jc w:val="right"/>
              <w:rPr>
                <w:i/>
                <w:noProof/>
              </w:rPr>
            </w:pPr>
            <w:r w:rsidRPr="005A1CAE">
              <w:rPr>
                <w:i/>
                <w:noProof/>
              </w:rPr>
              <w:t>128,334</w:t>
            </w:r>
          </w:p>
        </w:tc>
      </w:tr>
      <w:tr w:rsidR="00DC6838" w:rsidRPr="005A1CAE" w14:paraId="64F46BF9" w14:textId="77777777">
        <w:trPr>
          <w:jc w:val="center"/>
        </w:trPr>
        <w:tc>
          <w:tcPr>
            <w:tcW w:w="4440" w:type="dxa"/>
            <w:vAlign w:val="center"/>
          </w:tcPr>
          <w:p w14:paraId="6EB3B975" w14:textId="77777777" w:rsidR="00DC6838" w:rsidRPr="005A1CAE" w:rsidRDefault="00DC6838">
            <w:pPr>
              <w:jc w:val="left"/>
              <w:rPr>
                <w:i/>
                <w:noProof/>
              </w:rPr>
            </w:pPr>
            <w:r w:rsidRPr="005A1CAE">
              <w:rPr>
                <w:i/>
                <w:noProof/>
              </w:rPr>
              <w:t>Inne wydatki administracyjne – podróże służbowe</w:t>
            </w:r>
          </w:p>
        </w:tc>
        <w:tc>
          <w:tcPr>
            <w:tcW w:w="1185" w:type="dxa"/>
            <w:vAlign w:val="center"/>
          </w:tcPr>
          <w:p w14:paraId="7FDEA606" w14:textId="77777777" w:rsidR="00DC6838" w:rsidRPr="005A1CAE" w:rsidRDefault="00DC6838">
            <w:pPr>
              <w:jc w:val="right"/>
              <w:rPr>
                <w:i/>
                <w:noProof/>
              </w:rPr>
            </w:pPr>
            <w:r w:rsidRPr="005A1CAE">
              <w:rPr>
                <w:i/>
                <w:noProof/>
              </w:rPr>
              <w:t>0,600</w:t>
            </w:r>
          </w:p>
        </w:tc>
        <w:tc>
          <w:tcPr>
            <w:tcW w:w="1095" w:type="dxa"/>
            <w:vAlign w:val="center"/>
          </w:tcPr>
          <w:p w14:paraId="1B94435F" w14:textId="77777777" w:rsidR="00DC6838" w:rsidRPr="005A1CAE" w:rsidRDefault="00DC6838">
            <w:pPr>
              <w:jc w:val="right"/>
              <w:rPr>
                <w:i/>
                <w:noProof/>
              </w:rPr>
            </w:pPr>
            <w:r w:rsidRPr="005A1CAE">
              <w:rPr>
                <w:i/>
                <w:noProof/>
              </w:rPr>
              <w:t>0,300</w:t>
            </w:r>
          </w:p>
        </w:tc>
        <w:tc>
          <w:tcPr>
            <w:tcW w:w="1050" w:type="dxa"/>
            <w:vAlign w:val="center"/>
          </w:tcPr>
          <w:p w14:paraId="21E94B7C" w14:textId="77777777" w:rsidR="00DC6838" w:rsidRPr="005A1CAE" w:rsidRDefault="00DC6838">
            <w:pPr>
              <w:jc w:val="right"/>
              <w:rPr>
                <w:i/>
                <w:noProof/>
              </w:rPr>
            </w:pPr>
            <w:r w:rsidRPr="005A1CAE">
              <w:rPr>
                <w:i/>
                <w:noProof/>
              </w:rPr>
              <w:t>0,306</w:t>
            </w:r>
          </w:p>
        </w:tc>
        <w:tc>
          <w:tcPr>
            <w:tcW w:w="975" w:type="dxa"/>
            <w:vAlign w:val="center"/>
          </w:tcPr>
          <w:p w14:paraId="0E01A1D3" w14:textId="77777777" w:rsidR="00DC6838" w:rsidRPr="005A1CAE" w:rsidRDefault="00DC6838">
            <w:pPr>
              <w:jc w:val="right"/>
              <w:rPr>
                <w:i/>
                <w:noProof/>
              </w:rPr>
            </w:pPr>
            <w:r w:rsidRPr="005A1CAE">
              <w:rPr>
                <w:i/>
                <w:noProof/>
              </w:rPr>
              <w:t>0,312</w:t>
            </w:r>
          </w:p>
        </w:tc>
        <w:tc>
          <w:tcPr>
            <w:tcW w:w="975" w:type="dxa"/>
            <w:vAlign w:val="center"/>
          </w:tcPr>
          <w:p w14:paraId="6FA9E3F5" w14:textId="77777777" w:rsidR="00DC6838" w:rsidRPr="005A1CAE" w:rsidRDefault="00DC6838">
            <w:pPr>
              <w:spacing w:before="0" w:after="0"/>
              <w:rPr>
                <w:i/>
                <w:noProof/>
              </w:rPr>
            </w:pPr>
            <w:r w:rsidRPr="005A1CAE">
              <w:rPr>
                <w:i/>
                <w:noProof/>
              </w:rPr>
              <w:t>0,310</w:t>
            </w:r>
          </w:p>
        </w:tc>
        <w:tc>
          <w:tcPr>
            <w:tcW w:w="975" w:type="dxa"/>
            <w:vAlign w:val="center"/>
          </w:tcPr>
          <w:p w14:paraId="639B12B5" w14:textId="77777777" w:rsidR="00DC6838" w:rsidRPr="005A1CAE" w:rsidRDefault="00DC6838">
            <w:pPr>
              <w:spacing w:before="0" w:after="0"/>
              <w:rPr>
                <w:i/>
                <w:noProof/>
              </w:rPr>
            </w:pPr>
            <w:r w:rsidRPr="005A1CAE">
              <w:rPr>
                <w:i/>
                <w:noProof/>
              </w:rPr>
              <w:t>0,319 </w:t>
            </w:r>
          </w:p>
        </w:tc>
        <w:tc>
          <w:tcPr>
            <w:tcW w:w="1050" w:type="dxa"/>
            <w:vAlign w:val="center"/>
          </w:tcPr>
          <w:p w14:paraId="4F298863" w14:textId="77777777" w:rsidR="00DC6838" w:rsidRPr="005A1CAE" w:rsidRDefault="00DC6838">
            <w:pPr>
              <w:spacing w:before="0" w:after="0"/>
              <w:rPr>
                <w:i/>
                <w:noProof/>
              </w:rPr>
            </w:pPr>
            <w:r w:rsidRPr="005A1CAE">
              <w:rPr>
                <w:i/>
                <w:noProof/>
              </w:rPr>
              <w:t>0,329 </w:t>
            </w:r>
          </w:p>
        </w:tc>
        <w:tc>
          <w:tcPr>
            <w:tcW w:w="975" w:type="dxa"/>
            <w:vAlign w:val="center"/>
          </w:tcPr>
          <w:p w14:paraId="0762279E" w14:textId="77777777" w:rsidR="00DC6838" w:rsidRPr="005A1CAE" w:rsidRDefault="00DC6838">
            <w:pPr>
              <w:spacing w:before="0" w:after="0"/>
              <w:rPr>
                <w:i/>
                <w:noProof/>
              </w:rPr>
            </w:pPr>
            <w:r w:rsidRPr="005A1CAE">
              <w:rPr>
                <w:i/>
                <w:noProof/>
              </w:rPr>
              <w:t>0,339 </w:t>
            </w:r>
          </w:p>
        </w:tc>
        <w:tc>
          <w:tcPr>
            <w:tcW w:w="1110" w:type="dxa"/>
            <w:vAlign w:val="center"/>
          </w:tcPr>
          <w:p w14:paraId="5B969038" w14:textId="77777777" w:rsidR="00DC6838" w:rsidRPr="005A1CAE" w:rsidRDefault="00DC6838">
            <w:pPr>
              <w:spacing w:before="0" w:after="0"/>
              <w:rPr>
                <w:i/>
                <w:noProof/>
              </w:rPr>
            </w:pPr>
            <w:r w:rsidRPr="005A1CAE">
              <w:rPr>
                <w:i/>
                <w:noProof/>
              </w:rPr>
              <w:t>0,349 </w:t>
            </w:r>
          </w:p>
        </w:tc>
        <w:tc>
          <w:tcPr>
            <w:tcW w:w="945" w:type="dxa"/>
            <w:vAlign w:val="center"/>
          </w:tcPr>
          <w:p w14:paraId="3A279A8C" w14:textId="77777777" w:rsidR="00DC6838" w:rsidRPr="005A1CAE" w:rsidRDefault="00DC6838">
            <w:pPr>
              <w:spacing w:before="0" w:after="0"/>
              <w:rPr>
                <w:i/>
                <w:noProof/>
              </w:rPr>
            </w:pPr>
            <w:r w:rsidRPr="005A1CAE">
              <w:rPr>
                <w:i/>
                <w:noProof/>
              </w:rPr>
              <w:t>0,359 </w:t>
            </w:r>
          </w:p>
        </w:tc>
        <w:tc>
          <w:tcPr>
            <w:tcW w:w="870" w:type="dxa"/>
            <w:vAlign w:val="center"/>
          </w:tcPr>
          <w:p w14:paraId="1C60BD69" w14:textId="77777777" w:rsidR="00DC6838" w:rsidRPr="005A1CAE" w:rsidRDefault="00DC6838">
            <w:pPr>
              <w:spacing w:before="0" w:after="0"/>
              <w:rPr>
                <w:i/>
                <w:noProof/>
              </w:rPr>
            </w:pPr>
            <w:r w:rsidRPr="005A1CAE">
              <w:rPr>
                <w:i/>
                <w:noProof/>
              </w:rPr>
              <w:t>0,370 </w:t>
            </w:r>
          </w:p>
        </w:tc>
        <w:tc>
          <w:tcPr>
            <w:tcW w:w="3900" w:type="dxa"/>
            <w:vAlign w:val="center"/>
          </w:tcPr>
          <w:p w14:paraId="464F22BC" w14:textId="77777777" w:rsidR="00DC6838" w:rsidRPr="005A1CAE" w:rsidRDefault="00DC6838">
            <w:pPr>
              <w:jc w:val="right"/>
              <w:rPr>
                <w:i/>
                <w:noProof/>
              </w:rPr>
            </w:pPr>
            <w:r w:rsidRPr="005A1CAE">
              <w:rPr>
                <w:i/>
                <w:noProof/>
              </w:rPr>
              <w:t>3,893</w:t>
            </w:r>
          </w:p>
        </w:tc>
      </w:tr>
      <w:tr w:rsidR="00DC6838" w:rsidRPr="005A1CAE" w14:paraId="5DFFA34A" w14:textId="77777777">
        <w:trPr>
          <w:jc w:val="center"/>
        </w:trPr>
        <w:tc>
          <w:tcPr>
            <w:tcW w:w="4440" w:type="dxa"/>
            <w:vAlign w:val="center"/>
          </w:tcPr>
          <w:p w14:paraId="0FDF1BF5" w14:textId="77777777" w:rsidR="00DC6838" w:rsidRPr="005A1CAE" w:rsidRDefault="00DC6838">
            <w:pPr>
              <w:rPr>
                <w:b/>
                <w:i/>
                <w:noProof/>
              </w:rPr>
            </w:pPr>
            <w:r w:rsidRPr="005A1CAE">
              <w:rPr>
                <w:b/>
                <w:i/>
                <w:noProof/>
              </w:rPr>
              <w:lastRenderedPageBreak/>
              <w:t>Ogółem DZIAŁ 7 (okres programowania 2021–2027); DZIAŁ 4 (okres programowania 2028–2034)</w:t>
            </w:r>
          </w:p>
        </w:tc>
        <w:tc>
          <w:tcPr>
            <w:tcW w:w="1185" w:type="dxa"/>
            <w:vAlign w:val="center"/>
          </w:tcPr>
          <w:p w14:paraId="7D403A13" w14:textId="77777777" w:rsidR="00DC6838" w:rsidRPr="005A1CAE" w:rsidRDefault="00DC6838">
            <w:pPr>
              <w:jc w:val="right"/>
              <w:rPr>
                <w:i/>
                <w:noProof/>
              </w:rPr>
            </w:pPr>
            <w:r w:rsidRPr="005A1CAE">
              <w:rPr>
                <w:i/>
                <w:noProof/>
              </w:rPr>
              <w:t>9,172</w:t>
            </w:r>
          </w:p>
        </w:tc>
        <w:tc>
          <w:tcPr>
            <w:tcW w:w="1095" w:type="dxa"/>
            <w:vAlign w:val="center"/>
          </w:tcPr>
          <w:p w14:paraId="2400F453" w14:textId="77777777" w:rsidR="00DC6838" w:rsidRPr="005A1CAE" w:rsidRDefault="00DC6838">
            <w:pPr>
              <w:jc w:val="right"/>
              <w:rPr>
                <w:i/>
                <w:noProof/>
              </w:rPr>
            </w:pPr>
            <w:r w:rsidRPr="005A1CAE">
              <w:rPr>
                <w:i/>
                <w:noProof/>
              </w:rPr>
              <w:t>6,571</w:t>
            </w:r>
          </w:p>
        </w:tc>
        <w:tc>
          <w:tcPr>
            <w:tcW w:w="1050" w:type="dxa"/>
            <w:vAlign w:val="center"/>
          </w:tcPr>
          <w:p w14:paraId="53A9CCB9" w14:textId="77777777" w:rsidR="00DC6838" w:rsidRPr="005A1CAE" w:rsidRDefault="00DC6838">
            <w:pPr>
              <w:jc w:val="right"/>
              <w:rPr>
                <w:i/>
                <w:noProof/>
              </w:rPr>
            </w:pPr>
            <w:r w:rsidRPr="005A1CAE">
              <w:rPr>
                <w:i/>
                <w:noProof/>
              </w:rPr>
              <w:t>9,046</w:t>
            </w:r>
          </w:p>
        </w:tc>
        <w:tc>
          <w:tcPr>
            <w:tcW w:w="975" w:type="dxa"/>
            <w:vAlign w:val="center"/>
          </w:tcPr>
          <w:p w14:paraId="341FB45E" w14:textId="77777777" w:rsidR="00DC6838" w:rsidRPr="005A1CAE" w:rsidRDefault="00A21F23">
            <w:pPr>
              <w:jc w:val="right"/>
              <w:rPr>
                <w:i/>
                <w:noProof/>
              </w:rPr>
            </w:pPr>
            <w:r w:rsidRPr="005A1CAE">
              <w:rPr>
                <w:i/>
                <w:noProof/>
              </w:rPr>
              <w:t>12,012</w:t>
            </w:r>
          </w:p>
        </w:tc>
        <w:tc>
          <w:tcPr>
            <w:tcW w:w="975" w:type="dxa"/>
            <w:vAlign w:val="center"/>
          </w:tcPr>
          <w:p w14:paraId="3F5747D9" w14:textId="77777777" w:rsidR="00DC6838" w:rsidRPr="005A1CAE" w:rsidRDefault="00DC6838">
            <w:pPr>
              <w:rPr>
                <w:i/>
                <w:noProof/>
              </w:rPr>
            </w:pPr>
            <w:r w:rsidRPr="005A1CAE">
              <w:rPr>
                <w:i/>
                <w:noProof/>
              </w:rPr>
              <w:t>13,603</w:t>
            </w:r>
          </w:p>
        </w:tc>
        <w:tc>
          <w:tcPr>
            <w:tcW w:w="975" w:type="dxa"/>
            <w:vAlign w:val="center"/>
          </w:tcPr>
          <w:p w14:paraId="126C3789" w14:textId="77777777" w:rsidR="00DC6838" w:rsidRPr="005A1CAE" w:rsidRDefault="00DC6838">
            <w:pPr>
              <w:rPr>
                <w:i/>
                <w:noProof/>
              </w:rPr>
            </w:pPr>
            <w:r w:rsidRPr="005A1CAE">
              <w:rPr>
                <w:i/>
                <w:noProof/>
              </w:rPr>
              <w:t>13,612</w:t>
            </w:r>
          </w:p>
        </w:tc>
        <w:tc>
          <w:tcPr>
            <w:tcW w:w="1050" w:type="dxa"/>
            <w:vAlign w:val="center"/>
          </w:tcPr>
          <w:p w14:paraId="5C9B453B" w14:textId="77777777" w:rsidR="00DC6838" w:rsidRPr="005A1CAE" w:rsidRDefault="00DC6838">
            <w:pPr>
              <w:rPr>
                <w:i/>
                <w:noProof/>
              </w:rPr>
            </w:pPr>
            <w:r w:rsidRPr="005A1CAE">
              <w:rPr>
                <w:i/>
                <w:noProof/>
              </w:rPr>
              <w:t>13,622</w:t>
            </w:r>
          </w:p>
        </w:tc>
        <w:tc>
          <w:tcPr>
            <w:tcW w:w="975" w:type="dxa"/>
            <w:vAlign w:val="center"/>
          </w:tcPr>
          <w:p w14:paraId="4BBBC6B1" w14:textId="77777777" w:rsidR="00DC6838" w:rsidRPr="005A1CAE" w:rsidRDefault="00DC6838">
            <w:pPr>
              <w:rPr>
                <w:i/>
                <w:noProof/>
              </w:rPr>
            </w:pPr>
            <w:r w:rsidRPr="005A1CAE">
              <w:rPr>
                <w:i/>
                <w:noProof/>
              </w:rPr>
              <w:t>13,632</w:t>
            </w:r>
          </w:p>
        </w:tc>
        <w:tc>
          <w:tcPr>
            <w:tcW w:w="1110" w:type="dxa"/>
            <w:vAlign w:val="center"/>
          </w:tcPr>
          <w:p w14:paraId="7DC26178" w14:textId="77777777" w:rsidR="00DC6838" w:rsidRPr="005A1CAE" w:rsidRDefault="00DC6838">
            <w:pPr>
              <w:rPr>
                <w:i/>
                <w:noProof/>
              </w:rPr>
            </w:pPr>
            <w:r w:rsidRPr="005A1CAE">
              <w:rPr>
                <w:i/>
                <w:noProof/>
              </w:rPr>
              <w:t>13,642</w:t>
            </w:r>
          </w:p>
        </w:tc>
        <w:tc>
          <w:tcPr>
            <w:tcW w:w="945" w:type="dxa"/>
            <w:vAlign w:val="center"/>
          </w:tcPr>
          <w:p w14:paraId="25222B63" w14:textId="77777777" w:rsidR="00DC6838" w:rsidRPr="005A1CAE" w:rsidRDefault="00DC6838">
            <w:pPr>
              <w:rPr>
                <w:i/>
                <w:noProof/>
              </w:rPr>
            </w:pPr>
            <w:r w:rsidRPr="005A1CAE">
              <w:rPr>
                <w:i/>
                <w:noProof/>
              </w:rPr>
              <w:t>13,652</w:t>
            </w:r>
          </w:p>
        </w:tc>
        <w:tc>
          <w:tcPr>
            <w:tcW w:w="870" w:type="dxa"/>
            <w:vAlign w:val="center"/>
          </w:tcPr>
          <w:p w14:paraId="2AE732EF" w14:textId="77777777" w:rsidR="00DC6838" w:rsidRPr="005A1CAE" w:rsidRDefault="00DC6838">
            <w:pPr>
              <w:rPr>
                <w:i/>
                <w:noProof/>
              </w:rPr>
            </w:pPr>
            <w:r w:rsidRPr="005A1CAE">
              <w:rPr>
                <w:i/>
                <w:noProof/>
              </w:rPr>
              <w:t>13,663</w:t>
            </w:r>
          </w:p>
        </w:tc>
        <w:tc>
          <w:tcPr>
            <w:tcW w:w="3900" w:type="dxa"/>
            <w:vAlign w:val="center"/>
          </w:tcPr>
          <w:p w14:paraId="0299B69F" w14:textId="77777777" w:rsidR="00DC6838" w:rsidRPr="005A1CAE" w:rsidRDefault="005E349A">
            <w:pPr>
              <w:jc w:val="right"/>
              <w:rPr>
                <w:i/>
                <w:noProof/>
              </w:rPr>
            </w:pPr>
            <w:r w:rsidRPr="005A1CAE">
              <w:rPr>
                <w:i/>
                <w:noProof/>
              </w:rPr>
              <w:t>132,227</w:t>
            </w:r>
          </w:p>
        </w:tc>
      </w:tr>
    </w:tbl>
    <w:p w14:paraId="33282A33" w14:textId="085C1D49" w:rsidR="00DC6838" w:rsidRPr="005A1CAE" w:rsidRDefault="00DC6838" w:rsidP="00DC6838">
      <w:pPr>
        <w:rPr>
          <w:noProof/>
        </w:rPr>
      </w:pPr>
      <w:r w:rsidRPr="005A1CAE">
        <w:rPr>
          <w:noProof/>
        </w:rPr>
        <w:t>* Wszystkie dane liczbowe dotyczące WRF na lata 2028–2034</w:t>
      </w:r>
      <w:r w:rsidR="005A1CAE" w:rsidRPr="005A1CAE">
        <w:rPr>
          <w:noProof/>
        </w:rPr>
        <w:t xml:space="preserve"> w</w:t>
      </w:r>
      <w:r w:rsidR="005A1CAE">
        <w:rPr>
          <w:noProof/>
        </w:rPr>
        <w:t> </w:t>
      </w:r>
      <w:r w:rsidR="005A1CAE" w:rsidRPr="005A1CAE">
        <w:rPr>
          <w:noProof/>
        </w:rPr>
        <w:t>pow</w:t>
      </w:r>
      <w:r w:rsidRPr="005A1CAE">
        <w:rPr>
          <w:noProof/>
        </w:rPr>
        <w:t>yższej tabeli mają charakter ściśle orientacyjny</w:t>
      </w:r>
      <w:r w:rsidR="005A1CAE" w:rsidRPr="005A1CAE">
        <w:rPr>
          <w:noProof/>
        </w:rPr>
        <w:t xml:space="preserve"> w</w:t>
      </w:r>
      <w:r w:rsidR="005A1CAE">
        <w:rPr>
          <w:noProof/>
        </w:rPr>
        <w:t> </w:t>
      </w:r>
      <w:r w:rsidR="005A1CAE" w:rsidRPr="005A1CAE">
        <w:rPr>
          <w:noProof/>
        </w:rPr>
        <w:t>ocz</w:t>
      </w:r>
      <w:r w:rsidRPr="005A1CAE">
        <w:rPr>
          <w:noProof/>
        </w:rPr>
        <w:t>ekiwaniu na wynik negocjacji, którego nie można</w:t>
      </w:r>
      <w:r w:rsidR="005A1CAE" w:rsidRPr="005A1CAE">
        <w:rPr>
          <w:noProof/>
        </w:rPr>
        <w:t xml:space="preserve"> z</w:t>
      </w:r>
      <w:r w:rsidR="005A1CAE">
        <w:rPr>
          <w:noProof/>
        </w:rPr>
        <w:t> </w:t>
      </w:r>
      <w:r w:rsidR="005A1CAE" w:rsidRPr="005A1CAE">
        <w:rPr>
          <w:noProof/>
        </w:rPr>
        <w:t>gór</w:t>
      </w:r>
      <w:r w:rsidRPr="005A1CAE">
        <w:rPr>
          <w:noProof/>
        </w:rPr>
        <w:t>y przewidzieć.</w:t>
      </w:r>
    </w:p>
    <w:p w14:paraId="26E7A89E" w14:textId="77777777" w:rsidR="00DC6838" w:rsidRPr="005A1CAE" w:rsidRDefault="00DC6838" w:rsidP="00DC6838">
      <w:pPr>
        <w:jc w:val="right"/>
        <w:rPr>
          <w:noProof/>
          <w:sz w:val="20"/>
        </w:rPr>
      </w:pPr>
      <w:r w:rsidRPr="005A1CAE">
        <w:rPr>
          <w:noProof/>
          <w:sz w:val="20"/>
        </w:rPr>
        <w:t>w mln EUR (do trzech miejsc po przecinku)</w:t>
      </w:r>
    </w:p>
    <w:tbl>
      <w:tblPr>
        <w:tblW w:w="5000" w:type="pct"/>
        <w:tblLook w:val="04A0" w:firstRow="1" w:lastRow="0" w:firstColumn="1" w:lastColumn="0" w:noHBand="0" w:noVBand="1"/>
      </w:tblPr>
      <w:tblGrid>
        <w:gridCol w:w="4361"/>
        <w:gridCol w:w="825"/>
        <w:gridCol w:w="791"/>
        <w:gridCol w:w="926"/>
        <w:gridCol w:w="50"/>
        <w:gridCol w:w="976"/>
        <w:gridCol w:w="366"/>
        <w:gridCol w:w="610"/>
        <w:gridCol w:w="783"/>
        <w:gridCol w:w="193"/>
        <w:gridCol w:w="976"/>
        <w:gridCol w:w="224"/>
        <w:gridCol w:w="752"/>
        <w:gridCol w:w="640"/>
        <w:gridCol w:w="336"/>
        <w:gridCol w:w="1175"/>
      </w:tblGrid>
      <w:tr w:rsidR="00B431C6" w:rsidRPr="005A1CAE" w14:paraId="59E9B65D" w14:textId="77777777" w:rsidTr="007A036C">
        <w:trPr>
          <w:trHeight w:val="288"/>
        </w:trPr>
        <w:tc>
          <w:tcPr>
            <w:tcW w:w="2468"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203C70D2" w14:textId="77777777" w:rsidR="00B431C6" w:rsidRPr="005A1CAE" w:rsidRDefault="00B431C6">
            <w:pPr>
              <w:spacing w:before="0" w:after="0"/>
              <w:jc w:val="center"/>
              <w:rPr>
                <w:noProof/>
                <w:color w:val="000000"/>
                <w:szCs w:val="24"/>
              </w:rPr>
            </w:pPr>
            <w:r w:rsidRPr="005A1CAE">
              <w:rPr>
                <w:noProof/>
                <w:color w:val="000000"/>
              </w:rPr>
              <w:t xml:space="preserve"> </w:t>
            </w:r>
          </w:p>
        </w:tc>
        <w:tc>
          <w:tcPr>
            <w:tcW w:w="498" w:type="pct"/>
            <w:gridSpan w:val="3"/>
            <w:tcBorders>
              <w:top w:val="single" w:sz="8" w:space="0" w:color="auto"/>
              <w:left w:val="nil"/>
              <w:bottom w:val="nil"/>
              <w:right w:val="single" w:sz="8" w:space="0" w:color="auto"/>
            </w:tcBorders>
            <w:vAlign w:val="center"/>
            <w:hideMark/>
          </w:tcPr>
          <w:p w14:paraId="49C0DD57" w14:textId="77777777" w:rsidR="00B431C6" w:rsidRPr="005A1CAE" w:rsidRDefault="00B431C6">
            <w:pPr>
              <w:spacing w:before="0" w:after="0"/>
              <w:jc w:val="center"/>
              <w:rPr>
                <w:noProof/>
                <w:color w:val="000000"/>
                <w:sz w:val="20"/>
                <w:szCs w:val="20"/>
              </w:rPr>
            </w:pPr>
            <w:r w:rsidRPr="005A1CAE">
              <w:rPr>
                <w:noProof/>
                <w:color w:val="000000"/>
                <w:sz w:val="20"/>
              </w:rPr>
              <w:t>Rok</w:t>
            </w:r>
          </w:p>
        </w:tc>
        <w:tc>
          <w:tcPr>
            <w:tcW w:w="498" w:type="pct"/>
            <w:gridSpan w:val="2"/>
            <w:tcBorders>
              <w:top w:val="single" w:sz="8" w:space="0" w:color="auto"/>
              <w:left w:val="nil"/>
              <w:bottom w:val="nil"/>
              <w:right w:val="single" w:sz="8" w:space="0" w:color="auto"/>
            </w:tcBorders>
            <w:vAlign w:val="center"/>
            <w:hideMark/>
          </w:tcPr>
          <w:p w14:paraId="06F81D2A" w14:textId="77777777" w:rsidR="00B431C6" w:rsidRPr="005A1CAE" w:rsidRDefault="00B431C6">
            <w:pPr>
              <w:spacing w:before="0" w:after="0"/>
              <w:jc w:val="center"/>
              <w:rPr>
                <w:noProof/>
                <w:color w:val="000000"/>
                <w:sz w:val="20"/>
                <w:szCs w:val="20"/>
              </w:rPr>
            </w:pPr>
            <w:r w:rsidRPr="005A1CAE">
              <w:rPr>
                <w:noProof/>
                <w:color w:val="000000"/>
                <w:sz w:val="20"/>
              </w:rPr>
              <w:t>Rok</w:t>
            </w:r>
          </w:p>
        </w:tc>
        <w:tc>
          <w:tcPr>
            <w:tcW w:w="498" w:type="pct"/>
            <w:gridSpan w:val="3"/>
            <w:tcBorders>
              <w:top w:val="single" w:sz="8" w:space="0" w:color="auto"/>
              <w:left w:val="nil"/>
              <w:bottom w:val="nil"/>
              <w:right w:val="single" w:sz="8" w:space="0" w:color="auto"/>
            </w:tcBorders>
            <w:vAlign w:val="center"/>
            <w:hideMark/>
          </w:tcPr>
          <w:p w14:paraId="77837D77" w14:textId="77777777" w:rsidR="00B431C6" w:rsidRPr="005A1CAE" w:rsidRDefault="00B431C6">
            <w:pPr>
              <w:spacing w:before="0" w:after="0"/>
              <w:jc w:val="center"/>
              <w:rPr>
                <w:noProof/>
                <w:color w:val="000000"/>
                <w:sz w:val="20"/>
                <w:szCs w:val="20"/>
              </w:rPr>
            </w:pPr>
            <w:r w:rsidRPr="005A1CAE">
              <w:rPr>
                <w:noProof/>
                <w:color w:val="000000"/>
                <w:sz w:val="20"/>
              </w:rPr>
              <w:t>Rok</w:t>
            </w:r>
          </w:p>
        </w:tc>
        <w:tc>
          <w:tcPr>
            <w:tcW w:w="498" w:type="pct"/>
            <w:gridSpan w:val="2"/>
            <w:tcBorders>
              <w:top w:val="single" w:sz="8" w:space="0" w:color="auto"/>
              <w:left w:val="nil"/>
              <w:bottom w:val="nil"/>
              <w:right w:val="single" w:sz="8" w:space="0" w:color="auto"/>
            </w:tcBorders>
            <w:vAlign w:val="center"/>
            <w:hideMark/>
          </w:tcPr>
          <w:p w14:paraId="0A713AB1" w14:textId="77777777" w:rsidR="00B431C6" w:rsidRPr="005A1CAE" w:rsidRDefault="00B431C6">
            <w:pPr>
              <w:spacing w:before="0" w:after="0"/>
              <w:jc w:val="center"/>
              <w:rPr>
                <w:noProof/>
                <w:color w:val="000000"/>
                <w:sz w:val="20"/>
                <w:szCs w:val="20"/>
              </w:rPr>
            </w:pPr>
            <w:r w:rsidRPr="005A1CAE">
              <w:rPr>
                <w:noProof/>
                <w:color w:val="000000"/>
                <w:sz w:val="20"/>
              </w:rPr>
              <w:t>Rok</w:t>
            </w:r>
          </w:p>
        </w:tc>
        <w:tc>
          <w:tcPr>
            <w:tcW w:w="540"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34E5408A" w14:textId="77777777" w:rsidR="00B431C6" w:rsidRPr="005A1CAE" w:rsidRDefault="00B431C6">
            <w:pPr>
              <w:spacing w:before="0" w:after="0"/>
              <w:jc w:val="center"/>
              <w:rPr>
                <w:b/>
                <w:bCs/>
                <w:noProof/>
                <w:color w:val="000000"/>
                <w:sz w:val="20"/>
                <w:szCs w:val="20"/>
              </w:rPr>
            </w:pPr>
            <w:r w:rsidRPr="005A1CAE">
              <w:rPr>
                <w:b/>
                <w:noProof/>
                <w:color w:val="000000"/>
                <w:sz w:val="20"/>
              </w:rPr>
              <w:t>OGÓŁEM WRF 2021–2027</w:t>
            </w:r>
          </w:p>
        </w:tc>
      </w:tr>
      <w:tr w:rsidR="00B431C6" w:rsidRPr="005A1CAE" w14:paraId="62315DA3" w14:textId="77777777" w:rsidTr="007A036C">
        <w:trPr>
          <w:trHeight w:val="300"/>
        </w:trPr>
        <w:tc>
          <w:tcPr>
            <w:tcW w:w="2468" w:type="pct"/>
            <w:gridSpan w:val="4"/>
            <w:vMerge/>
            <w:tcBorders>
              <w:top w:val="single" w:sz="8" w:space="0" w:color="auto"/>
              <w:left w:val="single" w:sz="8" w:space="0" w:color="auto"/>
              <w:bottom w:val="single" w:sz="8" w:space="0" w:color="auto"/>
              <w:right w:val="single" w:sz="8" w:space="0" w:color="auto"/>
            </w:tcBorders>
            <w:vAlign w:val="center"/>
            <w:hideMark/>
          </w:tcPr>
          <w:p w14:paraId="7605EB84" w14:textId="77777777" w:rsidR="00B431C6" w:rsidRPr="005A1CAE" w:rsidRDefault="00B431C6">
            <w:pPr>
              <w:spacing w:before="0" w:after="0"/>
              <w:jc w:val="left"/>
              <w:rPr>
                <w:noProof/>
                <w:color w:val="000000"/>
                <w:szCs w:val="24"/>
                <w:lang w:eastAsia="en-IE"/>
              </w:rPr>
            </w:pPr>
          </w:p>
        </w:tc>
        <w:tc>
          <w:tcPr>
            <w:tcW w:w="498" w:type="pct"/>
            <w:gridSpan w:val="3"/>
            <w:tcBorders>
              <w:top w:val="nil"/>
              <w:left w:val="nil"/>
              <w:bottom w:val="single" w:sz="8" w:space="0" w:color="auto"/>
              <w:right w:val="single" w:sz="8" w:space="0" w:color="auto"/>
            </w:tcBorders>
            <w:vAlign w:val="center"/>
            <w:hideMark/>
          </w:tcPr>
          <w:p w14:paraId="5C293012" w14:textId="77777777" w:rsidR="00B431C6" w:rsidRPr="005A1CAE" w:rsidRDefault="00B431C6">
            <w:pPr>
              <w:spacing w:before="0" w:after="0"/>
              <w:jc w:val="center"/>
              <w:rPr>
                <w:b/>
                <w:bCs/>
                <w:noProof/>
                <w:color w:val="000000"/>
                <w:sz w:val="20"/>
                <w:szCs w:val="20"/>
              </w:rPr>
            </w:pPr>
            <w:r w:rsidRPr="005A1CAE">
              <w:rPr>
                <w:b/>
                <w:noProof/>
                <w:color w:val="000000"/>
                <w:sz w:val="20"/>
              </w:rPr>
              <w:t>2024</w:t>
            </w:r>
          </w:p>
        </w:tc>
        <w:tc>
          <w:tcPr>
            <w:tcW w:w="498" w:type="pct"/>
            <w:gridSpan w:val="2"/>
            <w:tcBorders>
              <w:top w:val="nil"/>
              <w:left w:val="nil"/>
              <w:bottom w:val="single" w:sz="8" w:space="0" w:color="auto"/>
              <w:right w:val="single" w:sz="8" w:space="0" w:color="auto"/>
            </w:tcBorders>
            <w:vAlign w:val="center"/>
            <w:hideMark/>
          </w:tcPr>
          <w:p w14:paraId="33260BF7" w14:textId="77777777" w:rsidR="00B431C6" w:rsidRPr="005A1CAE" w:rsidRDefault="00B431C6">
            <w:pPr>
              <w:spacing w:before="0" w:after="0"/>
              <w:jc w:val="center"/>
              <w:rPr>
                <w:b/>
                <w:bCs/>
                <w:noProof/>
                <w:color w:val="000000"/>
                <w:sz w:val="20"/>
                <w:szCs w:val="20"/>
              </w:rPr>
            </w:pPr>
            <w:r w:rsidRPr="005A1CAE">
              <w:rPr>
                <w:b/>
                <w:noProof/>
                <w:color w:val="000000"/>
                <w:sz w:val="20"/>
              </w:rPr>
              <w:t>2025</w:t>
            </w:r>
          </w:p>
        </w:tc>
        <w:tc>
          <w:tcPr>
            <w:tcW w:w="498" w:type="pct"/>
            <w:gridSpan w:val="3"/>
            <w:tcBorders>
              <w:top w:val="nil"/>
              <w:left w:val="nil"/>
              <w:bottom w:val="single" w:sz="8" w:space="0" w:color="auto"/>
              <w:right w:val="single" w:sz="8" w:space="0" w:color="auto"/>
            </w:tcBorders>
            <w:vAlign w:val="center"/>
            <w:hideMark/>
          </w:tcPr>
          <w:p w14:paraId="55A5CC02" w14:textId="77777777" w:rsidR="00B431C6" w:rsidRPr="005A1CAE" w:rsidRDefault="00B431C6">
            <w:pPr>
              <w:spacing w:before="0" w:after="0"/>
              <w:jc w:val="center"/>
              <w:rPr>
                <w:b/>
                <w:bCs/>
                <w:noProof/>
                <w:color w:val="000000"/>
                <w:sz w:val="20"/>
                <w:szCs w:val="20"/>
              </w:rPr>
            </w:pPr>
            <w:r w:rsidRPr="005A1CAE">
              <w:rPr>
                <w:b/>
                <w:noProof/>
                <w:color w:val="000000"/>
                <w:sz w:val="20"/>
              </w:rPr>
              <w:t>2026</w:t>
            </w:r>
          </w:p>
        </w:tc>
        <w:tc>
          <w:tcPr>
            <w:tcW w:w="498" w:type="pct"/>
            <w:gridSpan w:val="2"/>
            <w:tcBorders>
              <w:top w:val="nil"/>
              <w:left w:val="nil"/>
              <w:bottom w:val="single" w:sz="8" w:space="0" w:color="auto"/>
              <w:right w:val="single" w:sz="8" w:space="0" w:color="auto"/>
            </w:tcBorders>
            <w:vAlign w:val="center"/>
            <w:hideMark/>
          </w:tcPr>
          <w:p w14:paraId="54905B4A" w14:textId="77777777" w:rsidR="00B431C6" w:rsidRPr="005A1CAE" w:rsidRDefault="00B431C6">
            <w:pPr>
              <w:spacing w:before="0" w:after="0"/>
              <w:jc w:val="center"/>
              <w:rPr>
                <w:b/>
                <w:bCs/>
                <w:noProof/>
                <w:color w:val="000000"/>
                <w:sz w:val="20"/>
                <w:szCs w:val="20"/>
              </w:rPr>
            </w:pPr>
            <w:r w:rsidRPr="005A1CAE">
              <w:rPr>
                <w:b/>
                <w:noProof/>
                <w:color w:val="000000"/>
                <w:sz w:val="20"/>
              </w:rPr>
              <w:t>2027</w:t>
            </w:r>
          </w:p>
        </w:tc>
        <w:tc>
          <w:tcPr>
            <w:tcW w:w="540" w:type="pct"/>
            <w:gridSpan w:val="2"/>
            <w:vMerge/>
            <w:tcBorders>
              <w:top w:val="single" w:sz="8" w:space="0" w:color="auto"/>
              <w:left w:val="single" w:sz="8" w:space="0" w:color="auto"/>
              <w:bottom w:val="single" w:sz="8" w:space="0" w:color="000000"/>
              <w:right w:val="single" w:sz="8" w:space="0" w:color="auto"/>
            </w:tcBorders>
            <w:vAlign w:val="center"/>
            <w:hideMark/>
          </w:tcPr>
          <w:p w14:paraId="410B1BAC" w14:textId="77777777" w:rsidR="00B431C6" w:rsidRPr="005A1CAE" w:rsidRDefault="00B431C6">
            <w:pPr>
              <w:spacing w:before="0" w:after="0"/>
              <w:jc w:val="left"/>
              <w:rPr>
                <w:b/>
                <w:bCs/>
                <w:noProof/>
                <w:color w:val="000000"/>
                <w:sz w:val="20"/>
                <w:szCs w:val="20"/>
                <w:lang w:eastAsia="en-IE"/>
              </w:rPr>
            </w:pPr>
          </w:p>
        </w:tc>
      </w:tr>
      <w:tr w:rsidR="00DC6838" w:rsidRPr="005A1CAE" w14:paraId="21D9B195" w14:textId="77777777" w:rsidTr="007A036C">
        <w:trPr>
          <w:trHeight w:val="564"/>
        </w:trPr>
        <w:tc>
          <w:tcPr>
            <w:tcW w:w="1854"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1AE23359" w14:textId="68E8212A" w:rsidR="00DC6838" w:rsidRPr="005A1CAE" w:rsidRDefault="00DC6838" w:rsidP="00DC6838">
            <w:pPr>
              <w:spacing w:before="0" w:after="0"/>
              <w:jc w:val="center"/>
              <w:rPr>
                <w:b/>
                <w:bCs/>
                <w:noProof/>
                <w:color w:val="000000"/>
                <w:sz w:val="22"/>
              </w:rPr>
            </w:pPr>
            <w:r w:rsidRPr="005A1CAE">
              <w:rPr>
                <w:b/>
                <w:noProof/>
                <w:color w:val="000000"/>
                <w:sz w:val="22"/>
              </w:rPr>
              <w:t>OGÓŁEM środki na DZIAŁY od</w:t>
            </w:r>
            <w:r w:rsidR="005A1CAE" w:rsidRPr="005A1CAE">
              <w:rPr>
                <w:b/>
                <w:noProof/>
                <w:color w:val="000000"/>
                <w:sz w:val="22"/>
              </w:rPr>
              <w:t> </w:t>
            </w:r>
            <w:r w:rsidRPr="005A1CAE">
              <w:rPr>
                <w:b/>
                <w:noProof/>
                <w:color w:val="000000"/>
                <w:sz w:val="22"/>
              </w:rPr>
              <w:t>1 do</w:t>
            </w:r>
            <w:r w:rsidR="005A1CAE" w:rsidRPr="005A1CAE">
              <w:rPr>
                <w:b/>
                <w:noProof/>
                <w:color w:val="000000"/>
                <w:sz w:val="22"/>
              </w:rPr>
              <w:t> </w:t>
            </w:r>
            <w:r w:rsidRPr="005A1CAE">
              <w:rPr>
                <w:b/>
                <w:noProof/>
                <w:color w:val="000000"/>
                <w:sz w:val="22"/>
              </w:rPr>
              <w:t>7</w:t>
            </w:r>
          </w:p>
        </w:tc>
        <w:tc>
          <w:tcPr>
            <w:tcW w:w="614" w:type="pct"/>
            <w:gridSpan w:val="2"/>
            <w:tcBorders>
              <w:top w:val="single" w:sz="8" w:space="0" w:color="auto"/>
              <w:left w:val="nil"/>
              <w:bottom w:val="single" w:sz="8" w:space="0" w:color="auto"/>
              <w:right w:val="single" w:sz="8" w:space="0" w:color="auto"/>
            </w:tcBorders>
            <w:vAlign w:val="center"/>
            <w:hideMark/>
          </w:tcPr>
          <w:p w14:paraId="72D89DD8" w14:textId="77777777" w:rsidR="00DC6838" w:rsidRPr="005A1CAE" w:rsidRDefault="00DC6838" w:rsidP="00DC6838">
            <w:pPr>
              <w:spacing w:before="0" w:after="0"/>
              <w:rPr>
                <w:noProof/>
                <w:color w:val="000000"/>
                <w:sz w:val="18"/>
                <w:szCs w:val="18"/>
              </w:rPr>
            </w:pPr>
            <w:r w:rsidRPr="005A1CAE">
              <w:rPr>
                <w:noProof/>
                <w:color w:val="000000"/>
                <w:sz w:val="18"/>
              </w:rPr>
              <w:t>Środki na zobowiązania</w:t>
            </w:r>
          </w:p>
        </w:tc>
        <w:tc>
          <w:tcPr>
            <w:tcW w:w="498" w:type="pct"/>
            <w:gridSpan w:val="3"/>
            <w:tcBorders>
              <w:top w:val="nil"/>
              <w:left w:val="nil"/>
              <w:bottom w:val="single" w:sz="8" w:space="0" w:color="auto"/>
              <w:right w:val="single" w:sz="8" w:space="0" w:color="auto"/>
            </w:tcBorders>
            <w:shd w:val="clear" w:color="000000" w:fill="D9D9D9"/>
            <w:vAlign w:val="center"/>
            <w:hideMark/>
          </w:tcPr>
          <w:p w14:paraId="7B2C505D" w14:textId="77777777" w:rsidR="00DC6838" w:rsidRPr="005A1CAE" w:rsidRDefault="00DC6838" w:rsidP="00DC6838">
            <w:pPr>
              <w:spacing w:before="0" w:after="0"/>
              <w:jc w:val="right"/>
              <w:rPr>
                <w:b/>
                <w:bCs/>
                <w:noProof/>
                <w:color w:val="000000"/>
                <w:szCs w:val="24"/>
              </w:rPr>
            </w:pPr>
            <w:r w:rsidRPr="005A1CAE">
              <w:rPr>
                <w:b/>
                <w:noProof/>
              </w:rPr>
              <w:t>37,262</w:t>
            </w:r>
          </w:p>
        </w:tc>
        <w:tc>
          <w:tcPr>
            <w:tcW w:w="498" w:type="pct"/>
            <w:gridSpan w:val="2"/>
            <w:tcBorders>
              <w:top w:val="nil"/>
              <w:left w:val="nil"/>
              <w:bottom w:val="single" w:sz="8" w:space="0" w:color="auto"/>
              <w:right w:val="single" w:sz="8" w:space="0" w:color="auto"/>
            </w:tcBorders>
            <w:shd w:val="clear" w:color="000000" w:fill="D9D9D9"/>
            <w:vAlign w:val="center"/>
            <w:hideMark/>
          </w:tcPr>
          <w:p w14:paraId="6E140B60" w14:textId="77777777" w:rsidR="00DC6838" w:rsidRPr="005A1CAE" w:rsidRDefault="00DC6838" w:rsidP="00DC6838">
            <w:pPr>
              <w:spacing w:before="0" w:after="0"/>
              <w:jc w:val="right"/>
              <w:rPr>
                <w:b/>
                <w:bCs/>
                <w:noProof/>
                <w:color w:val="000000"/>
                <w:szCs w:val="24"/>
              </w:rPr>
            </w:pPr>
            <w:r w:rsidRPr="005A1CAE">
              <w:rPr>
                <w:b/>
                <w:noProof/>
              </w:rPr>
              <w:t>41,321</w:t>
            </w:r>
          </w:p>
        </w:tc>
        <w:tc>
          <w:tcPr>
            <w:tcW w:w="498" w:type="pct"/>
            <w:gridSpan w:val="3"/>
            <w:tcBorders>
              <w:top w:val="nil"/>
              <w:left w:val="nil"/>
              <w:bottom w:val="single" w:sz="8" w:space="0" w:color="auto"/>
              <w:right w:val="single" w:sz="8" w:space="0" w:color="auto"/>
            </w:tcBorders>
            <w:shd w:val="clear" w:color="000000" w:fill="D9D9D9"/>
            <w:vAlign w:val="center"/>
            <w:hideMark/>
          </w:tcPr>
          <w:p w14:paraId="12054B01" w14:textId="77777777" w:rsidR="00DC6838" w:rsidRPr="005A1CAE" w:rsidRDefault="005E1D07" w:rsidP="00DC6838">
            <w:pPr>
              <w:spacing w:before="0" w:after="0"/>
              <w:jc w:val="right"/>
              <w:rPr>
                <w:b/>
                <w:bCs/>
                <w:noProof/>
                <w:color w:val="000000"/>
                <w:szCs w:val="24"/>
              </w:rPr>
            </w:pPr>
            <w:r w:rsidRPr="005A1CAE">
              <w:rPr>
                <w:b/>
                <w:noProof/>
              </w:rPr>
              <w:t>42,746</w:t>
            </w:r>
          </w:p>
        </w:tc>
        <w:tc>
          <w:tcPr>
            <w:tcW w:w="498" w:type="pct"/>
            <w:gridSpan w:val="2"/>
            <w:tcBorders>
              <w:top w:val="nil"/>
              <w:left w:val="nil"/>
              <w:bottom w:val="single" w:sz="8" w:space="0" w:color="auto"/>
              <w:right w:val="single" w:sz="8" w:space="0" w:color="auto"/>
            </w:tcBorders>
            <w:shd w:val="clear" w:color="000000" w:fill="D9D9D9"/>
            <w:vAlign w:val="center"/>
            <w:hideMark/>
          </w:tcPr>
          <w:p w14:paraId="701B12D8" w14:textId="77777777" w:rsidR="00DC6838" w:rsidRPr="005A1CAE" w:rsidRDefault="00831E74" w:rsidP="00DC6838">
            <w:pPr>
              <w:spacing w:before="0" w:after="0"/>
              <w:jc w:val="right"/>
              <w:rPr>
                <w:b/>
                <w:bCs/>
                <w:noProof/>
                <w:color w:val="000000"/>
                <w:szCs w:val="24"/>
              </w:rPr>
            </w:pPr>
            <w:r w:rsidRPr="005A1CAE">
              <w:rPr>
                <w:b/>
                <w:noProof/>
              </w:rPr>
              <w:t>47,162</w:t>
            </w:r>
          </w:p>
        </w:tc>
        <w:tc>
          <w:tcPr>
            <w:tcW w:w="540" w:type="pct"/>
            <w:gridSpan w:val="2"/>
            <w:tcBorders>
              <w:top w:val="nil"/>
              <w:left w:val="nil"/>
              <w:bottom w:val="single" w:sz="8" w:space="0" w:color="auto"/>
              <w:right w:val="single" w:sz="8" w:space="0" w:color="auto"/>
            </w:tcBorders>
            <w:shd w:val="clear" w:color="000000" w:fill="D9D9D9"/>
            <w:vAlign w:val="center"/>
            <w:hideMark/>
          </w:tcPr>
          <w:p w14:paraId="59AECC1F" w14:textId="77777777" w:rsidR="00DC6838" w:rsidRPr="005A1CAE" w:rsidRDefault="006A490D" w:rsidP="00DC6838">
            <w:pPr>
              <w:spacing w:before="0" w:after="0"/>
              <w:jc w:val="right"/>
              <w:rPr>
                <w:b/>
                <w:bCs/>
                <w:noProof/>
                <w:color w:val="000000"/>
                <w:szCs w:val="24"/>
              </w:rPr>
            </w:pPr>
            <w:r w:rsidRPr="005A1CAE">
              <w:rPr>
                <w:b/>
                <w:noProof/>
              </w:rPr>
              <w:t>168,491</w:t>
            </w:r>
          </w:p>
        </w:tc>
      </w:tr>
      <w:tr w:rsidR="00DC6838" w:rsidRPr="005A1CAE" w14:paraId="633D4537" w14:textId="77777777" w:rsidTr="007A036C">
        <w:trPr>
          <w:trHeight w:val="540"/>
        </w:trPr>
        <w:tc>
          <w:tcPr>
            <w:tcW w:w="1854"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377E5F52" w14:textId="77777777" w:rsidR="00DC6838" w:rsidRPr="005A1CAE" w:rsidRDefault="00DC6838" w:rsidP="00DC6838">
            <w:pPr>
              <w:spacing w:before="0" w:after="0"/>
              <w:jc w:val="center"/>
              <w:rPr>
                <w:noProof/>
                <w:color w:val="000000"/>
                <w:sz w:val="22"/>
              </w:rPr>
            </w:pPr>
            <w:r w:rsidRPr="005A1CAE">
              <w:rPr>
                <w:noProof/>
                <w:color w:val="000000"/>
                <w:sz w:val="22"/>
              </w:rPr>
              <w:t>wieloletnich ram finansowych</w:t>
            </w:r>
            <w:r w:rsidRPr="005A1CAE">
              <w:rPr>
                <w:b/>
                <w:noProof/>
                <w:color w:val="000000"/>
                <w:sz w:val="22"/>
              </w:rPr>
              <w:t xml:space="preserve"> </w:t>
            </w:r>
          </w:p>
        </w:tc>
        <w:tc>
          <w:tcPr>
            <w:tcW w:w="614" w:type="pct"/>
            <w:gridSpan w:val="2"/>
            <w:tcBorders>
              <w:top w:val="single" w:sz="8" w:space="0" w:color="auto"/>
              <w:left w:val="nil"/>
              <w:bottom w:val="single" w:sz="8" w:space="0" w:color="auto"/>
              <w:right w:val="single" w:sz="8" w:space="0" w:color="auto"/>
            </w:tcBorders>
            <w:vAlign w:val="center"/>
            <w:hideMark/>
          </w:tcPr>
          <w:p w14:paraId="061B9D7E" w14:textId="77777777" w:rsidR="00DC6838" w:rsidRPr="005A1CAE" w:rsidRDefault="00DC6838" w:rsidP="00DC6838">
            <w:pPr>
              <w:spacing w:before="0" w:after="0"/>
              <w:rPr>
                <w:noProof/>
                <w:color w:val="000000"/>
                <w:sz w:val="18"/>
                <w:szCs w:val="18"/>
              </w:rPr>
            </w:pPr>
            <w:r w:rsidRPr="005A1CAE">
              <w:rPr>
                <w:noProof/>
                <w:color w:val="000000"/>
                <w:sz w:val="18"/>
              </w:rPr>
              <w:t>Środki na płatności</w:t>
            </w:r>
          </w:p>
        </w:tc>
        <w:tc>
          <w:tcPr>
            <w:tcW w:w="498" w:type="pct"/>
            <w:gridSpan w:val="3"/>
            <w:tcBorders>
              <w:top w:val="nil"/>
              <w:left w:val="nil"/>
              <w:bottom w:val="single" w:sz="8" w:space="0" w:color="auto"/>
              <w:right w:val="single" w:sz="8" w:space="0" w:color="auto"/>
            </w:tcBorders>
            <w:shd w:val="clear" w:color="000000" w:fill="D9D9D9"/>
            <w:vAlign w:val="center"/>
            <w:hideMark/>
          </w:tcPr>
          <w:p w14:paraId="6C758FEF" w14:textId="77777777" w:rsidR="00DC6838" w:rsidRPr="005A1CAE" w:rsidRDefault="00DC6838" w:rsidP="00DC6838">
            <w:pPr>
              <w:spacing w:before="0" w:after="0"/>
              <w:jc w:val="right"/>
              <w:rPr>
                <w:b/>
                <w:bCs/>
                <w:noProof/>
                <w:color w:val="000000"/>
                <w:szCs w:val="24"/>
              </w:rPr>
            </w:pPr>
            <w:r w:rsidRPr="005A1CAE">
              <w:rPr>
                <w:b/>
                <w:noProof/>
              </w:rPr>
              <w:t>26,702</w:t>
            </w:r>
          </w:p>
        </w:tc>
        <w:tc>
          <w:tcPr>
            <w:tcW w:w="498" w:type="pct"/>
            <w:gridSpan w:val="2"/>
            <w:tcBorders>
              <w:top w:val="nil"/>
              <w:left w:val="nil"/>
              <w:bottom w:val="single" w:sz="8" w:space="0" w:color="auto"/>
              <w:right w:val="single" w:sz="8" w:space="0" w:color="auto"/>
            </w:tcBorders>
            <w:shd w:val="clear" w:color="000000" w:fill="D9D9D9"/>
            <w:vAlign w:val="center"/>
            <w:hideMark/>
          </w:tcPr>
          <w:p w14:paraId="751FC79F" w14:textId="77777777" w:rsidR="00DC6838" w:rsidRPr="005A1CAE" w:rsidRDefault="00DC6838" w:rsidP="00DC6838">
            <w:pPr>
              <w:spacing w:before="0" w:after="0"/>
              <w:jc w:val="right"/>
              <w:rPr>
                <w:b/>
                <w:bCs/>
                <w:noProof/>
                <w:color w:val="000000"/>
                <w:szCs w:val="24"/>
              </w:rPr>
            </w:pPr>
            <w:r w:rsidRPr="005A1CAE">
              <w:rPr>
                <w:b/>
                <w:noProof/>
              </w:rPr>
              <w:t>27,728</w:t>
            </w:r>
          </w:p>
        </w:tc>
        <w:tc>
          <w:tcPr>
            <w:tcW w:w="498" w:type="pct"/>
            <w:gridSpan w:val="3"/>
            <w:tcBorders>
              <w:top w:val="nil"/>
              <w:left w:val="nil"/>
              <w:bottom w:val="single" w:sz="8" w:space="0" w:color="auto"/>
              <w:right w:val="single" w:sz="8" w:space="0" w:color="auto"/>
            </w:tcBorders>
            <w:shd w:val="clear" w:color="000000" w:fill="D9D9D9"/>
            <w:vAlign w:val="center"/>
            <w:hideMark/>
          </w:tcPr>
          <w:p w14:paraId="5F3A0C15" w14:textId="77777777" w:rsidR="00DC6838" w:rsidRPr="005A1CAE" w:rsidRDefault="00CC0A3A" w:rsidP="00DC6838">
            <w:pPr>
              <w:spacing w:before="0" w:after="0"/>
              <w:jc w:val="right"/>
              <w:rPr>
                <w:b/>
                <w:bCs/>
                <w:noProof/>
                <w:color w:val="000000"/>
                <w:szCs w:val="24"/>
              </w:rPr>
            </w:pPr>
            <w:r w:rsidRPr="005A1CAE">
              <w:rPr>
                <w:b/>
                <w:noProof/>
              </w:rPr>
              <w:t>41,136</w:t>
            </w:r>
          </w:p>
        </w:tc>
        <w:tc>
          <w:tcPr>
            <w:tcW w:w="498" w:type="pct"/>
            <w:gridSpan w:val="2"/>
            <w:tcBorders>
              <w:top w:val="nil"/>
              <w:left w:val="nil"/>
              <w:bottom w:val="single" w:sz="8" w:space="0" w:color="auto"/>
              <w:right w:val="single" w:sz="8" w:space="0" w:color="auto"/>
            </w:tcBorders>
            <w:shd w:val="clear" w:color="000000" w:fill="D9D9D9"/>
            <w:vAlign w:val="center"/>
            <w:hideMark/>
          </w:tcPr>
          <w:p w14:paraId="50EE5C11" w14:textId="77777777" w:rsidR="00DC6838" w:rsidRPr="005A1CAE" w:rsidRDefault="002A12E7" w:rsidP="00DC6838">
            <w:pPr>
              <w:spacing w:before="0" w:after="0"/>
              <w:jc w:val="right"/>
              <w:rPr>
                <w:b/>
                <w:bCs/>
                <w:noProof/>
                <w:color w:val="000000"/>
                <w:szCs w:val="24"/>
              </w:rPr>
            </w:pPr>
            <w:r w:rsidRPr="005A1CAE">
              <w:rPr>
                <w:b/>
                <w:noProof/>
              </w:rPr>
              <w:t>46,079</w:t>
            </w:r>
          </w:p>
        </w:tc>
        <w:tc>
          <w:tcPr>
            <w:tcW w:w="540" w:type="pct"/>
            <w:gridSpan w:val="2"/>
            <w:tcBorders>
              <w:top w:val="nil"/>
              <w:left w:val="nil"/>
              <w:bottom w:val="single" w:sz="8" w:space="0" w:color="auto"/>
              <w:right w:val="single" w:sz="8" w:space="0" w:color="auto"/>
            </w:tcBorders>
            <w:shd w:val="clear" w:color="000000" w:fill="D9D9D9"/>
            <w:vAlign w:val="center"/>
            <w:hideMark/>
          </w:tcPr>
          <w:p w14:paraId="634EDB3B" w14:textId="77777777" w:rsidR="00DC6838" w:rsidRPr="005A1CAE" w:rsidRDefault="00D6079B" w:rsidP="00DC6838">
            <w:pPr>
              <w:spacing w:before="0" w:after="0"/>
              <w:jc w:val="right"/>
              <w:rPr>
                <w:b/>
                <w:bCs/>
                <w:noProof/>
                <w:color w:val="000000"/>
                <w:szCs w:val="24"/>
              </w:rPr>
            </w:pPr>
            <w:r w:rsidRPr="005A1CAE">
              <w:rPr>
                <w:b/>
                <w:noProof/>
              </w:rPr>
              <w:t>141645</w:t>
            </w:r>
          </w:p>
        </w:tc>
      </w:tr>
      <w:tr w:rsidR="002A4C51" w:rsidRPr="005A1CAE" w14:paraId="14E16669" w14:textId="77777777" w:rsidTr="007A036C">
        <w:trPr>
          <w:trHeight w:val="288"/>
        </w:trPr>
        <w:tc>
          <w:tcPr>
            <w:tcW w:w="2136"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39C0FE9F" w14:textId="77777777" w:rsidR="002A4C51" w:rsidRPr="005A1CAE" w:rsidRDefault="002A4C51" w:rsidP="002A4C51">
            <w:pPr>
              <w:spacing w:before="0" w:after="0"/>
              <w:jc w:val="center"/>
              <w:rPr>
                <w:noProof/>
                <w:color w:val="000000"/>
                <w:szCs w:val="24"/>
              </w:rPr>
            </w:pPr>
            <w:r w:rsidRPr="005A1CAE">
              <w:rPr>
                <w:noProof/>
                <w:color w:val="000000"/>
              </w:rPr>
              <w:t xml:space="preserve"> </w:t>
            </w:r>
          </w:p>
        </w:tc>
        <w:tc>
          <w:tcPr>
            <w:tcW w:w="349" w:type="pct"/>
            <w:gridSpan w:val="2"/>
            <w:tcBorders>
              <w:top w:val="single" w:sz="8" w:space="0" w:color="auto"/>
              <w:left w:val="nil"/>
              <w:bottom w:val="nil"/>
              <w:right w:val="single" w:sz="8" w:space="0" w:color="auto"/>
            </w:tcBorders>
            <w:vAlign w:val="center"/>
            <w:hideMark/>
          </w:tcPr>
          <w:p w14:paraId="3BF4DA5A" w14:textId="77777777" w:rsidR="002A4C51" w:rsidRPr="005A1CAE" w:rsidRDefault="002A4C51" w:rsidP="002A4C51">
            <w:pPr>
              <w:spacing w:before="0" w:after="0"/>
              <w:jc w:val="center"/>
              <w:rPr>
                <w:noProof/>
                <w:color w:val="000000"/>
                <w:sz w:val="20"/>
                <w:szCs w:val="20"/>
              </w:rPr>
            </w:pPr>
            <w:r w:rsidRPr="005A1CAE">
              <w:rPr>
                <w:noProof/>
                <w:color w:val="000000"/>
                <w:sz w:val="20"/>
              </w:rPr>
              <w:t>Rok</w:t>
            </w:r>
          </w:p>
        </w:tc>
        <w:tc>
          <w:tcPr>
            <w:tcW w:w="349" w:type="pct"/>
            <w:tcBorders>
              <w:top w:val="single" w:sz="8" w:space="0" w:color="auto"/>
              <w:left w:val="nil"/>
              <w:bottom w:val="nil"/>
              <w:right w:val="single" w:sz="8" w:space="0" w:color="auto"/>
            </w:tcBorders>
            <w:vAlign w:val="center"/>
            <w:hideMark/>
          </w:tcPr>
          <w:p w14:paraId="3B697833" w14:textId="77777777" w:rsidR="002A4C51" w:rsidRPr="005A1CAE" w:rsidRDefault="002A4C51" w:rsidP="002A4C51">
            <w:pPr>
              <w:spacing w:before="0" w:after="0"/>
              <w:jc w:val="center"/>
              <w:rPr>
                <w:noProof/>
                <w:color w:val="000000"/>
                <w:sz w:val="20"/>
                <w:szCs w:val="20"/>
              </w:rPr>
            </w:pPr>
            <w:r w:rsidRPr="005A1CAE">
              <w:rPr>
                <w:noProof/>
                <w:color w:val="000000"/>
                <w:sz w:val="20"/>
              </w:rPr>
              <w:t>Rok</w:t>
            </w:r>
          </w:p>
        </w:tc>
        <w:tc>
          <w:tcPr>
            <w:tcW w:w="349" w:type="pct"/>
            <w:gridSpan w:val="2"/>
            <w:tcBorders>
              <w:top w:val="single" w:sz="8" w:space="0" w:color="auto"/>
              <w:left w:val="nil"/>
              <w:bottom w:val="nil"/>
              <w:right w:val="single" w:sz="8" w:space="0" w:color="auto"/>
            </w:tcBorders>
            <w:vAlign w:val="center"/>
            <w:hideMark/>
          </w:tcPr>
          <w:p w14:paraId="58351DA2" w14:textId="77777777" w:rsidR="002A4C51" w:rsidRPr="005A1CAE" w:rsidRDefault="002A4C51" w:rsidP="002A4C51">
            <w:pPr>
              <w:spacing w:before="0" w:after="0"/>
              <w:jc w:val="center"/>
              <w:rPr>
                <w:noProof/>
                <w:color w:val="000000"/>
                <w:sz w:val="20"/>
                <w:szCs w:val="20"/>
              </w:rPr>
            </w:pPr>
            <w:r w:rsidRPr="005A1CAE">
              <w:rPr>
                <w:noProof/>
                <w:color w:val="000000"/>
                <w:sz w:val="20"/>
              </w:rPr>
              <w:t>Rok</w:t>
            </w:r>
          </w:p>
        </w:tc>
        <w:tc>
          <w:tcPr>
            <w:tcW w:w="349" w:type="pct"/>
            <w:gridSpan w:val="2"/>
            <w:tcBorders>
              <w:top w:val="single" w:sz="8" w:space="0" w:color="auto"/>
              <w:left w:val="nil"/>
              <w:bottom w:val="nil"/>
              <w:right w:val="single" w:sz="4" w:space="0" w:color="auto"/>
            </w:tcBorders>
            <w:vAlign w:val="center"/>
          </w:tcPr>
          <w:p w14:paraId="08BEB948" w14:textId="77777777" w:rsidR="002A4C51" w:rsidRPr="005A1CAE" w:rsidRDefault="002A4C51" w:rsidP="002A4C51">
            <w:pPr>
              <w:spacing w:before="0" w:after="0"/>
              <w:jc w:val="center"/>
              <w:rPr>
                <w:noProof/>
                <w:color w:val="000000"/>
                <w:sz w:val="20"/>
                <w:szCs w:val="20"/>
              </w:rPr>
            </w:pPr>
            <w:r w:rsidRPr="005A1CAE">
              <w:rPr>
                <w:noProof/>
                <w:color w:val="000000"/>
                <w:sz w:val="20"/>
              </w:rPr>
              <w:t>Rok</w:t>
            </w:r>
          </w:p>
        </w:tc>
        <w:tc>
          <w:tcPr>
            <w:tcW w:w="349" w:type="pct"/>
            <w:tcBorders>
              <w:top w:val="single" w:sz="8" w:space="0" w:color="auto"/>
              <w:left w:val="single" w:sz="4" w:space="0" w:color="auto"/>
              <w:bottom w:val="nil"/>
              <w:right w:val="single" w:sz="4" w:space="0" w:color="auto"/>
            </w:tcBorders>
            <w:vAlign w:val="center"/>
          </w:tcPr>
          <w:p w14:paraId="17D6A213" w14:textId="77777777" w:rsidR="002A4C51" w:rsidRPr="005A1CAE" w:rsidRDefault="002A4C51" w:rsidP="002A4C51">
            <w:pPr>
              <w:spacing w:before="0" w:after="0"/>
              <w:jc w:val="center"/>
              <w:rPr>
                <w:noProof/>
                <w:color w:val="000000"/>
                <w:sz w:val="20"/>
                <w:szCs w:val="20"/>
              </w:rPr>
            </w:pPr>
            <w:r w:rsidRPr="005A1CAE">
              <w:rPr>
                <w:noProof/>
                <w:color w:val="000000"/>
                <w:sz w:val="20"/>
              </w:rPr>
              <w:t>Rok</w:t>
            </w:r>
          </w:p>
        </w:tc>
        <w:tc>
          <w:tcPr>
            <w:tcW w:w="349" w:type="pct"/>
            <w:gridSpan w:val="2"/>
            <w:tcBorders>
              <w:top w:val="single" w:sz="8" w:space="0" w:color="auto"/>
              <w:left w:val="single" w:sz="4" w:space="0" w:color="auto"/>
              <w:bottom w:val="nil"/>
              <w:right w:val="single" w:sz="4" w:space="0" w:color="auto"/>
            </w:tcBorders>
            <w:vAlign w:val="center"/>
          </w:tcPr>
          <w:p w14:paraId="20147F1B" w14:textId="77777777" w:rsidR="002A4C51" w:rsidRPr="005A1CAE" w:rsidRDefault="002A4C51" w:rsidP="002A4C51">
            <w:pPr>
              <w:spacing w:before="0" w:after="0"/>
              <w:jc w:val="center"/>
              <w:rPr>
                <w:noProof/>
                <w:color w:val="000000"/>
                <w:sz w:val="20"/>
                <w:szCs w:val="20"/>
              </w:rPr>
            </w:pPr>
            <w:r w:rsidRPr="005A1CAE">
              <w:rPr>
                <w:noProof/>
                <w:color w:val="000000"/>
                <w:sz w:val="20"/>
              </w:rPr>
              <w:t>Rok</w:t>
            </w:r>
          </w:p>
        </w:tc>
        <w:tc>
          <w:tcPr>
            <w:tcW w:w="349" w:type="pct"/>
            <w:gridSpan w:val="2"/>
            <w:tcBorders>
              <w:top w:val="single" w:sz="8" w:space="0" w:color="auto"/>
              <w:left w:val="single" w:sz="4" w:space="0" w:color="auto"/>
              <w:bottom w:val="nil"/>
              <w:right w:val="single" w:sz="8" w:space="0" w:color="auto"/>
            </w:tcBorders>
            <w:vAlign w:val="center"/>
            <w:hideMark/>
          </w:tcPr>
          <w:p w14:paraId="4D5CFE3B" w14:textId="77777777" w:rsidR="002A4C51" w:rsidRPr="005A1CAE" w:rsidRDefault="002A4C51" w:rsidP="002A4C51">
            <w:pPr>
              <w:spacing w:before="0" w:after="0"/>
              <w:jc w:val="center"/>
              <w:rPr>
                <w:noProof/>
                <w:color w:val="000000"/>
                <w:sz w:val="20"/>
                <w:szCs w:val="20"/>
              </w:rPr>
            </w:pPr>
            <w:r w:rsidRPr="005A1CAE">
              <w:rPr>
                <w:noProof/>
                <w:color w:val="000000"/>
                <w:sz w:val="20"/>
              </w:rPr>
              <w:t>Rok</w:t>
            </w:r>
          </w:p>
        </w:tc>
        <w:tc>
          <w:tcPr>
            <w:tcW w:w="420" w:type="pct"/>
            <w:vMerge w:val="restart"/>
            <w:tcBorders>
              <w:top w:val="single" w:sz="8" w:space="0" w:color="auto"/>
              <w:left w:val="single" w:sz="8" w:space="0" w:color="auto"/>
              <w:bottom w:val="single" w:sz="8" w:space="0" w:color="000000"/>
              <w:right w:val="single" w:sz="8" w:space="0" w:color="auto"/>
            </w:tcBorders>
            <w:vAlign w:val="center"/>
            <w:hideMark/>
          </w:tcPr>
          <w:p w14:paraId="03920BF5" w14:textId="77777777" w:rsidR="002A4C51" w:rsidRPr="005A1CAE" w:rsidRDefault="002A4C51" w:rsidP="002A4C51">
            <w:pPr>
              <w:spacing w:before="0" w:after="0"/>
              <w:jc w:val="center"/>
              <w:rPr>
                <w:b/>
                <w:bCs/>
                <w:noProof/>
                <w:color w:val="000000"/>
                <w:sz w:val="20"/>
                <w:szCs w:val="20"/>
              </w:rPr>
            </w:pPr>
            <w:r w:rsidRPr="005A1CAE">
              <w:rPr>
                <w:b/>
                <w:noProof/>
                <w:color w:val="000000"/>
                <w:sz w:val="20"/>
              </w:rPr>
              <w:t>OGÓŁEM WRF 2028–2034</w:t>
            </w:r>
          </w:p>
        </w:tc>
      </w:tr>
      <w:tr w:rsidR="002A4C51" w:rsidRPr="005A1CAE" w14:paraId="194C77ED" w14:textId="77777777" w:rsidTr="007A036C">
        <w:trPr>
          <w:trHeight w:val="300"/>
        </w:trPr>
        <w:tc>
          <w:tcPr>
            <w:tcW w:w="2136" w:type="pct"/>
            <w:gridSpan w:val="3"/>
            <w:vMerge/>
            <w:tcBorders>
              <w:top w:val="single" w:sz="8" w:space="0" w:color="auto"/>
              <w:left w:val="single" w:sz="8" w:space="0" w:color="auto"/>
              <w:bottom w:val="single" w:sz="8" w:space="0" w:color="auto"/>
              <w:right w:val="single" w:sz="8" w:space="0" w:color="auto"/>
            </w:tcBorders>
            <w:vAlign w:val="center"/>
            <w:hideMark/>
          </w:tcPr>
          <w:p w14:paraId="26228AA9" w14:textId="77777777" w:rsidR="002A4C51" w:rsidRPr="005A1CAE" w:rsidRDefault="002A4C51" w:rsidP="002A4C51">
            <w:pPr>
              <w:spacing w:before="0" w:after="0"/>
              <w:jc w:val="left"/>
              <w:rPr>
                <w:noProof/>
                <w:color w:val="000000"/>
                <w:szCs w:val="24"/>
                <w:lang w:eastAsia="en-IE"/>
              </w:rPr>
            </w:pPr>
          </w:p>
        </w:tc>
        <w:tc>
          <w:tcPr>
            <w:tcW w:w="349" w:type="pct"/>
            <w:gridSpan w:val="2"/>
            <w:tcBorders>
              <w:top w:val="nil"/>
              <w:left w:val="nil"/>
              <w:bottom w:val="single" w:sz="8" w:space="0" w:color="auto"/>
              <w:right w:val="single" w:sz="8" w:space="0" w:color="auto"/>
            </w:tcBorders>
            <w:vAlign w:val="center"/>
            <w:hideMark/>
          </w:tcPr>
          <w:p w14:paraId="162E37EF" w14:textId="77777777" w:rsidR="002A4C51" w:rsidRPr="005A1CAE" w:rsidRDefault="002A4C51" w:rsidP="002A4C51">
            <w:pPr>
              <w:spacing w:before="0" w:after="0"/>
              <w:jc w:val="center"/>
              <w:rPr>
                <w:b/>
                <w:bCs/>
                <w:noProof/>
                <w:color w:val="000000"/>
                <w:sz w:val="20"/>
                <w:szCs w:val="20"/>
              </w:rPr>
            </w:pPr>
            <w:r w:rsidRPr="005A1CAE">
              <w:rPr>
                <w:b/>
                <w:noProof/>
                <w:color w:val="000000"/>
                <w:sz w:val="20"/>
              </w:rPr>
              <w:t>2028</w:t>
            </w:r>
          </w:p>
        </w:tc>
        <w:tc>
          <w:tcPr>
            <w:tcW w:w="349" w:type="pct"/>
            <w:tcBorders>
              <w:top w:val="nil"/>
              <w:left w:val="nil"/>
              <w:bottom w:val="single" w:sz="8" w:space="0" w:color="auto"/>
              <w:right w:val="single" w:sz="8" w:space="0" w:color="auto"/>
            </w:tcBorders>
            <w:vAlign w:val="center"/>
            <w:hideMark/>
          </w:tcPr>
          <w:p w14:paraId="06248AB1" w14:textId="77777777" w:rsidR="002A4C51" w:rsidRPr="005A1CAE" w:rsidRDefault="002A4C51" w:rsidP="002A4C51">
            <w:pPr>
              <w:spacing w:before="0" w:after="0"/>
              <w:jc w:val="center"/>
              <w:rPr>
                <w:b/>
                <w:bCs/>
                <w:noProof/>
                <w:color w:val="000000"/>
                <w:sz w:val="20"/>
                <w:szCs w:val="20"/>
              </w:rPr>
            </w:pPr>
            <w:r w:rsidRPr="005A1CAE">
              <w:rPr>
                <w:b/>
                <w:noProof/>
                <w:color w:val="000000"/>
                <w:sz w:val="20"/>
              </w:rPr>
              <w:t>2029</w:t>
            </w:r>
          </w:p>
        </w:tc>
        <w:tc>
          <w:tcPr>
            <w:tcW w:w="349" w:type="pct"/>
            <w:gridSpan w:val="2"/>
            <w:tcBorders>
              <w:top w:val="nil"/>
              <w:left w:val="nil"/>
              <w:bottom w:val="single" w:sz="8" w:space="0" w:color="auto"/>
              <w:right w:val="single" w:sz="8" w:space="0" w:color="auto"/>
            </w:tcBorders>
            <w:vAlign w:val="center"/>
            <w:hideMark/>
          </w:tcPr>
          <w:p w14:paraId="42E96AFD" w14:textId="77777777" w:rsidR="002A4C51" w:rsidRPr="005A1CAE" w:rsidRDefault="002A4C51" w:rsidP="002A4C51">
            <w:pPr>
              <w:spacing w:before="0" w:after="0"/>
              <w:jc w:val="center"/>
              <w:rPr>
                <w:b/>
                <w:bCs/>
                <w:noProof/>
                <w:color w:val="000000"/>
                <w:sz w:val="20"/>
                <w:szCs w:val="20"/>
              </w:rPr>
            </w:pPr>
            <w:r w:rsidRPr="005A1CAE">
              <w:rPr>
                <w:b/>
                <w:noProof/>
                <w:color w:val="000000"/>
                <w:sz w:val="20"/>
              </w:rPr>
              <w:t>2030</w:t>
            </w:r>
          </w:p>
        </w:tc>
        <w:tc>
          <w:tcPr>
            <w:tcW w:w="349" w:type="pct"/>
            <w:gridSpan w:val="2"/>
            <w:tcBorders>
              <w:top w:val="nil"/>
              <w:left w:val="nil"/>
              <w:right w:val="single" w:sz="4" w:space="0" w:color="auto"/>
            </w:tcBorders>
            <w:vAlign w:val="center"/>
          </w:tcPr>
          <w:p w14:paraId="0FBA38B7" w14:textId="77777777" w:rsidR="002A4C51" w:rsidRPr="005A1CAE" w:rsidRDefault="002A4C51" w:rsidP="002A4C51">
            <w:pPr>
              <w:spacing w:before="0" w:after="0"/>
              <w:jc w:val="center"/>
              <w:rPr>
                <w:b/>
                <w:bCs/>
                <w:noProof/>
                <w:color w:val="000000"/>
                <w:sz w:val="20"/>
                <w:szCs w:val="20"/>
              </w:rPr>
            </w:pPr>
            <w:r w:rsidRPr="005A1CAE">
              <w:rPr>
                <w:b/>
                <w:noProof/>
                <w:color w:val="000000"/>
                <w:sz w:val="20"/>
              </w:rPr>
              <w:t>2031</w:t>
            </w:r>
          </w:p>
        </w:tc>
        <w:tc>
          <w:tcPr>
            <w:tcW w:w="349" w:type="pct"/>
            <w:tcBorders>
              <w:top w:val="nil"/>
              <w:left w:val="single" w:sz="4" w:space="0" w:color="auto"/>
              <w:right w:val="single" w:sz="4" w:space="0" w:color="auto"/>
            </w:tcBorders>
            <w:vAlign w:val="center"/>
          </w:tcPr>
          <w:p w14:paraId="761E7EEC" w14:textId="77777777" w:rsidR="002A4C51" w:rsidRPr="005A1CAE" w:rsidRDefault="002A4C51" w:rsidP="002A4C51">
            <w:pPr>
              <w:spacing w:before="0" w:after="0"/>
              <w:jc w:val="center"/>
              <w:rPr>
                <w:b/>
                <w:bCs/>
                <w:noProof/>
                <w:color w:val="000000"/>
                <w:sz w:val="20"/>
                <w:szCs w:val="20"/>
              </w:rPr>
            </w:pPr>
            <w:r w:rsidRPr="005A1CAE">
              <w:rPr>
                <w:b/>
                <w:noProof/>
                <w:color w:val="000000"/>
                <w:sz w:val="20"/>
              </w:rPr>
              <w:t>2032</w:t>
            </w:r>
          </w:p>
        </w:tc>
        <w:tc>
          <w:tcPr>
            <w:tcW w:w="349" w:type="pct"/>
            <w:gridSpan w:val="2"/>
            <w:tcBorders>
              <w:top w:val="nil"/>
              <w:left w:val="single" w:sz="4" w:space="0" w:color="auto"/>
              <w:right w:val="single" w:sz="4" w:space="0" w:color="auto"/>
            </w:tcBorders>
            <w:vAlign w:val="center"/>
          </w:tcPr>
          <w:p w14:paraId="0AF817A7" w14:textId="77777777" w:rsidR="002A4C51" w:rsidRPr="005A1CAE" w:rsidRDefault="002A4C51" w:rsidP="002A4C51">
            <w:pPr>
              <w:spacing w:before="0" w:after="0"/>
              <w:jc w:val="center"/>
              <w:rPr>
                <w:b/>
                <w:bCs/>
                <w:noProof/>
                <w:color w:val="000000"/>
                <w:sz w:val="20"/>
                <w:szCs w:val="20"/>
              </w:rPr>
            </w:pPr>
            <w:r w:rsidRPr="005A1CAE">
              <w:rPr>
                <w:b/>
                <w:noProof/>
                <w:color w:val="000000"/>
                <w:sz w:val="20"/>
              </w:rPr>
              <w:t>2033</w:t>
            </w:r>
          </w:p>
        </w:tc>
        <w:tc>
          <w:tcPr>
            <w:tcW w:w="349" w:type="pct"/>
            <w:gridSpan w:val="2"/>
            <w:tcBorders>
              <w:top w:val="nil"/>
              <w:left w:val="single" w:sz="4" w:space="0" w:color="auto"/>
              <w:right w:val="single" w:sz="8" w:space="0" w:color="auto"/>
            </w:tcBorders>
            <w:vAlign w:val="center"/>
            <w:hideMark/>
          </w:tcPr>
          <w:p w14:paraId="6AB01524" w14:textId="77777777" w:rsidR="002A4C51" w:rsidRPr="005A1CAE" w:rsidRDefault="002A4C51" w:rsidP="002A4C51">
            <w:pPr>
              <w:spacing w:before="0" w:after="0"/>
              <w:jc w:val="center"/>
              <w:rPr>
                <w:b/>
                <w:bCs/>
                <w:noProof/>
                <w:color w:val="000000"/>
                <w:sz w:val="20"/>
                <w:szCs w:val="20"/>
              </w:rPr>
            </w:pPr>
            <w:r w:rsidRPr="005A1CAE">
              <w:rPr>
                <w:b/>
                <w:noProof/>
                <w:color w:val="000000"/>
                <w:sz w:val="20"/>
              </w:rPr>
              <w:t>2034</w:t>
            </w:r>
          </w:p>
        </w:tc>
        <w:tc>
          <w:tcPr>
            <w:tcW w:w="420" w:type="pct"/>
            <w:vMerge/>
            <w:tcBorders>
              <w:top w:val="single" w:sz="8" w:space="0" w:color="auto"/>
              <w:left w:val="single" w:sz="8" w:space="0" w:color="auto"/>
              <w:bottom w:val="single" w:sz="8" w:space="0" w:color="000000"/>
              <w:right w:val="single" w:sz="8" w:space="0" w:color="auto"/>
            </w:tcBorders>
            <w:vAlign w:val="center"/>
            <w:hideMark/>
          </w:tcPr>
          <w:p w14:paraId="0027FE1E" w14:textId="77777777" w:rsidR="002A4C51" w:rsidRPr="005A1CAE" w:rsidRDefault="002A4C51" w:rsidP="002A4C51">
            <w:pPr>
              <w:spacing w:before="0" w:after="0"/>
              <w:jc w:val="left"/>
              <w:rPr>
                <w:b/>
                <w:bCs/>
                <w:noProof/>
                <w:color w:val="000000"/>
                <w:sz w:val="20"/>
                <w:szCs w:val="20"/>
                <w:lang w:eastAsia="en-IE"/>
              </w:rPr>
            </w:pPr>
          </w:p>
        </w:tc>
      </w:tr>
      <w:tr w:rsidR="006A4F00" w:rsidRPr="005A1CAE" w14:paraId="147992EF" w14:textId="77777777" w:rsidTr="002A4C51">
        <w:trPr>
          <w:trHeight w:val="564"/>
        </w:trPr>
        <w:tc>
          <w:tcPr>
            <w:tcW w:w="1559"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25A18D54" w14:textId="5C489A3C" w:rsidR="002A4C51" w:rsidRPr="005A1CAE" w:rsidRDefault="002A4C51" w:rsidP="002A4C51">
            <w:pPr>
              <w:spacing w:before="0" w:after="0"/>
              <w:jc w:val="center"/>
              <w:rPr>
                <w:b/>
                <w:bCs/>
                <w:noProof/>
                <w:color w:val="000000"/>
                <w:sz w:val="22"/>
              </w:rPr>
            </w:pPr>
            <w:r w:rsidRPr="005A1CAE">
              <w:rPr>
                <w:b/>
                <w:noProof/>
                <w:color w:val="000000"/>
                <w:sz w:val="22"/>
              </w:rPr>
              <w:t>OGÓŁEM środki na DZIAŁY od</w:t>
            </w:r>
            <w:r w:rsidR="005A1CAE" w:rsidRPr="005A1CAE">
              <w:rPr>
                <w:b/>
                <w:noProof/>
                <w:color w:val="000000"/>
                <w:sz w:val="22"/>
              </w:rPr>
              <w:t> </w:t>
            </w:r>
            <w:r w:rsidRPr="005A1CAE">
              <w:rPr>
                <w:b/>
                <w:noProof/>
                <w:color w:val="000000"/>
                <w:sz w:val="22"/>
              </w:rPr>
              <w:t>1 do</w:t>
            </w:r>
            <w:r w:rsidR="005A1CAE" w:rsidRPr="005A1CAE">
              <w:rPr>
                <w:b/>
                <w:noProof/>
                <w:color w:val="000000"/>
                <w:sz w:val="22"/>
              </w:rPr>
              <w:t> </w:t>
            </w:r>
            <w:r w:rsidRPr="005A1CAE">
              <w:rPr>
                <w:b/>
                <w:noProof/>
                <w:color w:val="000000"/>
                <w:sz w:val="22"/>
              </w:rPr>
              <w:t>4</w:t>
            </w:r>
          </w:p>
        </w:tc>
        <w:tc>
          <w:tcPr>
            <w:tcW w:w="578" w:type="pct"/>
            <w:gridSpan w:val="2"/>
            <w:tcBorders>
              <w:top w:val="single" w:sz="8" w:space="0" w:color="auto"/>
              <w:left w:val="nil"/>
              <w:bottom w:val="single" w:sz="8" w:space="0" w:color="auto"/>
              <w:right w:val="single" w:sz="8" w:space="0" w:color="auto"/>
            </w:tcBorders>
            <w:vAlign w:val="center"/>
            <w:hideMark/>
          </w:tcPr>
          <w:p w14:paraId="41B78346" w14:textId="77777777" w:rsidR="002A4C51" w:rsidRPr="005A1CAE" w:rsidRDefault="002A4C51" w:rsidP="002A4C51">
            <w:pPr>
              <w:spacing w:before="0" w:after="0"/>
              <w:rPr>
                <w:noProof/>
                <w:color w:val="000000"/>
                <w:sz w:val="18"/>
                <w:szCs w:val="18"/>
              </w:rPr>
            </w:pPr>
            <w:r w:rsidRPr="005A1CAE">
              <w:rPr>
                <w:noProof/>
                <w:color w:val="000000"/>
                <w:sz w:val="18"/>
              </w:rPr>
              <w:t>Środki na zobowiązania</w:t>
            </w:r>
          </w:p>
        </w:tc>
        <w:tc>
          <w:tcPr>
            <w:tcW w:w="349" w:type="pct"/>
            <w:gridSpan w:val="2"/>
            <w:tcBorders>
              <w:top w:val="nil"/>
              <w:left w:val="nil"/>
              <w:bottom w:val="single" w:sz="8" w:space="0" w:color="auto"/>
              <w:right w:val="single" w:sz="8" w:space="0" w:color="auto"/>
            </w:tcBorders>
            <w:shd w:val="clear" w:color="000000" w:fill="D9D9D9"/>
            <w:vAlign w:val="center"/>
            <w:hideMark/>
          </w:tcPr>
          <w:p w14:paraId="3833E37B" w14:textId="77777777" w:rsidR="002A4C51" w:rsidRPr="005A1CAE" w:rsidRDefault="002A4C51" w:rsidP="007A036C">
            <w:pPr>
              <w:spacing w:before="0" w:after="0"/>
              <w:jc w:val="center"/>
              <w:rPr>
                <w:b/>
                <w:bCs/>
                <w:noProof/>
                <w:color w:val="000000"/>
                <w:szCs w:val="24"/>
              </w:rPr>
            </w:pPr>
            <w:r w:rsidRPr="005A1CAE">
              <w:rPr>
                <w:b/>
                <w:noProof/>
              </w:rPr>
              <w:t>42,703</w:t>
            </w:r>
          </w:p>
        </w:tc>
        <w:tc>
          <w:tcPr>
            <w:tcW w:w="349" w:type="pct"/>
            <w:tcBorders>
              <w:top w:val="nil"/>
              <w:left w:val="nil"/>
              <w:bottom w:val="single" w:sz="8" w:space="0" w:color="auto"/>
              <w:right w:val="single" w:sz="8" w:space="0" w:color="auto"/>
            </w:tcBorders>
            <w:shd w:val="clear" w:color="000000" w:fill="D9D9D9"/>
            <w:vAlign w:val="center"/>
            <w:hideMark/>
          </w:tcPr>
          <w:p w14:paraId="39AAB15D" w14:textId="77777777" w:rsidR="002A4C51" w:rsidRPr="005A1CAE" w:rsidRDefault="002A4C51" w:rsidP="007A036C">
            <w:pPr>
              <w:spacing w:before="0" w:after="0"/>
              <w:jc w:val="center"/>
              <w:rPr>
                <w:b/>
                <w:bCs/>
                <w:noProof/>
                <w:color w:val="000000"/>
                <w:szCs w:val="24"/>
              </w:rPr>
            </w:pPr>
            <w:r w:rsidRPr="005A1CAE">
              <w:rPr>
                <w:b/>
                <w:noProof/>
              </w:rPr>
              <w:t>38,435</w:t>
            </w:r>
          </w:p>
        </w:tc>
        <w:tc>
          <w:tcPr>
            <w:tcW w:w="349" w:type="pct"/>
            <w:gridSpan w:val="2"/>
            <w:tcBorders>
              <w:top w:val="nil"/>
              <w:left w:val="nil"/>
              <w:bottom w:val="single" w:sz="8" w:space="0" w:color="auto"/>
              <w:right w:val="single" w:sz="8" w:space="0" w:color="auto"/>
            </w:tcBorders>
            <w:shd w:val="clear" w:color="000000" w:fill="D9D9D9"/>
            <w:vAlign w:val="center"/>
            <w:hideMark/>
          </w:tcPr>
          <w:p w14:paraId="646301CB" w14:textId="77777777" w:rsidR="002A4C51" w:rsidRPr="005A1CAE" w:rsidRDefault="002A4C51" w:rsidP="007A036C">
            <w:pPr>
              <w:spacing w:before="0" w:after="0"/>
              <w:jc w:val="center"/>
              <w:rPr>
                <w:b/>
                <w:bCs/>
                <w:noProof/>
                <w:color w:val="000000"/>
                <w:szCs w:val="24"/>
              </w:rPr>
            </w:pPr>
            <w:r w:rsidRPr="005A1CAE">
              <w:rPr>
                <w:b/>
                <w:noProof/>
              </w:rPr>
              <w:t>39,190</w:t>
            </w:r>
          </w:p>
        </w:tc>
        <w:tc>
          <w:tcPr>
            <w:tcW w:w="349" w:type="pct"/>
            <w:gridSpan w:val="2"/>
            <w:tcBorders>
              <w:top w:val="nil"/>
              <w:left w:val="nil"/>
              <w:bottom w:val="single" w:sz="8" w:space="0" w:color="auto"/>
              <w:right w:val="single" w:sz="4" w:space="0" w:color="auto"/>
            </w:tcBorders>
            <w:shd w:val="clear" w:color="000000" w:fill="D9D9D9"/>
            <w:vAlign w:val="center"/>
          </w:tcPr>
          <w:p w14:paraId="4548ADC0" w14:textId="77777777" w:rsidR="002A4C51" w:rsidRPr="005A1CAE" w:rsidRDefault="002A4C51" w:rsidP="007A036C">
            <w:pPr>
              <w:spacing w:before="0" w:after="0"/>
              <w:jc w:val="center"/>
              <w:rPr>
                <w:b/>
                <w:bCs/>
                <w:noProof/>
                <w:color w:val="000000"/>
                <w:szCs w:val="24"/>
              </w:rPr>
            </w:pPr>
            <w:r w:rsidRPr="005A1CAE">
              <w:rPr>
                <w:b/>
                <w:noProof/>
              </w:rPr>
              <w:t>39,967</w:t>
            </w:r>
          </w:p>
        </w:tc>
        <w:tc>
          <w:tcPr>
            <w:tcW w:w="349" w:type="pct"/>
            <w:tcBorders>
              <w:top w:val="nil"/>
              <w:left w:val="single" w:sz="4" w:space="0" w:color="auto"/>
              <w:bottom w:val="single" w:sz="8" w:space="0" w:color="auto"/>
              <w:right w:val="single" w:sz="4" w:space="0" w:color="auto"/>
            </w:tcBorders>
            <w:shd w:val="clear" w:color="000000" w:fill="D9D9D9"/>
            <w:vAlign w:val="center"/>
          </w:tcPr>
          <w:p w14:paraId="103E72E6" w14:textId="77777777" w:rsidR="002A4C51" w:rsidRPr="005A1CAE" w:rsidRDefault="002A4C51" w:rsidP="007A036C">
            <w:pPr>
              <w:spacing w:before="0" w:after="0"/>
              <w:jc w:val="center"/>
              <w:rPr>
                <w:b/>
                <w:bCs/>
                <w:noProof/>
                <w:color w:val="000000"/>
                <w:szCs w:val="24"/>
              </w:rPr>
            </w:pPr>
            <w:r w:rsidRPr="005A1CAE">
              <w:rPr>
                <w:b/>
                <w:noProof/>
              </w:rPr>
              <w:t>40,767</w:t>
            </w:r>
          </w:p>
        </w:tc>
        <w:tc>
          <w:tcPr>
            <w:tcW w:w="349" w:type="pct"/>
            <w:gridSpan w:val="2"/>
            <w:tcBorders>
              <w:top w:val="nil"/>
              <w:left w:val="single" w:sz="4" w:space="0" w:color="auto"/>
              <w:bottom w:val="single" w:sz="8" w:space="0" w:color="auto"/>
              <w:right w:val="single" w:sz="4" w:space="0" w:color="auto"/>
            </w:tcBorders>
            <w:shd w:val="clear" w:color="000000" w:fill="D9D9D9"/>
            <w:vAlign w:val="center"/>
          </w:tcPr>
          <w:p w14:paraId="46CA945B" w14:textId="77777777" w:rsidR="002A4C51" w:rsidRPr="005A1CAE" w:rsidRDefault="002A4C51" w:rsidP="007A036C">
            <w:pPr>
              <w:spacing w:before="0" w:after="0"/>
              <w:jc w:val="center"/>
              <w:rPr>
                <w:b/>
                <w:bCs/>
                <w:noProof/>
                <w:color w:val="000000"/>
                <w:szCs w:val="24"/>
              </w:rPr>
            </w:pPr>
            <w:r w:rsidRPr="005A1CAE">
              <w:rPr>
                <w:b/>
                <w:noProof/>
              </w:rPr>
              <w:t>41,591</w:t>
            </w:r>
          </w:p>
        </w:tc>
        <w:tc>
          <w:tcPr>
            <w:tcW w:w="349" w:type="pct"/>
            <w:gridSpan w:val="2"/>
            <w:tcBorders>
              <w:top w:val="nil"/>
              <w:left w:val="single" w:sz="4" w:space="0" w:color="auto"/>
              <w:bottom w:val="single" w:sz="8" w:space="0" w:color="auto"/>
              <w:right w:val="single" w:sz="8" w:space="0" w:color="auto"/>
            </w:tcBorders>
            <w:shd w:val="clear" w:color="000000" w:fill="D9D9D9"/>
            <w:vAlign w:val="center"/>
            <w:hideMark/>
          </w:tcPr>
          <w:p w14:paraId="64AA46BD" w14:textId="77777777" w:rsidR="002A4C51" w:rsidRPr="005A1CAE" w:rsidRDefault="002A4C51" w:rsidP="007A036C">
            <w:pPr>
              <w:spacing w:before="0" w:after="0"/>
              <w:jc w:val="center"/>
              <w:rPr>
                <w:b/>
                <w:bCs/>
                <w:noProof/>
                <w:color w:val="000000"/>
                <w:szCs w:val="24"/>
              </w:rPr>
            </w:pPr>
            <w:r w:rsidRPr="005A1CAE">
              <w:rPr>
                <w:b/>
                <w:noProof/>
              </w:rPr>
              <w:t>42,440</w:t>
            </w:r>
          </w:p>
        </w:tc>
        <w:tc>
          <w:tcPr>
            <w:tcW w:w="420" w:type="pct"/>
            <w:tcBorders>
              <w:top w:val="nil"/>
              <w:left w:val="nil"/>
              <w:bottom w:val="single" w:sz="8" w:space="0" w:color="auto"/>
              <w:right w:val="single" w:sz="8" w:space="0" w:color="auto"/>
            </w:tcBorders>
            <w:shd w:val="clear" w:color="000000" w:fill="D9D9D9"/>
            <w:vAlign w:val="center"/>
            <w:hideMark/>
          </w:tcPr>
          <w:p w14:paraId="7368BF23" w14:textId="77777777" w:rsidR="002A4C51" w:rsidRPr="005A1CAE" w:rsidRDefault="002A4C51" w:rsidP="007A036C">
            <w:pPr>
              <w:spacing w:before="0" w:after="0"/>
              <w:jc w:val="center"/>
              <w:rPr>
                <w:b/>
                <w:bCs/>
                <w:noProof/>
                <w:color w:val="000000"/>
                <w:szCs w:val="24"/>
              </w:rPr>
            </w:pPr>
            <w:r w:rsidRPr="005A1CAE">
              <w:rPr>
                <w:b/>
                <w:noProof/>
              </w:rPr>
              <w:t>285,091</w:t>
            </w:r>
          </w:p>
        </w:tc>
      </w:tr>
      <w:tr w:rsidR="006A4F00" w:rsidRPr="005A1CAE" w14:paraId="0522DA04" w14:textId="77777777" w:rsidTr="002A4C51">
        <w:trPr>
          <w:trHeight w:val="540"/>
        </w:trPr>
        <w:tc>
          <w:tcPr>
            <w:tcW w:w="1559"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17069FFC" w14:textId="77777777" w:rsidR="002A4C51" w:rsidRPr="005A1CAE" w:rsidRDefault="002A4C51" w:rsidP="002A4C51">
            <w:pPr>
              <w:spacing w:before="0" w:after="0"/>
              <w:jc w:val="center"/>
              <w:rPr>
                <w:noProof/>
                <w:color w:val="000000"/>
                <w:sz w:val="22"/>
              </w:rPr>
            </w:pPr>
            <w:r w:rsidRPr="005A1CAE">
              <w:rPr>
                <w:noProof/>
                <w:color w:val="000000"/>
                <w:sz w:val="22"/>
              </w:rPr>
              <w:t>wieloletnich ram finansowych</w:t>
            </w:r>
            <w:r w:rsidRPr="005A1CAE">
              <w:rPr>
                <w:b/>
                <w:noProof/>
                <w:color w:val="000000"/>
                <w:sz w:val="22"/>
              </w:rPr>
              <w:t xml:space="preserve"> </w:t>
            </w:r>
          </w:p>
        </w:tc>
        <w:tc>
          <w:tcPr>
            <w:tcW w:w="578" w:type="pct"/>
            <w:gridSpan w:val="2"/>
            <w:tcBorders>
              <w:top w:val="single" w:sz="8" w:space="0" w:color="auto"/>
              <w:left w:val="nil"/>
              <w:bottom w:val="single" w:sz="8" w:space="0" w:color="auto"/>
              <w:right w:val="single" w:sz="8" w:space="0" w:color="auto"/>
            </w:tcBorders>
            <w:vAlign w:val="center"/>
            <w:hideMark/>
          </w:tcPr>
          <w:p w14:paraId="7434531F" w14:textId="77777777" w:rsidR="002A4C51" w:rsidRPr="005A1CAE" w:rsidRDefault="002A4C51" w:rsidP="002A4C51">
            <w:pPr>
              <w:spacing w:before="0" w:after="0"/>
              <w:rPr>
                <w:noProof/>
                <w:color w:val="000000"/>
                <w:sz w:val="18"/>
                <w:szCs w:val="18"/>
              </w:rPr>
            </w:pPr>
            <w:r w:rsidRPr="005A1CAE">
              <w:rPr>
                <w:noProof/>
                <w:color w:val="000000"/>
                <w:sz w:val="18"/>
              </w:rPr>
              <w:t>Środki na płatności</w:t>
            </w:r>
          </w:p>
        </w:tc>
        <w:tc>
          <w:tcPr>
            <w:tcW w:w="349" w:type="pct"/>
            <w:gridSpan w:val="2"/>
            <w:tcBorders>
              <w:top w:val="nil"/>
              <w:left w:val="nil"/>
              <w:bottom w:val="single" w:sz="8" w:space="0" w:color="auto"/>
              <w:right w:val="single" w:sz="8" w:space="0" w:color="auto"/>
            </w:tcBorders>
            <w:shd w:val="clear" w:color="000000" w:fill="D9D9D9"/>
            <w:vAlign w:val="center"/>
            <w:hideMark/>
          </w:tcPr>
          <w:p w14:paraId="1665BE88" w14:textId="77777777" w:rsidR="002A4C51" w:rsidRPr="005A1CAE" w:rsidRDefault="002A4C51" w:rsidP="007A036C">
            <w:pPr>
              <w:spacing w:before="0" w:after="0"/>
              <w:jc w:val="center"/>
              <w:rPr>
                <w:b/>
                <w:bCs/>
                <w:noProof/>
                <w:color w:val="000000"/>
                <w:szCs w:val="24"/>
              </w:rPr>
            </w:pPr>
            <w:r w:rsidRPr="005A1CAE">
              <w:rPr>
                <w:b/>
                <w:noProof/>
              </w:rPr>
              <w:t>29,892 </w:t>
            </w:r>
          </w:p>
        </w:tc>
        <w:tc>
          <w:tcPr>
            <w:tcW w:w="349" w:type="pct"/>
            <w:tcBorders>
              <w:top w:val="nil"/>
              <w:left w:val="nil"/>
              <w:bottom w:val="single" w:sz="8" w:space="0" w:color="auto"/>
              <w:right w:val="single" w:sz="8" w:space="0" w:color="auto"/>
            </w:tcBorders>
            <w:shd w:val="clear" w:color="000000" w:fill="D9D9D9"/>
            <w:vAlign w:val="center"/>
            <w:hideMark/>
          </w:tcPr>
          <w:p w14:paraId="584B1B08" w14:textId="77777777" w:rsidR="002A4C51" w:rsidRPr="005A1CAE" w:rsidRDefault="002A4C51" w:rsidP="007A036C">
            <w:pPr>
              <w:spacing w:before="0" w:after="0"/>
              <w:jc w:val="center"/>
              <w:rPr>
                <w:b/>
                <w:bCs/>
                <w:noProof/>
                <w:color w:val="000000"/>
                <w:szCs w:val="24"/>
              </w:rPr>
            </w:pPr>
            <w:r w:rsidRPr="005A1CAE">
              <w:rPr>
                <w:b/>
                <w:noProof/>
              </w:rPr>
              <w:t>26,904 </w:t>
            </w:r>
          </w:p>
        </w:tc>
        <w:tc>
          <w:tcPr>
            <w:tcW w:w="349" w:type="pct"/>
            <w:gridSpan w:val="2"/>
            <w:tcBorders>
              <w:top w:val="nil"/>
              <w:left w:val="nil"/>
              <w:bottom w:val="single" w:sz="8" w:space="0" w:color="auto"/>
              <w:right w:val="single" w:sz="8" w:space="0" w:color="auto"/>
            </w:tcBorders>
            <w:shd w:val="clear" w:color="000000" w:fill="D9D9D9"/>
            <w:vAlign w:val="center"/>
            <w:hideMark/>
          </w:tcPr>
          <w:p w14:paraId="5458E184" w14:textId="77777777" w:rsidR="002A4C51" w:rsidRPr="005A1CAE" w:rsidRDefault="002A4C51" w:rsidP="007A036C">
            <w:pPr>
              <w:spacing w:before="0" w:after="0"/>
              <w:jc w:val="center"/>
              <w:rPr>
                <w:b/>
                <w:bCs/>
                <w:noProof/>
                <w:color w:val="000000"/>
                <w:szCs w:val="24"/>
              </w:rPr>
            </w:pPr>
            <w:r w:rsidRPr="005A1CAE">
              <w:rPr>
                <w:b/>
                <w:noProof/>
              </w:rPr>
              <w:t>26,257 </w:t>
            </w:r>
          </w:p>
        </w:tc>
        <w:tc>
          <w:tcPr>
            <w:tcW w:w="349" w:type="pct"/>
            <w:gridSpan w:val="2"/>
            <w:tcBorders>
              <w:top w:val="single" w:sz="8" w:space="0" w:color="auto"/>
              <w:left w:val="nil"/>
              <w:bottom w:val="single" w:sz="8" w:space="0" w:color="auto"/>
              <w:right w:val="single" w:sz="4" w:space="0" w:color="auto"/>
            </w:tcBorders>
            <w:shd w:val="clear" w:color="000000" w:fill="D9D9D9"/>
            <w:vAlign w:val="center"/>
          </w:tcPr>
          <w:p w14:paraId="70D05619" w14:textId="77777777" w:rsidR="002A4C51" w:rsidRPr="005A1CAE" w:rsidRDefault="002A4C51" w:rsidP="007A036C">
            <w:pPr>
              <w:spacing w:before="0" w:after="0"/>
              <w:jc w:val="center"/>
              <w:rPr>
                <w:b/>
                <w:bCs/>
                <w:noProof/>
                <w:color w:val="000000"/>
                <w:szCs w:val="24"/>
              </w:rPr>
            </w:pPr>
            <w:r w:rsidRPr="005A1CAE">
              <w:rPr>
                <w:b/>
                <w:noProof/>
              </w:rPr>
              <w:t>26,778 </w:t>
            </w:r>
          </w:p>
        </w:tc>
        <w:tc>
          <w:tcPr>
            <w:tcW w:w="349" w:type="pct"/>
            <w:tcBorders>
              <w:top w:val="single" w:sz="8" w:space="0" w:color="auto"/>
              <w:left w:val="single" w:sz="4" w:space="0" w:color="auto"/>
              <w:bottom w:val="single" w:sz="8" w:space="0" w:color="auto"/>
              <w:right w:val="single" w:sz="4" w:space="0" w:color="auto"/>
            </w:tcBorders>
            <w:shd w:val="clear" w:color="000000" w:fill="D9D9D9"/>
            <w:vAlign w:val="center"/>
          </w:tcPr>
          <w:p w14:paraId="0383F26C" w14:textId="77777777" w:rsidR="002A4C51" w:rsidRPr="005A1CAE" w:rsidRDefault="002A4C51" w:rsidP="007A036C">
            <w:pPr>
              <w:spacing w:before="0" w:after="0"/>
              <w:jc w:val="center"/>
              <w:rPr>
                <w:b/>
                <w:bCs/>
                <w:noProof/>
                <w:color w:val="000000"/>
                <w:szCs w:val="24"/>
              </w:rPr>
            </w:pPr>
            <w:r w:rsidRPr="005A1CAE">
              <w:rPr>
                <w:b/>
                <w:noProof/>
              </w:rPr>
              <w:t>39,136 </w:t>
            </w:r>
          </w:p>
        </w:tc>
        <w:tc>
          <w:tcPr>
            <w:tcW w:w="349" w:type="pct"/>
            <w:gridSpan w:val="2"/>
            <w:tcBorders>
              <w:top w:val="single" w:sz="8" w:space="0" w:color="auto"/>
              <w:left w:val="single" w:sz="4" w:space="0" w:color="auto"/>
              <w:bottom w:val="single" w:sz="8" w:space="0" w:color="auto"/>
              <w:right w:val="single" w:sz="4" w:space="0" w:color="auto"/>
            </w:tcBorders>
            <w:shd w:val="clear" w:color="000000" w:fill="D9D9D9"/>
            <w:vAlign w:val="center"/>
          </w:tcPr>
          <w:p w14:paraId="77F7DE17" w14:textId="77777777" w:rsidR="002A4C51" w:rsidRPr="005A1CAE" w:rsidRDefault="002A4C51" w:rsidP="007A036C">
            <w:pPr>
              <w:spacing w:before="0" w:after="0"/>
              <w:jc w:val="center"/>
              <w:rPr>
                <w:b/>
                <w:bCs/>
                <w:noProof/>
                <w:color w:val="000000"/>
                <w:szCs w:val="24"/>
              </w:rPr>
            </w:pPr>
            <w:r w:rsidRPr="005A1CAE">
              <w:rPr>
                <w:b/>
                <w:noProof/>
              </w:rPr>
              <w:t>39,928 </w:t>
            </w:r>
          </w:p>
        </w:tc>
        <w:tc>
          <w:tcPr>
            <w:tcW w:w="349" w:type="pct"/>
            <w:gridSpan w:val="2"/>
            <w:tcBorders>
              <w:top w:val="single" w:sz="8" w:space="0" w:color="auto"/>
              <w:left w:val="single" w:sz="4" w:space="0" w:color="auto"/>
              <w:bottom w:val="single" w:sz="8" w:space="0" w:color="auto"/>
              <w:right w:val="single" w:sz="8" w:space="0" w:color="auto"/>
            </w:tcBorders>
            <w:shd w:val="clear" w:color="000000" w:fill="D9D9D9"/>
            <w:vAlign w:val="center"/>
            <w:hideMark/>
          </w:tcPr>
          <w:p w14:paraId="7B1015C8" w14:textId="77777777" w:rsidR="002A4C51" w:rsidRPr="005A1CAE" w:rsidRDefault="002A4C51" w:rsidP="007A036C">
            <w:pPr>
              <w:spacing w:before="0" w:after="0"/>
              <w:jc w:val="center"/>
              <w:rPr>
                <w:b/>
                <w:bCs/>
                <w:noProof/>
                <w:color w:val="000000"/>
                <w:szCs w:val="24"/>
              </w:rPr>
            </w:pPr>
            <w:r w:rsidRPr="005A1CAE">
              <w:rPr>
                <w:b/>
                <w:noProof/>
              </w:rPr>
              <w:t>44,986 </w:t>
            </w:r>
          </w:p>
        </w:tc>
        <w:tc>
          <w:tcPr>
            <w:tcW w:w="420" w:type="pct"/>
            <w:tcBorders>
              <w:top w:val="nil"/>
              <w:left w:val="nil"/>
              <w:bottom w:val="single" w:sz="8" w:space="0" w:color="auto"/>
              <w:right w:val="single" w:sz="8" w:space="0" w:color="auto"/>
            </w:tcBorders>
            <w:shd w:val="clear" w:color="000000" w:fill="D9D9D9"/>
            <w:vAlign w:val="center"/>
            <w:hideMark/>
          </w:tcPr>
          <w:p w14:paraId="33209C8F" w14:textId="77777777" w:rsidR="002A4C51" w:rsidRPr="005A1CAE" w:rsidRDefault="002A4C51" w:rsidP="007A036C">
            <w:pPr>
              <w:spacing w:before="0" w:after="0"/>
              <w:jc w:val="center"/>
              <w:rPr>
                <w:b/>
                <w:bCs/>
                <w:noProof/>
                <w:color w:val="000000"/>
                <w:szCs w:val="24"/>
              </w:rPr>
            </w:pPr>
            <w:r w:rsidRPr="005A1CAE">
              <w:rPr>
                <w:b/>
                <w:noProof/>
              </w:rPr>
              <w:t>233,881 </w:t>
            </w:r>
          </w:p>
        </w:tc>
      </w:tr>
    </w:tbl>
    <w:p w14:paraId="25128A8B" w14:textId="34E0AE24" w:rsidR="002A4C51" w:rsidRPr="005A1CAE" w:rsidRDefault="002A4C51" w:rsidP="002A4C51">
      <w:pPr>
        <w:rPr>
          <w:noProof/>
        </w:rPr>
      </w:pPr>
      <w:r w:rsidRPr="005A1CAE">
        <w:rPr>
          <w:noProof/>
        </w:rPr>
        <w:t>* Wszystkie dane liczbowe dotyczące WRF na lata 2028–2034</w:t>
      </w:r>
      <w:r w:rsidR="005A1CAE" w:rsidRPr="005A1CAE">
        <w:rPr>
          <w:noProof/>
        </w:rPr>
        <w:t xml:space="preserve"> w</w:t>
      </w:r>
      <w:r w:rsidR="005A1CAE">
        <w:rPr>
          <w:noProof/>
        </w:rPr>
        <w:t> </w:t>
      </w:r>
      <w:r w:rsidR="005A1CAE" w:rsidRPr="005A1CAE">
        <w:rPr>
          <w:noProof/>
        </w:rPr>
        <w:t>pow</w:t>
      </w:r>
      <w:r w:rsidRPr="005A1CAE">
        <w:rPr>
          <w:noProof/>
        </w:rPr>
        <w:t>yższej tabeli mają charakter ściśle orientacyjny</w:t>
      </w:r>
      <w:r w:rsidR="005A1CAE" w:rsidRPr="005A1CAE">
        <w:rPr>
          <w:noProof/>
        </w:rPr>
        <w:t xml:space="preserve"> w</w:t>
      </w:r>
      <w:r w:rsidR="005A1CAE">
        <w:rPr>
          <w:noProof/>
        </w:rPr>
        <w:t> </w:t>
      </w:r>
      <w:r w:rsidR="005A1CAE" w:rsidRPr="005A1CAE">
        <w:rPr>
          <w:noProof/>
        </w:rPr>
        <w:t>ocz</w:t>
      </w:r>
      <w:r w:rsidRPr="005A1CAE">
        <w:rPr>
          <w:noProof/>
        </w:rPr>
        <w:t>ekiwaniu na wynik negocjacji, którego nie można</w:t>
      </w:r>
      <w:r w:rsidR="005A1CAE" w:rsidRPr="005A1CAE">
        <w:rPr>
          <w:noProof/>
        </w:rPr>
        <w:t xml:space="preserve"> z</w:t>
      </w:r>
      <w:r w:rsidR="005A1CAE">
        <w:rPr>
          <w:noProof/>
        </w:rPr>
        <w:t> </w:t>
      </w:r>
      <w:r w:rsidR="005A1CAE" w:rsidRPr="005A1CAE">
        <w:rPr>
          <w:noProof/>
        </w:rPr>
        <w:t>gór</w:t>
      </w:r>
      <w:r w:rsidRPr="005A1CAE">
        <w:rPr>
          <w:noProof/>
        </w:rPr>
        <w:t>y przewidzieć.</w:t>
      </w:r>
    </w:p>
    <w:p w14:paraId="5359CE16" w14:textId="77777777" w:rsidR="00A91EC0" w:rsidRPr="005A1CAE" w:rsidRDefault="00A91EC0" w:rsidP="002A4C51">
      <w:pPr>
        <w:rPr>
          <w:noProof/>
        </w:rPr>
      </w:pPr>
    </w:p>
    <w:tbl>
      <w:tblPr>
        <w:tblW w:w="18300" w:type="dxa"/>
        <w:tblInd w:w="118" w:type="dxa"/>
        <w:tblLayout w:type="fixed"/>
        <w:tblLook w:val="04A0" w:firstRow="1" w:lastRow="0" w:firstColumn="1" w:lastColumn="0" w:noHBand="0" w:noVBand="1"/>
      </w:tblPr>
      <w:tblGrid>
        <w:gridCol w:w="1752"/>
        <w:gridCol w:w="1073"/>
        <w:gridCol w:w="1012"/>
        <w:gridCol w:w="877"/>
        <w:gridCol w:w="876"/>
        <w:gridCol w:w="876"/>
        <w:gridCol w:w="936"/>
        <w:gridCol w:w="936"/>
        <w:gridCol w:w="936"/>
        <w:gridCol w:w="936"/>
        <w:gridCol w:w="936"/>
        <w:gridCol w:w="26"/>
        <w:gridCol w:w="910"/>
        <w:gridCol w:w="936"/>
        <w:gridCol w:w="1006"/>
        <w:gridCol w:w="4276"/>
      </w:tblGrid>
      <w:tr w:rsidR="002A4C51" w:rsidRPr="005A1CAE" w14:paraId="42FAF3A1" w14:textId="77777777" w:rsidTr="00A91EC0">
        <w:trPr>
          <w:gridAfter w:val="1"/>
          <w:wAfter w:w="4276" w:type="dxa"/>
          <w:trHeight w:val="517"/>
        </w:trPr>
        <w:tc>
          <w:tcPr>
            <w:tcW w:w="1752"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374408CB" w14:textId="77777777" w:rsidR="002A4C51" w:rsidRPr="005A1CAE" w:rsidRDefault="002A4C51">
            <w:pPr>
              <w:spacing w:before="0" w:after="0"/>
              <w:jc w:val="center"/>
              <w:rPr>
                <w:b/>
                <w:i/>
                <w:noProof/>
              </w:rPr>
            </w:pPr>
          </w:p>
        </w:tc>
        <w:tc>
          <w:tcPr>
            <w:tcW w:w="1073"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481235AD" w14:textId="77777777" w:rsidR="002A4C51" w:rsidRPr="005A1CAE" w:rsidRDefault="002A4C51">
            <w:pPr>
              <w:spacing w:before="0" w:after="0"/>
              <w:jc w:val="center"/>
              <w:rPr>
                <w:b/>
                <w:i/>
                <w:noProof/>
              </w:rPr>
            </w:pPr>
          </w:p>
        </w:tc>
        <w:tc>
          <w:tcPr>
            <w:tcW w:w="1012"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7DA21732" w14:textId="77777777" w:rsidR="002A4C51" w:rsidRPr="005A1CAE" w:rsidRDefault="002A4C51">
            <w:pPr>
              <w:spacing w:before="0" w:after="0"/>
              <w:jc w:val="center"/>
              <w:rPr>
                <w:b/>
                <w:i/>
                <w:noProof/>
                <w:sz w:val="20"/>
              </w:rPr>
            </w:pPr>
            <w:r w:rsidRPr="005A1CAE">
              <w:rPr>
                <w:b/>
                <w:i/>
                <w:noProof/>
                <w:sz w:val="20"/>
              </w:rPr>
              <w:t>Rok</w:t>
            </w:r>
            <w:r w:rsidRPr="005A1CAE">
              <w:rPr>
                <w:noProof/>
              </w:rPr>
              <w:t xml:space="preserve"> </w:t>
            </w:r>
            <w:r w:rsidRPr="005A1CAE">
              <w:rPr>
                <w:noProof/>
              </w:rPr>
              <w:br/>
            </w:r>
            <w:r w:rsidRPr="005A1CAE">
              <w:rPr>
                <w:b/>
                <w:i/>
                <w:noProof/>
                <w:sz w:val="20"/>
              </w:rPr>
              <w:t>2024</w:t>
            </w:r>
          </w:p>
        </w:tc>
        <w:tc>
          <w:tcPr>
            <w:tcW w:w="877"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4E60C1D7" w14:textId="77777777" w:rsidR="002A4C51" w:rsidRPr="005A1CAE" w:rsidRDefault="002A4C51">
            <w:pPr>
              <w:spacing w:before="0" w:after="0"/>
              <w:jc w:val="center"/>
              <w:rPr>
                <w:b/>
                <w:i/>
                <w:noProof/>
                <w:sz w:val="20"/>
              </w:rPr>
            </w:pPr>
            <w:r w:rsidRPr="005A1CAE">
              <w:rPr>
                <w:b/>
                <w:i/>
                <w:noProof/>
                <w:sz w:val="20"/>
              </w:rPr>
              <w:t>Rok</w:t>
            </w:r>
            <w:r w:rsidRPr="005A1CAE">
              <w:rPr>
                <w:noProof/>
              </w:rPr>
              <w:t xml:space="preserve"> </w:t>
            </w:r>
            <w:r w:rsidRPr="005A1CAE">
              <w:rPr>
                <w:noProof/>
              </w:rPr>
              <w:br/>
            </w:r>
            <w:r w:rsidRPr="005A1CAE">
              <w:rPr>
                <w:b/>
                <w:i/>
                <w:noProof/>
                <w:sz w:val="20"/>
              </w:rPr>
              <w:t>2025</w:t>
            </w:r>
          </w:p>
        </w:tc>
        <w:tc>
          <w:tcPr>
            <w:tcW w:w="876"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70F92580" w14:textId="77777777" w:rsidR="002A4C51" w:rsidRPr="005A1CAE" w:rsidRDefault="002A4C51">
            <w:pPr>
              <w:spacing w:before="0" w:after="0"/>
              <w:jc w:val="center"/>
              <w:rPr>
                <w:b/>
                <w:i/>
                <w:noProof/>
                <w:sz w:val="20"/>
              </w:rPr>
            </w:pPr>
            <w:r w:rsidRPr="005A1CAE">
              <w:rPr>
                <w:b/>
                <w:i/>
                <w:noProof/>
                <w:sz w:val="20"/>
              </w:rPr>
              <w:t>Rok</w:t>
            </w:r>
            <w:r w:rsidRPr="005A1CAE">
              <w:rPr>
                <w:noProof/>
              </w:rPr>
              <w:t xml:space="preserve"> </w:t>
            </w:r>
            <w:r w:rsidRPr="005A1CAE">
              <w:rPr>
                <w:noProof/>
              </w:rPr>
              <w:br/>
            </w:r>
            <w:r w:rsidRPr="005A1CAE">
              <w:rPr>
                <w:b/>
                <w:i/>
                <w:noProof/>
                <w:sz w:val="20"/>
              </w:rPr>
              <w:t>2026</w:t>
            </w:r>
          </w:p>
        </w:tc>
        <w:tc>
          <w:tcPr>
            <w:tcW w:w="876"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21209BE2" w14:textId="77777777" w:rsidR="002A4C51" w:rsidRPr="005A1CAE" w:rsidRDefault="002A4C51">
            <w:pPr>
              <w:spacing w:before="0" w:after="0"/>
              <w:jc w:val="center"/>
              <w:rPr>
                <w:b/>
                <w:i/>
                <w:noProof/>
                <w:sz w:val="20"/>
              </w:rPr>
            </w:pPr>
            <w:r w:rsidRPr="005A1CAE">
              <w:rPr>
                <w:b/>
                <w:i/>
                <w:noProof/>
                <w:sz w:val="20"/>
              </w:rPr>
              <w:t>Rok</w:t>
            </w:r>
            <w:r w:rsidRPr="005A1CAE">
              <w:rPr>
                <w:noProof/>
              </w:rPr>
              <w:t xml:space="preserve"> </w:t>
            </w:r>
            <w:r w:rsidRPr="005A1CAE">
              <w:rPr>
                <w:noProof/>
              </w:rPr>
              <w:br/>
            </w:r>
            <w:r w:rsidRPr="005A1CAE">
              <w:rPr>
                <w:b/>
                <w:i/>
                <w:noProof/>
                <w:sz w:val="20"/>
              </w:rPr>
              <w:t>2027</w:t>
            </w:r>
          </w:p>
        </w:tc>
        <w:tc>
          <w:tcPr>
            <w:tcW w:w="936"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7B08F4A8" w14:textId="77777777" w:rsidR="002A4C51" w:rsidRPr="005A1CAE" w:rsidRDefault="002A4C51">
            <w:pPr>
              <w:spacing w:before="0" w:after="0"/>
              <w:jc w:val="center"/>
              <w:rPr>
                <w:b/>
                <w:i/>
                <w:noProof/>
                <w:sz w:val="20"/>
              </w:rPr>
            </w:pPr>
            <w:r w:rsidRPr="005A1CAE">
              <w:rPr>
                <w:b/>
                <w:i/>
                <w:noProof/>
                <w:sz w:val="20"/>
              </w:rPr>
              <w:t>Rok 2028</w:t>
            </w:r>
          </w:p>
        </w:tc>
        <w:tc>
          <w:tcPr>
            <w:tcW w:w="936"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219EBCC8" w14:textId="77777777" w:rsidR="002A4C51" w:rsidRPr="005A1CAE" w:rsidRDefault="002A4C51">
            <w:pPr>
              <w:spacing w:before="0" w:after="0"/>
              <w:jc w:val="center"/>
              <w:rPr>
                <w:b/>
                <w:i/>
                <w:noProof/>
                <w:sz w:val="20"/>
              </w:rPr>
            </w:pPr>
            <w:r w:rsidRPr="005A1CAE">
              <w:rPr>
                <w:b/>
                <w:i/>
                <w:noProof/>
                <w:sz w:val="20"/>
              </w:rPr>
              <w:t>Rok 2029</w:t>
            </w:r>
          </w:p>
        </w:tc>
        <w:tc>
          <w:tcPr>
            <w:tcW w:w="936"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61BCFFEC" w14:textId="77777777" w:rsidR="002A4C51" w:rsidRPr="005A1CAE" w:rsidRDefault="002A4C51">
            <w:pPr>
              <w:spacing w:before="0" w:after="0"/>
              <w:jc w:val="center"/>
              <w:rPr>
                <w:b/>
                <w:i/>
                <w:noProof/>
                <w:sz w:val="20"/>
              </w:rPr>
            </w:pPr>
            <w:r w:rsidRPr="005A1CAE">
              <w:rPr>
                <w:b/>
                <w:i/>
                <w:noProof/>
                <w:sz w:val="20"/>
              </w:rPr>
              <w:t>Rok 2030</w:t>
            </w:r>
          </w:p>
        </w:tc>
        <w:tc>
          <w:tcPr>
            <w:tcW w:w="936"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2AB2F493" w14:textId="77777777" w:rsidR="002A4C51" w:rsidRPr="005A1CAE" w:rsidRDefault="002A4C51">
            <w:pPr>
              <w:spacing w:before="0" w:after="0"/>
              <w:jc w:val="center"/>
              <w:rPr>
                <w:b/>
                <w:i/>
                <w:noProof/>
                <w:sz w:val="20"/>
              </w:rPr>
            </w:pPr>
            <w:r w:rsidRPr="005A1CAE">
              <w:rPr>
                <w:b/>
                <w:i/>
                <w:noProof/>
                <w:sz w:val="20"/>
              </w:rPr>
              <w:t>Rok 2031</w:t>
            </w:r>
          </w:p>
        </w:tc>
        <w:tc>
          <w:tcPr>
            <w:tcW w:w="962" w:type="dxa"/>
            <w:gridSpan w:val="2"/>
            <w:vMerge w:val="restart"/>
            <w:tcBorders>
              <w:top w:val="single" w:sz="8" w:space="0" w:color="auto"/>
              <w:left w:val="single" w:sz="8" w:space="0" w:color="auto"/>
              <w:bottom w:val="single" w:sz="8" w:space="0" w:color="000000" w:themeColor="text1"/>
              <w:right w:val="single" w:sz="8" w:space="0" w:color="auto"/>
            </w:tcBorders>
            <w:vAlign w:val="center"/>
            <w:hideMark/>
          </w:tcPr>
          <w:p w14:paraId="2E5D7E33" w14:textId="77777777" w:rsidR="002A4C51" w:rsidRPr="005A1CAE" w:rsidRDefault="002A4C51">
            <w:pPr>
              <w:spacing w:before="0" w:after="0"/>
              <w:jc w:val="center"/>
              <w:rPr>
                <w:b/>
                <w:i/>
                <w:noProof/>
                <w:sz w:val="20"/>
              </w:rPr>
            </w:pPr>
            <w:r w:rsidRPr="005A1CAE">
              <w:rPr>
                <w:b/>
                <w:i/>
                <w:noProof/>
                <w:sz w:val="20"/>
              </w:rPr>
              <w:t>Rok 2032</w:t>
            </w:r>
          </w:p>
        </w:tc>
        <w:tc>
          <w:tcPr>
            <w:tcW w:w="910"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53BF395A" w14:textId="77777777" w:rsidR="002A4C51" w:rsidRPr="005A1CAE" w:rsidRDefault="002A4C51">
            <w:pPr>
              <w:spacing w:before="0" w:after="0"/>
              <w:jc w:val="center"/>
              <w:rPr>
                <w:b/>
                <w:i/>
                <w:noProof/>
                <w:sz w:val="20"/>
              </w:rPr>
            </w:pPr>
            <w:r w:rsidRPr="005A1CAE">
              <w:rPr>
                <w:b/>
                <w:i/>
                <w:noProof/>
                <w:sz w:val="20"/>
              </w:rPr>
              <w:t>Rok 2033</w:t>
            </w:r>
          </w:p>
        </w:tc>
        <w:tc>
          <w:tcPr>
            <w:tcW w:w="936"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6A080ED4" w14:textId="77777777" w:rsidR="002A4C51" w:rsidRPr="005A1CAE" w:rsidRDefault="002A4C51">
            <w:pPr>
              <w:spacing w:before="0" w:after="0"/>
              <w:jc w:val="center"/>
              <w:rPr>
                <w:b/>
                <w:i/>
                <w:noProof/>
                <w:sz w:val="20"/>
              </w:rPr>
            </w:pPr>
            <w:r w:rsidRPr="005A1CAE">
              <w:rPr>
                <w:b/>
                <w:i/>
                <w:noProof/>
                <w:sz w:val="20"/>
              </w:rPr>
              <w:t>Rok 2034</w:t>
            </w:r>
          </w:p>
        </w:tc>
        <w:tc>
          <w:tcPr>
            <w:tcW w:w="1006"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522DD2C0" w14:textId="77777777" w:rsidR="002A4C51" w:rsidRPr="005A1CAE" w:rsidRDefault="002A4C51">
            <w:pPr>
              <w:spacing w:before="0" w:after="0"/>
              <w:jc w:val="center"/>
              <w:rPr>
                <w:b/>
                <w:i/>
                <w:noProof/>
                <w:sz w:val="20"/>
              </w:rPr>
            </w:pPr>
            <w:r w:rsidRPr="005A1CAE">
              <w:rPr>
                <w:b/>
                <w:i/>
                <w:noProof/>
                <w:sz w:val="20"/>
              </w:rPr>
              <w:t xml:space="preserve">OGÓŁEM OCENA SKUTKÓW FINANSOWYCH </w:t>
            </w:r>
            <w:r w:rsidRPr="005A1CAE">
              <w:rPr>
                <w:b/>
                <w:i/>
                <w:noProof/>
                <w:sz w:val="20"/>
              </w:rPr>
              <w:lastRenderedPageBreak/>
              <w:t>I CYFROWYCH REGULACJI</w:t>
            </w:r>
          </w:p>
        </w:tc>
      </w:tr>
      <w:tr w:rsidR="002A4C51" w:rsidRPr="005A1CAE" w14:paraId="6BED8BC8" w14:textId="77777777" w:rsidTr="00A91EC0">
        <w:trPr>
          <w:trHeight w:val="315"/>
        </w:trPr>
        <w:tc>
          <w:tcPr>
            <w:tcW w:w="1752" w:type="dxa"/>
            <w:vMerge/>
            <w:vAlign w:val="center"/>
            <w:hideMark/>
          </w:tcPr>
          <w:p w14:paraId="30614633" w14:textId="77777777" w:rsidR="002A4C51" w:rsidRPr="005A1CAE" w:rsidRDefault="002A4C51">
            <w:pPr>
              <w:spacing w:before="0" w:after="0"/>
              <w:jc w:val="left"/>
              <w:rPr>
                <w:rFonts w:eastAsia="Times New Roman"/>
                <w:b/>
                <w:bCs/>
                <w:noProof/>
                <w:szCs w:val="24"/>
                <w:lang w:eastAsia="en-IE"/>
              </w:rPr>
            </w:pPr>
          </w:p>
        </w:tc>
        <w:tc>
          <w:tcPr>
            <w:tcW w:w="1073" w:type="dxa"/>
            <w:vMerge/>
            <w:vAlign w:val="center"/>
            <w:hideMark/>
          </w:tcPr>
          <w:p w14:paraId="1ECEDCC9" w14:textId="77777777" w:rsidR="002A4C51" w:rsidRPr="005A1CAE" w:rsidRDefault="002A4C51">
            <w:pPr>
              <w:spacing w:before="0" w:after="0"/>
              <w:jc w:val="left"/>
              <w:rPr>
                <w:rFonts w:eastAsia="Times New Roman"/>
                <w:b/>
                <w:bCs/>
                <w:noProof/>
                <w:szCs w:val="24"/>
                <w:lang w:eastAsia="en-IE"/>
              </w:rPr>
            </w:pPr>
          </w:p>
        </w:tc>
        <w:tc>
          <w:tcPr>
            <w:tcW w:w="1012" w:type="dxa"/>
            <w:vMerge/>
            <w:vAlign w:val="center"/>
            <w:hideMark/>
          </w:tcPr>
          <w:p w14:paraId="00F8BEB9" w14:textId="77777777" w:rsidR="002A4C51" w:rsidRPr="005A1CAE" w:rsidRDefault="002A4C51">
            <w:pPr>
              <w:spacing w:before="0" w:after="0"/>
              <w:jc w:val="left"/>
              <w:rPr>
                <w:rFonts w:eastAsia="Times New Roman"/>
                <w:b/>
                <w:bCs/>
                <w:noProof/>
                <w:sz w:val="20"/>
                <w:szCs w:val="20"/>
                <w:lang w:eastAsia="en-IE"/>
              </w:rPr>
            </w:pPr>
          </w:p>
        </w:tc>
        <w:tc>
          <w:tcPr>
            <w:tcW w:w="877" w:type="dxa"/>
            <w:vMerge/>
            <w:vAlign w:val="center"/>
            <w:hideMark/>
          </w:tcPr>
          <w:p w14:paraId="61B97F6B" w14:textId="77777777" w:rsidR="002A4C51" w:rsidRPr="005A1CAE" w:rsidRDefault="002A4C51">
            <w:pPr>
              <w:spacing w:before="0" w:after="0"/>
              <w:jc w:val="left"/>
              <w:rPr>
                <w:rFonts w:eastAsia="Times New Roman"/>
                <w:b/>
                <w:bCs/>
                <w:noProof/>
                <w:sz w:val="20"/>
                <w:szCs w:val="20"/>
                <w:lang w:eastAsia="en-IE"/>
              </w:rPr>
            </w:pPr>
          </w:p>
        </w:tc>
        <w:tc>
          <w:tcPr>
            <w:tcW w:w="876" w:type="dxa"/>
            <w:vMerge/>
            <w:vAlign w:val="center"/>
            <w:hideMark/>
          </w:tcPr>
          <w:p w14:paraId="245A1F44" w14:textId="77777777" w:rsidR="002A4C51" w:rsidRPr="005A1CAE" w:rsidRDefault="002A4C51">
            <w:pPr>
              <w:spacing w:before="0" w:after="0"/>
              <w:jc w:val="left"/>
              <w:rPr>
                <w:rFonts w:eastAsia="Times New Roman"/>
                <w:b/>
                <w:bCs/>
                <w:noProof/>
                <w:sz w:val="20"/>
                <w:szCs w:val="20"/>
                <w:lang w:eastAsia="en-IE"/>
              </w:rPr>
            </w:pPr>
          </w:p>
        </w:tc>
        <w:tc>
          <w:tcPr>
            <w:tcW w:w="876" w:type="dxa"/>
            <w:vMerge/>
            <w:vAlign w:val="center"/>
            <w:hideMark/>
          </w:tcPr>
          <w:p w14:paraId="306E2827" w14:textId="77777777" w:rsidR="002A4C51" w:rsidRPr="005A1CAE" w:rsidRDefault="002A4C51">
            <w:pPr>
              <w:spacing w:before="0" w:after="0"/>
              <w:jc w:val="left"/>
              <w:rPr>
                <w:rFonts w:eastAsia="Times New Roman"/>
                <w:b/>
                <w:bCs/>
                <w:noProof/>
                <w:sz w:val="20"/>
                <w:szCs w:val="20"/>
                <w:lang w:eastAsia="en-IE"/>
              </w:rPr>
            </w:pPr>
          </w:p>
        </w:tc>
        <w:tc>
          <w:tcPr>
            <w:tcW w:w="936" w:type="dxa"/>
            <w:vMerge/>
            <w:vAlign w:val="center"/>
            <w:hideMark/>
          </w:tcPr>
          <w:p w14:paraId="0D073FB4" w14:textId="77777777" w:rsidR="002A4C51" w:rsidRPr="005A1CAE" w:rsidRDefault="002A4C51">
            <w:pPr>
              <w:spacing w:before="0" w:after="0"/>
              <w:jc w:val="left"/>
              <w:rPr>
                <w:rFonts w:eastAsia="Times New Roman"/>
                <w:b/>
                <w:bCs/>
                <w:noProof/>
                <w:sz w:val="20"/>
                <w:szCs w:val="20"/>
                <w:lang w:eastAsia="en-IE"/>
              </w:rPr>
            </w:pPr>
          </w:p>
        </w:tc>
        <w:tc>
          <w:tcPr>
            <w:tcW w:w="936" w:type="dxa"/>
            <w:vMerge/>
            <w:vAlign w:val="center"/>
            <w:hideMark/>
          </w:tcPr>
          <w:p w14:paraId="6A23A691" w14:textId="77777777" w:rsidR="002A4C51" w:rsidRPr="005A1CAE" w:rsidRDefault="002A4C51">
            <w:pPr>
              <w:spacing w:before="0" w:after="0"/>
              <w:jc w:val="left"/>
              <w:rPr>
                <w:rFonts w:eastAsia="Times New Roman"/>
                <w:b/>
                <w:bCs/>
                <w:noProof/>
                <w:sz w:val="20"/>
                <w:szCs w:val="20"/>
                <w:lang w:eastAsia="en-IE"/>
              </w:rPr>
            </w:pPr>
          </w:p>
        </w:tc>
        <w:tc>
          <w:tcPr>
            <w:tcW w:w="936" w:type="dxa"/>
            <w:vMerge/>
            <w:vAlign w:val="center"/>
            <w:hideMark/>
          </w:tcPr>
          <w:p w14:paraId="74BA0222" w14:textId="77777777" w:rsidR="002A4C51" w:rsidRPr="005A1CAE" w:rsidRDefault="002A4C51">
            <w:pPr>
              <w:spacing w:before="0" w:after="0"/>
              <w:jc w:val="left"/>
              <w:rPr>
                <w:rFonts w:eastAsia="Times New Roman"/>
                <w:b/>
                <w:bCs/>
                <w:noProof/>
                <w:sz w:val="20"/>
                <w:szCs w:val="20"/>
                <w:lang w:eastAsia="en-IE"/>
              </w:rPr>
            </w:pPr>
          </w:p>
        </w:tc>
        <w:tc>
          <w:tcPr>
            <w:tcW w:w="936" w:type="dxa"/>
            <w:vMerge/>
            <w:vAlign w:val="center"/>
            <w:hideMark/>
          </w:tcPr>
          <w:p w14:paraId="1EF0BD0D" w14:textId="77777777" w:rsidR="002A4C51" w:rsidRPr="005A1CAE" w:rsidRDefault="002A4C51">
            <w:pPr>
              <w:spacing w:before="0" w:after="0"/>
              <w:jc w:val="left"/>
              <w:rPr>
                <w:rFonts w:eastAsia="Times New Roman"/>
                <w:b/>
                <w:bCs/>
                <w:noProof/>
                <w:sz w:val="20"/>
                <w:szCs w:val="20"/>
                <w:lang w:eastAsia="en-IE"/>
              </w:rPr>
            </w:pPr>
          </w:p>
        </w:tc>
        <w:tc>
          <w:tcPr>
            <w:tcW w:w="962" w:type="dxa"/>
            <w:gridSpan w:val="2"/>
            <w:vMerge/>
            <w:vAlign w:val="center"/>
            <w:hideMark/>
          </w:tcPr>
          <w:p w14:paraId="14916861" w14:textId="77777777" w:rsidR="002A4C51" w:rsidRPr="005A1CAE" w:rsidRDefault="002A4C51">
            <w:pPr>
              <w:spacing w:before="0" w:after="0"/>
              <w:jc w:val="left"/>
              <w:rPr>
                <w:rFonts w:eastAsia="Times New Roman"/>
                <w:b/>
                <w:bCs/>
                <w:noProof/>
                <w:sz w:val="20"/>
                <w:szCs w:val="20"/>
                <w:lang w:eastAsia="en-IE"/>
              </w:rPr>
            </w:pPr>
          </w:p>
        </w:tc>
        <w:tc>
          <w:tcPr>
            <w:tcW w:w="910" w:type="dxa"/>
            <w:vMerge/>
            <w:vAlign w:val="center"/>
            <w:hideMark/>
          </w:tcPr>
          <w:p w14:paraId="295DFDBF" w14:textId="77777777" w:rsidR="002A4C51" w:rsidRPr="005A1CAE" w:rsidRDefault="002A4C51">
            <w:pPr>
              <w:spacing w:before="0" w:after="0"/>
              <w:jc w:val="left"/>
              <w:rPr>
                <w:rFonts w:eastAsia="Times New Roman"/>
                <w:b/>
                <w:bCs/>
                <w:noProof/>
                <w:sz w:val="20"/>
                <w:szCs w:val="20"/>
                <w:lang w:eastAsia="en-IE"/>
              </w:rPr>
            </w:pPr>
          </w:p>
        </w:tc>
        <w:tc>
          <w:tcPr>
            <w:tcW w:w="936" w:type="dxa"/>
            <w:vMerge/>
            <w:vAlign w:val="center"/>
            <w:hideMark/>
          </w:tcPr>
          <w:p w14:paraId="15DC5E2F" w14:textId="77777777" w:rsidR="002A4C51" w:rsidRPr="005A1CAE" w:rsidRDefault="002A4C51">
            <w:pPr>
              <w:spacing w:before="0" w:after="0"/>
              <w:jc w:val="left"/>
              <w:rPr>
                <w:rFonts w:eastAsia="Times New Roman"/>
                <w:b/>
                <w:bCs/>
                <w:noProof/>
                <w:sz w:val="20"/>
                <w:szCs w:val="20"/>
                <w:lang w:eastAsia="en-IE"/>
              </w:rPr>
            </w:pPr>
          </w:p>
        </w:tc>
        <w:tc>
          <w:tcPr>
            <w:tcW w:w="1006" w:type="dxa"/>
            <w:vMerge/>
            <w:vAlign w:val="center"/>
            <w:hideMark/>
          </w:tcPr>
          <w:p w14:paraId="4215E3BA" w14:textId="77777777" w:rsidR="002A4C51" w:rsidRPr="005A1CAE" w:rsidRDefault="002A4C51">
            <w:pPr>
              <w:spacing w:before="0" w:after="0"/>
              <w:jc w:val="left"/>
              <w:rPr>
                <w:rFonts w:eastAsia="Times New Roman"/>
                <w:b/>
                <w:bCs/>
                <w:noProof/>
                <w:sz w:val="20"/>
                <w:szCs w:val="20"/>
                <w:lang w:eastAsia="en-IE"/>
              </w:rPr>
            </w:pPr>
          </w:p>
        </w:tc>
        <w:tc>
          <w:tcPr>
            <w:tcW w:w="4276" w:type="dxa"/>
            <w:tcBorders>
              <w:top w:val="nil"/>
              <w:left w:val="nil"/>
              <w:bottom w:val="nil"/>
              <w:right w:val="nil"/>
            </w:tcBorders>
            <w:noWrap/>
            <w:vAlign w:val="bottom"/>
            <w:hideMark/>
          </w:tcPr>
          <w:p w14:paraId="5CCE2851" w14:textId="77777777" w:rsidR="002A4C51" w:rsidRPr="005A1CAE" w:rsidRDefault="002A4C51">
            <w:pPr>
              <w:spacing w:before="0" w:after="0"/>
              <w:jc w:val="center"/>
              <w:rPr>
                <w:b/>
                <w:i/>
                <w:noProof/>
                <w:sz w:val="20"/>
              </w:rPr>
            </w:pPr>
          </w:p>
        </w:tc>
      </w:tr>
      <w:tr w:rsidR="002A4C51" w:rsidRPr="005A1CAE" w14:paraId="27EC1771" w14:textId="77777777" w:rsidTr="00A91EC0">
        <w:trPr>
          <w:trHeight w:val="330"/>
        </w:trPr>
        <w:tc>
          <w:tcPr>
            <w:tcW w:w="14024" w:type="dxa"/>
            <w:gridSpan w:val="15"/>
            <w:tcBorders>
              <w:top w:val="single" w:sz="8" w:space="0" w:color="auto"/>
              <w:left w:val="single" w:sz="8" w:space="0" w:color="auto"/>
              <w:bottom w:val="single" w:sz="8" w:space="0" w:color="auto"/>
              <w:right w:val="single" w:sz="8" w:space="0" w:color="000000" w:themeColor="text1"/>
            </w:tcBorders>
            <w:vAlign w:val="center"/>
            <w:hideMark/>
          </w:tcPr>
          <w:p w14:paraId="13186820" w14:textId="77777777" w:rsidR="002A4C51" w:rsidRPr="005A1CAE" w:rsidRDefault="002A4C51">
            <w:pPr>
              <w:spacing w:before="0" w:after="0"/>
              <w:jc w:val="left"/>
              <w:rPr>
                <w:b/>
                <w:i/>
                <w:noProof/>
              </w:rPr>
            </w:pPr>
          </w:p>
        </w:tc>
        <w:tc>
          <w:tcPr>
            <w:tcW w:w="4276" w:type="dxa"/>
            <w:vAlign w:val="center"/>
            <w:hideMark/>
          </w:tcPr>
          <w:p w14:paraId="2A5F5FD4" w14:textId="77777777" w:rsidR="002A4C51" w:rsidRPr="005A1CAE" w:rsidRDefault="002A4C51">
            <w:pPr>
              <w:spacing w:before="0" w:after="0"/>
              <w:jc w:val="left"/>
              <w:rPr>
                <w:i/>
                <w:noProof/>
                <w:sz w:val="20"/>
              </w:rPr>
            </w:pPr>
          </w:p>
        </w:tc>
      </w:tr>
      <w:tr w:rsidR="002A4C51" w:rsidRPr="005A1CAE" w14:paraId="086666CF" w14:textId="77777777" w:rsidTr="00D5610F">
        <w:trPr>
          <w:trHeight w:val="330"/>
        </w:trPr>
        <w:tc>
          <w:tcPr>
            <w:tcW w:w="1752" w:type="dxa"/>
            <w:vMerge w:val="restart"/>
            <w:tcBorders>
              <w:top w:val="nil"/>
              <w:left w:val="single" w:sz="8" w:space="0" w:color="auto"/>
              <w:right w:val="single" w:sz="8" w:space="0" w:color="auto"/>
            </w:tcBorders>
            <w:shd w:val="clear" w:color="auto" w:fill="D9D9D9" w:themeFill="background1" w:themeFillShade="D9"/>
            <w:vAlign w:val="center"/>
            <w:hideMark/>
          </w:tcPr>
          <w:p w14:paraId="274C1235" w14:textId="5538B6DD" w:rsidR="002A4C51" w:rsidRPr="005A1CAE" w:rsidRDefault="002A4C51">
            <w:pPr>
              <w:spacing w:before="0" w:after="0"/>
              <w:jc w:val="left"/>
              <w:rPr>
                <w:i/>
                <w:noProof/>
                <w:sz w:val="22"/>
              </w:rPr>
            </w:pPr>
            <w:r w:rsidRPr="005A1CAE">
              <w:rPr>
                <w:i/>
                <w:noProof/>
                <w:sz w:val="22"/>
              </w:rPr>
              <w:t>OGÓŁEM środki na DZIAŁY od</w:t>
            </w:r>
            <w:r w:rsidR="005A1CAE" w:rsidRPr="005A1CAE">
              <w:rPr>
                <w:i/>
                <w:noProof/>
                <w:sz w:val="22"/>
              </w:rPr>
              <w:t> </w:t>
            </w:r>
            <w:r w:rsidRPr="005A1CAE">
              <w:rPr>
                <w:i/>
                <w:noProof/>
                <w:sz w:val="22"/>
              </w:rPr>
              <w:t>1 do</w:t>
            </w:r>
            <w:r w:rsidR="005A1CAE" w:rsidRPr="005A1CAE">
              <w:rPr>
                <w:i/>
                <w:noProof/>
                <w:sz w:val="22"/>
              </w:rPr>
              <w:t> </w:t>
            </w:r>
            <w:r w:rsidRPr="005A1CAE">
              <w:rPr>
                <w:i/>
                <w:noProof/>
                <w:sz w:val="22"/>
              </w:rPr>
              <w:t>7 wieloletnich ram finansowych</w:t>
            </w:r>
          </w:p>
        </w:tc>
        <w:tc>
          <w:tcPr>
            <w:tcW w:w="1073" w:type="dxa"/>
            <w:tcBorders>
              <w:top w:val="nil"/>
              <w:left w:val="nil"/>
              <w:bottom w:val="single" w:sz="8" w:space="0" w:color="auto"/>
              <w:right w:val="single" w:sz="8" w:space="0" w:color="auto"/>
            </w:tcBorders>
            <w:vAlign w:val="center"/>
            <w:hideMark/>
          </w:tcPr>
          <w:p w14:paraId="2C635206" w14:textId="77777777" w:rsidR="002A4C51" w:rsidRPr="005A1CAE" w:rsidRDefault="002A4C51">
            <w:pPr>
              <w:spacing w:before="0" w:after="0"/>
              <w:jc w:val="left"/>
              <w:rPr>
                <w:i/>
                <w:noProof/>
                <w:sz w:val="18"/>
              </w:rPr>
            </w:pPr>
            <w:r w:rsidRPr="005A1CAE">
              <w:rPr>
                <w:i/>
                <w:noProof/>
                <w:sz w:val="18"/>
              </w:rPr>
              <w:t>Środki na zobowiązania</w:t>
            </w:r>
          </w:p>
        </w:tc>
        <w:tc>
          <w:tcPr>
            <w:tcW w:w="1012" w:type="dxa"/>
            <w:tcBorders>
              <w:top w:val="nil"/>
              <w:left w:val="nil"/>
              <w:bottom w:val="single" w:sz="8" w:space="0" w:color="auto"/>
              <w:right w:val="single" w:sz="8" w:space="0" w:color="auto"/>
            </w:tcBorders>
            <w:shd w:val="clear" w:color="auto" w:fill="D9D9D9" w:themeFill="background1" w:themeFillShade="D9"/>
            <w:vAlign w:val="center"/>
            <w:hideMark/>
          </w:tcPr>
          <w:p w14:paraId="794E70B1" w14:textId="77777777" w:rsidR="002A4C51" w:rsidRPr="005A1CAE" w:rsidRDefault="002A4C51">
            <w:pPr>
              <w:spacing w:before="0" w:after="0"/>
              <w:jc w:val="right"/>
              <w:rPr>
                <w:i/>
                <w:noProof/>
                <w:sz w:val="22"/>
              </w:rPr>
            </w:pPr>
            <w:r w:rsidRPr="005A1CAE">
              <w:rPr>
                <w:i/>
                <w:noProof/>
                <w:sz w:val="22"/>
              </w:rPr>
              <w:t>37,262</w:t>
            </w:r>
          </w:p>
        </w:tc>
        <w:tc>
          <w:tcPr>
            <w:tcW w:w="877" w:type="dxa"/>
            <w:tcBorders>
              <w:top w:val="nil"/>
              <w:left w:val="nil"/>
              <w:bottom w:val="single" w:sz="8" w:space="0" w:color="auto"/>
              <w:right w:val="single" w:sz="8" w:space="0" w:color="auto"/>
            </w:tcBorders>
            <w:shd w:val="clear" w:color="auto" w:fill="D9D9D9" w:themeFill="background1" w:themeFillShade="D9"/>
            <w:vAlign w:val="center"/>
            <w:hideMark/>
          </w:tcPr>
          <w:p w14:paraId="51461F33" w14:textId="77777777" w:rsidR="002A4C51" w:rsidRPr="005A1CAE" w:rsidRDefault="002A4C51">
            <w:pPr>
              <w:spacing w:before="0" w:after="0"/>
              <w:jc w:val="right"/>
              <w:rPr>
                <w:i/>
                <w:noProof/>
                <w:sz w:val="22"/>
              </w:rPr>
            </w:pPr>
            <w:r w:rsidRPr="005A1CAE">
              <w:rPr>
                <w:i/>
                <w:noProof/>
                <w:sz w:val="22"/>
              </w:rPr>
              <w:t>41,321</w:t>
            </w:r>
          </w:p>
        </w:tc>
        <w:tc>
          <w:tcPr>
            <w:tcW w:w="876" w:type="dxa"/>
            <w:tcBorders>
              <w:top w:val="nil"/>
              <w:left w:val="nil"/>
              <w:bottom w:val="single" w:sz="8" w:space="0" w:color="auto"/>
              <w:right w:val="single" w:sz="8" w:space="0" w:color="auto"/>
            </w:tcBorders>
            <w:shd w:val="clear" w:color="auto" w:fill="D9D9D9" w:themeFill="background1" w:themeFillShade="D9"/>
            <w:hideMark/>
          </w:tcPr>
          <w:p w14:paraId="0A27CCC2" w14:textId="77777777" w:rsidR="002A4C51" w:rsidRPr="005A1CAE" w:rsidRDefault="00497D0D">
            <w:pPr>
              <w:spacing w:before="0" w:after="0"/>
              <w:jc w:val="right"/>
              <w:rPr>
                <w:i/>
                <w:noProof/>
                <w:sz w:val="22"/>
              </w:rPr>
            </w:pPr>
            <w:r w:rsidRPr="005A1CAE">
              <w:rPr>
                <w:i/>
                <w:noProof/>
                <w:sz w:val="22"/>
              </w:rPr>
              <w:t>42,746</w:t>
            </w:r>
          </w:p>
        </w:tc>
        <w:tc>
          <w:tcPr>
            <w:tcW w:w="876" w:type="dxa"/>
            <w:tcBorders>
              <w:top w:val="nil"/>
              <w:left w:val="nil"/>
              <w:bottom w:val="single" w:sz="8" w:space="0" w:color="auto"/>
              <w:right w:val="single" w:sz="8" w:space="0" w:color="auto"/>
            </w:tcBorders>
            <w:shd w:val="clear" w:color="auto" w:fill="D9D9D9" w:themeFill="background1" w:themeFillShade="D9"/>
            <w:hideMark/>
          </w:tcPr>
          <w:p w14:paraId="33E6F12A" w14:textId="77777777" w:rsidR="002A4C51" w:rsidRPr="005A1CAE" w:rsidRDefault="00497D0D">
            <w:pPr>
              <w:spacing w:before="0" w:after="0"/>
              <w:jc w:val="right"/>
              <w:rPr>
                <w:i/>
                <w:noProof/>
                <w:sz w:val="22"/>
              </w:rPr>
            </w:pPr>
            <w:r w:rsidRPr="005A1CAE">
              <w:rPr>
                <w:i/>
                <w:noProof/>
                <w:sz w:val="22"/>
              </w:rPr>
              <w:t>47,162</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3DBEA50F" w14:textId="77777777" w:rsidR="002A4C51" w:rsidRPr="005A1CAE" w:rsidRDefault="002A4C51">
            <w:pPr>
              <w:spacing w:before="0" w:after="0"/>
              <w:jc w:val="right"/>
              <w:rPr>
                <w:i/>
                <w:noProof/>
                <w:sz w:val="22"/>
              </w:rPr>
            </w:pPr>
            <w:r w:rsidRPr="005A1CAE">
              <w:rPr>
                <w:i/>
                <w:noProof/>
                <w:sz w:val="22"/>
              </w:rPr>
              <w:t>42,703</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55CF1141" w14:textId="77777777" w:rsidR="002A4C51" w:rsidRPr="005A1CAE" w:rsidRDefault="002A4C51">
            <w:pPr>
              <w:spacing w:before="0" w:after="0"/>
              <w:jc w:val="right"/>
              <w:rPr>
                <w:i/>
                <w:noProof/>
                <w:sz w:val="22"/>
              </w:rPr>
            </w:pPr>
            <w:r w:rsidRPr="005A1CAE">
              <w:rPr>
                <w:i/>
                <w:noProof/>
                <w:sz w:val="22"/>
              </w:rPr>
              <w:t>38,435</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03D5DE88" w14:textId="77777777" w:rsidR="002A4C51" w:rsidRPr="005A1CAE" w:rsidRDefault="002A4C51">
            <w:pPr>
              <w:spacing w:before="0" w:after="0"/>
              <w:jc w:val="right"/>
              <w:rPr>
                <w:i/>
                <w:noProof/>
                <w:sz w:val="22"/>
              </w:rPr>
            </w:pPr>
            <w:r w:rsidRPr="005A1CAE">
              <w:rPr>
                <w:i/>
                <w:noProof/>
                <w:sz w:val="22"/>
              </w:rPr>
              <w:t>39,190</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3EC6BACF" w14:textId="77777777" w:rsidR="002A4C51" w:rsidRPr="005A1CAE" w:rsidRDefault="002A4C51">
            <w:pPr>
              <w:spacing w:before="0" w:after="0"/>
              <w:jc w:val="right"/>
              <w:rPr>
                <w:i/>
                <w:noProof/>
                <w:sz w:val="22"/>
              </w:rPr>
            </w:pPr>
            <w:r w:rsidRPr="005A1CAE">
              <w:rPr>
                <w:i/>
                <w:noProof/>
                <w:sz w:val="22"/>
              </w:rPr>
              <w:t>39,967</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68F961E7" w14:textId="77777777" w:rsidR="002A4C51" w:rsidRPr="005A1CAE" w:rsidRDefault="002A4C51">
            <w:pPr>
              <w:spacing w:before="0" w:after="0"/>
              <w:jc w:val="right"/>
              <w:rPr>
                <w:i/>
                <w:noProof/>
                <w:sz w:val="22"/>
              </w:rPr>
            </w:pPr>
            <w:r w:rsidRPr="005A1CAE">
              <w:rPr>
                <w:i/>
                <w:noProof/>
                <w:sz w:val="22"/>
              </w:rPr>
              <w:t>40,767</w:t>
            </w:r>
          </w:p>
        </w:tc>
        <w:tc>
          <w:tcPr>
            <w:tcW w:w="936"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422DB86E" w14:textId="77777777" w:rsidR="002A4C51" w:rsidRPr="005A1CAE" w:rsidRDefault="002A4C51">
            <w:pPr>
              <w:spacing w:before="0" w:after="0"/>
              <w:jc w:val="right"/>
              <w:rPr>
                <w:i/>
                <w:noProof/>
                <w:sz w:val="22"/>
              </w:rPr>
            </w:pPr>
            <w:r w:rsidRPr="005A1CAE">
              <w:rPr>
                <w:i/>
                <w:noProof/>
                <w:sz w:val="22"/>
              </w:rPr>
              <w:t>41,591</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6F0921CF" w14:textId="77777777" w:rsidR="002A4C51" w:rsidRPr="005A1CAE" w:rsidRDefault="002A4C51">
            <w:pPr>
              <w:spacing w:before="0" w:after="0"/>
              <w:rPr>
                <w:i/>
                <w:noProof/>
                <w:sz w:val="22"/>
              </w:rPr>
            </w:pPr>
            <w:r w:rsidRPr="005A1CAE">
              <w:rPr>
                <w:i/>
                <w:noProof/>
                <w:sz w:val="22"/>
              </w:rPr>
              <w:t> 42,440</w:t>
            </w:r>
          </w:p>
        </w:tc>
        <w:tc>
          <w:tcPr>
            <w:tcW w:w="1006" w:type="dxa"/>
            <w:tcBorders>
              <w:top w:val="nil"/>
              <w:left w:val="nil"/>
              <w:bottom w:val="single" w:sz="8" w:space="0" w:color="auto"/>
              <w:right w:val="single" w:sz="8" w:space="0" w:color="auto"/>
            </w:tcBorders>
            <w:shd w:val="clear" w:color="auto" w:fill="D9D9D9" w:themeFill="background1" w:themeFillShade="D9"/>
            <w:vAlign w:val="center"/>
            <w:hideMark/>
          </w:tcPr>
          <w:p w14:paraId="4C62F7D6" w14:textId="77777777" w:rsidR="002A4C51" w:rsidRPr="005A1CAE" w:rsidRDefault="0099796D">
            <w:pPr>
              <w:spacing w:before="0" w:after="0"/>
              <w:jc w:val="right"/>
              <w:rPr>
                <w:b/>
                <w:bCs/>
                <w:i/>
                <w:noProof/>
                <w:sz w:val="22"/>
              </w:rPr>
            </w:pPr>
            <w:r w:rsidRPr="005A1CAE">
              <w:rPr>
                <w:b/>
                <w:i/>
                <w:noProof/>
                <w:sz w:val="22"/>
              </w:rPr>
              <w:t>453,584</w:t>
            </w:r>
          </w:p>
          <w:p w14:paraId="0BCAAD7A" w14:textId="77777777" w:rsidR="002A4C51" w:rsidRPr="005A1CAE" w:rsidRDefault="002A4C51">
            <w:pPr>
              <w:spacing w:before="0" w:after="0"/>
              <w:jc w:val="right"/>
              <w:rPr>
                <w:b/>
                <w:bCs/>
                <w:i/>
                <w:noProof/>
                <w:sz w:val="22"/>
              </w:rPr>
            </w:pPr>
          </w:p>
        </w:tc>
        <w:tc>
          <w:tcPr>
            <w:tcW w:w="4276" w:type="dxa"/>
            <w:vAlign w:val="center"/>
            <w:hideMark/>
          </w:tcPr>
          <w:p w14:paraId="796DE7E6" w14:textId="77777777" w:rsidR="002A4C51" w:rsidRPr="005A1CAE" w:rsidRDefault="002A4C51">
            <w:pPr>
              <w:spacing w:before="0" w:after="0"/>
              <w:jc w:val="left"/>
              <w:rPr>
                <w:i/>
                <w:noProof/>
                <w:sz w:val="20"/>
              </w:rPr>
            </w:pPr>
          </w:p>
        </w:tc>
      </w:tr>
      <w:tr w:rsidR="002A4C51" w:rsidRPr="005A1CAE" w14:paraId="31C82681" w14:textId="77777777" w:rsidTr="00D5610F">
        <w:trPr>
          <w:trHeight w:val="330"/>
        </w:trPr>
        <w:tc>
          <w:tcPr>
            <w:tcW w:w="1752" w:type="dxa"/>
            <w:vMerge/>
            <w:tcBorders>
              <w:left w:val="single" w:sz="8" w:space="0" w:color="auto"/>
              <w:bottom w:val="single" w:sz="8" w:space="0" w:color="auto"/>
              <w:right w:val="single" w:sz="8" w:space="0" w:color="auto"/>
            </w:tcBorders>
            <w:shd w:val="clear" w:color="auto" w:fill="D9D9D9" w:themeFill="background1" w:themeFillShade="D9"/>
            <w:vAlign w:val="center"/>
            <w:hideMark/>
          </w:tcPr>
          <w:p w14:paraId="5B82B73D" w14:textId="77777777" w:rsidR="002A4C51" w:rsidRPr="005A1CAE" w:rsidRDefault="002A4C51">
            <w:pPr>
              <w:spacing w:before="0" w:after="0"/>
              <w:jc w:val="left"/>
              <w:rPr>
                <w:i/>
                <w:noProof/>
                <w:sz w:val="22"/>
              </w:rPr>
            </w:pPr>
          </w:p>
        </w:tc>
        <w:tc>
          <w:tcPr>
            <w:tcW w:w="1073" w:type="dxa"/>
            <w:tcBorders>
              <w:top w:val="nil"/>
              <w:left w:val="nil"/>
              <w:bottom w:val="single" w:sz="8" w:space="0" w:color="auto"/>
              <w:right w:val="single" w:sz="8" w:space="0" w:color="auto"/>
            </w:tcBorders>
            <w:vAlign w:val="center"/>
            <w:hideMark/>
          </w:tcPr>
          <w:p w14:paraId="40BC8729" w14:textId="77777777" w:rsidR="002A4C51" w:rsidRPr="005A1CAE" w:rsidRDefault="002A4C51">
            <w:pPr>
              <w:spacing w:before="0" w:after="0"/>
              <w:jc w:val="left"/>
              <w:rPr>
                <w:i/>
                <w:noProof/>
                <w:sz w:val="18"/>
              </w:rPr>
            </w:pPr>
            <w:r w:rsidRPr="005A1CAE">
              <w:rPr>
                <w:i/>
                <w:noProof/>
                <w:sz w:val="18"/>
              </w:rPr>
              <w:t>Środki na płatności</w:t>
            </w:r>
          </w:p>
        </w:tc>
        <w:tc>
          <w:tcPr>
            <w:tcW w:w="1012" w:type="dxa"/>
            <w:tcBorders>
              <w:top w:val="nil"/>
              <w:left w:val="nil"/>
              <w:bottom w:val="single" w:sz="8" w:space="0" w:color="auto"/>
              <w:right w:val="single" w:sz="8" w:space="0" w:color="auto"/>
            </w:tcBorders>
            <w:shd w:val="clear" w:color="auto" w:fill="D9D9D9" w:themeFill="background1" w:themeFillShade="D9"/>
            <w:vAlign w:val="center"/>
            <w:hideMark/>
          </w:tcPr>
          <w:p w14:paraId="1B9A0E3B" w14:textId="77777777" w:rsidR="002A4C51" w:rsidRPr="005A1CAE" w:rsidRDefault="002A4C51">
            <w:pPr>
              <w:spacing w:before="0" w:after="0"/>
              <w:jc w:val="right"/>
              <w:rPr>
                <w:i/>
                <w:noProof/>
                <w:sz w:val="22"/>
              </w:rPr>
            </w:pPr>
            <w:r w:rsidRPr="005A1CAE">
              <w:rPr>
                <w:i/>
                <w:noProof/>
                <w:sz w:val="22"/>
              </w:rPr>
              <w:t>26,702</w:t>
            </w:r>
          </w:p>
        </w:tc>
        <w:tc>
          <w:tcPr>
            <w:tcW w:w="877" w:type="dxa"/>
            <w:tcBorders>
              <w:top w:val="nil"/>
              <w:left w:val="nil"/>
              <w:bottom w:val="single" w:sz="8" w:space="0" w:color="auto"/>
              <w:right w:val="single" w:sz="8" w:space="0" w:color="auto"/>
            </w:tcBorders>
            <w:shd w:val="clear" w:color="auto" w:fill="D9D9D9" w:themeFill="background1" w:themeFillShade="D9"/>
            <w:vAlign w:val="center"/>
            <w:hideMark/>
          </w:tcPr>
          <w:p w14:paraId="0020BB37" w14:textId="77777777" w:rsidR="002A4C51" w:rsidRPr="005A1CAE" w:rsidRDefault="002A4C51">
            <w:pPr>
              <w:spacing w:before="0" w:after="0"/>
              <w:jc w:val="right"/>
              <w:rPr>
                <w:i/>
                <w:noProof/>
                <w:sz w:val="22"/>
              </w:rPr>
            </w:pPr>
            <w:r w:rsidRPr="005A1CAE">
              <w:rPr>
                <w:i/>
                <w:noProof/>
                <w:sz w:val="22"/>
              </w:rPr>
              <w:t>27,728</w:t>
            </w:r>
          </w:p>
        </w:tc>
        <w:tc>
          <w:tcPr>
            <w:tcW w:w="876" w:type="dxa"/>
            <w:tcBorders>
              <w:top w:val="nil"/>
              <w:left w:val="nil"/>
              <w:bottom w:val="single" w:sz="8" w:space="0" w:color="auto"/>
              <w:right w:val="single" w:sz="8" w:space="0" w:color="auto"/>
            </w:tcBorders>
            <w:shd w:val="clear" w:color="auto" w:fill="D9D9D9" w:themeFill="background1" w:themeFillShade="D9"/>
            <w:hideMark/>
          </w:tcPr>
          <w:p w14:paraId="02BACEED" w14:textId="77777777" w:rsidR="002A4C51" w:rsidRPr="005A1CAE" w:rsidRDefault="00497D0D">
            <w:pPr>
              <w:spacing w:before="0" w:after="0"/>
              <w:jc w:val="right"/>
              <w:rPr>
                <w:i/>
                <w:noProof/>
                <w:sz w:val="22"/>
              </w:rPr>
            </w:pPr>
            <w:r w:rsidRPr="005A1CAE">
              <w:rPr>
                <w:i/>
                <w:noProof/>
                <w:sz w:val="22"/>
              </w:rPr>
              <w:t>41,136</w:t>
            </w:r>
          </w:p>
        </w:tc>
        <w:tc>
          <w:tcPr>
            <w:tcW w:w="876" w:type="dxa"/>
            <w:tcBorders>
              <w:top w:val="nil"/>
              <w:left w:val="nil"/>
              <w:bottom w:val="single" w:sz="8" w:space="0" w:color="auto"/>
              <w:right w:val="single" w:sz="8" w:space="0" w:color="auto"/>
            </w:tcBorders>
            <w:shd w:val="clear" w:color="auto" w:fill="D9D9D9" w:themeFill="background1" w:themeFillShade="D9"/>
            <w:hideMark/>
          </w:tcPr>
          <w:p w14:paraId="53A11870" w14:textId="77777777" w:rsidR="002A4C51" w:rsidRPr="005A1CAE" w:rsidRDefault="00497D0D">
            <w:pPr>
              <w:spacing w:before="0" w:after="0"/>
              <w:jc w:val="right"/>
              <w:rPr>
                <w:i/>
                <w:noProof/>
                <w:sz w:val="22"/>
              </w:rPr>
            </w:pPr>
            <w:r w:rsidRPr="005A1CAE">
              <w:rPr>
                <w:i/>
                <w:noProof/>
                <w:sz w:val="22"/>
              </w:rPr>
              <w:t>46,079</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66336DB2" w14:textId="77777777" w:rsidR="002A4C51" w:rsidRPr="005A1CAE" w:rsidRDefault="002A4C51">
            <w:pPr>
              <w:spacing w:before="0" w:after="0"/>
              <w:jc w:val="right"/>
              <w:rPr>
                <w:i/>
                <w:noProof/>
                <w:sz w:val="22"/>
              </w:rPr>
            </w:pPr>
            <w:r w:rsidRPr="005A1CAE">
              <w:rPr>
                <w:i/>
                <w:noProof/>
                <w:sz w:val="22"/>
              </w:rPr>
              <w:t>29,892 </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5E042A97" w14:textId="77777777" w:rsidR="002A4C51" w:rsidRPr="005A1CAE" w:rsidRDefault="002A4C51">
            <w:pPr>
              <w:spacing w:before="0" w:after="0"/>
              <w:jc w:val="right"/>
              <w:rPr>
                <w:i/>
                <w:noProof/>
                <w:sz w:val="22"/>
              </w:rPr>
            </w:pPr>
            <w:r w:rsidRPr="005A1CAE">
              <w:rPr>
                <w:i/>
                <w:noProof/>
                <w:sz w:val="22"/>
              </w:rPr>
              <w:t>26,904 </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60E2D665" w14:textId="77777777" w:rsidR="002A4C51" w:rsidRPr="005A1CAE" w:rsidRDefault="002A4C51">
            <w:pPr>
              <w:spacing w:before="0" w:after="0"/>
              <w:jc w:val="right"/>
              <w:rPr>
                <w:i/>
                <w:noProof/>
                <w:sz w:val="22"/>
              </w:rPr>
            </w:pPr>
            <w:r w:rsidRPr="005A1CAE">
              <w:rPr>
                <w:i/>
                <w:noProof/>
                <w:sz w:val="22"/>
              </w:rPr>
              <w:t>26,257 </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7947BDF9" w14:textId="77777777" w:rsidR="002A4C51" w:rsidRPr="005A1CAE" w:rsidRDefault="002A4C51">
            <w:pPr>
              <w:spacing w:before="0" w:after="0"/>
              <w:jc w:val="right"/>
              <w:rPr>
                <w:i/>
                <w:noProof/>
                <w:sz w:val="22"/>
              </w:rPr>
            </w:pPr>
            <w:r w:rsidRPr="005A1CAE">
              <w:rPr>
                <w:i/>
                <w:noProof/>
                <w:sz w:val="22"/>
              </w:rPr>
              <w:t>26,778 </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504FFF21" w14:textId="77777777" w:rsidR="002A4C51" w:rsidRPr="005A1CAE" w:rsidRDefault="002A4C51">
            <w:pPr>
              <w:spacing w:before="0" w:after="0"/>
              <w:jc w:val="right"/>
              <w:rPr>
                <w:i/>
                <w:noProof/>
                <w:sz w:val="22"/>
              </w:rPr>
            </w:pPr>
            <w:r w:rsidRPr="005A1CAE">
              <w:rPr>
                <w:i/>
                <w:noProof/>
                <w:sz w:val="22"/>
              </w:rPr>
              <w:t>39,136 </w:t>
            </w:r>
          </w:p>
        </w:tc>
        <w:tc>
          <w:tcPr>
            <w:tcW w:w="936"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27FB70A1" w14:textId="77777777" w:rsidR="002A4C51" w:rsidRPr="005A1CAE" w:rsidRDefault="002A4C51">
            <w:pPr>
              <w:spacing w:before="0" w:after="0"/>
              <w:jc w:val="right"/>
              <w:rPr>
                <w:i/>
                <w:noProof/>
                <w:sz w:val="22"/>
              </w:rPr>
            </w:pPr>
            <w:r w:rsidRPr="005A1CAE">
              <w:rPr>
                <w:i/>
                <w:noProof/>
                <w:sz w:val="22"/>
              </w:rPr>
              <w:t>39,928 </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741C8995" w14:textId="77777777" w:rsidR="002A4C51" w:rsidRPr="005A1CAE" w:rsidRDefault="002A4C51">
            <w:pPr>
              <w:spacing w:before="0" w:after="0"/>
              <w:rPr>
                <w:i/>
                <w:noProof/>
                <w:sz w:val="22"/>
              </w:rPr>
            </w:pPr>
            <w:r w:rsidRPr="005A1CAE">
              <w:rPr>
                <w:i/>
                <w:noProof/>
                <w:sz w:val="22"/>
              </w:rPr>
              <w:t xml:space="preserve"> 44,986</w:t>
            </w:r>
          </w:p>
        </w:tc>
        <w:tc>
          <w:tcPr>
            <w:tcW w:w="1006" w:type="dxa"/>
            <w:tcBorders>
              <w:top w:val="nil"/>
              <w:left w:val="nil"/>
              <w:bottom w:val="single" w:sz="8" w:space="0" w:color="auto"/>
              <w:right w:val="single" w:sz="8" w:space="0" w:color="auto"/>
            </w:tcBorders>
            <w:shd w:val="clear" w:color="auto" w:fill="D9D9D9" w:themeFill="background1" w:themeFillShade="D9"/>
            <w:vAlign w:val="center"/>
            <w:hideMark/>
          </w:tcPr>
          <w:p w14:paraId="05D702B5" w14:textId="77777777" w:rsidR="002A4C51" w:rsidRPr="005A1CAE" w:rsidRDefault="00162B4D">
            <w:pPr>
              <w:spacing w:before="0" w:after="0"/>
              <w:jc w:val="right"/>
              <w:rPr>
                <w:b/>
                <w:bCs/>
                <w:i/>
                <w:noProof/>
                <w:sz w:val="22"/>
              </w:rPr>
            </w:pPr>
            <w:r w:rsidRPr="005A1CAE">
              <w:rPr>
                <w:b/>
                <w:i/>
                <w:noProof/>
                <w:sz w:val="22"/>
              </w:rPr>
              <w:t xml:space="preserve">375,526 </w:t>
            </w:r>
          </w:p>
        </w:tc>
        <w:tc>
          <w:tcPr>
            <w:tcW w:w="4276" w:type="dxa"/>
            <w:vAlign w:val="center"/>
            <w:hideMark/>
          </w:tcPr>
          <w:p w14:paraId="248F8AAF" w14:textId="77777777" w:rsidR="002A4C51" w:rsidRPr="005A1CAE" w:rsidRDefault="002A4C51">
            <w:pPr>
              <w:spacing w:before="0" w:after="0"/>
              <w:jc w:val="left"/>
              <w:rPr>
                <w:i/>
                <w:noProof/>
                <w:sz w:val="20"/>
              </w:rPr>
            </w:pPr>
          </w:p>
        </w:tc>
      </w:tr>
    </w:tbl>
    <w:p w14:paraId="6679EEEA" w14:textId="4BDF1AF1" w:rsidR="00D0690F" w:rsidRPr="005A1CAE" w:rsidRDefault="00D0690F" w:rsidP="009F612D">
      <w:pPr>
        <w:pStyle w:val="ManualHeading3"/>
        <w:rPr>
          <w:bCs/>
          <w:noProof/>
          <w:szCs w:val="24"/>
        </w:rPr>
      </w:pPr>
      <w:bookmarkStart w:id="144" w:name="_Toc514938054"/>
      <w:bookmarkStart w:id="145" w:name="_Toc520485053"/>
      <w:bookmarkStart w:id="146" w:name="_Toc160804597"/>
      <w:bookmarkStart w:id="147" w:name="_Toc167220289"/>
      <w:bookmarkStart w:id="148" w:name="_Toc177549022"/>
      <w:r w:rsidRPr="005A1CAE">
        <w:rPr>
          <w:noProof/>
        </w:rPr>
        <w:t>3.2.2.</w:t>
      </w:r>
      <w:r w:rsidRPr="005A1CAE">
        <w:rPr>
          <w:noProof/>
        </w:rPr>
        <w:tab/>
        <w:t>Szacowany produkt finansowany ze środków operacyjnych</w:t>
      </w:r>
      <w:bookmarkEnd w:id="144"/>
      <w:bookmarkEnd w:id="145"/>
      <w:r w:rsidRPr="005A1CAE">
        <w:rPr>
          <w:noProof/>
        </w:rPr>
        <w:t xml:space="preserve"> (nie wypełniać</w:t>
      </w:r>
      <w:r w:rsidR="005A1CAE" w:rsidRPr="005A1CAE">
        <w:rPr>
          <w:noProof/>
        </w:rPr>
        <w:t xml:space="preserve"> w</w:t>
      </w:r>
      <w:r w:rsidR="005A1CAE">
        <w:rPr>
          <w:noProof/>
        </w:rPr>
        <w:t> </w:t>
      </w:r>
      <w:r w:rsidR="005A1CAE" w:rsidRPr="005A1CAE">
        <w:rPr>
          <w:noProof/>
        </w:rPr>
        <w:t>prz</w:t>
      </w:r>
      <w:r w:rsidRPr="005A1CAE">
        <w:rPr>
          <w:noProof/>
        </w:rPr>
        <w:t>ypadku agencji zdecentralizowanych)</w:t>
      </w:r>
      <w:bookmarkEnd w:id="146"/>
      <w:bookmarkEnd w:id="147"/>
      <w:bookmarkEnd w:id="148"/>
    </w:p>
    <w:p w14:paraId="6ECF6EDB" w14:textId="4EFC7F6F" w:rsidR="00D0690F" w:rsidRPr="005A1CAE" w:rsidRDefault="00D0690F" w:rsidP="009F612D">
      <w:pPr>
        <w:jc w:val="right"/>
        <w:rPr>
          <w:noProof/>
          <w:sz w:val="20"/>
        </w:rPr>
      </w:pPr>
      <w:r w:rsidRPr="005A1CAE">
        <w:rPr>
          <w:noProof/>
          <w:sz w:val="20"/>
        </w:rPr>
        <w:t>Środki na zobowiązania</w:t>
      </w:r>
      <w:r w:rsidR="005A1CAE" w:rsidRPr="005A1CAE">
        <w:rPr>
          <w:noProof/>
          <w:sz w:val="20"/>
        </w:rPr>
        <w:t xml:space="preserve"> w</w:t>
      </w:r>
      <w:r w:rsidR="005A1CAE">
        <w:rPr>
          <w:noProof/>
          <w:sz w:val="20"/>
        </w:rPr>
        <w:t> </w:t>
      </w:r>
      <w:r w:rsidR="005A1CAE" w:rsidRPr="005A1CAE">
        <w:rPr>
          <w:noProof/>
          <w:sz w:val="20"/>
        </w:rPr>
        <w:t>mln</w:t>
      </w:r>
      <w:r w:rsidRPr="005A1CAE">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D0690F" w:rsidRPr="005A1CAE" w14:paraId="08867B7E" w14:textId="77777777" w:rsidTr="009F612D">
        <w:trPr>
          <w:jc w:val="center"/>
        </w:trPr>
        <w:tc>
          <w:tcPr>
            <w:tcW w:w="1423" w:type="dxa"/>
            <w:vMerge w:val="restart"/>
            <w:vAlign w:val="center"/>
          </w:tcPr>
          <w:p w14:paraId="26DCBE52" w14:textId="57687DF0" w:rsidR="00D0690F" w:rsidRPr="005A1CAE" w:rsidRDefault="00D0690F" w:rsidP="009F612D">
            <w:pPr>
              <w:ind w:right="-29"/>
              <w:jc w:val="center"/>
              <w:rPr>
                <w:b/>
                <w:noProof/>
                <w:sz w:val="18"/>
                <w:szCs w:val="18"/>
              </w:rPr>
            </w:pPr>
            <w:r w:rsidRPr="005A1CAE">
              <w:rPr>
                <w:b/>
                <w:noProof/>
                <w:sz w:val="18"/>
              </w:rPr>
              <w:t>Określić cele</w:t>
            </w:r>
            <w:r w:rsidR="005A1CAE" w:rsidRPr="005A1CAE">
              <w:rPr>
                <w:b/>
                <w:noProof/>
                <w:sz w:val="18"/>
              </w:rPr>
              <w:t xml:space="preserve"> i</w:t>
            </w:r>
            <w:r w:rsidR="005A1CAE">
              <w:rPr>
                <w:b/>
                <w:noProof/>
                <w:sz w:val="18"/>
              </w:rPr>
              <w:t> </w:t>
            </w:r>
            <w:r w:rsidR="005A1CAE" w:rsidRPr="005A1CAE">
              <w:rPr>
                <w:b/>
                <w:noProof/>
                <w:sz w:val="18"/>
              </w:rPr>
              <w:t>pro</w:t>
            </w:r>
            <w:r w:rsidRPr="005A1CAE">
              <w:rPr>
                <w:b/>
                <w:noProof/>
                <w:sz w:val="18"/>
              </w:rPr>
              <w:t xml:space="preserve">dukty </w:t>
            </w:r>
          </w:p>
          <w:p w14:paraId="7D7E25E1" w14:textId="77777777" w:rsidR="00D0690F" w:rsidRPr="005A1CAE" w:rsidRDefault="00D0690F" w:rsidP="009F612D">
            <w:pPr>
              <w:ind w:right="-29"/>
              <w:jc w:val="center"/>
              <w:rPr>
                <w:b/>
                <w:noProof/>
                <w:sz w:val="18"/>
                <w:szCs w:val="18"/>
              </w:rPr>
            </w:pPr>
          </w:p>
          <w:p w14:paraId="6B801DA0" w14:textId="77777777" w:rsidR="00D0690F" w:rsidRPr="005A1CAE" w:rsidRDefault="00D0690F" w:rsidP="009F612D">
            <w:pPr>
              <w:ind w:right="-29"/>
              <w:jc w:val="center"/>
              <w:rPr>
                <w:noProof/>
                <w:sz w:val="18"/>
                <w:szCs w:val="18"/>
              </w:rPr>
            </w:pPr>
            <w:r w:rsidRPr="005A1CAE">
              <w:rPr>
                <w:rFonts w:ascii="Wingdings" w:hAnsi="Wingdings"/>
                <w:noProof/>
                <w:sz w:val="18"/>
              </w:rPr>
              <w:t></w:t>
            </w:r>
          </w:p>
        </w:tc>
        <w:tc>
          <w:tcPr>
            <w:tcW w:w="720" w:type="dxa"/>
            <w:vAlign w:val="center"/>
          </w:tcPr>
          <w:p w14:paraId="2CFD6AC1" w14:textId="77777777" w:rsidR="00D0690F" w:rsidRPr="005A1CAE" w:rsidRDefault="00D0690F" w:rsidP="009F612D">
            <w:pPr>
              <w:ind w:right="-29"/>
              <w:jc w:val="center"/>
              <w:rPr>
                <w:noProof/>
                <w:sz w:val="18"/>
                <w:szCs w:val="18"/>
              </w:rPr>
            </w:pPr>
          </w:p>
        </w:tc>
        <w:tc>
          <w:tcPr>
            <w:tcW w:w="701" w:type="dxa"/>
            <w:vAlign w:val="center"/>
          </w:tcPr>
          <w:p w14:paraId="10F529AF" w14:textId="77777777" w:rsidR="00D0690F" w:rsidRPr="005A1CAE" w:rsidRDefault="00D0690F" w:rsidP="009F612D">
            <w:pPr>
              <w:ind w:right="-29"/>
              <w:jc w:val="center"/>
              <w:rPr>
                <w:noProof/>
                <w:sz w:val="18"/>
                <w:szCs w:val="18"/>
              </w:rPr>
            </w:pPr>
          </w:p>
        </w:tc>
        <w:tc>
          <w:tcPr>
            <w:tcW w:w="1224" w:type="dxa"/>
            <w:gridSpan w:val="2"/>
            <w:tcBorders>
              <w:left w:val="nil"/>
            </w:tcBorders>
            <w:vAlign w:val="center"/>
          </w:tcPr>
          <w:p w14:paraId="284CE190" w14:textId="1E87B645" w:rsidR="00D0690F" w:rsidRPr="005A1CAE" w:rsidRDefault="00D0690F" w:rsidP="009F612D">
            <w:pPr>
              <w:ind w:right="-29"/>
              <w:jc w:val="center"/>
              <w:rPr>
                <w:noProof/>
                <w:sz w:val="18"/>
                <w:szCs w:val="18"/>
              </w:rPr>
            </w:pPr>
            <w:r w:rsidRPr="005A1CAE">
              <w:rPr>
                <w:noProof/>
                <w:sz w:val="18"/>
              </w:rPr>
              <w:t>Rok</w:t>
            </w:r>
            <w:r w:rsidRPr="005A1CAE">
              <w:rPr>
                <w:noProof/>
              </w:rPr>
              <w:br/>
            </w:r>
            <w:r w:rsidRPr="005A1CAE">
              <w:rPr>
                <w:b/>
                <w:noProof/>
                <w:sz w:val="18"/>
              </w:rPr>
              <w:t>2024</w:t>
            </w:r>
          </w:p>
        </w:tc>
        <w:tc>
          <w:tcPr>
            <w:tcW w:w="1260" w:type="dxa"/>
            <w:gridSpan w:val="2"/>
            <w:vAlign w:val="center"/>
          </w:tcPr>
          <w:p w14:paraId="287613A0" w14:textId="57683C3F" w:rsidR="00D0690F" w:rsidRPr="005A1CAE" w:rsidRDefault="00D0690F" w:rsidP="009F612D">
            <w:pPr>
              <w:ind w:right="-29"/>
              <w:jc w:val="center"/>
              <w:rPr>
                <w:noProof/>
                <w:sz w:val="18"/>
                <w:szCs w:val="18"/>
              </w:rPr>
            </w:pPr>
            <w:r w:rsidRPr="005A1CAE">
              <w:rPr>
                <w:noProof/>
                <w:sz w:val="18"/>
              </w:rPr>
              <w:t>Rok</w:t>
            </w:r>
            <w:r w:rsidRPr="005A1CAE">
              <w:rPr>
                <w:noProof/>
              </w:rPr>
              <w:t xml:space="preserve"> </w:t>
            </w:r>
            <w:r w:rsidRPr="005A1CAE">
              <w:rPr>
                <w:noProof/>
              </w:rPr>
              <w:br/>
            </w:r>
            <w:r w:rsidRPr="005A1CAE">
              <w:rPr>
                <w:b/>
                <w:noProof/>
                <w:sz w:val="18"/>
              </w:rPr>
              <w:t>2025</w:t>
            </w:r>
          </w:p>
        </w:tc>
        <w:tc>
          <w:tcPr>
            <w:tcW w:w="1440" w:type="dxa"/>
            <w:gridSpan w:val="2"/>
            <w:vAlign w:val="center"/>
          </w:tcPr>
          <w:p w14:paraId="54DBB172" w14:textId="54DC2C27" w:rsidR="00D0690F" w:rsidRPr="005A1CAE" w:rsidRDefault="00D0690F" w:rsidP="009F612D">
            <w:pPr>
              <w:ind w:right="-29"/>
              <w:jc w:val="center"/>
              <w:rPr>
                <w:noProof/>
                <w:sz w:val="18"/>
                <w:szCs w:val="18"/>
              </w:rPr>
            </w:pPr>
            <w:r w:rsidRPr="005A1CAE">
              <w:rPr>
                <w:noProof/>
                <w:sz w:val="18"/>
              </w:rPr>
              <w:t>Rok</w:t>
            </w:r>
            <w:r w:rsidRPr="005A1CAE">
              <w:rPr>
                <w:noProof/>
              </w:rPr>
              <w:t xml:space="preserve"> </w:t>
            </w:r>
            <w:r w:rsidRPr="005A1CAE">
              <w:rPr>
                <w:noProof/>
              </w:rPr>
              <w:br/>
            </w:r>
            <w:r w:rsidRPr="005A1CAE">
              <w:rPr>
                <w:b/>
                <w:noProof/>
                <w:sz w:val="18"/>
              </w:rPr>
              <w:t>2026</w:t>
            </w:r>
          </w:p>
        </w:tc>
        <w:tc>
          <w:tcPr>
            <w:tcW w:w="1620" w:type="dxa"/>
            <w:gridSpan w:val="3"/>
            <w:vAlign w:val="center"/>
          </w:tcPr>
          <w:p w14:paraId="0B3357D5" w14:textId="1D96CA42" w:rsidR="00D0690F" w:rsidRPr="005A1CAE" w:rsidRDefault="00D0690F" w:rsidP="009F612D">
            <w:pPr>
              <w:ind w:right="-29"/>
              <w:jc w:val="center"/>
              <w:rPr>
                <w:noProof/>
                <w:sz w:val="18"/>
                <w:szCs w:val="18"/>
              </w:rPr>
            </w:pPr>
            <w:r w:rsidRPr="005A1CAE">
              <w:rPr>
                <w:noProof/>
                <w:sz w:val="18"/>
              </w:rPr>
              <w:t>Rok</w:t>
            </w:r>
            <w:r w:rsidRPr="005A1CAE">
              <w:rPr>
                <w:noProof/>
              </w:rPr>
              <w:t xml:space="preserve"> </w:t>
            </w:r>
            <w:r w:rsidRPr="005A1CAE">
              <w:rPr>
                <w:noProof/>
              </w:rPr>
              <w:br/>
            </w:r>
            <w:r w:rsidRPr="005A1CAE">
              <w:rPr>
                <w:b/>
                <w:noProof/>
                <w:sz w:val="18"/>
              </w:rPr>
              <w:t>2027</w:t>
            </w:r>
          </w:p>
        </w:tc>
        <w:tc>
          <w:tcPr>
            <w:tcW w:w="3600" w:type="dxa"/>
            <w:gridSpan w:val="6"/>
            <w:vAlign w:val="center"/>
          </w:tcPr>
          <w:p w14:paraId="4BBD2BB1" w14:textId="77777777" w:rsidR="00D0690F" w:rsidRPr="005A1CAE" w:rsidRDefault="00D0690F" w:rsidP="009F612D">
            <w:pPr>
              <w:jc w:val="center"/>
              <w:rPr>
                <w:noProof/>
                <w:sz w:val="18"/>
                <w:szCs w:val="18"/>
              </w:rPr>
            </w:pPr>
            <w:r w:rsidRPr="005A1CAE">
              <w:rPr>
                <w:noProof/>
                <w:sz w:val="18"/>
              </w:rPr>
              <w:t>Wprowadzić taką liczbę kolumn dla poszczególnych lat, jaka jest niezbędna, by odzwierciedlić cały okres wpływu (por. sekcja 1.6)</w:t>
            </w:r>
          </w:p>
        </w:tc>
        <w:tc>
          <w:tcPr>
            <w:tcW w:w="1620" w:type="dxa"/>
            <w:gridSpan w:val="2"/>
            <w:tcBorders>
              <w:left w:val="nil"/>
              <w:bottom w:val="nil"/>
            </w:tcBorders>
            <w:vAlign w:val="center"/>
          </w:tcPr>
          <w:p w14:paraId="334210AD" w14:textId="77777777" w:rsidR="00D0690F" w:rsidRPr="005A1CAE" w:rsidRDefault="00D0690F" w:rsidP="009F612D">
            <w:pPr>
              <w:ind w:right="-29"/>
              <w:jc w:val="center"/>
              <w:rPr>
                <w:noProof/>
                <w:sz w:val="18"/>
                <w:szCs w:val="18"/>
              </w:rPr>
            </w:pPr>
            <w:r w:rsidRPr="005A1CAE">
              <w:rPr>
                <w:b/>
                <w:noProof/>
                <w:sz w:val="18"/>
              </w:rPr>
              <w:t>OGÓŁEM</w:t>
            </w:r>
          </w:p>
        </w:tc>
      </w:tr>
      <w:tr w:rsidR="00D0690F" w:rsidRPr="005A1CAE" w14:paraId="6C61F36E" w14:textId="77777777" w:rsidTr="009F612D">
        <w:trPr>
          <w:jc w:val="center"/>
        </w:trPr>
        <w:tc>
          <w:tcPr>
            <w:tcW w:w="1423" w:type="dxa"/>
            <w:vMerge/>
            <w:vAlign w:val="center"/>
          </w:tcPr>
          <w:p w14:paraId="2A3C3E8E" w14:textId="77777777" w:rsidR="00D0690F" w:rsidRPr="005A1CAE" w:rsidRDefault="00D0690F" w:rsidP="009F612D">
            <w:pPr>
              <w:ind w:right="-29"/>
              <w:jc w:val="center"/>
              <w:rPr>
                <w:noProof/>
                <w:sz w:val="18"/>
                <w:szCs w:val="18"/>
              </w:rPr>
            </w:pPr>
          </w:p>
        </w:tc>
        <w:tc>
          <w:tcPr>
            <w:tcW w:w="12185" w:type="dxa"/>
            <w:gridSpan w:val="19"/>
            <w:vAlign w:val="center"/>
          </w:tcPr>
          <w:p w14:paraId="6438A6C0" w14:textId="77777777" w:rsidR="00D0690F" w:rsidRPr="005A1CAE" w:rsidRDefault="00D0690F" w:rsidP="009F612D">
            <w:pPr>
              <w:spacing w:before="60" w:after="60"/>
              <w:ind w:right="-29"/>
              <w:jc w:val="center"/>
              <w:rPr>
                <w:noProof/>
                <w:sz w:val="18"/>
                <w:szCs w:val="18"/>
              </w:rPr>
            </w:pPr>
            <w:r w:rsidRPr="005A1CAE">
              <w:rPr>
                <w:b/>
                <w:noProof/>
                <w:sz w:val="18"/>
              </w:rPr>
              <w:t>PRODUKT</w:t>
            </w:r>
          </w:p>
        </w:tc>
      </w:tr>
      <w:tr w:rsidR="00D0690F" w:rsidRPr="005A1CAE" w14:paraId="6CCB3FF4" w14:textId="77777777" w:rsidTr="009F612D">
        <w:trPr>
          <w:cantSplit/>
          <w:trHeight w:val="1134"/>
          <w:jc w:val="center"/>
        </w:trPr>
        <w:tc>
          <w:tcPr>
            <w:tcW w:w="1423" w:type="dxa"/>
            <w:vMerge/>
            <w:vAlign w:val="center"/>
          </w:tcPr>
          <w:p w14:paraId="04C4C172" w14:textId="77777777" w:rsidR="00D0690F" w:rsidRPr="005A1CAE" w:rsidRDefault="00D0690F" w:rsidP="009F612D">
            <w:pPr>
              <w:rPr>
                <w:noProof/>
                <w:sz w:val="18"/>
                <w:szCs w:val="18"/>
              </w:rPr>
            </w:pPr>
          </w:p>
        </w:tc>
        <w:tc>
          <w:tcPr>
            <w:tcW w:w="720" w:type="dxa"/>
            <w:vAlign w:val="center"/>
          </w:tcPr>
          <w:p w14:paraId="0B3DD6E8" w14:textId="77777777" w:rsidR="00D0690F" w:rsidRPr="005A1CAE" w:rsidRDefault="00D0690F" w:rsidP="009F612D">
            <w:pPr>
              <w:jc w:val="center"/>
              <w:rPr>
                <w:noProof/>
                <w:sz w:val="18"/>
                <w:szCs w:val="18"/>
              </w:rPr>
            </w:pPr>
            <w:r w:rsidRPr="005A1CAE">
              <w:rPr>
                <w:noProof/>
                <w:sz w:val="18"/>
              </w:rPr>
              <w:t>Rodzaj</w:t>
            </w:r>
            <w:r w:rsidRPr="005A1CAE">
              <w:rPr>
                <w:rStyle w:val="Odwoanieprzypisudolnego"/>
                <w:noProof/>
                <w:sz w:val="18"/>
              </w:rPr>
              <w:footnoteReference w:id="31"/>
            </w:r>
          </w:p>
          <w:p w14:paraId="5E6A475D" w14:textId="77777777" w:rsidR="00D0690F" w:rsidRPr="005A1CAE" w:rsidRDefault="00D0690F" w:rsidP="009F612D">
            <w:pPr>
              <w:spacing w:before="0" w:after="0"/>
              <w:jc w:val="center"/>
              <w:rPr>
                <w:noProof/>
                <w:sz w:val="18"/>
                <w:szCs w:val="18"/>
              </w:rPr>
            </w:pPr>
          </w:p>
        </w:tc>
        <w:tc>
          <w:tcPr>
            <w:tcW w:w="701" w:type="dxa"/>
            <w:vAlign w:val="center"/>
          </w:tcPr>
          <w:p w14:paraId="2E40A6C2" w14:textId="77777777" w:rsidR="00D0690F" w:rsidRPr="005A1CAE" w:rsidRDefault="00D0690F" w:rsidP="009F612D">
            <w:pPr>
              <w:jc w:val="center"/>
              <w:rPr>
                <w:noProof/>
                <w:sz w:val="18"/>
                <w:szCs w:val="18"/>
              </w:rPr>
            </w:pPr>
            <w:r w:rsidRPr="005A1CAE">
              <w:rPr>
                <w:noProof/>
                <w:sz w:val="18"/>
              </w:rPr>
              <w:t>Średni koszt</w:t>
            </w:r>
          </w:p>
        </w:tc>
        <w:tc>
          <w:tcPr>
            <w:tcW w:w="504" w:type="dxa"/>
            <w:tcBorders>
              <w:left w:val="nil"/>
              <w:right w:val="dashSmallGap" w:sz="4" w:space="0" w:color="auto"/>
            </w:tcBorders>
            <w:shd w:val="pct10" w:color="auto" w:fill="auto"/>
            <w:textDirection w:val="btLr"/>
            <w:vAlign w:val="center"/>
          </w:tcPr>
          <w:p w14:paraId="014A3081" w14:textId="77777777" w:rsidR="00D0690F" w:rsidRPr="005A1CAE" w:rsidRDefault="00D0690F" w:rsidP="009F612D">
            <w:pPr>
              <w:ind w:left="113" w:right="113"/>
              <w:jc w:val="center"/>
              <w:rPr>
                <w:noProof/>
                <w:sz w:val="18"/>
                <w:szCs w:val="18"/>
              </w:rPr>
            </w:pPr>
            <w:r w:rsidRPr="005A1CAE">
              <w:rPr>
                <w:noProof/>
                <w:sz w:val="18"/>
              </w:rPr>
              <w:t>Liczba</w:t>
            </w:r>
          </w:p>
        </w:tc>
        <w:tc>
          <w:tcPr>
            <w:tcW w:w="720" w:type="dxa"/>
            <w:tcBorders>
              <w:left w:val="dashSmallGap" w:sz="4" w:space="0" w:color="auto"/>
            </w:tcBorders>
            <w:shd w:val="pct10" w:color="auto" w:fill="auto"/>
            <w:vAlign w:val="center"/>
          </w:tcPr>
          <w:p w14:paraId="1633780B" w14:textId="77777777" w:rsidR="00D0690F" w:rsidRPr="005A1CAE" w:rsidRDefault="00D0690F" w:rsidP="009F612D">
            <w:pPr>
              <w:jc w:val="center"/>
              <w:rPr>
                <w:noProof/>
                <w:sz w:val="18"/>
                <w:szCs w:val="18"/>
              </w:rPr>
            </w:pPr>
            <w:r w:rsidRPr="005A1CAE">
              <w:rPr>
                <w:noProof/>
                <w:sz w:val="18"/>
              </w:rPr>
              <w:t>Koszt</w:t>
            </w:r>
          </w:p>
        </w:tc>
        <w:tc>
          <w:tcPr>
            <w:tcW w:w="540" w:type="dxa"/>
            <w:tcBorders>
              <w:right w:val="dashSmallGap" w:sz="4" w:space="0" w:color="auto"/>
            </w:tcBorders>
            <w:shd w:val="pct10" w:color="auto" w:fill="auto"/>
            <w:textDirection w:val="btLr"/>
            <w:vAlign w:val="center"/>
          </w:tcPr>
          <w:p w14:paraId="4F90F3CC" w14:textId="77777777" w:rsidR="00D0690F" w:rsidRPr="005A1CAE" w:rsidRDefault="00D0690F" w:rsidP="009F612D">
            <w:pPr>
              <w:ind w:left="113" w:right="113"/>
              <w:jc w:val="center"/>
              <w:rPr>
                <w:noProof/>
                <w:sz w:val="18"/>
                <w:szCs w:val="18"/>
              </w:rPr>
            </w:pPr>
            <w:r w:rsidRPr="005A1CAE">
              <w:rPr>
                <w:noProof/>
                <w:sz w:val="18"/>
              </w:rPr>
              <w:t>Liczba</w:t>
            </w:r>
          </w:p>
        </w:tc>
        <w:tc>
          <w:tcPr>
            <w:tcW w:w="720" w:type="dxa"/>
            <w:tcBorders>
              <w:left w:val="dashSmallGap" w:sz="4" w:space="0" w:color="auto"/>
            </w:tcBorders>
            <w:shd w:val="pct10" w:color="auto" w:fill="auto"/>
            <w:vAlign w:val="center"/>
          </w:tcPr>
          <w:p w14:paraId="06E5A820" w14:textId="77777777" w:rsidR="00D0690F" w:rsidRPr="005A1CAE" w:rsidRDefault="00D0690F" w:rsidP="009F612D">
            <w:pPr>
              <w:jc w:val="center"/>
              <w:rPr>
                <w:noProof/>
                <w:sz w:val="18"/>
                <w:szCs w:val="18"/>
              </w:rPr>
            </w:pPr>
            <w:r w:rsidRPr="005A1CAE">
              <w:rPr>
                <w:noProof/>
                <w:sz w:val="18"/>
              </w:rPr>
              <w:t>Koszt</w:t>
            </w:r>
          </w:p>
        </w:tc>
        <w:tc>
          <w:tcPr>
            <w:tcW w:w="720" w:type="dxa"/>
            <w:tcBorders>
              <w:right w:val="dashSmallGap" w:sz="4" w:space="0" w:color="auto"/>
            </w:tcBorders>
            <w:shd w:val="pct10" w:color="auto" w:fill="auto"/>
            <w:textDirection w:val="btLr"/>
            <w:vAlign w:val="center"/>
          </w:tcPr>
          <w:p w14:paraId="336F88AD" w14:textId="77777777" w:rsidR="00D0690F" w:rsidRPr="005A1CAE" w:rsidRDefault="00D0690F" w:rsidP="009F612D">
            <w:pPr>
              <w:ind w:left="113" w:right="113"/>
              <w:jc w:val="center"/>
              <w:rPr>
                <w:noProof/>
                <w:sz w:val="18"/>
                <w:szCs w:val="18"/>
              </w:rPr>
            </w:pPr>
            <w:r w:rsidRPr="005A1CAE">
              <w:rPr>
                <w:noProof/>
                <w:sz w:val="18"/>
              </w:rPr>
              <w:t>Liczba</w:t>
            </w:r>
          </w:p>
        </w:tc>
        <w:tc>
          <w:tcPr>
            <w:tcW w:w="720" w:type="dxa"/>
            <w:tcBorders>
              <w:left w:val="dashSmallGap" w:sz="4" w:space="0" w:color="auto"/>
            </w:tcBorders>
            <w:shd w:val="pct10" w:color="auto" w:fill="auto"/>
            <w:vAlign w:val="center"/>
          </w:tcPr>
          <w:p w14:paraId="58DB1F66" w14:textId="77777777" w:rsidR="00D0690F" w:rsidRPr="005A1CAE" w:rsidRDefault="00D0690F" w:rsidP="009F612D">
            <w:pPr>
              <w:jc w:val="center"/>
              <w:rPr>
                <w:noProof/>
                <w:sz w:val="18"/>
                <w:szCs w:val="18"/>
              </w:rPr>
            </w:pPr>
            <w:r w:rsidRPr="005A1CAE">
              <w:rPr>
                <w:noProof/>
                <w:sz w:val="18"/>
              </w:rPr>
              <w:t>Koszt</w:t>
            </w:r>
          </w:p>
        </w:tc>
        <w:tc>
          <w:tcPr>
            <w:tcW w:w="900" w:type="dxa"/>
            <w:tcBorders>
              <w:right w:val="dashSmallGap" w:sz="4" w:space="0" w:color="auto"/>
            </w:tcBorders>
            <w:shd w:val="pct10" w:color="auto" w:fill="auto"/>
            <w:textDirection w:val="btLr"/>
            <w:vAlign w:val="center"/>
          </w:tcPr>
          <w:p w14:paraId="695081FD" w14:textId="77777777" w:rsidR="00D0690F" w:rsidRPr="005A1CAE" w:rsidRDefault="00D0690F" w:rsidP="009F612D">
            <w:pPr>
              <w:ind w:left="113" w:right="113"/>
              <w:jc w:val="center"/>
              <w:rPr>
                <w:noProof/>
                <w:sz w:val="18"/>
                <w:szCs w:val="18"/>
              </w:rPr>
            </w:pPr>
            <w:r w:rsidRPr="005A1CAE">
              <w:rPr>
                <w:noProof/>
                <w:sz w:val="18"/>
              </w:rPr>
              <w:t>Liczba</w:t>
            </w:r>
          </w:p>
        </w:tc>
        <w:tc>
          <w:tcPr>
            <w:tcW w:w="720" w:type="dxa"/>
            <w:gridSpan w:val="2"/>
            <w:tcBorders>
              <w:left w:val="dashSmallGap" w:sz="4" w:space="0" w:color="auto"/>
            </w:tcBorders>
            <w:shd w:val="pct10" w:color="auto" w:fill="auto"/>
            <w:vAlign w:val="center"/>
          </w:tcPr>
          <w:p w14:paraId="5097C35E" w14:textId="77777777" w:rsidR="00D0690F" w:rsidRPr="005A1CAE" w:rsidRDefault="00D0690F" w:rsidP="009F612D">
            <w:pPr>
              <w:jc w:val="center"/>
              <w:rPr>
                <w:noProof/>
                <w:sz w:val="18"/>
                <w:szCs w:val="18"/>
              </w:rPr>
            </w:pPr>
            <w:r w:rsidRPr="005A1CAE">
              <w:rPr>
                <w:noProof/>
                <w:sz w:val="18"/>
              </w:rPr>
              <w:t>Koszt</w:t>
            </w:r>
          </w:p>
        </w:tc>
        <w:tc>
          <w:tcPr>
            <w:tcW w:w="540" w:type="dxa"/>
            <w:tcBorders>
              <w:right w:val="dashSmallGap" w:sz="4" w:space="0" w:color="auto"/>
            </w:tcBorders>
            <w:shd w:val="pct10" w:color="auto" w:fill="auto"/>
            <w:textDirection w:val="btLr"/>
            <w:vAlign w:val="center"/>
          </w:tcPr>
          <w:p w14:paraId="692EBBAC" w14:textId="77777777" w:rsidR="00D0690F" w:rsidRPr="005A1CAE" w:rsidRDefault="00D0690F" w:rsidP="009F612D">
            <w:pPr>
              <w:ind w:left="113" w:right="113"/>
              <w:jc w:val="center"/>
              <w:rPr>
                <w:noProof/>
                <w:sz w:val="18"/>
                <w:szCs w:val="18"/>
              </w:rPr>
            </w:pPr>
            <w:r w:rsidRPr="005A1CAE">
              <w:rPr>
                <w:noProof/>
                <w:sz w:val="18"/>
              </w:rPr>
              <w:t>Liczba</w:t>
            </w:r>
          </w:p>
        </w:tc>
        <w:tc>
          <w:tcPr>
            <w:tcW w:w="648" w:type="dxa"/>
            <w:tcBorders>
              <w:left w:val="dashSmallGap" w:sz="4" w:space="0" w:color="auto"/>
            </w:tcBorders>
            <w:shd w:val="pct10" w:color="auto" w:fill="auto"/>
            <w:vAlign w:val="center"/>
          </w:tcPr>
          <w:p w14:paraId="40E29D1C" w14:textId="77777777" w:rsidR="00D0690F" w:rsidRPr="005A1CAE" w:rsidRDefault="00D0690F" w:rsidP="009F612D">
            <w:pPr>
              <w:jc w:val="center"/>
              <w:rPr>
                <w:noProof/>
                <w:sz w:val="18"/>
                <w:szCs w:val="18"/>
              </w:rPr>
            </w:pPr>
            <w:r w:rsidRPr="005A1CAE">
              <w:rPr>
                <w:noProof/>
                <w:sz w:val="18"/>
              </w:rPr>
              <w:t>Koszt</w:t>
            </w:r>
          </w:p>
        </w:tc>
        <w:tc>
          <w:tcPr>
            <w:tcW w:w="432" w:type="dxa"/>
            <w:tcBorders>
              <w:right w:val="dashSmallGap" w:sz="4" w:space="0" w:color="auto"/>
            </w:tcBorders>
            <w:shd w:val="pct10" w:color="auto" w:fill="auto"/>
            <w:textDirection w:val="btLr"/>
            <w:vAlign w:val="center"/>
          </w:tcPr>
          <w:p w14:paraId="50B21D07" w14:textId="77777777" w:rsidR="00D0690F" w:rsidRPr="005A1CAE" w:rsidRDefault="00D0690F" w:rsidP="009F612D">
            <w:pPr>
              <w:ind w:left="113" w:right="113"/>
              <w:jc w:val="center"/>
              <w:rPr>
                <w:noProof/>
                <w:sz w:val="18"/>
                <w:szCs w:val="18"/>
              </w:rPr>
            </w:pPr>
            <w:r w:rsidRPr="005A1CAE">
              <w:rPr>
                <w:noProof/>
                <w:sz w:val="18"/>
              </w:rPr>
              <w:t>Liczba</w:t>
            </w:r>
          </w:p>
        </w:tc>
        <w:tc>
          <w:tcPr>
            <w:tcW w:w="720" w:type="dxa"/>
            <w:tcBorders>
              <w:left w:val="dashSmallGap" w:sz="4" w:space="0" w:color="auto"/>
            </w:tcBorders>
            <w:shd w:val="pct10" w:color="auto" w:fill="auto"/>
            <w:vAlign w:val="center"/>
          </w:tcPr>
          <w:p w14:paraId="5C1077EC" w14:textId="77777777" w:rsidR="00D0690F" w:rsidRPr="005A1CAE" w:rsidRDefault="00D0690F" w:rsidP="009F612D">
            <w:pPr>
              <w:jc w:val="center"/>
              <w:rPr>
                <w:noProof/>
                <w:sz w:val="18"/>
                <w:szCs w:val="18"/>
              </w:rPr>
            </w:pPr>
            <w:r w:rsidRPr="005A1CAE">
              <w:rPr>
                <w:noProof/>
                <w:sz w:val="18"/>
              </w:rPr>
              <w:t>Koszt</w:t>
            </w:r>
          </w:p>
        </w:tc>
        <w:tc>
          <w:tcPr>
            <w:tcW w:w="540" w:type="dxa"/>
            <w:tcBorders>
              <w:right w:val="dashSmallGap" w:sz="4" w:space="0" w:color="auto"/>
            </w:tcBorders>
            <w:shd w:val="pct10" w:color="auto" w:fill="auto"/>
            <w:textDirection w:val="btLr"/>
            <w:vAlign w:val="center"/>
          </w:tcPr>
          <w:p w14:paraId="7ED58587" w14:textId="77777777" w:rsidR="00D0690F" w:rsidRPr="005A1CAE" w:rsidRDefault="00D0690F" w:rsidP="009F612D">
            <w:pPr>
              <w:ind w:left="113" w:right="113"/>
              <w:jc w:val="center"/>
              <w:rPr>
                <w:noProof/>
                <w:sz w:val="18"/>
                <w:szCs w:val="18"/>
              </w:rPr>
            </w:pPr>
            <w:r w:rsidRPr="005A1CAE">
              <w:rPr>
                <w:noProof/>
                <w:sz w:val="18"/>
              </w:rPr>
              <w:t>Liczba</w:t>
            </w:r>
          </w:p>
        </w:tc>
        <w:tc>
          <w:tcPr>
            <w:tcW w:w="720" w:type="dxa"/>
            <w:tcBorders>
              <w:left w:val="dashSmallGap" w:sz="4" w:space="0" w:color="auto"/>
            </w:tcBorders>
            <w:shd w:val="pct10" w:color="auto" w:fill="auto"/>
            <w:vAlign w:val="center"/>
          </w:tcPr>
          <w:p w14:paraId="6070825A" w14:textId="77777777" w:rsidR="00D0690F" w:rsidRPr="005A1CAE" w:rsidRDefault="00D0690F" w:rsidP="009F612D">
            <w:pPr>
              <w:jc w:val="center"/>
              <w:rPr>
                <w:noProof/>
                <w:sz w:val="18"/>
                <w:szCs w:val="18"/>
              </w:rPr>
            </w:pPr>
            <w:r w:rsidRPr="005A1CAE">
              <w:rPr>
                <w:noProof/>
                <w:sz w:val="18"/>
              </w:rPr>
              <w:t>Koszt</w:t>
            </w:r>
          </w:p>
        </w:tc>
        <w:tc>
          <w:tcPr>
            <w:tcW w:w="720" w:type="dxa"/>
            <w:tcBorders>
              <w:right w:val="dashSmallGap" w:sz="4" w:space="0" w:color="auto"/>
            </w:tcBorders>
            <w:shd w:val="pct10" w:color="auto" w:fill="auto"/>
            <w:vAlign w:val="center"/>
          </w:tcPr>
          <w:p w14:paraId="5745AFB4" w14:textId="77777777" w:rsidR="00D0690F" w:rsidRPr="005A1CAE" w:rsidRDefault="00D0690F" w:rsidP="009F612D">
            <w:pPr>
              <w:jc w:val="center"/>
              <w:rPr>
                <w:noProof/>
                <w:sz w:val="18"/>
                <w:szCs w:val="18"/>
              </w:rPr>
            </w:pPr>
            <w:r w:rsidRPr="005A1CAE">
              <w:rPr>
                <w:noProof/>
                <w:sz w:val="18"/>
              </w:rPr>
              <w:t>Liczba ogółem</w:t>
            </w:r>
          </w:p>
        </w:tc>
        <w:tc>
          <w:tcPr>
            <w:tcW w:w="900" w:type="dxa"/>
            <w:tcBorders>
              <w:left w:val="dashSmallGap" w:sz="4" w:space="0" w:color="auto"/>
            </w:tcBorders>
            <w:shd w:val="pct10" w:color="auto" w:fill="auto"/>
            <w:vAlign w:val="center"/>
          </w:tcPr>
          <w:p w14:paraId="277273A5" w14:textId="77777777" w:rsidR="00D0690F" w:rsidRPr="005A1CAE" w:rsidRDefault="00D0690F" w:rsidP="009F612D">
            <w:pPr>
              <w:jc w:val="center"/>
              <w:rPr>
                <w:noProof/>
                <w:sz w:val="18"/>
                <w:szCs w:val="18"/>
              </w:rPr>
            </w:pPr>
            <w:r w:rsidRPr="005A1CAE">
              <w:rPr>
                <w:noProof/>
                <w:sz w:val="18"/>
              </w:rPr>
              <w:t>Koszt całkowity</w:t>
            </w:r>
          </w:p>
        </w:tc>
      </w:tr>
      <w:tr w:rsidR="00D0690F" w:rsidRPr="005A1CAE" w14:paraId="32863E8A" w14:textId="77777777" w:rsidTr="009F612D">
        <w:trPr>
          <w:jc w:val="center"/>
        </w:trPr>
        <w:tc>
          <w:tcPr>
            <w:tcW w:w="2844" w:type="dxa"/>
            <w:gridSpan w:val="3"/>
            <w:vAlign w:val="center"/>
          </w:tcPr>
          <w:p w14:paraId="4C616AA0" w14:textId="5E0C8BB8" w:rsidR="00D0690F" w:rsidRPr="005A1CAE" w:rsidRDefault="00D0690F" w:rsidP="009F612D">
            <w:pPr>
              <w:spacing w:before="60" w:after="60"/>
              <w:ind w:right="-29"/>
              <w:jc w:val="center"/>
              <w:rPr>
                <w:noProof/>
                <w:sz w:val="18"/>
                <w:szCs w:val="18"/>
              </w:rPr>
            </w:pPr>
            <w:r w:rsidRPr="005A1CAE">
              <w:rPr>
                <w:noProof/>
                <w:sz w:val="18"/>
              </w:rPr>
              <w:t>CEL SZCZEGÓŁOWY nr</w:t>
            </w:r>
            <w:r w:rsidR="005A1CAE" w:rsidRPr="005A1CAE">
              <w:rPr>
                <w:noProof/>
                <w:sz w:val="18"/>
              </w:rPr>
              <w:t> </w:t>
            </w:r>
            <w:r w:rsidRPr="005A1CAE">
              <w:rPr>
                <w:noProof/>
                <w:sz w:val="18"/>
              </w:rPr>
              <w:t>1</w:t>
            </w:r>
            <w:r w:rsidRPr="005A1CAE">
              <w:rPr>
                <w:rStyle w:val="Odwoanieprzypisudolnego"/>
                <w:noProof/>
                <w:sz w:val="18"/>
              </w:rPr>
              <w:footnoteReference w:id="32"/>
            </w:r>
          </w:p>
        </w:tc>
        <w:tc>
          <w:tcPr>
            <w:tcW w:w="504" w:type="dxa"/>
            <w:tcBorders>
              <w:top w:val="nil"/>
              <w:left w:val="nil"/>
              <w:bottom w:val="nil"/>
              <w:right w:val="nil"/>
            </w:tcBorders>
          </w:tcPr>
          <w:p w14:paraId="5044670C"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6B3218EA" w14:textId="77777777" w:rsidR="00D0690F" w:rsidRPr="005A1CAE" w:rsidRDefault="00D0690F" w:rsidP="009F612D">
            <w:pPr>
              <w:spacing w:before="60" w:after="60"/>
              <w:ind w:right="-29"/>
              <w:jc w:val="center"/>
              <w:rPr>
                <w:noProof/>
                <w:sz w:val="18"/>
                <w:szCs w:val="18"/>
              </w:rPr>
            </w:pPr>
          </w:p>
        </w:tc>
        <w:tc>
          <w:tcPr>
            <w:tcW w:w="540" w:type="dxa"/>
            <w:tcBorders>
              <w:top w:val="nil"/>
              <w:left w:val="nil"/>
              <w:bottom w:val="nil"/>
              <w:right w:val="nil"/>
            </w:tcBorders>
          </w:tcPr>
          <w:p w14:paraId="7BF2B5E0"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29384FBB"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70578E6D"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69FFCF1A" w14:textId="77777777" w:rsidR="00D0690F" w:rsidRPr="005A1CAE" w:rsidRDefault="00D0690F" w:rsidP="009F612D">
            <w:pPr>
              <w:spacing w:before="60" w:after="60"/>
              <w:ind w:right="-29"/>
              <w:jc w:val="center"/>
              <w:rPr>
                <w:noProof/>
                <w:sz w:val="18"/>
                <w:szCs w:val="18"/>
              </w:rPr>
            </w:pPr>
          </w:p>
        </w:tc>
        <w:tc>
          <w:tcPr>
            <w:tcW w:w="900" w:type="dxa"/>
            <w:tcBorders>
              <w:top w:val="nil"/>
              <w:left w:val="nil"/>
              <w:bottom w:val="nil"/>
              <w:right w:val="nil"/>
            </w:tcBorders>
          </w:tcPr>
          <w:p w14:paraId="15B8FAAE" w14:textId="77777777" w:rsidR="00D0690F" w:rsidRPr="005A1CAE" w:rsidRDefault="00D0690F" w:rsidP="009F612D">
            <w:pPr>
              <w:spacing w:before="60" w:after="60"/>
              <w:ind w:right="-29"/>
              <w:jc w:val="center"/>
              <w:rPr>
                <w:noProof/>
                <w:sz w:val="18"/>
                <w:szCs w:val="18"/>
              </w:rPr>
            </w:pPr>
          </w:p>
        </w:tc>
        <w:tc>
          <w:tcPr>
            <w:tcW w:w="720" w:type="dxa"/>
            <w:gridSpan w:val="2"/>
            <w:tcBorders>
              <w:top w:val="nil"/>
              <w:left w:val="nil"/>
              <w:bottom w:val="nil"/>
              <w:right w:val="nil"/>
            </w:tcBorders>
          </w:tcPr>
          <w:p w14:paraId="74759DB4" w14:textId="77777777" w:rsidR="00D0690F" w:rsidRPr="005A1CAE" w:rsidRDefault="00D0690F" w:rsidP="009F612D">
            <w:pPr>
              <w:spacing w:before="60" w:after="60"/>
              <w:ind w:right="-29"/>
              <w:jc w:val="center"/>
              <w:rPr>
                <w:noProof/>
                <w:sz w:val="18"/>
                <w:szCs w:val="18"/>
              </w:rPr>
            </w:pPr>
          </w:p>
        </w:tc>
        <w:tc>
          <w:tcPr>
            <w:tcW w:w="540" w:type="dxa"/>
            <w:tcBorders>
              <w:top w:val="nil"/>
              <w:left w:val="nil"/>
              <w:bottom w:val="nil"/>
              <w:right w:val="nil"/>
            </w:tcBorders>
          </w:tcPr>
          <w:p w14:paraId="5F3000F1" w14:textId="77777777" w:rsidR="00D0690F" w:rsidRPr="005A1CAE" w:rsidRDefault="00D0690F" w:rsidP="009F612D">
            <w:pPr>
              <w:spacing w:before="60" w:after="60"/>
              <w:ind w:right="-29"/>
              <w:jc w:val="center"/>
              <w:rPr>
                <w:noProof/>
                <w:sz w:val="18"/>
                <w:szCs w:val="18"/>
              </w:rPr>
            </w:pPr>
          </w:p>
        </w:tc>
        <w:tc>
          <w:tcPr>
            <w:tcW w:w="648" w:type="dxa"/>
            <w:tcBorders>
              <w:top w:val="nil"/>
              <w:left w:val="nil"/>
              <w:bottom w:val="nil"/>
              <w:right w:val="nil"/>
            </w:tcBorders>
          </w:tcPr>
          <w:p w14:paraId="4FA115CF" w14:textId="77777777" w:rsidR="00D0690F" w:rsidRPr="005A1CAE" w:rsidRDefault="00D0690F" w:rsidP="009F612D">
            <w:pPr>
              <w:spacing w:before="60" w:after="60"/>
              <w:ind w:right="-29"/>
              <w:jc w:val="center"/>
              <w:rPr>
                <w:noProof/>
                <w:sz w:val="18"/>
                <w:szCs w:val="18"/>
              </w:rPr>
            </w:pPr>
          </w:p>
        </w:tc>
        <w:tc>
          <w:tcPr>
            <w:tcW w:w="432" w:type="dxa"/>
            <w:tcBorders>
              <w:top w:val="nil"/>
              <w:left w:val="nil"/>
              <w:bottom w:val="nil"/>
              <w:right w:val="nil"/>
            </w:tcBorders>
          </w:tcPr>
          <w:p w14:paraId="71CE947E"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1D238E00" w14:textId="77777777" w:rsidR="00D0690F" w:rsidRPr="005A1CAE" w:rsidRDefault="00D0690F" w:rsidP="009F612D">
            <w:pPr>
              <w:spacing w:before="60" w:after="60"/>
              <w:ind w:right="-29"/>
              <w:jc w:val="center"/>
              <w:rPr>
                <w:noProof/>
                <w:sz w:val="18"/>
                <w:szCs w:val="18"/>
              </w:rPr>
            </w:pPr>
          </w:p>
        </w:tc>
        <w:tc>
          <w:tcPr>
            <w:tcW w:w="540" w:type="dxa"/>
            <w:tcBorders>
              <w:top w:val="nil"/>
              <w:left w:val="nil"/>
              <w:bottom w:val="nil"/>
              <w:right w:val="nil"/>
            </w:tcBorders>
          </w:tcPr>
          <w:p w14:paraId="780B62F3"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67DFF305"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157AF2A4" w14:textId="77777777" w:rsidR="00D0690F" w:rsidRPr="005A1CAE" w:rsidRDefault="00D0690F" w:rsidP="009F612D">
            <w:pPr>
              <w:spacing w:before="60" w:after="60"/>
              <w:ind w:right="-29"/>
              <w:jc w:val="center"/>
              <w:rPr>
                <w:noProof/>
                <w:sz w:val="18"/>
                <w:szCs w:val="18"/>
              </w:rPr>
            </w:pPr>
          </w:p>
        </w:tc>
        <w:tc>
          <w:tcPr>
            <w:tcW w:w="900" w:type="dxa"/>
            <w:tcBorders>
              <w:top w:val="nil"/>
              <w:left w:val="nil"/>
              <w:bottom w:val="nil"/>
              <w:right w:val="nil"/>
            </w:tcBorders>
          </w:tcPr>
          <w:p w14:paraId="28BB3FAB" w14:textId="77777777" w:rsidR="00D0690F" w:rsidRPr="005A1CAE" w:rsidRDefault="00D0690F" w:rsidP="009F612D">
            <w:pPr>
              <w:spacing w:before="60" w:after="60"/>
              <w:ind w:right="-29"/>
              <w:jc w:val="center"/>
              <w:rPr>
                <w:noProof/>
                <w:sz w:val="18"/>
                <w:szCs w:val="18"/>
              </w:rPr>
            </w:pPr>
          </w:p>
        </w:tc>
      </w:tr>
      <w:tr w:rsidR="00D0690F" w:rsidRPr="005A1CAE" w14:paraId="3F059E1F" w14:textId="77777777" w:rsidTr="009F612D">
        <w:trPr>
          <w:trHeight w:hRule="exact" w:val="369"/>
          <w:jc w:val="center"/>
        </w:trPr>
        <w:tc>
          <w:tcPr>
            <w:tcW w:w="1423" w:type="dxa"/>
          </w:tcPr>
          <w:p w14:paraId="631A0F8B" w14:textId="77777777" w:rsidR="00D0690F" w:rsidRPr="005A1CAE" w:rsidRDefault="00D0690F" w:rsidP="009F612D">
            <w:pPr>
              <w:ind w:right="-29"/>
              <w:jc w:val="center"/>
              <w:rPr>
                <w:noProof/>
                <w:sz w:val="18"/>
                <w:szCs w:val="18"/>
              </w:rPr>
            </w:pPr>
            <w:r w:rsidRPr="005A1CAE">
              <w:rPr>
                <w:noProof/>
                <w:sz w:val="18"/>
              </w:rPr>
              <w:t>- Produkt</w:t>
            </w:r>
          </w:p>
        </w:tc>
        <w:tc>
          <w:tcPr>
            <w:tcW w:w="720" w:type="dxa"/>
          </w:tcPr>
          <w:p w14:paraId="79D33869" w14:textId="77777777" w:rsidR="00D0690F" w:rsidRPr="005A1CAE" w:rsidRDefault="00D0690F" w:rsidP="009F612D">
            <w:pPr>
              <w:ind w:right="-29"/>
              <w:jc w:val="center"/>
              <w:rPr>
                <w:noProof/>
                <w:sz w:val="18"/>
                <w:szCs w:val="18"/>
              </w:rPr>
            </w:pPr>
          </w:p>
        </w:tc>
        <w:tc>
          <w:tcPr>
            <w:tcW w:w="701" w:type="dxa"/>
          </w:tcPr>
          <w:p w14:paraId="37280A15" w14:textId="77777777" w:rsidR="00D0690F" w:rsidRPr="005A1CAE" w:rsidRDefault="00D0690F" w:rsidP="009F612D">
            <w:pPr>
              <w:ind w:right="-29"/>
              <w:jc w:val="center"/>
              <w:rPr>
                <w:noProof/>
                <w:sz w:val="18"/>
                <w:szCs w:val="18"/>
              </w:rPr>
            </w:pPr>
          </w:p>
        </w:tc>
        <w:tc>
          <w:tcPr>
            <w:tcW w:w="504" w:type="dxa"/>
            <w:tcBorders>
              <w:right w:val="dashSmallGap" w:sz="4" w:space="0" w:color="auto"/>
            </w:tcBorders>
          </w:tcPr>
          <w:p w14:paraId="16179DE0" w14:textId="77777777" w:rsidR="00D0690F" w:rsidRPr="005A1CAE" w:rsidRDefault="00D0690F" w:rsidP="009F612D">
            <w:pPr>
              <w:ind w:right="-29"/>
              <w:jc w:val="center"/>
              <w:rPr>
                <w:noProof/>
                <w:sz w:val="18"/>
                <w:szCs w:val="18"/>
              </w:rPr>
            </w:pPr>
          </w:p>
        </w:tc>
        <w:tc>
          <w:tcPr>
            <w:tcW w:w="720" w:type="dxa"/>
            <w:tcBorders>
              <w:left w:val="dashSmallGap" w:sz="4" w:space="0" w:color="auto"/>
            </w:tcBorders>
          </w:tcPr>
          <w:p w14:paraId="2310507A" w14:textId="77777777" w:rsidR="00D0690F" w:rsidRPr="005A1CAE" w:rsidRDefault="00D0690F" w:rsidP="009F612D">
            <w:pPr>
              <w:ind w:right="-29"/>
              <w:jc w:val="center"/>
              <w:rPr>
                <w:noProof/>
                <w:sz w:val="18"/>
                <w:szCs w:val="18"/>
              </w:rPr>
            </w:pPr>
          </w:p>
        </w:tc>
        <w:tc>
          <w:tcPr>
            <w:tcW w:w="540" w:type="dxa"/>
            <w:tcBorders>
              <w:right w:val="dashSmallGap" w:sz="4" w:space="0" w:color="auto"/>
            </w:tcBorders>
          </w:tcPr>
          <w:p w14:paraId="43EC1157" w14:textId="77777777" w:rsidR="00D0690F" w:rsidRPr="005A1CAE" w:rsidRDefault="00D0690F" w:rsidP="009F612D">
            <w:pPr>
              <w:ind w:right="-29"/>
              <w:jc w:val="center"/>
              <w:rPr>
                <w:noProof/>
                <w:sz w:val="18"/>
                <w:szCs w:val="18"/>
              </w:rPr>
            </w:pPr>
          </w:p>
        </w:tc>
        <w:tc>
          <w:tcPr>
            <w:tcW w:w="720" w:type="dxa"/>
            <w:tcBorders>
              <w:left w:val="dashSmallGap" w:sz="4" w:space="0" w:color="auto"/>
            </w:tcBorders>
          </w:tcPr>
          <w:p w14:paraId="52621936" w14:textId="77777777" w:rsidR="00D0690F" w:rsidRPr="005A1CAE" w:rsidRDefault="00D0690F" w:rsidP="009F612D">
            <w:pPr>
              <w:ind w:right="-29"/>
              <w:jc w:val="center"/>
              <w:rPr>
                <w:noProof/>
                <w:sz w:val="18"/>
                <w:szCs w:val="18"/>
              </w:rPr>
            </w:pPr>
          </w:p>
        </w:tc>
        <w:tc>
          <w:tcPr>
            <w:tcW w:w="720" w:type="dxa"/>
            <w:tcBorders>
              <w:right w:val="dashSmallGap" w:sz="4" w:space="0" w:color="auto"/>
            </w:tcBorders>
          </w:tcPr>
          <w:p w14:paraId="186E07F5" w14:textId="77777777" w:rsidR="00D0690F" w:rsidRPr="005A1CAE" w:rsidRDefault="00D0690F" w:rsidP="009F612D">
            <w:pPr>
              <w:ind w:right="-29"/>
              <w:jc w:val="center"/>
              <w:rPr>
                <w:noProof/>
                <w:sz w:val="18"/>
                <w:szCs w:val="18"/>
              </w:rPr>
            </w:pPr>
          </w:p>
        </w:tc>
        <w:tc>
          <w:tcPr>
            <w:tcW w:w="720" w:type="dxa"/>
            <w:tcBorders>
              <w:left w:val="dashSmallGap" w:sz="4" w:space="0" w:color="auto"/>
            </w:tcBorders>
          </w:tcPr>
          <w:p w14:paraId="50340597" w14:textId="77777777" w:rsidR="00D0690F" w:rsidRPr="005A1CAE" w:rsidRDefault="00D0690F" w:rsidP="009F612D">
            <w:pPr>
              <w:ind w:right="-29"/>
              <w:jc w:val="center"/>
              <w:rPr>
                <w:noProof/>
                <w:sz w:val="18"/>
                <w:szCs w:val="18"/>
              </w:rPr>
            </w:pPr>
          </w:p>
        </w:tc>
        <w:tc>
          <w:tcPr>
            <w:tcW w:w="900" w:type="dxa"/>
            <w:tcBorders>
              <w:right w:val="dashSmallGap" w:sz="4" w:space="0" w:color="auto"/>
            </w:tcBorders>
          </w:tcPr>
          <w:p w14:paraId="76C7458C" w14:textId="77777777" w:rsidR="00D0690F" w:rsidRPr="005A1CAE" w:rsidRDefault="00D0690F" w:rsidP="009F612D">
            <w:pPr>
              <w:ind w:right="-29"/>
              <w:jc w:val="center"/>
              <w:rPr>
                <w:noProof/>
                <w:sz w:val="18"/>
                <w:szCs w:val="18"/>
              </w:rPr>
            </w:pPr>
          </w:p>
        </w:tc>
        <w:tc>
          <w:tcPr>
            <w:tcW w:w="720" w:type="dxa"/>
            <w:gridSpan w:val="2"/>
            <w:tcBorders>
              <w:left w:val="dashSmallGap" w:sz="4" w:space="0" w:color="auto"/>
            </w:tcBorders>
          </w:tcPr>
          <w:p w14:paraId="55C407F1" w14:textId="77777777" w:rsidR="00D0690F" w:rsidRPr="005A1CAE" w:rsidRDefault="00D0690F" w:rsidP="009F612D">
            <w:pPr>
              <w:ind w:right="-29"/>
              <w:jc w:val="center"/>
              <w:rPr>
                <w:noProof/>
                <w:sz w:val="18"/>
                <w:szCs w:val="18"/>
              </w:rPr>
            </w:pPr>
          </w:p>
        </w:tc>
        <w:tc>
          <w:tcPr>
            <w:tcW w:w="540" w:type="dxa"/>
            <w:tcBorders>
              <w:right w:val="dashSmallGap" w:sz="4" w:space="0" w:color="auto"/>
            </w:tcBorders>
          </w:tcPr>
          <w:p w14:paraId="5C717A99" w14:textId="77777777" w:rsidR="00D0690F" w:rsidRPr="005A1CAE" w:rsidRDefault="00D0690F" w:rsidP="009F612D">
            <w:pPr>
              <w:ind w:right="-29"/>
              <w:jc w:val="center"/>
              <w:rPr>
                <w:noProof/>
                <w:sz w:val="18"/>
                <w:szCs w:val="18"/>
              </w:rPr>
            </w:pPr>
          </w:p>
        </w:tc>
        <w:tc>
          <w:tcPr>
            <w:tcW w:w="648" w:type="dxa"/>
            <w:tcBorders>
              <w:left w:val="dashSmallGap" w:sz="4" w:space="0" w:color="auto"/>
            </w:tcBorders>
          </w:tcPr>
          <w:p w14:paraId="08791574" w14:textId="77777777" w:rsidR="00D0690F" w:rsidRPr="005A1CAE" w:rsidRDefault="00D0690F" w:rsidP="009F612D">
            <w:pPr>
              <w:ind w:right="-29"/>
              <w:jc w:val="center"/>
              <w:rPr>
                <w:noProof/>
                <w:sz w:val="18"/>
                <w:szCs w:val="18"/>
              </w:rPr>
            </w:pPr>
          </w:p>
        </w:tc>
        <w:tc>
          <w:tcPr>
            <w:tcW w:w="432" w:type="dxa"/>
            <w:tcBorders>
              <w:right w:val="dashSmallGap" w:sz="4" w:space="0" w:color="auto"/>
            </w:tcBorders>
          </w:tcPr>
          <w:p w14:paraId="2838BCC3" w14:textId="77777777" w:rsidR="00D0690F" w:rsidRPr="005A1CAE" w:rsidRDefault="00D0690F" w:rsidP="009F612D">
            <w:pPr>
              <w:ind w:right="-29"/>
              <w:jc w:val="center"/>
              <w:rPr>
                <w:noProof/>
                <w:sz w:val="18"/>
                <w:szCs w:val="18"/>
              </w:rPr>
            </w:pPr>
          </w:p>
        </w:tc>
        <w:tc>
          <w:tcPr>
            <w:tcW w:w="720" w:type="dxa"/>
            <w:tcBorders>
              <w:left w:val="dashSmallGap" w:sz="4" w:space="0" w:color="auto"/>
            </w:tcBorders>
          </w:tcPr>
          <w:p w14:paraId="23AE5278" w14:textId="77777777" w:rsidR="00D0690F" w:rsidRPr="005A1CAE" w:rsidRDefault="00D0690F" w:rsidP="009F612D">
            <w:pPr>
              <w:ind w:right="-29"/>
              <w:jc w:val="center"/>
              <w:rPr>
                <w:noProof/>
                <w:sz w:val="18"/>
                <w:szCs w:val="18"/>
              </w:rPr>
            </w:pPr>
          </w:p>
        </w:tc>
        <w:tc>
          <w:tcPr>
            <w:tcW w:w="540" w:type="dxa"/>
            <w:tcBorders>
              <w:right w:val="dashSmallGap" w:sz="4" w:space="0" w:color="auto"/>
            </w:tcBorders>
          </w:tcPr>
          <w:p w14:paraId="719E7FF6" w14:textId="77777777" w:rsidR="00D0690F" w:rsidRPr="005A1CAE" w:rsidRDefault="00D0690F" w:rsidP="009F612D">
            <w:pPr>
              <w:ind w:right="-29"/>
              <w:jc w:val="center"/>
              <w:rPr>
                <w:noProof/>
                <w:sz w:val="18"/>
                <w:szCs w:val="18"/>
              </w:rPr>
            </w:pPr>
          </w:p>
        </w:tc>
        <w:tc>
          <w:tcPr>
            <w:tcW w:w="720" w:type="dxa"/>
            <w:tcBorders>
              <w:left w:val="dashSmallGap" w:sz="4" w:space="0" w:color="auto"/>
            </w:tcBorders>
          </w:tcPr>
          <w:p w14:paraId="689FED50" w14:textId="77777777" w:rsidR="00D0690F" w:rsidRPr="005A1CAE" w:rsidRDefault="00D0690F" w:rsidP="009F612D">
            <w:pPr>
              <w:ind w:right="-29"/>
              <w:jc w:val="center"/>
              <w:rPr>
                <w:noProof/>
                <w:sz w:val="18"/>
                <w:szCs w:val="18"/>
              </w:rPr>
            </w:pPr>
          </w:p>
        </w:tc>
        <w:tc>
          <w:tcPr>
            <w:tcW w:w="720" w:type="dxa"/>
          </w:tcPr>
          <w:p w14:paraId="5A5FF419" w14:textId="77777777" w:rsidR="00D0690F" w:rsidRPr="005A1CAE" w:rsidRDefault="00D0690F" w:rsidP="009F612D">
            <w:pPr>
              <w:ind w:right="-29"/>
              <w:jc w:val="center"/>
              <w:rPr>
                <w:noProof/>
                <w:sz w:val="18"/>
                <w:szCs w:val="18"/>
              </w:rPr>
            </w:pPr>
          </w:p>
        </w:tc>
        <w:tc>
          <w:tcPr>
            <w:tcW w:w="900" w:type="dxa"/>
          </w:tcPr>
          <w:p w14:paraId="2E243B59" w14:textId="77777777" w:rsidR="00D0690F" w:rsidRPr="005A1CAE" w:rsidRDefault="00D0690F" w:rsidP="009F612D">
            <w:pPr>
              <w:ind w:right="-29"/>
              <w:jc w:val="center"/>
              <w:rPr>
                <w:noProof/>
                <w:sz w:val="18"/>
                <w:szCs w:val="18"/>
              </w:rPr>
            </w:pPr>
          </w:p>
        </w:tc>
      </w:tr>
      <w:tr w:rsidR="00D0690F" w:rsidRPr="005A1CAE" w14:paraId="0D4B45A8" w14:textId="77777777" w:rsidTr="009F612D">
        <w:trPr>
          <w:trHeight w:hRule="exact" w:val="369"/>
          <w:jc w:val="center"/>
        </w:trPr>
        <w:tc>
          <w:tcPr>
            <w:tcW w:w="1423" w:type="dxa"/>
          </w:tcPr>
          <w:p w14:paraId="558FEE77" w14:textId="77777777" w:rsidR="00D0690F" w:rsidRPr="005A1CAE" w:rsidRDefault="00D0690F" w:rsidP="009F612D">
            <w:pPr>
              <w:ind w:right="-29"/>
              <w:jc w:val="center"/>
              <w:rPr>
                <w:noProof/>
                <w:sz w:val="18"/>
                <w:szCs w:val="18"/>
              </w:rPr>
            </w:pPr>
            <w:r w:rsidRPr="005A1CAE">
              <w:rPr>
                <w:noProof/>
                <w:sz w:val="18"/>
              </w:rPr>
              <w:t>- Produkt</w:t>
            </w:r>
          </w:p>
        </w:tc>
        <w:tc>
          <w:tcPr>
            <w:tcW w:w="720" w:type="dxa"/>
          </w:tcPr>
          <w:p w14:paraId="0DBC37F4" w14:textId="77777777" w:rsidR="00D0690F" w:rsidRPr="005A1CAE" w:rsidRDefault="00D0690F" w:rsidP="009F612D">
            <w:pPr>
              <w:ind w:right="-29"/>
              <w:jc w:val="center"/>
              <w:rPr>
                <w:noProof/>
                <w:sz w:val="18"/>
                <w:szCs w:val="18"/>
              </w:rPr>
            </w:pPr>
          </w:p>
        </w:tc>
        <w:tc>
          <w:tcPr>
            <w:tcW w:w="701" w:type="dxa"/>
          </w:tcPr>
          <w:p w14:paraId="08BB54A0" w14:textId="77777777" w:rsidR="00D0690F" w:rsidRPr="005A1CAE" w:rsidRDefault="00D0690F" w:rsidP="009F612D">
            <w:pPr>
              <w:ind w:right="-29"/>
              <w:jc w:val="center"/>
              <w:rPr>
                <w:noProof/>
                <w:sz w:val="18"/>
                <w:szCs w:val="18"/>
              </w:rPr>
            </w:pPr>
          </w:p>
        </w:tc>
        <w:tc>
          <w:tcPr>
            <w:tcW w:w="504" w:type="dxa"/>
            <w:tcBorders>
              <w:right w:val="dashSmallGap" w:sz="4" w:space="0" w:color="auto"/>
            </w:tcBorders>
          </w:tcPr>
          <w:p w14:paraId="15AA2E75" w14:textId="77777777" w:rsidR="00D0690F" w:rsidRPr="005A1CAE" w:rsidRDefault="00D0690F" w:rsidP="009F612D">
            <w:pPr>
              <w:ind w:right="-29"/>
              <w:jc w:val="center"/>
              <w:rPr>
                <w:noProof/>
                <w:sz w:val="18"/>
                <w:szCs w:val="18"/>
              </w:rPr>
            </w:pPr>
          </w:p>
        </w:tc>
        <w:tc>
          <w:tcPr>
            <w:tcW w:w="720" w:type="dxa"/>
            <w:tcBorders>
              <w:left w:val="dashSmallGap" w:sz="4" w:space="0" w:color="auto"/>
            </w:tcBorders>
          </w:tcPr>
          <w:p w14:paraId="3CC4F80D" w14:textId="77777777" w:rsidR="00D0690F" w:rsidRPr="005A1CAE" w:rsidRDefault="00D0690F" w:rsidP="009F612D">
            <w:pPr>
              <w:ind w:right="-29"/>
              <w:jc w:val="center"/>
              <w:rPr>
                <w:noProof/>
                <w:sz w:val="18"/>
                <w:szCs w:val="18"/>
              </w:rPr>
            </w:pPr>
          </w:p>
        </w:tc>
        <w:tc>
          <w:tcPr>
            <w:tcW w:w="540" w:type="dxa"/>
            <w:tcBorders>
              <w:right w:val="dashSmallGap" w:sz="4" w:space="0" w:color="auto"/>
            </w:tcBorders>
          </w:tcPr>
          <w:p w14:paraId="6B6CD161" w14:textId="77777777" w:rsidR="00D0690F" w:rsidRPr="005A1CAE" w:rsidRDefault="00D0690F" w:rsidP="009F612D">
            <w:pPr>
              <w:ind w:right="-29"/>
              <w:jc w:val="center"/>
              <w:rPr>
                <w:noProof/>
                <w:sz w:val="18"/>
                <w:szCs w:val="18"/>
              </w:rPr>
            </w:pPr>
          </w:p>
        </w:tc>
        <w:tc>
          <w:tcPr>
            <w:tcW w:w="720" w:type="dxa"/>
            <w:tcBorders>
              <w:left w:val="dashSmallGap" w:sz="4" w:space="0" w:color="auto"/>
            </w:tcBorders>
          </w:tcPr>
          <w:p w14:paraId="48A95B17" w14:textId="77777777" w:rsidR="00D0690F" w:rsidRPr="005A1CAE" w:rsidRDefault="00D0690F" w:rsidP="009F612D">
            <w:pPr>
              <w:ind w:right="-29"/>
              <w:jc w:val="center"/>
              <w:rPr>
                <w:noProof/>
                <w:sz w:val="18"/>
                <w:szCs w:val="18"/>
              </w:rPr>
            </w:pPr>
          </w:p>
        </w:tc>
        <w:tc>
          <w:tcPr>
            <w:tcW w:w="720" w:type="dxa"/>
            <w:tcBorders>
              <w:right w:val="dashSmallGap" w:sz="4" w:space="0" w:color="auto"/>
            </w:tcBorders>
          </w:tcPr>
          <w:p w14:paraId="24186E14" w14:textId="77777777" w:rsidR="00D0690F" w:rsidRPr="005A1CAE" w:rsidRDefault="00D0690F" w:rsidP="009F612D">
            <w:pPr>
              <w:ind w:right="-29"/>
              <w:jc w:val="center"/>
              <w:rPr>
                <w:noProof/>
                <w:sz w:val="18"/>
                <w:szCs w:val="18"/>
              </w:rPr>
            </w:pPr>
          </w:p>
        </w:tc>
        <w:tc>
          <w:tcPr>
            <w:tcW w:w="720" w:type="dxa"/>
            <w:tcBorders>
              <w:left w:val="dashSmallGap" w:sz="4" w:space="0" w:color="auto"/>
            </w:tcBorders>
          </w:tcPr>
          <w:p w14:paraId="5843BE3F" w14:textId="77777777" w:rsidR="00D0690F" w:rsidRPr="005A1CAE" w:rsidRDefault="00D0690F" w:rsidP="009F612D">
            <w:pPr>
              <w:ind w:right="-29"/>
              <w:jc w:val="center"/>
              <w:rPr>
                <w:noProof/>
                <w:sz w:val="18"/>
                <w:szCs w:val="18"/>
              </w:rPr>
            </w:pPr>
          </w:p>
        </w:tc>
        <w:tc>
          <w:tcPr>
            <w:tcW w:w="900" w:type="dxa"/>
            <w:tcBorders>
              <w:right w:val="dashSmallGap" w:sz="4" w:space="0" w:color="auto"/>
            </w:tcBorders>
          </w:tcPr>
          <w:p w14:paraId="39E64D94" w14:textId="77777777" w:rsidR="00D0690F" w:rsidRPr="005A1CAE" w:rsidRDefault="00D0690F" w:rsidP="009F612D">
            <w:pPr>
              <w:ind w:right="-29"/>
              <w:jc w:val="center"/>
              <w:rPr>
                <w:noProof/>
                <w:sz w:val="18"/>
                <w:szCs w:val="18"/>
              </w:rPr>
            </w:pPr>
          </w:p>
        </w:tc>
        <w:tc>
          <w:tcPr>
            <w:tcW w:w="720" w:type="dxa"/>
            <w:gridSpan w:val="2"/>
            <w:tcBorders>
              <w:left w:val="dashSmallGap" w:sz="4" w:space="0" w:color="auto"/>
            </w:tcBorders>
          </w:tcPr>
          <w:p w14:paraId="533B06AC" w14:textId="77777777" w:rsidR="00D0690F" w:rsidRPr="005A1CAE" w:rsidRDefault="00D0690F" w:rsidP="009F612D">
            <w:pPr>
              <w:ind w:right="-29"/>
              <w:jc w:val="center"/>
              <w:rPr>
                <w:noProof/>
                <w:sz w:val="18"/>
                <w:szCs w:val="18"/>
              </w:rPr>
            </w:pPr>
          </w:p>
        </w:tc>
        <w:tc>
          <w:tcPr>
            <w:tcW w:w="540" w:type="dxa"/>
            <w:tcBorders>
              <w:right w:val="dashSmallGap" w:sz="4" w:space="0" w:color="auto"/>
            </w:tcBorders>
          </w:tcPr>
          <w:p w14:paraId="1A7BE182" w14:textId="77777777" w:rsidR="00D0690F" w:rsidRPr="005A1CAE" w:rsidRDefault="00D0690F" w:rsidP="009F612D">
            <w:pPr>
              <w:ind w:right="-29"/>
              <w:jc w:val="center"/>
              <w:rPr>
                <w:noProof/>
                <w:sz w:val="18"/>
                <w:szCs w:val="18"/>
              </w:rPr>
            </w:pPr>
          </w:p>
        </w:tc>
        <w:tc>
          <w:tcPr>
            <w:tcW w:w="648" w:type="dxa"/>
            <w:tcBorders>
              <w:left w:val="dashSmallGap" w:sz="4" w:space="0" w:color="auto"/>
            </w:tcBorders>
          </w:tcPr>
          <w:p w14:paraId="1D86F6B8" w14:textId="77777777" w:rsidR="00D0690F" w:rsidRPr="005A1CAE" w:rsidRDefault="00D0690F" w:rsidP="009F612D">
            <w:pPr>
              <w:ind w:right="-29"/>
              <w:jc w:val="center"/>
              <w:rPr>
                <w:noProof/>
                <w:sz w:val="18"/>
                <w:szCs w:val="18"/>
              </w:rPr>
            </w:pPr>
          </w:p>
        </w:tc>
        <w:tc>
          <w:tcPr>
            <w:tcW w:w="432" w:type="dxa"/>
            <w:tcBorders>
              <w:right w:val="dashSmallGap" w:sz="4" w:space="0" w:color="auto"/>
            </w:tcBorders>
          </w:tcPr>
          <w:p w14:paraId="5DB3B70D" w14:textId="77777777" w:rsidR="00D0690F" w:rsidRPr="005A1CAE" w:rsidRDefault="00D0690F" w:rsidP="009F612D">
            <w:pPr>
              <w:ind w:right="-29"/>
              <w:jc w:val="center"/>
              <w:rPr>
                <w:noProof/>
                <w:sz w:val="18"/>
                <w:szCs w:val="18"/>
              </w:rPr>
            </w:pPr>
          </w:p>
        </w:tc>
        <w:tc>
          <w:tcPr>
            <w:tcW w:w="720" w:type="dxa"/>
            <w:tcBorders>
              <w:left w:val="dashSmallGap" w:sz="4" w:space="0" w:color="auto"/>
            </w:tcBorders>
          </w:tcPr>
          <w:p w14:paraId="52824F21" w14:textId="77777777" w:rsidR="00D0690F" w:rsidRPr="005A1CAE" w:rsidRDefault="00D0690F" w:rsidP="009F612D">
            <w:pPr>
              <w:ind w:right="-29"/>
              <w:jc w:val="center"/>
              <w:rPr>
                <w:noProof/>
                <w:sz w:val="18"/>
                <w:szCs w:val="18"/>
              </w:rPr>
            </w:pPr>
          </w:p>
        </w:tc>
        <w:tc>
          <w:tcPr>
            <w:tcW w:w="540" w:type="dxa"/>
            <w:tcBorders>
              <w:right w:val="dashSmallGap" w:sz="4" w:space="0" w:color="auto"/>
            </w:tcBorders>
          </w:tcPr>
          <w:p w14:paraId="6C2283EC" w14:textId="77777777" w:rsidR="00D0690F" w:rsidRPr="005A1CAE" w:rsidRDefault="00D0690F" w:rsidP="009F612D">
            <w:pPr>
              <w:ind w:right="-29"/>
              <w:jc w:val="center"/>
              <w:rPr>
                <w:noProof/>
                <w:sz w:val="18"/>
                <w:szCs w:val="18"/>
              </w:rPr>
            </w:pPr>
          </w:p>
        </w:tc>
        <w:tc>
          <w:tcPr>
            <w:tcW w:w="720" w:type="dxa"/>
            <w:tcBorders>
              <w:left w:val="dashSmallGap" w:sz="4" w:space="0" w:color="auto"/>
            </w:tcBorders>
          </w:tcPr>
          <w:p w14:paraId="032BD3E6" w14:textId="77777777" w:rsidR="00D0690F" w:rsidRPr="005A1CAE" w:rsidRDefault="00D0690F" w:rsidP="009F612D">
            <w:pPr>
              <w:ind w:right="-29"/>
              <w:jc w:val="center"/>
              <w:rPr>
                <w:noProof/>
                <w:sz w:val="18"/>
                <w:szCs w:val="18"/>
              </w:rPr>
            </w:pPr>
          </w:p>
        </w:tc>
        <w:tc>
          <w:tcPr>
            <w:tcW w:w="720" w:type="dxa"/>
          </w:tcPr>
          <w:p w14:paraId="436CC60B" w14:textId="77777777" w:rsidR="00D0690F" w:rsidRPr="005A1CAE" w:rsidRDefault="00D0690F" w:rsidP="009F612D">
            <w:pPr>
              <w:ind w:right="-29"/>
              <w:jc w:val="center"/>
              <w:rPr>
                <w:noProof/>
                <w:sz w:val="18"/>
                <w:szCs w:val="18"/>
              </w:rPr>
            </w:pPr>
          </w:p>
        </w:tc>
        <w:tc>
          <w:tcPr>
            <w:tcW w:w="900" w:type="dxa"/>
          </w:tcPr>
          <w:p w14:paraId="3EF66346" w14:textId="77777777" w:rsidR="00D0690F" w:rsidRPr="005A1CAE" w:rsidRDefault="00D0690F" w:rsidP="009F612D">
            <w:pPr>
              <w:ind w:right="-29"/>
              <w:jc w:val="center"/>
              <w:rPr>
                <w:noProof/>
                <w:sz w:val="18"/>
                <w:szCs w:val="18"/>
              </w:rPr>
            </w:pPr>
          </w:p>
        </w:tc>
      </w:tr>
      <w:tr w:rsidR="00D0690F" w:rsidRPr="005A1CAE" w14:paraId="20C8AA4A" w14:textId="77777777" w:rsidTr="009F612D">
        <w:trPr>
          <w:trHeight w:hRule="exact" w:val="369"/>
          <w:jc w:val="center"/>
        </w:trPr>
        <w:tc>
          <w:tcPr>
            <w:tcW w:w="1423" w:type="dxa"/>
          </w:tcPr>
          <w:p w14:paraId="1BBBED9D" w14:textId="77777777" w:rsidR="00D0690F" w:rsidRPr="005A1CAE" w:rsidRDefault="00D0690F" w:rsidP="009F612D">
            <w:pPr>
              <w:ind w:right="-29"/>
              <w:jc w:val="center"/>
              <w:rPr>
                <w:noProof/>
                <w:sz w:val="18"/>
                <w:szCs w:val="18"/>
              </w:rPr>
            </w:pPr>
            <w:r w:rsidRPr="005A1CAE">
              <w:rPr>
                <w:noProof/>
                <w:sz w:val="18"/>
              </w:rPr>
              <w:t>- Produkt</w:t>
            </w:r>
          </w:p>
        </w:tc>
        <w:tc>
          <w:tcPr>
            <w:tcW w:w="720" w:type="dxa"/>
          </w:tcPr>
          <w:p w14:paraId="139760A0" w14:textId="77777777" w:rsidR="00D0690F" w:rsidRPr="005A1CAE" w:rsidRDefault="00D0690F" w:rsidP="009F612D">
            <w:pPr>
              <w:ind w:right="-29"/>
              <w:jc w:val="center"/>
              <w:rPr>
                <w:noProof/>
                <w:sz w:val="18"/>
                <w:szCs w:val="18"/>
              </w:rPr>
            </w:pPr>
          </w:p>
        </w:tc>
        <w:tc>
          <w:tcPr>
            <w:tcW w:w="701" w:type="dxa"/>
          </w:tcPr>
          <w:p w14:paraId="3162A3A2" w14:textId="77777777" w:rsidR="00D0690F" w:rsidRPr="005A1CAE" w:rsidRDefault="00D0690F" w:rsidP="009F612D">
            <w:pPr>
              <w:ind w:right="-29"/>
              <w:jc w:val="center"/>
              <w:rPr>
                <w:noProof/>
                <w:sz w:val="18"/>
                <w:szCs w:val="18"/>
              </w:rPr>
            </w:pPr>
          </w:p>
        </w:tc>
        <w:tc>
          <w:tcPr>
            <w:tcW w:w="504" w:type="dxa"/>
          </w:tcPr>
          <w:p w14:paraId="302C3899" w14:textId="77777777" w:rsidR="00D0690F" w:rsidRPr="005A1CAE" w:rsidRDefault="00D0690F" w:rsidP="009F612D">
            <w:pPr>
              <w:ind w:right="-29"/>
              <w:jc w:val="center"/>
              <w:rPr>
                <w:noProof/>
                <w:sz w:val="18"/>
                <w:szCs w:val="18"/>
              </w:rPr>
            </w:pPr>
          </w:p>
        </w:tc>
        <w:tc>
          <w:tcPr>
            <w:tcW w:w="720" w:type="dxa"/>
          </w:tcPr>
          <w:p w14:paraId="2B8408A5" w14:textId="77777777" w:rsidR="00D0690F" w:rsidRPr="005A1CAE" w:rsidRDefault="00D0690F" w:rsidP="009F612D">
            <w:pPr>
              <w:ind w:right="-29"/>
              <w:jc w:val="center"/>
              <w:rPr>
                <w:noProof/>
                <w:sz w:val="18"/>
                <w:szCs w:val="18"/>
              </w:rPr>
            </w:pPr>
          </w:p>
        </w:tc>
        <w:tc>
          <w:tcPr>
            <w:tcW w:w="540" w:type="dxa"/>
          </w:tcPr>
          <w:p w14:paraId="034C6B3A" w14:textId="77777777" w:rsidR="00D0690F" w:rsidRPr="005A1CAE" w:rsidRDefault="00D0690F" w:rsidP="009F612D">
            <w:pPr>
              <w:ind w:right="-29"/>
              <w:jc w:val="center"/>
              <w:rPr>
                <w:noProof/>
                <w:sz w:val="18"/>
                <w:szCs w:val="18"/>
              </w:rPr>
            </w:pPr>
          </w:p>
        </w:tc>
        <w:tc>
          <w:tcPr>
            <w:tcW w:w="720" w:type="dxa"/>
          </w:tcPr>
          <w:p w14:paraId="25BA35E9" w14:textId="77777777" w:rsidR="00D0690F" w:rsidRPr="005A1CAE" w:rsidRDefault="00D0690F" w:rsidP="009F612D">
            <w:pPr>
              <w:ind w:right="-29"/>
              <w:jc w:val="center"/>
              <w:rPr>
                <w:noProof/>
                <w:sz w:val="18"/>
                <w:szCs w:val="18"/>
              </w:rPr>
            </w:pPr>
          </w:p>
        </w:tc>
        <w:tc>
          <w:tcPr>
            <w:tcW w:w="720" w:type="dxa"/>
          </w:tcPr>
          <w:p w14:paraId="73B2FB11" w14:textId="77777777" w:rsidR="00D0690F" w:rsidRPr="005A1CAE" w:rsidRDefault="00D0690F" w:rsidP="009F612D">
            <w:pPr>
              <w:ind w:right="-29"/>
              <w:jc w:val="center"/>
              <w:rPr>
                <w:noProof/>
                <w:sz w:val="18"/>
                <w:szCs w:val="18"/>
              </w:rPr>
            </w:pPr>
          </w:p>
        </w:tc>
        <w:tc>
          <w:tcPr>
            <w:tcW w:w="720" w:type="dxa"/>
          </w:tcPr>
          <w:p w14:paraId="3456C0B3" w14:textId="77777777" w:rsidR="00D0690F" w:rsidRPr="005A1CAE" w:rsidRDefault="00D0690F" w:rsidP="009F612D">
            <w:pPr>
              <w:ind w:right="-29"/>
              <w:jc w:val="center"/>
              <w:rPr>
                <w:noProof/>
                <w:sz w:val="18"/>
                <w:szCs w:val="18"/>
              </w:rPr>
            </w:pPr>
          </w:p>
        </w:tc>
        <w:tc>
          <w:tcPr>
            <w:tcW w:w="900" w:type="dxa"/>
          </w:tcPr>
          <w:p w14:paraId="7F2B60E0" w14:textId="77777777" w:rsidR="00D0690F" w:rsidRPr="005A1CAE" w:rsidRDefault="00D0690F" w:rsidP="009F612D">
            <w:pPr>
              <w:ind w:right="-29"/>
              <w:jc w:val="center"/>
              <w:rPr>
                <w:noProof/>
                <w:sz w:val="18"/>
                <w:szCs w:val="18"/>
              </w:rPr>
            </w:pPr>
          </w:p>
        </w:tc>
        <w:tc>
          <w:tcPr>
            <w:tcW w:w="720" w:type="dxa"/>
            <w:gridSpan w:val="2"/>
          </w:tcPr>
          <w:p w14:paraId="3E306703" w14:textId="77777777" w:rsidR="00D0690F" w:rsidRPr="005A1CAE" w:rsidRDefault="00D0690F" w:rsidP="009F612D">
            <w:pPr>
              <w:ind w:right="-29"/>
              <w:jc w:val="center"/>
              <w:rPr>
                <w:noProof/>
                <w:sz w:val="18"/>
                <w:szCs w:val="18"/>
              </w:rPr>
            </w:pPr>
          </w:p>
        </w:tc>
        <w:tc>
          <w:tcPr>
            <w:tcW w:w="540" w:type="dxa"/>
          </w:tcPr>
          <w:p w14:paraId="61ECBED2" w14:textId="77777777" w:rsidR="00D0690F" w:rsidRPr="005A1CAE" w:rsidRDefault="00D0690F" w:rsidP="009F612D">
            <w:pPr>
              <w:ind w:right="-29"/>
              <w:jc w:val="center"/>
              <w:rPr>
                <w:noProof/>
                <w:sz w:val="18"/>
                <w:szCs w:val="18"/>
              </w:rPr>
            </w:pPr>
          </w:p>
        </w:tc>
        <w:tc>
          <w:tcPr>
            <w:tcW w:w="648" w:type="dxa"/>
          </w:tcPr>
          <w:p w14:paraId="52616B3C" w14:textId="77777777" w:rsidR="00D0690F" w:rsidRPr="005A1CAE" w:rsidRDefault="00D0690F" w:rsidP="009F612D">
            <w:pPr>
              <w:ind w:right="-29"/>
              <w:jc w:val="center"/>
              <w:rPr>
                <w:noProof/>
                <w:sz w:val="18"/>
                <w:szCs w:val="18"/>
              </w:rPr>
            </w:pPr>
          </w:p>
        </w:tc>
        <w:tc>
          <w:tcPr>
            <w:tcW w:w="432" w:type="dxa"/>
          </w:tcPr>
          <w:p w14:paraId="7E5BBAAE" w14:textId="77777777" w:rsidR="00D0690F" w:rsidRPr="005A1CAE" w:rsidRDefault="00D0690F" w:rsidP="009F612D">
            <w:pPr>
              <w:ind w:right="-29"/>
              <w:jc w:val="center"/>
              <w:rPr>
                <w:noProof/>
                <w:sz w:val="18"/>
                <w:szCs w:val="18"/>
              </w:rPr>
            </w:pPr>
          </w:p>
        </w:tc>
        <w:tc>
          <w:tcPr>
            <w:tcW w:w="720" w:type="dxa"/>
          </w:tcPr>
          <w:p w14:paraId="201595E8" w14:textId="77777777" w:rsidR="00D0690F" w:rsidRPr="005A1CAE" w:rsidRDefault="00D0690F" w:rsidP="009F612D">
            <w:pPr>
              <w:ind w:right="-29"/>
              <w:jc w:val="center"/>
              <w:rPr>
                <w:noProof/>
                <w:sz w:val="18"/>
                <w:szCs w:val="18"/>
              </w:rPr>
            </w:pPr>
          </w:p>
        </w:tc>
        <w:tc>
          <w:tcPr>
            <w:tcW w:w="540" w:type="dxa"/>
          </w:tcPr>
          <w:p w14:paraId="77249FF2" w14:textId="77777777" w:rsidR="00D0690F" w:rsidRPr="005A1CAE" w:rsidRDefault="00D0690F" w:rsidP="009F612D">
            <w:pPr>
              <w:ind w:right="-29"/>
              <w:jc w:val="center"/>
              <w:rPr>
                <w:noProof/>
                <w:sz w:val="18"/>
                <w:szCs w:val="18"/>
              </w:rPr>
            </w:pPr>
          </w:p>
        </w:tc>
        <w:tc>
          <w:tcPr>
            <w:tcW w:w="720" w:type="dxa"/>
          </w:tcPr>
          <w:p w14:paraId="53190FBB" w14:textId="77777777" w:rsidR="00D0690F" w:rsidRPr="005A1CAE" w:rsidRDefault="00D0690F" w:rsidP="009F612D">
            <w:pPr>
              <w:ind w:right="-29"/>
              <w:jc w:val="center"/>
              <w:rPr>
                <w:noProof/>
                <w:sz w:val="18"/>
                <w:szCs w:val="18"/>
              </w:rPr>
            </w:pPr>
          </w:p>
        </w:tc>
        <w:tc>
          <w:tcPr>
            <w:tcW w:w="720" w:type="dxa"/>
          </w:tcPr>
          <w:p w14:paraId="037D6CDA" w14:textId="77777777" w:rsidR="00D0690F" w:rsidRPr="005A1CAE" w:rsidRDefault="00D0690F" w:rsidP="009F612D">
            <w:pPr>
              <w:ind w:right="-29"/>
              <w:jc w:val="center"/>
              <w:rPr>
                <w:noProof/>
                <w:sz w:val="18"/>
                <w:szCs w:val="18"/>
              </w:rPr>
            </w:pPr>
          </w:p>
        </w:tc>
        <w:tc>
          <w:tcPr>
            <w:tcW w:w="900" w:type="dxa"/>
          </w:tcPr>
          <w:p w14:paraId="7DC59A98" w14:textId="77777777" w:rsidR="00D0690F" w:rsidRPr="005A1CAE" w:rsidRDefault="00D0690F" w:rsidP="009F612D">
            <w:pPr>
              <w:ind w:right="-29"/>
              <w:jc w:val="center"/>
              <w:rPr>
                <w:noProof/>
                <w:sz w:val="18"/>
                <w:szCs w:val="18"/>
              </w:rPr>
            </w:pPr>
          </w:p>
        </w:tc>
      </w:tr>
      <w:tr w:rsidR="00D0690F" w:rsidRPr="005A1CAE" w14:paraId="4A555261" w14:textId="77777777" w:rsidTr="009F612D">
        <w:trPr>
          <w:trHeight w:val="77"/>
          <w:jc w:val="center"/>
        </w:trPr>
        <w:tc>
          <w:tcPr>
            <w:tcW w:w="2844" w:type="dxa"/>
            <w:gridSpan w:val="3"/>
            <w:tcBorders>
              <w:bottom w:val="single" w:sz="12" w:space="0" w:color="auto"/>
            </w:tcBorders>
            <w:vAlign w:val="center"/>
          </w:tcPr>
          <w:p w14:paraId="4D39901B" w14:textId="4BF9C058" w:rsidR="00D0690F" w:rsidRPr="005A1CAE" w:rsidRDefault="00D0690F" w:rsidP="009F612D">
            <w:pPr>
              <w:ind w:right="-29"/>
              <w:jc w:val="center"/>
              <w:rPr>
                <w:noProof/>
                <w:sz w:val="18"/>
                <w:szCs w:val="18"/>
              </w:rPr>
            </w:pPr>
            <w:r w:rsidRPr="005A1CAE">
              <w:rPr>
                <w:noProof/>
                <w:sz w:val="18"/>
              </w:rPr>
              <w:t>Cel szczegółowy nr</w:t>
            </w:r>
            <w:r w:rsidR="005A1CAE" w:rsidRPr="005A1CAE">
              <w:rPr>
                <w:noProof/>
                <w:sz w:val="18"/>
              </w:rPr>
              <w:t> </w:t>
            </w:r>
            <w:r w:rsidRPr="005A1CAE">
              <w:rPr>
                <w:noProof/>
                <w:sz w:val="18"/>
              </w:rPr>
              <w:t>1 – suma cząstkowa</w:t>
            </w:r>
          </w:p>
        </w:tc>
        <w:tc>
          <w:tcPr>
            <w:tcW w:w="504" w:type="dxa"/>
            <w:tcBorders>
              <w:bottom w:val="single" w:sz="12" w:space="0" w:color="auto"/>
            </w:tcBorders>
          </w:tcPr>
          <w:p w14:paraId="345A30A1"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03085BA5" w14:textId="77777777" w:rsidR="00D0690F" w:rsidRPr="005A1CAE" w:rsidRDefault="00D0690F" w:rsidP="009F612D">
            <w:pPr>
              <w:ind w:right="-29"/>
              <w:jc w:val="center"/>
              <w:rPr>
                <w:noProof/>
                <w:sz w:val="18"/>
                <w:szCs w:val="18"/>
              </w:rPr>
            </w:pPr>
          </w:p>
        </w:tc>
        <w:tc>
          <w:tcPr>
            <w:tcW w:w="540" w:type="dxa"/>
            <w:tcBorders>
              <w:bottom w:val="single" w:sz="12" w:space="0" w:color="auto"/>
            </w:tcBorders>
          </w:tcPr>
          <w:p w14:paraId="72B08388"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78B2FA42"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05379E81"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41C87D53" w14:textId="77777777" w:rsidR="00D0690F" w:rsidRPr="005A1CAE" w:rsidRDefault="00D0690F" w:rsidP="009F612D">
            <w:pPr>
              <w:ind w:right="-29"/>
              <w:jc w:val="center"/>
              <w:rPr>
                <w:noProof/>
                <w:sz w:val="18"/>
                <w:szCs w:val="18"/>
              </w:rPr>
            </w:pPr>
          </w:p>
        </w:tc>
        <w:tc>
          <w:tcPr>
            <w:tcW w:w="900" w:type="dxa"/>
            <w:tcBorders>
              <w:bottom w:val="single" w:sz="12" w:space="0" w:color="auto"/>
            </w:tcBorders>
          </w:tcPr>
          <w:p w14:paraId="437CB76A" w14:textId="77777777" w:rsidR="00D0690F" w:rsidRPr="005A1CAE" w:rsidRDefault="00D0690F" w:rsidP="009F612D">
            <w:pPr>
              <w:ind w:right="-29"/>
              <w:jc w:val="center"/>
              <w:rPr>
                <w:noProof/>
                <w:sz w:val="18"/>
                <w:szCs w:val="18"/>
              </w:rPr>
            </w:pPr>
          </w:p>
        </w:tc>
        <w:tc>
          <w:tcPr>
            <w:tcW w:w="720" w:type="dxa"/>
            <w:gridSpan w:val="2"/>
            <w:tcBorders>
              <w:bottom w:val="single" w:sz="12" w:space="0" w:color="auto"/>
            </w:tcBorders>
          </w:tcPr>
          <w:p w14:paraId="22952451" w14:textId="77777777" w:rsidR="00D0690F" w:rsidRPr="005A1CAE" w:rsidRDefault="00D0690F" w:rsidP="009F612D">
            <w:pPr>
              <w:ind w:right="-29"/>
              <w:jc w:val="center"/>
              <w:rPr>
                <w:noProof/>
                <w:sz w:val="18"/>
                <w:szCs w:val="18"/>
              </w:rPr>
            </w:pPr>
          </w:p>
        </w:tc>
        <w:tc>
          <w:tcPr>
            <w:tcW w:w="540" w:type="dxa"/>
            <w:tcBorders>
              <w:bottom w:val="single" w:sz="12" w:space="0" w:color="auto"/>
            </w:tcBorders>
          </w:tcPr>
          <w:p w14:paraId="4E9F03DA" w14:textId="77777777" w:rsidR="00D0690F" w:rsidRPr="005A1CAE" w:rsidRDefault="00D0690F" w:rsidP="009F612D">
            <w:pPr>
              <w:ind w:right="-29"/>
              <w:jc w:val="center"/>
              <w:rPr>
                <w:noProof/>
                <w:sz w:val="18"/>
                <w:szCs w:val="18"/>
              </w:rPr>
            </w:pPr>
          </w:p>
        </w:tc>
        <w:tc>
          <w:tcPr>
            <w:tcW w:w="648" w:type="dxa"/>
            <w:tcBorders>
              <w:bottom w:val="single" w:sz="12" w:space="0" w:color="auto"/>
            </w:tcBorders>
          </w:tcPr>
          <w:p w14:paraId="4563A686" w14:textId="77777777" w:rsidR="00D0690F" w:rsidRPr="005A1CAE" w:rsidRDefault="00D0690F" w:rsidP="009F612D">
            <w:pPr>
              <w:ind w:right="-29"/>
              <w:jc w:val="center"/>
              <w:rPr>
                <w:noProof/>
                <w:sz w:val="18"/>
                <w:szCs w:val="18"/>
              </w:rPr>
            </w:pPr>
          </w:p>
        </w:tc>
        <w:tc>
          <w:tcPr>
            <w:tcW w:w="432" w:type="dxa"/>
            <w:tcBorders>
              <w:bottom w:val="single" w:sz="12" w:space="0" w:color="auto"/>
            </w:tcBorders>
          </w:tcPr>
          <w:p w14:paraId="1AF844D7"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41759DA2" w14:textId="77777777" w:rsidR="00D0690F" w:rsidRPr="005A1CAE" w:rsidRDefault="00D0690F" w:rsidP="009F612D">
            <w:pPr>
              <w:ind w:right="-29"/>
              <w:jc w:val="center"/>
              <w:rPr>
                <w:noProof/>
                <w:sz w:val="18"/>
                <w:szCs w:val="18"/>
              </w:rPr>
            </w:pPr>
          </w:p>
        </w:tc>
        <w:tc>
          <w:tcPr>
            <w:tcW w:w="540" w:type="dxa"/>
            <w:tcBorders>
              <w:bottom w:val="single" w:sz="12" w:space="0" w:color="auto"/>
            </w:tcBorders>
          </w:tcPr>
          <w:p w14:paraId="582D2C29"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580418B4"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30349C3D" w14:textId="77777777" w:rsidR="00D0690F" w:rsidRPr="005A1CAE" w:rsidRDefault="00D0690F" w:rsidP="009F612D">
            <w:pPr>
              <w:ind w:right="-29"/>
              <w:jc w:val="center"/>
              <w:rPr>
                <w:noProof/>
                <w:sz w:val="18"/>
                <w:szCs w:val="18"/>
              </w:rPr>
            </w:pPr>
          </w:p>
        </w:tc>
        <w:tc>
          <w:tcPr>
            <w:tcW w:w="900" w:type="dxa"/>
            <w:tcBorders>
              <w:bottom w:val="single" w:sz="12" w:space="0" w:color="auto"/>
            </w:tcBorders>
          </w:tcPr>
          <w:p w14:paraId="6D5AAABF" w14:textId="77777777" w:rsidR="00D0690F" w:rsidRPr="005A1CAE" w:rsidRDefault="00D0690F" w:rsidP="009F612D">
            <w:pPr>
              <w:ind w:right="-29"/>
              <w:jc w:val="center"/>
              <w:rPr>
                <w:noProof/>
                <w:sz w:val="18"/>
                <w:szCs w:val="18"/>
              </w:rPr>
            </w:pPr>
          </w:p>
        </w:tc>
      </w:tr>
      <w:tr w:rsidR="00D0690F" w:rsidRPr="005A1CAE" w14:paraId="0E785A2A" w14:textId="77777777" w:rsidTr="009F612D">
        <w:trPr>
          <w:jc w:val="center"/>
        </w:trPr>
        <w:tc>
          <w:tcPr>
            <w:tcW w:w="2844" w:type="dxa"/>
            <w:gridSpan w:val="3"/>
            <w:vAlign w:val="center"/>
          </w:tcPr>
          <w:p w14:paraId="464629C8" w14:textId="1BDD0FB8" w:rsidR="00D0690F" w:rsidRPr="005A1CAE" w:rsidRDefault="00D0690F" w:rsidP="009F612D">
            <w:pPr>
              <w:spacing w:before="60" w:after="60"/>
              <w:ind w:right="-29"/>
              <w:jc w:val="center"/>
              <w:rPr>
                <w:noProof/>
                <w:sz w:val="18"/>
                <w:szCs w:val="18"/>
              </w:rPr>
            </w:pPr>
            <w:r w:rsidRPr="005A1CAE">
              <w:rPr>
                <w:noProof/>
                <w:sz w:val="18"/>
              </w:rPr>
              <w:lastRenderedPageBreak/>
              <w:t>CEL SZCZEGÓŁOWY nr</w:t>
            </w:r>
            <w:r w:rsidR="005A1CAE" w:rsidRPr="005A1CAE">
              <w:rPr>
                <w:noProof/>
                <w:sz w:val="18"/>
              </w:rPr>
              <w:t> </w:t>
            </w:r>
            <w:r w:rsidRPr="005A1CAE">
              <w:rPr>
                <w:noProof/>
                <w:sz w:val="18"/>
              </w:rPr>
              <w:t>2</w:t>
            </w:r>
          </w:p>
        </w:tc>
        <w:tc>
          <w:tcPr>
            <w:tcW w:w="504" w:type="dxa"/>
            <w:tcBorders>
              <w:top w:val="nil"/>
              <w:left w:val="nil"/>
              <w:bottom w:val="nil"/>
              <w:right w:val="nil"/>
            </w:tcBorders>
          </w:tcPr>
          <w:p w14:paraId="0CBDAFA2"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64078263" w14:textId="77777777" w:rsidR="00D0690F" w:rsidRPr="005A1CAE" w:rsidRDefault="00D0690F" w:rsidP="009F612D">
            <w:pPr>
              <w:spacing w:before="60" w:after="60"/>
              <w:ind w:right="-29"/>
              <w:jc w:val="center"/>
              <w:rPr>
                <w:noProof/>
                <w:sz w:val="18"/>
                <w:szCs w:val="18"/>
              </w:rPr>
            </w:pPr>
          </w:p>
        </w:tc>
        <w:tc>
          <w:tcPr>
            <w:tcW w:w="540" w:type="dxa"/>
            <w:tcBorders>
              <w:top w:val="nil"/>
              <w:left w:val="nil"/>
              <w:bottom w:val="nil"/>
              <w:right w:val="nil"/>
            </w:tcBorders>
          </w:tcPr>
          <w:p w14:paraId="0F21F413"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249D23CB"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3B72E0A3"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4120A867" w14:textId="77777777" w:rsidR="00D0690F" w:rsidRPr="005A1CAE" w:rsidRDefault="00D0690F" w:rsidP="009F612D">
            <w:pPr>
              <w:spacing w:before="60" w:after="60"/>
              <w:ind w:right="-29"/>
              <w:jc w:val="center"/>
              <w:rPr>
                <w:noProof/>
                <w:sz w:val="18"/>
                <w:szCs w:val="18"/>
              </w:rPr>
            </w:pPr>
          </w:p>
        </w:tc>
        <w:tc>
          <w:tcPr>
            <w:tcW w:w="900" w:type="dxa"/>
            <w:tcBorders>
              <w:top w:val="nil"/>
              <w:left w:val="nil"/>
              <w:bottom w:val="nil"/>
              <w:right w:val="nil"/>
            </w:tcBorders>
          </w:tcPr>
          <w:p w14:paraId="1CE9536F" w14:textId="77777777" w:rsidR="00D0690F" w:rsidRPr="005A1CAE" w:rsidRDefault="00D0690F" w:rsidP="009F612D">
            <w:pPr>
              <w:spacing w:before="60" w:after="60"/>
              <w:ind w:right="-29"/>
              <w:jc w:val="center"/>
              <w:rPr>
                <w:noProof/>
                <w:sz w:val="18"/>
                <w:szCs w:val="18"/>
              </w:rPr>
            </w:pPr>
          </w:p>
        </w:tc>
        <w:tc>
          <w:tcPr>
            <w:tcW w:w="720" w:type="dxa"/>
            <w:gridSpan w:val="2"/>
            <w:tcBorders>
              <w:top w:val="nil"/>
              <w:left w:val="nil"/>
              <w:bottom w:val="nil"/>
              <w:right w:val="nil"/>
            </w:tcBorders>
          </w:tcPr>
          <w:p w14:paraId="3E327EE6" w14:textId="77777777" w:rsidR="00D0690F" w:rsidRPr="005A1CAE" w:rsidRDefault="00D0690F" w:rsidP="009F612D">
            <w:pPr>
              <w:spacing w:before="60" w:after="60"/>
              <w:ind w:right="-29"/>
              <w:jc w:val="center"/>
              <w:rPr>
                <w:noProof/>
                <w:sz w:val="18"/>
                <w:szCs w:val="18"/>
              </w:rPr>
            </w:pPr>
          </w:p>
        </w:tc>
        <w:tc>
          <w:tcPr>
            <w:tcW w:w="540" w:type="dxa"/>
            <w:tcBorders>
              <w:top w:val="nil"/>
              <w:left w:val="nil"/>
              <w:bottom w:val="nil"/>
              <w:right w:val="nil"/>
            </w:tcBorders>
          </w:tcPr>
          <w:p w14:paraId="323B1286" w14:textId="77777777" w:rsidR="00D0690F" w:rsidRPr="005A1CAE" w:rsidRDefault="00D0690F" w:rsidP="009F612D">
            <w:pPr>
              <w:spacing w:before="60" w:after="60"/>
              <w:ind w:right="-29"/>
              <w:jc w:val="center"/>
              <w:rPr>
                <w:noProof/>
                <w:sz w:val="18"/>
                <w:szCs w:val="18"/>
              </w:rPr>
            </w:pPr>
          </w:p>
        </w:tc>
        <w:tc>
          <w:tcPr>
            <w:tcW w:w="648" w:type="dxa"/>
            <w:tcBorders>
              <w:top w:val="nil"/>
              <w:left w:val="nil"/>
              <w:bottom w:val="nil"/>
              <w:right w:val="nil"/>
            </w:tcBorders>
          </w:tcPr>
          <w:p w14:paraId="1F4277C6" w14:textId="77777777" w:rsidR="00D0690F" w:rsidRPr="005A1CAE" w:rsidRDefault="00D0690F" w:rsidP="009F612D">
            <w:pPr>
              <w:spacing w:before="60" w:after="60"/>
              <w:ind w:right="-29"/>
              <w:jc w:val="center"/>
              <w:rPr>
                <w:noProof/>
                <w:sz w:val="18"/>
                <w:szCs w:val="18"/>
              </w:rPr>
            </w:pPr>
          </w:p>
        </w:tc>
        <w:tc>
          <w:tcPr>
            <w:tcW w:w="432" w:type="dxa"/>
            <w:tcBorders>
              <w:top w:val="nil"/>
              <w:left w:val="nil"/>
              <w:bottom w:val="nil"/>
              <w:right w:val="nil"/>
            </w:tcBorders>
          </w:tcPr>
          <w:p w14:paraId="53F99948"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297A3B65" w14:textId="77777777" w:rsidR="00D0690F" w:rsidRPr="005A1CAE" w:rsidRDefault="00D0690F" w:rsidP="009F612D">
            <w:pPr>
              <w:spacing w:before="60" w:after="60"/>
              <w:ind w:right="-29"/>
              <w:jc w:val="center"/>
              <w:rPr>
                <w:noProof/>
                <w:sz w:val="18"/>
                <w:szCs w:val="18"/>
              </w:rPr>
            </w:pPr>
          </w:p>
        </w:tc>
        <w:tc>
          <w:tcPr>
            <w:tcW w:w="540" w:type="dxa"/>
            <w:tcBorders>
              <w:top w:val="nil"/>
              <w:left w:val="nil"/>
              <w:bottom w:val="nil"/>
              <w:right w:val="nil"/>
            </w:tcBorders>
          </w:tcPr>
          <w:p w14:paraId="51455C2B"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6CEDCC96" w14:textId="77777777" w:rsidR="00D0690F" w:rsidRPr="005A1CAE" w:rsidRDefault="00D0690F" w:rsidP="009F612D">
            <w:pPr>
              <w:spacing w:before="60" w:after="60"/>
              <w:ind w:right="-29"/>
              <w:jc w:val="center"/>
              <w:rPr>
                <w:noProof/>
                <w:sz w:val="18"/>
                <w:szCs w:val="18"/>
              </w:rPr>
            </w:pPr>
          </w:p>
        </w:tc>
        <w:tc>
          <w:tcPr>
            <w:tcW w:w="720" w:type="dxa"/>
            <w:tcBorders>
              <w:top w:val="nil"/>
              <w:left w:val="nil"/>
              <w:bottom w:val="nil"/>
              <w:right w:val="nil"/>
            </w:tcBorders>
          </w:tcPr>
          <w:p w14:paraId="79CE9711" w14:textId="77777777" w:rsidR="00D0690F" w:rsidRPr="005A1CAE" w:rsidRDefault="00D0690F" w:rsidP="009F612D">
            <w:pPr>
              <w:spacing w:before="60" w:after="60"/>
              <w:ind w:right="-29"/>
              <w:jc w:val="center"/>
              <w:rPr>
                <w:noProof/>
                <w:sz w:val="18"/>
                <w:szCs w:val="18"/>
              </w:rPr>
            </w:pPr>
          </w:p>
        </w:tc>
        <w:tc>
          <w:tcPr>
            <w:tcW w:w="900" w:type="dxa"/>
            <w:tcBorders>
              <w:top w:val="nil"/>
              <w:left w:val="nil"/>
              <w:bottom w:val="nil"/>
              <w:right w:val="nil"/>
            </w:tcBorders>
          </w:tcPr>
          <w:p w14:paraId="05865BB1" w14:textId="77777777" w:rsidR="00D0690F" w:rsidRPr="005A1CAE" w:rsidRDefault="00D0690F" w:rsidP="009F612D">
            <w:pPr>
              <w:spacing w:before="60" w:after="60"/>
              <w:ind w:right="-29"/>
              <w:jc w:val="center"/>
              <w:rPr>
                <w:noProof/>
                <w:sz w:val="18"/>
                <w:szCs w:val="18"/>
              </w:rPr>
            </w:pPr>
          </w:p>
        </w:tc>
      </w:tr>
      <w:tr w:rsidR="00D0690F" w:rsidRPr="005A1CAE" w14:paraId="477E6CDE" w14:textId="77777777" w:rsidTr="009F612D">
        <w:trPr>
          <w:trHeight w:hRule="exact" w:val="369"/>
          <w:jc w:val="center"/>
        </w:trPr>
        <w:tc>
          <w:tcPr>
            <w:tcW w:w="1423" w:type="dxa"/>
          </w:tcPr>
          <w:p w14:paraId="3A27ADF6" w14:textId="77777777" w:rsidR="00D0690F" w:rsidRPr="005A1CAE" w:rsidRDefault="00D0690F" w:rsidP="009F612D">
            <w:pPr>
              <w:ind w:right="-29"/>
              <w:jc w:val="center"/>
              <w:rPr>
                <w:noProof/>
                <w:sz w:val="18"/>
                <w:szCs w:val="18"/>
              </w:rPr>
            </w:pPr>
            <w:r w:rsidRPr="005A1CAE">
              <w:rPr>
                <w:noProof/>
                <w:sz w:val="18"/>
              </w:rPr>
              <w:t>- Produkt</w:t>
            </w:r>
          </w:p>
        </w:tc>
        <w:tc>
          <w:tcPr>
            <w:tcW w:w="720" w:type="dxa"/>
          </w:tcPr>
          <w:p w14:paraId="1F4992C2" w14:textId="77777777" w:rsidR="00D0690F" w:rsidRPr="005A1CAE" w:rsidRDefault="00D0690F" w:rsidP="009F612D">
            <w:pPr>
              <w:ind w:right="-29"/>
              <w:jc w:val="center"/>
              <w:rPr>
                <w:noProof/>
                <w:sz w:val="18"/>
                <w:szCs w:val="18"/>
              </w:rPr>
            </w:pPr>
          </w:p>
        </w:tc>
        <w:tc>
          <w:tcPr>
            <w:tcW w:w="701" w:type="dxa"/>
          </w:tcPr>
          <w:p w14:paraId="648FCE87" w14:textId="77777777" w:rsidR="00D0690F" w:rsidRPr="005A1CAE" w:rsidRDefault="00D0690F" w:rsidP="009F612D">
            <w:pPr>
              <w:ind w:right="-29"/>
              <w:jc w:val="center"/>
              <w:rPr>
                <w:noProof/>
                <w:sz w:val="18"/>
                <w:szCs w:val="18"/>
              </w:rPr>
            </w:pPr>
          </w:p>
        </w:tc>
        <w:tc>
          <w:tcPr>
            <w:tcW w:w="504" w:type="dxa"/>
          </w:tcPr>
          <w:p w14:paraId="7BF2F7C4" w14:textId="77777777" w:rsidR="00D0690F" w:rsidRPr="005A1CAE" w:rsidRDefault="00D0690F" w:rsidP="009F612D">
            <w:pPr>
              <w:ind w:right="-29"/>
              <w:jc w:val="center"/>
              <w:rPr>
                <w:noProof/>
                <w:sz w:val="18"/>
                <w:szCs w:val="18"/>
              </w:rPr>
            </w:pPr>
          </w:p>
        </w:tc>
        <w:tc>
          <w:tcPr>
            <w:tcW w:w="720" w:type="dxa"/>
          </w:tcPr>
          <w:p w14:paraId="33181B88" w14:textId="77777777" w:rsidR="00D0690F" w:rsidRPr="005A1CAE" w:rsidRDefault="00D0690F" w:rsidP="009F612D">
            <w:pPr>
              <w:ind w:right="-29"/>
              <w:jc w:val="center"/>
              <w:rPr>
                <w:noProof/>
                <w:sz w:val="18"/>
                <w:szCs w:val="18"/>
              </w:rPr>
            </w:pPr>
          </w:p>
        </w:tc>
        <w:tc>
          <w:tcPr>
            <w:tcW w:w="540" w:type="dxa"/>
          </w:tcPr>
          <w:p w14:paraId="3EE4F7AA" w14:textId="77777777" w:rsidR="00D0690F" w:rsidRPr="005A1CAE" w:rsidRDefault="00D0690F" w:rsidP="009F612D">
            <w:pPr>
              <w:ind w:right="-29"/>
              <w:jc w:val="center"/>
              <w:rPr>
                <w:noProof/>
                <w:sz w:val="18"/>
                <w:szCs w:val="18"/>
              </w:rPr>
            </w:pPr>
          </w:p>
        </w:tc>
        <w:tc>
          <w:tcPr>
            <w:tcW w:w="720" w:type="dxa"/>
          </w:tcPr>
          <w:p w14:paraId="70FE04A1" w14:textId="77777777" w:rsidR="00D0690F" w:rsidRPr="005A1CAE" w:rsidRDefault="00D0690F" w:rsidP="009F612D">
            <w:pPr>
              <w:ind w:right="-29"/>
              <w:jc w:val="center"/>
              <w:rPr>
                <w:noProof/>
                <w:sz w:val="18"/>
                <w:szCs w:val="18"/>
              </w:rPr>
            </w:pPr>
          </w:p>
        </w:tc>
        <w:tc>
          <w:tcPr>
            <w:tcW w:w="720" w:type="dxa"/>
          </w:tcPr>
          <w:p w14:paraId="5C048674" w14:textId="77777777" w:rsidR="00D0690F" w:rsidRPr="005A1CAE" w:rsidRDefault="00D0690F" w:rsidP="009F612D">
            <w:pPr>
              <w:ind w:right="-29"/>
              <w:jc w:val="center"/>
              <w:rPr>
                <w:noProof/>
                <w:sz w:val="18"/>
                <w:szCs w:val="18"/>
              </w:rPr>
            </w:pPr>
          </w:p>
        </w:tc>
        <w:tc>
          <w:tcPr>
            <w:tcW w:w="720" w:type="dxa"/>
          </w:tcPr>
          <w:p w14:paraId="34A6F49F" w14:textId="77777777" w:rsidR="00D0690F" w:rsidRPr="005A1CAE" w:rsidRDefault="00D0690F" w:rsidP="009F612D">
            <w:pPr>
              <w:ind w:right="-29"/>
              <w:jc w:val="center"/>
              <w:rPr>
                <w:noProof/>
                <w:sz w:val="18"/>
                <w:szCs w:val="18"/>
              </w:rPr>
            </w:pPr>
          </w:p>
        </w:tc>
        <w:tc>
          <w:tcPr>
            <w:tcW w:w="900" w:type="dxa"/>
          </w:tcPr>
          <w:p w14:paraId="0403417F" w14:textId="77777777" w:rsidR="00D0690F" w:rsidRPr="005A1CAE" w:rsidRDefault="00D0690F" w:rsidP="009F612D">
            <w:pPr>
              <w:ind w:right="-29"/>
              <w:jc w:val="center"/>
              <w:rPr>
                <w:noProof/>
                <w:sz w:val="18"/>
                <w:szCs w:val="18"/>
              </w:rPr>
            </w:pPr>
          </w:p>
        </w:tc>
        <w:tc>
          <w:tcPr>
            <w:tcW w:w="720" w:type="dxa"/>
            <w:gridSpan w:val="2"/>
          </w:tcPr>
          <w:p w14:paraId="0BF44E6D" w14:textId="77777777" w:rsidR="00D0690F" w:rsidRPr="005A1CAE" w:rsidRDefault="00D0690F" w:rsidP="009F612D">
            <w:pPr>
              <w:ind w:right="-29"/>
              <w:jc w:val="center"/>
              <w:rPr>
                <w:noProof/>
                <w:sz w:val="18"/>
                <w:szCs w:val="18"/>
              </w:rPr>
            </w:pPr>
          </w:p>
        </w:tc>
        <w:tc>
          <w:tcPr>
            <w:tcW w:w="540" w:type="dxa"/>
          </w:tcPr>
          <w:p w14:paraId="3671624C" w14:textId="77777777" w:rsidR="00D0690F" w:rsidRPr="005A1CAE" w:rsidRDefault="00D0690F" w:rsidP="009F612D">
            <w:pPr>
              <w:ind w:right="-29"/>
              <w:jc w:val="center"/>
              <w:rPr>
                <w:noProof/>
                <w:sz w:val="18"/>
                <w:szCs w:val="18"/>
              </w:rPr>
            </w:pPr>
          </w:p>
        </w:tc>
        <w:tc>
          <w:tcPr>
            <w:tcW w:w="648" w:type="dxa"/>
          </w:tcPr>
          <w:p w14:paraId="36D4C804" w14:textId="77777777" w:rsidR="00D0690F" w:rsidRPr="005A1CAE" w:rsidRDefault="00D0690F" w:rsidP="009F612D">
            <w:pPr>
              <w:ind w:right="-29"/>
              <w:jc w:val="center"/>
              <w:rPr>
                <w:noProof/>
                <w:sz w:val="18"/>
                <w:szCs w:val="18"/>
              </w:rPr>
            </w:pPr>
          </w:p>
        </w:tc>
        <w:tc>
          <w:tcPr>
            <w:tcW w:w="432" w:type="dxa"/>
          </w:tcPr>
          <w:p w14:paraId="1C0A0318" w14:textId="77777777" w:rsidR="00D0690F" w:rsidRPr="005A1CAE" w:rsidRDefault="00D0690F" w:rsidP="009F612D">
            <w:pPr>
              <w:ind w:right="-29"/>
              <w:jc w:val="center"/>
              <w:rPr>
                <w:noProof/>
                <w:sz w:val="18"/>
                <w:szCs w:val="18"/>
              </w:rPr>
            </w:pPr>
          </w:p>
        </w:tc>
        <w:tc>
          <w:tcPr>
            <w:tcW w:w="720" w:type="dxa"/>
          </w:tcPr>
          <w:p w14:paraId="472567B1" w14:textId="77777777" w:rsidR="00D0690F" w:rsidRPr="005A1CAE" w:rsidRDefault="00D0690F" w:rsidP="009F612D">
            <w:pPr>
              <w:ind w:right="-29"/>
              <w:jc w:val="center"/>
              <w:rPr>
                <w:noProof/>
                <w:sz w:val="18"/>
                <w:szCs w:val="18"/>
              </w:rPr>
            </w:pPr>
          </w:p>
        </w:tc>
        <w:tc>
          <w:tcPr>
            <w:tcW w:w="540" w:type="dxa"/>
          </w:tcPr>
          <w:p w14:paraId="0107BF15" w14:textId="77777777" w:rsidR="00D0690F" w:rsidRPr="005A1CAE" w:rsidRDefault="00D0690F" w:rsidP="009F612D">
            <w:pPr>
              <w:ind w:right="-29"/>
              <w:jc w:val="center"/>
              <w:rPr>
                <w:noProof/>
                <w:sz w:val="18"/>
                <w:szCs w:val="18"/>
              </w:rPr>
            </w:pPr>
          </w:p>
        </w:tc>
        <w:tc>
          <w:tcPr>
            <w:tcW w:w="720" w:type="dxa"/>
          </w:tcPr>
          <w:p w14:paraId="213A2A93" w14:textId="77777777" w:rsidR="00D0690F" w:rsidRPr="005A1CAE" w:rsidRDefault="00D0690F" w:rsidP="009F612D">
            <w:pPr>
              <w:ind w:right="-29"/>
              <w:jc w:val="center"/>
              <w:rPr>
                <w:noProof/>
                <w:sz w:val="18"/>
                <w:szCs w:val="18"/>
              </w:rPr>
            </w:pPr>
          </w:p>
        </w:tc>
        <w:tc>
          <w:tcPr>
            <w:tcW w:w="720" w:type="dxa"/>
          </w:tcPr>
          <w:p w14:paraId="4F8007BE" w14:textId="77777777" w:rsidR="00D0690F" w:rsidRPr="005A1CAE" w:rsidRDefault="00D0690F" w:rsidP="009F612D">
            <w:pPr>
              <w:ind w:right="-29"/>
              <w:jc w:val="center"/>
              <w:rPr>
                <w:noProof/>
                <w:sz w:val="18"/>
                <w:szCs w:val="18"/>
              </w:rPr>
            </w:pPr>
          </w:p>
        </w:tc>
        <w:tc>
          <w:tcPr>
            <w:tcW w:w="900" w:type="dxa"/>
          </w:tcPr>
          <w:p w14:paraId="7DB5EE28" w14:textId="77777777" w:rsidR="00D0690F" w:rsidRPr="005A1CAE" w:rsidRDefault="00D0690F" w:rsidP="009F612D">
            <w:pPr>
              <w:ind w:right="-29"/>
              <w:jc w:val="center"/>
              <w:rPr>
                <w:noProof/>
                <w:sz w:val="18"/>
                <w:szCs w:val="18"/>
              </w:rPr>
            </w:pPr>
          </w:p>
        </w:tc>
      </w:tr>
      <w:tr w:rsidR="00D0690F" w:rsidRPr="005A1CAE" w14:paraId="47972EC8" w14:textId="77777777" w:rsidTr="009F612D">
        <w:trPr>
          <w:jc w:val="center"/>
        </w:trPr>
        <w:tc>
          <w:tcPr>
            <w:tcW w:w="2844" w:type="dxa"/>
            <w:gridSpan w:val="3"/>
            <w:tcBorders>
              <w:bottom w:val="single" w:sz="12" w:space="0" w:color="auto"/>
            </w:tcBorders>
            <w:vAlign w:val="center"/>
          </w:tcPr>
          <w:p w14:paraId="58234FB2" w14:textId="382157B4" w:rsidR="00D0690F" w:rsidRPr="005A1CAE" w:rsidRDefault="00D0690F" w:rsidP="009F612D">
            <w:pPr>
              <w:jc w:val="center"/>
              <w:rPr>
                <w:noProof/>
                <w:sz w:val="18"/>
                <w:szCs w:val="18"/>
              </w:rPr>
            </w:pPr>
            <w:r w:rsidRPr="005A1CAE">
              <w:rPr>
                <w:noProof/>
                <w:sz w:val="18"/>
              </w:rPr>
              <w:t>Cel szczegółowy nr</w:t>
            </w:r>
            <w:r w:rsidR="005A1CAE" w:rsidRPr="005A1CAE">
              <w:rPr>
                <w:noProof/>
                <w:sz w:val="18"/>
              </w:rPr>
              <w:t> </w:t>
            </w:r>
            <w:r w:rsidRPr="005A1CAE">
              <w:rPr>
                <w:noProof/>
                <w:sz w:val="18"/>
              </w:rPr>
              <w:t>2 – suma cząstkowa</w:t>
            </w:r>
          </w:p>
        </w:tc>
        <w:tc>
          <w:tcPr>
            <w:tcW w:w="504" w:type="dxa"/>
            <w:tcBorders>
              <w:bottom w:val="single" w:sz="12" w:space="0" w:color="auto"/>
            </w:tcBorders>
          </w:tcPr>
          <w:p w14:paraId="5DB551B4"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100C51C4" w14:textId="77777777" w:rsidR="00D0690F" w:rsidRPr="005A1CAE" w:rsidRDefault="00D0690F" w:rsidP="009F612D">
            <w:pPr>
              <w:ind w:right="-29"/>
              <w:jc w:val="center"/>
              <w:rPr>
                <w:noProof/>
                <w:sz w:val="18"/>
                <w:szCs w:val="18"/>
              </w:rPr>
            </w:pPr>
          </w:p>
        </w:tc>
        <w:tc>
          <w:tcPr>
            <w:tcW w:w="540" w:type="dxa"/>
            <w:tcBorders>
              <w:bottom w:val="single" w:sz="12" w:space="0" w:color="auto"/>
            </w:tcBorders>
          </w:tcPr>
          <w:p w14:paraId="43A98AD8"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5A40549D"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70FAE432"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64115835" w14:textId="77777777" w:rsidR="00D0690F" w:rsidRPr="005A1CAE" w:rsidRDefault="00D0690F" w:rsidP="009F612D">
            <w:pPr>
              <w:ind w:right="-29"/>
              <w:jc w:val="center"/>
              <w:rPr>
                <w:noProof/>
                <w:sz w:val="18"/>
                <w:szCs w:val="18"/>
              </w:rPr>
            </w:pPr>
          </w:p>
        </w:tc>
        <w:tc>
          <w:tcPr>
            <w:tcW w:w="951" w:type="dxa"/>
            <w:gridSpan w:val="2"/>
            <w:tcBorders>
              <w:bottom w:val="single" w:sz="12" w:space="0" w:color="auto"/>
            </w:tcBorders>
          </w:tcPr>
          <w:p w14:paraId="0871E7D0" w14:textId="77777777" w:rsidR="00D0690F" w:rsidRPr="005A1CAE" w:rsidRDefault="00D0690F" w:rsidP="009F612D">
            <w:pPr>
              <w:ind w:right="-29"/>
              <w:jc w:val="center"/>
              <w:rPr>
                <w:noProof/>
                <w:sz w:val="18"/>
                <w:szCs w:val="18"/>
              </w:rPr>
            </w:pPr>
          </w:p>
        </w:tc>
        <w:tc>
          <w:tcPr>
            <w:tcW w:w="669" w:type="dxa"/>
            <w:tcBorders>
              <w:bottom w:val="single" w:sz="12" w:space="0" w:color="auto"/>
            </w:tcBorders>
          </w:tcPr>
          <w:p w14:paraId="14D6C206" w14:textId="77777777" w:rsidR="00D0690F" w:rsidRPr="005A1CAE" w:rsidRDefault="00D0690F" w:rsidP="009F612D">
            <w:pPr>
              <w:ind w:right="-29"/>
              <w:jc w:val="center"/>
              <w:rPr>
                <w:noProof/>
                <w:sz w:val="18"/>
                <w:szCs w:val="18"/>
              </w:rPr>
            </w:pPr>
          </w:p>
        </w:tc>
        <w:tc>
          <w:tcPr>
            <w:tcW w:w="540" w:type="dxa"/>
            <w:tcBorders>
              <w:bottom w:val="single" w:sz="12" w:space="0" w:color="auto"/>
            </w:tcBorders>
          </w:tcPr>
          <w:p w14:paraId="0DDE2125" w14:textId="77777777" w:rsidR="00D0690F" w:rsidRPr="005A1CAE" w:rsidRDefault="00D0690F" w:rsidP="009F612D">
            <w:pPr>
              <w:ind w:right="-29"/>
              <w:jc w:val="center"/>
              <w:rPr>
                <w:noProof/>
                <w:sz w:val="18"/>
                <w:szCs w:val="18"/>
              </w:rPr>
            </w:pPr>
          </w:p>
        </w:tc>
        <w:tc>
          <w:tcPr>
            <w:tcW w:w="648" w:type="dxa"/>
            <w:tcBorders>
              <w:bottom w:val="single" w:sz="12" w:space="0" w:color="auto"/>
            </w:tcBorders>
          </w:tcPr>
          <w:p w14:paraId="1DAA4E6D" w14:textId="77777777" w:rsidR="00D0690F" w:rsidRPr="005A1CAE" w:rsidRDefault="00D0690F" w:rsidP="009F612D">
            <w:pPr>
              <w:ind w:right="-29"/>
              <w:jc w:val="center"/>
              <w:rPr>
                <w:noProof/>
                <w:sz w:val="18"/>
                <w:szCs w:val="18"/>
              </w:rPr>
            </w:pPr>
          </w:p>
        </w:tc>
        <w:tc>
          <w:tcPr>
            <w:tcW w:w="432" w:type="dxa"/>
            <w:tcBorders>
              <w:bottom w:val="single" w:sz="12" w:space="0" w:color="auto"/>
            </w:tcBorders>
          </w:tcPr>
          <w:p w14:paraId="298F781A"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7FFF4260" w14:textId="77777777" w:rsidR="00D0690F" w:rsidRPr="005A1CAE" w:rsidRDefault="00D0690F" w:rsidP="009F612D">
            <w:pPr>
              <w:ind w:right="-29"/>
              <w:jc w:val="center"/>
              <w:rPr>
                <w:noProof/>
                <w:sz w:val="18"/>
                <w:szCs w:val="18"/>
              </w:rPr>
            </w:pPr>
          </w:p>
        </w:tc>
        <w:tc>
          <w:tcPr>
            <w:tcW w:w="540" w:type="dxa"/>
            <w:tcBorders>
              <w:bottom w:val="single" w:sz="12" w:space="0" w:color="auto"/>
            </w:tcBorders>
          </w:tcPr>
          <w:p w14:paraId="7EA26145"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367A92C5" w14:textId="77777777" w:rsidR="00D0690F" w:rsidRPr="005A1CAE" w:rsidRDefault="00D0690F" w:rsidP="009F612D">
            <w:pPr>
              <w:ind w:right="-29"/>
              <w:jc w:val="center"/>
              <w:rPr>
                <w:noProof/>
                <w:sz w:val="18"/>
                <w:szCs w:val="18"/>
              </w:rPr>
            </w:pPr>
          </w:p>
        </w:tc>
        <w:tc>
          <w:tcPr>
            <w:tcW w:w="720" w:type="dxa"/>
            <w:tcBorders>
              <w:bottom w:val="single" w:sz="12" w:space="0" w:color="auto"/>
            </w:tcBorders>
          </w:tcPr>
          <w:p w14:paraId="175D6F67" w14:textId="77777777" w:rsidR="00D0690F" w:rsidRPr="005A1CAE" w:rsidRDefault="00D0690F" w:rsidP="009F612D">
            <w:pPr>
              <w:ind w:right="-29"/>
              <w:jc w:val="center"/>
              <w:rPr>
                <w:noProof/>
                <w:sz w:val="18"/>
                <w:szCs w:val="18"/>
              </w:rPr>
            </w:pPr>
          </w:p>
        </w:tc>
        <w:tc>
          <w:tcPr>
            <w:tcW w:w="900" w:type="dxa"/>
            <w:tcBorders>
              <w:bottom w:val="single" w:sz="12" w:space="0" w:color="auto"/>
            </w:tcBorders>
          </w:tcPr>
          <w:p w14:paraId="7687821B" w14:textId="77777777" w:rsidR="00D0690F" w:rsidRPr="005A1CAE" w:rsidRDefault="00D0690F" w:rsidP="009F612D">
            <w:pPr>
              <w:ind w:right="-29"/>
              <w:jc w:val="center"/>
              <w:rPr>
                <w:noProof/>
                <w:sz w:val="18"/>
                <w:szCs w:val="18"/>
              </w:rPr>
            </w:pPr>
          </w:p>
        </w:tc>
      </w:tr>
      <w:tr w:rsidR="00D0690F" w:rsidRPr="005A1CAE" w14:paraId="1F572F01" w14:textId="77777777" w:rsidTr="009F612D">
        <w:trPr>
          <w:jc w:val="center"/>
        </w:trPr>
        <w:tc>
          <w:tcPr>
            <w:tcW w:w="2844" w:type="dxa"/>
            <w:gridSpan w:val="3"/>
            <w:tcBorders>
              <w:top w:val="single" w:sz="12" w:space="0" w:color="auto"/>
              <w:left w:val="single" w:sz="12" w:space="0" w:color="auto"/>
              <w:bottom w:val="single" w:sz="12" w:space="0" w:color="auto"/>
            </w:tcBorders>
            <w:vAlign w:val="center"/>
          </w:tcPr>
          <w:p w14:paraId="0DEA9AEE" w14:textId="77777777" w:rsidR="00D0690F" w:rsidRPr="005A1CAE" w:rsidRDefault="00D0690F" w:rsidP="009F612D">
            <w:pPr>
              <w:ind w:right="-29"/>
              <w:jc w:val="center"/>
              <w:rPr>
                <w:noProof/>
                <w:sz w:val="18"/>
                <w:szCs w:val="18"/>
              </w:rPr>
            </w:pPr>
            <w:r w:rsidRPr="005A1CAE">
              <w:rPr>
                <w:b/>
                <w:noProof/>
                <w:sz w:val="18"/>
              </w:rPr>
              <w:t>OGÓŁEM</w:t>
            </w:r>
          </w:p>
        </w:tc>
        <w:tc>
          <w:tcPr>
            <w:tcW w:w="504" w:type="dxa"/>
            <w:tcBorders>
              <w:top w:val="single" w:sz="12" w:space="0" w:color="auto"/>
              <w:bottom w:val="single" w:sz="12" w:space="0" w:color="auto"/>
            </w:tcBorders>
          </w:tcPr>
          <w:p w14:paraId="7C4661FE" w14:textId="77777777" w:rsidR="00D0690F" w:rsidRPr="005A1CAE" w:rsidRDefault="00D0690F" w:rsidP="009F612D">
            <w:pPr>
              <w:spacing w:before="180" w:after="180"/>
              <w:ind w:right="-29"/>
              <w:jc w:val="center"/>
              <w:rPr>
                <w:noProof/>
                <w:sz w:val="18"/>
                <w:szCs w:val="18"/>
              </w:rPr>
            </w:pPr>
          </w:p>
        </w:tc>
        <w:tc>
          <w:tcPr>
            <w:tcW w:w="720" w:type="dxa"/>
            <w:tcBorders>
              <w:top w:val="single" w:sz="12" w:space="0" w:color="auto"/>
              <w:bottom w:val="single" w:sz="12" w:space="0" w:color="auto"/>
            </w:tcBorders>
          </w:tcPr>
          <w:p w14:paraId="332A3CB1" w14:textId="77777777" w:rsidR="00D0690F" w:rsidRPr="005A1CAE" w:rsidRDefault="00D0690F" w:rsidP="009F612D">
            <w:pPr>
              <w:spacing w:before="180" w:after="180"/>
              <w:ind w:right="-29"/>
              <w:jc w:val="center"/>
              <w:rPr>
                <w:noProof/>
                <w:sz w:val="18"/>
                <w:szCs w:val="18"/>
              </w:rPr>
            </w:pPr>
          </w:p>
        </w:tc>
        <w:tc>
          <w:tcPr>
            <w:tcW w:w="540" w:type="dxa"/>
            <w:tcBorders>
              <w:top w:val="single" w:sz="12" w:space="0" w:color="auto"/>
              <w:bottom w:val="single" w:sz="12" w:space="0" w:color="auto"/>
            </w:tcBorders>
          </w:tcPr>
          <w:p w14:paraId="76673008" w14:textId="77777777" w:rsidR="00D0690F" w:rsidRPr="005A1CAE" w:rsidRDefault="00D0690F" w:rsidP="009F612D">
            <w:pPr>
              <w:spacing w:before="180" w:after="180"/>
              <w:ind w:right="-29"/>
              <w:jc w:val="center"/>
              <w:rPr>
                <w:noProof/>
                <w:sz w:val="18"/>
                <w:szCs w:val="18"/>
              </w:rPr>
            </w:pPr>
          </w:p>
        </w:tc>
        <w:tc>
          <w:tcPr>
            <w:tcW w:w="720" w:type="dxa"/>
            <w:tcBorders>
              <w:top w:val="single" w:sz="12" w:space="0" w:color="auto"/>
              <w:bottom w:val="single" w:sz="12" w:space="0" w:color="auto"/>
            </w:tcBorders>
          </w:tcPr>
          <w:p w14:paraId="6FAAAC06" w14:textId="77777777" w:rsidR="00D0690F" w:rsidRPr="005A1CAE" w:rsidRDefault="00D0690F" w:rsidP="009F612D">
            <w:pPr>
              <w:spacing w:before="180" w:after="180"/>
              <w:ind w:right="-29"/>
              <w:jc w:val="center"/>
              <w:rPr>
                <w:noProof/>
                <w:sz w:val="18"/>
                <w:szCs w:val="18"/>
              </w:rPr>
            </w:pPr>
          </w:p>
        </w:tc>
        <w:tc>
          <w:tcPr>
            <w:tcW w:w="720" w:type="dxa"/>
            <w:tcBorders>
              <w:top w:val="single" w:sz="12" w:space="0" w:color="auto"/>
              <w:bottom w:val="single" w:sz="12" w:space="0" w:color="auto"/>
            </w:tcBorders>
          </w:tcPr>
          <w:p w14:paraId="01964B9C" w14:textId="77777777" w:rsidR="00D0690F" w:rsidRPr="005A1CAE" w:rsidRDefault="00D0690F" w:rsidP="009F612D">
            <w:pPr>
              <w:spacing w:before="180" w:after="180"/>
              <w:ind w:right="-29"/>
              <w:jc w:val="center"/>
              <w:rPr>
                <w:noProof/>
                <w:sz w:val="18"/>
                <w:szCs w:val="18"/>
              </w:rPr>
            </w:pPr>
          </w:p>
        </w:tc>
        <w:tc>
          <w:tcPr>
            <w:tcW w:w="720" w:type="dxa"/>
            <w:tcBorders>
              <w:top w:val="single" w:sz="12" w:space="0" w:color="auto"/>
              <w:bottom w:val="single" w:sz="12" w:space="0" w:color="auto"/>
            </w:tcBorders>
          </w:tcPr>
          <w:p w14:paraId="7DDF42A9" w14:textId="77777777" w:rsidR="00D0690F" w:rsidRPr="005A1CAE" w:rsidRDefault="00D0690F" w:rsidP="009F612D">
            <w:pPr>
              <w:spacing w:before="180" w:after="180"/>
              <w:ind w:right="-29"/>
              <w:jc w:val="center"/>
              <w:rPr>
                <w:noProof/>
                <w:sz w:val="18"/>
                <w:szCs w:val="18"/>
              </w:rPr>
            </w:pPr>
          </w:p>
        </w:tc>
        <w:tc>
          <w:tcPr>
            <w:tcW w:w="900" w:type="dxa"/>
            <w:tcBorders>
              <w:top w:val="single" w:sz="12" w:space="0" w:color="auto"/>
              <w:bottom w:val="single" w:sz="12" w:space="0" w:color="auto"/>
            </w:tcBorders>
          </w:tcPr>
          <w:p w14:paraId="790D46ED" w14:textId="77777777" w:rsidR="00D0690F" w:rsidRPr="005A1CAE" w:rsidRDefault="00D0690F" w:rsidP="009F612D">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0D66EF4E" w14:textId="77777777" w:rsidR="00D0690F" w:rsidRPr="005A1CAE" w:rsidRDefault="00D0690F" w:rsidP="009F612D">
            <w:pPr>
              <w:spacing w:before="180" w:after="180"/>
              <w:ind w:right="-29"/>
              <w:jc w:val="center"/>
              <w:rPr>
                <w:noProof/>
                <w:sz w:val="18"/>
                <w:szCs w:val="18"/>
              </w:rPr>
            </w:pPr>
          </w:p>
        </w:tc>
        <w:tc>
          <w:tcPr>
            <w:tcW w:w="540" w:type="dxa"/>
            <w:tcBorders>
              <w:top w:val="single" w:sz="12" w:space="0" w:color="auto"/>
              <w:bottom w:val="single" w:sz="12" w:space="0" w:color="auto"/>
            </w:tcBorders>
          </w:tcPr>
          <w:p w14:paraId="40F74AE5" w14:textId="77777777" w:rsidR="00D0690F" w:rsidRPr="005A1CAE" w:rsidRDefault="00D0690F" w:rsidP="009F612D">
            <w:pPr>
              <w:spacing w:before="180" w:after="180"/>
              <w:ind w:right="-29"/>
              <w:jc w:val="center"/>
              <w:rPr>
                <w:noProof/>
                <w:sz w:val="18"/>
                <w:szCs w:val="18"/>
              </w:rPr>
            </w:pPr>
          </w:p>
        </w:tc>
        <w:tc>
          <w:tcPr>
            <w:tcW w:w="648" w:type="dxa"/>
            <w:tcBorders>
              <w:top w:val="single" w:sz="12" w:space="0" w:color="auto"/>
              <w:bottom w:val="single" w:sz="12" w:space="0" w:color="auto"/>
            </w:tcBorders>
          </w:tcPr>
          <w:p w14:paraId="6A00F893" w14:textId="77777777" w:rsidR="00D0690F" w:rsidRPr="005A1CAE" w:rsidRDefault="00D0690F" w:rsidP="009F612D">
            <w:pPr>
              <w:spacing w:before="180" w:after="180"/>
              <w:ind w:right="-29"/>
              <w:jc w:val="center"/>
              <w:rPr>
                <w:noProof/>
                <w:sz w:val="18"/>
                <w:szCs w:val="18"/>
              </w:rPr>
            </w:pPr>
          </w:p>
        </w:tc>
        <w:tc>
          <w:tcPr>
            <w:tcW w:w="432" w:type="dxa"/>
            <w:tcBorders>
              <w:top w:val="single" w:sz="12" w:space="0" w:color="auto"/>
              <w:bottom w:val="single" w:sz="12" w:space="0" w:color="auto"/>
            </w:tcBorders>
          </w:tcPr>
          <w:p w14:paraId="424D00E2" w14:textId="77777777" w:rsidR="00D0690F" w:rsidRPr="005A1CAE" w:rsidRDefault="00D0690F" w:rsidP="009F612D">
            <w:pPr>
              <w:spacing w:before="180" w:after="180"/>
              <w:ind w:right="-29"/>
              <w:jc w:val="center"/>
              <w:rPr>
                <w:noProof/>
                <w:sz w:val="18"/>
                <w:szCs w:val="18"/>
              </w:rPr>
            </w:pPr>
          </w:p>
        </w:tc>
        <w:tc>
          <w:tcPr>
            <w:tcW w:w="720" w:type="dxa"/>
            <w:tcBorders>
              <w:top w:val="single" w:sz="12" w:space="0" w:color="auto"/>
              <w:bottom w:val="single" w:sz="12" w:space="0" w:color="auto"/>
            </w:tcBorders>
          </w:tcPr>
          <w:p w14:paraId="1F27C402" w14:textId="77777777" w:rsidR="00D0690F" w:rsidRPr="005A1CAE" w:rsidRDefault="00D0690F" w:rsidP="009F612D">
            <w:pPr>
              <w:spacing w:before="180" w:after="180"/>
              <w:ind w:right="-29"/>
              <w:jc w:val="center"/>
              <w:rPr>
                <w:noProof/>
                <w:sz w:val="18"/>
                <w:szCs w:val="18"/>
              </w:rPr>
            </w:pPr>
          </w:p>
        </w:tc>
        <w:tc>
          <w:tcPr>
            <w:tcW w:w="540" w:type="dxa"/>
            <w:tcBorders>
              <w:top w:val="single" w:sz="12" w:space="0" w:color="auto"/>
              <w:bottom w:val="single" w:sz="12" w:space="0" w:color="auto"/>
            </w:tcBorders>
          </w:tcPr>
          <w:p w14:paraId="53973566" w14:textId="77777777" w:rsidR="00D0690F" w:rsidRPr="005A1CAE" w:rsidRDefault="00D0690F" w:rsidP="009F612D">
            <w:pPr>
              <w:spacing w:before="180" w:after="180"/>
              <w:ind w:right="-29"/>
              <w:jc w:val="center"/>
              <w:rPr>
                <w:noProof/>
                <w:sz w:val="18"/>
                <w:szCs w:val="18"/>
              </w:rPr>
            </w:pPr>
          </w:p>
        </w:tc>
        <w:tc>
          <w:tcPr>
            <w:tcW w:w="720" w:type="dxa"/>
            <w:tcBorders>
              <w:top w:val="single" w:sz="12" w:space="0" w:color="auto"/>
              <w:bottom w:val="single" w:sz="12" w:space="0" w:color="auto"/>
            </w:tcBorders>
          </w:tcPr>
          <w:p w14:paraId="6AE87E7E" w14:textId="77777777" w:rsidR="00D0690F" w:rsidRPr="005A1CAE" w:rsidRDefault="00D0690F" w:rsidP="009F612D">
            <w:pPr>
              <w:spacing w:before="180" w:after="180"/>
              <w:ind w:right="-29"/>
              <w:jc w:val="center"/>
              <w:rPr>
                <w:noProof/>
                <w:sz w:val="18"/>
                <w:szCs w:val="18"/>
              </w:rPr>
            </w:pPr>
          </w:p>
        </w:tc>
        <w:tc>
          <w:tcPr>
            <w:tcW w:w="720" w:type="dxa"/>
            <w:tcBorders>
              <w:top w:val="single" w:sz="12" w:space="0" w:color="auto"/>
              <w:bottom w:val="single" w:sz="12" w:space="0" w:color="auto"/>
            </w:tcBorders>
          </w:tcPr>
          <w:p w14:paraId="74498BF3" w14:textId="77777777" w:rsidR="00D0690F" w:rsidRPr="005A1CAE" w:rsidRDefault="00D0690F" w:rsidP="009F612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448AE3EF" w14:textId="77777777" w:rsidR="00D0690F" w:rsidRPr="005A1CAE" w:rsidRDefault="00D0690F" w:rsidP="009F612D">
            <w:pPr>
              <w:spacing w:before="180" w:after="180"/>
              <w:ind w:right="-29"/>
              <w:jc w:val="center"/>
              <w:rPr>
                <w:noProof/>
                <w:sz w:val="18"/>
                <w:szCs w:val="18"/>
              </w:rPr>
            </w:pPr>
          </w:p>
        </w:tc>
      </w:tr>
    </w:tbl>
    <w:p w14:paraId="6EB2F168" w14:textId="77777777" w:rsidR="00D0690F" w:rsidRPr="005A1CAE" w:rsidRDefault="00D0690F" w:rsidP="009F612D">
      <w:pPr>
        <w:rPr>
          <w:noProof/>
        </w:rPr>
        <w:sectPr w:rsidR="00D0690F" w:rsidRPr="005A1CAE" w:rsidSect="009A1A09">
          <w:headerReference w:type="default" r:id="rId16"/>
          <w:footerReference w:type="default" r:id="rId17"/>
          <w:pgSz w:w="16840" w:h="11907" w:orient="landscape" w:code="9"/>
          <w:pgMar w:top="1134" w:right="1418" w:bottom="567" w:left="1418" w:header="709" w:footer="709" w:gutter="0"/>
          <w:cols w:space="708"/>
          <w:docGrid w:linePitch="360"/>
        </w:sectPr>
      </w:pPr>
    </w:p>
    <w:p w14:paraId="61E41DE3" w14:textId="77777777" w:rsidR="00D0690F" w:rsidRPr="005A1CAE" w:rsidRDefault="00D0690F" w:rsidP="009F612D">
      <w:pPr>
        <w:pStyle w:val="ManualHeading3"/>
        <w:rPr>
          <w:bCs/>
          <w:noProof/>
          <w:szCs w:val="24"/>
        </w:rPr>
      </w:pPr>
      <w:bookmarkStart w:id="149" w:name="_Toc514938055"/>
      <w:bookmarkStart w:id="150" w:name="_Toc520485054"/>
      <w:bookmarkStart w:id="151" w:name="_Toc160804598"/>
      <w:bookmarkStart w:id="152" w:name="_Toc167220290"/>
      <w:bookmarkStart w:id="153" w:name="_Toc177549023"/>
      <w:r w:rsidRPr="005A1CAE">
        <w:rPr>
          <w:noProof/>
        </w:rPr>
        <w:lastRenderedPageBreak/>
        <w:t>3.2.3.</w:t>
      </w:r>
      <w:r w:rsidRPr="005A1CAE">
        <w:rPr>
          <w:noProof/>
        </w:rPr>
        <w:tab/>
        <w:t>Podsumowanie szacunkowego wpływu na środki administracyjne</w:t>
      </w:r>
      <w:bookmarkEnd w:id="149"/>
      <w:bookmarkEnd w:id="150"/>
      <w:bookmarkEnd w:id="151"/>
      <w:bookmarkEnd w:id="152"/>
      <w:bookmarkEnd w:id="153"/>
      <w:r w:rsidRPr="005A1CAE">
        <w:rPr>
          <w:noProof/>
        </w:rPr>
        <w:t xml:space="preserve"> </w:t>
      </w:r>
    </w:p>
    <w:p w14:paraId="075B7817" w14:textId="78E3827C" w:rsidR="00D0690F" w:rsidRPr="005A1CAE" w:rsidRDefault="00D0690F" w:rsidP="009F612D">
      <w:pPr>
        <w:pStyle w:val="ListDash1"/>
        <w:rPr>
          <w:noProof/>
        </w:rPr>
      </w:pPr>
      <w:r w:rsidRPr="005A1CAE">
        <w:rPr>
          <w:rFonts w:ascii="Wingdings" w:hAnsi="Wingdings"/>
          <w:noProof/>
        </w:rPr>
        <w:t></w:t>
      </w:r>
      <w:r w:rsidRPr="005A1CAE">
        <w:rPr>
          <w:noProof/>
        </w:rPr>
        <w:tab/>
        <w:t>Wniosek/inicjatywa nie wiąże się</w:t>
      </w:r>
      <w:r w:rsidR="005A1CAE" w:rsidRPr="005A1CAE">
        <w:rPr>
          <w:noProof/>
        </w:rPr>
        <w:t xml:space="preserve"> z</w:t>
      </w:r>
      <w:r w:rsidR="005A1CAE">
        <w:rPr>
          <w:noProof/>
        </w:rPr>
        <w:t> </w:t>
      </w:r>
      <w:r w:rsidR="005A1CAE" w:rsidRPr="005A1CAE">
        <w:rPr>
          <w:noProof/>
        </w:rPr>
        <w:t>kon</w:t>
      </w:r>
      <w:r w:rsidRPr="005A1CAE">
        <w:rPr>
          <w:noProof/>
        </w:rPr>
        <w:t xml:space="preserve">iecznością wykorzystania środków administracyjnych </w:t>
      </w:r>
    </w:p>
    <w:p w14:paraId="5B1AD00A" w14:textId="7A85D4FC" w:rsidR="00D0690F" w:rsidRPr="005A1CAE" w:rsidRDefault="00216914" w:rsidP="009F612D">
      <w:pPr>
        <w:pStyle w:val="ListDash1"/>
        <w:rPr>
          <w:noProof/>
        </w:rPr>
      </w:pPr>
      <w:r w:rsidRPr="005A1CAE">
        <w:rPr>
          <w:rFonts w:ascii="Wingdings" w:hAnsi="Wingdings"/>
          <w:noProof/>
        </w:rPr>
        <w:t></w:t>
      </w:r>
      <w:r w:rsidRPr="005A1CAE">
        <w:rPr>
          <w:noProof/>
        </w:rPr>
        <w:tab/>
        <w:t>Wniosek/inicjatywa wiąże się</w:t>
      </w:r>
      <w:r w:rsidR="005A1CAE" w:rsidRPr="005A1CAE">
        <w:rPr>
          <w:noProof/>
        </w:rPr>
        <w:t xml:space="preserve"> z</w:t>
      </w:r>
      <w:r w:rsidR="005A1CAE">
        <w:rPr>
          <w:noProof/>
        </w:rPr>
        <w:t> </w:t>
      </w:r>
      <w:r w:rsidR="005A1CAE" w:rsidRPr="005A1CAE">
        <w:rPr>
          <w:noProof/>
        </w:rPr>
        <w:t>kon</w:t>
      </w:r>
      <w:r w:rsidRPr="005A1CAE">
        <w:rPr>
          <w:noProof/>
        </w:rPr>
        <w:t>iecznością wykorzystania środków administracyjnych, jak określono poniżej</w:t>
      </w:r>
    </w:p>
    <w:p w14:paraId="2EABE6A0" w14:textId="475566CC" w:rsidR="00D0690F" w:rsidRPr="005A1CAE" w:rsidRDefault="00D0690F" w:rsidP="009F612D">
      <w:pPr>
        <w:pStyle w:val="ManualHeading3"/>
        <w:rPr>
          <w:noProof/>
        </w:rPr>
      </w:pPr>
      <w:bookmarkStart w:id="154" w:name="_Toc167220291"/>
      <w:bookmarkStart w:id="155" w:name="_Toc177549024"/>
      <w:r w:rsidRPr="005A1CAE">
        <w:rPr>
          <w:noProof/>
        </w:rPr>
        <w:t>3.2.3.1. Środki</w:t>
      </w:r>
      <w:r w:rsidR="005A1CAE" w:rsidRPr="005A1CAE">
        <w:rPr>
          <w:noProof/>
        </w:rPr>
        <w:t xml:space="preserve"> z</w:t>
      </w:r>
      <w:r w:rsidR="005A1CAE">
        <w:rPr>
          <w:noProof/>
        </w:rPr>
        <w:t> </w:t>
      </w:r>
      <w:r w:rsidR="005A1CAE" w:rsidRPr="005A1CAE">
        <w:rPr>
          <w:noProof/>
        </w:rPr>
        <w:t>uch</w:t>
      </w:r>
      <w:r w:rsidRPr="005A1CAE">
        <w:rPr>
          <w:noProof/>
        </w:rPr>
        <w:t>walonego budżetu</w:t>
      </w:r>
      <w:bookmarkEnd w:id="154"/>
      <w:bookmarkEnd w:id="155"/>
    </w:p>
    <w:tbl>
      <w:tblPr>
        <w:tblW w:w="5000" w:type="pct"/>
        <w:tblLook w:val="04A0" w:firstRow="1" w:lastRow="0" w:firstColumn="1" w:lastColumn="0" w:noHBand="0" w:noVBand="1"/>
      </w:tblPr>
      <w:tblGrid>
        <w:gridCol w:w="3930"/>
        <w:gridCol w:w="1001"/>
        <w:gridCol w:w="1001"/>
        <w:gridCol w:w="1001"/>
        <w:gridCol w:w="1001"/>
        <w:gridCol w:w="1119"/>
      </w:tblGrid>
      <w:tr w:rsidR="00D0690F" w:rsidRPr="005A1CAE" w14:paraId="34430054" w14:textId="77777777" w:rsidTr="00A91EC0">
        <w:trPr>
          <w:trHeight w:val="300"/>
        </w:trPr>
        <w:tc>
          <w:tcPr>
            <w:tcW w:w="2170" w:type="pct"/>
            <w:vMerge w:val="restart"/>
            <w:tcBorders>
              <w:top w:val="single" w:sz="8" w:space="0" w:color="auto"/>
              <w:left w:val="single" w:sz="8" w:space="0" w:color="auto"/>
              <w:bottom w:val="single" w:sz="8" w:space="0" w:color="auto"/>
              <w:right w:val="single" w:sz="8" w:space="0" w:color="auto"/>
            </w:tcBorders>
            <w:vAlign w:val="center"/>
            <w:hideMark/>
          </w:tcPr>
          <w:p w14:paraId="13BB5D8C" w14:textId="77777777" w:rsidR="00D0690F" w:rsidRPr="005A1CAE" w:rsidRDefault="00D0690F" w:rsidP="009F612D">
            <w:pPr>
              <w:spacing w:before="0" w:after="0"/>
              <w:jc w:val="center"/>
              <w:rPr>
                <w:b/>
                <w:bCs/>
                <w:noProof/>
                <w:color w:val="000000"/>
                <w:sz w:val="18"/>
                <w:szCs w:val="18"/>
              </w:rPr>
            </w:pPr>
            <w:r w:rsidRPr="005A1CAE">
              <w:rPr>
                <w:b/>
                <w:noProof/>
                <w:color w:val="000000"/>
                <w:sz w:val="18"/>
              </w:rPr>
              <w:t>ZATWIERDZONE ŚRODKI</w:t>
            </w:r>
          </w:p>
        </w:tc>
        <w:tc>
          <w:tcPr>
            <w:tcW w:w="553" w:type="pct"/>
            <w:tcBorders>
              <w:top w:val="single" w:sz="8" w:space="0" w:color="auto"/>
              <w:left w:val="nil"/>
              <w:bottom w:val="single" w:sz="8" w:space="0" w:color="auto"/>
              <w:right w:val="single" w:sz="8" w:space="0" w:color="auto"/>
            </w:tcBorders>
            <w:vAlign w:val="center"/>
            <w:hideMark/>
          </w:tcPr>
          <w:p w14:paraId="16007A09" w14:textId="77777777" w:rsidR="00D0690F" w:rsidRPr="005A1CAE" w:rsidRDefault="00D0690F" w:rsidP="009F612D">
            <w:pPr>
              <w:spacing w:before="0" w:after="0"/>
              <w:jc w:val="center"/>
              <w:rPr>
                <w:noProof/>
                <w:color w:val="000000"/>
                <w:sz w:val="18"/>
                <w:szCs w:val="18"/>
              </w:rPr>
            </w:pPr>
            <w:r w:rsidRPr="005A1CAE">
              <w:rPr>
                <w:noProof/>
                <w:color w:val="000000"/>
                <w:sz w:val="18"/>
              </w:rPr>
              <w:t>Rok</w:t>
            </w:r>
          </w:p>
        </w:tc>
        <w:tc>
          <w:tcPr>
            <w:tcW w:w="553" w:type="pct"/>
            <w:tcBorders>
              <w:top w:val="single" w:sz="8" w:space="0" w:color="auto"/>
              <w:left w:val="nil"/>
              <w:bottom w:val="single" w:sz="8" w:space="0" w:color="auto"/>
              <w:right w:val="single" w:sz="8" w:space="0" w:color="auto"/>
            </w:tcBorders>
            <w:vAlign w:val="center"/>
            <w:hideMark/>
          </w:tcPr>
          <w:p w14:paraId="2B566B43" w14:textId="77777777" w:rsidR="00D0690F" w:rsidRPr="005A1CAE" w:rsidRDefault="00D0690F" w:rsidP="009F612D">
            <w:pPr>
              <w:spacing w:before="0" w:after="0"/>
              <w:jc w:val="center"/>
              <w:rPr>
                <w:noProof/>
                <w:color w:val="000000"/>
                <w:sz w:val="18"/>
                <w:szCs w:val="18"/>
              </w:rPr>
            </w:pPr>
            <w:r w:rsidRPr="005A1CAE">
              <w:rPr>
                <w:noProof/>
                <w:color w:val="000000"/>
                <w:sz w:val="18"/>
              </w:rPr>
              <w:t>Rok</w:t>
            </w:r>
          </w:p>
        </w:tc>
        <w:tc>
          <w:tcPr>
            <w:tcW w:w="553" w:type="pct"/>
            <w:tcBorders>
              <w:top w:val="single" w:sz="8" w:space="0" w:color="auto"/>
              <w:left w:val="nil"/>
              <w:bottom w:val="single" w:sz="8" w:space="0" w:color="auto"/>
              <w:right w:val="single" w:sz="8" w:space="0" w:color="auto"/>
            </w:tcBorders>
            <w:vAlign w:val="center"/>
            <w:hideMark/>
          </w:tcPr>
          <w:p w14:paraId="2D5DA176" w14:textId="77777777" w:rsidR="00D0690F" w:rsidRPr="005A1CAE" w:rsidRDefault="00D0690F" w:rsidP="009F612D">
            <w:pPr>
              <w:spacing w:before="0" w:after="0"/>
              <w:jc w:val="center"/>
              <w:rPr>
                <w:noProof/>
                <w:color w:val="000000"/>
                <w:sz w:val="18"/>
                <w:szCs w:val="18"/>
              </w:rPr>
            </w:pPr>
            <w:r w:rsidRPr="005A1CAE">
              <w:rPr>
                <w:noProof/>
                <w:color w:val="000000"/>
                <w:sz w:val="18"/>
              </w:rPr>
              <w:t>Rok</w:t>
            </w:r>
          </w:p>
        </w:tc>
        <w:tc>
          <w:tcPr>
            <w:tcW w:w="553" w:type="pct"/>
            <w:tcBorders>
              <w:top w:val="single" w:sz="8" w:space="0" w:color="auto"/>
              <w:left w:val="nil"/>
              <w:bottom w:val="single" w:sz="8" w:space="0" w:color="auto"/>
              <w:right w:val="single" w:sz="8" w:space="0" w:color="auto"/>
            </w:tcBorders>
            <w:vAlign w:val="center"/>
            <w:hideMark/>
          </w:tcPr>
          <w:p w14:paraId="7C080793" w14:textId="77777777" w:rsidR="00D0690F" w:rsidRPr="005A1CAE" w:rsidRDefault="00D0690F" w:rsidP="009F612D">
            <w:pPr>
              <w:spacing w:before="0" w:after="0"/>
              <w:jc w:val="center"/>
              <w:rPr>
                <w:noProof/>
                <w:color w:val="000000"/>
                <w:sz w:val="18"/>
                <w:szCs w:val="18"/>
              </w:rPr>
            </w:pPr>
            <w:r w:rsidRPr="005A1CAE">
              <w:rPr>
                <w:noProof/>
                <w:color w:val="000000"/>
                <w:sz w:val="18"/>
              </w:rPr>
              <w:t>Rok</w:t>
            </w:r>
          </w:p>
        </w:tc>
        <w:tc>
          <w:tcPr>
            <w:tcW w:w="618" w:type="pct"/>
            <w:vMerge w:val="restart"/>
            <w:tcBorders>
              <w:top w:val="single" w:sz="8" w:space="0" w:color="auto"/>
              <w:left w:val="single" w:sz="8" w:space="0" w:color="auto"/>
              <w:bottom w:val="single" w:sz="8" w:space="0" w:color="auto"/>
              <w:right w:val="single" w:sz="8" w:space="0" w:color="auto"/>
            </w:tcBorders>
            <w:vAlign w:val="center"/>
            <w:hideMark/>
          </w:tcPr>
          <w:p w14:paraId="5B179F31" w14:textId="77777777" w:rsidR="00D0690F" w:rsidRPr="005A1CAE" w:rsidRDefault="00D0690F" w:rsidP="009F612D">
            <w:pPr>
              <w:spacing w:before="0" w:after="0"/>
              <w:jc w:val="center"/>
              <w:rPr>
                <w:b/>
                <w:bCs/>
                <w:noProof/>
                <w:color w:val="000000"/>
                <w:sz w:val="18"/>
                <w:szCs w:val="18"/>
              </w:rPr>
            </w:pPr>
            <w:r w:rsidRPr="005A1CAE">
              <w:rPr>
                <w:b/>
                <w:noProof/>
                <w:color w:val="000000"/>
                <w:sz w:val="18"/>
              </w:rPr>
              <w:t>OGÓŁEM 2021–2027</w:t>
            </w:r>
          </w:p>
        </w:tc>
      </w:tr>
      <w:tr w:rsidR="00D0690F" w:rsidRPr="005A1CAE" w14:paraId="22A1C619" w14:textId="77777777" w:rsidTr="00A91EC0">
        <w:trPr>
          <w:trHeight w:val="300"/>
        </w:trPr>
        <w:tc>
          <w:tcPr>
            <w:tcW w:w="2170" w:type="pct"/>
            <w:vMerge/>
            <w:tcBorders>
              <w:top w:val="single" w:sz="8" w:space="0" w:color="auto"/>
              <w:left w:val="single" w:sz="8" w:space="0" w:color="auto"/>
              <w:bottom w:val="single" w:sz="8" w:space="0" w:color="auto"/>
              <w:right w:val="single" w:sz="8" w:space="0" w:color="auto"/>
            </w:tcBorders>
            <w:vAlign w:val="center"/>
            <w:hideMark/>
          </w:tcPr>
          <w:p w14:paraId="09707514" w14:textId="77777777" w:rsidR="00D0690F" w:rsidRPr="005A1CAE" w:rsidRDefault="00D0690F" w:rsidP="009F612D">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3A483C95" w14:textId="77777777" w:rsidR="00D0690F" w:rsidRPr="005A1CAE" w:rsidRDefault="00D0690F" w:rsidP="009F612D">
            <w:pPr>
              <w:spacing w:before="0" w:after="0"/>
              <w:jc w:val="center"/>
              <w:rPr>
                <w:b/>
                <w:bCs/>
                <w:noProof/>
                <w:color w:val="000000"/>
                <w:sz w:val="18"/>
                <w:szCs w:val="18"/>
              </w:rPr>
            </w:pPr>
            <w:r w:rsidRPr="005A1CAE">
              <w:rPr>
                <w:b/>
                <w:noProof/>
                <w:color w:val="000000"/>
                <w:sz w:val="18"/>
              </w:rPr>
              <w:t>2024</w:t>
            </w:r>
          </w:p>
        </w:tc>
        <w:tc>
          <w:tcPr>
            <w:tcW w:w="553" w:type="pct"/>
            <w:tcBorders>
              <w:top w:val="nil"/>
              <w:left w:val="nil"/>
              <w:bottom w:val="single" w:sz="8" w:space="0" w:color="auto"/>
              <w:right w:val="single" w:sz="8" w:space="0" w:color="auto"/>
            </w:tcBorders>
            <w:vAlign w:val="center"/>
            <w:hideMark/>
          </w:tcPr>
          <w:p w14:paraId="00490270" w14:textId="77777777" w:rsidR="00D0690F" w:rsidRPr="005A1CAE" w:rsidRDefault="00D0690F" w:rsidP="009F612D">
            <w:pPr>
              <w:spacing w:before="0" w:after="0"/>
              <w:jc w:val="center"/>
              <w:rPr>
                <w:b/>
                <w:bCs/>
                <w:noProof/>
                <w:color w:val="000000"/>
                <w:sz w:val="18"/>
                <w:szCs w:val="18"/>
              </w:rPr>
            </w:pPr>
            <w:r w:rsidRPr="005A1CAE">
              <w:rPr>
                <w:b/>
                <w:noProof/>
                <w:color w:val="000000"/>
                <w:sz w:val="18"/>
              </w:rPr>
              <w:t>2025</w:t>
            </w:r>
          </w:p>
        </w:tc>
        <w:tc>
          <w:tcPr>
            <w:tcW w:w="553" w:type="pct"/>
            <w:tcBorders>
              <w:top w:val="nil"/>
              <w:left w:val="nil"/>
              <w:bottom w:val="single" w:sz="8" w:space="0" w:color="auto"/>
              <w:right w:val="single" w:sz="8" w:space="0" w:color="auto"/>
            </w:tcBorders>
            <w:vAlign w:val="center"/>
            <w:hideMark/>
          </w:tcPr>
          <w:p w14:paraId="0BEF4228" w14:textId="77777777" w:rsidR="00D0690F" w:rsidRPr="005A1CAE" w:rsidRDefault="00D0690F" w:rsidP="009F612D">
            <w:pPr>
              <w:spacing w:before="0" w:after="0"/>
              <w:jc w:val="center"/>
              <w:rPr>
                <w:b/>
                <w:bCs/>
                <w:noProof/>
                <w:color w:val="000000"/>
                <w:sz w:val="18"/>
                <w:szCs w:val="18"/>
              </w:rPr>
            </w:pPr>
            <w:r w:rsidRPr="005A1CAE">
              <w:rPr>
                <w:b/>
                <w:noProof/>
                <w:color w:val="000000"/>
                <w:sz w:val="18"/>
              </w:rPr>
              <w:t>2026</w:t>
            </w:r>
          </w:p>
        </w:tc>
        <w:tc>
          <w:tcPr>
            <w:tcW w:w="553" w:type="pct"/>
            <w:tcBorders>
              <w:top w:val="nil"/>
              <w:left w:val="nil"/>
              <w:bottom w:val="single" w:sz="8" w:space="0" w:color="auto"/>
              <w:right w:val="single" w:sz="8" w:space="0" w:color="auto"/>
            </w:tcBorders>
            <w:vAlign w:val="center"/>
            <w:hideMark/>
          </w:tcPr>
          <w:p w14:paraId="74C9A63C" w14:textId="77777777" w:rsidR="00D0690F" w:rsidRPr="005A1CAE" w:rsidRDefault="00D0690F" w:rsidP="009F612D">
            <w:pPr>
              <w:spacing w:before="0" w:after="0"/>
              <w:jc w:val="center"/>
              <w:rPr>
                <w:b/>
                <w:bCs/>
                <w:noProof/>
                <w:color w:val="000000"/>
                <w:sz w:val="18"/>
                <w:szCs w:val="18"/>
              </w:rPr>
            </w:pPr>
            <w:r w:rsidRPr="005A1CAE">
              <w:rPr>
                <w:b/>
                <w:noProof/>
                <w:color w:val="000000"/>
                <w:sz w:val="18"/>
              </w:rPr>
              <w:t>2027</w:t>
            </w:r>
          </w:p>
        </w:tc>
        <w:tc>
          <w:tcPr>
            <w:tcW w:w="618" w:type="pct"/>
            <w:vMerge/>
            <w:tcBorders>
              <w:top w:val="single" w:sz="8" w:space="0" w:color="auto"/>
              <w:left w:val="single" w:sz="8" w:space="0" w:color="auto"/>
              <w:bottom w:val="single" w:sz="8" w:space="0" w:color="auto"/>
              <w:right w:val="single" w:sz="8" w:space="0" w:color="auto"/>
            </w:tcBorders>
            <w:vAlign w:val="center"/>
            <w:hideMark/>
          </w:tcPr>
          <w:p w14:paraId="76FB52BB" w14:textId="77777777" w:rsidR="00D0690F" w:rsidRPr="005A1CAE" w:rsidRDefault="00D0690F" w:rsidP="009F612D">
            <w:pPr>
              <w:spacing w:before="0" w:after="0"/>
              <w:jc w:val="left"/>
              <w:rPr>
                <w:b/>
                <w:bCs/>
                <w:noProof/>
                <w:color w:val="000000"/>
                <w:sz w:val="18"/>
                <w:szCs w:val="18"/>
                <w:lang w:eastAsia="en-IE"/>
              </w:rPr>
            </w:pPr>
          </w:p>
        </w:tc>
      </w:tr>
      <w:tr w:rsidR="00D0690F" w:rsidRPr="005A1CAE" w14:paraId="3DCF41E0" w14:textId="77777777" w:rsidTr="000362CB">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333971CB" w14:textId="77777777" w:rsidR="00D0690F" w:rsidRPr="005A1CAE" w:rsidRDefault="00D0690F" w:rsidP="009F612D">
            <w:pPr>
              <w:spacing w:before="0" w:after="0"/>
              <w:jc w:val="left"/>
              <w:rPr>
                <w:b/>
                <w:bCs/>
                <w:noProof/>
                <w:sz w:val="16"/>
                <w:szCs w:val="16"/>
              </w:rPr>
            </w:pPr>
            <w:r w:rsidRPr="005A1CAE">
              <w:rPr>
                <w:b/>
                <w:noProof/>
                <w:sz w:val="16"/>
              </w:rPr>
              <w:t>DZIAŁ 7</w:t>
            </w:r>
          </w:p>
        </w:tc>
      </w:tr>
      <w:tr w:rsidR="00216914" w:rsidRPr="005A1CAE" w14:paraId="54C69C02" w14:textId="77777777" w:rsidTr="00A91EC0">
        <w:trPr>
          <w:trHeight w:val="300"/>
        </w:trPr>
        <w:tc>
          <w:tcPr>
            <w:tcW w:w="2170" w:type="pct"/>
            <w:tcBorders>
              <w:top w:val="nil"/>
              <w:left w:val="single" w:sz="8" w:space="0" w:color="auto"/>
              <w:bottom w:val="single" w:sz="8" w:space="0" w:color="auto"/>
              <w:right w:val="single" w:sz="8" w:space="0" w:color="auto"/>
            </w:tcBorders>
            <w:vAlign w:val="center"/>
            <w:hideMark/>
          </w:tcPr>
          <w:p w14:paraId="531F1301" w14:textId="77777777" w:rsidR="00216914" w:rsidRPr="005A1CAE" w:rsidRDefault="00216914" w:rsidP="00216914">
            <w:pPr>
              <w:spacing w:before="0" w:after="0"/>
              <w:jc w:val="left"/>
              <w:rPr>
                <w:noProof/>
                <w:color w:val="000000"/>
                <w:sz w:val="16"/>
                <w:szCs w:val="16"/>
              </w:rPr>
            </w:pPr>
            <w:r w:rsidRPr="005A1CAE">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6A28E507" w14:textId="77777777" w:rsidR="00216914" w:rsidRPr="005A1CAE" w:rsidRDefault="00216914" w:rsidP="00216914">
            <w:pPr>
              <w:spacing w:before="0" w:after="0"/>
              <w:jc w:val="right"/>
              <w:rPr>
                <w:noProof/>
                <w:color w:val="000000"/>
                <w:sz w:val="16"/>
                <w:szCs w:val="16"/>
              </w:rPr>
            </w:pPr>
            <w:r w:rsidRPr="005A1CAE">
              <w:rPr>
                <w:noProof/>
                <w:sz w:val="16"/>
              </w:rPr>
              <w:t>8,572</w:t>
            </w:r>
          </w:p>
        </w:tc>
        <w:tc>
          <w:tcPr>
            <w:tcW w:w="553" w:type="pct"/>
            <w:tcBorders>
              <w:top w:val="nil"/>
              <w:left w:val="nil"/>
              <w:bottom w:val="single" w:sz="8" w:space="0" w:color="auto"/>
              <w:right w:val="single" w:sz="8" w:space="0" w:color="auto"/>
            </w:tcBorders>
            <w:shd w:val="clear" w:color="000000" w:fill="D9D9D9"/>
            <w:vAlign w:val="center"/>
            <w:hideMark/>
          </w:tcPr>
          <w:p w14:paraId="3DE72B50" w14:textId="77777777" w:rsidR="00216914" w:rsidRPr="005A1CAE" w:rsidRDefault="00216914" w:rsidP="00216914">
            <w:pPr>
              <w:spacing w:before="0" w:after="0"/>
              <w:jc w:val="right"/>
              <w:rPr>
                <w:noProof/>
                <w:color w:val="000000"/>
                <w:sz w:val="16"/>
                <w:szCs w:val="16"/>
              </w:rPr>
            </w:pPr>
            <w:r w:rsidRPr="005A1CAE">
              <w:rPr>
                <w:noProof/>
                <w:sz w:val="16"/>
              </w:rPr>
              <w:t>6,271</w:t>
            </w:r>
          </w:p>
        </w:tc>
        <w:tc>
          <w:tcPr>
            <w:tcW w:w="553" w:type="pct"/>
            <w:tcBorders>
              <w:top w:val="nil"/>
              <w:left w:val="nil"/>
              <w:bottom w:val="single" w:sz="8" w:space="0" w:color="auto"/>
              <w:right w:val="single" w:sz="8" w:space="0" w:color="auto"/>
            </w:tcBorders>
            <w:shd w:val="clear" w:color="000000" w:fill="D9D9D9"/>
            <w:vAlign w:val="center"/>
            <w:hideMark/>
          </w:tcPr>
          <w:p w14:paraId="687579DF" w14:textId="77777777" w:rsidR="00216914" w:rsidRPr="005A1CAE" w:rsidRDefault="00216914" w:rsidP="00216914">
            <w:pPr>
              <w:spacing w:before="0" w:after="0"/>
              <w:jc w:val="right"/>
              <w:rPr>
                <w:noProof/>
                <w:color w:val="000000"/>
                <w:sz w:val="16"/>
                <w:szCs w:val="16"/>
              </w:rPr>
            </w:pPr>
            <w:r w:rsidRPr="005A1CAE">
              <w:rPr>
                <w:noProof/>
                <w:sz w:val="16"/>
              </w:rPr>
              <w:t>8,740</w:t>
            </w:r>
          </w:p>
        </w:tc>
        <w:tc>
          <w:tcPr>
            <w:tcW w:w="553" w:type="pct"/>
            <w:tcBorders>
              <w:top w:val="nil"/>
              <w:left w:val="nil"/>
              <w:bottom w:val="single" w:sz="8" w:space="0" w:color="auto"/>
              <w:right w:val="single" w:sz="8" w:space="0" w:color="auto"/>
            </w:tcBorders>
            <w:shd w:val="clear" w:color="000000" w:fill="D9D9D9"/>
            <w:vAlign w:val="center"/>
            <w:hideMark/>
          </w:tcPr>
          <w:p w14:paraId="7DD149BB" w14:textId="77777777" w:rsidR="00216914" w:rsidRPr="005A1CAE" w:rsidRDefault="00C2613A" w:rsidP="00216914">
            <w:pPr>
              <w:spacing w:before="0" w:after="0"/>
              <w:jc w:val="right"/>
              <w:rPr>
                <w:noProof/>
                <w:color w:val="000000"/>
                <w:sz w:val="16"/>
                <w:szCs w:val="16"/>
              </w:rPr>
            </w:pPr>
            <w:r w:rsidRPr="005A1CAE">
              <w:rPr>
                <w:noProof/>
                <w:sz w:val="16"/>
              </w:rPr>
              <w:t>11,700</w:t>
            </w:r>
          </w:p>
        </w:tc>
        <w:tc>
          <w:tcPr>
            <w:tcW w:w="618" w:type="pct"/>
            <w:tcBorders>
              <w:top w:val="nil"/>
              <w:left w:val="nil"/>
              <w:bottom w:val="single" w:sz="8" w:space="0" w:color="auto"/>
              <w:right w:val="single" w:sz="8" w:space="0" w:color="auto"/>
            </w:tcBorders>
            <w:shd w:val="clear" w:color="000000" w:fill="D9D9D9"/>
            <w:vAlign w:val="center"/>
            <w:hideMark/>
          </w:tcPr>
          <w:p w14:paraId="61069673" w14:textId="77777777" w:rsidR="00216914" w:rsidRPr="005A1CAE" w:rsidRDefault="006712BE" w:rsidP="00216914">
            <w:pPr>
              <w:spacing w:before="0" w:after="0"/>
              <w:jc w:val="right"/>
              <w:rPr>
                <w:b/>
                <w:bCs/>
                <w:noProof/>
                <w:color w:val="000000"/>
                <w:sz w:val="16"/>
                <w:szCs w:val="16"/>
              </w:rPr>
            </w:pPr>
            <w:r w:rsidRPr="005A1CAE">
              <w:rPr>
                <w:b/>
                <w:noProof/>
                <w:sz w:val="16"/>
              </w:rPr>
              <w:t>35,283</w:t>
            </w:r>
          </w:p>
        </w:tc>
      </w:tr>
      <w:tr w:rsidR="00216914" w:rsidRPr="005A1CAE" w14:paraId="09A3B2C2" w14:textId="77777777" w:rsidTr="00A91EC0">
        <w:trPr>
          <w:trHeight w:val="300"/>
        </w:trPr>
        <w:tc>
          <w:tcPr>
            <w:tcW w:w="2170" w:type="pct"/>
            <w:tcBorders>
              <w:top w:val="nil"/>
              <w:left w:val="single" w:sz="8" w:space="0" w:color="auto"/>
              <w:bottom w:val="single" w:sz="8" w:space="0" w:color="auto"/>
              <w:right w:val="single" w:sz="8" w:space="0" w:color="auto"/>
            </w:tcBorders>
            <w:vAlign w:val="center"/>
            <w:hideMark/>
          </w:tcPr>
          <w:p w14:paraId="625BD796" w14:textId="77777777" w:rsidR="00216914" w:rsidRPr="005A1CAE" w:rsidRDefault="00216914" w:rsidP="00216914">
            <w:pPr>
              <w:spacing w:before="0" w:after="0"/>
              <w:jc w:val="left"/>
              <w:rPr>
                <w:noProof/>
                <w:color w:val="000000"/>
                <w:sz w:val="16"/>
                <w:szCs w:val="16"/>
              </w:rPr>
            </w:pPr>
            <w:r w:rsidRPr="005A1CAE">
              <w:rPr>
                <w:noProof/>
                <w:color w:val="000000"/>
                <w:sz w:val="16"/>
              </w:rPr>
              <w:t xml:space="preserve">Pozostałe wydatki administracyjne </w:t>
            </w:r>
          </w:p>
        </w:tc>
        <w:tc>
          <w:tcPr>
            <w:tcW w:w="553" w:type="pct"/>
            <w:tcBorders>
              <w:top w:val="nil"/>
              <w:left w:val="nil"/>
              <w:bottom w:val="single" w:sz="8" w:space="0" w:color="auto"/>
              <w:right w:val="single" w:sz="8" w:space="0" w:color="auto"/>
            </w:tcBorders>
            <w:shd w:val="clear" w:color="000000" w:fill="D9D9D9"/>
            <w:vAlign w:val="center"/>
            <w:hideMark/>
          </w:tcPr>
          <w:p w14:paraId="786A6DAE" w14:textId="77777777" w:rsidR="00216914" w:rsidRPr="005A1CAE" w:rsidRDefault="00216914" w:rsidP="00216914">
            <w:pPr>
              <w:spacing w:before="0" w:after="0"/>
              <w:jc w:val="right"/>
              <w:rPr>
                <w:noProof/>
                <w:color w:val="000000"/>
                <w:sz w:val="16"/>
                <w:szCs w:val="16"/>
              </w:rPr>
            </w:pPr>
            <w:r w:rsidRPr="005A1CAE">
              <w:rPr>
                <w:noProof/>
                <w:sz w:val="16"/>
              </w:rPr>
              <w:t>0,600</w:t>
            </w:r>
          </w:p>
        </w:tc>
        <w:tc>
          <w:tcPr>
            <w:tcW w:w="553" w:type="pct"/>
            <w:tcBorders>
              <w:top w:val="nil"/>
              <w:left w:val="nil"/>
              <w:bottom w:val="single" w:sz="8" w:space="0" w:color="auto"/>
              <w:right w:val="single" w:sz="8" w:space="0" w:color="auto"/>
            </w:tcBorders>
            <w:shd w:val="clear" w:color="000000" w:fill="D9D9D9"/>
            <w:vAlign w:val="center"/>
            <w:hideMark/>
          </w:tcPr>
          <w:p w14:paraId="25FEA466" w14:textId="77777777" w:rsidR="00216914" w:rsidRPr="005A1CAE" w:rsidRDefault="00216914" w:rsidP="00216914">
            <w:pPr>
              <w:spacing w:before="0" w:after="0"/>
              <w:jc w:val="right"/>
              <w:rPr>
                <w:noProof/>
                <w:color w:val="000000"/>
                <w:sz w:val="16"/>
                <w:szCs w:val="16"/>
              </w:rPr>
            </w:pPr>
            <w:r w:rsidRPr="005A1CAE">
              <w:rPr>
                <w:noProof/>
                <w:sz w:val="16"/>
              </w:rPr>
              <w:t>0,300</w:t>
            </w:r>
          </w:p>
        </w:tc>
        <w:tc>
          <w:tcPr>
            <w:tcW w:w="553" w:type="pct"/>
            <w:tcBorders>
              <w:top w:val="nil"/>
              <w:left w:val="nil"/>
              <w:bottom w:val="single" w:sz="8" w:space="0" w:color="auto"/>
              <w:right w:val="single" w:sz="8" w:space="0" w:color="auto"/>
            </w:tcBorders>
            <w:shd w:val="clear" w:color="000000" w:fill="D9D9D9"/>
            <w:vAlign w:val="center"/>
            <w:hideMark/>
          </w:tcPr>
          <w:p w14:paraId="34F59E05" w14:textId="77777777" w:rsidR="00216914" w:rsidRPr="005A1CAE" w:rsidRDefault="00216914" w:rsidP="00216914">
            <w:pPr>
              <w:spacing w:before="0" w:after="0"/>
              <w:jc w:val="right"/>
              <w:rPr>
                <w:noProof/>
                <w:color w:val="000000"/>
                <w:sz w:val="16"/>
                <w:szCs w:val="16"/>
              </w:rPr>
            </w:pPr>
            <w:r w:rsidRPr="005A1CAE">
              <w:rPr>
                <w:noProof/>
                <w:sz w:val="16"/>
              </w:rPr>
              <w:t>0,306</w:t>
            </w:r>
          </w:p>
        </w:tc>
        <w:tc>
          <w:tcPr>
            <w:tcW w:w="553" w:type="pct"/>
            <w:tcBorders>
              <w:top w:val="nil"/>
              <w:left w:val="nil"/>
              <w:bottom w:val="single" w:sz="8" w:space="0" w:color="auto"/>
              <w:right w:val="single" w:sz="8" w:space="0" w:color="auto"/>
            </w:tcBorders>
            <w:shd w:val="clear" w:color="000000" w:fill="D9D9D9"/>
            <w:vAlign w:val="center"/>
            <w:hideMark/>
          </w:tcPr>
          <w:p w14:paraId="4DBBEBCD" w14:textId="77777777" w:rsidR="00216914" w:rsidRPr="005A1CAE" w:rsidRDefault="00216914" w:rsidP="00216914">
            <w:pPr>
              <w:spacing w:before="0" w:after="0"/>
              <w:jc w:val="right"/>
              <w:rPr>
                <w:noProof/>
                <w:color w:val="000000"/>
                <w:sz w:val="16"/>
                <w:szCs w:val="16"/>
              </w:rPr>
            </w:pPr>
            <w:r w:rsidRPr="005A1CAE">
              <w:rPr>
                <w:noProof/>
                <w:sz w:val="16"/>
              </w:rPr>
              <w:t>0,312</w:t>
            </w:r>
          </w:p>
        </w:tc>
        <w:tc>
          <w:tcPr>
            <w:tcW w:w="618" w:type="pct"/>
            <w:tcBorders>
              <w:top w:val="nil"/>
              <w:left w:val="nil"/>
              <w:bottom w:val="single" w:sz="8" w:space="0" w:color="auto"/>
              <w:right w:val="single" w:sz="8" w:space="0" w:color="auto"/>
            </w:tcBorders>
            <w:shd w:val="clear" w:color="000000" w:fill="D9D9D9"/>
            <w:vAlign w:val="center"/>
            <w:hideMark/>
          </w:tcPr>
          <w:p w14:paraId="3D51E3FA" w14:textId="77777777" w:rsidR="00216914" w:rsidRPr="005A1CAE" w:rsidRDefault="00216914" w:rsidP="00216914">
            <w:pPr>
              <w:spacing w:before="0" w:after="0"/>
              <w:jc w:val="right"/>
              <w:rPr>
                <w:b/>
                <w:bCs/>
                <w:noProof/>
                <w:color w:val="000000"/>
                <w:sz w:val="16"/>
                <w:szCs w:val="16"/>
              </w:rPr>
            </w:pPr>
            <w:r w:rsidRPr="005A1CAE">
              <w:rPr>
                <w:b/>
                <w:noProof/>
                <w:sz w:val="16"/>
              </w:rPr>
              <w:t>1,518</w:t>
            </w:r>
          </w:p>
        </w:tc>
      </w:tr>
      <w:tr w:rsidR="00216914" w:rsidRPr="005A1CAE" w14:paraId="46673FB9" w14:textId="77777777" w:rsidTr="00A91EC0">
        <w:trPr>
          <w:trHeight w:val="300"/>
        </w:trPr>
        <w:tc>
          <w:tcPr>
            <w:tcW w:w="2170" w:type="pct"/>
            <w:tcBorders>
              <w:top w:val="nil"/>
              <w:left w:val="single" w:sz="8" w:space="0" w:color="auto"/>
              <w:bottom w:val="single" w:sz="8" w:space="0" w:color="auto"/>
              <w:right w:val="single" w:sz="8" w:space="0" w:color="auto"/>
            </w:tcBorders>
            <w:shd w:val="clear" w:color="000000" w:fill="CCCCCC"/>
            <w:vAlign w:val="center"/>
            <w:hideMark/>
          </w:tcPr>
          <w:p w14:paraId="680D7425" w14:textId="77777777" w:rsidR="00216914" w:rsidRPr="005A1CAE" w:rsidRDefault="00216914" w:rsidP="00216914">
            <w:pPr>
              <w:spacing w:before="0" w:after="0"/>
              <w:jc w:val="center"/>
              <w:rPr>
                <w:b/>
                <w:bCs/>
                <w:noProof/>
                <w:color w:val="000000"/>
                <w:sz w:val="16"/>
                <w:szCs w:val="16"/>
              </w:rPr>
            </w:pPr>
            <w:r w:rsidRPr="005A1CAE">
              <w:rPr>
                <w:b/>
                <w:noProof/>
                <w:color w:val="000000"/>
                <w:sz w:val="16"/>
              </w:rPr>
              <w:t>Suma cząstkowa DZIAŁ 7</w:t>
            </w:r>
          </w:p>
        </w:tc>
        <w:tc>
          <w:tcPr>
            <w:tcW w:w="553" w:type="pct"/>
            <w:tcBorders>
              <w:top w:val="nil"/>
              <w:left w:val="nil"/>
              <w:bottom w:val="single" w:sz="8" w:space="0" w:color="auto"/>
              <w:right w:val="single" w:sz="8" w:space="0" w:color="auto"/>
            </w:tcBorders>
            <w:shd w:val="clear" w:color="000000" w:fill="D9D9D9"/>
            <w:vAlign w:val="center"/>
            <w:hideMark/>
          </w:tcPr>
          <w:p w14:paraId="672DAE11" w14:textId="77777777" w:rsidR="00216914" w:rsidRPr="005A1CAE" w:rsidRDefault="00216914" w:rsidP="00216914">
            <w:pPr>
              <w:spacing w:before="0" w:after="0"/>
              <w:jc w:val="right"/>
              <w:rPr>
                <w:b/>
                <w:bCs/>
                <w:noProof/>
                <w:color w:val="000000"/>
                <w:sz w:val="16"/>
                <w:szCs w:val="16"/>
              </w:rPr>
            </w:pPr>
            <w:r w:rsidRPr="005A1CAE">
              <w:rPr>
                <w:b/>
                <w:noProof/>
                <w:sz w:val="16"/>
              </w:rPr>
              <w:t>9,172</w:t>
            </w:r>
          </w:p>
        </w:tc>
        <w:tc>
          <w:tcPr>
            <w:tcW w:w="553" w:type="pct"/>
            <w:tcBorders>
              <w:top w:val="nil"/>
              <w:left w:val="nil"/>
              <w:bottom w:val="single" w:sz="8" w:space="0" w:color="auto"/>
              <w:right w:val="single" w:sz="8" w:space="0" w:color="auto"/>
            </w:tcBorders>
            <w:shd w:val="clear" w:color="000000" w:fill="D9D9D9"/>
            <w:vAlign w:val="center"/>
            <w:hideMark/>
          </w:tcPr>
          <w:p w14:paraId="5E7BC154" w14:textId="77777777" w:rsidR="00216914" w:rsidRPr="005A1CAE" w:rsidRDefault="00216914" w:rsidP="00216914">
            <w:pPr>
              <w:spacing w:before="0" w:after="0"/>
              <w:jc w:val="right"/>
              <w:rPr>
                <w:b/>
                <w:bCs/>
                <w:noProof/>
                <w:color w:val="000000"/>
                <w:sz w:val="16"/>
                <w:szCs w:val="16"/>
              </w:rPr>
            </w:pPr>
            <w:r w:rsidRPr="005A1CAE">
              <w:rPr>
                <w:b/>
                <w:noProof/>
                <w:sz w:val="16"/>
              </w:rPr>
              <w:t>6,571</w:t>
            </w:r>
          </w:p>
        </w:tc>
        <w:tc>
          <w:tcPr>
            <w:tcW w:w="553" w:type="pct"/>
            <w:tcBorders>
              <w:top w:val="nil"/>
              <w:left w:val="nil"/>
              <w:bottom w:val="single" w:sz="8" w:space="0" w:color="auto"/>
              <w:right w:val="single" w:sz="8" w:space="0" w:color="auto"/>
            </w:tcBorders>
            <w:shd w:val="clear" w:color="000000" w:fill="D9D9D9"/>
            <w:vAlign w:val="center"/>
            <w:hideMark/>
          </w:tcPr>
          <w:p w14:paraId="4CB496B8" w14:textId="77777777" w:rsidR="00216914" w:rsidRPr="005A1CAE" w:rsidRDefault="00216914" w:rsidP="00216914">
            <w:pPr>
              <w:spacing w:before="0" w:after="0"/>
              <w:jc w:val="right"/>
              <w:rPr>
                <w:b/>
                <w:bCs/>
                <w:noProof/>
                <w:color w:val="000000"/>
                <w:sz w:val="16"/>
                <w:szCs w:val="16"/>
              </w:rPr>
            </w:pPr>
            <w:r w:rsidRPr="005A1CAE">
              <w:rPr>
                <w:b/>
                <w:noProof/>
                <w:sz w:val="16"/>
              </w:rPr>
              <w:t>9,046</w:t>
            </w:r>
          </w:p>
        </w:tc>
        <w:tc>
          <w:tcPr>
            <w:tcW w:w="553" w:type="pct"/>
            <w:tcBorders>
              <w:top w:val="nil"/>
              <w:left w:val="nil"/>
              <w:bottom w:val="single" w:sz="8" w:space="0" w:color="auto"/>
              <w:right w:val="single" w:sz="8" w:space="0" w:color="auto"/>
            </w:tcBorders>
            <w:shd w:val="clear" w:color="000000" w:fill="D9D9D9"/>
            <w:vAlign w:val="center"/>
            <w:hideMark/>
          </w:tcPr>
          <w:p w14:paraId="4706FD91" w14:textId="77777777" w:rsidR="00216914" w:rsidRPr="005A1CAE" w:rsidRDefault="00C2613A" w:rsidP="00216914">
            <w:pPr>
              <w:spacing w:before="0" w:after="0"/>
              <w:jc w:val="right"/>
              <w:rPr>
                <w:b/>
                <w:bCs/>
                <w:noProof/>
                <w:color w:val="000000"/>
                <w:sz w:val="16"/>
                <w:szCs w:val="16"/>
              </w:rPr>
            </w:pPr>
            <w:r w:rsidRPr="005A1CAE">
              <w:rPr>
                <w:b/>
                <w:noProof/>
                <w:sz w:val="16"/>
              </w:rPr>
              <w:t>12,012</w:t>
            </w:r>
          </w:p>
        </w:tc>
        <w:tc>
          <w:tcPr>
            <w:tcW w:w="618" w:type="pct"/>
            <w:tcBorders>
              <w:top w:val="nil"/>
              <w:left w:val="nil"/>
              <w:bottom w:val="single" w:sz="8" w:space="0" w:color="auto"/>
              <w:right w:val="single" w:sz="8" w:space="0" w:color="auto"/>
            </w:tcBorders>
            <w:shd w:val="clear" w:color="000000" w:fill="D9D9D9"/>
            <w:vAlign w:val="center"/>
            <w:hideMark/>
          </w:tcPr>
          <w:p w14:paraId="723A6CA7" w14:textId="77777777" w:rsidR="00216914" w:rsidRPr="005A1CAE" w:rsidRDefault="006712BE" w:rsidP="00216914">
            <w:pPr>
              <w:spacing w:before="0" w:after="0"/>
              <w:jc w:val="right"/>
              <w:rPr>
                <w:b/>
                <w:bCs/>
                <w:noProof/>
                <w:color w:val="000000"/>
                <w:sz w:val="16"/>
                <w:szCs w:val="16"/>
              </w:rPr>
            </w:pPr>
            <w:r w:rsidRPr="005A1CAE">
              <w:rPr>
                <w:b/>
                <w:noProof/>
                <w:sz w:val="16"/>
              </w:rPr>
              <w:t>36,801</w:t>
            </w:r>
          </w:p>
        </w:tc>
      </w:tr>
      <w:tr w:rsidR="00D0690F" w:rsidRPr="005A1CAE" w14:paraId="011D316E" w14:textId="77777777" w:rsidTr="000362CB">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02047C32" w14:textId="77777777" w:rsidR="00D0690F" w:rsidRPr="005A1CAE" w:rsidRDefault="00D0690F" w:rsidP="009F612D">
            <w:pPr>
              <w:spacing w:before="0" w:after="0"/>
              <w:jc w:val="left"/>
              <w:rPr>
                <w:b/>
                <w:bCs/>
                <w:noProof/>
                <w:sz w:val="16"/>
                <w:szCs w:val="16"/>
              </w:rPr>
            </w:pPr>
            <w:r w:rsidRPr="005A1CAE">
              <w:rPr>
                <w:b/>
                <w:noProof/>
                <w:sz w:val="16"/>
              </w:rPr>
              <w:t>Poza DZIAŁEM 7</w:t>
            </w:r>
          </w:p>
        </w:tc>
      </w:tr>
      <w:tr w:rsidR="00D0690F" w:rsidRPr="005A1CAE" w14:paraId="391DB5A7" w14:textId="77777777" w:rsidTr="00A91EC0">
        <w:trPr>
          <w:trHeight w:val="300"/>
        </w:trPr>
        <w:tc>
          <w:tcPr>
            <w:tcW w:w="2170" w:type="pct"/>
            <w:tcBorders>
              <w:top w:val="nil"/>
              <w:left w:val="single" w:sz="8" w:space="0" w:color="auto"/>
              <w:bottom w:val="single" w:sz="8" w:space="0" w:color="auto"/>
              <w:right w:val="single" w:sz="8" w:space="0" w:color="auto"/>
            </w:tcBorders>
            <w:vAlign w:val="center"/>
            <w:hideMark/>
          </w:tcPr>
          <w:p w14:paraId="57FE0355" w14:textId="77777777" w:rsidR="00D0690F" w:rsidRPr="005A1CAE" w:rsidRDefault="00D0690F" w:rsidP="009F612D">
            <w:pPr>
              <w:spacing w:before="0" w:after="0"/>
              <w:jc w:val="left"/>
              <w:rPr>
                <w:noProof/>
                <w:color w:val="000000"/>
                <w:sz w:val="16"/>
                <w:szCs w:val="16"/>
              </w:rPr>
            </w:pPr>
            <w:r w:rsidRPr="005A1CAE">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46D2B175" w14:textId="77777777" w:rsidR="00D0690F" w:rsidRPr="005A1CAE" w:rsidRDefault="00D0690F" w:rsidP="009F612D">
            <w:pPr>
              <w:spacing w:before="0" w:after="0"/>
              <w:jc w:val="right"/>
              <w:rPr>
                <w:noProof/>
                <w:color w:val="000000"/>
                <w:sz w:val="16"/>
                <w:szCs w:val="16"/>
              </w:rPr>
            </w:pPr>
            <w:r w:rsidRPr="005A1CA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BEEBD95" w14:textId="77777777" w:rsidR="00D0690F" w:rsidRPr="005A1CAE" w:rsidRDefault="00D0690F" w:rsidP="009F612D">
            <w:pPr>
              <w:spacing w:before="0" w:after="0"/>
              <w:jc w:val="right"/>
              <w:rPr>
                <w:noProof/>
                <w:color w:val="000000"/>
                <w:sz w:val="16"/>
                <w:szCs w:val="16"/>
              </w:rPr>
            </w:pPr>
            <w:r w:rsidRPr="005A1CA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0EBBC12" w14:textId="77777777" w:rsidR="00D0690F" w:rsidRPr="005A1CAE" w:rsidRDefault="00D0690F" w:rsidP="009F612D">
            <w:pPr>
              <w:spacing w:before="0" w:after="0"/>
              <w:jc w:val="right"/>
              <w:rPr>
                <w:noProof/>
                <w:color w:val="000000"/>
                <w:sz w:val="16"/>
                <w:szCs w:val="16"/>
              </w:rPr>
            </w:pPr>
            <w:r w:rsidRPr="005A1CA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E9AC831" w14:textId="77777777" w:rsidR="00D0690F" w:rsidRPr="005A1CAE" w:rsidRDefault="00D0690F" w:rsidP="009F612D">
            <w:pPr>
              <w:spacing w:before="0" w:after="0"/>
              <w:jc w:val="right"/>
              <w:rPr>
                <w:noProof/>
                <w:color w:val="000000"/>
                <w:sz w:val="16"/>
                <w:szCs w:val="16"/>
              </w:rPr>
            </w:pPr>
            <w:r w:rsidRPr="005A1CAE">
              <w:rPr>
                <w:noProof/>
                <w:color w:val="000000"/>
                <w:sz w:val="16"/>
              </w:rPr>
              <w:t>0,000</w:t>
            </w:r>
          </w:p>
        </w:tc>
        <w:tc>
          <w:tcPr>
            <w:tcW w:w="618" w:type="pct"/>
            <w:tcBorders>
              <w:top w:val="nil"/>
              <w:left w:val="nil"/>
              <w:bottom w:val="single" w:sz="8" w:space="0" w:color="auto"/>
              <w:right w:val="single" w:sz="8" w:space="0" w:color="auto"/>
            </w:tcBorders>
            <w:shd w:val="clear" w:color="000000" w:fill="D9D9D9"/>
            <w:vAlign w:val="center"/>
            <w:hideMark/>
          </w:tcPr>
          <w:p w14:paraId="72FEEED7" w14:textId="77777777" w:rsidR="00D0690F" w:rsidRPr="005A1CAE" w:rsidRDefault="00D0690F" w:rsidP="009F612D">
            <w:pPr>
              <w:spacing w:before="0" w:after="0"/>
              <w:jc w:val="right"/>
              <w:rPr>
                <w:b/>
                <w:bCs/>
                <w:noProof/>
                <w:color w:val="000000"/>
                <w:sz w:val="16"/>
                <w:szCs w:val="16"/>
              </w:rPr>
            </w:pPr>
            <w:r w:rsidRPr="005A1CAE">
              <w:rPr>
                <w:b/>
                <w:noProof/>
                <w:color w:val="000000"/>
                <w:sz w:val="16"/>
              </w:rPr>
              <w:t>0,000</w:t>
            </w:r>
          </w:p>
        </w:tc>
      </w:tr>
      <w:tr w:rsidR="00D0690F" w:rsidRPr="005A1CAE" w14:paraId="37BECD81" w14:textId="77777777" w:rsidTr="00A91EC0">
        <w:trPr>
          <w:trHeight w:val="300"/>
        </w:trPr>
        <w:tc>
          <w:tcPr>
            <w:tcW w:w="2170" w:type="pct"/>
            <w:tcBorders>
              <w:top w:val="nil"/>
              <w:left w:val="single" w:sz="8" w:space="0" w:color="auto"/>
              <w:bottom w:val="single" w:sz="8" w:space="0" w:color="auto"/>
              <w:right w:val="single" w:sz="8" w:space="0" w:color="auto"/>
            </w:tcBorders>
            <w:vAlign w:val="center"/>
            <w:hideMark/>
          </w:tcPr>
          <w:p w14:paraId="43CE91C6" w14:textId="75F7F149" w:rsidR="00D0690F" w:rsidRPr="005A1CAE" w:rsidRDefault="00D0690F" w:rsidP="009F612D">
            <w:pPr>
              <w:spacing w:before="0" w:after="0"/>
              <w:jc w:val="left"/>
              <w:rPr>
                <w:noProof/>
                <w:color w:val="000000"/>
                <w:sz w:val="16"/>
                <w:szCs w:val="16"/>
              </w:rPr>
            </w:pPr>
            <w:r w:rsidRPr="005A1CAE">
              <w:rPr>
                <w:noProof/>
                <w:color w:val="000000"/>
                <w:sz w:val="16"/>
              </w:rPr>
              <w:t>Pozostałe wydatki</w:t>
            </w:r>
            <w:r w:rsidR="005A1CAE" w:rsidRPr="005A1CAE">
              <w:rPr>
                <w:noProof/>
                <w:color w:val="000000"/>
                <w:sz w:val="16"/>
              </w:rPr>
              <w:t xml:space="preserve"> o</w:t>
            </w:r>
            <w:r w:rsidR="005A1CAE">
              <w:rPr>
                <w:noProof/>
                <w:color w:val="000000"/>
                <w:sz w:val="16"/>
              </w:rPr>
              <w:t> </w:t>
            </w:r>
            <w:r w:rsidR="005A1CAE" w:rsidRPr="005A1CAE">
              <w:rPr>
                <w:noProof/>
                <w:color w:val="000000"/>
                <w:sz w:val="16"/>
              </w:rPr>
              <w:t>cha</w:t>
            </w:r>
            <w:r w:rsidRPr="005A1CAE">
              <w:rPr>
                <w:noProof/>
                <w:color w:val="000000"/>
                <w:sz w:val="16"/>
              </w:rPr>
              <w:t>rakterze administracyjnym</w:t>
            </w:r>
          </w:p>
        </w:tc>
        <w:tc>
          <w:tcPr>
            <w:tcW w:w="553" w:type="pct"/>
            <w:tcBorders>
              <w:top w:val="nil"/>
              <w:left w:val="nil"/>
              <w:bottom w:val="single" w:sz="8" w:space="0" w:color="auto"/>
              <w:right w:val="single" w:sz="8" w:space="0" w:color="auto"/>
            </w:tcBorders>
            <w:shd w:val="clear" w:color="000000" w:fill="D9D9D9"/>
            <w:vAlign w:val="center"/>
            <w:hideMark/>
          </w:tcPr>
          <w:p w14:paraId="66BB250E" w14:textId="77777777" w:rsidR="00D0690F" w:rsidRPr="005A1CAE" w:rsidRDefault="00D0690F" w:rsidP="009F612D">
            <w:pPr>
              <w:spacing w:before="0" w:after="0"/>
              <w:jc w:val="right"/>
              <w:rPr>
                <w:noProof/>
                <w:color w:val="000000"/>
                <w:sz w:val="16"/>
                <w:szCs w:val="16"/>
              </w:rPr>
            </w:pPr>
            <w:r w:rsidRPr="005A1CA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48978E8" w14:textId="77777777" w:rsidR="00D0690F" w:rsidRPr="005A1CAE" w:rsidRDefault="00D0690F" w:rsidP="009F612D">
            <w:pPr>
              <w:spacing w:before="0" w:after="0"/>
              <w:jc w:val="right"/>
              <w:rPr>
                <w:noProof/>
                <w:color w:val="000000"/>
                <w:sz w:val="16"/>
                <w:szCs w:val="16"/>
              </w:rPr>
            </w:pPr>
            <w:r w:rsidRPr="005A1CA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8F02890" w14:textId="77777777" w:rsidR="00D0690F" w:rsidRPr="005A1CAE" w:rsidRDefault="00D0690F" w:rsidP="009F612D">
            <w:pPr>
              <w:spacing w:before="0" w:after="0"/>
              <w:jc w:val="right"/>
              <w:rPr>
                <w:noProof/>
                <w:color w:val="000000"/>
                <w:sz w:val="16"/>
                <w:szCs w:val="16"/>
              </w:rPr>
            </w:pPr>
            <w:r w:rsidRPr="005A1CA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050CC57" w14:textId="77777777" w:rsidR="00D0690F" w:rsidRPr="005A1CAE" w:rsidRDefault="00D0690F" w:rsidP="009F612D">
            <w:pPr>
              <w:spacing w:before="0" w:after="0"/>
              <w:jc w:val="right"/>
              <w:rPr>
                <w:noProof/>
                <w:color w:val="000000"/>
                <w:sz w:val="16"/>
                <w:szCs w:val="16"/>
              </w:rPr>
            </w:pPr>
            <w:r w:rsidRPr="005A1CAE">
              <w:rPr>
                <w:noProof/>
                <w:color w:val="000000"/>
                <w:sz w:val="16"/>
              </w:rPr>
              <w:t>0,000</w:t>
            </w:r>
          </w:p>
        </w:tc>
        <w:tc>
          <w:tcPr>
            <w:tcW w:w="618" w:type="pct"/>
            <w:tcBorders>
              <w:top w:val="nil"/>
              <w:left w:val="nil"/>
              <w:bottom w:val="single" w:sz="8" w:space="0" w:color="auto"/>
              <w:right w:val="single" w:sz="8" w:space="0" w:color="auto"/>
            </w:tcBorders>
            <w:shd w:val="clear" w:color="000000" w:fill="D9D9D9"/>
            <w:vAlign w:val="center"/>
            <w:hideMark/>
          </w:tcPr>
          <w:p w14:paraId="46BC1001" w14:textId="77777777" w:rsidR="00D0690F" w:rsidRPr="005A1CAE" w:rsidRDefault="00D0690F" w:rsidP="009F612D">
            <w:pPr>
              <w:spacing w:before="0" w:after="0"/>
              <w:jc w:val="right"/>
              <w:rPr>
                <w:b/>
                <w:bCs/>
                <w:noProof/>
                <w:color w:val="000000"/>
                <w:sz w:val="16"/>
                <w:szCs w:val="16"/>
              </w:rPr>
            </w:pPr>
            <w:r w:rsidRPr="005A1CAE">
              <w:rPr>
                <w:b/>
                <w:noProof/>
                <w:color w:val="000000"/>
                <w:sz w:val="16"/>
              </w:rPr>
              <w:t>0,000</w:t>
            </w:r>
          </w:p>
        </w:tc>
      </w:tr>
      <w:tr w:rsidR="00D0690F" w:rsidRPr="005A1CAE" w14:paraId="2EA8BC2F" w14:textId="77777777" w:rsidTr="00A91EC0">
        <w:trPr>
          <w:trHeight w:val="300"/>
        </w:trPr>
        <w:tc>
          <w:tcPr>
            <w:tcW w:w="2170" w:type="pct"/>
            <w:tcBorders>
              <w:top w:val="nil"/>
              <w:left w:val="single" w:sz="8" w:space="0" w:color="auto"/>
              <w:bottom w:val="single" w:sz="8" w:space="0" w:color="auto"/>
              <w:right w:val="single" w:sz="8" w:space="0" w:color="auto"/>
            </w:tcBorders>
            <w:shd w:val="clear" w:color="000000" w:fill="CCCCCC"/>
            <w:vAlign w:val="center"/>
            <w:hideMark/>
          </w:tcPr>
          <w:p w14:paraId="2DDEB138" w14:textId="77777777" w:rsidR="00D0690F" w:rsidRPr="005A1CAE" w:rsidRDefault="00D0690F" w:rsidP="009F612D">
            <w:pPr>
              <w:spacing w:before="0" w:after="0"/>
              <w:jc w:val="center"/>
              <w:rPr>
                <w:b/>
                <w:bCs/>
                <w:noProof/>
                <w:color w:val="000000"/>
                <w:sz w:val="16"/>
                <w:szCs w:val="16"/>
              </w:rPr>
            </w:pPr>
            <w:r w:rsidRPr="005A1CAE">
              <w:rPr>
                <w:b/>
                <w:noProof/>
                <w:color w:val="000000"/>
                <w:sz w:val="16"/>
              </w:rPr>
              <w:t>Suma cząstkowa poza DZIAŁEM 7</w:t>
            </w:r>
          </w:p>
        </w:tc>
        <w:tc>
          <w:tcPr>
            <w:tcW w:w="553" w:type="pct"/>
            <w:tcBorders>
              <w:top w:val="nil"/>
              <w:left w:val="nil"/>
              <w:bottom w:val="single" w:sz="8" w:space="0" w:color="auto"/>
              <w:right w:val="single" w:sz="8" w:space="0" w:color="auto"/>
            </w:tcBorders>
            <w:shd w:val="clear" w:color="000000" w:fill="D9D9D9"/>
            <w:vAlign w:val="center"/>
            <w:hideMark/>
          </w:tcPr>
          <w:p w14:paraId="534185A3" w14:textId="77777777" w:rsidR="00D0690F" w:rsidRPr="005A1CAE" w:rsidRDefault="00D0690F" w:rsidP="009F612D">
            <w:pPr>
              <w:spacing w:before="0" w:after="0"/>
              <w:jc w:val="right"/>
              <w:rPr>
                <w:b/>
                <w:bCs/>
                <w:noProof/>
                <w:color w:val="000000"/>
                <w:sz w:val="16"/>
                <w:szCs w:val="16"/>
              </w:rPr>
            </w:pPr>
            <w:r w:rsidRPr="005A1CA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3B0A552" w14:textId="77777777" w:rsidR="00D0690F" w:rsidRPr="005A1CAE" w:rsidRDefault="00D0690F" w:rsidP="009F612D">
            <w:pPr>
              <w:spacing w:before="0" w:after="0"/>
              <w:jc w:val="right"/>
              <w:rPr>
                <w:b/>
                <w:bCs/>
                <w:noProof/>
                <w:color w:val="000000"/>
                <w:sz w:val="16"/>
                <w:szCs w:val="16"/>
              </w:rPr>
            </w:pPr>
            <w:r w:rsidRPr="005A1CA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AC2EBDD" w14:textId="77777777" w:rsidR="00D0690F" w:rsidRPr="005A1CAE" w:rsidRDefault="00D0690F" w:rsidP="009F612D">
            <w:pPr>
              <w:spacing w:before="0" w:after="0"/>
              <w:jc w:val="right"/>
              <w:rPr>
                <w:b/>
                <w:bCs/>
                <w:noProof/>
                <w:color w:val="000000"/>
                <w:sz w:val="16"/>
                <w:szCs w:val="16"/>
              </w:rPr>
            </w:pPr>
            <w:r w:rsidRPr="005A1CA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2DF7C84" w14:textId="77777777" w:rsidR="00D0690F" w:rsidRPr="005A1CAE" w:rsidRDefault="00D0690F" w:rsidP="009F612D">
            <w:pPr>
              <w:spacing w:before="0" w:after="0"/>
              <w:jc w:val="right"/>
              <w:rPr>
                <w:b/>
                <w:bCs/>
                <w:noProof/>
                <w:color w:val="000000"/>
                <w:sz w:val="16"/>
                <w:szCs w:val="16"/>
              </w:rPr>
            </w:pPr>
            <w:r w:rsidRPr="005A1CAE">
              <w:rPr>
                <w:b/>
                <w:noProof/>
                <w:color w:val="000000"/>
                <w:sz w:val="16"/>
              </w:rPr>
              <w:t>0,000</w:t>
            </w:r>
          </w:p>
        </w:tc>
        <w:tc>
          <w:tcPr>
            <w:tcW w:w="618" w:type="pct"/>
            <w:tcBorders>
              <w:top w:val="nil"/>
              <w:left w:val="nil"/>
              <w:bottom w:val="single" w:sz="8" w:space="0" w:color="auto"/>
              <w:right w:val="single" w:sz="8" w:space="0" w:color="auto"/>
            </w:tcBorders>
            <w:shd w:val="clear" w:color="000000" w:fill="D9D9D9"/>
            <w:vAlign w:val="center"/>
            <w:hideMark/>
          </w:tcPr>
          <w:p w14:paraId="72B897E9" w14:textId="77777777" w:rsidR="00D0690F" w:rsidRPr="005A1CAE" w:rsidRDefault="00D0690F" w:rsidP="009F612D">
            <w:pPr>
              <w:spacing w:before="0" w:after="0"/>
              <w:jc w:val="right"/>
              <w:rPr>
                <w:b/>
                <w:bCs/>
                <w:noProof/>
                <w:color w:val="000000"/>
                <w:sz w:val="16"/>
                <w:szCs w:val="16"/>
              </w:rPr>
            </w:pPr>
            <w:r w:rsidRPr="005A1CAE">
              <w:rPr>
                <w:b/>
                <w:noProof/>
                <w:color w:val="000000"/>
                <w:sz w:val="16"/>
              </w:rPr>
              <w:t>0,000</w:t>
            </w:r>
          </w:p>
        </w:tc>
      </w:tr>
      <w:tr w:rsidR="00D0690F" w:rsidRPr="005A1CAE" w14:paraId="5ADA7D19" w14:textId="77777777" w:rsidTr="000362CB">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1A481857" w14:textId="77777777" w:rsidR="00D0690F" w:rsidRPr="005A1CAE" w:rsidRDefault="00D0690F" w:rsidP="009F612D">
            <w:pPr>
              <w:spacing w:before="0" w:after="0"/>
              <w:jc w:val="center"/>
              <w:rPr>
                <w:noProof/>
                <w:color w:val="000000"/>
                <w:sz w:val="16"/>
                <w:szCs w:val="16"/>
              </w:rPr>
            </w:pPr>
            <w:r w:rsidRPr="005A1CAE">
              <w:rPr>
                <w:noProof/>
                <w:color w:val="000000"/>
                <w:sz w:val="16"/>
              </w:rPr>
              <w:t xml:space="preserve"> </w:t>
            </w:r>
          </w:p>
        </w:tc>
      </w:tr>
      <w:tr w:rsidR="00216914" w:rsidRPr="005A1CAE" w14:paraId="7F0A89E6" w14:textId="77777777" w:rsidTr="00A91EC0">
        <w:trPr>
          <w:trHeight w:val="300"/>
        </w:trPr>
        <w:tc>
          <w:tcPr>
            <w:tcW w:w="2170" w:type="pct"/>
            <w:tcBorders>
              <w:top w:val="nil"/>
              <w:left w:val="single" w:sz="8" w:space="0" w:color="auto"/>
              <w:bottom w:val="single" w:sz="8" w:space="0" w:color="auto"/>
              <w:right w:val="single" w:sz="8" w:space="0" w:color="auto"/>
            </w:tcBorders>
            <w:vAlign w:val="center"/>
            <w:hideMark/>
          </w:tcPr>
          <w:p w14:paraId="0AFE0A77" w14:textId="77777777" w:rsidR="00216914" w:rsidRPr="005A1CAE" w:rsidRDefault="00216914" w:rsidP="00216914">
            <w:pPr>
              <w:spacing w:before="0" w:after="0"/>
              <w:jc w:val="center"/>
              <w:rPr>
                <w:b/>
                <w:bCs/>
                <w:noProof/>
                <w:color w:val="000000"/>
                <w:sz w:val="16"/>
                <w:szCs w:val="16"/>
              </w:rPr>
            </w:pPr>
            <w:r w:rsidRPr="005A1CAE">
              <w:rPr>
                <w:b/>
                <w:noProof/>
                <w:color w:val="000000"/>
                <w:sz w:val="16"/>
              </w:rPr>
              <w:t>OGÓŁEM</w:t>
            </w:r>
          </w:p>
        </w:tc>
        <w:tc>
          <w:tcPr>
            <w:tcW w:w="553" w:type="pct"/>
            <w:tcBorders>
              <w:top w:val="nil"/>
              <w:left w:val="nil"/>
              <w:bottom w:val="single" w:sz="8" w:space="0" w:color="auto"/>
              <w:right w:val="single" w:sz="8" w:space="0" w:color="auto"/>
            </w:tcBorders>
            <w:shd w:val="clear" w:color="000000" w:fill="D9D9D9"/>
            <w:vAlign w:val="center"/>
            <w:hideMark/>
          </w:tcPr>
          <w:p w14:paraId="4EE43DAA" w14:textId="77777777" w:rsidR="00216914" w:rsidRPr="005A1CAE" w:rsidRDefault="00216914" w:rsidP="00216914">
            <w:pPr>
              <w:spacing w:before="0" w:after="0"/>
              <w:jc w:val="right"/>
              <w:rPr>
                <w:b/>
                <w:bCs/>
                <w:noProof/>
                <w:color w:val="000000"/>
                <w:sz w:val="16"/>
                <w:szCs w:val="16"/>
              </w:rPr>
            </w:pPr>
            <w:r w:rsidRPr="005A1CAE">
              <w:rPr>
                <w:b/>
                <w:noProof/>
                <w:sz w:val="16"/>
              </w:rPr>
              <w:t>9,172</w:t>
            </w:r>
          </w:p>
        </w:tc>
        <w:tc>
          <w:tcPr>
            <w:tcW w:w="553" w:type="pct"/>
            <w:tcBorders>
              <w:top w:val="nil"/>
              <w:left w:val="nil"/>
              <w:bottom w:val="single" w:sz="8" w:space="0" w:color="auto"/>
              <w:right w:val="single" w:sz="8" w:space="0" w:color="auto"/>
            </w:tcBorders>
            <w:shd w:val="clear" w:color="000000" w:fill="D9D9D9"/>
            <w:vAlign w:val="center"/>
            <w:hideMark/>
          </w:tcPr>
          <w:p w14:paraId="251E72B5" w14:textId="77777777" w:rsidR="00216914" w:rsidRPr="005A1CAE" w:rsidRDefault="00216914" w:rsidP="00216914">
            <w:pPr>
              <w:spacing w:before="0" w:after="0"/>
              <w:jc w:val="right"/>
              <w:rPr>
                <w:b/>
                <w:bCs/>
                <w:noProof/>
                <w:color w:val="000000"/>
                <w:sz w:val="16"/>
                <w:szCs w:val="16"/>
              </w:rPr>
            </w:pPr>
            <w:r w:rsidRPr="005A1CAE">
              <w:rPr>
                <w:b/>
                <w:noProof/>
                <w:sz w:val="16"/>
              </w:rPr>
              <w:t>6,571</w:t>
            </w:r>
          </w:p>
        </w:tc>
        <w:tc>
          <w:tcPr>
            <w:tcW w:w="553" w:type="pct"/>
            <w:tcBorders>
              <w:top w:val="nil"/>
              <w:left w:val="nil"/>
              <w:bottom w:val="single" w:sz="8" w:space="0" w:color="auto"/>
              <w:right w:val="single" w:sz="8" w:space="0" w:color="auto"/>
            </w:tcBorders>
            <w:shd w:val="clear" w:color="000000" w:fill="D9D9D9"/>
            <w:vAlign w:val="center"/>
            <w:hideMark/>
          </w:tcPr>
          <w:p w14:paraId="1C235C54" w14:textId="77777777" w:rsidR="00216914" w:rsidRPr="005A1CAE" w:rsidRDefault="00216914" w:rsidP="00216914">
            <w:pPr>
              <w:spacing w:before="0" w:after="0"/>
              <w:jc w:val="right"/>
              <w:rPr>
                <w:b/>
                <w:bCs/>
                <w:noProof/>
                <w:color w:val="000000"/>
                <w:sz w:val="16"/>
                <w:szCs w:val="16"/>
              </w:rPr>
            </w:pPr>
            <w:r w:rsidRPr="005A1CAE">
              <w:rPr>
                <w:b/>
                <w:noProof/>
                <w:sz w:val="16"/>
              </w:rPr>
              <w:t>9,046</w:t>
            </w:r>
          </w:p>
        </w:tc>
        <w:tc>
          <w:tcPr>
            <w:tcW w:w="553" w:type="pct"/>
            <w:tcBorders>
              <w:top w:val="nil"/>
              <w:left w:val="nil"/>
              <w:bottom w:val="single" w:sz="8" w:space="0" w:color="auto"/>
              <w:right w:val="single" w:sz="8" w:space="0" w:color="auto"/>
            </w:tcBorders>
            <w:shd w:val="clear" w:color="000000" w:fill="D9D9D9"/>
            <w:vAlign w:val="center"/>
            <w:hideMark/>
          </w:tcPr>
          <w:p w14:paraId="1399BC70" w14:textId="77777777" w:rsidR="00216914" w:rsidRPr="005A1CAE" w:rsidRDefault="00347BA1" w:rsidP="00216914">
            <w:pPr>
              <w:spacing w:before="0" w:after="0"/>
              <w:jc w:val="right"/>
              <w:rPr>
                <w:b/>
                <w:bCs/>
                <w:noProof/>
                <w:color w:val="000000"/>
                <w:sz w:val="16"/>
                <w:szCs w:val="16"/>
              </w:rPr>
            </w:pPr>
            <w:r w:rsidRPr="005A1CAE">
              <w:rPr>
                <w:b/>
                <w:noProof/>
                <w:sz w:val="16"/>
              </w:rPr>
              <w:t>12,012</w:t>
            </w:r>
          </w:p>
        </w:tc>
        <w:tc>
          <w:tcPr>
            <w:tcW w:w="618" w:type="pct"/>
            <w:tcBorders>
              <w:top w:val="nil"/>
              <w:left w:val="nil"/>
              <w:bottom w:val="single" w:sz="8" w:space="0" w:color="auto"/>
              <w:right w:val="single" w:sz="8" w:space="0" w:color="auto"/>
            </w:tcBorders>
            <w:shd w:val="clear" w:color="000000" w:fill="D9D9D9"/>
            <w:vAlign w:val="center"/>
            <w:hideMark/>
          </w:tcPr>
          <w:p w14:paraId="0BDED7D4" w14:textId="77777777" w:rsidR="00216914" w:rsidRPr="005A1CAE" w:rsidRDefault="00347BA1" w:rsidP="00216914">
            <w:pPr>
              <w:spacing w:before="0" w:after="0"/>
              <w:jc w:val="right"/>
              <w:rPr>
                <w:b/>
                <w:bCs/>
                <w:noProof/>
                <w:color w:val="000000"/>
                <w:sz w:val="16"/>
                <w:szCs w:val="16"/>
              </w:rPr>
            </w:pPr>
            <w:r w:rsidRPr="005A1CAE">
              <w:rPr>
                <w:b/>
                <w:noProof/>
                <w:sz w:val="16"/>
              </w:rPr>
              <w:t>36,801</w:t>
            </w:r>
          </w:p>
        </w:tc>
      </w:tr>
    </w:tbl>
    <w:p w14:paraId="52592B00" w14:textId="77777777" w:rsidR="00D0690F" w:rsidRPr="005A1CAE" w:rsidRDefault="00D0690F" w:rsidP="009F612D">
      <w:pPr>
        <w:pStyle w:val="ManualHeading3"/>
        <w:rPr>
          <w:bCs/>
          <w:noProof/>
          <w:szCs w:val="24"/>
        </w:rPr>
      </w:pPr>
      <w:bookmarkStart w:id="156" w:name="_Toc167220294"/>
      <w:bookmarkStart w:id="157" w:name="_Toc177549027"/>
      <w:r w:rsidRPr="005A1CAE">
        <w:rPr>
          <w:noProof/>
        </w:rPr>
        <w:t>3.2.4.</w:t>
      </w:r>
      <w:r w:rsidRPr="005A1CAE">
        <w:rPr>
          <w:noProof/>
        </w:rPr>
        <w:tab/>
        <w:t>Szacowane zapotrzebowanie na zasoby ludzkie</w:t>
      </w:r>
      <w:bookmarkEnd w:id="156"/>
      <w:bookmarkEnd w:id="157"/>
      <w:r w:rsidRPr="005A1CAE">
        <w:rPr>
          <w:noProof/>
        </w:rPr>
        <w:t xml:space="preserve"> </w:t>
      </w:r>
    </w:p>
    <w:p w14:paraId="41D36EF3" w14:textId="12CD9567" w:rsidR="00D0690F" w:rsidRPr="005A1CAE" w:rsidRDefault="00D0690F" w:rsidP="009F612D">
      <w:pPr>
        <w:pStyle w:val="ListDash1"/>
        <w:rPr>
          <w:noProof/>
        </w:rPr>
      </w:pPr>
      <w:r w:rsidRPr="005A1CAE">
        <w:rPr>
          <w:rFonts w:ascii="Wingdings" w:hAnsi="Wingdings"/>
          <w:noProof/>
        </w:rPr>
        <w:t></w:t>
      </w:r>
      <w:r w:rsidRPr="005A1CAE">
        <w:rPr>
          <w:noProof/>
        </w:rPr>
        <w:tab/>
        <w:t>Wniosek/inicjatywa nie wiąże się</w:t>
      </w:r>
      <w:r w:rsidR="005A1CAE" w:rsidRPr="005A1CAE">
        <w:rPr>
          <w:noProof/>
        </w:rPr>
        <w:t xml:space="preserve"> z</w:t>
      </w:r>
      <w:r w:rsidR="005A1CAE">
        <w:rPr>
          <w:noProof/>
        </w:rPr>
        <w:t> </w:t>
      </w:r>
      <w:r w:rsidR="005A1CAE" w:rsidRPr="005A1CAE">
        <w:rPr>
          <w:noProof/>
        </w:rPr>
        <w:t>kon</w:t>
      </w:r>
      <w:r w:rsidRPr="005A1CAE">
        <w:rPr>
          <w:noProof/>
        </w:rPr>
        <w:t xml:space="preserve">iecznością wykorzystania zasobów ludzkich </w:t>
      </w:r>
    </w:p>
    <w:p w14:paraId="675432D9" w14:textId="7A7FD3AA" w:rsidR="00D0690F" w:rsidRPr="005A1CAE" w:rsidRDefault="00216914" w:rsidP="009F612D">
      <w:pPr>
        <w:pStyle w:val="ListDash1"/>
        <w:rPr>
          <w:noProof/>
        </w:rPr>
      </w:pPr>
      <w:r w:rsidRPr="005A1CAE">
        <w:rPr>
          <w:rFonts w:ascii="Wingdings" w:hAnsi="Wingdings"/>
          <w:noProof/>
        </w:rPr>
        <w:t></w:t>
      </w:r>
      <w:r w:rsidRPr="005A1CAE">
        <w:rPr>
          <w:noProof/>
        </w:rPr>
        <w:tab/>
        <w:t>Wniosek/inicjatywa wiąże się</w:t>
      </w:r>
      <w:r w:rsidR="005A1CAE" w:rsidRPr="005A1CAE">
        <w:rPr>
          <w:noProof/>
        </w:rPr>
        <w:t xml:space="preserve"> z</w:t>
      </w:r>
      <w:r w:rsidR="005A1CAE">
        <w:rPr>
          <w:noProof/>
        </w:rPr>
        <w:t> </w:t>
      </w:r>
      <w:r w:rsidR="005A1CAE" w:rsidRPr="005A1CAE">
        <w:rPr>
          <w:noProof/>
        </w:rPr>
        <w:t>kon</w:t>
      </w:r>
      <w:r w:rsidRPr="005A1CAE">
        <w:rPr>
          <w:noProof/>
        </w:rPr>
        <w:t>iecznością wykorzystania zasobów ludzkich, jak określono poniżej</w:t>
      </w:r>
    </w:p>
    <w:p w14:paraId="242F8F1E" w14:textId="7F7B497E" w:rsidR="00D0690F" w:rsidRPr="005A1CAE" w:rsidRDefault="00D0690F" w:rsidP="009F612D">
      <w:pPr>
        <w:pStyle w:val="ManualHeading3"/>
        <w:rPr>
          <w:noProof/>
        </w:rPr>
      </w:pPr>
      <w:bookmarkStart w:id="158" w:name="_Toc167220295"/>
      <w:bookmarkStart w:id="159" w:name="_Toc177549028"/>
      <w:r w:rsidRPr="005A1CAE">
        <w:rPr>
          <w:noProof/>
        </w:rPr>
        <w:t>3.2.4.1.</w:t>
      </w:r>
      <w:r w:rsidRPr="005A1CAE">
        <w:rPr>
          <w:noProof/>
        </w:rPr>
        <w:tab/>
        <w:t>Finansowane</w:t>
      </w:r>
      <w:r w:rsidR="005A1CAE" w:rsidRPr="005A1CAE">
        <w:rPr>
          <w:noProof/>
        </w:rPr>
        <w:t xml:space="preserve"> z</w:t>
      </w:r>
      <w:r w:rsidR="005A1CAE">
        <w:rPr>
          <w:noProof/>
        </w:rPr>
        <w:t> </w:t>
      </w:r>
      <w:r w:rsidR="005A1CAE" w:rsidRPr="005A1CAE">
        <w:rPr>
          <w:noProof/>
        </w:rPr>
        <w:t>uch</w:t>
      </w:r>
      <w:r w:rsidRPr="005A1CAE">
        <w:rPr>
          <w:noProof/>
        </w:rPr>
        <w:t>walonego budżetu</w:t>
      </w:r>
      <w:bookmarkEnd w:id="158"/>
      <w:bookmarkEnd w:id="159"/>
    </w:p>
    <w:p w14:paraId="4F923509" w14:textId="3CC4FCA7" w:rsidR="00D0690F" w:rsidRPr="005A1CAE" w:rsidRDefault="00D0690F" w:rsidP="009F612D">
      <w:pPr>
        <w:spacing w:after="60"/>
        <w:jc w:val="right"/>
        <w:rPr>
          <w:i/>
          <w:noProof/>
          <w:sz w:val="20"/>
        </w:rPr>
      </w:pPr>
      <w:r w:rsidRPr="005A1CAE">
        <w:rPr>
          <w:i/>
          <w:noProof/>
          <w:sz w:val="20"/>
        </w:rPr>
        <w:t>Wartości szacunkowe należy wyrazić</w:t>
      </w:r>
      <w:r w:rsidR="005A1CAE" w:rsidRPr="005A1CAE">
        <w:rPr>
          <w:i/>
          <w:noProof/>
          <w:sz w:val="20"/>
        </w:rPr>
        <w:t xml:space="preserve"> w</w:t>
      </w:r>
      <w:r w:rsidR="005A1CAE">
        <w:rPr>
          <w:i/>
          <w:noProof/>
          <w:sz w:val="20"/>
        </w:rPr>
        <w:t> </w:t>
      </w:r>
      <w:r w:rsidR="005A1CAE" w:rsidRPr="005A1CAE">
        <w:rPr>
          <w:i/>
          <w:noProof/>
          <w:sz w:val="20"/>
        </w:rPr>
        <w:t>ekw</w:t>
      </w:r>
      <w:r w:rsidRPr="005A1CAE">
        <w:rPr>
          <w:i/>
          <w:noProof/>
          <w:sz w:val="20"/>
        </w:rPr>
        <w:t>iwalentach pełnego czasu pracy (EPC)</w:t>
      </w:r>
      <w:r w:rsidRPr="005A1CAE">
        <w:rPr>
          <w:rStyle w:val="Odwoanieprzypisudolnego"/>
          <w:i/>
          <w:iCs/>
          <w:noProof/>
          <w:sz w:val="20"/>
          <w:szCs w:val="20"/>
        </w:rPr>
        <w:footnoteReference w:id="33"/>
      </w:r>
    </w:p>
    <w:p w14:paraId="37096A85" w14:textId="77777777" w:rsidR="00D0690F" w:rsidRPr="005A1CAE" w:rsidRDefault="00D0690F" w:rsidP="009F612D">
      <w:pPr>
        <w:pStyle w:val="Text1"/>
        <w:spacing w:before="60" w:after="60"/>
        <w:ind w:left="-426" w:right="-427"/>
        <w:rPr>
          <w:b/>
          <w:noProof/>
          <w:sz w:val="18"/>
          <w:szCs w:val="18"/>
        </w:rPr>
      </w:pPr>
      <w:bookmarkStart w:id="160" w:name="_Hlk156979231"/>
    </w:p>
    <w:tbl>
      <w:tblPr>
        <w:tblW w:w="5000" w:type="pct"/>
        <w:tblLook w:val="04A0" w:firstRow="1" w:lastRow="0" w:firstColumn="1" w:lastColumn="0" w:noHBand="0" w:noVBand="1"/>
      </w:tblPr>
      <w:tblGrid>
        <w:gridCol w:w="1331"/>
        <w:gridCol w:w="3446"/>
        <w:gridCol w:w="856"/>
        <w:gridCol w:w="856"/>
        <w:gridCol w:w="856"/>
        <w:gridCol w:w="855"/>
        <w:gridCol w:w="853"/>
      </w:tblGrid>
      <w:tr w:rsidR="00836827" w:rsidRPr="005A1CAE" w14:paraId="60A3C6D1" w14:textId="77777777">
        <w:trPr>
          <w:trHeight w:val="300"/>
        </w:trPr>
        <w:tc>
          <w:tcPr>
            <w:tcW w:w="2638"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7F483865" w14:textId="77777777" w:rsidR="00836827" w:rsidRPr="005A1CAE" w:rsidRDefault="00836827" w:rsidP="00836827">
            <w:pPr>
              <w:spacing w:before="0" w:after="0"/>
              <w:jc w:val="center"/>
              <w:rPr>
                <w:b/>
                <w:bCs/>
                <w:noProof/>
                <w:color w:val="000000"/>
                <w:sz w:val="18"/>
                <w:szCs w:val="18"/>
              </w:rPr>
            </w:pPr>
            <w:r w:rsidRPr="005A1CAE">
              <w:rPr>
                <w:b/>
                <w:noProof/>
                <w:color w:val="000000"/>
                <w:sz w:val="18"/>
              </w:rPr>
              <w:t>ZATWIERDZONE ŚRODKI</w:t>
            </w:r>
          </w:p>
        </w:tc>
        <w:tc>
          <w:tcPr>
            <w:tcW w:w="473" w:type="pct"/>
            <w:tcBorders>
              <w:top w:val="single" w:sz="8" w:space="0" w:color="auto"/>
              <w:left w:val="nil"/>
              <w:bottom w:val="nil"/>
              <w:right w:val="single" w:sz="8" w:space="0" w:color="auto"/>
            </w:tcBorders>
            <w:vAlign w:val="center"/>
            <w:hideMark/>
          </w:tcPr>
          <w:p w14:paraId="10A870DB" w14:textId="77777777" w:rsidR="00836827" w:rsidRPr="005A1CAE" w:rsidRDefault="00836827" w:rsidP="00836827">
            <w:pPr>
              <w:spacing w:before="0" w:after="0"/>
              <w:jc w:val="center"/>
              <w:rPr>
                <w:noProof/>
                <w:color w:val="000000"/>
                <w:sz w:val="20"/>
                <w:szCs w:val="20"/>
              </w:rPr>
            </w:pPr>
            <w:r w:rsidRPr="005A1CAE">
              <w:rPr>
                <w:noProof/>
                <w:color w:val="000000"/>
                <w:sz w:val="20"/>
              </w:rPr>
              <w:t>Rok</w:t>
            </w:r>
          </w:p>
        </w:tc>
        <w:tc>
          <w:tcPr>
            <w:tcW w:w="473" w:type="pct"/>
            <w:tcBorders>
              <w:top w:val="single" w:sz="8" w:space="0" w:color="auto"/>
              <w:left w:val="nil"/>
              <w:bottom w:val="nil"/>
              <w:right w:val="single" w:sz="8" w:space="0" w:color="auto"/>
            </w:tcBorders>
            <w:vAlign w:val="center"/>
            <w:hideMark/>
          </w:tcPr>
          <w:p w14:paraId="28FE4645" w14:textId="77777777" w:rsidR="00836827" w:rsidRPr="005A1CAE" w:rsidRDefault="00836827" w:rsidP="00836827">
            <w:pPr>
              <w:spacing w:before="0" w:after="0"/>
              <w:jc w:val="center"/>
              <w:rPr>
                <w:noProof/>
                <w:color w:val="000000"/>
                <w:sz w:val="20"/>
                <w:szCs w:val="20"/>
              </w:rPr>
            </w:pPr>
            <w:r w:rsidRPr="005A1CAE">
              <w:rPr>
                <w:noProof/>
                <w:color w:val="000000"/>
                <w:sz w:val="20"/>
              </w:rPr>
              <w:t>Rok</w:t>
            </w:r>
          </w:p>
        </w:tc>
        <w:tc>
          <w:tcPr>
            <w:tcW w:w="473" w:type="pct"/>
            <w:tcBorders>
              <w:top w:val="single" w:sz="8" w:space="0" w:color="auto"/>
              <w:left w:val="nil"/>
              <w:bottom w:val="nil"/>
              <w:right w:val="single" w:sz="8" w:space="0" w:color="auto"/>
            </w:tcBorders>
            <w:vAlign w:val="center"/>
            <w:hideMark/>
          </w:tcPr>
          <w:p w14:paraId="3DDA8E32" w14:textId="77777777" w:rsidR="00836827" w:rsidRPr="005A1CAE" w:rsidRDefault="00836827" w:rsidP="00836827">
            <w:pPr>
              <w:spacing w:before="0" w:after="0"/>
              <w:jc w:val="center"/>
              <w:rPr>
                <w:noProof/>
                <w:color w:val="000000"/>
                <w:sz w:val="20"/>
                <w:szCs w:val="20"/>
              </w:rPr>
            </w:pPr>
            <w:r w:rsidRPr="005A1CAE">
              <w:rPr>
                <w:noProof/>
                <w:color w:val="000000"/>
                <w:sz w:val="20"/>
              </w:rPr>
              <w:t>Rok</w:t>
            </w:r>
          </w:p>
        </w:tc>
        <w:tc>
          <w:tcPr>
            <w:tcW w:w="472" w:type="pct"/>
            <w:tcBorders>
              <w:top w:val="single" w:sz="8" w:space="0" w:color="auto"/>
              <w:left w:val="nil"/>
              <w:bottom w:val="nil"/>
              <w:right w:val="single" w:sz="8" w:space="0" w:color="auto"/>
            </w:tcBorders>
            <w:vAlign w:val="center"/>
            <w:hideMark/>
          </w:tcPr>
          <w:p w14:paraId="048DF8CC" w14:textId="77777777" w:rsidR="00836827" w:rsidRPr="005A1CAE" w:rsidRDefault="00836827" w:rsidP="00836827">
            <w:pPr>
              <w:spacing w:before="0" w:after="0"/>
              <w:jc w:val="center"/>
              <w:rPr>
                <w:noProof/>
                <w:color w:val="000000"/>
                <w:sz w:val="20"/>
                <w:szCs w:val="20"/>
              </w:rPr>
            </w:pPr>
            <w:r w:rsidRPr="005A1CAE">
              <w:rPr>
                <w:noProof/>
                <w:color w:val="000000"/>
                <w:sz w:val="20"/>
              </w:rPr>
              <w:t>Rok</w:t>
            </w:r>
          </w:p>
        </w:tc>
        <w:tc>
          <w:tcPr>
            <w:tcW w:w="471" w:type="pct"/>
            <w:tcBorders>
              <w:top w:val="single" w:sz="8" w:space="0" w:color="auto"/>
              <w:left w:val="nil"/>
              <w:bottom w:val="nil"/>
              <w:right w:val="single" w:sz="8" w:space="0" w:color="auto"/>
            </w:tcBorders>
            <w:vAlign w:val="center"/>
          </w:tcPr>
          <w:p w14:paraId="558E5B69" w14:textId="77777777" w:rsidR="00836827" w:rsidRPr="005A1CAE" w:rsidRDefault="00836827" w:rsidP="00836827">
            <w:pPr>
              <w:jc w:val="center"/>
              <w:rPr>
                <w:noProof/>
                <w:sz w:val="20"/>
                <w:szCs w:val="20"/>
              </w:rPr>
            </w:pPr>
            <w:r w:rsidRPr="005A1CAE">
              <w:rPr>
                <w:noProof/>
                <w:sz w:val="20"/>
              </w:rPr>
              <w:t>WRF</w:t>
            </w:r>
          </w:p>
          <w:p w14:paraId="5155B8EA" w14:textId="77777777" w:rsidR="00836827" w:rsidRPr="005A1CAE" w:rsidRDefault="00836827" w:rsidP="00836827">
            <w:pPr>
              <w:spacing w:before="0" w:after="0"/>
              <w:jc w:val="center"/>
              <w:rPr>
                <w:noProof/>
                <w:color w:val="000000"/>
                <w:sz w:val="20"/>
                <w:szCs w:val="20"/>
              </w:rPr>
            </w:pPr>
            <w:r w:rsidRPr="005A1CAE">
              <w:rPr>
                <w:noProof/>
                <w:sz w:val="20"/>
              </w:rPr>
              <w:t>2028–34</w:t>
            </w:r>
          </w:p>
        </w:tc>
      </w:tr>
      <w:tr w:rsidR="00836827" w:rsidRPr="005A1CAE" w14:paraId="083EED23" w14:textId="77777777" w:rsidTr="00836827">
        <w:trPr>
          <w:trHeight w:val="300"/>
        </w:trPr>
        <w:tc>
          <w:tcPr>
            <w:tcW w:w="2638" w:type="pct"/>
            <w:gridSpan w:val="2"/>
            <w:vMerge/>
            <w:tcBorders>
              <w:top w:val="single" w:sz="8" w:space="0" w:color="auto"/>
              <w:left w:val="single" w:sz="8" w:space="0" w:color="auto"/>
              <w:bottom w:val="single" w:sz="8" w:space="0" w:color="auto"/>
              <w:right w:val="single" w:sz="8" w:space="0" w:color="000000"/>
            </w:tcBorders>
            <w:vAlign w:val="center"/>
            <w:hideMark/>
          </w:tcPr>
          <w:p w14:paraId="060F29A7" w14:textId="77777777" w:rsidR="00836827" w:rsidRPr="005A1CAE" w:rsidRDefault="00836827" w:rsidP="009F612D">
            <w:pPr>
              <w:spacing w:before="0" w:after="0"/>
              <w:jc w:val="left"/>
              <w:rPr>
                <w:b/>
                <w:bCs/>
                <w:noProof/>
                <w:color w:val="000000"/>
                <w:sz w:val="18"/>
                <w:szCs w:val="18"/>
                <w:lang w:eastAsia="en-IE"/>
              </w:rPr>
            </w:pPr>
          </w:p>
        </w:tc>
        <w:tc>
          <w:tcPr>
            <w:tcW w:w="473" w:type="pct"/>
            <w:tcBorders>
              <w:top w:val="nil"/>
              <w:left w:val="nil"/>
              <w:bottom w:val="single" w:sz="8" w:space="0" w:color="auto"/>
              <w:right w:val="single" w:sz="8" w:space="0" w:color="auto"/>
            </w:tcBorders>
            <w:vAlign w:val="center"/>
            <w:hideMark/>
          </w:tcPr>
          <w:p w14:paraId="0EBDAA76" w14:textId="77777777" w:rsidR="00836827" w:rsidRPr="005A1CAE" w:rsidRDefault="00836827" w:rsidP="009F612D">
            <w:pPr>
              <w:spacing w:before="0" w:after="0"/>
              <w:jc w:val="center"/>
              <w:rPr>
                <w:b/>
                <w:bCs/>
                <w:noProof/>
                <w:color w:val="000000"/>
                <w:sz w:val="20"/>
                <w:szCs w:val="20"/>
              </w:rPr>
            </w:pPr>
            <w:r w:rsidRPr="005A1CAE">
              <w:rPr>
                <w:b/>
                <w:noProof/>
                <w:color w:val="000000"/>
                <w:sz w:val="20"/>
              </w:rPr>
              <w:t>2024</w:t>
            </w:r>
          </w:p>
        </w:tc>
        <w:tc>
          <w:tcPr>
            <w:tcW w:w="473" w:type="pct"/>
            <w:tcBorders>
              <w:top w:val="nil"/>
              <w:left w:val="nil"/>
              <w:bottom w:val="single" w:sz="8" w:space="0" w:color="auto"/>
              <w:right w:val="single" w:sz="8" w:space="0" w:color="auto"/>
            </w:tcBorders>
            <w:vAlign w:val="center"/>
            <w:hideMark/>
          </w:tcPr>
          <w:p w14:paraId="1D412C96" w14:textId="77777777" w:rsidR="00836827" w:rsidRPr="005A1CAE" w:rsidRDefault="00836827" w:rsidP="009F612D">
            <w:pPr>
              <w:spacing w:before="0" w:after="0"/>
              <w:jc w:val="center"/>
              <w:rPr>
                <w:b/>
                <w:bCs/>
                <w:noProof/>
                <w:color w:val="000000"/>
                <w:sz w:val="20"/>
                <w:szCs w:val="20"/>
              </w:rPr>
            </w:pPr>
            <w:r w:rsidRPr="005A1CAE">
              <w:rPr>
                <w:b/>
                <w:noProof/>
                <w:color w:val="000000"/>
                <w:sz w:val="20"/>
              </w:rPr>
              <w:t>2025</w:t>
            </w:r>
          </w:p>
        </w:tc>
        <w:tc>
          <w:tcPr>
            <w:tcW w:w="473" w:type="pct"/>
            <w:tcBorders>
              <w:top w:val="nil"/>
              <w:left w:val="nil"/>
              <w:bottom w:val="single" w:sz="8" w:space="0" w:color="auto"/>
              <w:right w:val="single" w:sz="8" w:space="0" w:color="auto"/>
            </w:tcBorders>
            <w:vAlign w:val="center"/>
            <w:hideMark/>
          </w:tcPr>
          <w:p w14:paraId="6858476A" w14:textId="77777777" w:rsidR="00836827" w:rsidRPr="005A1CAE" w:rsidRDefault="00836827" w:rsidP="009F612D">
            <w:pPr>
              <w:spacing w:before="0" w:after="0"/>
              <w:jc w:val="center"/>
              <w:rPr>
                <w:b/>
                <w:bCs/>
                <w:noProof/>
                <w:color w:val="000000"/>
                <w:sz w:val="20"/>
                <w:szCs w:val="20"/>
              </w:rPr>
            </w:pPr>
            <w:r w:rsidRPr="005A1CAE">
              <w:rPr>
                <w:b/>
                <w:noProof/>
                <w:color w:val="000000"/>
                <w:sz w:val="20"/>
              </w:rPr>
              <w:t>2026</w:t>
            </w:r>
          </w:p>
        </w:tc>
        <w:tc>
          <w:tcPr>
            <w:tcW w:w="472" w:type="pct"/>
            <w:tcBorders>
              <w:top w:val="nil"/>
              <w:left w:val="nil"/>
              <w:bottom w:val="single" w:sz="8" w:space="0" w:color="auto"/>
              <w:right w:val="single" w:sz="8" w:space="0" w:color="auto"/>
            </w:tcBorders>
            <w:vAlign w:val="center"/>
            <w:hideMark/>
          </w:tcPr>
          <w:p w14:paraId="1DB88DF1" w14:textId="77777777" w:rsidR="00836827" w:rsidRPr="005A1CAE" w:rsidRDefault="00836827" w:rsidP="009F612D">
            <w:pPr>
              <w:spacing w:before="0" w:after="0"/>
              <w:jc w:val="center"/>
              <w:rPr>
                <w:b/>
                <w:bCs/>
                <w:noProof/>
                <w:color w:val="000000"/>
                <w:sz w:val="20"/>
                <w:szCs w:val="20"/>
              </w:rPr>
            </w:pPr>
            <w:r w:rsidRPr="005A1CAE">
              <w:rPr>
                <w:b/>
                <w:noProof/>
                <w:color w:val="000000"/>
                <w:sz w:val="20"/>
              </w:rPr>
              <w:t>2027</w:t>
            </w:r>
          </w:p>
        </w:tc>
        <w:tc>
          <w:tcPr>
            <w:tcW w:w="471" w:type="pct"/>
            <w:tcBorders>
              <w:top w:val="nil"/>
              <w:left w:val="nil"/>
              <w:bottom w:val="single" w:sz="8" w:space="0" w:color="auto"/>
              <w:right w:val="single" w:sz="8" w:space="0" w:color="auto"/>
            </w:tcBorders>
          </w:tcPr>
          <w:p w14:paraId="4C2A279F" w14:textId="77777777" w:rsidR="00836827" w:rsidRPr="005A1CAE" w:rsidRDefault="00836827" w:rsidP="00836827">
            <w:pPr>
              <w:spacing w:before="0" w:after="0"/>
              <w:rPr>
                <w:b/>
                <w:bCs/>
                <w:noProof/>
                <w:color w:val="000000"/>
                <w:sz w:val="20"/>
                <w:szCs w:val="20"/>
                <w:lang w:eastAsia="en-IE"/>
              </w:rPr>
            </w:pPr>
          </w:p>
        </w:tc>
      </w:tr>
      <w:tr w:rsidR="00836827" w:rsidRPr="005A1CAE" w14:paraId="5F3B9E3D" w14:textId="77777777" w:rsidTr="00836827">
        <w:trPr>
          <w:trHeight w:val="300"/>
        </w:trPr>
        <w:tc>
          <w:tcPr>
            <w:tcW w:w="4529" w:type="pct"/>
            <w:gridSpan w:val="6"/>
            <w:tcBorders>
              <w:top w:val="single" w:sz="8" w:space="0" w:color="auto"/>
              <w:left w:val="single" w:sz="8" w:space="0" w:color="auto"/>
              <w:bottom w:val="single" w:sz="8" w:space="0" w:color="auto"/>
              <w:right w:val="single" w:sz="4" w:space="0" w:color="auto"/>
            </w:tcBorders>
            <w:vAlign w:val="center"/>
            <w:hideMark/>
          </w:tcPr>
          <w:p w14:paraId="711BFA2E" w14:textId="135E5212" w:rsidR="00836827" w:rsidRPr="005A1CAE" w:rsidRDefault="00836827" w:rsidP="009F612D">
            <w:pPr>
              <w:spacing w:before="0" w:after="0"/>
              <w:jc w:val="left"/>
              <w:rPr>
                <w:rFonts w:ascii="Wingdings" w:hAnsi="Wingdings" w:cs="Calibri"/>
                <w:b/>
                <w:bCs/>
                <w:noProof/>
                <w:color w:val="000000"/>
                <w:sz w:val="16"/>
                <w:szCs w:val="16"/>
              </w:rPr>
            </w:pPr>
            <w:r w:rsidRPr="005A1CAE">
              <w:rPr>
                <w:rFonts w:ascii="Wingdings" w:hAnsi="Wingdings"/>
                <w:b/>
                <w:noProof/>
                <w:color w:val="000000"/>
                <w:sz w:val="16"/>
              </w:rPr>
              <w:t></w:t>
            </w:r>
            <w:r w:rsidRPr="005A1CAE">
              <w:rPr>
                <w:b/>
                <w:noProof/>
                <w:color w:val="000000"/>
                <w:sz w:val="16"/>
              </w:rPr>
              <w:t xml:space="preserve"> Stanowiska przewidziane</w:t>
            </w:r>
            <w:r w:rsidR="005A1CAE" w:rsidRPr="005A1CAE">
              <w:rPr>
                <w:b/>
                <w:noProof/>
                <w:color w:val="000000"/>
                <w:sz w:val="16"/>
              </w:rPr>
              <w:t xml:space="preserve"> w</w:t>
            </w:r>
            <w:r w:rsidR="005A1CAE">
              <w:rPr>
                <w:b/>
                <w:noProof/>
                <w:color w:val="000000"/>
                <w:sz w:val="16"/>
              </w:rPr>
              <w:t> </w:t>
            </w:r>
            <w:r w:rsidR="005A1CAE" w:rsidRPr="005A1CAE">
              <w:rPr>
                <w:b/>
                <w:noProof/>
                <w:color w:val="000000"/>
                <w:sz w:val="16"/>
              </w:rPr>
              <w:t>pla</w:t>
            </w:r>
            <w:r w:rsidRPr="005A1CAE">
              <w:rPr>
                <w:b/>
                <w:noProof/>
                <w:color w:val="000000"/>
                <w:sz w:val="16"/>
              </w:rPr>
              <w:t>nie zatrudnienia (stanowiska urzędników</w:t>
            </w:r>
            <w:r w:rsidR="005A1CAE" w:rsidRPr="005A1CAE">
              <w:rPr>
                <w:b/>
                <w:noProof/>
                <w:color w:val="000000"/>
                <w:sz w:val="16"/>
              </w:rPr>
              <w:t xml:space="preserve"> i</w:t>
            </w:r>
            <w:r w:rsidR="005A1CAE">
              <w:rPr>
                <w:b/>
                <w:noProof/>
                <w:color w:val="000000"/>
                <w:sz w:val="16"/>
              </w:rPr>
              <w:t> </w:t>
            </w:r>
            <w:r w:rsidR="005A1CAE" w:rsidRPr="005A1CAE">
              <w:rPr>
                <w:b/>
                <w:noProof/>
                <w:color w:val="000000"/>
                <w:sz w:val="16"/>
              </w:rPr>
              <w:t>pra</w:t>
            </w:r>
            <w:r w:rsidRPr="005A1CAE">
              <w:rPr>
                <w:b/>
                <w:noProof/>
                <w:color w:val="000000"/>
                <w:sz w:val="16"/>
              </w:rPr>
              <w:t>cowników zatrudnionych na czas określony)</w:t>
            </w:r>
          </w:p>
        </w:tc>
        <w:tc>
          <w:tcPr>
            <w:tcW w:w="471" w:type="pct"/>
            <w:tcBorders>
              <w:top w:val="single" w:sz="8" w:space="0" w:color="auto"/>
              <w:left w:val="single" w:sz="8" w:space="0" w:color="auto"/>
              <w:bottom w:val="single" w:sz="8" w:space="0" w:color="auto"/>
              <w:right w:val="single" w:sz="4" w:space="0" w:color="auto"/>
            </w:tcBorders>
          </w:tcPr>
          <w:p w14:paraId="5959A5D4" w14:textId="77777777" w:rsidR="00836827" w:rsidRPr="005A1CAE" w:rsidRDefault="00836827" w:rsidP="009F612D">
            <w:pPr>
              <w:spacing w:before="0" w:after="0"/>
              <w:jc w:val="left"/>
              <w:rPr>
                <w:rFonts w:ascii="Wingdings" w:hAnsi="Wingdings" w:cs="Calibri"/>
                <w:b/>
                <w:bCs/>
                <w:noProof/>
                <w:color w:val="000000"/>
                <w:sz w:val="16"/>
                <w:szCs w:val="16"/>
                <w:lang w:eastAsia="en-IE"/>
              </w:rPr>
            </w:pPr>
          </w:p>
        </w:tc>
      </w:tr>
      <w:tr w:rsidR="00836827" w:rsidRPr="005A1CAE" w14:paraId="577940AE" w14:textId="77777777" w:rsidTr="004238F2">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0D327D67" w14:textId="3B64B671" w:rsidR="00836827" w:rsidRPr="005A1CAE" w:rsidRDefault="00836827" w:rsidP="00216914">
            <w:pPr>
              <w:spacing w:before="0" w:after="0"/>
              <w:ind w:firstLineChars="100" w:firstLine="240"/>
              <w:jc w:val="left"/>
              <w:rPr>
                <w:noProof/>
                <w:color w:val="000000"/>
                <w:sz w:val="16"/>
                <w:szCs w:val="16"/>
              </w:rPr>
            </w:pPr>
            <w:r w:rsidRPr="005A1CAE">
              <w:rPr>
                <w:noProof/>
                <w:color w:val="000000"/>
              </w:rPr>
              <w:t>20 01 02 01 (w centrali</w:t>
            </w:r>
            <w:r w:rsidR="005A1CAE" w:rsidRPr="005A1CAE">
              <w:rPr>
                <w:noProof/>
                <w:color w:val="000000"/>
              </w:rPr>
              <w:t xml:space="preserve"> i</w:t>
            </w:r>
            <w:r w:rsidR="005A1CAE">
              <w:rPr>
                <w:noProof/>
                <w:color w:val="000000"/>
              </w:rPr>
              <w:t> </w:t>
            </w:r>
            <w:r w:rsidR="005A1CAE" w:rsidRPr="005A1CAE">
              <w:rPr>
                <w:noProof/>
                <w:color w:val="000000"/>
              </w:rPr>
              <w:t>w</w:t>
            </w:r>
            <w:r w:rsidR="005A1CAE">
              <w:rPr>
                <w:noProof/>
                <w:color w:val="000000"/>
              </w:rPr>
              <w:t> </w:t>
            </w:r>
            <w:r w:rsidR="005A1CAE" w:rsidRPr="005A1CAE">
              <w:rPr>
                <w:noProof/>
                <w:color w:val="000000"/>
              </w:rPr>
              <w:t>biu</w:t>
            </w:r>
            <w:r w:rsidRPr="005A1CAE">
              <w:rPr>
                <w:noProof/>
                <w:color w:val="000000"/>
              </w:rPr>
              <w:t>rach przedstawicielstw Komisji)</w:t>
            </w:r>
          </w:p>
        </w:tc>
        <w:tc>
          <w:tcPr>
            <w:tcW w:w="473" w:type="pct"/>
            <w:tcBorders>
              <w:top w:val="nil"/>
              <w:left w:val="nil"/>
              <w:bottom w:val="single" w:sz="8" w:space="0" w:color="auto"/>
              <w:right w:val="single" w:sz="8" w:space="0" w:color="auto"/>
            </w:tcBorders>
            <w:shd w:val="clear" w:color="000000" w:fill="D9D9D9"/>
            <w:vAlign w:val="center"/>
            <w:hideMark/>
          </w:tcPr>
          <w:p w14:paraId="650199D4" w14:textId="77777777" w:rsidR="00836827" w:rsidRPr="005A1CAE" w:rsidRDefault="00836827" w:rsidP="00216914">
            <w:pPr>
              <w:spacing w:before="0" w:after="0"/>
              <w:jc w:val="center"/>
              <w:rPr>
                <w:noProof/>
                <w:color w:val="000000"/>
                <w:sz w:val="16"/>
                <w:szCs w:val="16"/>
              </w:rPr>
            </w:pPr>
            <w:r w:rsidRPr="005A1CAE">
              <w:rPr>
                <w:noProof/>
                <w:sz w:val="16"/>
              </w:rPr>
              <w:t>21</w:t>
            </w:r>
          </w:p>
        </w:tc>
        <w:tc>
          <w:tcPr>
            <w:tcW w:w="473" w:type="pct"/>
            <w:tcBorders>
              <w:top w:val="nil"/>
              <w:left w:val="nil"/>
              <w:bottom w:val="single" w:sz="8" w:space="0" w:color="auto"/>
              <w:right w:val="single" w:sz="8" w:space="0" w:color="auto"/>
            </w:tcBorders>
            <w:shd w:val="clear" w:color="000000" w:fill="D9D9D9"/>
            <w:vAlign w:val="center"/>
            <w:hideMark/>
          </w:tcPr>
          <w:p w14:paraId="097749D0" w14:textId="77777777" w:rsidR="00836827" w:rsidRPr="005A1CAE" w:rsidRDefault="00836827" w:rsidP="00216914">
            <w:pPr>
              <w:spacing w:before="0" w:after="0"/>
              <w:jc w:val="center"/>
              <w:rPr>
                <w:noProof/>
                <w:color w:val="000000"/>
                <w:sz w:val="16"/>
                <w:szCs w:val="16"/>
              </w:rPr>
            </w:pPr>
            <w:r w:rsidRPr="005A1CAE">
              <w:rPr>
                <w:noProof/>
                <w:sz w:val="16"/>
              </w:rPr>
              <w:t>21</w:t>
            </w:r>
          </w:p>
        </w:tc>
        <w:tc>
          <w:tcPr>
            <w:tcW w:w="473" w:type="pct"/>
            <w:tcBorders>
              <w:top w:val="nil"/>
              <w:left w:val="nil"/>
              <w:bottom w:val="single" w:sz="8" w:space="0" w:color="auto"/>
              <w:right w:val="single" w:sz="8" w:space="0" w:color="auto"/>
            </w:tcBorders>
            <w:shd w:val="clear" w:color="000000" w:fill="D9D9D9"/>
            <w:vAlign w:val="center"/>
            <w:hideMark/>
          </w:tcPr>
          <w:p w14:paraId="40576457" w14:textId="77777777" w:rsidR="00836827" w:rsidRPr="005A1CAE" w:rsidRDefault="00836827" w:rsidP="00216914">
            <w:pPr>
              <w:spacing w:before="0" w:after="0"/>
              <w:jc w:val="center"/>
              <w:rPr>
                <w:noProof/>
                <w:color w:val="000000"/>
                <w:sz w:val="16"/>
                <w:szCs w:val="16"/>
              </w:rPr>
            </w:pPr>
            <w:r w:rsidRPr="005A1CAE">
              <w:rPr>
                <w:noProof/>
                <w:sz w:val="16"/>
              </w:rPr>
              <w:t>25</w:t>
            </w:r>
          </w:p>
        </w:tc>
        <w:tc>
          <w:tcPr>
            <w:tcW w:w="472" w:type="pct"/>
            <w:tcBorders>
              <w:top w:val="nil"/>
              <w:left w:val="nil"/>
              <w:bottom w:val="single" w:sz="8" w:space="0" w:color="auto"/>
              <w:right w:val="single" w:sz="8" w:space="0" w:color="auto"/>
            </w:tcBorders>
            <w:shd w:val="clear" w:color="000000" w:fill="D9D9D9"/>
            <w:vAlign w:val="center"/>
            <w:hideMark/>
          </w:tcPr>
          <w:p w14:paraId="73B124C9" w14:textId="77777777" w:rsidR="00836827" w:rsidRPr="005A1CAE" w:rsidRDefault="00347BA1" w:rsidP="00216914">
            <w:pPr>
              <w:spacing w:before="0" w:after="0"/>
              <w:jc w:val="center"/>
              <w:rPr>
                <w:noProof/>
                <w:color w:val="000000"/>
                <w:sz w:val="16"/>
                <w:szCs w:val="16"/>
              </w:rPr>
            </w:pPr>
            <w:r w:rsidRPr="005A1CAE">
              <w:rPr>
                <w:noProof/>
                <w:sz w:val="16"/>
              </w:rPr>
              <w:t>30</w:t>
            </w:r>
          </w:p>
        </w:tc>
        <w:tc>
          <w:tcPr>
            <w:tcW w:w="471" w:type="pct"/>
            <w:tcBorders>
              <w:top w:val="nil"/>
              <w:left w:val="nil"/>
              <w:bottom w:val="single" w:sz="8" w:space="0" w:color="auto"/>
              <w:right w:val="single" w:sz="8" w:space="0" w:color="auto"/>
            </w:tcBorders>
            <w:shd w:val="clear" w:color="000000" w:fill="D9D9D9"/>
            <w:vAlign w:val="center"/>
          </w:tcPr>
          <w:p w14:paraId="6DDD2249" w14:textId="09942B77" w:rsidR="00836827" w:rsidRPr="005A1CAE" w:rsidRDefault="001910EA" w:rsidP="004238F2">
            <w:pPr>
              <w:spacing w:before="0" w:after="0"/>
              <w:jc w:val="center"/>
              <w:rPr>
                <w:noProof/>
                <w:sz w:val="16"/>
                <w:szCs w:val="16"/>
              </w:rPr>
            </w:pPr>
            <w:r w:rsidRPr="005A1CAE">
              <w:rPr>
                <w:noProof/>
                <w:sz w:val="16"/>
              </w:rPr>
              <w:t>30 razy</w:t>
            </w:r>
            <w:r w:rsidR="005A1CAE" w:rsidRPr="005A1CAE">
              <w:rPr>
                <w:noProof/>
                <w:sz w:val="16"/>
              </w:rPr>
              <w:t xml:space="preserve"> w</w:t>
            </w:r>
            <w:r w:rsidR="005A1CAE">
              <w:rPr>
                <w:noProof/>
                <w:sz w:val="16"/>
              </w:rPr>
              <w:t> </w:t>
            </w:r>
            <w:r w:rsidR="005A1CAE" w:rsidRPr="005A1CAE">
              <w:rPr>
                <w:noProof/>
                <w:sz w:val="16"/>
              </w:rPr>
              <w:t>rok</w:t>
            </w:r>
            <w:r w:rsidRPr="005A1CAE">
              <w:rPr>
                <w:noProof/>
                <w:sz w:val="16"/>
              </w:rPr>
              <w:t>u</w:t>
            </w:r>
          </w:p>
        </w:tc>
      </w:tr>
      <w:tr w:rsidR="00836827" w:rsidRPr="005A1CAE" w14:paraId="235581EA" w14:textId="77777777" w:rsidTr="004238F2">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61B33E48" w14:textId="77777777"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t>20 01 02 03 (w delegaturach UE)</w:t>
            </w:r>
          </w:p>
        </w:tc>
        <w:tc>
          <w:tcPr>
            <w:tcW w:w="473" w:type="pct"/>
            <w:tcBorders>
              <w:top w:val="nil"/>
              <w:left w:val="nil"/>
              <w:bottom w:val="single" w:sz="8" w:space="0" w:color="auto"/>
              <w:right w:val="single" w:sz="8" w:space="0" w:color="auto"/>
            </w:tcBorders>
            <w:shd w:val="clear" w:color="000000" w:fill="D9D9D9"/>
            <w:vAlign w:val="center"/>
            <w:hideMark/>
          </w:tcPr>
          <w:p w14:paraId="34693FA7"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44BBA7EF"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6E26537D"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4F5DD02E"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vAlign w:val="center"/>
          </w:tcPr>
          <w:p w14:paraId="5D085298" w14:textId="77777777" w:rsidR="00836827" w:rsidRPr="005A1CAE" w:rsidRDefault="00836827" w:rsidP="004238F2">
            <w:pPr>
              <w:spacing w:before="0" w:after="0"/>
              <w:jc w:val="center"/>
              <w:rPr>
                <w:noProof/>
                <w:color w:val="000000"/>
                <w:sz w:val="16"/>
                <w:szCs w:val="16"/>
                <w:lang w:eastAsia="en-IE"/>
              </w:rPr>
            </w:pPr>
          </w:p>
        </w:tc>
      </w:tr>
      <w:tr w:rsidR="00836827" w:rsidRPr="005A1CAE" w14:paraId="78289C2E" w14:textId="77777777" w:rsidTr="004238F2">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2265A8AE" w14:textId="77777777"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t>01 01 01 01</w:t>
            </w:r>
            <w:r w:rsidRPr="005A1CAE">
              <w:rPr>
                <w:noProof/>
                <w:color w:val="000000"/>
              </w:rPr>
              <w:t xml:space="preserve"> </w:t>
            </w:r>
            <w:r w:rsidRPr="005A1CAE">
              <w:rPr>
                <w:noProof/>
                <w:color w:val="000000"/>
                <w:sz w:val="16"/>
              </w:rPr>
              <w:t>(pośrednie badania naukowe)</w:t>
            </w:r>
          </w:p>
        </w:tc>
        <w:tc>
          <w:tcPr>
            <w:tcW w:w="473" w:type="pct"/>
            <w:tcBorders>
              <w:top w:val="nil"/>
              <w:left w:val="nil"/>
              <w:bottom w:val="single" w:sz="8" w:space="0" w:color="auto"/>
              <w:right w:val="single" w:sz="8" w:space="0" w:color="auto"/>
            </w:tcBorders>
            <w:shd w:val="clear" w:color="000000" w:fill="D9D9D9"/>
            <w:vAlign w:val="center"/>
            <w:hideMark/>
          </w:tcPr>
          <w:p w14:paraId="3104D74E"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21C498BD"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0E24567E"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2316CC5C"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vAlign w:val="center"/>
          </w:tcPr>
          <w:p w14:paraId="3CAA9BD2" w14:textId="77777777" w:rsidR="00836827" w:rsidRPr="005A1CAE" w:rsidRDefault="00836827" w:rsidP="004238F2">
            <w:pPr>
              <w:spacing w:before="0" w:after="0"/>
              <w:jc w:val="center"/>
              <w:rPr>
                <w:noProof/>
                <w:color w:val="000000"/>
                <w:sz w:val="16"/>
                <w:szCs w:val="16"/>
                <w:lang w:eastAsia="en-IE"/>
              </w:rPr>
            </w:pPr>
          </w:p>
        </w:tc>
      </w:tr>
      <w:tr w:rsidR="00836827" w:rsidRPr="005A1CAE" w14:paraId="2CBA6915" w14:textId="77777777" w:rsidTr="004238F2">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48FC8932" w14:textId="77777777"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t>01 01 01 11 (bezpośrednie badania naukowe)</w:t>
            </w:r>
          </w:p>
        </w:tc>
        <w:tc>
          <w:tcPr>
            <w:tcW w:w="473" w:type="pct"/>
            <w:tcBorders>
              <w:top w:val="nil"/>
              <w:left w:val="nil"/>
              <w:bottom w:val="single" w:sz="8" w:space="0" w:color="auto"/>
              <w:right w:val="single" w:sz="8" w:space="0" w:color="auto"/>
            </w:tcBorders>
            <w:shd w:val="clear" w:color="000000" w:fill="D9D9D9"/>
            <w:vAlign w:val="center"/>
            <w:hideMark/>
          </w:tcPr>
          <w:p w14:paraId="1B282001"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6D607BDC"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297C9B4A"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2C5E1CCF"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vAlign w:val="center"/>
          </w:tcPr>
          <w:p w14:paraId="3183EA25" w14:textId="77777777" w:rsidR="00836827" w:rsidRPr="005A1CAE" w:rsidRDefault="00836827" w:rsidP="004238F2">
            <w:pPr>
              <w:spacing w:before="0" w:after="0"/>
              <w:jc w:val="center"/>
              <w:rPr>
                <w:noProof/>
                <w:color w:val="000000"/>
                <w:sz w:val="16"/>
                <w:szCs w:val="16"/>
                <w:lang w:eastAsia="en-IE"/>
              </w:rPr>
            </w:pPr>
          </w:p>
        </w:tc>
      </w:tr>
      <w:tr w:rsidR="00836827" w:rsidRPr="005A1CAE" w14:paraId="4092148B" w14:textId="77777777" w:rsidTr="004238F2">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065E03BA" w14:textId="77777777"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t>Inna linia budżetowa (określić)</w:t>
            </w:r>
          </w:p>
        </w:tc>
        <w:tc>
          <w:tcPr>
            <w:tcW w:w="473" w:type="pct"/>
            <w:tcBorders>
              <w:top w:val="nil"/>
              <w:left w:val="nil"/>
              <w:bottom w:val="single" w:sz="8" w:space="0" w:color="auto"/>
              <w:right w:val="single" w:sz="8" w:space="0" w:color="auto"/>
            </w:tcBorders>
            <w:shd w:val="clear" w:color="000000" w:fill="D9D9D9"/>
            <w:vAlign w:val="center"/>
            <w:hideMark/>
          </w:tcPr>
          <w:p w14:paraId="5FC1B9C8"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260104E0"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1024C957"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6E4CB86A"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vAlign w:val="center"/>
          </w:tcPr>
          <w:p w14:paraId="104BA1FD" w14:textId="77777777" w:rsidR="00836827" w:rsidRPr="005A1CAE" w:rsidRDefault="00836827" w:rsidP="004238F2">
            <w:pPr>
              <w:spacing w:before="0" w:after="0"/>
              <w:jc w:val="center"/>
              <w:rPr>
                <w:noProof/>
                <w:color w:val="000000"/>
                <w:sz w:val="16"/>
                <w:szCs w:val="16"/>
                <w:lang w:eastAsia="en-IE"/>
              </w:rPr>
            </w:pPr>
          </w:p>
        </w:tc>
      </w:tr>
      <w:tr w:rsidR="00836827" w:rsidRPr="005A1CAE" w14:paraId="1FFDA7B8" w14:textId="77777777" w:rsidTr="004238F2">
        <w:trPr>
          <w:trHeight w:val="300"/>
        </w:trPr>
        <w:tc>
          <w:tcPr>
            <w:tcW w:w="4529" w:type="pct"/>
            <w:gridSpan w:val="6"/>
            <w:tcBorders>
              <w:top w:val="single" w:sz="8" w:space="0" w:color="auto"/>
              <w:left w:val="single" w:sz="8" w:space="0" w:color="auto"/>
              <w:bottom w:val="single" w:sz="8" w:space="0" w:color="auto"/>
              <w:right w:val="single" w:sz="4" w:space="0" w:color="auto"/>
            </w:tcBorders>
            <w:vAlign w:val="center"/>
            <w:hideMark/>
          </w:tcPr>
          <w:p w14:paraId="3F2AE3B9" w14:textId="77777777" w:rsidR="00836827" w:rsidRPr="005A1CAE" w:rsidRDefault="00836827" w:rsidP="009F612D">
            <w:pPr>
              <w:spacing w:before="0" w:after="0"/>
              <w:jc w:val="left"/>
              <w:rPr>
                <w:rFonts w:ascii="Wingdings" w:hAnsi="Wingdings" w:cs="Calibri"/>
                <w:b/>
                <w:bCs/>
                <w:noProof/>
                <w:color w:val="000000"/>
                <w:sz w:val="16"/>
                <w:szCs w:val="16"/>
              </w:rPr>
            </w:pPr>
            <w:r w:rsidRPr="005A1CAE">
              <w:rPr>
                <w:rFonts w:ascii="Calibri" w:hAnsi="Calibri"/>
                <w:b/>
                <w:noProof/>
                <w:color w:val="000000"/>
                <w:sz w:val="16"/>
              </w:rPr>
              <w:t>•</w:t>
            </w:r>
            <w:r w:rsidRPr="005A1CAE">
              <w:rPr>
                <w:b/>
                <w:noProof/>
                <w:color w:val="000000"/>
                <w:sz w:val="16"/>
              </w:rPr>
              <w:t xml:space="preserve"> Personel zewnętrzny (w EPC)</w:t>
            </w:r>
          </w:p>
        </w:tc>
        <w:tc>
          <w:tcPr>
            <w:tcW w:w="471" w:type="pct"/>
            <w:tcBorders>
              <w:top w:val="single" w:sz="8" w:space="0" w:color="auto"/>
              <w:left w:val="single" w:sz="8" w:space="0" w:color="auto"/>
              <w:bottom w:val="single" w:sz="8" w:space="0" w:color="auto"/>
              <w:right w:val="single" w:sz="4" w:space="0" w:color="auto"/>
            </w:tcBorders>
            <w:vAlign w:val="center"/>
          </w:tcPr>
          <w:p w14:paraId="6B6F1821" w14:textId="77777777" w:rsidR="00836827" w:rsidRPr="005A1CAE" w:rsidRDefault="00836827" w:rsidP="004238F2">
            <w:pPr>
              <w:spacing w:before="0" w:after="0"/>
              <w:jc w:val="center"/>
              <w:rPr>
                <w:rFonts w:ascii="Calibri" w:hAnsi="Calibri" w:cs="Calibri"/>
                <w:b/>
                <w:bCs/>
                <w:noProof/>
                <w:color w:val="000000"/>
                <w:sz w:val="16"/>
                <w:szCs w:val="16"/>
                <w:lang w:eastAsia="en-IE"/>
              </w:rPr>
            </w:pPr>
          </w:p>
        </w:tc>
      </w:tr>
      <w:tr w:rsidR="00836827" w:rsidRPr="005A1CAE" w14:paraId="7F34C879" w14:textId="77777777" w:rsidTr="004238F2">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61180FE3" w14:textId="4D948AA1" w:rsidR="00836827" w:rsidRPr="005A1CAE" w:rsidRDefault="00836827" w:rsidP="00836827">
            <w:pPr>
              <w:spacing w:before="0" w:after="0"/>
              <w:ind w:firstLineChars="100" w:firstLine="160"/>
              <w:jc w:val="left"/>
              <w:rPr>
                <w:noProof/>
                <w:color w:val="000000"/>
                <w:sz w:val="16"/>
                <w:szCs w:val="16"/>
              </w:rPr>
            </w:pPr>
            <w:r w:rsidRPr="005A1CAE">
              <w:rPr>
                <w:noProof/>
                <w:color w:val="000000"/>
                <w:sz w:val="16"/>
              </w:rPr>
              <w:t>20 02 01</w:t>
            </w:r>
            <w:r w:rsidRPr="005A1CAE">
              <w:rPr>
                <w:rFonts w:ascii="Arial Narrow" w:hAnsi="Arial Narrow"/>
                <w:noProof/>
                <w:color w:val="000000"/>
                <w:sz w:val="20"/>
              </w:rPr>
              <w:t xml:space="preserve"> </w:t>
            </w:r>
            <w:r w:rsidRPr="005A1CAE">
              <w:rPr>
                <w:noProof/>
                <w:color w:val="000000"/>
                <w:sz w:val="16"/>
              </w:rPr>
              <w:t>(CA, SNE</w:t>
            </w:r>
            <w:r w:rsidR="005A1CAE" w:rsidRPr="005A1CAE">
              <w:rPr>
                <w:noProof/>
                <w:color w:val="000000"/>
                <w:sz w:val="16"/>
              </w:rPr>
              <w:t xml:space="preserve"> z</w:t>
            </w:r>
            <w:r w:rsidR="005A1CAE">
              <w:rPr>
                <w:noProof/>
                <w:color w:val="000000"/>
                <w:sz w:val="16"/>
              </w:rPr>
              <w:t> </w:t>
            </w:r>
            <w:r w:rsidR="005A1CAE" w:rsidRPr="005A1CAE">
              <w:rPr>
                <w:noProof/>
                <w:color w:val="000000"/>
                <w:sz w:val="16"/>
              </w:rPr>
              <w:t>glo</w:t>
            </w:r>
            <w:r w:rsidRPr="005A1CAE">
              <w:rPr>
                <w:noProof/>
                <w:color w:val="000000"/>
                <w:sz w:val="16"/>
              </w:rPr>
              <w:t>balnej koperty finansowej)</w:t>
            </w:r>
          </w:p>
        </w:tc>
        <w:tc>
          <w:tcPr>
            <w:tcW w:w="473" w:type="pct"/>
            <w:tcBorders>
              <w:top w:val="nil"/>
              <w:left w:val="nil"/>
              <w:bottom w:val="single" w:sz="8" w:space="0" w:color="auto"/>
              <w:right w:val="single" w:sz="8" w:space="0" w:color="auto"/>
            </w:tcBorders>
            <w:shd w:val="clear" w:color="000000" w:fill="D9D9D9"/>
            <w:vAlign w:val="center"/>
            <w:hideMark/>
          </w:tcPr>
          <w:p w14:paraId="732673B1" w14:textId="77777777" w:rsidR="00836827" w:rsidRPr="005A1CAE" w:rsidRDefault="00836827" w:rsidP="00836827">
            <w:pPr>
              <w:spacing w:before="0" w:after="0"/>
              <w:jc w:val="center"/>
              <w:rPr>
                <w:noProof/>
                <w:color w:val="000000"/>
                <w:sz w:val="16"/>
                <w:szCs w:val="16"/>
              </w:rPr>
            </w:pPr>
            <w:r w:rsidRPr="005A1CAE">
              <w:rPr>
                <w:noProof/>
                <w:sz w:val="16"/>
              </w:rPr>
              <w:t>12</w:t>
            </w:r>
          </w:p>
        </w:tc>
        <w:tc>
          <w:tcPr>
            <w:tcW w:w="473" w:type="pct"/>
            <w:tcBorders>
              <w:top w:val="nil"/>
              <w:left w:val="nil"/>
              <w:bottom w:val="single" w:sz="8" w:space="0" w:color="auto"/>
              <w:right w:val="single" w:sz="8" w:space="0" w:color="auto"/>
            </w:tcBorders>
            <w:shd w:val="clear" w:color="000000" w:fill="D9D9D9"/>
            <w:vAlign w:val="center"/>
            <w:hideMark/>
          </w:tcPr>
          <w:p w14:paraId="253153A6" w14:textId="77777777" w:rsidR="00836827" w:rsidRPr="005A1CAE" w:rsidRDefault="00836827" w:rsidP="00836827">
            <w:pPr>
              <w:spacing w:before="0" w:after="0"/>
              <w:jc w:val="center"/>
              <w:rPr>
                <w:noProof/>
                <w:color w:val="000000"/>
                <w:sz w:val="16"/>
                <w:szCs w:val="16"/>
              </w:rPr>
            </w:pPr>
            <w:r w:rsidRPr="005A1CAE">
              <w:rPr>
                <w:noProof/>
                <w:sz w:val="16"/>
              </w:rPr>
              <w:t>23</w:t>
            </w:r>
          </w:p>
        </w:tc>
        <w:tc>
          <w:tcPr>
            <w:tcW w:w="473" w:type="pct"/>
            <w:tcBorders>
              <w:top w:val="nil"/>
              <w:left w:val="nil"/>
              <w:bottom w:val="single" w:sz="8" w:space="0" w:color="auto"/>
              <w:right w:val="single" w:sz="8" w:space="0" w:color="auto"/>
            </w:tcBorders>
            <w:shd w:val="clear" w:color="000000" w:fill="D9D9D9"/>
            <w:vAlign w:val="center"/>
            <w:hideMark/>
          </w:tcPr>
          <w:p w14:paraId="7062D501" w14:textId="77777777" w:rsidR="00836827" w:rsidRPr="005A1CAE" w:rsidRDefault="00836827" w:rsidP="00836827">
            <w:pPr>
              <w:spacing w:before="0" w:after="0"/>
              <w:jc w:val="center"/>
              <w:rPr>
                <w:noProof/>
                <w:color w:val="000000"/>
                <w:sz w:val="16"/>
                <w:szCs w:val="16"/>
              </w:rPr>
            </w:pPr>
            <w:r w:rsidRPr="005A1CAE">
              <w:rPr>
                <w:noProof/>
                <w:sz w:val="16"/>
              </w:rPr>
              <w:t>40</w:t>
            </w:r>
          </w:p>
        </w:tc>
        <w:tc>
          <w:tcPr>
            <w:tcW w:w="472" w:type="pct"/>
            <w:tcBorders>
              <w:top w:val="nil"/>
              <w:left w:val="nil"/>
              <w:bottom w:val="single" w:sz="8" w:space="0" w:color="auto"/>
              <w:right w:val="single" w:sz="8" w:space="0" w:color="auto"/>
            </w:tcBorders>
            <w:shd w:val="clear" w:color="000000" w:fill="D9D9D9"/>
            <w:vAlign w:val="center"/>
            <w:hideMark/>
          </w:tcPr>
          <w:p w14:paraId="1A926F11" w14:textId="77777777" w:rsidR="00836827" w:rsidRPr="005A1CAE" w:rsidRDefault="00347BA1" w:rsidP="00836827">
            <w:pPr>
              <w:spacing w:before="0" w:after="0"/>
              <w:jc w:val="center"/>
              <w:rPr>
                <w:noProof/>
                <w:color w:val="000000"/>
                <w:sz w:val="16"/>
                <w:szCs w:val="16"/>
              </w:rPr>
            </w:pPr>
            <w:r w:rsidRPr="005A1CAE">
              <w:rPr>
                <w:noProof/>
                <w:sz w:val="16"/>
              </w:rPr>
              <w:t>60</w:t>
            </w:r>
          </w:p>
        </w:tc>
        <w:tc>
          <w:tcPr>
            <w:tcW w:w="471" w:type="pct"/>
            <w:tcBorders>
              <w:top w:val="nil"/>
              <w:left w:val="nil"/>
              <w:bottom w:val="single" w:sz="8" w:space="0" w:color="auto"/>
              <w:right w:val="single" w:sz="8" w:space="0" w:color="auto"/>
            </w:tcBorders>
            <w:shd w:val="clear" w:color="000000" w:fill="D9D9D9"/>
            <w:vAlign w:val="center"/>
          </w:tcPr>
          <w:p w14:paraId="7EBBA1A2" w14:textId="2C266561" w:rsidR="00836827" w:rsidRPr="005A1CAE" w:rsidRDefault="001910EA" w:rsidP="004238F2">
            <w:pPr>
              <w:spacing w:before="0" w:after="0"/>
              <w:jc w:val="center"/>
              <w:rPr>
                <w:noProof/>
                <w:color w:val="000000"/>
                <w:sz w:val="16"/>
                <w:szCs w:val="16"/>
              </w:rPr>
            </w:pPr>
            <w:r w:rsidRPr="005A1CAE">
              <w:rPr>
                <w:noProof/>
                <w:sz w:val="16"/>
              </w:rPr>
              <w:t>60 razy</w:t>
            </w:r>
            <w:r w:rsidR="005A1CAE" w:rsidRPr="005A1CAE">
              <w:rPr>
                <w:noProof/>
                <w:sz w:val="16"/>
              </w:rPr>
              <w:t xml:space="preserve"> w</w:t>
            </w:r>
            <w:r w:rsidR="005A1CAE">
              <w:rPr>
                <w:noProof/>
                <w:sz w:val="16"/>
              </w:rPr>
              <w:t> </w:t>
            </w:r>
            <w:r w:rsidR="005A1CAE" w:rsidRPr="005A1CAE">
              <w:rPr>
                <w:noProof/>
                <w:sz w:val="16"/>
              </w:rPr>
              <w:t>rok</w:t>
            </w:r>
            <w:r w:rsidRPr="005A1CAE">
              <w:rPr>
                <w:noProof/>
                <w:sz w:val="16"/>
              </w:rPr>
              <w:t>u</w:t>
            </w:r>
          </w:p>
        </w:tc>
      </w:tr>
      <w:tr w:rsidR="00836827" w:rsidRPr="005A1CAE" w14:paraId="61F1324E" w14:textId="77777777" w:rsidTr="00836827">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26FBB747" w14:textId="0E526858"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lastRenderedPageBreak/>
              <w:t>20 02 03 (CA, LA, SNE i JPD</w:t>
            </w:r>
            <w:r w:rsidR="005A1CAE" w:rsidRPr="005A1CAE">
              <w:rPr>
                <w:noProof/>
                <w:color w:val="000000"/>
                <w:sz w:val="16"/>
              </w:rPr>
              <w:t xml:space="preserve"> w</w:t>
            </w:r>
            <w:r w:rsidR="005A1CAE">
              <w:rPr>
                <w:noProof/>
                <w:color w:val="000000"/>
                <w:sz w:val="16"/>
              </w:rPr>
              <w:t> </w:t>
            </w:r>
            <w:r w:rsidR="005A1CAE" w:rsidRPr="005A1CAE">
              <w:rPr>
                <w:noProof/>
                <w:color w:val="000000"/>
                <w:sz w:val="16"/>
              </w:rPr>
              <w:t>del</w:t>
            </w:r>
            <w:r w:rsidRPr="005A1CAE">
              <w:rPr>
                <w:noProof/>
                <w:color w:val="000000"/>
                <w:sz w:val="16"/>
              </w:rPr>
              <w:t>egaturach UE)</w:t>
            </w:r>
          </w:p>
        </w:tc>
        <w:tc>
          <w:tcPr>
            <w:tcW w:w="473" w:type="pct"/>
            <w:tcBorders>
              <w:top w:val="nil"/>
              <w:left w:val="nil"/>
              <w:bottom w:val="single" w:sz="8" w:space="0" w:color="auto"/>
              <w:right w:val="single" w:sz="8" w:space="0" w:color="auto"/>
            </w:tcBorders>
            <w:shd w:val="clear" w:color="000000" w:fill="D9D9D9"/>
            <w:vAlign w:val="center"/>
            <w:hideMark/>
          </w:tcPr>
          <w:p w14:paraId="21B2F93C"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6A102F7D"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09FAAD33"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70D32862"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tcPr>
          <w:p w14:paraId="6FC133E8" w14:textId="77777777" w:rsidR="00836827" w:rsidRPr="005A1CAE" w:rsidRDefault="00836827" w:rsidP="009F612D">
            <w:pPr>
              <w:spacing w:before="0" w:after="0"/>
              <w:jc w:val="center"/>
              <w:rPr>
                <w:noProof/>
                <w:color w:val="000000"/>
                <w:sz w:val="16"/>
                <w:szCs w:val="16"/>
                <w:lang w:eastAsia="en-IE"/>
              </w:rPr>
            </w:pPr>
          </w:p>
        </w:tc>
      </w:tr>
      <w:tr w:rsidR="00836827" w:rsidRPr="005A1CAE" w14:paraId="42867413" w14:textId="77777777" w:rsidTr="00836827">
        <w:trPr>
          <w:trHeight w:val="300"/>
        </w:trPr>
        <w:tc>
          <w:tcPr>
            <w:tcW w:w="735" w:type="pct"/>
            <w:vMerge w:val="restart"/>
            <w:tcBorders>
              <w:top w:val="nil"/>
              <w:left w:val="single" w:sz="8" w:space="0" w:color="auto"/>
              <w:bottom w:val="single" w:sz="8" w:space="0" w:color="auto"/>
              <w:right w:val="single" w:sz="8" w:space="0" w:color="auto"/>
            </w:tcBorders>
            <w:vAlign w:val="center"/>
            <w:hideMark/>
          </w:tcPr>
          <w:p w14:paraId="7D23D13E" w14:textId="77777777" w:rsidR="00836827" w:rsidRPr="005A1CAE" w:rsidRDefault="00836827" w:rsidP="009F612D">
            <w:pPr>
              <w:spacing w:before="0" w:after="0"/>
              <w:jc w:val="center"/>
              <w:rPr>
                <w:noProof/>
                <w:color w:val="000000"/>
                <w:sz w:val="16"/>
                <w:szCs w:val="16"/>
              </w:rPr>
            </w:pPr>
            <w:r w:rsidRPr="005A1CAE">
              <w:rPr>
                <w:noProof/>
                <w:color w:val="000000"/>
                <w:sz w:val="16"/>
              </w:rPr>
              <w:t>Linia budżetowa na wsparcie adm.</w:t>
            </w:r>
            <w:r w:rsidRPr="005A1CAE">
              <w:rPr>
                <w:noProof/>
              </w:rPr>
              <w:t xml:space="preserve"> </w:t>
            </w:r>
            <w:r w:rsidRPr="005A1CAE">
              <w:rPr>
                <w:noProof/>
              </w:rPr>
              <w:br/>
            </w:r>
            <w:r w:rsidRPr="005A1CAE">
              <w:rPr>
                <w:noProof/>
                <w:color w:val="000000"/>
                <w:sz w:val="16"/>
              </w:rPr>
              <w:t>[XX.01.YY.YY]</w:t>
            </w:r>
          </w:p>
        </w:tc>
        <w:tc>
          <w:tcPr>
            <w:tcW w:w="1903" w:type="pct"/>
            <w:tcBorders>
              <w:top w:val="nil"/>
              <w:left w:val="nil"/>
              <w:bottom w:val="single" w:sz="8" w:space="0" w:color="auto"/>
              <w:right w:val="single" w:sz="8" w:space="0" w:color="auto"/>
            </w:tcBorders>
            <w:vAlign w:val="center"/>
            <w:hideMark/>
          </w:tcPr>
          <w:p w14:paraId="621F41D7" w14:textId="247D396D"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t>-</w:t>
            </w:r>
            <w:r w:rsidR="005A1CAE" w:rsidRPr="005A1CAE">
              <w:rPr>
                <w:noProof/>
                <w:color w:val="000000"/>
                <w:sz w:val="16"/>
              </w:rPr>
              <w:t xml:space="preserve"> w</w:t>
            </w:r>
            <w:r w:rsidR="005A1CAE">
              <w:rPr>
                <w:noProof/>
                <w:color w:val="000000"/>
                <w:sz w:val="16"/>
              </w:rPr>
              <w:t> </w:t>
            </w:r>
            <w:r w:rsidR="005A1CAE" w:rsidRPr="005A1CAE">
              <w:rPr>
                <w:noProof/>
                <w:color w:val="000000"/>
                <w:sz w:val="16"/>
              </w:rPr>
              <w:t>cen</w:t>
            </w:r>
            <w:r w:rsidRPr="005A1CAE">
              <w:rPr>
                <w:noProof/>
                <w:color w:val="000000"/>
                <w:sz w:val="16"/>
              </w:rPr>
              <w:t>trali</w:t>
            </w:r>
          </w:p>
        </w:tc>
        <w:tc>
          <w:tcPr>
            <w:tcW w:w="473" w:type="pct"/>
            <w:tcBorders>
              <w:top w:val="nil"/>
              <w:left w:val="nil"/>
              <w:bottom w:val="single" w:sz="8" w:space="0" w:color="auto"/>
              <w:right w:val="single" w:sz="8" w:space="0" w:color="auto"/>
            </w:tcBorders>
            <w:shd w:val="clear" w:color="000000" w:fill="D9D9D9"/>
            <w:vAlign w:val="center"/>
            <w:hideMark/>
          </w:tcPr>
          <w:p w14:paraId="642DBAEE"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496936E5"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646BC163"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14E6D6C6"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tcPr>
          <w:p w14:paraId="76CA1B4E" w14:textId="77777777" w:rsidR="00836827" w:rsidRPr="005A1CAE" w:rsidRDefault="00836827" w:rsidP="009F612D">
            <w:pPr>
              <w:spacing w:before="0" w:after="0"/>
              <w:jc w:val="center"/>
              <w:rPr>
                <w:noProof/>
                <w:color w:val="000000"/>
                <w:sz w:val="16"/>
                <w:szCs w:val="16"/>
                <w:lang w:eastAsia="en-IE"/>
              </w:rPr>
            </w:pPr>
          </w:p>
        </w:tc>
      </w:tr>
      <w:tr w:rsidR="00836827" w:rsidRPr="005A1CAE" w14:paraId="53D16CFE" w14:textId="77777777" w:rsidTr="00836827">
        <w:trPr>
          <w:trHeight w:val="300"/>
        </w:trPr>
        <w:tc>
          <w:tcPr>
            <w:tcW w:w="735" w:type="pct"/>
            <w:vMerge/>
            <w:tcBorders>
              <w:top w:val="nil"/>
              <w:left w:val="single" w:sz="8" w:space="0" w:color="auto"/>
              <w:bottom w:val="single" w:sz="8" w:space="0" w:color="auto"/>
              <w:right w:val="single" w:sz="8" w:space="0" w:color="auto"/>
            </w:tcBorders>
            <w:vAlign w:val="center"/>
            <w:hideMark/>
          </w:tcPr>
          <w:p w14:paraId="3B1FD6BE" w14:textId="77777777" w:rsidR="00836827" w:rsidRPr="005A1CAE" w:rsidRDefault="00836827" w:rsidP="009F612D">
            <w:pPr>
              <w:spacing w:before="0" w:after="0"/>
              <w:jc w:val="left"/>
              <w:rPr>
                <w:noProof/>
                <w:color w:val="000000"/>
                <w:sz w:val="16"/>
                <w:szCs w:val="16"/>
                <w:lang w:eastAsia="en-IE"/>
              </w:rPr>
            </w:pPr>
          </w:p>
        </w:tc>
        <w:tc>
          <w:tcPr>
            <w:tcW w:w="1903" w:type="pct"/>
            <w:tcBorders>
              <w:top w:val="nil"/>
              <w:left w:val="nil"/>
              <w:bottom w:val="single" w:sz="8" w:space="0" w:color="auto"/>
              <w:right w:val="single" w:sz="8" w:space="0" w:color="auto"/>
            </w:tcBorders>
            <w:vAlign w:val="center"/>
            <w:hideMark/>
          </w:tcPr>
          <w:p w14:paraId="4F7E08B2" w14:textId="77063076"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t>-</w:t>
            </w:r>
            <w:r w:rsidR="005A1CAE" w:rsidRPr="005A1CAE">
              <w:rPr>
                <w:noProof/>
                <w:color w:val="000000"/>
                <w:sz w:val="16"/>
              </w:rPr>
              <w:t xml:space="preserve"> w</w:t>
            </w:r>
            <w:r w:rsidR="005A1CAE">
              <w:rPr>
                <w:noProof/>
                <w:color w:val="000000"/>
                <w:sz w:val="16"/>
              </w:rPr>
              <w:t> </w:t>
            </w:r>
            <w:r w:rsidR="005A1CAE" w:rsidRPr="005A1CAE">
              <w:rPr>
                <w:noProof/>
                <w:color w:val="000000"/>
                <w:sz w:val="16"/>
              </w:rPr>
              <w:t>del</w:t>
            </w:r>
            <w:r w:rsidRPr="005A1CAE">
              <w:rPr>
                <w:noProof/>
                <w:color w:val="000000"/>
                <w:sz w:val="16"/>
              </w:rPr>
              <w:t xml:space="preserve">egaturach UE </w:t>
            </w:r>
          </w:p>
        </w:tc>
        <w:tc>
          <w:tcPr>
            <w:tcW w:w="473" w:type="pct"/>
            <w:tcBorders>
              <w:top w:val="nil"/>
              <w:left w:val="nil"/>
              <w:bottom w:val="single" w:sz="8" w:space="0" w:color="auto"/>
              <w:right w:val="single" w:sz="8" w:space="0" w:color="auto"/>
            </w:tcBorders>
            <w:shd w:val="clear" w:color="000000" w:fill="D9D9D9"/>
            <w:vAlign w:val="center"/>
            <w:hideMark/>
          </w:tcPr>
          <w:p w14:paraId="31206E0E"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442ADD50"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3B7911D1"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2EAD4AE8"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tcPr>
          <w:p w14:paraId="491F60CD" w14:textId="77777777" w:rsidR="00836827" w:rsidRPr="005A1CAE" w:rsidRDefault="00836827" w:rsidP="009F612D">
            <w:pPr>
              <w:spacing w:before="0" w:after="0"/>
              <w:jc w:val="center"/>
              <w:rPr>
                <w:noProof/>
                <w:color w:val="000000"/>
                <w:sz w:val="16"/>
                <w:szCs w:val="16"/>
                <w:lang w:eastAsia="en-IE"/>
              </w:rPr>
            </w:pPr>
          </w:p>
        </w:tc>
      </w:tr>
      <w:tr w:rsidR="00836827" w:rsidRPr="005A1CAE" w14:paraId="030F284D" w14:textId="77777777" w:rsidTr="00836827">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244F21EB" w14:textId="77777777"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t>01 01 01 02</w:t>
            </w:r>
            <w:r w:rsidRPr="005A1CAE">
              <w:rPr>
                <w:rFonts w:ascii="Arial Narrow" w:hAnsi="Arial Narrow"/>
                <w:noProof/>
                <w:color w:val="000000"/>
                <w:sz w:val="20"/>
              </w:rPr>
              <w:t xml:space="preserve"> </w:t>
            </w:r>
            <w:r w:rsidRPr="005A1CAE">
              <w:rPr>
                <w:noProof/>
                <w:color w:val="000000"/>
                <w:sz w:val="16"/>
              </w:rPr>
              <w:t>(CA, SNE – pośrednie badania naukowe)</w:t>
            </w:r>
          </w:p>
        </w:tc>
        <w:tc>
          <w:tcPr>
            <w:tcW w:w="473" w:type="pct"/>
            <w:tcBorders>
              <w:top w:val="nil"/>
              <w:left w:val="nil"/>
              <w:bottom w:val="single" w:sz="8" w:space="0" w:color="auto"/>
              <w:right w:val="single" w:sz="8" w:space="0" w:color="auto"/>
            </w:tcBorders>
            <w:shd w:val="clear" w:color="000000" w:fill="D9D9D9"/>
            <w:vAlign w:val="center"/>
            <w:hideMark/>
          </w:tcPr>
          <w:p w14:paraId="0AD4FF74"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2858B8C5"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6EB516CF"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3438FAB6"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tcPr>
          <w:p w14:paraId="08F6E72C" w14:textId="77777777" w:rsidR="00836827" w:rsidRPr="005A1CAE" w:rsidRDefault="00836827" w:rsidP="009F612D">
            <w:pPr>
              <w:spacing w:before="0" w:after="0"/>
              <w:jc w:val="center"/>
              <w:rPr>
                <w:noProof/>
                <w:color w:val="000000"/>
                <w:sz w:val="16"/>
                <w:szCs w:val="16"/>
                <w:lang w:eastAsia="en-IE"/>
              </w:rPr>
            </w:pPr>
          </w:p>
        </w:tc>
      </w:tr>
      <w:tr w:rsidR="00836827" w:rsidRPr="005A1CAE" w14:paraId="7F409236" w14:textId="77777777" w:rsidTr="00836827">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7789D6FB" w14:textId="77777777"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t xml:space="preserve"> 01 01 01 12 (CA, SNE – bezpośrednie badania naukowe)</w:t>
            </w:r>
          </w:p>
        </w:tc>
        <w:tc>
          <w:tcPr>
            <w:tcW w:w="473" w:type="pct"/>
            <w:tcBorders>
              <w:top w:val="nil"/>
              <w:left w:val="nil"/>
              <w:bottom w:val="single" w:sz="8" w:space="0" w:color="auto"/>
              <w:right w:val="single" w:sz="8" w:space="0" w:color="auto"/>
            </w:tcBorders>
            <w:shd w:val="clear" w:color="000000" w:fill="D9D9D9"/>
            <w:vAlign w:val="center"/>
            <w:hideMark/>
          </w:tcPr>
          <w:p w14:paraId="7E094030"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43F05CA9"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771F9688"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11DEE921"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tcPr>
          <w:p w14:paraId="2FA24512" w14:textId="77777777" w:rsidR="00836827" w:rsidRPr="005A1CAE" w:rsidRDefault="00836827" w:rsidP="009F612D">
            <w:pPr>
              <w:spacing w:before="0" w:after="0"/>
              <w:jc w:val="center"/>
              <w:rPr>
                <w:noProof/>
                <w:color w:val="000000"/>
                <w:sz w:val="16"/>
                <w:szCs w:val="16"/>
                <w:lang w:eastAsia="en-IE"/>
              </w:rPr>
            </w:pPr>
          </w:p>
        </w:tc>
      </w:tr>
      <w:tr w:rsidR="00836827" w:rsidRPr="005A1CAE" w14:paraId="13357A19" w14:textId="77777777" w:rsidTr="00836827">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6B36172D" w14:textId="77777777"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t>Inna linia budżetowa (określić) – dział 7</w:t>
            </w:r>
          </w:p>
        </w:tc>
        <w:tc>
          <w:tcPr>
            <w:tcW w:w="473" w:type="pct"/>
            <w:tcBorders>
              <w:top w:val="nil"/>
              <w:left w:val="nil"/>
              <w:bottom w:val="single" w:sz="8" w:space="0" w:color="auto"/>
              <w:right w:val="single" w:sz="8" w:space="0" w:color="auto"/>
            </w:tcBorders>
            <w:shd w:val="clear" w:color="000000" w:fill="D9D9D9"/>
            <w:vAlign w:val="center"/>
            <w:hideMark/>
          </w:tcPr>
          <w:p w14:paraId="15241967"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24EF483B"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0AB2C1AC"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06BCACD8"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tcPr>
          <w:p w14:paraId="0F3F8747" w14:textId="77777777" w:rsidR="00836827" w:rsidRPr="005A1CAE" w:rsidRDefault="00836827" w:rsidP="009F612D">
            <w:pPr>
              <w:spacing w:before="0" w:after="0"/>
              <w:jc w:val="center"/>
              <w:rPr>
                <w:noProof/>
                <w:color w:val="000000"/>
                <w:sz w:val="16"/>
                <w:szCs w:val="16"/>
                <w:lang w:eastAsia="en-IE"/>
              </w:rPr>
            </w:pPr>
          </w:p>
        </w:tc>
      </w:tr>
      <w:tr w:rsidR="00836827" w:rsidRPr="005A1CAE" w14:paraId="5A35F604" w14:textId="77777777" w:rsidTr="00836827">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0599D99E" w14:textId="77777777" w:rsidR="00836827" w:rsidRPr="005A1CAE" w:rsidRDefault="00836827" w:rsidP="009F612D">
            <w:pPr>
              <w:spacing w:before="0" w:after="0"/>
              <w:ind w:firstLineChars="100" w:firstLine="160"/>
              <w:jc w:val="left"/>
              <w:rPr>
                <w:noProof/>
                <w:color w:val="000000"/>
                <w:sz w:val="16"/>
                <w:szCs w:val="16"/>
              </w:rPr>
            </w:pPr>
            <w:r w:rsidRPr="005A1CAE">
              <w:rPr>
                <w:noProof/>
                <w:color w:val="000000"/>
                <w:sz w:val="16"/>
              </w:rPr>
              <w:t>Inna linia budżetowa (określić) – poza działem 7</w:t>
            </w:r>
          </w:p>
        </w:tc>
        <w:tc>
          <w:tcPr>
            <w:tcW w:w="473" w:type="pct"/>
            <w:tcBorders>
              <w:top w:val="nil"/>
              <w:left w:val="nil"/>
              <w:bottom w:val="single" w:sz="8" w:space="0" w:color="auto"/>
              <w:right w:val="single" w:sz="8" w:space="0" w:color="auto"/>
            </w:tcBorders>
            <w:shd w:val="clear" w:color="000000" w:fill="D9D9D9"/>
            <w:vAlign w:val="center"/>
            <w:hideMark/>
          </w:tcPr>
          <w:p w14:paraId="7A3E2F47"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3EA8AF6E"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3" w:type="pct"/>
            <w:tcBorders>
              <w:top w:val="nil"/>
              <w:left w:val="nil"/>
              <w:bottom w:val="single" w:sz="8" w:space="0" w:color="auto"/>
              <w:right w:val="single" w:sz="8" w:space="0" w:color="auto"/>
            </w:tcBorders>
            <w:shd w:val="clear" w:color="000000" w:fill="D9D9D9"/>
            <w:vAlign w:val="center"/>
            <w:hideMark/>
          </w:tcPr>
          <w:p w14:paraId="685ED385"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2" w:type="pct"/>
            <w:tcBorders>
              <w:top w:val="nil"/>
              <w:left w:val="nil"/>
              <w:bottom w:val="single" w:sz="8" w:space="0" w:color="auto"/>
              <w:right w:val="single" w:sz="8" w:space="0" w:color="auto"/>
            </w:tcBorders>
            <w:shd w:val="clear" w:color="000000" w:fill="D9D9D9"/>
            <w:vAlign w:val="center"/>
            <w:hideMark/>
          </w:tcPr>
          <w:p w14:paraId="18E576E0" w14:textId="77777777" w:rsidR="00836827" w:rsidRPr="005A1CAE" w:rsidRDefault="00836827" w:rsidP="009F612D">
            <w:pPr>
              <w:spacing w:before="0" w:after="0"/>
              <w:jc w:val="center"/>
              <w:rPr>
                <w:noProof/>
                <w:color w:val="000000"/>
                <w:sz w:val="16"/>
                <w:szCs w:val="16"/>
              </w:rPr>
            </w:pPr>
            <w:r w:rsidRPr="005A1CAE">
              <w:rPr>
                <w:noProof/>
                <w:color w:val="000000"/>
                <w:sz w:val="16"/>
              </w:rPr>
              <w:t>0</w:t>
            </w:r>
          </w:p>
        </w:tc>
        <w:tc>
          <w:tcPr>
            <w:tcW w:w="471" w:type="pct"/>
            <w:tcBorders>
              <w:top w:val="nil"/>
              <w:left w:val="nil"/>
              <w:bottom w:val="single" w:sz="8" w:space="0" w:color="auto"/>
              <w:right w:val="single" w:sz="8" w:space="0" w:color="auto"/>
            </w:tcBorders>
            <w:shd w:val="clear" w:color="000000" w:fill="D9D9D9"/>
          </w:tcPr>
          <w:p w14:paraId="360E35E2" w14:textId="77777777" w:rsidR="00836827" w:rsidRPr="005A1CAE" w:rsidRDefault="00836827" w:rsidP="009F612D">
            <w:pPr>
              <w:spacing w:before="0" w:after="0"/>
              <w:jc w:val="center"/>
              <w:rPr>
                <w:noProof/>
                <w:color w:val="000000"/>
                <w:sz w:val="16"/>
                <w:szCs w:val="16"/>
                <w:lang w:eastAsia="en-IE"/>
              </w:rPr>
            </w:pPr>
          </w:p>
        </w:tc>
      </w:tr>
      <w:tr w:rsidR="00836827" w:rsidRPr="005A1CAE" w14:paraId="0A4CA02E" w14:textId="77777777">
        <w:trPr>
          <w:trHeight w:val="300"/>
        </w:trPr>
        <w:tc>
          <w:tcPr>
            <w:tcW w:w="2638" w:type="pct"/>
            <w:gridSpan w:val="2"/>
            <w:tcBorders>
              <w:top w:val="single" w:sz="8" w:space="0" w:color="auto"/>
              <w:left w:val="single" w:sz="8" w:space="0" w:color="auto"/>
              <w:bottom w:val="single" w:sz="8" w:space="0" w:color="auto"/>
              <w:right w:val="single" w:sz="8" w:space="0" w:color="auto"/>
            </w:tcBorders>
            <w:vAlign w:val="center"/>
            <w:hideMark/>
          </w:tcPr>
          <w:p w14:paraId="632BEC44" w14:textId="77777777" w:rsidR="00836827" w:rsidRPr="005A1CAE" w:rsidRDefault="00836827" w:rsidP="00836827">
            <w:pPr>
              <w:spacing w:before="0" w:after="0"/>
              <w:ind w:firstLineChars="100" w:firstLine="160"/>
              <w:jc w:val="left"/>
              <w:rPr>
                <w:b/>
                <w:bCs/>
                <w:noProof/>
                <w:color w:val="000000"/>
                <w:sz w:val="16"/>
                <w:szCs w:val="16"/>
              </w:rPr>
            </w:pPr>
            <w:r w:rsidRPr="005A1CAE">
              <w:rPr>
                <w:b/>
                <w:noProof/>
                <w:color w:val="000000"/>
                <w:sz w:val="16"/>
              </w:rPr>
              <w:t>OGÓŁEM</w:t>
            </w:r>
          </w:p>
        </w:tc>
        <w:tc>
          <w:tcPr>
            <w:tcW w:w="473" w:type="pct"/>
            <w:tcBorders>
              <w:top w:val="nil"/>
              <w:left w:val="nil"/>
              <w:bottom w:val="single" w:sz="8" w:space="0" w:color="auto"/>
              <w:right w:val="single" w:sz="8" w:space="0" w:color="auto"/>
            </w:tcBorders>
            <w:shd w:val="clear" w:color="000000" w:fill="D9D9D9"/>
            <w:vAlign w:val="center"/>
            <w:hideMark/>
          </w:tcPr>
          <w:p w14:paraId="2713CD5D" w14:textId="77777777" w:rsidR="00836827" w:rsidRPr="005A1CAE" w:rsidRDefault="00836827" w:rsidP="00836827">
            <w:pPr>
              <w:spacing w:before="0" w:after="0"/>
              <w:jc w:val="center"/>
              <w:rPr>
                <w:b/>
                <w:bCs/>
                <w:noProof/>
                <w:color w:val="000000"/>
                <w:sz w:val="16"/>
                <w:szCs w:val="16"/>
              </w:rPr>
            </w:pPr>
            <w:r w:rsidRPr="005A1CAE">
              <w:rPr>
                <w:b/>
                <w:noProof/>
                <w:sz w:val="16"/>
              </w:rPr>
              <w:t>33</w:t>
            </w:r>
          </w:p>
        </w:tc>
        <w:tc>
          <w:tcPr>
            <w:tcW w:w="473" w:type="pct"/>
            <w:tcBorders>
              <w:top w:val="nil"/>
              <w:left w:val="nil"/>
              <w:bottom w:val="single" w:sz="8" w:space="0" w:color="auto"/>
              <w:right w:val="single" w:sz="8" w:space="0" w:color="auto"/>
            </w:tcBorders>
            <w:shd w:val="clear" w:color="000000" w:fill="D9D9D9"/>
            <w:vAlign w:val="center"/>
            <w:hideMark/>
          </w:tcPr>
          <w:p w14:paraId="3DBA2866" w14:textId="77777777" w:rsidR="00836827" w:rsidRPr="005A1CAE" w:rsidRDefault="00836827" w:rsidP="00836827">
            <w:pPr>
              <w:spacing w:before="0" w:after="0"/>
              <w:jc w:val="center"/>
              <w:rPr>
                <w:b/>
                <w:bCs/>
                <w:noProof/>
                <w:color w:val="000000"/>
                <w:sz w:val="16"/>
                <w:szCs w:val="16"/>
              </w:rPr>
            </w:pPr>
            <w:r w:rsidRPr="005A1CAE">
              <w:rPr>
                <w:b/>
                <w:noProof/>
                <w:sz w:val="16"/>
              </w:rPr>
              <w:t>44</w:t>
            </w:r>
          </w:p>
        </w:tc>
        <w:tc>
          <w:tcPr>
            <w:tcW w:w="473" w:type="pct"/>
            <w:tcBorders>
              <w:top w:val="nil"/>
              <w:left w:val="nil"/>
              <w:bottom w:val="single" w:sz="8" w:space="0" w:color="auto"/>
              <w:right w:val="single" w:sz="8" w:space="0" w:color="auto"/>
            </w:tcBorders>
            <w:shd w:val="clear" w:color="000000" w:fill="D9D9D9"/>
            <w:vAlign w:val="center"/>
            <w:hideMark/>
          </w:tcPr>
          <w:p w14:paraId="29ACB310" w14:textId="77777777" w:rsidR="00836827" w:rsidRPr="005A1CAE" w:rsidRDefault="00836827" w:rsidP="00836827">
            <w:pPr>
              <w:spacing w:before="0" w:after="0"/>
              <w:jc w:val="center"/>
              <w:rPr>
                <w:b/>
                <w:bCs/>
                <w:noProof/>
                <w:color w:val="000000"/>
                <w:sz w:val="16"/>
                <w:szCs w:val="16"/>
              </w:rPr>
            </w:pPr>
            <w:r w:rsidRPr="005A1CAE">
              <w:rPr>
                <w:b/>
                <w:noProof/>
                <w:sz w:val="16"/>
              </w:rPr>
              <w:t>65</w:t>
            </w:r>
          </w:p>
        </w:tc>
        <w:tc>
          <w:tcPr>
            <w:tcW w:w="472" w:type="pct"/>
            <w:tcBorders>
              <w:top w:val="nil"/>
              <w:left w:val="nil"/>
              <w:bottom w:val="single" w:sz="8" w:space="0" w:color="auto"/>
              <w:right w:val="single" w:sz="8" w:space="0" w:color="auto"/>
            </w:tcBorders>
            <w:shd w:val="clear" w:color="000000" w:fill="D9D9D9"/>
            <w:vAlign w:val="center"/>
            <w:hideMark/>
          </w:tcPr>
          <w:p w14:paraId="615E36C4" w14:textId="77777777" w:rsidR="00836827" w:rsidRPr="005A1CAE" w:rsidRDefault="00347BA1" w:rsidP="00836827">
            <w:pPr>
              <w:spacing w:before="0" w:after="0"/>
              <w:jc w:val="center"/>
              <w:rPr>
                <w:b/>
                <w:bCs/>
                <w:noProof/>
                <w:color w:val="000000"/>
                <w:sz w:val="16"/>
                <w:szCs w:val="16"/>
              </w:rPr>
            </w:pPr>
            <w:r w:rsidRPr="005A1CAE">
              <w:rPr>
                <w:b/>
                <w:noProof/>
                <w:sz w:val="16"/>
              </w:rPr>
              <w:t>90</w:t>
            </w:r>
          </w:p>
        </w:tc>
        <w:tc>
          <w:tcPr>
            <w:tcW w:w="471" w:type="pct"/>
            <w:tcBorders>
              <w:top w:val="nil"/>
              <w:left w:val="nil"/>
              <w:bottom w:val="single" w:sz="8" w:space="0" w:color="auto"/>
              <w:right w:val="single" w:sz="8" w:space="0" w:color="auto"/>
            </w:tcBorders>
            <w:shd w:val="clear" w:color="000000" w:fill="D9D9D9"/>
            <w:vAlign w:val="center"/>
          </w:tcPr>
          <w:p w14:paraId="7667E1C1" w14:textId="46E89CC0" w:rsidR="00836827" w:rsidRPr="005A1CAE" w:rsidRDefault="001910EA" w:rsidP="00836827">
            <w:pPr>
              <w:spacing w:before="0" w:after="0"/>
              <w:jc w:val="center"/>
              <w:rPr>
                <w:b/>
                <w:bCs/>
                <w:noProof/>
                <w:color w:val="000000"/>
                <w:sz w:val="16"/>
                <w:szCs w:val="16"/>
              </w:rPr>
            </w:pPr>
            <w:r w:rsidRPr="005A1CAE">
              <w:rPr>
                <w:b/>
                <w:noProof/>
                <w:sz w:val="16"/>
              </w:rPr>
              <w:t>90 razy</w:t>
            </w:r>
            <w:r w:rsidR="005A1CAE" w:rsidRPr="005A1CAE">
              <w:rPr>
                <w:b/>
                <w:noProof/>
                <w:sz w:val="16"/>
              </w:rPr>
              <w:t xml:space="preserve"> w</w:t>
            </w:r>
            <w:r w:rsidR="005A1CAE">
              <w:rPr>
                <w:b/>
                <w:noProof/>
                <w:sz w:val="16"/>
              </w:rPr>
              <w:t> </w:t>
            </w:r>
            <w:r w:rsidR="005A1CAE" w:rsidRPr="005A1CAE">
              <w:rPr>
                <w:b/>
                <w:noProof/>
                <w:sz w:val="16"/>
              </w:rPr>
              <w:t>rok</w:t>
            </w:r>
            <w:r w:rsidRPr="005A1CAE">
              <w:rPr>
                <w:b/>
                <w:noProof/>
                <w:sz w:val="16"/>
              </w:rPr>
              <w:t>u</w:t>
            </w:r>
          </w:p>
        </w:tc>
      </w:tr>
    </w:tbl>
    <w:p w14:paraId="38A9A9F3" w14:textId="77777777" w:rsidR="00D0690F" w:rsidRPr="005A1CAE" w:rsidRDefault="00D0690F" w:rsidP="00836827">
      <w:pPr>
        <w:ind w:left="-426" w:right="-427"/>
        <w:rPr>
          <w:noProof/>
          <w:color w:val="000000" w:themeColor="text1"/>
        </w:rPr>
      </w:pPr>
      <w:bookmarkStart w:id="161" w:name="_Hlk167692843"/>
      <w:bookmarkEnd w:id="160"/>
      <w:r w:rsidRPr="005A1CAE">
        <w:rPr>
          <w:noProof/>
          <w:color w:val="000000" w:themeColor="text1"/>
        </w:rPr>
        <w:t xml:space="preserve">Personel niezbędny do wdrożenia wniosku (w EPC): </w:t>
      </w:r>
    </w:p>
    <w:tbl>
      <w:tblPr>
        <w:tblStyle w:val="Tabela-Siatka"/>
        <w:tblW w:w="9487" w:type="dxa"/>
        <w:tblInd w:w="-426" w:type="dxa"/>
        <w:tblLook w:val="04A0" w:firstRow="1" w:lastRow="0" w:firstColumn="1" w:lastColumn="0" w:noHBand="0" w:noVBand="1"/>
      </w:tblPr>
      <w:tblGrid>
        <w:gridCol w:w="1845"/>
        <w:gridCol w:w="2031"/>
        <w:gridCol w:w="1925"/>
        <w:gridCol w:w="1938"/>
        <w:gridCol w:w="1748"/>
      </w:tblGrid>
      <w:tr w:rsidR="00D0690F" w:rsidRPr="005A1CAE" w14:paraId="5E9F25C6" w14:textId="77777777" w:rsidTr="000362CB">
        <w:trPr>
          <w:trHeight w:val="300"/>
        </w:trPr>
        <w:tc>
          <w:tcPr>
            <w:tcW w:w="1845" w:type="dxa"/>
          </w:tcPr>
          <w:p w14:paraId="5FE9B3AE" w14:textId="77777777" w:rsidR="00D0690F" w:rsidRPr="005A1CAE" w:rsidRDefault="00D0690F" w:rsidP="009F612D">
            <w:pPr>
              <w:pStyle w:val="Text1"/>
              <w:ind w:left="0"/>
              <w:jc w:val="center"/>
              <w:rPr>
                <w:b/>
                <w:bCs/>
                <w:noProof/>
                <w:sz w:val="22"/>
                <w:szCs w:val="28"/>
              </w:rPr>
            </w:pPr>
          </w:p>
        </w:tc>
        <w:tc>
          <w:tcPr>
            <w:tcW w:w="2031" w:type="dxa"/>
          </w:tcPr>
          <w:p w14:paraId="239F0356" w14:textId="1658A98A" w:rsidR="00D0690F" w:rsidRPr="005A1CAE" w:rsidRDefault="00D0690F" w:rsidP="009F612D">
            <w:pPr>
              <w:pStyle w:val="Text1"/>
              <w:ind w:left="0"/>
              <w:jc w:val="center"/>
              <w:rPr>
                <w:b/>
                <w:bCs/>
                <w:noProof/>
                <w:sz w:val="22"/>
              </w:rPr>
            </w:pPr>
            <w:r w:rsidRPr="005A1CAE">
              <w:rPr>
                <w:b/>
                <w:noProof/>
                <w:sz w:val="22"/>
              </w:rPr>
              <w:t>Personel już pracujący</w:t>
            </w:r>
            <w:r w:rsidR="005A1CAE" w:rsidRPr="005A1CAE">
              <w:rPr>
                <w:b/>
                <w:noProof/>
                <w:sz w:val="22"/>
              </w:rPr>
              <w:t xml:space="preserve"> w</w:t>
            </w:r>
            <w:r w:rsidR="005A1CAE">
              <w:rPr>
                <w:b/>
                <w:noProof/>
                <w:sz w:val="22"/>
              </w:rPr>
              <w:t> </w:t>
            </w:r>
            <w:r w:rsidR="005A1CAE" w:rsidRPr="005A1CAE">
              <w:rPr>
                <w:b/>
                <w:noProof/>
                <w:sz w:val="22"/>
              </w:rPr>
              <w:t>słu</w:t>
            </w:r>
            <w:r w:rsidRPr="005A1CAE">
              <w:rPr>
                <w:b/>
                <w:noProof/>
                <w:sz w:val="22"/>
              </w:rPr>
              <w:t xml:space="preserve">żbach Komisji </w:t>
            </w:r>
          </w:p>
        </w:tc>
        <w:tc>
          <w:tcPr>
            <w:tcW w:w="5611" w:type="dxa"/>
            <w:gridSpan w:val="3"/>
          </w:tcPr>
          <w:p w14:paraId="264FCE04" w14:textId="77777777" w:rsidR="00D0690F" w:rsidRPr="005A1CAE" w:rsidRDefault="00D0690F" w:rsidP="009F612D">
            <w:pPr>
              <w:pStyle w:val="Text1"/>
              <w:ind w:left="0"/>
              <w:jc w:val="center"/>
              <w:rPr>
                <w:b/>
                <w:bCs/>
                <w:noProof/>
                <w:sz w:val="22"/>
              </w:rPr>
            </w:pPr>
            <w:r w:rsidRPr="005A1CAE">
              <w:rPr>
                <w:b/>
                <w:noProof/>
                <w:sz w:val="22"/>
              </w:rPr>
              <w:t>Personel dodatkowy*</w:t>
            </w:r>
          </w:p>
        </w:tc>
      </w:tr>
      <w:tr w:rsidR="00D0690F" w:rsidRPr="005A1CAE" w14:paraId="487C373A" w14:textId="77777777" w:rsidTr="000362CB">
        <w:trPr>
          <w:trHeight w:val="300"/>
        </w:trPr>
        <w:tc>
          <w:tcPr>
            <w:tcW w:w="1845" w:type="dxa"/>
          </w:tcPr>
          <w:p w14:paraId="1A791139" w14:textId="77777777" w:rsidR="00D0690F" w:rsidRPr="005A1CAE" w:rsidRDefault="00D0690F" w:rsidP="009F612D">
            <w:pPr>
              <w:pStyle w:val="Text1"/>
              <w:ind w:left="0"/>
              <w:jc w:val="center"/>
              <w:rPr>
                <w:b/>
                <w:bCs/>
                <w:noProof/>
                <w:sz w:val="22"/>
                <w:szCs w:val="28"/>
              </w:rPr>
            </w:pPr>
          </w:p>
        </w:tc>
        <w:tc>
          <w:tcPr>
            <w:tcW w:w="2031" w:type="dxa"/>
          </w:tcPr>
          <w:p w14:paraId="31966796" w14:textId="77777777" w:rsidR="00D0690F" w:rsidRPr="005A1CAE" w:rsidRDefault="00D0690F" w:rsidP="009F612D">
            <w:pPr>
              <w:pStyle w:val="Text1"/>
              <w:ind w:left="0"/>
              <w:jc w:val="center"/>
              <w:rPr>
                <w:b/>
                <w:bCs/>
                <w:noProof/>
                <w:sz w:val="22"/>
                <w:szCs w:val="28"/>
              </w:rPr>
            </w:pPr>
          </w:p>
        </w:tc>
        <w:tc>
          <w:tcPr>
            <w:tcW w:w="1925" w:type="dxa"/>
          </w:tcPr>
          <w:p w14:paraId="7210C1F3" w14:textId="381F1B5F" w:rsidR="00D0690F" w:rsidRPr="005A1CAE" w:rsidRDefault="00D0690F" w:rsidP="009F612D">
            <w:pPr>
              <w:pStyle w:val="Text1"/>
              <w:ind w:left="0"/>
              <w:jc w:val="center"/>
              <w:rPr>
                <w:b/>
                <w:bCs/>
                <w:noProof/>
                <w:sz w:val="22"/>
              </w:rPr>
            </w:pPr>
            <w:r w:rsidRPr="005A1CAE">
              <w:rPr>
                <w:b/>
                <w:noProof/>
                <w:sz w:val="22"/>
              </w:rPr>
              <w:t>Finansowany</w:t>
            </w:r>
            <w:r w:rsidR="005A1CAE" w:rsidRPr="005A1CAE">
              <w:rPr>
                <w:b/>
                <w:noProof/>
                <w:sz w:val="22"/>
              </w:rPr>
              <w:t xml:space="preserve"> z</w:t>
            </w:r>
            <w:r w:rsidR="005A1CAE">
              <w:rPr>
                <w:b/>
                <w:noProof/>
                <w:sz w:val="22"/>
              </w:rPr>
              <w:t> </w:t>
            </w:r>
            <w:r w:rsidR="005A1CAE" w:rsidRPr="005A1CAE">
              <w:rPr>
                <w:b/>
                <w:noProof/>
                <w:sz w:val="22"/>
              </w:rPr>
              <w:t>dzi</w:t>
            </w:r>
            <w:r w:rsidRPr="005A1CAE">
              <w:rPr>
                <w:b/>
                <w:noProof/>
                <w:sz w:val="22"/>
              </w:rPr>
              <w:t>ału 7 lub ze środków „Badania naukowe”</w:t>
            </w:r>
          </w:p>
        </w:tc>
        <w:tc>
          <w:tcPr>
            <w:tcW w:w="1938" w:type="dxa"/>
          </w:tcPr>
          <w:p w14:paraId="07ED8D07" w14:textId="6EB9B367" w:rsidR="00D0690F" w:rsidRPr="005A1CAE" w:rsidRDefault="00D0690F" w:rsidP="009F612D">
            <w:pPr>
              <w:pStyle w:val="Text1"/>
              <w:ind w:left="0"/>
              <w:jc w:val="center"/>
              <w:rPr>
                <w:b/>
                <w:bCs/>
                <w:noProof/>
                <w:sz w:val="22"/>
                <w:szCs w:val="28"/>
              </w:rPr>
            </w:pPr>
            <w:r w:rsidRPr="005A1CAE">
              <w:rPr>
                <w:b/>
                <w:noProof/>
                <w:sz w:val="22"/>
              </w:rPr>
              <w:t>Finansowany</w:t>
            </w:r>
            <w:r w:rsidR="005A1CAE" w:rsidRPr="005A1CAE">
              <w:rPr>
                <w:b/>
                <w:noProof/>
                <w:sz w:val="22"/>
              </w:rPr>
              <w:t xml:space="preserve"> z</w:t>
            </w:r>
            <w:r w:rsidR="005A1CAE">
              <w:rPr>
                <w:b/>
                <w:noProof/>
                <w:sz w:val="22"/>
              </w:rPr>
              <w:t> </w:t>
            </w:r>
            <w:r w:rsidR="005A1CAE" w:rsidRPr="005A1CAE">
              <w:rPr>
                <w:b/>
                <w:noProof/>
                <w:sz w:val="22"/>
              </w:rPr>
              <w:t>lin</w:t>
            </w:r>
            <w:r w:rsidRPr="005A1CAE">
              <w:rPr>
                <w:b/>
                <w:noProof/>
                <w:sz w:val="22"/>
              </w:rPr>
              <w:t>ii BA</w:t>
            </w:r>
          </w:p>
        </w:tc>
        <w:tc>
          <w:tcPr>
            <w:tcW w:w="1748" w:type="dxa"/>
          </w:tcPr>
          <w:p w14:paraId="3F4801DC" w14:textId="176BE7DB" w:rsidR="00D0690F" w:rsidRPr="005A1CAE" w:rsidRDefault="00D0690F" w:rsidP="009F612D">
            <w:pPr>
              <w:pStyle w:val="Text1"/>
              <w:ind w:left="0"/>
              <w:jc w:val="center"/>
              <w:rPr>
                <w:b/>
                <w:bCs/>
                <w:noProof/>
                <w:sz w:val="22"/>
                <w:szCs w:val="28"/>
              </w:rPr>
            </w:pPr>
            <w:r w:rsidRPr="005A1CAE">
              <w:rPr>
                <w:b/>
                <w:noProof/>
                <w:sz w:val="22"/>
              </w:rPr>
              <w:t>Finansowany</w:t>
            </w:r>
            <w:r w:rsidR="005A1CAE" w:rsidRPr="005A1CAE">
              <w:rPr>
                <w:b/>
                <w:noProof/>
                <w:sz w:val="22"/>
              </w:rPr>
              <w:t xml:space="preserve"> z</w:t>
            </w:r>
            <w:r w:rsidR="005A1CAE">
              <w:rPr>
                <w:b/>
                <w:noProof/>
                <w:sz w:val="22"/>
              </w:rPr>
              <w:t> </w:t>
            </w:r>
            <w:r w:rsidR="005A1CAE" w:rsidRPr="005A1CAE">
              <w:rPr>
                <w:b/>
                <w:noProof/>
                <w:sz w:val="22"/>
              </w:rPr>
              <w:t>opł</w:t>
            </w:r>
            <w:r w:rsidRPr="005A1CAE">
              <w:rPr>
                <w:b/>
                <w:noProof/>
                <w:sz w:val="22"/>
              </w:rPr>
              <w:t>at</w:t>
            </w:r>
          </w:p>
        </w:tc>
      </w:tr>
      <w:tr w:rsidR="00836827" w:rsidRPr="005A1CAE" w14:paraId="2969DABE" w14:textId="77777777" w:rsidTr="000362CB">
        <w:trPr>
          <w:trHeight w:val="300"/>
        </w:trPr>
        <w:tc>
          <w:tcPr>
            <w:tcW w:w="1845" w:type="dxa"/>
          </w:tcPr>
          <w:p w14:paraId="605F91E5" w14:textId="30B86BC8" w:rsidR="00836827" w:rsidRPr="005A1CAE" w:rsidRDefault="00836827" w:rsidP="00836827">
            <w:pPr>
              <w:pStyle w:val="Text1"/>
              <w:ind w:left="0"/>
              <w:rPr>
                <w:noProof/>
                <w:sz w:val="22"/>
                <w:szCs w:val="28"/>
              </w:rPr>
            </w:pPr>
            <w:r w:rsidRPr="005A1CAE">
              <w:rPr>
                <w:noProof/>
                <w:sz w:val="22"/>
              </w:rPr>
              <w:t>Stanowiska</w:t>
            </w:r>
            <w:r w:rsidR="005A1CAE" w:rsidRPr="005A1CAE">
              <w:rPr>
                <w:noProof/>
                <w:sz w:val="22"/>
              </w:rPr>
              <w:t xml:space="preserve"> w</w:t>
            </w:r>
            <w:r w:rsidR="005A1CAE">
              <w:rPr>
                <w:noProof/>
                <w:sz w:val="22"/>
              </w:rPr>
              <w:t> </w:t>
            </w:r>
            <w:r w:rsidR="005A1CAE" w:rsidRPr="005A1CAE">
              <w:rPr>
                <w:noProof/>
                <w:sz w:val="22"/>
              </w:rPr>
              <w:t>pla</w:t>
            </w:r>
            <w:r w:rsidRPr="005A1CAE">
              <w:rPr>
                <w:noProof/>
                <w:sz w:val="22"/>
              </w:rPr>
              <w:t>nie zatrudnienia</w:t>
            </w:r>
          </w:p>
        </w:tc>
        <w:tc>
          <w:tcPr>
            <w:tcW w:w="2031" w:type="dxa"/>
          </w:tcPr>
          <w:p w14:paraId="4D6CF8A0" w14:textId="77777777" w:rsidR="00836827" w:rsidRPr="005A1CAE" w:rsidRDefault="00836827" w:rsidP="00836827">
            <w:pPr>
              <w:pStyle w:val="Text1"/>
              <w:ind w:left="0"/>
              <w:rPr>
                <w:noProof/>
                <w:sz w:val="22"/>
                <w:szCs w:val="28"/>
              </w:rPr>
            </w:pPr>
            <w:r w:rsidRPr="005A1CAE">
              <w:rPr>
                <w:noProof/>
                <w:sz w:val="22"/>
              </w:rPr>
              <w:t>Nie dotyczy</w:t>
            </w:r>
          </w:p>
        </w:tc>
        <w:tc>
          <w:tcPr>
            <w:tcW w:w="1925" w:type="dxa"/>
          </w:tcPr>
          <w:p w14:paraId="688AE452" w14:textId="77777777" w:rsidR="00836827" w:rsidRPr="005A1CAE" w:rsidRDefault="00836827" w:rsidP="00836827">
            <w:pPr>
              <w:pStyle w:val="Text1"/>
              <w:ind w:left="0"/>
              <w:rPr>
                <w:noProof/>
                <w:sz w:val="22"/>
                <w:szCs w:val="28"/>
              </w:rPr>
            </w:pPr>
            <w:r w:rsidRPr="005A1CAE">
              <w:rPr>
                <w:noProof/>
                <w:sz w:val="22"/>
              </w:rPr>
              <w:t>Nie dotyczy</w:t>
            </w:r>
          </w:p>
        </w:tc>
        <w:tc>
          <w:tcPr>
            <w:tcW w:w="1938" w:type="dxa"/>
          </w:tcPr>
          <w:p w14:paraId="33660198" w14:textId="77777777" w:rsidR="00836827" w:rsidRPr="005A1CAE" w:rsidRDefault="00836827" w:rsidP="00836827">
            <w:pPr>
              <w:pStyle w:val="Text1"/>
              <w:ind w:left="0"/>
              <w:rPr>
                <w:noProof/>
                <w:sz w:val="22"/>
                <w:szCs w:val="28"/>
              </w:rPr>
            </w:pPr>
            <w:r w:rsidRPr="005A1CAE">
              <w:rPr>
                <w:noProof/>
                <w:sz w:val="22"/>
              </w:rPr>
              <w:t>Nie dotyczy</w:t>
            </w:r>
          </w:p>
        </w:tc>
        <w:tc>
          <w:tcPr>
            <w:tcW w:w="1748" w:type="dxa"/>
          </w:tcPr>
          <w:p w14:paraId="6B57FBF5" w14:textId="77777777" w:rsidR="00836827" w:rsidRPr="005A1CAE" w:rsidRDefault="00836827" w:rsidP="00836827">
            <w:pPr>
              <w:pStyle w:val="Text1"/>
              <w:ind w:left="0"/>
              <w:rPr>
                <w:noProof/>
                <w:sz w:val="22"/>
                <w:szCs w:val="28"/>
              </w:rPr>
            </w:pPr>
            <w:r w:rsidRPr="005A1CAE">
              <w:rPr>
                <w:noProof/>
                <w:sz w:val="22"/>
              </w:rPr>
              <w:t>Nie dotyczy</w:t>
            </w:r>
          </w:p>
        </w:tc>
      </w:tr>
      <w:tr w:rsidR="00836827" w:rsidRPr="005A1CAE" w14:paraId="076D8B71" w14:textId="77777777" w:rsidTr="000362CB">
        <w:trPr>
          <w:trHeight w:val="300"/>
        </w:trPr>
        <w:tc>
          <w:tcPr>
            <w:tcW w:w="1845" w:type="dxa"/>
          </w:tcPr>
          <w:p w14:paraId="5CF984DC" w14:textId="77777777" w:rsidR="00836827" w:rsidRPr="005A1CAE" w:rsidRDefault="00836827" w:rsidP="00836827">
            <w:pPr>
              <w:pStyle w:val="Text1"/>
              <w:ind w:left="0"/>
              <w:rPr>
                <w:noProof/>
                <w:sz w:val="22"/>
                <w:szCs w:val="28"/>
              </w:rPr>
            </w:pPr>
            <w:r w:rsidRPr="005A1CAE">
              <w:rPr>
                <w:noProof/>
                <w:sz w:val="22"/>
              </w:rPr>
              <w:t>Personel zewnętrzny (CA, SNE, INT)</w:t>
            </w:r>
          </w:p>
        </w:tc>
        <w:tc>
          <w:tcPr>
            <w:tcW w:w="2031" w:type="dxa"/>
          </w:tcPr>
          <w:p w14:paraId="6B6AE3F4" w14:textId="77777777" w:rsidR="00836827" w:rsidRPr="005A1CAE" w:rsidRDefault="00836827" w:rsidP="00836827">
            <w:pPr>
              <w:pStyle w:val="Text1"/>
              <w:ind w:left="0"/>
              <w:rPr>
                <w:noProof/>
                <w:sz w:val="22"/>
                <w:szCs w:val="28"/>
              </w:rPr>
            </w:pPr>
            <w:r w:rsidRPr="005A1CAE">
              <w:rPr>
                <w:noProof/>
                <w:sz w:val="22"/>
              </w:rPr>
              <w:t>Nie dotyczy</w:t>
            </w:r>
          </w:p>
        </w:tc>
        <w:tc>
          <w:tcPr>
            <w:tcW w:w="1925" w:type="dxa"/>
          </w:tcPr>
          <w:p w14:paraId="7EB80764" w14:textId="77777777" w:rsidR="00836827" w:rsidRPr="005A1CAE" w:rsidRDefault="00836827" w:rsidP="00836827">
            <w:pPr>
              <w:pStyle w:val="Text1"/>
              <w:ind w:left="0"/>
              <w:rPr>
                <w:noProof/>
                <w:sz w:val="22"/>
                <w:szCs w:val="28"/>
              </w:rPr>
            </w:pPr>
            <w:r w:rsidRPr="005A1CAE">
              <w:rPr>
                <w:noProof/>
                <w:sz w:val="22"/>
              </w:rPr>
              <w:t>Nie dotyczy</w:t>
            </w:r>
          </w:p>
        </w:tc>
        <w:tc>
          <w:tcPr>
            <w:tcW w:w="1938" w:type="dxa"/>
          </w:tcPr>
          <w:p w14:paraId="75007BFD" w14:textId="77777777" w:rsidR="00836827" w:rsidRPr="005A1CAE" w:rsidRDefault="00836827" w:rsidP="00836827">
            <w:pPr>
              <w:pStyle w:val="Text1"/>
              <w:ind w:left="0"/>
              <w:rPr>
                <w:noProof/>
                <w:sz w:val="22"/>
                <w:szCs w:val="28"/>
              </w:rPr>
            </w:pPr>
            <w:r w:rsidRPr="005A1CAE">
              <w:rPr>
                <w:noProof/>
                <w:sz w:val="22"/>
              </w:rPr>
              <w:t>Nie dotyczy</w:t>
            </w:r>
          </w:p>
        </w:tc>
        <w:tc>
          <w:tcPr>
            <w:tcW w:w="1748" w:type="dxa"/>
          </w:tcPr>
          <w:p w14:paraId="2EA19212" w14:textId="77777777" w:rsidR="00836827" w:rsidRPr="005A1CAE" w:rsidRDefault="00836827" w:rsidP="00836827">
            <w:pPr>
              <w:pStyle w:val="Text1"/>
              <w:ind w:left="0"/>
              <w:rPr>
                <w:noProof/>
                <w:sz w:val="22"/>
                <w:szCs w:val="28"/>
              </w:rPr>
            </w:pPr>
            <w:r w:rsidRPr="005A1CAE">
              <w:rPr>
                <w:noProof/>
                <w:sz w:val="22"/>
              </w:rPr>
              <w:t>Nie dotyczy</w:t>
            </w:r>
          </w:p>
        </w:tc>
      </w:tr>
    </w:tbl>
    <w:p w14:paraId="108B2BCB" w14:textId="77777777" w:rsidR="00D0690F" w:rsidRPr="005A1CAE" w:rsidRDefault="00D0690F" w:rsidP="009F612D">
      <w:pPr>
        <w:pStyle w:val="Text1"/>
        <w:ind w:left="-426" w:right="-427"/>
        <w:rPr>
          <w:noProof/>
        </w:rPr>
      </w:pPr>
      <w:r w:rsidRPr="005A1CAE">
        <w:rPr>
          <w:noProof/>
        </w:rPr>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0A4C8B" w:rsidRPr="005A1CAE" w14:paraId="44DB4077" w14:textId="77777777" w:rsidTr="000362CB">
        <w:tc>
          <w:tcPr>
            <w:tcW w:w="3240" w:type="dxa"/>
          </w:tcPr>
          <w:p w14:paraId="461BD7FF" w14:textId="3A567FFD" w:rsidR="00D0690F" w:rsidRPr="005A1CAE" w:rsidRDefault="00D0690F" w:rsidP="009F612D">
            <w:pPr>
              <w:rPr>
                <w:noProof/>
                <w:sz w:val="20"/>
              </w:rPr>
            </w:pPr>
            <w:r w:rsidRPr="005A1CAE">
              <w:rPr>
                <w:noProof/>
                <w:sz w:val="20"/>
              </w:rPr>
              <w:t>Urzędnicy</w:t>
            </w:r>
            <w:r w:rsidR="005A1CAE" w:rsidRPr="005A1CAE">
              <w:rPr>
                <w:noProof/>
                <w:sz w:val="20"/>
              </w:rPr>
              <w:t xml:space="preserve"> i</w:t>
            </w:r>
            <w:r w:rsidR="005A1CAE">
              <w:rPr>
                <w:noProof/>
                <w:sz w:val="20"/>
              </w:rPr>
              <w:t> </w:t>
            </w:r>
            <w:r w:rsidR="005A1CAE" w:rsidRPr="005A1CAE">
              <w:rPr>
                <w:noProof/>
                <w:sz w:val="20"/>
              </w:rPr>
              <w:t>pra</w:t>
            </w:r>
            <w:r w:rsidRPr="005A1CAE">
              <w:rPr>
                <w:noProof/>
                <w:sz w:val="20"/>
              </w:rPr>
              <w:t>cownicy zatrudnieni na czas określony</w:t>
            </w:r>
          </w:p>
        </w:tc>
        <w:tc>
          <w:tcPr>
            <w:tcW w:w="7200" w:type="dxa"/>
          </w:tcPr>
          <w:p w14:paraId="353A35E4" w14:textId="364AAB34" w:rsidR="00836827" w:rsidRPr="005A1CAE" w:rsidRDefault="00836827" w:rsidP="00836827">
            <w:pPr>
              <w:rPr>
                <w:rFonts w:eastAsia="Times New Roman"/>
                <w:noProof/>
                <w:sz w:val="20"/>
                <w:szCs w:val="20"/>
              </w:rPr>
            </w:pPr>
            <w:r w:rsidRPr="005A1CAE">
              <w:rPr>
                <w:noProof/>
                <w:sz w:val="20"/>
              </w:rPr>
              <w:t>W rozporządzeniu</w:t>
            </w:r>
            <w:r w:rsidR="005A1CAE" w:rsidRPr="005A1CAE">
              <w:rPr>
                <w:noProof/>
                <w:sz w:val="20"/>
              </w:rPr>
              <w:t xml:space="preserve"> w</w:t>
            </w:r>
            <w:r w:rsidR="005A1CAE">
              <w:rPr>
                <w:noProof/>
                <w:sz w:val="20"/>
              </w:rPr>
              <w:t> </w:t>
            </w:r>
            <w:r w:rsidR="005A1CAE" w:rsidRPr="005A1CAE">
              <w:rPr>
                <w:noProof/>
                <w:sz w:val="20"/>
              </w:rPr>
              <w:t>spr</w:t>
            </w:r>
            <w:r w:rsidRPr="005A1CAE">
              <w:rPr>
                <w:noProof/>
                <w:sz w:val="20"/>
              </w:rPr>
              <w:t>awie CBAM nałożono na Komisję obowiązek podjęcia dalszych działań</w:t>
            </w:r>
            <w:r w:rsidR="005A1CAE" w:rsidRPr="005A1CAE">
              <w:rPr>
                <w:noProof/>
                <w:sz w:val="20"/>
              </w:rPr>
              <w:t xml:space="preserve"> w</w:t>
            </w:r>
            <w:r w:rsidR="005A1CAE">
              <w:rPr>
                <w:noProof/>
                <w:sz w:val="20"/>
              </w:rPr>
              <w:t> </w:t>
            </w:r>
            <w:r w:rsidR="005A1CAE" w:rsidRPr="005A1CAE">
              <w:rPr>
                <w:noProof/>
                <w:sz w:val="20"/>
              </w:rPr>
              <w:t>pos</w:t>
            </w:r>
            <w:r w:rsidRPr="005A1CAE">
              <w:rPr>
                <w:noProof/>
                <w:sz w:val="20"/>
              </w:rPr>
              <w:t>taci aktów delegowanych</w:t>
            </w:r>
            <w:r w:rsidR="005A1CAE" w:rsidRPr="005A1CAE">
              <w:rPr>
                <w:noProof/>
                <w:sz w:val="20"/>
              </w:rPr>
              <w:t xml:space="preserve"> i</w:t>
            </w:r>
            <w:r w:rsidR="005A1CAE">
              <w:rPr>
                <w:noProof/>
                <w:sz w:val="20"/>
              </w:rPr>
              <w:t> </w:t>
            </w:r>
            <w:r w:rsidR="005A1CAE" w:rsidRPr="005A1CAE">
              <w:rPr>
                <w:noProof/>
                <w:sz w:val="20"/>
              </w:rPr>
              <w:t>wyk</w:t>
            </w:r>
            <w:r w:rsidRPr="005A1CAE">
              <w:rPr>
                <w:noProof/>
                <w:sz w:val="20"/>
              </w:rPr>
              <w:t>onawczych po przyjęciu rozporządzenia</w:t>
            </w:r>
            <w:r w:rsidR="005A1CAE" w:rsidRPr="005A1CAE">
              <w:rPr>
                <w:noProof/>
                <w:sz w:val="20"/>
              </w:rPr>
              <w:t xml:space="preserve"> w</w:t>
            </w:r>
            <w:r w:rsidR="005A1CAE">
              <w:rPr>
                <w:noProof/>
                <w:sz w:val="20"/>
              </w:rPr>
              <w:t> </w:t>
            </w:r>
            <w:r w:rsidR="005A1CAE" w:rsidRPr="005A1CAE">
              <w:rPr>
                <w:noProof/>
                <w:sz w:val="20"/>
              </w:rPr>
              <w:t>spr</w:t>
            </w:r>
            <w:r w:rsidRPr="005A1CAE">
              <w:rPr>
                <w:noProof/>
                <w:sz w:val="20"/>
              </w:rPr>
              <w:t>awie CBAM. Personel Komisji będzie również potrzebny do dokonania przeglądu</w:t>
            </w:r>
            <w:r w:rsidR="005A1CAE" w:rsidRPr="005A1CAE">
              <w:rPr>
                <w:noProof/>
                <w:sz w:val="20"/>
              </w:rPr>
              <w:t xml:space="preserve"> i</w:t>
            </w:r>
            <w:r w:rsidR="005A1CAE">
              <w:rPr>
                <w:noProof/>
                <w:sz w:val="20"/>
              </w:rPr>
              <w:t> </w:t>
            </w:r>
            <w:r w:rsidR="005A1CAE" w:rsidRPr="005A1CAE">
              <w:rPr>
                <w:noProof/>
                <w:sz w:val="20"/>
              </w:rPr>
              <w:t>oce</w:t>
            </w:r>
            <w:r w:rsidRPr="005A1CAE">
              <w:rPr>
                <w:noProof/>
                <w:sz w:val="20"/>
              </w:rPr>
              <w:t xml:space="preserve">ny funkcjonowania systemu CBAM oraz do wdrożenia systemu informatycznego. </w:t>
            </w:r>
          </w:p>
          <w:p w14:paraId="15324705" w14:textId="12DCD529" w:rsidR="00D0690F" w:rsidRPr="005A1CAE" w:rsidRDefault="00836827" w:rsidP="00836827">
            <w:pPr>
              <w:rPr>
                <w:noProof/>
                <w:sz w:val="20"/>
              </w:rPr>
            </w:pPr>
            <w:r w:rsidRPr="005A1CAE">
              <w:rPr>
                <w:noProof/>
                <w:sz w:val="20"/>
              </w:rPr>
              <w:t>Wniosek zmieniający wprowadza nowe przepisy dotyczące przeciwdziałania ryzyku unikania przepisów, które wiążą się</w:t>
            </w:r>
            <w:r w:rsidR="005A1CAE" w:rsidRPr="005A1CAE">
              <w:rPr>
                <w:noProof/>
                <w:sz w:val="20"/>
              </w:rPr>
              <w:t xml:space="preserve"> z</w:t>
            </w:r>
            <w:r w:rsidR="005A1CAE">
              <w:rPr>
                <w:noProof/>
                <w:sz w:val="20"/>
              </w:rPr>
              <w:t> </w:t>
            </w:r>
            <w:r w:rsidR="005A1CAE" w:rsidRPr="005A1CAE">
              <w:rPr>
                <w:noProof/>
                <w:sz w:val="20"/>
              </w:rPr>
              <w:t>dod</w:t>
            </w:r>
            <w:r w:rsidRPr="005A1CAE">
              <w:rPr>
                <w:noProof/>
                <w:sz w:val="20"/>
              </w:rPr>
              <w:t>atkowymi zadaniami, które Komisja ma wykonywać od</w:t>
            </w:r>
            <w:r w:rsidR="005A1CAE" w:rsidRPr="005A1CAE">
              <w:rPr>
                <w:noProof/>
                <w:sz w:val="20"/>
              </w:rPr>
              <w:t> </w:t>
            </w:r>
            <w:r w:rsidRPr="005A1CAE">
              <w:rPr>
                <w:noProof/>
                <w:sz w:val="20"/>
              </w:rPr>
              <w:t>2027</w:t>
            </w:r>
            <w:r w:rsidR="005A1CAE" w:rsidRPr="005A1CAE">
              <w:rPr>
                <w:noProof/>
                <w:sz w:val="20"/>
              </w:rPr>
              <w:t> </w:t>
            </w:r>
            <w:r w:rsidRPr="005A1CAE">
              <w:rPr>
                <w:noProof/>
                <w:sz w:val="20"/>
              </w:rPr>
              <w:t>r</w:t>
            </w:r>
            <w:r w:rsidR="005A1CAE" w:rsidRPr="005A1CAE">
              <w:rPr>
                <w:noProof/>
                <w:sz w:val="20"/>
              </w:rPr>
              <w:t>. W</w:t>
            </w:r>
            <w:r w:rsidR="005A1CAE">
              <w:rPr>
                <w:noProof/>
                <w:sz w:val="20"/>
              </w:rPr>
              <w:t> </w:t>
            </w:r>
            <w:r w:rsidR="005A1CAE" w:rsidRPr="005A1CAE">
              <w:rPr>
                <w:noProof/>
                <w:sz w:val="20"/>
              </w:rPr>
              <w:t>szc</w:t>
            </w:r>
            <w:r w:rsidRPr="005A1CAE">
              <w:rPr>
                <w:noProof/>
                <w:sz w:val="20"/>
              </w:rPr>
              <w:t>zególności środki te będą wymagały dodatkowej kontroli dowodów przedstawionych przez importerów, aby zweryfikować prawidłowość informacji podanych</w:t>
            </w:r>
            <w:r w:rsidR="005A1CAE" w:rsidRPr="005A1CAE">
              <w:rPr>
                <w:noProof/>
                <w:sz w:val="20"/>
              </w:rPr>
              <w:t xml:space="preserve"> w</w:t>
            </w:r>
            <w:r w:rsidR="005A1CAE">
              <w:rPr>
                <w:noProof/>
                <w:sz w:val="20"/>
              </w:rPr>
              <w:t> </w:t>
            </w:r>
            <w:r w:rsidR="005A1CAE" w:rsidRPr="005A1CAE">
              <w:rPr>
                <w:noProof/>
                <w:sz w:val="20"/>
              </w:rPr>
              <w:t>dek</w:t>
            </w:r>
            <w:r w:rsidRPr="005A1CAE">
              <w:rPr>
                <w:noProof/>
                <w:sz w:val="20"/>
              </w:rPr>
              <w:t xml:space="preserve">laracji CBAM. </w:t>
            </w:r>
          </w:p>
        </w:tc>
      </w:tr>
      <w:tr w:rsidR="000A4C8B" w:rsidRPr="005A1CAE" w14:paraId="447ABCA1" w14:textId="77777777" w:rsidTr="000362CB">
        <w:tc>
          <w:tcPr>
            <w:tcW w:w="3240" w:type="dxa"/>
          </w:tcPr>
          <w:p w14:paraId="2A44F12B" w14:textId="77777777" w:rsidR="00D0690F" w:rsidRPr="005A1CAE" w:rsidRDefault="00D0690F" w:rsidP="009F612D">
            <w:pPr>
              <w:spacing w:before="60" w:after="60"/>
              <w:rPr>
                <w:noProof/>
                <w:sz w:val="20"/>
              </w:rPr>
            </w:pPr>
            <w:r w:rsidRPr="005A1CAE">
              <w:rPr>
                <w:noProof/>
                <w:sz w:val="20"/>
              </w:rPr>
              <w:t>Personel zewnętrzny</w:t>
            </w:r>
          </w:p>
        </w:tc>
        <w:tc>
          <w:tcPr>
            <w:tcW w:w="7200" w:type="dxa"/>
          </w:tcPr>
          <w:p w14:paraId="31E4D397" w14:textId="77777777" w:rsidR="00836827" w:rsidRPr="005A1CAE" w:rsidRDefault="00836827" w:rsidP="00836827">
            <w:pPr>
              <w:rPr>
                <w:rFonts w:eastAsia="Times New Roman"/>
                <w:noProof/>
                <w:sz w:val="20"/>
                <w:szCs w:val="20"/>
              </w:rPr>
            </w:pPr>
            <w:r w:rsidRPr="005A1CAE">
              <w:rPr>
                <w:noProof/>
                <w:sz w:val="20"/>
              </w:rPr>
              <w:t>Wiele zadań mogą wykonać pracownicy zewnętrzni.</w:t>
            </w:r>
          </w:p>
          <w:p w14:paraId="329620F2" w14:textId="795F4C97" w:rsidR="00D0690F" w:rsidRPr="005A1CAE" w:rsidRDefault="00836827" w:rsidP="00836827">
            <w:pPr>
              <w:rPr>
                <w:noProof/>
                <w:sz w:val="20"/>
              </w:rPr>
            </w:pPr>
            <w:r w:rsidRPr="005A1CAE">
              <w:rPr>
                <w:noProof/>
                <w:sz w:val="20"/>
              </w:rPr>
              <w:t>Wniosek zmieniający wprowadza nowe przepisy dotyczące przeciwdziałania ryzyku unikania przepisów, które wiążą się</w:t>
            </w:r>
            <w:r w:rsidR="005A1CAE" w:rsidRPr="005A1CAE">
              <w:rPr>
                <w:noProof/>
                <w:sz w:val="20"/>
              </w:rPr>
              <w:t xml:space="preserve"> z</w:t>
            </w:r>
            <w:r w:rsidR="005A1CAE">
              <w:rPr>
                <w:noProof/>
                <w:sz w:val="20"/>
              </w:rPr>
              <w:t> </w:t>
            </w:r>
            <w:r w:rsidR="005A1CAE" w:rsidRPr="005A1CAE">
              <w:rPr>
                <w:noProof/>
                <w:sz w:val="20"/>
              </w:rPr>
              <w:t>dod</w:t>
            </w:r>
            <w:r w:rsidRPr="005A1CAE">
              <w:rPr>
                <w:noProof/>
                <w:sz w:val="20"/>
              </w:rPr>
              <w:t>atkowymi zadaniami, które Komisja ma wykonywać od</w:t>
            </w:r>
            <w:r w:rsidR="005A1CAE" w:rsidRPr="005A1CAE">
              <w:rPr>
                <w:noProof/>
                <w:sz w:val="20"/>
              </w:rPr>
              <w:t> </w:t>
            </w:r>
            <w:r w:rsidRPr="005A1CAE">
              <w:rPr>
                <w:noProof/>
                <w:sz w:val="20"/>
              </w:rPr>
              <w:t>2027</w:t>
            </w:r>
            <w:r w:rsidR="005A1CAE" w:rsidRPr="005A1CAE">
              <w:rPr>
                <w:noProof/>
                <w:sz w:val="20"/>
              </w:rPr>
              <w:t> </w:t>
            </w:r>
            <w:r w:rsidRPr="005A1CAE">
              <w:rPr>
                <w:noProof/>
                <w:sz w:val="20"/>
              </w:rPr>
              <w:t>r</w:t>
            </w:r>
            <w:r w:rsidR="005A1CAE" w:rsidRPr="005A1CAE">
              <w:rPr>
                <w:noProof/>
                <w:sz w:val="20"/>
              </w:rPr>
              <w:t>. W</w:t>
            </w:r>
            <w:r w:rsidR="005A1CAE">
              <w:rPr>
                <w:noProof/>
                <w:sz w:val="20"/>
              </w:rPr>
              <w:t> </w:t>
            </w:r>
            <w:r w:rsidR="005A1CAE" w:rsidRPr="005A1CAE">
              <w:rPr>
                <w:noProof/>
                <w:sz w:val="20"/>
              </w:rPr>
              <w:t>szc</w:t>
            </w:r>
            <w:r w:rsidRPr="005A1CAE">
              <w:rPr>
                <w:noProof/>
                <w:sz w:val="20"/>
              </w:rPr>
              <w:t>zególności środki te będą wymagały dodatkowej kontroli dowodów przedstawionych przez importerów, aby zweryfikować prawidłowość informacji podanych</w:t>
            </w:r>
            <w:r w:rsidR="005A1CAE" w:rsidRPr="005A1CAE">
              <w:rPr>
                <w:noProof/>
                <w:sz w:val="20"/>
              </w:rPr>
              <w:t xml:space="preserve"> w</w:t>
            </w:r>
            <w:r w:rsidR="005A1CAE">
              <w:rPr>
                <w:noProof/>
                <w:sz w:val="20"/>
              </w:rPr>
              <w:t> </w:t>
            </w:r>
            <w:r w:rsidR="005A1CAE" w:rsidRPr="005A1CAE">
              <w:rPr>
                <w:noProof/>
                <w:sz w:val="20"/>
              </w:rPr>
              <w:t>dek</w:t>
            </w:r>
            <w:r w:rsidRPr="005A1CAE">
              <w:rPr>
                <w:noProof/>
                <w:sz w:val="20"/>
              </w:rPr>
              <w:t>laracji CBAM.</w:t>
            </w:r>
          </w:p>
        </w:tc>
      </w:tr>
    </w:tbl>
    <w:p w14:paraId="33A348BA" w14:textId="6DADEC06" w:rsidR="00D0690F" w:rsidRPr="005A1CAE" w:rsidRDefault="00D0690F" w:rsidP="009F612D">
      <w:pPr>
        <w:pStyle w:val="ManualHeading3"/>
        <w:rPr>
          <w:noProof/>
        </w:rPr>
      </w:pPr>
      <w:bookmarkStart w:id="162" w:name="_Toc177549031"/>
      <w:r w:rsidRPr="005A1CAE">
        <w:rPr>
          <w:noProof/>
        </w:rPr>
        <w:lastRenderedPageBreak/>
        <w:t>3.2.5.</w:t>
      </w:r>
      <w:r w:rsidRPr="005A1CAE">
        <w:rPr>
          <w:noProof/>
        </w:rPr>
        <w:tab/>
        <w:t>Przegląd szacowanego wpływu na inwestycje związane</w:t>
      </w:r>
      <w:r w:rsidR="005A1CAE" w:rsidRPr="005A1CAE">
        <w:rPr>
          <w:noProof/>
        </w:rPr>
        <w:t xml:space="preserve"> z</w:t>
      </w:r>
      <w:r w:rsidR="005A1CAE">
        <w:rPr>
          <w:noProof/>
        </w:rPr>
        <w:t> </w:t>
      </w:r>
      <w:r w:rsidR="005A1CAE" w:rsidRPr="005A1CAE">
        <w:rPr>
          <w:noProof/>
        </w:rPr>
        <w:t>tec</w:t>
      </w:r>
      <w:r w:rsidRPr="005A1CAE">
        <w:rPr>
          <w:noProof/>
        </w:rPr>
        <w:t>hnologiami cyfrowymi</w:t>
      </w:r>
      <w:bookmarkEnd w:id="162"/>
    </w:p>
    <w:p w14:paraId="1A29D20D" w14:textId="15B69A20" w:rsidR="00836827" w:rsidRPr="005A1CAE" w:rsidRDefault="00836827">
      <w:pPr>
        <w:pStyle w:val="Text1"/>
        <w:spacing w:line="259" w:lineRule="auto"/>
        <w:rPr>
          <w:noProof/>
        </w:rPr>
      </w:pPr>
      <w:r w:rsidRPr="005A1CAE">
        <w:rPr>
          <w:noProof/>
        </w:rPr>
        <w:t>Obowiązkowo</w:t>
      </w:r>
      <w:r w:rsidR="005A1CAE" w:rsidRPr="005A1CAE">
        <w:rPr>
          <w:noProof/>
        </w:rPr>
        <w:t xml:space="preserve"> w</w:t>
      </w:r>
      <w:r w:rsidR="005A1CAE">
        <w:rPr>
          <w:noProof/>
        </w:rPr>
        <w:t> </w:t>
      </w:r>
      <w:r w:rsidR="005A1CAE" w:rsidRPr="005A1CAE">
        <w:rPr>
          <w:noProof/>
        </w:rPr>
        <w:t>tab</w:t>
      </w:r>
      <w:r w:rsidRPr="005A1CAE">
        <w:rPr>
          <w:noProof/>
        </w:rPr>
        <w:t>eli poniżej: szacowany wpływ wniosku/inicjatywy na inwestycje związane</w:t>
      </w:r>
      <w:r w:rsidR="005A1CAE" w:rsidRPr="005A1CAE">
        <w:rPr>
          <w:noProof/>
        </w:rPr>
        <w:t xml:space="preserve"> z</w:t>
      </w:r>
      <w:r w:rsidR="005A1CAE">
        <w:rPr>
          <w:noProof/>
        </w:rPr>
        <w:t> </w:t>
      </w:r>
      <w:r w:rsidR="005A1CAE" w:rsidRPr="005A1CAE">
        <w:rPr>
          <w:noProof/>
        </w:rPr>
        <w:t>tec</w:t>
      </w:r>
      <w:r w:rsidRPr="005A1CAE">
        <w:rPr>
          <w:noProof/>
        </w:rPr>
        <w:t xml:space="preserve">hnologiami cyfrowymi. </w:t>
      </w:r>
    </w:p>
    <w:p w14:paraId="516C0554" w14:textId="3E3E7BDB" w:rsidR="00836827" w:rsidRPr="005A1CAE" w:rsidRDefault="00836827">
      <w:pPr>
        <w:pStyle w:val="Text1"/>
        <w:spacing w:line="259" w:lineRule="auto"/>
        <w:rPr>
          <w:noProof/>
        </w:rPr>
      </w:pPr>
      <w:r w:rsidRPr="005A1CAE">
        <w:rPr>
          <w:noProof/>
        </w:rPr>
        <w:t>W wyjątkowych przypadkach, jeżeli wymaga tego realizacja wniosku/inicjatywy, we wskazanym wierszu należy podać środki</w:t>
      </w:r>
      <w:r w:rsidR="005A1CAE" w:rsidRPr="005A1CAE">
        <w:rPr>
          <w:noProof/>
        </w:rPr>
        <w:t xml:space="preserve"> z</w:t>
      </w:r>
      <w:r w:rsidR="005A1CAE">
        <w:rPr>
          <w:noProof/>
        </w:rPr>
        <w:t> </w:t>
      </w:r>
      <w:r w:rsidR="005A1CAE" w:rsidRPr="005A1CAE">
        <w:rPr>
          <w:noProof/>
        </w:rPr>
        <w:t>dzi</w:t>
      </w:r>
      <w:r w:rsidRPr="005A1CAE">
        <w:rPr>
          <w:noProof/>
        </w:rPr>
        <w:t xml:space="preserve">ału 7. </w:t>
      </w:r>
    </w:p>
    <w:p w14:paraId="381541BB" w14:textId="12CBB5CE" w:rsidR="00836827" w:rsidRPr="005A1CAE" w:rsidRDefault="00836827" w:rsidP="00836827">
      <w:pPr>
        <w:pStyle w:val="Text1"/>
        <w:spacing w:line="259" w:lineRule="auto"/>
        <w:rPr>
          <w:noProof/>
        </w:rPr>
      </w:pPr>
      <w:r w:rsidRPr="005A1CAE">
        <w:rPr>
          <w:noProof/>
        </w:rPr>
        <w:t>Środki</w:t>
      </w:r>
      <w:r w:rsidR="005A1CAE" w:rsidRPr="005A1CAE">
        <w:rPr>
          <w:noProof/>
        </w:rPr>
        <w:t xml:space="preserve"> z</w:t>
      </w:r>
      <w:r w:rsidR="005A1CAE">
        <w:rPr>
          <w:noProof/>
        </w:rPr>
        <w:t> </w:t>
      </w:r>
      <w:r w:rsidR="005A1CAE" w:rsidRPr="005A1CAE">
        <w:rPr>
          <w:noProof/>
        </w:rPr>
        <w:t>dzi</w:t>
      </w:r>
      <w:r w:rsidRPr="005A1CAE">
        <w:rPr>
          <w:noProof/>
        </w:rPr>
        <w:t>ałów 1–6 należy podać</w:t>
      </w:r>
      <w:r w:rsidR="005A1CAE" w:rsidRPr="005A1CAE">
        <w:rPr>
          <w:noProof/>
        </w:rPr>
        <w:t xml:space="preserve"> w</w:t>
      </w:r>
      <w:r w:rsidR="005A1CAE">
        <w:rPr>
          <w:noProof/>
        </w:rPr>
        <w:t> </w:t>
      </w:r>
      <w:r w:rsidR="005A1CAE" w:rsidRPr="005A1CAE">
        <w:rPr>
          <w:noProof/>
        </w:rPr>
        <w:t>wie</w:t>
      </w:r>
      <w:r w:rsidRPr="005A1CAE">
        <w:rPr>
          <w:noProof/>
        </w:rPr>
        <w:t>rszu „Wydatki na IT wynikające</w:t>
      </w:r>
      <w:r w:rsidR="005A1CAE" w:rsidRPr="005A1CAE">
        <w:rPr>
          <w:noProof/>
        </w:rPr>
        <w:t xml:space="preserve"> z</w:t>
      </w:r>
      <w:r w:rsidR="005A1CAE">
        <w:rPr>
          <w:noProof/>
        </w:rPr>
        <w:t> </w:t>
      </w:r>
      <w:r w:rsidR="005A1CAE" w:rsidRPr="005A1CAE">
        <w:rPr>
          <w:noProof/>
        </w:rPr>
        <w:t>rea</w:t>
      </w:r>
      <w:r w:rsidRPr="005A1CAE">
        <w:rPr>
          <w:noProof/>
        </w:rPr>
        <w:t>lizacji polityki tytułem programów operacyjnych”. Wydatki te odnoszą się do budżetu operacyjnego na ponowne wykorzystanie / zakup / rozwój platform / narzędzi informatycznych bezpośrednio związanych</w:t>
      </w:r>
      <w:r w:rsidR="005A1CAE" w:rsidRPr="005A1CAE">
        <w:rPr>
          <w:noProof/>
        </w:rPr>
        <w:t xml:space="preserve"> z</w:t>
      </w:r>
      <w:r w:rsidR="005A1CAE">
        <w:rPr>
          <w:noProof/>
        </w:rPr>
        <w:t> </w:t>
      </w:r>
      <w:r w:rsidR="005A1CAE" w:rsidRPr="005A1CAE">
        <w:rPr>
          <w:noProof/>
        </w:rPr>
        <w:t>rea</w:t>
      </w:r>
      <w:r w:rsidRPr="005A1CAE">
        <w:rPr>
          <w:noProof/>
        </w:rPr>
        <w:t>lizacją inicjatywy oraz powiązanych</w:t>
      </w:r>
      <w:r w:rsidR="005A1CAE" w:rsidRPr="005A1CAE">
        <w:rPr>
          <w:noProof/>
        </w:rPr>
        <w:t xml:space="preserve"> z</w:t>
      </w:r>
      <w:r w:rsidR="005A1CAE">
        <w:rPr>
          <w:noProof/>
        </w:rPr>
        <w:t> </w:t>
      </w:r>
      <w:r w:rsidR="005A1CAE" w:rsidRPr="005A1CAE">
        <w:rPr>
          <w:noProof/>
        </w:rPr>
        <w:t>nim</w:t>
      </w:r>
      <w:r w:rsidRPr="005A1CAE">
        <w:rPr>
          <w:noProof/>
        </w:rPr>
        <w:t>i inwestycji (np. licencje, badania, przechowywanie danych). Informacje podane</w:t>
      </w:r>
      <w:r w:rsidR="005A1CAE" w:rsidRPr="005A1CAE">
        <w:rPr>
          <w:noProof/>
        </w:rPr>
        <w:t xml:space="preserve"> w</w:t>
      </w:r>
      <w:r w:rsidR="005A1CAE">
        <w:rPr>
          <w:noProof/>
        </w:rPr>
        <w:t> </w:t>
      </w:r>
      <w:r w:rsidR="005A1CAE" w:rsidRPr="005A1CAE">
        <w:rPr>
          <w:noProof/>
        </w:rPr>
        <w:t>tej</w:t>
      </w:r>
      <w:r w:rsidRPr="005A1CAE">
        <w:rPr>
          <w:noProof/>
        </w:rPr>
        <w:t xml:space="preserve"> tabeli powinny zgadzać się</w:t>
      </w:r>
      <w:r w:rsidR="005A1CAE" w:rsidRPr="005A1CAE">
        <w:rPr>
          <w:noProof/>
        </w:rPr>
        <w:t xml:space="preserve"> z</w:t>
      </w:r>
      <w:r w:rsidR="005A1CAE">
        <w:rPr>
          <w:noProof/>
        </w:rPr>
        <w:t> </w:t>
      </w:r>
      <w:r w:rsidR="005A1CAE" w:rsidRPr="005A1CAE">
        <w:rPr>
          <w:noProof/>
        </w:rPr>
        <w:t>inf</w:t>
      </w:r>
      <w:r w:rsidRPr="005A1CAE">
        <w:rPr>
          <w:noProof/>
        </w:rPr>
        <w:t>ormacjami przedstawionymi</w:t>
      </w:r>
      <w:r w:rsidR="005A1CAE" w:rsidRPr="005A1CAE">
        <w:rPr>
          <w:noProof/>
        </w:rPr>
        <w:t xml:space="preserve"> w</w:t>
      </w:r>
      <w:r w:rsidR="005A1CAE">
        <w:rPr>
          <w:noProof/>
        </w:rPr>
        <w:t> </w:t>
      </w:r>
      <w:r w:rsidR="005A1CAE" w:rsidRPr="005A1CAE">
        <w:rPr>
          <w:noProof/>
        </w:rPr>
        <w:t>sek</w:t>
      </w:r>
      <w:r w:rsidRPr="005A1CAE">
        <w:rPr>
          <w:noProof/>
        </w:rPr>
        <w:t>cji 4 „Wymiar cyfrowy”.</w:t>
      </w:r>
    </w:p>
    <w:tbl>
      <w:tblPr>
        <w:tblW w:w="0" w:type="auto"/>
        <w:tblLayout w:type="fixed"/>
        <w:tblLook w:val="04A0" w:firstRow="1" w:lastRow="0" w:firstColumn="1" w:lastColumn="0" w:noHBand="0" w:noVBand="1"/>
      </w:tblPr>
      <w:tblGrid>
        <w:gridCol w:w="3214"/>
        <w:gridCol w:w="835"/>
        <w:gridCol w:w="835"/>
        <w:gridCol w:w="835"/>
        <w:gridCol w:w="835"/>
        <w:gridCol w:w="981"/>
      </w:tblGrid>
      <w:tr w:rsidR="00D0690F" w:rsidRPr="005A1CAE" w14:paraId="3AAADF5C" w14:textId="77777777" w:rsidTr="009F612D">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22877116" w14:textId="04CB66F1" w:rsidR="00D0690F" w:rsidRPr="005A1CAE" w:rsidRDefault="00D0690F" w:rsidP="009F612D">
            <w:pPr>
              <w:spacing w:before="0" w:after="0"/>
              <w:jc w:val="center"/>
              <w:rPr>
                <w:b/>
                <w:bCs/>
                <w:noProof/>
                <w:color w:val="000000" w:themeColor="text1"/>
                <w:sz w:val="18"/>
                <w:szCs w:val="18"/>
              </w:rPr>
            </w:pPr>
            <w:r w:rsidRPr="005A1CAE">
              <w:rPr>
                <w:b/>
                <w:noProof/>
                <w:color w:val="000000" w:themeColor="text1"/>
                <w:sz w:val="18"/>
              </w:rPr>
              <w:t>OGÓŁEM środki na IT</w:t>
            </w:r>
            <w:r w:rsidR="005A1CAE" w:rsidRPr="005A1CAE">
              <w:rPr>
                <w:b/>
                <w:noProof/>
                <w:color w:val="000000" w:themeColor="text1"/>
                <w:sz w:val="18"/>
              </w:rPr>
              <w:t xml:space="preserve"> i</w:t>
            </w:r>
            <w:r w:rsidR="005A1CAE">
              <w:rPr>
                <w:b/>
                <w:noProof/>
                <w:color w:val="000000" w:themeColor="text1"/>
                <w:sz w:val="18"/>
              </w:rPr>
              <w:t> </w:t>
            </w:r>
            <w:r w:rsidR="005A1CAE" w:rsidRPr="005A1CAE">
              <w:rPr>
                <w:b/>
                <w:noProof/>
                <w:color w:val="000000" w:themeColor="text1"/>
                <w:sz w:val="18"/>
              </w:rPr>
              <w:t>tec</w:t>
            </w:r>
            <w:r w:rsidRPr="005A1CAE">
              <w:rPr>
                <w:b/>
                <w:noProof/>
                <w:color w:val="000000" w:themeColor="text1"/>
                <w:sz w:val="18"/>
              </w:rPr>
              <w:t>hnologie cyfrowe</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410A1DC7" w14:textId="77777777" w:rsidR="00D0690F" w:rsidRPr="005A1CAE" w:rsidRDefault="00D0690F" w:rsidP="009F612D">
            <w:pPr>
              <w:spacing w:before="0" w:after="0"/>
              <w:jc w:val="center"/>
              <w:rPr>
                <w:noProof/>
                <w:color w:val="000000" w:themeColor="text1"/>
                <w:sz w:val="18"/>
                <w:szCs w:val="18"/>
              </w:rPr>
            </w:pPr>
            <w:r w:rsidRPr="005A1CAE">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3C252B64" w14:textId="77777777" w:rsidR="00D0690F" w:rsidRPr="005A1CAE" w:rsidRDefault="00D0690F" w:rsidP="009F612D">
            <w:pPr>
              <w:spacing w:before="0" w:after="0"/>
              <w:jc w:val="center"/>
              <w:rPr>
                <w:noProof/>
                <w:color w:val="000000" w:themeColor="text1"/>
                <w:sz w:val="18"/>
                <w:szCs w:val="18"/>
              </w:rPr>
            </w:pPr>
            <w:r w:rsidRPr="005A1CAE">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78FE7BD5" w14:textId="77777777" w:rsidR="00D0690F" w:rsidRPr="005A1CAE" w:rsidRDefault="00D0690F" w:rsidP="009F612D">
            <w:pPr>
              <w:spacing w:before="0" w:after="0"/>
              <w:jc w:val="center"/>
              <w:rPr>
                <w:noProof/>
                <w:color w:val="000000" w:themeColor="text1"/>
                <w:sz w:val="18"/>
                <w:szCs w:val="18"/>
              </w:rPr>
            </w:pPr>
            <w:r w:rsidRPr="005A1CAE">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55E198C8" w14:textId="77777777" w:rsidR="00D0690F" w:rsidRPr="005A1CAE" w:rsidRDefault="00D0690F" w:rsidP="009F612D">
            <w:pPr>
              <w:spacing w:before="0" w:after="0"/>
              <w:jc w:val="center"/>
              <w:rPr>
                <w:noProof/>
                <w:color w:val="000000" w:themeColor="text1"/>
                <w:sz w:val="18"/>
                <w:szCs w:val="18"/>
              </w:rPr>
            </w:pPr>
            <w:r w:rsidRPr="005A1CAE">
              <w:rPr>
                <w:noProof/>
                <w:color w:val="000000" w:themeColor="text1"/>
                <w:sz w:val="18"/>
              </w:rPr>
              <w:t>Rok</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4AAF1AFB" w14:textId="77777777" w:rsidR="00D0690F" w:rsidRPr="005A1CAE" w:rsidRDefault="00D0690F" w:rsidP="009F612D">
            <w:pPr>
              <w:spacing w:before="0" w:after="0"/>
              <w:jc w:val="center"/>
              <w:rPr>
                <w:b/>
                <w:bCs/>
                <w:noProof/>
                <w:color w:val="000000" w:themeColor="text1"/>
                <w:sz w:val="18"/>
                <w:szCs w:val="18"/>
              </w:rPr>
            </w:pPr>
            <w:r w:rsidRPr="005A1CAE">
              <w:rPr>
                <w:b/>
                <w:noProof/>
                <w:color w:val="000000" w:themeColor="text1"/>
                <w:sz w:val="18"/>
              </w:rPr>
              <w:t>OGÓŁEM WRF 2021–2027</w:t>
            </w:r>
          </w:p>
        </w:tc>
      </w:tr>
      <w:tr w:rsidR="00D0690F" w:rsidRPr="005A1CAE" w14:paraId="11445206" w14:textId="77777777" w:rsidTr="009F612D">
        <w:trPr>
          <w:trHeight w:val="525"/>
        </w:trPr>
        <w:tc>
          <w:tcPr>
            <w:tcW w:w="3214" w:type="dxa"/>
            <w:vMerge/>
            <w:tcBorders>
              <w:top w:val="single" w:sz="8" w:space="0" w:color="auto"/>
              <w:left w:val="single" w:sz="4" w:space="0" w:color="auto"/>
              <w:right w:val="single" w:sz="4" w:space="0" w:color="auto"/>
            </w:tcBorders>
            <w:vAlign w:val="center"/>
          </w:tcPr>
          <w:p w14:paraId="48478D89" w14:textId="77777777" w:rsidR="00D0690F" w:rsidRPr="005A1CAE" w:rsidRDefault="00D0690F" w:rsidP="009F612D">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7C0D94B0" w14:textId="77777777" w:rsidR="00D0690F" w:rsidRPr="005A1CAE" w:rsidRDefault="00D0690F" w:rsidP="009F612D">
            <w:pPr>
              <w:spacing w:before="0" w:after="0"/>
              <w:jc w:val="center"/>
              <w:rPr>
                <w:b/>
                <w:bCs/>
                <w:noProof/>
                <w:color w:val="000000" w:themeColor="text1"/>
                <w:sz w:val="18"/>
                <w:szCs w:val="18"/>
              </w:rPr>
            </w:pPr>
            <w:r w:rsidRPr="005A1CAE">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300E0E90" w14:textId="77777777" w:rsidR="00D0690F" w:rsidRPr="005A1CAE" w:rsidRDefault="00D0690F" w:rsidP="009F612D">
            <w:pPr>
              <w:spacing w:before="0" w:after="0"/>
              <w:jc w:val="center"/>
              <w:rPr>
                <w:b/>
                <w:bCs/>
                <w:noProof/>
                <w:color w:val="000000" w:themeColor="text1"/>
                <w:sz w:val="18"/>
                <w:szCs w:val="18"/>
              </w:rPr>
            </w:pPr>
            <w:r w:rsidRPr="005A1CAE">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26517013" w14:textId="77777777" w:rsidR="00D0690F" w:rsidRPr="005A1CAE" w:rsidRDefault="00D0690F" w:rsidP="009F612D">
            <w:pPr>
              <w:spacing w:before="0" w:after="0"/>
              <w:jc w:val="center"/>
              <w:rPr>
                <w:b/>
                <w:bCs/>
                <w:noProof/>
                <w:color w:val="000000" w:themeColor="text1"/>
                <w:sz w:val="18"/>
                <w:szCs w:val="18"/>
              </w:rPr>
            </w:pPr>
            <w:r w:rsidRPr="005A1CAE">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1D454080" w14:textId="77777777" w:rsidR="00D0690F" w:rsidRPr="005A1CAE" w:rsidRDefault="00D0690F" w:rsidP="009F612D">
            <w:pPr>
              <w:spacing w:before="0" w:after="0"/>
              <w:jc w:val="center"/>
              <w:rPr>
                <w:b/>
                <w:bCs/>
                <w:noProof/>
                <w:color w:val="000000" w:themeColor="text1"/>
                <w:sz w:val="18"/>
                <w:szCs w:val="18"/>
              </w:rPr>
            </w:pPr>
            <w:r w:rsidRPr="005A1CAE">
              <w:rPr>
                <w:b/>
                <w:noProof/>
                <w:color w:val="000000" w:themeColor="text1"/>
                <w:sz w:val="18"/>
              </w:rPr>
              <w:t>2027</w:t>
            </w:r>
          </w:p>
        </w:tc>
        <w:tc>
          <w:tcPr>
            <w:tcW w:w="981" w:type="dxa"/>
            <w:vMerge/>
            <w:tcBorders>
              <w:bottom w:val="single" w:sz="4" w:space="0" w:color="auto"/>
              <w:right w:val="single" w:sz="4" w:space="0" w:color="auto"/>
            </w:tcBorders>
            <w:vAlign w:val="center"/>
          </w:tcPr>
          <w:p w14:paraId="04C83FCD" w14:textId="77777777" w:rsidR="00D0690F" w:rsidRPr="005A1CAE" w:rsidRDefault="00D0690F" w:rsidP="009F612D">
            <w:pPr>
              <w:rPr>
                <w:noProof/>
              </w:rPr>
            </w:pPr>
          </w:p>
        </w:tc>
      </w:tr>
      <w:tr w:rsidR="00D0690F" w:rsidRPr="005A1CAE" w14:paraId="2253E630" w14:textId="77777777" w:rsidTr="009F612D">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050B6CA7" w14:textId="77777777" w:rsidR="00D0690F" w:rsidRPr="005A1CAE" w:rsidRDefault="00D0690F" w:rsidP="009F612D">
            <w:pPr>
              <w:spacing w:before="0" w:after="0"/>
              <w:jc w:val="left"/>
              <w:rPr>
                <w:b/>
                <w:bCs/>
                <w:noProof/>
                <w:sz w:val="16"/>
                <w:szCs w:val="16"/>
              </w:rPr>
            </w:pPr>
            <w:r w:rsidRPr="005A1CAE">
              <w:rPr>
                <w:b/>
                <w:noProof/>
                <w:sz w:val="16"/>
              </w:rPr>
              <w:t>DZIAŁ 7</w:t>
            </w:r>
          </w:p>
        </w:tc>
      </w:tr>
      <w:tr w:rsidR="002A4C51" w:rsidRPr="005A1CAE" w14:paraId="7BCABC99" w14:textId="77777777" w:rsidTr="007A036C">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276AA" w14:textId="77777777" w:rsidR="002A4C51" w:rsidRPr="005A1CAE" w:rsidRDefault="002A4C51" w:rsidP="002A4C51">
            <w:pPr>
              <w:spacing w:before="0" w:after="0"/>
              <w:jc w:val="left"/>
              <w:rPr>
                <w:noProof/>
                <w:color w:val="000000" w:themeColor="text1"/>
                <w:sz w:val="16"/>
                <w:szCs w:val="16"/>
              </w:rPr>
            </w:pPr>
            <w:r w:rsidRPr="005A1CAE">
              <w:rPr>
                <w:rFonts w:ascii="Arial Narrow" w:hAnsi="Arial Narrow"/>
                <w:noProof/>
                <w:color w:val="000000" w:themeColor="text1"/>
                <w:sz w:val="20"/>
              </w:rPr>
              <w:t>Wydatki na IT (ponoszone przez organizację)</w:t>
            </w:r>
            <w:r w:rsidRPr="005A1CAE">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7F0636" w14:textId="77777777" w:rsidR="002A4C51" w:rsidRPr="005A1CAE" w:rsidRDefault="002A4C51" w:rsidP="002A4C51">
            <w:pPr>
              <w:spacing w:before="0" w:after="0"/>
              <w:jc w:val="right"/>
              <w:rPr>
                <w:noProof/>
                <w:color w:val="000000" w:themeColor="text1"/>
                <w:sz w:val="16"/>
                <w:szCs w:val="16"/>
              </w:rPr>
            </w:pPr>
            <w:r w:rsidRPr="005A1CAE">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1E3721" w14:textId="77777777" w:rsidR="002A4C51" w:rsidRPr="005A1CAE" w:rsidRDefault="002A4C51" w:rsidP="002A4C51">
            <w:pPr>
              <w:spacing w:before="0" w:after="0"/>
              <w:jc w:val="right"/>
              <w:rPr>
                <w:noProof/>
                <w:color w:val="000000" w:themeColor="text1"/>
                <w:sz w:val="16"/>
                <w:szCs w:val="16"/>
              </w:rPr>
            </w:pPr>
            <w:r w:rsidRPr="005A1CAE">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35F44F" w14:textId="77777777" w:rsidR="002A4C51" w:rsidRPr="005A1CAE" w:rsidRDefault="002A4C51" w:rsidP="002A4C51">
            <w:pPr>
              <w:spacing w:before="0" w:after="0"/>
              <w:jc w:val="right"/>
              <w:rPr>
                <w:noProof/>
                <w:color w:val="000000" w:themeColor="text1"/>
                <w:sz w:val="16"/>
                <w:szCs w:val="16"/>
              </w:rPr>
            </w:pPr>
            <w:r w:rsidRPr="005A1CAE">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2EA5656" w14:textId="77777777" w:rsidR="002A4C51" w:rsidRPr="005A1CAE" w:rsidRDefault="002A4C51" w:rsidP="002A4C51">
            <w:pPr>
              <w:spacing w:before="0" w:after="0"/>
              <w:jc w:val="right"/>
              <w:rPr>
                <w:noProof/>
                <w:color w:val="000000" w:themeColor="text1"/>
                <w:sz w:val="16"/>
                <w:szCs w:val="16"/>
              </w:rPr>
            </w:pPr>
            <w:r w:rsidRPr="005A1CAE">
              <w:rPr>
                <w:noProof/>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2FF00B4"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r>
      <w:tr w:rsidR="002A4C51" w:rsidRPr="005A1CAE" w14:paraId="235D57E0" w14:textId="77777777" w:rsidTr="007A036C">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2BB2372A" w14:textId="77777777" w:rsidR="002A4C51" w:rsidRPr="005A1CAE" w:rsidRDefault="002A4C51" w:rsidP="002A4C51">
            <w:pPr>
              <w:spacing w:before="0" w:after="0"/>
              <w:jc w:val="center"/>
              <w:rPr>
                <w:b/>
                <w:bCs/>
                <w:noProof/>
                <w:color w:val="000000" w:themeColor="text1"/>
                <w:sz w:val="16"/>
                <w:szCs w:val="16"/>
              </w:rPr>
            </w:pPr>
            <w:r w:rsidRPr="005A1CAE">
              <w:rPr>
                <w:b/>
                <w:noProof/>
                <w:color w:val="000000" w:themeColor="text1"/>
                <w:sz w:val="16"/>
              </w:rPr>
              <w:t>Suma cząstkowa DZIAŁ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FB0A37"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FC3D685"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096D95"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BDA8A0"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FABE24"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r>
      <w:tr w:rsidR="00D0690F" w:rsidRPr="005A1CAE" w14:paraId="73DCCEB8" w14:textId="77777777" w:rsidTr="009F612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00FC53" w14:textId="77777777" w:rsidR="00D0690F" w:rsidRPr="005A1CAE" w:rsidRDefault="00D0690F" w:rsidP="009F612D">
            <w:pPr>
              <w:spacing w:before="0" w:after="0"/>
              <w:jc w:val="left"/>
              <w:rPr>
                <w:b/>
                <w:bCs/>
                <w:noProof/>
                <w:sz w:val="16"/>
                <w:szCs w:val="16"/>
              </w:rPr>
            </w:pPr>
            <w:r w:rsidRPr="005A1CAE">
              <w:rPr>
                <w:b/>
                <w:noProof/>
                <w:sz w:val="16"/>
              </w:rPr>
              <w:t>Poza DZIAŁEM 7</w:t>
            </w:r>
          </w:p>
        </w:tc>
      </w:tr>
      <w:tr w:rsidR="002A4C51" w:rsidRPr="005A1CAE" w14:paraId="0C2DB1FB" w14:textId="77777777" w:rsidTr="009F612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F36F7D" w14:textId="1CA28C2B" w:rsidR="002A4C51" w:rsidRPr="005A1CAE" w:rsidRDefault="002A4C51" w:rsidP="002A4C51">
            <w:pPr>
              <w:spacing w:before="0" w:after="0"/>
              <w:jc w:val="left"/>
              <w:rPr>
                <w:rFonts w:ascii="Arial Narrow" w:eastAsia="Arial Narrow" w:hAnsi="Arial Narrow" w:cs="Arial Narrow"/>
                <w:noProof/>
                <w:color w:val="000000" w:themeColor="text1"/>
                <w:sz w:val="20"/>
                <w:szCs w:val="20"/>
              </w:rPr>
            </w:pPr>
            <w:r w:rsidRPr="005A1CAE">
              <w:rPr>
                <w:rFonts w:ascii="Arial Narrow" w:hAnsi="Arial Narrow"/>
                <w:noProof/>
                <w:color w:val="000000" w:themeColor="text1"/>
                <w:sz w:val="20"/>
              </w:rPr>
              <w:t>Wydatki na IT wynikające</w:t>
            </w:r>
            <w:r w:rsidR="005A1CAE" w:rsidRPr="005A1CAE">
              <w:rPr>
                <w:rFonts w:ascii="Arial Narrow" w:hAnsi="Arial Narrow"/>
                <w:noProof/>
                <w:color w:val="000000" w:themeColor="text1"/>
                <w:sz w:val="20"/>
              </w:rPr>
              <w:t xml:space="preserve"> z</w:t>
            </w:r>
            <w:r w:rsidR="005A1CAE">
              <w:rPr>
                <w:rFonts w:ascii="Arial Narrow" w:hAnsi="Arial Narrow"/>
                <w:noProof/>
                <w:color w:val="000000" w:themeColor="text1"/>
                <w:sz w:val="20"/>
              </w:rPr>
              <w:t> </w:t>
            </w:r>
            <w:r w:rsidR="005A1CAE" w:rsidRPr="005A1CAE">
              <w:rPr>
                <w:rFonts w:ascii="Arial Narrow" w:hAnsi="Arial Narrow"/>
                <w:noProof/>
                <w:color w:val="000000" w:themeColor="text1"/>
                <w:sz w:val="20"/>
              </w:rPr>
              <w:t>rea</w:t>
            </w:r>
            <w:r w:rsidRPr="005A1CAE">
              <w:rPr>
                <w:rFonts w:ascii="Arial Narrow" w:hAnsi="Arial Narrow"/>
                <w:noProof/>
                <w:color w:val="000000" w:themeColor="text1"/>
                <w:sz w:val="20"/>
              </w:rPr>
              <w:t>lizacji polityki tytułem programów operacyjnych</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E08F7FC" w14:textId="77777777" w:rsidR="002A4C51" w:rsidRPr="005A1CAE" w:rsidRDefault="002A4C51" w:rsidP="002A4C51">
            <w:pPr>
              <w:spacing w:before="0" w:after="0"/>
              <w:jc w:val="right"/>
              <w:rPr>
                <w:noProof/>
                <w:color w:val="000000" w:themeColor="text1"/>
                <w:sz w:val="16"/>
                <w:szCs w:val="16"/>
              </w:rPr>
            </w:pPr>
            <w:r w:rsidRPr="005A1CAE">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1E55D7" w14:textId="77777777" w:rsidR="002A4C51" w:rsidRPr="005A1CAE" w:rsidRDefault="002A4C51" w:rsidP="002A4C51">
            <w:pPr>
              <w:spacing w:before="0" w:after="0"/>
              <w:jc w:val="right"/>
              <w:rPr>
                <w:noProof/>
                <w:color w:val="000000" w:themeColor="text1"/>
                <w:sz w:val="16"/>
                <w:szCs w:val="16"/>
              </w:rPr>
            </w:pPr>
            <w:r w:rsidRPr="005A1CAE">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CFE40A" w14:textId="77777777" w:rsidR="002A4C51" w:rsidRPr="005A1CAE" w:rsidRDefault="002A4C51" w:rsidP="002A4C51">
            <w:pPr>
              <w:spacing w:before="0" w:after="0"/>
              <w:jc w:val="right"/>
              <w:rPr>
                <w:noProof/>
                <w:color w:val="000000" w:themeColor="text1"/>
                <w:sz w:val="16"/>
                <w:szCs w:val="16"/>
              </w:rPr>
            </w:pPr>
            <w:r w:rsidRPr="005A1CAE">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6BF952" w14:textId="2F6C8C7D" w:rsidR="002A4C51" w:rsidRPr="005A1CAE" w:rsidRDefault="009A0074" w:rsidP="002A4C51">
            <w:pPr>
              <w:spacing w:before="0" w:after="0"/>
              <w:jc w:val="right"/>
              <w:rPr>
                <w:noProof/>
                <w:color w:val="000000" w:themeColor="text1"/>
                <w:sz w:val="16"/>
                <w:szCs w:val="16"/>
              </w:rPr>
            </w:pPr>
            <w:r w:rsidRPr="005A1CAE">
              <w:rPr>
                <w:noProof/>
                <w:sz w:val="16"/>
              </w:rPr>
              <w:t>5,000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48A6A3" w14:textId="14580D61" w:rsidR="002A4C51" w:rsidRPr="005A1CAE" w:rsidRDefault="009A0074" w:rsidP="002A4C51">
            <w:pPr>
              <w:spacing w:before="0" w:after="0"/>
              <w:jc w:val="right"/>
              <w:rPr>
                <w:b/>
                <w:bCs/>
                <w:noProof/>
                <w:color w:val="000000" w:themeColor="text1"/>
                <w:sz w:val="16"/>
                <w:szCs w:val="16"/>
              </w:rPr>
            </w:pPr>
            <w:r w:rsidRPr="005A1CAE">
              <w:rPr>
                <w:noProof/>
                <w:sz w:val="16"/>
              </w:rPr>
              <w:t>5,000</w:t>
            </w:r>
          </w:p>
        </w:tc>
      </w:tr>
      <w:tr w:rsidR="002A4C51" w:rsidRPr="005A1CAE" w14:paraId="5D4F75DF" w14:textId="77777777" w:rsidTr="009F612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501199D6" w14:textId="77777777" w:rsidR="002A4C51" w:rsidRPr="005A1CAE" w:rsidRDefault="002A4C51" w:rsidP="002A4C51">
            <w:pPr>
              <w:spacing w:before="0" w:after="0"/>
              <w:jc w:val="center"/>
              <w:rPr>
                <w:b/>
                <w:bCs/>
                <w:noProof/>
                <w:color w:val="000000" w:themeColor="text1"/>
                <w:sz w:val="16"/>
                <w:szCs w:val="16"/>
              </w:rPr>
            </w:pPr>
            <w:r w:rsidRPr="005A1CAE">
              <w:rPr>
                <w:b/>
                <w:noProof/>
                <w:color w:val="000000" w:themeColor="text1"/>
                <w:sz w:val="16"/>
              </w:rPr>
              <w:t>Suma cząstkowa poza DZIAŁEM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4794A9"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1F0325"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C85D8F"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BA1CDB" w14:textId="164FD0DF" w:rsidR="002A4C51" w:rsidRPr="005A1CAE" w:rsidRDefault="009A0074" w:rsidP="002A4C51">
            <w:pPr>
              <w:spacing w:before="0" w:after="0"/>
              <w:jc w:val="right"/>
              <w:rPr>
                <w:b/>
                <w:bCs/>
                <w:noProof/>
                <w:color w:val="000000" w:themeColor="text1"/>
                <w:sz w:val="16"/>
                <w:szCs w:val="16"/>
              </w:rPr>
            </w:pPr>
            <w:r w:rsidRPr="005A1CAE">
              <w:rPr>
                <w:b/>
                <w:noProof/>
                <w:sz w:val="16"/>
              </w:rPr>
              <w:t>5,000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2F1B23C" w14:textId="6CBF7333" w:rsidR="002A4C51" w:rsidRPr="005A1CAE" w:rsidRDefault="009A0074" w:rsidP="002A4C51">
            <w:pPr>
              <w:spacing w:before="0" w:after="0"/>
              <w:jc w:val="right"/>
              <w:rPr>
                <w:b/>
                <w:bCs/>
                <w:noProof/>
                <w:color w:val="000000" w:themeColor="text1"/>
                <w:sz w:val="16"/>
                <w:szCs w:val="16"/>
              </w:rPr>
            </w:pPr>
            <w:r w:rsidRPr="005A1CAE">
              <w:rPr>
                <w:b/>
                <w:noProof/>
                <w:sz w:val="16"/>
              </w:rPr>
              <w:t>5,000</w:t>
            </w:r>
          </w:p>
        </w:tc>
      </w:tr>
      <w:tr w:rsidR="00D0690F" w:rsidRPr="005A1CAE" w14:paraId="1264BC06" w14:textId="77777777" w:rsidTr="009F612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9D031" w14:textId="77777777" w:rsidR="00D0690F" w:rsidRPr="005A1CAE" w:rsidRDefault="00D0690F" w:rsidP="009F612D">
            <w:pPr>
              <w:spacing w:before="0" w:after="0"/>
              <w:jc w:val="center"/>
              <w:rPr>
                <w:noProof/>
                <w:color w:val="000000" w:themeColor="text1"/>
                <w:sz w:val="16"/>
                <w:szCs w:val="16"/>
              </w:rPr>
            </w:pPr>
            <w:r w:rsidRPr="005A1CAE">
              <w:rPr>
                <w:noProof/>
                <w:color w:val="000000" w:themeColor="text1"/>
                <w:sz w:val="16"/>
              </w:rPr>
              <w:t xml:space="preserve"> </w:t>
            </w:r>
          </w:p>
        </w:tc>
      </w:tr>
      <w:tr w:rsidR="002A4C51" w:rsidRPr="005A1CAE" w14:paraId="0C5E02C8" w14:textId="77777777" w:rsidTr="007A036C">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3D8DEBF3" w14:textId="77777777" w:rsidR="002A4C51" w:rsidRPr="005A1CAE" w:rsidRDefault="002A4C51" w:rsidP="002A4C51">
            <w:pPr>
              <w:spacing w:before="0" w:after="0"/>
              <w:jc w:val="center"/>
              <w:rPr>
                <w:b/>
                <w:bCs/>
                <w:noProof/>
                <w:color w:val="000000" w:themeColor="text1"/>
                <w:sz w:val="16"/>
                <w:szCs w:val="16"/>
              </w:rPr>
            </w:pPr>
            <w:r w:rsidRPr="005A1CAE">
              <w:rPr>
                <w:b/>
                <w:noProof/>
                <w:color w:val="000000" w:themeColor="text1"/>
                <w:sz w:val="16"/>
              </w:rPr>
              <w:t>OGÓŁEM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tcPr>
          <w:p w14:paraId="08A1A4D8"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tcPr>
          <w:p w14:paraId="3C3DA499"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tcPr>
          <w:p w14:paraId="23E048EA" w14:textId="77777777" w:rsidR="002A4C51" w:rsidRPr="005A1CAE" w:rsidRDefault="002A4C51" w:rsidP="002A4C51">
            <w:pPr>
              <w:spacing w:before="0" w:after="0"/>
              <w:jc w:val="right"/>
              <w:rPr>
                <w:b/>
                <w:bCs/>
                <w:noProof/>
                <w:color w:val="000000" w:themeColor="text1"/>
                <w:sz w:val="16"/>
                <w:szCs w:val="16"/>
              </w:rPr>
            </w:pPr>
            <w:r w:rsidRPr="005A1CAE">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tcPr>
          <w:p w14:paraId="6E5A0FD9" w14:textId="0B231BA8" w:rsidR="002A4C51" w:rsidRPr="005A1CAE" w:rsidRDefault="009A0074" w:rsidP="002A4C51">
            <w:pPr>
              <w:spacing w:before="0" w:after="0"/>
              <w:jc w:val="right"/>
              <w:rPr>
                <w:b/>
                <w:bCs/>
                <w:noProof/>
                <w:color w:val="000000" w:themeColor="text1"/>
                <w:sz w:val="16"/>
                <w:szCs w:val="16"/>
              </w:rPr>
            </w:pPr>
            <w:r w:rsidRPr="005A1CAE">
              <w:rPr>
                <w:b/>
                <w:noProof/>
                <w:sz w:val="16"/>
              </w:rPr>
              <w:t>5,000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tcPr>
          <w:p w14:paraId="101EE5AE" w14:textId="625B4472" w:rsidR="002A4C51" w:rsidRPr="005A1CAE" w:rsidRDefault="009A0074" w:rsidP="002A4C51">
            <w:pPr>
              <w:spacing w:before="0" w:after="0"/>
              <w:jc w:val="right"/>
              <w:rPr>
                <w:b/>
                <w:bCs/>
                <w:noProof/>
                <w:color w:val="000000" w:themeColor="text1"/>
                <w:sz w:val="16"/>
                <w:szCs w:val="16"/>
              </w:rPr>
            </w:pPr>
            <w:r w:rsidRPr="005A1CAE">
              <w:rPr>
                <w:b/>
                <w:noProof/>
                <w:sz w:val="16"/>
              </w:rPr>
              <w:t>5,000</w:t>
            </w:r>
          </w:p>
        </w:tc>
      </w:tr>
    </w:tbl>
    <w:p w14:paraId="0D9D5979" w14:textId="10F3838E" w:rsidR="00D0690F" w:rsidRPr="005A1CAE" w:rsidRDefault="00D0690F" w:rsidP="009F612D">
      <w:pPr>
        <w:pStyle w:val="ManualHeading3"/>
        <w:rPr>
          <w:noProof/>
        </w:rPr>
      </w:pPr>
      <w:bookmarkStart w:id="163" w:name="_Toc514938056"/>
      <w:bookmarkStart w:id="164" w:name="_Toc520485055"/>
      <w:bookmarkStart w:id="165" w:name="_Toc160804599"/>
      <w:bookmarkStart w:id="166" w:name="_Toc167220298"/>
      <w:bookmarkStart w:id="167" w:name="_Toc177549032"/>
      <w:bookmarkEnd w:id="161"/>
      <w:r w:rsidRPr="005A1CAE">
        <w:rPr>
          <w:noProof/>
        </w:rPr>
        <w:t>3.2.6.</w:t>
      </w:r>
      <w:r w:rsidRPr="005A1CAE">
        <w:rPr>
          <w:noProof/>
        </w:rPr>
        <w:tab/>
        <w:t>Zgodność</w:t>
      </w:r>
      <w:r w:rsidR="005A1CAE" w:rsidRPr="005A1CAE">
        <w:rPr>
          <w:noProof/>
        </w:rPr>
        <w:t xml:space="preserve"> z</w:t>
      </w:r>
      <w:r w:rsidR="005A1CAE">
        <w:rPr>
          <w:noProof/>
        </w:rPr>
        <w:t> </w:t>
      </w:r>
      <w:r w:rsidR="005A1CAE" w:rsidRPr="005A1CAE">
        <w:rPr>
          <w:noProof/>
        </w:rPr>
        <w:t>obo</w:t>
      </w:r>
      <w:r w:rsidRPr="005A1CAE">
        <w:rPr>
          <w:noProof/>
        </w:rPr>
        <w:t>wiązującymi wieloletnimi ramami finansowymi</w:t>
      </w:r>
      <w:bookmarkEnd w:id="163"/>
      <w:bookmarkEnd w:id="164"/>
      <w:bookmarkEnd w:id="165"/>
      <w:bookmarkEnd w:id="166"/>
      <w:bookmarkEnd w:id="167"/>
      <w:r w:rsidRPr="005A1CAE">
        <w:rPr>
          <w:noProof/>
        </w:rPr>
        <w:t xml:space="preserve"> </w:t>
      </w:r>
    </w:p>
    <w:p w14:paraId="687E2DE1" w14:textId="77777777" w:rsidR="00D0690F" w:rsidRPr="005A1CAE" w:rsidRDefault="00D0690F" w:rsidP="009F612D">
      <w:pPr>
        <w:pStyle w:val="Text1"/>
        <w:rPr>
          <w:noProof/>
        </w:rPr>
      </w:pPr>
      <w:r w:rsidRPr="005A1CAE">
        <w:rPr>
          <w:noProof/>
        </w:rPr>
        <w:t>Wniosek/inicjatywa:</w:t>
      </w:r>
    </w:p>
    <w:p w14:paraId="4BB2F00C" w14:textId="3E9DAD72" w:rsidR="00D0690F" w:rsidRPr="005A1CAE" w:rsidRDefault="00D0690F" w:rsidP="009F612D">
      <w:pPr>
        <w:pStyle w:val="ListDash1"/>
        <w:rPr>
          <w:noProof/>
        </w:rPr>
      </w:pPr>
      <w:r w:rsidRPr="005A1CAE">
        <w:rPr>
          <w:rFonts w:ascii="Wingdings" w:hAnsi="Wingdings"/>
          <w:noProof/>
        </w:rPr>
        <w:t></w:t>
      </w:r>
      <w:r w:rsidRPr="005A1CAE">
        <w:rPr>
          <w:noProof/>
        </w:rPr>
        <w:tab/>
        <w:t>może zostać</w:t>
      </w:r>
      <w:r w:rsidR="005A1CAE" w:rsidRPr="005A1CAE">
        <w:rPr>
          <w:noProof/>
        </w:rPr>
        <w:t xml:space="preserve"> w</w:t>
      </w:r>
      <w:r w:rsidR="005A1CAE">
        <w:rPr>
          <w:noProof/>
        </w:rPr>
        <w:t> </w:t>
      </w:r>
      <w:r w:rsidR="005A1CAE" w:rsidRPr="005A1CAE">
        <w:rPr>
          <w:noProof/>
        </w:rPr>
        <w:t>peł</w:t>
      </w:r>
      <w:r w:rsidRPr="005A1CAE">
        <w:rPr>
          <w:noProof/>
        </w:rPr>
        <w:t>ni sfinansowany(-a) przez przegrupowanie środków</w:t>
      </w:r>
      <w:r w:rsidR="005A1CAE" w:rsidRPr="005A1CAE">
        <w:rPr>
          <w:noProof/>
        </w:rPr>
        <w:t xml:space="preserve"> w</w:t>
      </w:r>
      <w:r w:rsidR="005A1CAE">
        <w:rPr>
          <w:noProof/>
        </w:rPr>
        <w:t> </w:t>
      </w:r>
      <w:r w:rsidR="005A1CAE" w:rsidRPr="005A1CAE">
        <w:rPr>
          <w:noProof/>
        </w:rPr>
        <w:t>ram</w:t>
      </w:r>
      <w:r w:rsidRPr="005A1CAE">
        <w:rPr>
          <w:noProof/>
        </w:rPr>
        <w:t>ach odpowiedniego działu wieloletnich ram finansowych (WRF)</w:t>
      </w:r>
    </w:p>
    <w:p w14:paraId="2AAFD800" w14:textId="66EEE6A2" w:rsidR="00D0690F" w:rsidRPr="005A1CAE" w:rsidRDefault="00836827" w:rsidP="009F612D">
      <w:pPr>
        <w:pStyle w:val="ListDash1"/>
        <w:rPr>
          <w:noProof/>
        </w:rPr>
      </w:pPr>
      <w:r w:rsidRPr="005A1CAE">
        <w:rPr>
          <w:rFonts w:ascii="Wingdings" w:hAnsi="Wingdings"/>
          <w:noProof/>
        </w:rPr>
        <w:t></w:t>
      </w:r>
      <w:r w:rsidRPr="005A1CAE">
        <w:rPr>
          <w:noProof/>
        </w:rPr>
        <w:tab/>
        <w:t>wymaga zastosowania nieprzydzielonego marginesu środków</w:t>
      </w:r>
      <w:r w:rsidR="005A1CAE" w:rsidRPr="005A1CAE">
        <w:rPr>
          <w:noProof/>
        </w:rPr>
        <w:t xml:space="preserve"> w</w:t>
      </w:r>
      <w:r w:rsidR="005A1CAE">
        <w:rPr>
          <w:noProof/>
        </w:rPr>
        <w:t> </w:t>
      </w:r>
      <w:r w:rsidR="005A1CAE" w:rsidRPr="005A1CAE">
        <w:rPr>
          <w:noProof/>
        </w:rPr>
        <w:t>ram</w:t>
      </w:r>
      <w:r w:rsidRPr="005A1CAE">
        <w:rPr>
          <w:noProof/>
        </w:rPr>
        <w:t>ach odpowiedniego działu WRF lub zastosowania specjalnych instrumentów zdefiniowanych</w:t>
      </w:r>
      <w:r w:rsidR="005A1CAE" w:rsidRPr="005A1CAE">
        <w:rPr>
          <w:noProof/>
        </w:rPr>
        <w:t xml:space="preserve"> w</w:t>
      </w:r>
      <w:r w:rsidR="005A1CAE">
        <w:rPr>
          <w:noProof/>
        </w:rPr>
        <w:t> </w:t>
      </w:r>
      <w:r w:rsidR="005A1CAE" w:rsidRPr="005A1CAE">
        <w:rPr>
          <w:noProof/>
        </w:rPr>
        <w:t>roz</w:t>
      </w:r>
      <w:r w:rsidRPr="005A1CAE">
        <w:rPr>
          <w:noProof/>
        </w:rPr>
        <w:t>porządzeniu</w:t>
      </w:r>
      <w:r w:rsidR="005A1CAE" w:rsidRPr="005A1CAE">
        <w:rPr>
          <w:noProof/>
        </w:rPr>
        <w:t xml:space="preserve"> w</w:t>
      </w:r>
      <w:r w:rsidR="005A1CAE">
        <w:rPr>
          <w:noProof/>
        </w:rPr>
        <w:t> </w:t>
      </w:r>
      <w:r w:rsidR="005A1CAE" w:rsidRPr="005A1CAE">
        <w:rPr>
          <w:noProof/>
        </w:rPr>
        <w:t>spr</w:t>
      </w:r>
      <w:r w:rsidRPr="005A1CAE">
        <w:rPr>
          <w:noProof/>
        </w:rPr>
        <w:t>awie WRF</w:t>
      </w:r>
    </w:p>
    <w:p w14:paraId="36FE3119" w14:textId="2F043D5A" w:rsidR="00836827" w:rsidRPr="005A1CAE" w:rsidRDefault="00836827" w:rsidP="00836827">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5A1CAE">
        <w:rPr>
          <w:noProof/>
        </w:rPr>
        <w:t>Potrzebne są dodatkowe wydatki na IT</w:t>
      </w:r>
      <w:r w:rsidR="005A1CAE" w:rsidRPr="005A1CAE">
        <w:rPr>
          <w:noProof/>
        </w:rPr>
        <w:t xml:space="preserve"> w</w:t>
      </w:r>
      <w:r w:rsidR="005A1CAE">
        <w:rPr>
          <w:noProof/>
        </w:rPr>
        <w:t> </w:t>
      </w:r>
      <w:r w:rsidR="005A1CAE" w:rsidRPr="005A1CAE">
        <w:rPr>
          <w:noProof/>
        </w:rPr>
        <w:t>wys</w:t>
      </w:r>
      <w:r w:rsidRPr="005A1CAE">
        <w:rPr>
          <w:noProof/>
        </w:rPr>
        <w:t>okości 3 mln EUR na</w:t>
      </w:r>
      <w:r w:rsidR="005A1CAE" w:rsidRPr="005A1CAE">
        <w:rPr>
          <w:noProof/>
        </w:rPr>
        <w:t> </w:t>
      </w:r>
      <w:r w:rsidRPr="005A1CAE">
        <w:rPr>
          <w:noProof/>
        </w:rPr>
        <w:t>2027</w:t>
      </w:r>
      <w:r w:rsidR="005A1CAE" w:rsidRPr="005A1CAE">
        <w:rPr>
          <w:noProof/>
        </w:rPr>
        <w:t> </w:t>
      </w:r>
      <w:r w:rsidRPr="005A1CAE">
        <w:rPr>
          <w:noProof/>
        </w:rPr>
        <w:t>r. na pokrycie kosztów projektowania</w:t>
      </w:r>
      <w:r w:rsidR="005A1CAE" w:rsidRPr="005A1CAE">
        <w:rPr>
          <w:noProof/>
        </w:rPr>
        <w:t xml:space="preserve"> i</w:t>
      </w:r>
      <w:r w:rsidR="005A1CAE">
        <w:rPr>
          <w:noProof/>
        </w:rPr>
        <w:t> </w:t>
      </w:r>
      <w:r w:rsidR="005A1CAE" w:rsidRPr="005A1CAE">
        <w:rPr>
          <w:noProof/>
        </w:rPr>
        <w:t>roz</w:t>
      </w:r>
      <w:r w:rsidRPr="005A1CAE">
        <w:rPr>
          <w:noProof/>
        </w:rPr>
        <w:t>woju systemów informatycznych niezbędnych do dostosowania rejestru CBAM do nowego zakresu</w:t>
      </w:r>
      <w:r w:rsidR="005A1CAE" w:rsidRPr="005A1CAE">
        <w:rPr>
          <w:noProof/>
        </w:rPr>
        <w:t xml:space="preserve"> i</w:t>
      </w:r>
      <w:r w:rsidR="005A1CAE">
        <w:rPr>
          <w:noProof/>
        </w:rPr>
        <w:t> </w:t>
      </w:r>
      <w:r w:rsidR="005A1CAE" w:rsidRPr="005A1CAE">
        <w:rPr>
          <w:noProof/>
        </w:rPr>
        <w:t>mod</w:t>
      </w:r>
      <w:r w:rsidRPr="005A1CAE">
        <w:rPr>
          <w:noProof/>
        </w:rPr>
        <w:t>eli, udoskonalenie narzędzi analizy zarządzania ryzykiem, integrację dodatkowych produktów rynku niższego szczebla</w:t>
      </w:r>
      <w:r w:rsidR="005A1CAE" w:rsidRPr="005A1CAE">
        <w:rPr>
          <w:noProof/>
        </w:rPr>
        <w:t xml:space="preserve"> i</w:t>
      </w:r>
      <w:r w:rsidR="005A1CAE">
        <w:rPr>
          <w:noProof/>
        </w:rPr>
        <w:t> </w:t>
      </w:r>
      <w:r w:rsidR="005A1CAE" w:rsidRPr="005A1CAE">
        <w:rPr>
          <w:noProof/>
        </w:rPr>
        <w:t>usł</w:t>
      </w:r>
      <w:r w:rsidRPr="005A1CAE">
        <w:rPr>
          <w:noProof/>
        </w:rPr>
        <w:t>ug przeciwdziałających unikaniu lub obchodzeniu przepisów oraz poprawę usług informatycznych</w:t>
      </w:r>
      <w:r w:rsidR="005A1CAE" w:rsidRPr="005A1CAE">
        <w:rPr>
          <w:noProof/>
        </w:rPr>
        <w:t xml:space="preserve"> i</w:t>
      </w:r>
      <w:r w:rsidR="005A1CAE">
        <w:rPr>
          <w:noProof/>
        </w:rPr>
        <w:t> </w:t>
      </w:r>
      <w:r w:rsidR="005A1CAE" w:rsidRPr="005A1CAE">
        <w:rPr>
          <w:noProof/>
        </w:rPr>
        <w:t>wsp</w:t>
      </w:r>
      <w:r w:rsidRPr="005A1CAE">
        <w:rPr>
          <w:noProof/>
        </w:rPr>
        <w:t>arcie wymaganych zdolności, rozszerzenie na rynki niższego szczebla</w:t>
      </w:r>
      <w:r w:rsidR="005A1CAE" w:rsidRPr="005A1CAE">
        <w:rPr>
          <w:noProof/>
        </w:rPr>
        <w:t xml:space="preserve"> i</w:t>
      </w:r>
      <w:r w:rsidR="005A1CAE">
        <w:rPr>
          <w:noProof/>
        </w:rPr>
        <w:t> </w:t>
      </w:r>
      <w:r w:rsidR="005A1CAE" w:rsidRPr="005A1CAE">
        <w:rPr>
          <w:noProof/>
        </w:rPr>
        <w:t>fun</w:t>
      </w:r>
      <w:r w:rsidRPr="005A1CAE">
        <w:rPr>
          <w:noProof/>
        </w:rPr>
        <w:t>kcje wspierające zarządzanie ryzykiem oraz wykrywanie obchodzenia przepisów</w:t>
      </w:r>
      <w:r w:rsidR="005A1CAE" w:rsidRPr="005A1CAE">
        <w:rPr>
          <w:noProof/>
        </w:rPr>
        <w:t xml:space="preserve"> i</w:t>
      </w:r>
      <w:r w:rsidR="005A1CAE">
        <w:rPr>
          <w:noProof/>
        </w:rPr>
        <w:t> </w:t>
      </w:r>
      <w:r w:rsidR="005A1CAE" w:rsidRPr="005A1CAE">
        <w:rPr>
          <w:noProof/>
        </w:rPr>
        <w:t>uni</w:t>
      </w:r>
      <w:r w:rsidRPr="005A1CAE">
        <w:rPr>
          <w:noProof/>
        </w:rPr>
        <w:t>kania ich,</w:t>
      </w:r>
      <w:r w:rsidR="005A1CAE" w:rsidRPr="005A1CAE">
        <w:rPr>
          <w:noProof/>
        </w:rPr>
        <w:t xml:space="preserve"> w</w:t>
      </w:r>
      <w:r w:rsidR="005A1CAE">
        <w:rPr>
          <w:noProof/>
        </w:rPr>
        <w:t> </w:t>
      </w:r>
      <w:r w:rsidR="005A1CAE" w:rsidRPr="005A1CAE">
        <w:rPr>
          <w:noProof/>
        </w:rPr>
        <w:t>ram</w:t>
      </w:r>
      <w:r w:rsidRPr="005A1CAE">
        <w:rPr>
          <w:noProof/>
        </w:rPr>
        <w:t xml:space="preserve">ach rejestru CBAM lub przestrzeni laboratorium danych CBAM. </w:t>
      </w:r>
    </w:p>
    <w:p w14:paraId="50AE4F4B" w14:textId="1B28B945" w:rsidR="00836827" w:rsidRPr="005A1CAE" w:rsidRDefault="00836827" w:rsidP="00836827">
      <w:pPr>
        <w:pStyle w:val="Text1"/>
        <w:pBdr>
          <w:top w:val="single" w:sz="8" w:space="1" w:color="000000"/>
          <w:left w:val="single" w:sz="8" w:space="4" w:color="000000"/>
          <w:bottom w:val="single" w:sz="8" w:space="1" w:color="000000"/>
          <w:right w:val="single" w:sz="8" w:space="4" w:color="000000"/>
        </w:pBdr>
        <w:rPr>
          <w:noProof/>
        </w:rPr>
      </w:pPr>
      <w:r w:rsidRPr="005A1CAE">
        <w:rPr>
          <w:noProof/>
        </w:rPr>
        <w:t>Ponadto począwszy od</w:t>
      </w:r>
      <w:r w:rsidR="005A1CAE" w:rsidRPr="005A1CAE">
        <w:rPr>
          <w:noProof/>
        </w:rPr>
        <w:t> </w:t>
      </w:r>
      <w:r w:rsidRPr="005A1CAE">
        <w:rPr>
          <w:noProof/>
        </w:rPr>
        <w:t>2027</w:t>
      </w:r>
      <w:r w:rsidR="005A1CAE" w:rsidRPr="005A1CAE">
        <w:rPr>
          <w:noProof/>
        </w:rPr>
        <w:t> </w:t>
      </w:r>
      <w:r w:rsidRPr="005A1CAE">
        <w:rPr>
          <w:noProof/>
        </w:rPr>
        <w:t>r. potrzebne są dodatkowe 2 mln EUR rocznie, bez uszczerbku dla wyniku negocjacji</w:t>
      </w:r>
      <w:r w:rsidR="005A1CAE" w:rsidRPr="005A1CAE">
        <w:rPr>
          <w:noProof/>
        </w:rPr>
        <w:t xml:space="preserve"> w</w:t>
      </w:r>
      <w:r w:rsidR="005A1CAE">
        <w:rPr>
          <w:noProof/>
        </w:rPr>
        <w:t> </w:t>
      </w:r>
      <w:r w:rsidR="005A1CAE" w:rsidRPr="005A1CAE">
        <w:rPr>
          <w:noProof/>
        </w:rPr>
        <w:t>spr</w:t>
      </w:r>
      <w:r w:rsidRPr="005A1CAE">
        <w:rPr>
          <w:noProof/>
        </w:rPr>
        <w:t xml:space="preserve">awie kolejnych WRF, aby wykorzystać analityczną wiedzę fachową, która umożliwi wykonanie zadań przydzielonych </w:t>
      </w:r>
      <w:r w:rsidRPr="005A1CAE">
        <w:rPr>
          <w:noProof/>
        </w:rPr>
        <w:lastRenderedPageBreak/>
        <w:t>Komisji we wniosku zmieniającym</w:t>
      </w:r>
      <w:r w:rsidR="005A1CAE" w:rsidRPr="005A1CAE">
        <w:rPr>
          <w:noProof/>
        </w:rPr>
        <w:t>. W</w:t>
      </w:r>
      <w:r w:rsidR="005A1CAE">
        <w:rPr>
          <w:noProof/>
        </w:rPr>
        <w:t> </w:t>
      </w:r>
      <w:r w:rsidR="005A1CAE" w:rsidRPr="005A1CAE">
        <w:rPr>
          <w:noProof/>
        </w:rPr>
        <w:t>szc</w:t>
      </w:r>
      <w:r w:rsidRPr="005A1CAE">
        <w:rPr>
          <w:noProof/>
        </w:rPr>
        <w:t>zególności Komisja będzie musiała opracować (i corocznie aktualizować) wartości domyślne dla nowych towarów dodanych do załącznika I do rozporządzenia. Ponadto rozszerzono zakres jej obowiązków</w:t>
      </w:r>
      <w:r w:rsidR="005A1CAE" w:rsidRPr="005A1CAE">
        <w:rPr>
          <w:noProof/>
        </w:rPr>
        <w:t xml:space="preserve"> w</w:t>
      </w:r>
      <w:r w:rsidR="005A1CAE">
        <w:rPr>
          <w:noProof/>
        </w:rPr>
        <w:t> </w:t>
      </w:r>
      <w:r w:rsidR="005A1CAE" w:rsidRPr="005A1CAE">
        <w:rPr>
          <w:noProof/>
        </w:rPr>
        <w:t>zak</w:t>
      </w:r>
      <w:r w:rsidRPr="005A1CAE">
        <w:rPr>
          <w:noProof/>
        </w:rPr>
        <w:t>resie monitorowania</w:t>
      </w:r>
      <w:r w:rsidR="005A1CAE" w:rsidRPr="005A1CAE">
        <w:rPr>
          <w:noProof/>
        </w:rPr>
        <w:t xml:space="preserve"> i</w:t>
      </w:r>
      <w:r w:rsidR="005A1CAE">
        <w:rPr>
          <w:noProof/>
        </w:rPr>
        <w:t> </w:t>
      </w:r>
      <w:r w:rsidR="005A1CAE" w:rsidRPr="005A1CAE">
        <w:rPr>
          <w:noProof/>
        </w:rPr>
        <w:t>wyk</w:t>
      </w:r>
      <w:r w:rsidRPr="005A1CAE">
        <w:rPr>
          <w:noProof/>
        </w:rPr>
        <w:t>rywania praktyk obchodzenia przepisów</w:t>
      </w:r>
      <w:r w:rsidR="005A1CAE" w:rsidRPr="005A1CAE">
        <w:rPr>
          <w:noProof/>
        </w:rPr>
        <w:t xml:space="preserve"> i</w:t>
      </w:r>
      <w:r w:rsidR="005A1CAE">
        <w:rPr>
          <w:noProof/>
        </w:rPr>
        <w:t> </w:t>
      </w:r>
      <w:r w:rsidR="005A1CAE" w:rsidRPr="005A1CAE">
        <w:rPr>
          <w:noProof/>
        </w:rPr>
        <w:t>uni</w:t>
      </w:r>
      <w:r w:rsidRPr="005A1CAE">
        <w:rPr>
          <w:noProof/>
        </w:rPr>
        <w:t>kania ich, co wymaga nabycia baz danych</w:t>
      </w:r>
      <w:r w:rsidR="005A1CAE" w:rsidRPr="005A1CAE">
        <w:rPr>
          <w:noProof/>
        </w:rPr>
        <w:t xml:space="preserve"> i</w:t>
      </w:r>
      <w:r w:rsidR="005A1CAE">
        <w:rPr>
          <w:noProof/>
        </w:rPr>
        <w:t> </w:t>
      </w:r>
      <w:r w:rsidR="005A1CAE" w:rsidRPr="005A1CAE">
        <w:rPr>
          <w:noProof/>
        </w:rPr>
        <w:t>bad</w:t>
      </w:r>
      <w:r w:rsidRPr="005A1CAE">
        <w:rPr>
          <w:noProof/>
        </w:rPr>
        <w:t>ań rynkowych, które zostaną uwzględnione</w:t>
      </w:r>
      <w:r w:rsidR="005A1CAE" w:rsidRPr="005A1CAE">
        <w:rPr>
          <w:noProof/>
        </w:rPr>
        <w:t xml:space="preserve"> w</w:t>
      </w:r>
      <w:r w:rsidR="005A1CAE">
        <w:rPr>
          <w:noProof/>
        </w:rPr>
        <w:t> </w:t>
      </w:r>
      <w:r w:rsidR="005A1CAE" w:rsidRPr="005A1CAE">
        <w:rPr>
          <w:noProof/>
        </w:rPr>
        <w:t>sol</w:t>
      </w:r>
      <w:r w:rsidRPr="005A1CAE">
        <w:rPr>
          <w:noProof/>
        </w:rPr>
        <w:t>idnym systemie analizy</w:t>
      </w:r>
      <w:r w:rsidR="005A1CAE" w:rsidRPr="005A1CAE">
        <w:rPr>
          <w:noProof/>
        </w:rPr>
        <w:t xml:space="preserve"> i</w:t>
      </w:r>
      <w:r w:rsidR="005A1CAE">
        <w:rPr>
          <w:noProof/>
        </w:rPr>
        <w:t> </w:t>
      </w:r>
      <w:r w:rsidR="005A1CAE" w:rsidRPr="005A1CAE">
        <w:rPr>
          <w:noProof/>
        </w:rPr>
        <w:t>wyk</w:t>
      </w:r>
      <w:r w:rsidRPr="005A1CAE">
        <w:rPr>
          <w:noProof/>
        </w:rPr>
        <w:t>rywania ryzyka. Kosztów tych nie uwzględniono</w:t>
      </w:r>
      <w:r w:rsidR="005A1CAE" w:rsidRPr="005A1CAE">
        <w:rPr>
          <w:noProof/>
        </w:rPr>
        <w:t xml:space="preserve"> w</w:t>
      </w:r>
      <w:r w:rsidR="005A1CAE">
        <w:rPr>
          <w:noProof/>
        </w:rPr>
        <w:t> </w:t>
      </w:r>
      <w:r w:rsidR="005A1CAE" w:rsidRPr="005A1CAE">
        <w:rPr>
          <w:noProof/>
        </w:rPr>
        <w:t>pop</w:t>
      </w:r>
      <w:r w:rsidRPr="005A1CAE">
        <w:rPr>
          <w:noProof/>
        </w:rPr>
        <w:t>rzedniej ocenie skutków finansowych regulacji</w:t>
      </w:r>
      <w:r w:rsidR="005A1CAE" w:rsidRPr="005A1CAE">
        <w:rPr>
          <w:noProof/>
        </w:rPr>
        <w:t xml:space="preserve"> i</w:t>
      </w:r>
      <w:r w:rsidR="005A1CAE">
        <w:rPr>
          <w:noProof/>
        </w:rPr>
        <w:t> </w:t>
      </w:r>
      <w:r w:rsidR="005A1CAE" w:rsidRPr="005A1CAE">
        <w:rPr>
          <w:noProof/>
        </w:rPr>
        <w:t>będ</w:t>
      </w:r>
      <w:r w:rsidRPr="005A1CAE">
        <w:rPr>
          <w:noProof/>
        </w:rPr>
        <w:t>ą one faktycznie pojawiać się począwszy od</w:t>
      </w:r>
      <w:r w:rsidR="005A1CAE" w:rsidRPr="005A1CAE">
        <w:rPr>
          <w:noProof/>
        </w:rPr>
        <w:t> </w:t>
      </w:r>
      <w:r w:rsidRPr="005A1CAE">
        <w:rPr>
          <w:noProof/>
        </w:rPr>
        <w:t>2027</w:t>
      </w:r>
      <w:r w:rsidR="005A1CAE" w:rsidRPr="005A1CAE">
        <w:rPr>
          <w:noProof/>
        </w:rPr>
        <w:t> </w:t>
      </w:r>
      <w:r w:rsidRPr="005A1CAE">
        <w:rPr>
          <w:noProof/>
        </w:rPr>
        <w:t xml:space="preserve">r. </w:t>
      </w:r>
    </w:p>
    <w:p w14:paraId="4A24C776" w14:textId="77777777" w:rsidR="00D0690F" w:rsidRPr="005A1CAE" w:rsidRDefault="00D0690F" w:rsidP="009F612D">
      <w:pPr>
        <w:pStyle w:val="ListDash1"/>
        <w:rPr>
          <w:noProof/>
        </w:rPr>
      </w:pPr>
      <w:r w:rsidRPr="005A1CAE">
        <w:rPr>
          <w:rFonts w:ascii="Wingdings" w:hAnsi="Wingdings"/>
          <w:noProof/>
        </w:rPr>
        <w:t></w:t>
      </w:r>
      <w:r w:rsidRPr="005A1CAE">
        <w:rPr>
          <w:noProof/>
        </w:rPr>
        <w:tab/>
        <w:t>wymaga rewizji WRF</w:t>
      </w:r>
    </w:p>
    <w:p w14:paraId="0004E432" w14:textId="6FD49683" w:rsidR="00D0690F" w:rsidRPr="005A1CAE" w:rsidRDefault="00D0690F" w:rsidP="009F612D">
      <w:pPr>
        <w:pStyle w:val="ManualHeading3"/>
        <w:rPr>
          <w:noProof/>
        </w:rPr>
      </w:pPr>
      <w:bookmarkStart w:id="168" w:name="_Toc514938058"/>
      <w:bookmarkStart w:id="169" w:name="_Toc520485056"/>
      <w:bookmarkStart w:id="170" w:name="_Toc160804600"/>
      <w:bookmarkStart w:id="171" w:name="_Toc167220299"/>
      <w:bookmarkStart w:id="172" w:name="_Toc177549033"/>
      <w:r w:rsidRPr="005A1CAE">
        <w:rPr>
          <w:noProof/>
        </w:rPr>
        <w:t>3.2.7.</w:t>
      </w:r>
      <w:r w:rsidRPr="005A1CAE">
        <w:rPr>
          <w:noProof/>
        </w:rPr>
        <w:tab/>
        <w:t>Udział osób trzecich</w:t>
      </w:r>
      <w:r w:rsidR="005A1CAE" w:rsidRPr="005A1CAE">
        <w:rPr>
          <w:noProof/>
        </w:rPr>
        <w:t xml:space="preserve"> w</w:t>
      </w:r>
      <w:r w:rsidR="005A1CAE">
        <w:rPr>
          <w:noProof/>
        </w:rPr>
        <w:t> </w:t>
      </w:r>
      <w:r w:rsidR="005A1CAE" w:rsidRPr="005A1CAE">
        <w:rPr>
          <w:noProof/>
        </w:rPr>
        <w:t>fin</w:t>
      </w:r>
      <w:r w:rsidRPr="005A1CAE">
        <w:rPr>
          <w:noProof/>
        </w:rPr>
        <w:t>ansowaniu</w:t>
      </w:r>
      <w:bookmarkEnd w:id="168"/>
      <w:bookmarkEnd w:id="169"/>
      <w:bookmarkEnd w:id="170"/>
      <w:bookmarkEnd w:id="171"/>
      <w:bookmarkEnd w:id="172"/>
      <w:r w:rsidRPr="005A1CAE">
        <w:rPr>
          <w:noProof/>
        </w:rPr>
        <w:t xml:space="preserve"> </w:t>
      </w:r>
    </w:p>
    <w:p w14:paraId="56B2FBF9" w14:textId="77777777" w:rsidR="00D0690F" w:rsidRPr="005A1CAE" w:rsidRDefault="00D0690F" w:rsidP="009F612D">
      <w:pPr>
        <w:pStyle w:val="Text1"/>
        <w:rPr>
          <w:noProof/>
        </w:rPr>
      </w:pPr>
      <w:r w:rsidRPr="005A1CAE">
        <w:rPr>
          <w:noProof/>
        </w:rPr>
        <w:t>Wniosek/inicjatywa:</w:t>
      </w:r>
    </w:p>
    <w:p w14:paraId="2B7966F0" w14:textId="77777777" w:rsidR="00D0690F" w:rsidRPr="005A1CAE" w:rsidRDefault="00836827" w:rsidP="009F612D">
      <w:pPr>
        <w:pStyle w:val="ListDash1"/>
        <w:rPr>
          <w:noProof/>
        </w:rPr>
      </w:pPr>
      <w:r w:rsidRPr="005A1CAE">
        <w:rPr>
          <w:rFonts w:ascii="Wingdings" w:hAnsi="Wingdings"/>
          <w:noProof/>
        </w:rPr>
        <w:t></w:t>
      </w:r>
      <w:r w:rsidRPr="005A1CAE">
        <w:rPr>
          <w:noProof/>
        </w:rPr>
        <w:tab/>
        <w:t>nie przewiduje współfinansowania ze strony osób trzecich</w:t>
      </w:r>
    </w:p>
    <w:p w14:paraId="6B6EC09A" w14:textId="3E0DBF9B" w:rsidR="00D0690F" w:rsidRPr="005A1CAE" w:rsidRDefault="00D0690F" w:rsidP="009F612D">
      <w:pPr>
        <w:pStyle w:val="ListDash1"/>
        <w:rPr>
          <w:noProof/>
        </w:rPr>
      </w:pPr>
      <w:r w:rsidRPr="005A1CAE">
        <w:rPr>
          <w:rFonts w:ascii="Wingdings" w:hAnsi="Wingdings"/>
          <w:noProof/>
        </w:rPr>
        <w:t></w:t>
      </w:r>
      <w:r w:rsidRPr="005A1CAE">
        <w:rPr>
          <w:noProof/>
        </w:rPr>
        <w:tab/>
        <w:t>przewiduje współfinansowanie ze strony osób trzecich zgodnie</w:t>
      </w:r>
      <w:r w:rsidR="005A1CAE" w:rsidRPr="005A1CAE">
        <w:rPr>
          <w:noProof/>
        </w:rPr>
        <w:t xml:space="preserve"> z</w:t>
      </w:r>
      <w:r w:rsidR="005A1CAE">
        <w:rPr>
          <w:noProof/>
        </w:rPr>
        <w:t> </w:t>
      </w:r>
      <w:r w:rsidR="005A1CAE" w:rsidRPr="005A1CAE">
        <w:rPr>
          <w:noProof/>
        </w:rPr>
        <w:t>pon</w:t>
      </w:r>
      <w:r w:rsidRPr="005A1CAE">
        <w:rPr>
          <w:noProof/>
        </w:rPr>
        <w:t>iższymi szacunkami:</w:t>
      </w:r>
    </w:p>
    <w:p w14:paraId="12DFD5B9" w14:textId="33A1B765" w:rsidR="00D0690F" w:rsidRPr="005A1CAE" w:rsidRDefault="00D0690F" w:rsidP="009F612D">
      <w:pPr>
        <w:jc w:val="right"/>
        <w:rPr>
          <w:noProof/>
          <w:sz w:val="20"/>
        </w:rPr>
      </w:pPr>
      <w:r w:rsidRPr="005A1CAE">
        <w:rPr>
          <w:noProof/>
          <w:sz w:val="20"/>
        </w:rPr>
        <w:t>środki</w:t>
      </w:r>
      <w:r w:rsidR="005A1CAE" w:rsidRPr="005A1CAE">
        <w:rPr>
          <w:noProof/>
          <w:sz w:val="20"/>
        </w:rPr>
        <w:t xml:space="preserve"> w</w:t>
      </w:r>
      <w:r w:rsidR="005A1CAE">
        <w:rPr>
          <w:noProof/>
          <w:sz w:val="20"/>
        </w:rPr>
        <w:t> </w:t>
      </w:r>
      <w:r w:rsidR="005A1CAE" w:rsidRPr="005A1CAE">
        <w:rPr>
          <w:noProof/>
          <w:sz w:val="20"/>
        </w:rPr>
        <w:t>mln</w:t>
      </w:r>
      <w:r w:rsidRPr="005A1CAE">
        <w:rPr>
          <w:noProof/>
          <w:sz w:val="20"/>
        </w:rPr>
        <w:t xml:space="preserve"> EUR (do trzech miejsc po przecinku)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85"/>
        <w:gridCol w:w="1187"/>
        <w:gridCol w:w="1187"/>
        <w:gridCol w:w="1186"/>
        <w:gridCol w:w="1186"/>
        <w:gridCol w:w="1426"/>
      </w:tblGrid>
      <w:tr w:rsidR="00D0690F" w:rsidRPr="005A1CAE" w14:paraId="3BA03801" w14:textId="77777777" w:rsidTr="009F612D">
        <w:trPr>
          <w:cantSplit/>
        </w:trPr>
        <w:tc>
          <w:tcPr>
            <w:tcW w:w="1591" w:type="pct"/>
          </w:tcPr>
          <w:p w14:paraId="3016E4C3" w14:textId="77777777" w:rsidR="00D0690F" w:rsidRPr="005A1CAE" w:rsidRDefault="00D0690F" w:rsidP="009F612D">
            <w:pPr>
              <w:spacing w:before="60" w:after="60"/>
              <w:rPr>
                <w:noProof/>
                <w:sz w:val="20"/>
              </w:rPr>
            </w:pPr>
          </w:p>
        </w:tc>
        <w:tc>
          <w:tcPr>
            <w:tcW w:w="655" w:type="pct"/>
            <w:vAlign w:val="center"/>
          </w:tcPr>
          <w:p w14:paraId="7952DC69" w14:textId="3CDA03A5" w:rsidR="00D0690F" w:rsidRPr="005A1CAE" w:rsidRDefault="00D0690F" w:rsidP="009F612D">
            <w:pPr>
              <w:jc w:val="center"/>
              <w:rPr>
                <w:noProof/>
                <w:sz w:val="20"/>
              </w:rPr>
            </w:pPr>
            <w:r w:rsidRPr="005A1CAE">
              <w:rPr>
                <w:noProof/>
                <w:sz w:val="20"/>
              </w:rPr>
              <w:t>Rok</w:t>
            </w:r>
            <w:r w:rsidRPr="005A1CAE">
              <w:rPr>
                <w:noProof/>
              </w:rPr>
              <w:t xml:space="preserve"> </w:t>
            </w:r>
            <w:r w:rsidRPr="005A1CAE">
              <w:rPr>
                <w:noProof/>
              </w:rPr>
              <w:br/>
            </w:r>
            <w:r w:rsidRPr="005A1CAE">
              <w:rPr>
                <w:b/>
                <w:noProof/>
                <w:sz w:val="20"/>
              </w:rPr>
              <w:t>2024</w:t>
            </w:r>
          </w:p>
        </w:tc>
        <w:tc>
          <w:tcPr>
            <w:tcW w:w="655" w:type="pct"/>
            <w:vAlign w:val="center"/>
          </w:tcPr>
          <w:p w14:paraId="7ADEA499" w14:textId="12CA973A" w:rsidR="00D0690F" w:rsidRPr="005A1CAE" w:rsidRDefault="00D0690F" w:rsidP="009F612D">
            <w:pPr>
              <w:jc w:val="center"/>
              <w:rPr>
                <w:noProof/>
                <w:sz w:val="20"/>
              </w:rPr>
            </w:pPr>
            <w:r w:rsidRPr="005A1CAE">
              <w:rPr>
                <w:noProof/>
                <w:sz w:val="20"/>
              </w:rPr>
              <w:t>Rok</w:t>
            </w:r>
            <w:r w:rsidRPr="005A1CAE">
              <w:rPr>
                <w:noProof/>
              </w:rPr>
              <w:t xml:space="preserve"> </w:t>
            </w:r>
            <w:r w:rsidRPr="005A1CAE">
              <w:rPr>
                <w:noProof/>
              </w:rPr>
              <w:br/>
            </w:r>
            <w:r w:rsidRPr="005A1CAE">
              <w:rPr>
                <w:b/>
                <w:noProof/>
                <w:sz w:val="20"/>
              </w:rPr>
              <w:t>2025</w:t>
            </w:r>
          </w:p>
        </w:tc>
        <w:tc>
          <w:tcPr>
            <w:tcW w:w="655" w:type="pct"/>
            <w:vAlign w:val="center"/>
          </w:tcPr>
          <w:p w14:paraId="4A5D768B" w14:textId="01184E16" w:rsidR="00D0690F" w:rsidRPr="005A1CAE" w:rsidRDefault="00D0690F" w:rsidP="009F612D">
            <w:pPr>
              <w:jc w:val="center"/>
              <w:rPr>
                <w:noProof/>
                <w:sz w:val="20"/>
              </w:rPr>
            </w:pPr>
            <w:r w:rsidRPr="005A1CAE">
              <w:rPr>
                <w:noProof/>
                <w:sz w:val="20"/>
              </w:rPr>
              <w:t xml:space="preserve">Rok </w:t>
            </w:r>
            <w:r w:rsidRPr="005A1CAE">
              <w:rPr>
                <w:noProof/>
              </w:rPr>
              <w:br/>
            </w:r>
            <w:r w:rsidRPr="005A1CAE">
              <w:rPr>
                <w:b/>
                <w:noProof/>
                <w:sz w:val="20"/>
              </w:rPr>
              <w:t>2026</w:t>
            </w:r>
          </w:p>
        </w:tc>
        <w:tc>
          <w:tcPr>
            <w:tcW w:w="655" w:type="pct"/>
            <w:vAlign w:val="center"/>
          </w:tcPr>
          <w:p w14:paraId="7E99A129" w14:textId="1C785672" w:rsidR="00D0690F" w:rsidRPr="005A1CAE" w:rsidRDefault="00D0690F" w:rsidP="009F612D">
            <w:pPr>
              <w:jc w:val="center"/>
              <w:rPr>
                <w:noProof/>
                <w:sz w:val="20"/>
              </w:rPr>
            </w:pPr>
            <w:r w:rsidRPr="005A1CAE">
              <w:rPr>
                <w:noProof/>
                <w:sz w:val="20"/>
              </w:rPr>
              <w:t>Rok</w:t>
            </w:r>
            <w:r w:rsidRPr="005A1CAE">
              <w:rPr>
                <w:noProof/>
              </w:rPr>
              <w:t xml:space="preserve"> </w:t>
            </w:r>
            <w:r w:rsidRPr="005A1CAE">
              <w:rPr>
                <w:noProof/>
              </w:rPr>
              <w:br/>
            </w:r>
            <w:r w:rsidRPr="005A1CAE">
              <w:rPr>
                <w:b/>
                <w:noProof/>
                <w:sz w:val="20"/>
              </w:rPr>
              <w:t>2027</w:t>
            </w:r>
          </w:p>
        </w:tc>
        <w:tc>
          <w:tcPr>
            <w:tcW w:w="787" w:type="pct"/>
            <w:vAlign w:val="center"/>
          </w:tcPr>
          <w:p w14:paraId="66C8ACF6" w14:textId="77777777" w:rsidR="00D0690F" w:rsidRPr="005A1CAE" w:rsidRDefault="00D0690F" w:rsidP="009F612D">
            <w:pPr>
              <w:spacing w:before="60" w:after="60"/>
              <w:jc w:val="center"/>
              <w:rPr>
                <w:noProof/>
                <w:sz w:val="20"/>
              </w:rPr>
            </w:pPr>
            <w:r w:rsidRPr="005A1CAE">
              <w:rPr>
                <w:noProof/>
                <w:sz w:val="20"/>
              </w:rPr>
              <w:t>Ogółem</w:t>
            </w:r>
          </w:p>
        </w:tc>
      </w:tr>
      <w:tr w:rsidR="00D0690F" w:rsidRPr="005A1CAE" w14:paraId="094CF6D6" w14:textId="77777777" w:rsidTr="009F612D">
        <w:trPr>
          <w:cantSplit/>
        </w:trPr>
        <w:tc>
          <w:tcPr>
            <w:tcW w:w="1591" w:type="pct"/>
          </w:tcPr>
          <w:p w14:paraId="0C9141A7" w14:textId="77777777" w:rsidR="00D0690F" w:rsidRPr="005A1CAE" w:rsidRDefault="00D0690F" w:rsidP="009F612D">
            <w:pPr>
              <w:rPr>
                <w:noProof/>
              </w:rPr>
            </w:pPr>
            <w:r w:rsidRPr="005A1CAE">
              <w:rPr>
                <w:noProof/>
                <w:sz w:val="20"/>
              </w:rPr>
              <w:t>Określić organ współfinansujący</w:t>
            </w:r>
            <w:r w:rsidRPr="005A1CAE">
              <w:rPr>
                <w:i/>
                <w:noProof/>
                <w:sz w:val="20"/>
              </w:rPr>
              <w:t xml:space="preserve"> </w:t>
            </w:r>
          </w:p>
        </w:tc>
        <w:tc>
          <w:tcPr>
            <w:tcW w:w="655" w:type="pct"/>
            <w:vAlign w:val="center"/>
          </w:tcPr>
          <w:p w14:paraId="3B905B7D" w14:textId="77777777" w:rsidR="00D0690F" w:rsidRPr="005A1CAE" w:rsidRDefault="00D0690F" w:rsidP="009F612D">
            <w:pPr>
              <w:spacing w:before="60" w:after="60"/>
              <w:jc w:val="center"/>
              <w:rPr>
                <w:noProof/>
                <w:sz w:val="20"/>
              </w:rPr>
            </w:pPr>
          </w:p>
        </w:tc>
        <w:tc>
          <w:tcPr>
            <w:tcW w:w="655" w:type="pct"/>
            <w:vAlign w:val="center"/>
          </w:tcPr>
          <w:p w14:paraId="2C12B09D" w14:textId="77777777" w:rsidR="00D0690F" w:rsidRPr="005A1CAE" w:rsidRDefault="00D0690F" w:rsidP="009F612D">
            <w:pPr>
              <w:spacing w:before="60" w:after="60"/>
              <w:jc w:val="center"/>
              <w:rPr>
                <w:noProof/>
                <w:sz w:val="20"/>
              </w:rPr>
            </w:pPr>
          </w:p>
        </w:tc>
        <w:tc>
          <w:tcPr>
            <w:tcW w:w="655" w:type="pct"/>
            <w:vAlign w:val="center"/>
          </w:tcPr>
          <w:p w14:paraId="640E4795" w14:textId="77777777" w:rsidR="00D0690F" w:rsidRPr="005A1CAE" w:rsidRDefault="00D0690F" w:rsidP="009F612D">
            <w:pPr>
              <w:spacing w:before="60" w:after="60"/>
              <w:jc w:val="center"/>
              <w:rPr>
                <w:noProof/>
                <w:sz w:val="20"/>
              </w:rPr>
            </w:pPr>
          </w:p>
        </w:tc>
        <w:tc>
          <w:tcPr>
            <w:tcW w:w="655" w:type="pct"/>
            <w:vAlign w:val="center"/>
          </w:tcPr>
          <w:p w14:paraId="12DD0316" w14:textId="77777777" w:rsidR="00D0690F" w:rsidRPr="005A1CAE" w:rsidRDefault="00D0690F" w:rsidP="009F612D">
            <w:pPr>
              <w:spacing w:before="60" w:after="60"/>
              <w:jc w:val="center"/>
              <w:rPr>
                <w:noProof/>
                <w:sz w:val="20"/>
              </w:rPr>
            </w:pPr>
          </w:p>
        </w:tc>
        <w:tc>
          <w:tcPr>
            <w:tcW w:w="787" w:type="pct"/>
            <w:vAlign w:val="center"/>
          </w:tcPr>
          <w:p w14:paraId="43CC224F" w14:textId="77777777" w:rsidR="00D0690F" w:rsidRPr="005A1CAE" w:rsidRDefault="00D0690F" w:rsidP="009F612D">
            <w:pPr>
              <w:spacing w:before="60" w:after="60"/>
              <w:jc w:val="center"/>
              <w:rPr>
                <w:noProof/>
                <w:sz w:val="20"/>
              </w:rPr>
            </w:pPr>
          </w:p>
        </w:tc>
      </w:tr>
      <w:tr w:rsidR="00D0690F" w:rsidRPr="005A1CAE" w14:paraId="256AD9D3" w14:textId="77777777" w:rsidTr="009F612D">
        <w:trPr>
          <w:cantSplit/>
        </w:trPr>
        <w:tc>
          <w:tcPr>
            <w:tcW w:w="1591" w:type="pct"/>
          </w:tcPr>
          <w:p w14:paraId="68A623D1" w14:textId="77777777" w:rsidR="00D0690F" w:rsidRPr="005A1CAE" w:rsidRDefault="00D0690F" w:rsidP="009F612D">
            <w:pPr>
              <w:spacing w:before="60" w:after="60"/>
              <w:jc w:val="left"/>
              <w:rPr>
                <w:noProof/>
                <w:sz w:val="20"/>
              </w:rPr>
            </w:pPr>
            <w:r w:rsidRPr="005A1CAE">
              <w:rPr>
                <w:noProof/>
                <w:sz w:val="20"/>
              </w:rPr>
              <w:t xml:space="preserve">OGÓŁEM środki objęte współfinansowaniem </w:t>
            </w:r>
          </w:p>
        </w:tc>
        <w:tc>
          <w:tcPr>
            <w:tcW w:w="655" w:type="pct"/>
            <w:vAlign w:val="center"/>
          </w:tcPr>
          <w:p w14:paraId="48B8EBFB" w14:textId="77777777" w:rsidR="00D0690F" w:rsidRPr="005A1CAE" w:rsidRDefault="00D0690F" w:rsidP="009F612D">
            <w:pPr>
              <w:spacing w:before="60" w:after="60"/>
              <w:jc w:val="center"/>
              <w:rPr>
                <w:noProof/>
                <w:sz w:val="20"/>
              </w:rPr>
            </w:pPr>
          </w:p>
        </w:tc>
        <w:tc>
          <w:tcPr>
            <w:tcW w:w="655" w:type="pct"/>
            <w:vAlign w:val="center"/>
          </w:tcPr>
          <w:p w14:paraId="7941DAF7" w14:textId="77777777" w:rsidR="00D0690F" w:rsidRPr="005A1CAE" w:rsidRDefault="00D0690F" w:rsidP="009F612D">
            <w:pPr>
              <w:spacing w:before="60" w:after="60"/>
              <w:jc w:val="center"/>
              <w:rPr>
                <w:noProof/>
                <w:sz w:val="20"/>
              </w:rPr>
            </w:pPr>
          </w:p>
        </w:tc>
        <w:tc>
          <w:tcPr>
            <w:tcW w:w="655" w:type="pct"/>
            <w:vAlign w:val="center"/>
          </w:tcPr>
          <w:p w14:paraId="6E7A2D50" w14:textId="77777777" w:rsidR="00D0690F" w:rsidRPr="005A1CAE" w:rsidRDefault="00D0690F" w:rsidP="009F612D">
            <w:pPr>
              <w:spacing w:before="60" w:after="60"/>
              <w:jc w:val="center"/>
              <w:rPr>
                <w:noProof/>
                <w:sz w:val="20"/>
              </w:rPr>
            </w:pPr>
          </w:p>
        </w:tc>
        <w:tc>
          <w:tcPr>
            <w:tcW w:w="655" w:type="pct"/>
            <w:vAlign w:val="center"/>
          </w:tcPr>
          <w:p w14:paraId="6029525E" w14:textId="77777777" w:rsidR="00D0690F" w:rsidRPr="005A1CAE" w:rsidRDefault="00D0690F" w:rsidP="009F612D">
            <w:pPr>
              <w:spacing w:before="60" w:after="60"/>
              <w:jc w:val="center"/>
              <w:rPr>
                <w:noProof/>
                <w:sz w:val="20"/>
              </w:rPr>
            </w:pPr>
          </w:p>
        </w:tc>
        <w:tc>
          <w:tcPr>
            <w:tcW w:w="787" w:type="pct"/>
            <w:vAlign w:val="center"/>
          </w:tcPr>
          <w:p w14:paraId="2C49C72D" w14:textId="77777777" w:rsidR="00D0690F" w:rsidRPr="005A1CAE" w:rsidRDefault="00D0690F" w:rsidP="009F612D">
            <w:pPr>
              <w:spacing w:before="60" w:after="60"/>
              <w:jc w:val="center"/>
              <w:rPr>
                <w:noProof/>
                <w:sz w:val="20"/>
              </w:rPr>
            </w:pPr>
          </w:p>
        </w:tc>
      </w:tr>
    </w:tbl>
    <w:p w14:paraId="0F332A47" w14:textId="77777777" w:rsidR="00D0690F" w:rsidRPr="005A1CAE" w:rsidRDefault="00D0690F" w:rsidP="009F612D">
      <w:pPr>
        <w:outlineLvl w:val="1"/>
        <w:rPr>
          <w:noProof/>
          <w:szCs w:val="24"/>
        </w:rPr>
      </w:pPr>
      <w:r w:rsidRPr="005A1CAE">
        <w:rPr>
          <w:noProof/>
        </w:rPr>
        <w:t xml:space="preserve"> </w:t>
      </w:r>
      <w:r w:rsidRPr="005A1CAE">
        <w:rPr>
          <w:noProof/>
        </w:rPr>
        <w:br/>
      </w:r>
      <w:bookmarkStart w:id="173" w:name="_Toc514938059"/>
      <w:bookmarkStart w:id="174" w:name="_Toc520485057"/>
      <w:bookmarkStart w:id="175" w:name="_Toc160804602"/>
      <w:bookmarkStart w:id="176" w:name="_Toc167220300"/>
      <w:bookmarkStart w:id="177" w:name="_Toc177549034"/>
      <w:bookmarkStart w:id="178" w:name="_Hlk166860179"/>
      <w:r w:rsidRPr="005A1CAE">
        <w:rPr>
          <w:noProof/>
        </w:rPr>
        <w:t>3.3.</w:t>
      </w:r>
      <w:r w:rsidRPr="005A1CAE">
        <w:rPr>
          <w:noProof/>
        </w:rPr>
        <w:tab/>
        <w:t>Szacunkowy wpływ na dochody</w:t>
      </w:r>
      <w:bookmarkEnd w:id="173"/>
      <w:bookmarkEnd w:id="174"/>
      <w:bookmarkEnd w:id="175"/>
      <w:bookmarkEnd w:id="176"/>
      <w:bookmarkEnd w:id="177"/>
      <w:r w:rsidRPr="005A1CAE">
        <w:rPr>
          <w:noProof/>
        </w:rPr>
        <w:t xml:space="preserve"> </w:t>
      </w:r>
    </w:p>
    <w:bookmarkEnd w:id="178"/>
    <w:p w14:paraId="38E9A93B" w14:textId="77777777" w:rsidR="00D0690F" w:rsidRPr="005A1CAE" w:rsidRDefault="00D0690F" w:rsidP="009F612D">
      <w:pPr>
        <w:pStyle w:val="ListDash1"/>
        <w:rPr>
          <w:noProof/>
        </w:rPr>
      </w:pPr>
      <w:r w:rsidRPr="005A1CAE">
        <w:rPr>
          <w:rFonts w:ascii="Wingdings" w:hAnsi="Wingdings"/>
          <w:noProof/>
        </w:rPr>
        <w:t></w:t>
      </w:r>
      <w:r w:rsidRPr="005A1CAE">
        <w:rPr>
          <w:noProof/>
        </w:rPr>
        <w:tab/>
        <w:t>Wniosek/inicjatywa nie ma wpływu finansowego na dochody</w:t>
      </w:r>
    </w:p>
    <w:p w14:paraId="770E0230" w14:textId="77777777" w:rsidR="00D0690F" w:rsidRPr="005A1CAE" w:rsidRDefault="00C56942" w:rsidP="009F612D">
      <w:pPr>
        <w:pStyle w:val="ListDash1"/>
        <w:rPr>
          <w:noProof/>
        </w:rPr>
      </w:pPr>
      <w:r w:rsidRPr="005A1CAE">
        <w:rPr>
          <w:rFonts w:ascii="Wingdings" w:hAnsi="Wingdings"/>
          <w:noProof/>
        </w:rPr>
        <w:t></w:t>
      </w:r>
      <w:r w:rsidRPr="005A1CAE">
        <w:rPr>
          <w:noProof/>
        </w:rPr>
        <w:tab/>
        <w:t>Wniosek/inicjatywa ma wpływ finansowy określony poniżej:</w:t>
      </w:r>
    </w:p>
    <w:p w14:paraId="6F76EFC2" w14:textId="77777777" w:rsidR="00D0690F" w:rsidRPr="005A1CAE" w:rsidRDefault="00C56942" w:rsidP="00D0690F">
      <w:pPr>
        <w:pStyle w:val="ListNumberLevel3"/>
        <w:rPr>
          <w:noProof/>
        </w:rPr>
      </w:pPr>
      <w:r w:rsidRPr="005A1CAE">
        <w:rPr>
          <w:rFonts w:ascii="Wingdings" w:hAnsi="Wingdings"/>
          <w:noProof/>
        </w:rPr>
        <w:t></w:t>
      </w:r>
      <w:r w:rsidRPr="005A1CAE">
        <w:rPr>
          <w:noProof/>
        </w:rPr>
        <w:tab/>
        <w:t xml:space="preserve">wpływ na zasoby własne </w:t>
      </w:r>
    </w:p>
    <w:p w14:paraId="40D8DD4A" w14:textId="77777777" w:rsidR="00D0690F" w:rsidRPr="005A1CAE" w:rsidRDefault="00C56942" w:rsidP="00D0690F">
      <w:pPr>
        <w:pStyle w:val="ListNumberLevel3"/>
        <w:rPr>
          <w:noProof/>
        </w:rPr>
      </w:pPr>
      <w:r w:rsidRPr="005A1CAE">
        <w:rPr>
          <w:rFonts w:ascii="Wingdings" w:hAnsi="Wingdings"/>
          <w:noProof/>
        </w:rPr>
        <w:t></w:t>
      </w:r>
      <w:r w:rsidRPr="005A1CAE">
        <w:rPr>
          <w:noProof/>
        </w:rPr>
        <w:tab/>
        <w:t>wpływ na dochody inne</w:t>
      </w:r>
    </w:p>
    <w:p w14:paraId="5AAE2471" w14:textId="77777777" w:rsidR="00D0690F" w:rsidRPr="005A1CAE" w:rsidRDefault="00C56942" w:rsidP="00D0690F">
      <w:pPr>
        <w:pStyle w:val="ListNumberLevel3"/>
        <w:rPr>
          <w:noProof/>
        </w:rPr>
      </w:pPr>
      <w:r w:rsidRPr="005A1CAE">
        <w:rPr>
          <w:rFonts w:ascii="Wingdings" w:hAnsi="Wingdings"/>
          <w:noProof/>
        </w:rPr>
        <w:t></w:t>
      </w:r>
      <w:r w:rsidRPr="005A1CAE">
        <w:rPr>
          <w:noProof/>
        </w:rPr>
        <w:tab/>
        <w:t>Wskazać, czy dochody są przypisane do linii budżetowej po stronie wydatków</w:t>
      </w:r>
    </w:p>
    <w:p w14:paraId="65B8E49B" w14:textId="01737E58" w:rsidR="00D0690F" w:rsidRPr="005A1CAE" w:rsidRDefault="00D0690F" w:rsidP="009F612D">
      <w:pPr>
        <w:jc w:val="right"/>
        <w:rPr>
          <w:noProof/>
          <w:sz w:val="20"/>
        </w:rPr>
      </w:pPr>
      <w:r w:rsidRPr="005A1CAE">
        <w:rPr>
          <w:noProof/>
          <w:sz w:val="20"/>
        </w:rPr>
        <w:t>w mln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1"/>
        <w:gridCol w:w="1387"/>
        <w:gridCol w:w="1454"/>
        <w:gridCol w:w="897"/>
        <w:gridCol w:w="890"/>
        <w:gridCol w:w="1082"/>
        <w:gridCol w:w="1082"/>
      </w:tblGrid>
      <w:tr w:rsidR="00C56942" w:rsidRPr="005A1CAE" w14:paraId="26571350" w14:textId="77777777" w:rsidTr="00C56942">
        <w:trPr>
          <w:trHeight w:val="388"/>
        </w:trPr>
        <w:tc>
          <w:tcPr>
            <w:tcW w:w="1253" w:type="pct"/>
            <w:vMerge w:val="restart"/>
            <w:vAlign w:val="center"/>
          </w:tcPr>
          <w:p w14:paraId="0126FB2F" w14:textId="77777777" w:rsidR="00C56942" w:rsidRPr="005A1CAE" w:rsidRDefault="00C56942" w:rsidP="009F612D">
            <w:pPr>
              <w:spacing w:before="40" w:after="40"/>
              <w:rPr>
                <w:noProof/>
                <w:sz w:val="18"/>
              </w:rPr>
            </w:pPr>
            <w:r w:rsidRPr="005A1CAE">
              <w:rPr>
                <w:noProof/>
                <w:sz w:val="18"/>
              </w:rPr>
              <w:t>Linia budżetowa po stronie dochodów</w:t>
            </w:r>
          </w:p>
        </w:tc>
        <w:tc>
          <w:tcPr>
            <w:tcW w:w="765" w:type="pct"/>
            <w:vMerge w:val="restart"/>
            <w:vAlign w:val="center"/>
          </w:tcPr>
          <w:p w14:paraId="4F7EEAA1" w14:textId="1856E164" w:rsidR="00C56942" w:rsidRPr="005A1CAE" w:rsidRDefault="00C56942" w:rsidP="009F612D">
            <w:pPr>
              <w:jc w:val="center"/>
              <w:rPr>
                <w:noProof/>
                <w:sz w:val="18"/>
              </w:rPr>
            </w:pPr>
            <w:r w:rsidRPr="005A1CAE">
              <w:rPr>
                <w:noProof/>
                <w:sz w:val="18"/>
              </w:rPr>
              <w:t>Środki zapisane</w:t>
            </w:r>
            <w:r w:rsidR="005A1CAE" w:rsidRPr="005A1CAE">
              <w:rPr>
                <w:noProof/>
                <w:sz w:val="18"/>
              </w:rPr>
              <w:t xml:space="preserve"> w</w:t>
            </w:r>
            <w:r w:rsidR="005A1CAE">
              <w:rPr>
                <w:noProof/>
                <w:sz w:val="18"/>
              </w:rPr>
              <w:t> </w:t>
            </w:r>
            <w:r w:rsidR="005A1CAE" w:rsidRPr="005A1CAE">
              <w:rPr>
                <w:noProof/>
                <w:sz w:val="18"/>
              </w:rPr>
              <w:t>bud</w:t>
            </w:r>
            <w:r w:rsidRPr="005A1CAE">
              <w:rPr>
                <w:noProof/>
                <w:sz w:val="18"/>
              </w:rPr>
              <w:t>żecie na bieżący rok budżetowy</w:t>
            </w:r>
          </w:p>
        </w:tc>
        <w:tc>
          <w:tcPr>
            <w:tcW w:w="2982" w:type="pct"/>
            <w:gridSpan w:val="5"/>
            <w:vAlign w:val="center"/>
          </w:tcPr>
          <w:p w14:paraId="52FBF0F0" w14:textId="77777777" w:rsidR="00C56942" w:rsidRPr="005A1CAE" w:rsidRDefault="00C56942" w:rsidP="009F612D">
            <w:pPr>
              <w:jc w:val="center"/>
              <w:rPr>
                <w:noProof/>
                <w:sz w:val="18"/>
                <w:szCs w:val="18"/>
              </w:rPr>
            </w:pPr>
            <w:r w:rsidRPr="005A1CAE">
              <w:rPr>
                <w:noProof/>
                <w:sz w:val="18"/>
              </w:rPr>
              <w:t>Wpływ wniosku/inicjatywy</w:t>
            </w:r>
            <w:r w:rsidRPr="005A1CAE">
              <w:rPr>
                <w:rStyle w:val="Odwoanieprzypisudolnego"/>
                <w:noProof/>
                <w:sz w:val="18"/>
                <w:szCs w:val="18"/>
              </w:rPr>
              <w:footnoteReference w:id="34"/>
            </w:r>
          </w:p>
        </w:tc>
      </w:tr>
      <w:tr w:rsidR="00C56942" w:rsidRPr="005A1CAE" w14:paraId="29009B68" w14:textId="77777777">
        <w:trPr>
          <w:trHeight w:val="388"/>
        </w:trPr>
        <w:tc>
          <w:tcPr>
            <w:tcW w:w="1253" w:type="pct"/>
            <w:vMerge/>
          </w:tcPr>
          <w:p w14:paraId="758C9BA8" w14:textId="77777777" w:rsidR="00C56942" w:rsidRPr="005A1CAE" w:rsidRDefault="00C56942" w:rsidP="00C56942">
            <w:pPr>
              <w:spacing w:before="40" w:after="40"/>
              <w:rPr>
                <w:noProof/>
                <w:sz w:val="18"/>
              </w:rPr>
            </w:pPr>
          </w:p>
        </w:tc>
        <w:tc>
          <w:tcPr>
            <w:tcW w:w="765" w:type="pct"/>
            <w:vMerge/>
          </w:tcPr>
          <w:p w14:paraId="2E3C73B1" w14:textId="77777777" w:rsidR="00C56942" w:rsidRPr="005A1CAE" w:rsidRDefault="00C56942" w:rsidP="00C56942">
            <w:pPr>
              <w:spacing w:beforeLines="40" w:before="96" w:afterLines="40" w:after="96"/>
              <w:rPr>
                <w:i/>
                <w:noProof/>
                <w:sz w:val="18"/>
              </w:rPr>
            </w:pPr>
          </w:p>
        </w:tc>
        <w:tc>
          <w:tcPr>
            <w:tcW w:w="802" w:type="pct"/>
            <w:vAlign w:val="center"/>
          </w:tcPr>
          <w:p w14:paraId="602F2A49" w14:textId="77777777" w:rsidR="00C56942" w:rsidRPr="005A1CAE" w:rsidRDefault="00C56942" w:rsidP="00C56942">
            <w:pPr>
              <w:jc w:val="center"/>
              <w:rPr>
                <w:noProof/>
                <w:sz w:val="18"/>
              </w:rPr>
            </w:pPr>
            <w:r w:rsidRPr="005A1CAE">
              <w:rPr>
                <w:noProof/>
                <w:sz w:val="18"/>
              </w:rPr>
              <w:t xml:space="preserve">Rok </w:t>
            </w:r>
            <w:r w:rsidRPr="005A1CAE">
              <w:rPr>
                <w:b/>
                <w:noProof/>
                <w:sz w:val="18"/>
              </w:rPr>
              <w:t>2026</w:t>
            </w:r>
          </w:p>
        </w:tc>
        <w:tc>
          <w:tcPr>
            <w:tcW w:w="495" w:type="pct"/>
            <w:vAlign w:val="center"/>
          </w:tcPr>
          <w:p w14:paraId="0C761C52" w14:textId="77777777" w:rsidR="00C56942" w:rsidRPr="005A1CAE" w:rsidRDefault="00C56942" w:rsidP="00C56942">
            <w:pPr>
              <w:jc w:val="center"/>
              <w:rPr>
                <w:noProof/>
                <w:sz w:val="18"/>
              </w:rPr>
            </w:pPr>
            <w:r w:rsidRPr="005A1CAE">
              <w:rPr>
                <w:noProof/>
                <w:sz w:val="18"/>
              </w:rPr>
              <w:t xml:space="preserve">Rok </w:t>
            </w:r>
            <w:r w:rsidRPr="005A1CAE">
              <w:rPr>
                <w:b/>
                <w:noProof/>
                <w:sz w:val="18"/>
              </w:rPr>
              <w:t>2027</w:t>
            </w:r>
          </w:p>
        </w:tc>
        <w:tc>
          <w:tcPr>
            <w:tcW w:w="491" w:type="pct"/>
            <w:vAlign w:val="center"/>
          </w:tcPr>
          <w:p w14:paraId="2A293B8D" w14:textId="77777777" w:rsidR="00C56942" w:rsidRPr="005A1CAE" w:rsidRDefault="00C56942" w:rsidP="00C56942">
            <w:pPr>
              <w:jc w:val="center"/>
              <w:rPr>
                <w:noProof/>
                <w:sz w:val="18"/>
              </w:rPr>
            </w:pPr>
            <w:r w:rsidRPr="005A1CAE">
              <w:rPr>
                <w:noProof/>
                <w:sz w:val="18"/>
              </w:rPr>
              <w:t xml:space="preserve">Rok </w:t>
            </w:r>
            <w:r w:rsidRPr="005A1CAE">
              <w:rPr>
                <w:b/>
                <w:noProof/>
                <w:sz w:val="18"/>
              </w:rPr>
              <w:t>2028</w:t>
            </w:r>
          </w:p>
        </w:tc>
        <w:tc>
          <w:tcPr>
            <w:tcW w:w="597" w:type="pct"/>
            <w:vAlign w:val="center"/>
          </w:tcPr>
          <w:p w14:paraId="0ADE47D3" w14:textId="77777777" w:rsidR="00C56942" w:rsidRPr="005A1CAE" w:rsidRDefault="00C56942" w:rsidP="00C56942">
            <w:pPr>
              <w:jc w:val="center"/>
              <w:rPr>
                <w:noProof/>
                <w:sz w:val="18"/>
              </w:rPr>
            </w:pPr>
            <w:r w:rsidRPr="005A1CAE">
              <w:rPr>
                <w:noProof/>
                <w:sz w:val="18"/>
              </w:rPr>
              <w:t xml:space="preserve">Rok </w:t>
            </w:r>
            <w:r w:rsidRPr="005A1CAE">
              <w:rPr>
                <w:b/>
                <w:noProof/>
                <w:sz w:val="18"/>
              </w:rPr>
              <w:t>2029</w:t>
            </w:r>
          </w:p>
        </w:tc>
        <w:tc>
          <w:tcPr>
            <w:tcW w:w="597" w:type="pct"/>
            <w:vAlign w:val="center"/>
          </w:tcPr>
          <w:p w14:paraId="0C761497" w14:textId="77777777" w:rsidR="00C56942" w:rsidRPr="005A1CAE" w:rsidRDefault="00C56942" w:rsidP="00C56942">
            <w:pPr>
              <w:jc w:val="center"/>
              <w:rPr>
                <w:noProof/>
                <w:sz w:val="18"/>
              </w:rPr>
            </w:pPr>
            <w:r w:rsidRPr="005A1CAE">
              <w:rPr>
                <w:noProof/>
                <w:sz w:val="18"/>
              </w:rPr>
              <w:t xml:space="preserve">Rok </w:t>
            </w:r>
            <w:r w:rsidRPr="005A1CAE">
              <w:rPr>
                <w:b/>
                <w:noProof/>
                <w:sz w:val="18"/>
              </w:rPr>
              <w:t>2030</w:t>
            </w:r>
          </w:p>
        </w:tc>
      </w:tr>
      <w:tr w:rsidR="00C56942" w:rsidRPr="005A1CAE" w14:paraId="6603CED4" w14:textId="77777777" w:rsidTr="00C56942">
        <w:trPr>
          <w:trHeight w:val="388"/>
        </w:trPr>
        <w:tc>
          <w:tcPr>
            <w:tcW w:w="1253" w:type="pct"/>
            <w:vAlign w:val="center"/>
          </w:tcPr>
          <w:p w14:paraId="1756A140" w14:textId="77777777" w:rsidR="00C56942" w:rsidRPr="005A1CAE" w:rsidRDefault="00C56942" w:rsidP="00C56942">
            <w:pPr>
              <w:spacing w:before="40" w:after="40"/>
              <w:rPr>
                <w:noProof/>
                <w:sz w:val="18"/>
              </w:rPr>
            </w:pPr>
            <w:r w:rsidRPr="005A1CAE">
              <w:rPr>
                <w:noProof/>
                <w:sz w:val="18"/>
              </w:rPr>
              <w:t xml:space="preserve">Artykuł </w:t>
            </w:r>
          </w:p>
        </w:tc>
        <w:tc>
          <w:tcPr>
            <w:tcW w:w="765" w:type="pct"/>
          </w:tcPr>
          <w:p w14:paraId="7174DE20" w14:textId="77777777" w:rsidR="00C56942" w:rsidRPr="005A1CAE" w:rsidRDefault="00C56942" w:rsidP="00C56942">
            <w:pPr>
              <w:spacing w:beforeLines="40" w:before="96" w:afterLines="40" w:after="96"/>
              <w:jc w:val="center"/>
              <w:rPr>
                <w:i/>
                <w:noProof/>
                <w:sz w:val="18"/>
              </w:rPr>
            </w:pPr>
          </w:p>
        </w:tc>
        <w:tc>
          <w:tcPr>
            <w:tcW w:w="802" w:type="pct"/>
          </w:tcPr>
          <w:p w14:paraId="2B7A7593" w14:textId="77777777" w:rsidR="00C56942" w:rsidRPr="005A1CAE" w:rsidRDefault="00C56942" w:rsidP="00C56942">
            <w:pPr>
              <w:spacing w:beforeLines="40" w:before="96" w:afterLines="40" w:after="96"/>
              <w:jc w:val="center"/>
              <w:rPr>
                <w:noProof/>
                <w:sz w:val="18"/>
              </w:rPr>
            </w:pPr>
            <w:r w:rsidRPr="005A1CAE">
              <w:rPr>
                <w:noProof/>
                <w:sz w:val="18"/>
              </w:rPr>
              <w:t xml:space="preserve">p.m. </w:t>
            </w:r>
          </w:p>
        </w:tc>
        <w:tc>
          <w:tcPr>
            <w:tcW w:w="495" w:type="pct"/>
          </w:tcPr>
          <w:p w14:paraId="13FD5D4D" w14:textId="77777777" w:rsidR="00C56942" w:rsidRPr="005A1CAE" w:rsidRDefault="00C56942" w:rsidP="00C56942">
            <w:pPr>
              <w:spacing w:beforeLines="40" w:before="96" w:afterLines="40" w:after="96"/>
              <w:jc w:val="center"/>
              <w:rPr>
                <w:noProof/>
                <w:sz w:val="18"/>
              </w:rPr>
            </w:pPr>
            <w:r w:rsidRPr="005A1CAE">
              <w:rPr>
                <w:noProof/>
                <w:sz w:val="18"/>
              </w:rPr>
              <w:t>p.m.</w:t>
            </w:r>
          </w:p>
        </w:tc>
        <w:tc>
          <w:tcPr>
            <w:tcW w:w="491" w:type="pct"/>
          </w:tcPr>
          <w:p w14:paraId="79F0FEBA" w14:textId="77777777" w:rsidR="00C56942" w:rsidRPr="005A1CAE" w:rsidRDefault="00C56942" w:rsidP="00C56942">
            <w:pPr>
              <w:spacing w:beforeLines="40" w:before="96" w:afterLines="40" w:after="96"/>
              <w:jc w:val="center"/>
              <w:rPr>
                <w:noProof/>
                <w:sz w:val="18"/>
              </w:rPr>
            </w:pPr>
            <w:r w:rsidRPr="005A1CAE">
              <w:rPr>
                <w:noProof/>
                <w:sz w:val="18"/>
              </w:rPr>
              <w:t>p.m.</w:t>
            </w:r>
          </w:p>
        </w:tc>
        <w:tc>
          <w:tcPr>
            <w:tcW w:w="597" w:type="pct"/>
          </w:tcPr>
          <w:p w14:paraId="2D6928C5" w14:textId="77777777" w:rsidR="00C56942" w:rsidRPr="005A1CAE" w:rsidRDefault="00C56942" w:rsidP="00C56942">
            <w:pPr>
              <w:spacing w:beforeLines="40" w:before="96" w:afterLines="40" w:after="96"/>
              <w:jc w:val="center"/>
              <w:rPr>
                <w:noProof/>
                <w:sz w:val="18"/>
              </w:rPr>
            </w:pPr>
            <w:r w:rsidRPr="005A1CAE">
              <w:rPr>
                <w:noProof/>
                <w:sz w:val="18"/>
              </w:rPr>
              <w:t>p.m.</w:t>
            </w:r>
          </w:p>
        </w:tc>
        <w:tc>
          <w:tcPr>
            <w:tcW w:w="597" w:type="pct"/>
          </w:tcPr>
          <w:p w14:paraId="364DE981" w14:textId="77777777" w:rsidR="00C56942" w:rsidRPr="005A1CAE" w:rsidRDefault="00C56942" w:rsidP="00C56942">
            <w:pPr>
              <w:spacing w:beforeLines="40" w:before="96" w:afterLines="40" w:after="96"/>
              <w:jc w:val="center"/>
              <w:rPr>
                <w:noProof/>
                <w:sz w:val="18"/>
              </w:rPr>
            </w:pPr>
            <w:r w:rsidRPr="005A1CAE">
              <w:rPr>
                <w:noProof/>
                <w:sz w:val="18"/>
              </w:rPr>
              <w:t>p.m.</w:t>
            </w:r>
          </w:p>
        </w:tc>
      </w:tr>
    </w:tbl>
    <w:p w14:paraId="3B229A78" w14:textId="77777777" w:rsidR="00D0690F" w:rsidRPr="005A1CAE" w:rsidRDefault="00D0690F" w:rsidP="009F612D">
      <w:pPr>
        <w:pStyle w:val="Text1"/>
        <w:rPr>
          <w:noProof/>
          <w:szCs w:val="24"/>
        </w:rPr>
      </w:pPr>
      <w:r w:rsidRPr="005A1CAE">
        <w:rPr>
          <w:noProof/>
        </w:rPr>
        <w:t>W przypadku wpływu na dochody przeznaczone na określony cel należy wskazać linie budżetowe po stronie wydatków, które ten wpływ obejmie.</w:t>
      </w:r>
    </w:p>
    <w:p w14:paraId="398CC64F" w14:textId="77777777" w:rsidR="00D0690F" w:rsidRPr="005A1CAE" w:rsidRDefault="00C56942" w:rsidP="009F612D">
      <w:pPr>
        <w:pStyle w:val="Text1"/>
        <w:pBdr>
          <w:top w:val="single" w:sz="4" w:space="1" w:color="auto"/>
          <w:left w:val="single" w:sz="4" w:space="4" w:color="auto"/>
          <w:bottom w:val="single" w:sz="4" w:space="1" w:color="auto"/>
          <w:right w:val="single" w:sz="4" w:space="4" w:color="auto"/>
        </w:pBdr>
        <w:rPr>
          <w:noProof/>
        </w:rPr>
      </w:pPr>
      <w:r w:rsidRPr="005A1CAE">
        <w:rPr>
          <w:noProof/>
        </w:rPr>
        <w:t>09 20 04 01</w:t>
      </w:r>
    </w:p>
    <w:p w14:paraId="68A0A0EF" w14:textId="77777777" w:rsidR="00D0690F" w:rsidRPr="005A1CAE" w:rsidRDefault="00D0690F" w:rsidP="009F612D">
      <w:pPr>
        <w:pStyle w:val="Text1"/>
        <w:rPr>
          <w:noProof/>
          <w:szCs w:val="24"/>
        </w:rPr>
      </w:pPr>
      <w:r w:rsidRPr="005A1CAE">
        <w:rPr>
          <w:noProof/>
        </w:rPr>
        <w:lastRenderedPageBreak/>
        <w:t>Pozostałe uwagi (np. metoda/wzór użyte do obliczenia wpływu na dochody albo inne informacje).</w:t>
      </w:r>
    </w:p>
    <w:p w14:paraId="754AE1AA" w14:textId="2B47D5FF" w:rsidR="00C56942" w:rsidRPr="005A1CAE" w:rsidRDefault="00C56942" w:rsidP="00C56942">
      <w:pPr>
        <w:pStyle w:val="Text1"/>
        <w:pBdr>
          <w:top w:val="single" w:sz="4" w:space="1" w:color="auto"/>
          <w:left w:val="single" w:sz="4" w:space="4" w:color="auto"/>
          <w:bottom w:val="single" w:sz="4" w:space="1" w:color="auto"/>
          <w:right w:val="single" w:sz="4" w:space="4" w:color="auto"/>
        </w:pBdr>
        <w:rPr>
          <w:noProof/>
        </w:rPr>
      </w:pPr>
      <w:r w:rsidRPr="005A1CAE">
        <w:rPr>
          <w:noProof/>
        </w:rPr>
        <w:t>Wpływ na zasoby własne oznaczono jako „p.m.” podobnie jak</w:t>
      </w:r>
      <w:r w:rsidR="005A1CAE" w:rsidRPr="005A1CAE">
        <w:rPr>
          <w:noProof/>
        </w:rPr>
        <w:t xml:space="preserve"> w</w:t>
      </w:r>
      <w:r w:rsidR="005A1CAE">
        <w:rPr>
          <w:noProof/>
        </w:rPr>
        <w:t> </w:t>
      </w:r>
      <w:r w:rsidR="005A1CAE" w:rsidRPr="005A1CAE">
        <w:rPr>
          <w:noProof/>
        </w:rPr>
        <w:t>prz</w:t>
      </w:r>
      <w:r w:rsidRPr="005A1CAE">
        <w:rPr>
          <w:noProof/>
        </w:rPr>
        <w:t>ypadku wniosku Komisji COM(2025)574</w:t>
      </w:r>
      <w:r w:rsidR="005A1CAE" w:rsidRPr="005A1CAE">
        <w:rPr>
          <w:noProof/>
        </w:rPr>
        <w:t xml:space="preserve"> w</w:t>
      </w:r>
      <w:r w:rsidR="005A1CAE">
        <w:rPr>
          <w:noProof/>
        </w:rPr>
        <w:t> </w:t>
      </w:r>
      <w:r w:rsidR="005A1CAE" w:rsidRPr="005A1CAE">
        <w:rPr>
          <w:noProof/>
        </w:rPr>
        <w:t>spr</w:t>
      </w:r>
      <w:r w:rsidRPr="005A1CAE">
        <w:rPr>
          <w:noProof/>
        </w:rPr>
        <w:t>awie zmiany decyzji</w:t>
      </w:r>
      <w:r w:rsidR="005A1CAE" w:rsidRPr="005A1CAE">
        <w:rPr>
          <w:noProof/>
        </w:rPr>
        <w:t xml:space="preserve"> w</w:t>
      </w:r>
      <w:r w:rsidR="005A1CAE">
        <w:rPr>
          <w:noProof/>
        </w:rPr>
        <w:t> </w:t>
      </w:r>
      <w:r w:rsidR="005A1CAE" w:rsidRPr="005A1CAE">
        <w:rPr>
          <w:noProof/>
        </w:rPr>
        <w:t>spr</w:t>
      </w:r>
      <w:r w:rsidRPr="005A1CAE">
        <w:rPr>
          <w:noProof/>
        </w:rPr>
        <w:t>awie systemu zasobów własnych Unii Europejskiej.</w:t>
      </w:r>
    </w:p>
    <w:p w14:paraId="54C025BA" w14:textId="10495AEC" w:rsidR="00C56942" w:rsidRPr="005A1CAE" w:rsidRDefault="00C56942" w:rsidP="00C56942">
      <w:pPr>
        <w:pStyle w:val="Text1"/>
        <w:pBdr>
          <w:top w:val="single" w:sz="4" w:space="1" w:color="auto"/>
          <w:left w:val="single" w:sz="4" w:space="4" w:color="auto"/>
          <w:bottom w:val="single" w:sz="4" w:space="1" w:color="auto"/>
          <w:right w:val="single" w:sz="4" w:space="4" w:color="auto"/>
        </w:pBdr>
        <w:rPr>
          <w:noProof/>
        </w:rPr>
      </w:pPr>
      <w:r w:rsidRPr="005A1CAE">
        <w:rPr>
          <w:noProof/>
        </w:rPr>
        <w:t>Wpływ na inne dochody oznaczono jako „p.m.” podobnie jak</w:t>
      </w:r>
      <w:r w:rsidR="005A1CAE" w:rsidRPr="005A1CAE">
        <w:rPr>
          <w:noProof/>
        </w:rPr>
        <w:t xml:space="preserve"> w</w:t>
      </w:r>
      <w:r w:rsidR="005A1CAE">
        <w:rPr>
          <w:noProof/>
        </w:rPr>
        <w:t> </w:t>
      </w:r>
      <w:r w:rsidR="005A1CAE" w:rsidRPr="005A1CAE">
        <w:rPr>
          <w:noProof/>
        </w:rPr>
        <w:t>prz</w:t>
      </w:r>
      <w:r w:rsidRPr="005A1CAE">
        <w:rPr>
          <w:noProof/>
        </w:rPr>
        <w:t>ypadku poboru dochodów</w:t>
      </w:r>
      <w:r w:rsidR="005A1CAE" w:rsidRPr="005A1CAE">
        <w:rPr>
          <w:noProof/>
        </w:rPr>
        <w:t xml:space="preserve"> z</w:t>
      </w:r>
      <w:r w:rsidR="005A1CAE">
        <w:rPr>
          <w:noProof/>
        </w:rPr>
        <w:t> </w:t>
      </w:r>
      <w:r w:rsidR="005A1CAE" w:rsidRPr="005A1CAE">
        <w:rPr>
          <w:noProof/>
        </w:rPr>
        <w:t>opł</w:t>
      </w:r>
      <w:r w:rsidRPr="005A1CAE">
        <w:rPr>
          <w:noProof/>
        </w:rPr>
        <w:t>at (art.</w:t>
      </w:r>
      <w:r w:rsidR="005A1CAE" w:rsidRPr="005A1CAE">
        <w:rPr>
          <w:noProof/>
        </w:rPr>
        <w:t> </w:t>
      </w:r>
      <w:r w:rsidRPr="005A1CAE">
        <w:rPr>
          <w:noProof/>
        </w:rPr>
        <w:t>20) na finansowanie wspólnej platformy CBAM, których szacunki będą znane dopiero po ustanowieniu zasad dotyczących opłat.</w:t>
      </w:r>
    </w:p>
    <w:p w14:paraId="6A742ADB" w14:textId="77777777" w:rsidR="00D0690F" w:rsidRPr="005A1CAE" w:rsidRDefault="00D0690F" w:rsidP="009F612D">
      <w:pPr>
        <w:pStyle w:val="ManualHeading1"/>
        <w:rPr>
          <w:caps/>
          <w:noProof/>
        </w:rPr>
      </w:pPr>
      <w:bookmarkStart w:id="179" w:name="_Toc167220301"/>
      <w:bookmarkStart w:id="180" w:name="_Toc177549035"/>
      <w:r w:rsidRPr="005A1CAE">
        <w:rPr>
          <w:noProof/>
        </w:rPr>
        <w:t>4.</w:t>
      </w:r>
      <w:r w:rsidRPr="005A1CAE">
        <w:rPr>
          <w:noProof/>
        </w:rPr>
        <w:tab/>
      </w:r>
      <w:bookmarkStart w:id="181" w:name="_Hlk167692977"/>
      <w:r w:rsidRPr="005A1CAE">
        <w:rPr>
          <w:caps/>
          <w:noProof/>
        </w:rPr>
        <w:t>Wymiar cyfrowy</w:t>
      </w:r>
      <w:bookmarkEnd w:id="179"/>
      <w:bookmarkEnd w:id="180"/>
    </w:p>
    <w:p w14:paraId="059D0F0B" w14:textId="6A98F51B" w:rsidR="00C56942" w:rsidRPr="005A1CAE" w:rsidRDefault="00C56942" w:rsidP="00C56942">
      <w:pPr>
        <w:pStyle w:val="Text1"/>
        <w:pBdr>
          <w:top w:val="single" w:sz="4" w:space="1" w:color="auto"/>
          <w:left w:val="single" w:sz="4" w:space="4" w:color="auto"/>
          <w:bottom w:val="single" w:sz="4" w:space="1" w:color="auto"/>
          <w:right w:val="single" w:sz="4" w:space="4" w:color="auto"/>
        </w:pBdr>
        <w:rPr>
          <w:noProof/>
        </w:rPr>
      </w:pPr>
      <w:r w:rsidRPr="005A1CAE">
        <w:rPr>
          <w:noProof/>
        </w:rPr>
        <w:t>Rozporządzenie zmieniające nie zmienia koncepcji ani architektury cyfrowej zatwierdzonych</w:t>
      </w:r>
      <w:r w:rsidR="005A1CAE" w:rsidRPr="005A1CAE">
        <w:rPr>
          <w:noProof/>
        </w:rPr>
        <w:t xml:space="preserve"> w</w:t>
      </w:r>
      <w:r w:rsidR="005A1CAE">
        <w:rPr>
          <w:noProof/>
        </w:rPr>
        <w:t> </w:t>
      </w:r>
      <w:r w:rsidR="005A1CAE" w:rsidRPr="005A1CAE">
        <w:rPr>
          <w:noProof/>
        </w:rPr>
        <w:t>kar</w:t>
      </w:r>
      <w:r w:rsidRPr="005A1CAE">
        <w:rPr>
          <w:noProof/>
        </w:rPr>
        <w:t xml:space="preserve">cie projektu docelowego systemu CBAM pod względem wymogów cyfrowych, wykorzystywanych danych, rozwiązania cyfrowego, oceny możliwości ponownego wykorzystania ani środków wspierających wdrażanie cyfrowe. </w:t>
      </w:r>
    </w:p>
    <w:p w14:paraId="7556D9A8" w14:textId="16706B07" w:rsidR="00C56942" w:rsidRPr="005A1CAE" w:rsidRDefault="00C56942" w:rsidP="00C56942">
      <w:pPr>
        <w:pStyle w:val="Text1"/>
        <w:pBdr>
          <w:top w:val="single" w:sz="4" w:space="1" w:color="auto"/>
          <w:left w:val="single" w:sz="4" w:space="4" w:color="auto"/>
          <w:bottom w:val="single" w:sz="4" w:space="1" w:color="auto"/>
          <w:right w:val="single" w:sz="4" w:space="4" w:color="auto"/>
        </w:pBdr>
        <w:rPr>
          <w:noProof/>
        </w:rPr>
      </w:pPr>
      <w:r w:rsidRPr="005A1CAE">
        <w:rPr>
          <w:noProof/>
        </w:rPr>
        <w:t>Skutkiem zwiększonej liczby towarów objętych CBAM (180 dodatkowych CN) – powiększonej</w:t>
      </w:r>
      <w:r w:rsidR="005A1CAE" w:rsidRPr="005A1CAE">
        <w:rPr>
          <w:noProof/>
        </w:rPr>
        <w:t xml:space="preserve"> o</w:t>
      </w:r>
      <w:r w:rsidR="005A1CAE">
        <w:rPr>
          <w:noProof/>
        </w:rPr>
        <w:t> </w:t>
      </w:r>
      <w:r w:rsidR="005A1CAE" w:rsidRPr="005A1CAE">
        <w:rPr>
          <w:noProof/>
        </w:rPr>
        <w:t>pro</w:t>
      </w:r>
      <w:r w:rsidRPr="005A1CAE">
        <w:rPr>
          <w:noProof/>
        </w:rPr>
        <w:t>dukty rynku niższego szczebla – będzie około 7 500 nowych importerów. Przeanalizowano, oceniono</w:t>
      </w:r>
      <w:r w:rsidR="005A1CAE" w:rsidRPr="005A1CAE">
        <w:rPr>
          <w:noProof/>
        </w:rPr>
        <w:t xml:space="preserve"> i</w:t>
      </w:r>
      <w:r w:rsidR="005A1CAE">
        <w:rPr>
          <w:noProof/>
        </w:rPr>
        <w:t> </w:t>
      </w:r>
      <w:r w:rsidR="005A1CAE" w:rsidRPr="005A1CAE">
        <w:rPr>
          <w:noProof/>
        </w:rPr>
        <w:t>wpi</w:t>
      </w:r>
      <w:r w:rsidRPr="005A1CAE">
        <w:rPr>
          <w:noProof/>
        </w:rPr>
        <w:t>sano</w:t>
      </w:r>
      <w:r w:rsidR="005A1CAE" w:rsidRPr="005A1CAE">
        <w:rPr>
          <w:noProof/>
        </w:rPr>
        <w:t xml:space="preserve"> w</w:t>
      </w:r>
      <w:r w:rsidR="005A1CAE">
        <w:rPr>
          <w:noProof/>
        </w:rPr>
        <w:t> </w:t>
      </w:r>
      <w:r w:rsidR="005A1CAE" w:rsidRPr="005A1CAE">
        <w:rPr>
          <w:noProof/>
        </w:rPr>
        <w:t>kar</w:t>
      </w:r>
      <w:r w:rsidRPr="005A1CAE">
        <w:rPr>
          <w:noProof/>
        </w:rPr>
        <w:t>cie projektu kwestie zarządzania ryzykiem</w:t>
      </w:r>
      <w:r w:rsidR="005A1CAE" w:rsidRPr="005A1CAE">
        <w:rPr>
          <w:noProof/>
        </w:rPr>
        <w:t xml:space="preserve"> i</w:t>
      </w:r>
      <w:r w:rsidR="005A1CAE">
        <w:rPr>
          <w:noProof/>
        </w:rPr>
        <w:t> </w:t>
      </w:r>
      <w:r w:rsidR="005A1CAE" w:rsidRPr="005A1CAE">
        <w:rPr>
          <w:noProof/>
        </w:rPr>
        <w:t>mon</w:t>
      </w:r>
      <w:r w:rsidRPr="005A1CAE">
        <w:rPr>
          <w:noProof/>
        </w:rPr>
        <w:t>itorowania obchodzenia przepisów,</w:t>
      </w:r>
      <w:r w:rsidR="005A1CAE" w:rsidRPr="005A1CAE">
        <w:rPr>
          <w:noProof/>
        </w:rPr>
        <w:t xml:space="preserve"> a</w:t>
      </w:r>
      <w:r w:rsidR="005A1CAE">
        <w:rPr>
          <w:noProof/>
        </w:rPr>
        <w:t> </w:t>
      </w:r>
      <w:r w:rsidR="005A1CAE" w:rsidRPr="005A1CAE">
        <w:rPr>
          <w:noProof/>
        </w:rPr>
        <w:t>obe</w:t>
      </w:r>
      <w:r w:rsidRPr="005A1CAE">
        <w:rPr>
          <w:noProof/>
        </w:rPr>
        <w:t>cnie zostaną one rozszerzone</w:t>
      </w:r>
      <w:r w:rsidR="005A1CAE" w:rsidRPr="005A1CAE">
        <w:rPr>
          <w:noProof/>
        </w:rPr>
        <w:t xml:space="preserve"> o</w:t>
      </w:r>
      <w:r w:rsidR="005A1CAE">
        <w:rPr>
          <w:noProof/>
        </w:rPr>
        <w:t> </w:t>
      </w:r>
      <w:r w:rsidR="005A1CAE" w:rsidRPr="005A1CAE">
        <w:rPr>
          <w:noProof/>
        </w:rPr>
        <w:t>dod</w:t>
      </w:r>
      <w:r w:rsidRPr="005A1CAE">
        <w:rPr>
          <w:noProof/>
        </w:rPr>
        <w:t>atkowe towary</w:t>
      </w:r>
      <w:r w:rsidR="005A1CAE" w:rsidRPr="005A1CAE">
        <w:rPr>
          <w:noProof/>
        </w:rPr>
        <w:t xml:space="preserve"> i</w:t>
      </w:r>
      <w:r w:rsidR="005A1CAE">
        <w:rPr>
          <w:noProof/>
        </w:rPr>
        <w:t> </w:t>
      </w:r>
      <w:r w:rsidR="005A1CAE" w:rsidRPr="005A1CAE">
        <w:rPr>
          <w:noProof/>
        </w:rPr>
        <w:t>pow</w:t>
      </w:r>
      <w:r w:rsidRPr="005A1CAE">
        <w:rPr>
          <w:noProof/>
        </w:rPr>
        <w:t>iązane elementy. Głównym celem komponentu zarządzania ryzykiem jest wspieranie wykrywania nieprawidłowości</w:t>
      </w:r>
      <w:r w:rsidR="005A1CAE" w:rsidRPr="005A1CAE">
        <w:rPr>
          <w:noProof/>
        </w:rPr>
        <w:t xml:space="preserve"> i</w:t>
      </w:r>
      <w:r w:rsidR="005A1CAE">
        <w:rPr>
          <w:noProof/>
        </w:rPr>
        <w:t> </w:t>
      </w:r>
      <w:r w:rsidR="005A1CAE" w:rsidRPr="005A1CAE">
        <w:rPr>
          <w:noProof/>
        </w:rPr>
        <w:t>ogr</w:t>
      </w:r>
      <w:r w:rsidRPr="005A1CAE">
        <w:rPr>
          <w:noProof/>
        </w:rPr>
        <w:t>aniczanie ryzyka nadużyć finansowych.</w:t>
      </w:r>
    </w:p>
    <w:p w14:paraId="1FE8F8DF" w14:textId="77777777" w:rsidR="00C56942" w:rsidRPr="005A1CAE" w:rsidRDefault="00C56942" w:rsidP="00C56942">
      <w:pPr>
        <w:pStyle w:val="Text1"/>
        <w:pBdr>
          <w:top w:val="single" w:sz="4" w:space="1" w:color="auto"/>
          <w:left w:val="single" w:sz="4" w:space="4" w:color="auto"/>
          <w:bottom w:val="single" w:sz="4" w:space="1" w:color="auto"/>
          <w:right w:val="single" w:sz="4" w:space="4" w:color="auto"/>
        </w:pBdr>
        <w:rPr>
          <w:noProof/>
        </w:rPr>
      </w:pPr>
      <w:r w:rsidRPr="005A1CAE">
        <w:rPr>
          <w:noProof/>
        </w:rPr>
        <w:t>Ponadto konieczne będzie dodanie dodatkowych funkcji lub procesów wymaganych do zarządzania energią elektryczną jako towarem objętym CBAM, jednak nie zmieniają one struktury CBAM.</w:t>
      </w:r>
    </w:p>
    <w:p w14:paraId="47A039C9" w14:textId="6D3DD3BA" w:rsidR="00C56942" w:rsidRPr="005A1CAE" w:rsidRDefault="00C56942" w:rsidP="00C56942">
      <w:pPr>
        <w:pStyle w:val="Text1"/>
        <w:pBdr>
          <w:top w:val="single" w:sz="4" w:space="1" w:color="auto"/>
          <w:left w:val="single" w:sz="4" w:space="4" w:color="auto"/>
          <w:bottom w:val="single" w:sz="4" w:space="1" w:color="auto"/>
          <w:right w:val="single" w:sz="4" w:space="4" w:color="auto"/>
        </w:pBdr>
        <w:rPr>
          <w:noProof/>
        </w:rPr>
      </w:pPr>
      <w:r w:rsidRPr="005A1CAE">
        <w:rPr>
          <w:noProof/>
        </w:rPr>
        <w:t>Choć zmiany polegające na uproszczeniu nie prowadzą do zmiany architektury rozwiązań cyfrowych, wymagają one dodatkowego budżetu na zmianę</w:t>
      </w:r>
      <w:r w:rsidR="005A1CAE" w:rsidRPr="005A1CAE">
        <w:rPr>
          <w:noProof/>
        </w:rPr>
        <w:t xml:space="preserve"> i</w:t>
      </w:r>
      <w:r w:rsidR="005A1CAE">
        <w:rPr>
          <w:noProof/>
        </w:rPr>
        <w:t> </w:t>
      </w:r>
      <w:r w:rsidR="005A1CAE" w:rsidRPr="005A1CAE">
        <w:rPr>
          <w:noProof/>
        </w:rPr>
        <w:t>roz</w:t>
      </w:r>
      <w:r w:rsidRPr="005A1CAE">
        <w:rPr>
          <w:noProof/>
        </w:rPr>
        <w:t>szerzenie istniejących procesów biznesowych CBAM.</w:t>
      </w:r>
    </w:p>
    <w:p w14:paraId="68D5A564" w14:textId="77777777" w:rsidR="00D0690F" w:rsidRPr="005A1CAE" w:rsidRDefault="00D0690F" w:rsidP="009F612D">
      <w:pPr>
        <w:pStyle w:val="ManualHeading2"/>
        <w:rPr>
          <w:noProof/>
        </w:rPr>
      </w:pPr>
      <w:bookmarkStart w:id="182" w:name="_Toc167220302"/>
      <w:bookmarkStart w:id="183" w:name="_Toc177549037"/>
      <w:r w:rsidRPr="005A1CAE">
        <w:rPr>
          <w:noProof/>
        </w:rPr>
        <w:lastRenderedPageBreak/>
        <w:t>4.1.</w:t>
      </w:r>
      <w:r w:rsidRPr="005A1CAE">
        <w:rPr>
          <w:noProof/>
        </w:rPr>
        <w:tab/>
        <w:t>Wymogi cyfrowe</w:t>
      </w:r>
      <w:bookmarkEnd w:id="182"/>
      <w:bookmarkEnd w:id="183"/>
    </w:p>
    <w:tbl>
      <w:tblPr>
        <w:tblStyle w:val="Tabela-Siatka"/>
        <w:tblW w:w="9072" w:type="dxa"/>
        <w:tblInd w:w="-5" w:type="dxa"/>
        <w:tblLayout w:type="fixed"/>
        <w:tblLook w:val="06A0" w:firstRow="1" w:lastRow="0" w:firstColumn="1" w:lastColumn="0" w:noHBand="1" w:noVBand="1"/>
      </w:tblPr>
      <w:tblGrid>
        <w:gridCol w:w="9072"/>
      </w:tblGrid>
      <w:tr w:rsidR="00D0690F" w:rsidRPr="005A1CAE" w14:paraId="41FD2214" w14:textId="77777777" w:rsidTr="1BD7CC0B">
        <w:trPr>
          <w:trHeight w:val="300"/>
        </w:trPr>
        <w:tc>
          <w:tcPr>
            <w:tcW w:w="9072" w:type="dxa"/>
          </w:tcPr>
          <w:p w14:paraId="6736D135" w14:textId="7187D208" w:rsidR="002A4C51" w:rsidRPr="005A1CAE" w:rsidRDefault="000F5914" w:rsidP="1BD7CC0B">
            <w:pPr>
              <w:pStyle w:val="Text1"/>
              <w:jc w:val="left"/>
              <w:rPr>
                <w:rFonts w:eastAsiaTheme="minorEastAsia"/>
                <w:noProof/>
              </w:rPr>
            </w:pPr>
            <w:r w:rsidRPr="005A1CAE">
              <w:rPr>
                <w:rFonts w:eastAsiaTheme="minorEastAsia"/>
                <w:noProof/>
                <w:lang w:val="en-GB" w:eastAsia="en-GB"/>
              </w:rPr>
              <w:drawing>
                <wp:inline distT="0" distB="0" distL="0" distR="0" wp14:anchorId="483EC5B9" wp14:editId="1B858955">
                  <wp:extent cx="6104427" cy="3424687"/>
                  <wp:effectExtent l="0" t="0" r="0" b="4445"/>
                  <wp:docPr id="1787844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297" cy="3431346"/>
                          </a:xfrm>
                          <a:prstGeom prst="rect">
                            <a:avLst/>
                          </a:prstGeom>
                          <a:noFill/>
                          <a:ln>
                            <a:noFill/>
                          </a:ln>
                        </pic:spPr>
                      </pic:pic>
                    </a:graphicData>
                  </a:graphic>
                </wp:inline>
              </w:drawing>
            </w:r>
          </w:p>
          <w:p w14:paraId="3D04BCF7" w14:textId="29EA9678" w:rsidR="00C56942" w:rsidRPr="005A1CAE" w:rsidRDefault="00C56942" w:rsidP="00A91EC0">
            <w:pPr>
              <w:pStyle w:val="Text1"/>
              <w:rPr>
                <w:rFonts w:eastAsiaTheme="minorHAnsi"/>
                <w:noProof/>
              </w:rPr>
            </w:pPr>
            <w:r w:rsidRPr="005A1CAE">
              <w:rPr>
                <w:noProof/>
              </w:rPr>
              <w:t>Jak pokazano na powyższym wykresie, informacje</w:t>
            </w:r>
            <w:r w:rsidR="005A1CAE" w:rsidRPr="005A1CAE">
              <w:rPr>
                <w:noProof/>
              </w:rPr>
              <w:t xml:space="preserve"> o</w:t>
            </w:r>
            <w:r w:rsidR="005A1CAE">
              <w:rPr>
                <w:noProof/>
              </w:rPr>
              <w:t> </w:t>
            </w:r>
            <w:r w:rsidR="005A1CAE" w:rsidRPr="005A1CAE">
              <w:rPr>
                <w:noProof/>
              </w:rPr>
              <w:t>prz</w:t>
            </w:r>
            <w:r w:rsidRPr="005A1CAE">
              <w:rPr>
                <w:noProof/>
              </w:rPr>
              <w:t>ywozie towarów objętych CBAM, przekazywane przez państwa członkowskie albo za pośrednictwem DG TAXUD, trafiają do rejestru CBAM</w:t>
            </w:r>
            <w:r w:rsidR="005A1CAE" w:rsidRPr="005A1CAE">
              <w:rPr>
                <w:noProof/>
              </w:rPr>
              <w:t xml:space="preserve"> z</w:t>
            </w:r>
            <w:r w:rsidR="005A1CAE">
              <w:rPr>
                <w:noProof/>
              </w:rPr>
              <w:t> </w:t>
            </w:r>
            <w:r w:rsidR="005A1CAE" w:rsidRPr="005A1CAE">
              <w:rPr>
                <w:noProof/>
              </w:rPr>
              <w:t>uni</w:t>
            </w:r>
            <w:r w:rsidRPr="005A1CAE">
              <w:rPr>
                <w:noProof/>
              </w:rPr>
              <w:t>jnych systemów celnych, wraz</w:t>
            </w:r>
            <w:r w:rsidR="005A1CAE" w:rsidRPr="005A1CAE">
              <w:rPr>
                <w:noProof/>
              </w:rPr>
              <w:t xml:space="preserve"> z</w:t>
            </w:r>
            <w:r w:rsidR="005A1CAE">
              <w:rPr>
                <w:noProof/>
              </w:rPr>
              <w:t> </w:t>
            </w:r>
            <w:r w:rsidR="005A1CAE" w:rsidRPr="005A1CAE">
              <w:rPr>
                <w:noProof/>
              </w:rPr>
              <w:t>ide</w:t>
            </w:r>
            <w:r w:rsidRPr="005A1CAE">
              <w:rPr>
                <w:noProof/>
              </w:rPr>
              <w:t>ntyfikacją celną importerów</w:t>
            </w:r>
            <w:r w:rsidR="005A1CAE" w:rsidRPr="005A1CAE">
              <w:rPr>
                <w:noProof/>
              </w:rPr>
              <w:t xml:space="preserve"> i</w:t>
            </w:r>
            <w:r w:rsidR="005A1CAE">
              <w:rPr>
                <w:noProof/>
              </w:rPr>
              <w:t> </w:t>
            </w:r>
            <w:r w:rsidR="005A1CAE" w:rsidRPr="005A1CAE">
              <w:rPr>
                <w:noProof/>
              </w:rPr>
              <w:t>kla</w:t>
            </w:r>
            <w:r w:rsidRPr="005A1CAE">
              <w:rPr>
                <w:noProof/>
              </w:rPr>
              <w:t>syfikacją celną przywożonych towarów</w:t>
            </w:r>
            <w:r w:rsidR="005A1CAE" w:rsidRPr="005A1CAE">
              <w:rPr>
                <w:noProof/>
              </w:rPr>
              <w:t>. Z</w:t>
            </w:r>
            <w:r w:rsidR="005A1CAE">
              <w:rPr>
                <w:noProof/>
              </w:rPr>
              <w:t> </w:t>
            </w:r>
            <w:r w:rsidR="005A1CAE" w:rsidRPr="005A1CAE">
              <w:rPr>
                <w:noProof/>
              </w:rPr>
              <w:t>sys</w:t>
            </w:r>
            <w:r w:rsidRPr="005A1CAE">
              <w:rPr>
                <w:noProof/>
              </w:rPr>
              <w:t>temu CBAM do krajowych celnych systemów importu trafiają natomiast informacje</w:t>
            </w:r>
            <w:r w:rsidR="005A1CAE" w:rsidRPr="005A1CAE">
              <w:rPr>
                <w:noProof/>
              </w:rPr>
              <w:t xml:space="preserve"> o</w:t>
            </w:r>
            <w:r w:rsidR="005A1CAE">
              <w:rPr>
                <w:noProof/>
              </w:rPr>
              <w:t> </w:t>
            </w:r>
            <w:r w:rsidR="005A1CAE" w:rsidRPr="005A1CAE">
              <w:rPr>
                <w:noProof/>
              </w:rPr>
              <w:t>upo</w:t>
            </w:r>
            <w:r w:rsidRPr="005A1CAE">
              <w:rPr>
                <w:noProof/>
              </w:rPr>
              <w:t>ważnieniach zgłaszających CBAM, co jest potrzebne do celów egzekwowania przepisów rozporządzenia</w:t>
            </w:r>
            <w:r w:rsidR="005A1CAE" w:rsidRPr="005A1CAE">
              <w:rPr>
                <w:noProof/>
              </w:rPr>
              <w:t xml:space="preserve"> w</w:t>
            </w:r>
            <w:r w:rsidR="005A1CAE">
              <w:rPr>
                <w:noProof/>
              </w:rPr>
              <w:t> </w:t>
            </w:r>
            <w:r w:rsidR="005A1CAE" w:rsidRPr="005A1CAE">
              <w:rPr>
                <w:noProof/>
              </w:rPr>
              <w:t>spr</w:t>
            </w:r>
            <w:r w:rsidRPr="005A1CAE">
              <w:rPr>
                <w:noProof/>
              </w:rPr>
              <w:t>awie CBAM przy odprawie przywożonych towarów objętych CBAM. Między systemem informatycznym CBAM</w:t>
            </w:r>
            <w:r w:rsidR="005A1CAE" w:rsidRPr="005A1CAE">
              <w:rPr>
                <w:noProof/>
              </w:rPr>
              <w:t xml:space="preserve"> a</w:t>
            </w:r>
            <w:r w:rsidR="005A1CAE">
              <w:rPr>
                <w:noProof/>
              </w:rPr>
              <w:t> </w:t>
            </w:r>
            <w:r w:rsidR="005A1CAE" w:rsidRPr="005A1CAE">
              <w:rPr>
                <w:noProof/>
              </w:rPr>
              <w:t>uni</w:t>
            </w:r>
            <w:r w:rsidRPr="005A1CAE">
              <w:rPr>
                <w:noProof/>
              </w:rPr>
              <w:t>jnymi systemami celnymi wymienia się także informacje</w:t>
            </w:r>
            <w:r w:rsidR="005A1CAE" w:rsidRPr="005A1CAE">
              <w:rPr>
                <w:noProof/>
              </w:rPr>
              <w:t xml:space="preserve"> o</w:t>
            </w:r>
            <w:r w:rsidR="005A1CAE">
              <w:rPr>
                <w:noProof/>
              </w:rPr>
              <w:t> </w:t>
            </w:r>
            <w:r w:rsidR="005A1CAE" w:rsidRPr="005A1CAE">
              <w:rPr>
                <w:noProof/>
              </w:rPr>
              <w:t>zar</w:t>
            </w:r>
            <w:r w:rsidRPr="005A1CAE">
              <w:rPr>
                <w:noProof/>
              </w:rPr>
              <w:t>ządzaniu ryzykiem. Połączenie systemu CBAM</w:t>
            </w:r>
            <w:r w:rsidR="005A1CAE" w:rsidRPr="005A1CAE">
              <w:rPr>
                <w:noProof/>
              </w:rPr>
              <w:t xml:space="preserve"> z</w:t>
            </w:r>
            <w:r w:rsidR="005A1CAE">
              <w:rPr>
                <w:noProof/>
              </w:rPr>
              <w:t> </w:t>
            </w:r>
            <w:r w:rsidR="005A1CAE" w:rsidRPr="005A1CAE">
              <w:rPr>
                <w:noProof/>
              </w:rPr>
              <w:t>uni</w:t>
            </w:r>
            <w:r w:rsidRPr="005A1CAE">
              <w:rPr>
                <w:noProof/>
              </w:rPr>
              <w:t>jnymi systemami celnymi jest istotne do osiągnięcia celu CBAM polegającego na unikaniu podwójnego pozyskiwania informacji, realizowanego poprzez zwracanie się do zgłaszających CBAM, aby do informacji</w:t>
            </w:r>
            <w:r w:rsidR="005A1CAE" w:rsidRPr="005A1CAE">
              <w:rPr>
                <w:noProof/>
              </w:rPr>
              <w:t xml:space="preserve"> o</w:t>
            </w:r>
            <w:r w:rsidR="005A1CAE">
              <w:rPr>
                <w:noProof/>
              </w:rPr>
              <w:t> </w:t>
            </w:r>
            <w:r w:rsidR="005A1CAE" w:rsidRPr="005A1CAE">
              <w:rPr>
                <w:noProof/>
              </w:rPr>
              <w:t>prz</w:t>
            </w:r>
            <w:r w:rsidRPr="005A1CAE">
              <w:rPr>
                <w:noProof/>
              </w:rPr>
              <w:t>ywozie dołączali raport na temat wielkości emisji powstałych podczas produkcji ich towarów</w:t>
            </w:r>
            <w:r w:rsidR="005A1CAE" w:rsidRPr="005A1CAE">
              <w:rPr>
                <w:noProof/>
              </w:rPr>
              <w:t xml:space="preserve"> w</w:t>
            </w:r>
            <w:r w:rsidR="005A1CAE">
              <w:rPr>
                <w:noProof/>
              </w:rPr>
              <w:t> </w:t>
            </w:r>
            <w:r w:rsidR="005A1CAE" w:rsidRPr="005A1CAE">
              <w:rPr>
                <w:noProof/>
              </w:rPr>
              <w:t>pań</w:t>
            </w:r>
            <w:r w:rsidRPr="005A1CAE">
              <w:rPr>
                <w:noProof/>
              </w:rPr>
              <w:t>stwach trzecich. Podstawową zasadą CBAM jest „jednorazowe przekazywanie danych”.</w:t>
            </w:r>
          </w:p>
          <w:p w14:paraId="79D219FB" w14:textId="34027C74" w:rsidR="00C56942" w:rsidRPr="005A1CAE" w:rsidRDefault="00C56942" w:rsidP="00A91EC0">
            <w:pPr>
              <w:pStyle w:val="Text1"/>
              <w:rPr>
                <w:noProof/>
              </w:rPr>
            </w:pPr>
            <w:r w:rsidRPr="005A1CAE">
              <w:rPr>
                <w:noProof/>
              </w:rPr>
              <w:t>CBAM będzie również współdziałał</w:t>
            </w:r>
            <w:r w:rsidR="005A1CAE" w:rsidRPr="005A1CAE">
              <w:rPr>
                <w:noProof/>
              </w:rPr>
              <w:t xml:space="preserve"> z</w:t>
            </w:r>
            <w:r w:rsidR="005A1CAE">
              <w:rPr>
                <w:noProof/>
              </w:rPr>
              <w:t> </w:t>
            </w:r>
            <w:r w:rsidR="005A1CAE" w:rsidRPr="005A1CAE">
              <w:rPr>
                <w:b/>
                <w:noProof/>
              </w:rPr>
              <w:t>now</w:t>
            </w:r>
            <w:r w:rsidRPr="005A1CAE">
              <w:rPr>
                <w:b/>
                <w:noProof/>
              </w:rPr>
              <w:t>ym</w:t>
            </w:r>
            <w:r w:rsidRPr="005A1CAE">
              <w:rPr>
                <w:noProof/>
              </w:rPr>
              <w:t xml:space="preserve"> mechanizmem CBAM (systemami informatycznymi lub innymi środkami) właściwych organów krajowych, aby wspierać wdrażanie krajowych procesów egzekwowania CBAM we wszystkich państwach członkowskich oraz krajowych procesów gromadzenia informacji</w:t>
            </w:r>
            <w:r w:rsidR="005A1CAE" w:rsidRPr="005A1CAE">
              <w:rPr>
                <w:noProof/>
              </w:rPr>
              <w:t xml:space="preserve"> o</w:t>
            </w:r>
            <w:r w:rsidR="005A1CAE">
              <w:rPr>
                <w:noProof/>
              </w:rPr>
              <w:t> </w:t>
            </w:r>
            <w:r w:rsidR="005A1CAE" w:rsidRPr="005A1CAE">
              <w:rPr>
                <w:noProof/>
              </w:rPr>
              <w:t>kar</w:t>
            </w:r>
            <w:r w:rsidRPr="005A1CAE">
              <w:rPr>
                <w:noProof/>
              </w:rPr>
              <w:t>ach</w:t>
            </w:r>
            <w:r w:rsidR="005A1CAE" w:rsidRPr="005A1CAE">
              <w:rPr>
                <w:noProof/>
              </w:rPr>
              <w:t xml:space="preserve"> i</w:t>
            </w:r>
            <w:r w:rsidR="005A1CAE">
              <w:rPr>
                <w:noProof/>
              </w:rPr>
              <w:t> </w:t>
            </w:r>
            <w:r w:rsidR="005A1CAE" w:rsidRPr="005A1CAE">
              <w:rPr>
                <w:noProof/>
              </w:rPr>
              <w:t>odz</w:t>
            </w:r>
            <w:r w:rsidRPr="005A1CAE">
              <w:rPr>
                <w:noProof/>
              </w:rPr>
              <w:t>yskiwaniu należności.</w:t>
            </w:r>
          </w:p>
          <w:p w14:paraId="0C3BB29D" w14:textId="5D2F02AB" w:rsidR="00C56942" w:rsidRPr="005A1CAE" w:rsidRDefault="00C56942" w:rsidP="00A91EC0">
            <w:pPr>
              <w:pStyle w:val="Text1"/>
              <w:rPr>
                <w:noProof/>
              </w:rPr>
            </w:pPr>
            <w:r w:rsidRPr="005A1CAE">
              <w:rPr>
                <w:noProof/>
              </w:rPr>
              <w:t xml:space="preserve">Innym kluczowym </w:t>
            </w:r>
            <w:r w:rsidRPr="005A1CAE">
              <w:rPr>
                <w:b/>
                <w:bCs/>
                <w:noProof/>
              </w:rPr>
              <w:t>nowym</w:t>
            </w:r>
            <w:r w:rsidRPr="005A1CAE">
              <w:rPr>
                <w:noProof/>
              </w:rPr>
              <w:t xml:space="preserve"> zewnętrznym systemem CBAM jest wspólna centralna platforma (CCP), czyli system informatyczny,</w:t>
            </w:r>
            <w:r w:rsidR="005A1CAE" w:rsidRPr="005A1CAE">
              <w:rPr>
                <w:noProof/>
              </w:rPr>
              <w:t xml:space="preserve"> w</w:t>
            </w:r>
            <w:r w:rsidR="005A1CAE">
              <w:rPr>
                <w:noProof/>
              </w:rPr>
              <w:t> </w:t>
            </w:r>
            <w:r w:rsidR="005A1CAE" w:rsidRPr="005A1CAE">
              <w:rPr>
                <w:noProof/>
              </w:rPr>
              <w:t>któ</w:t>
            </w:r>
            <w:r w:rsidRPr="005A1CAE">
              <w:rPr>
                <w:noProof/>
              </w:rPr>
              <w:t>rym zgłaszający CBAM będą kupować od państw członkowskich certyfikaty CBAM. Ich cena będzie ustalana na podstawie ceny uprawnień określonej</w:t>
            </w:r>
            <w:r w:rsidR="005A1CAE" w:rsidRPr="005A1CAE">
              <w:rPr>
                <w:noProof/>
              </w:rPr>
              <w:t xml:space="preserve"> w</w:t>
            </w:r>
            <w:r w:rsidR="005A1CAE">
              <w:rPr>
                <w:noProof/>
              </w:rPr>
              <w:t> </w:t>
            </w:r>
            <w:r w:rsidR="005A1CAE" w:rsidRPr="005A1CAE">
              <w:rPr>
                <w:noProof/>
              </w:rPr>
              <w:t>sys</w:t>
            </w:r>
            <w:r w:rsidRPr="005A1CAE">
              <w:rPr>
                <w:noProof/>
              </w:rPr>
              <w:t>temie ETS</w:t>
            </w:r>
            <w:r w:rsidR="005A1CAE" w:rsidRPr="005A1CAE">
              <w:rPr>
                <w:noProof/>
              </w:rPr>
              <w:t>. W</w:t>
            </w:r>
            <w:r w:rsidR="005A1CAE">
              <w:rPr>
                <w:noProof/>
              </w:rPr>
              <w:t> </w:t>
            </w:r>
            <w:r w:rsidR="005A1CAE" w:rsidRPr="005A1CAE">
              <w:rPr>
                <w:noProof/>
              </w:rPr>
              <w:t>uję</w:t>
            </w:r>
            <w:r w:rsidRPr="005A1CAE">
              <w:rPr>
                <w:noProof/>
              </w:rPr>
              <w:t>ciu kwartalnym zgłaszający CBAM będą musieli utrzymywać liczbę swoich certyfikatów na rachunku CBAM na poziomie 50</w:t>
            </w:r>
            <w:r w:rsidR="005A1CAE" w:rsidRPr="005A1CAE">
              <w:rPr>
                <w:noProof/>
              </w:rPr>
              <w:t> </w:t>
            </w:r>
            <w:r w:rsidRPr="005A1CAE">
              <w:rPr>
                <w:noProof/>
              </w:rPr>
              <w:t>% emisji wbudowanych, aby mogli oni umorzyć wymaganą liczbę certyfikatów</w:t>
            </w:r>
            <w:r w:rsidR="005A1CAE" w:rsidRPr="005A1CAE">
              <w:rPr>
                <w:noProof/>
              </w:rPr>
              <w:t xml:space="preserve"> w</w:t>
            </w:r>
            <w:r w:rsidR="005A1CAE">
              <w:rPr>
                <w:noProof/>
              </w:rPr>
              <w:t> </w:t>
            </w:r>
            <w:r w:rsidR="005A1CAE" w:rsidRPr="005A1CAE">
              <w:rPr>
                <w:noProof/>
              </w:rPr>
              <w:t>cel</w:t>
            </w:r>
            <w:r w:rsidRPr="005A1CAE">
              <w:rPr>
                <w:noProof/>
              </w:rPr>
              <w:t>u zrównoważenia zadeklarowanych emisji</w:t>
            </w:r>
            <w:r w:rsidR="005A1CAE" w:rsidRPr="005A1CAE">
              <w:rPr>
                <w:noProof/>
              </w:rPr>
              <w:t xml:space="preserve"> i</w:t>
            </w:r>
            <w:r w:rsidR="005A1CAE">
              <w:rPr>
                <w:noProof/>
              </w:rPr>
              <w:t> </w:t>
            </w:r>
            <w:r w:rsidR="005A1CAE" w:rsidRPr="005A1CAE">
              <w:rPr>
                <w:noProof/>
              </w:rPr>
              <w:t>opł</w:t>
            </w:r>
            <w:r w:rsidRPr="005A1CAE">
              <w:rPr>
                <w:noProof/>
              </w:rPr>
              <w:t>at emisyjnych już uiszczonych</w:t>
            </w:r>
            <w:r w:rsidR="005A1CAE" w:rsidRPr="005A1CAE">
              <w:rPr>
                <w:noProof/>
              </w:rPr>
              <w:t xml:space="preserve"> w</w:t>
            </w:r>
            <w:r w:rsidR="005A1CAE">
              <w:rPr>
                <w:noProof/>
              </w:rPr>
              <w:t> </w:t>
            </w:r>
            <w:r w:rsidR="005A1CAE" w:rsidRPr="005A1CAE">
              <w:rPr>
                <w:noProof/>
              </w:rPr>
              <w:t>pań</w:t>
            </w:r>
            <w:r w:rsidRPr="005A1CAE">
              <w:rPr>
                <w:noProof/>
              </w:rPr>
              <w:t>stwach trzecich. Komisja,</w:t>
            </w:r>
            <w:r w:rsidR="005A1CAE" w:rsidRPr="005A1CAE">
              <w:rPr>
                <w:noProof/>
              </w:rPr>
              <w:t xml:space="preserve"> w</w:t>
            </w:r>
            <w:r w:rsidR="005A1CAE">
              <w:rPr>
                <w:noProof/>
              </w:rPr>
              <w:t> </w:t>
            </w:r>
            <w:r w:rsidR="005A1CAE" w:rsidRPr="005A1CAE">
              <w:rPr>
                <w:noProof/>
              </w:rPr>
              <w:t>imi</w:t>
            </w:r>
            <w:r w:rsidRPr="005A1CAE">
              <w:rPr>
                <w:noProof/>
              </w:rPr>
              <w:t xml:space="preserve">eniu </w:t>
            </w:r>
            <w:r w:rsidRPr="005A1CAE">
              <w:rPr>
                <w:noProof/>
              </w:rPr>
              <w:lastRenderedPageBreak/>
              <w:t>państw członkowskich, odkupi od zgłaszających CBAM nadwyżki certyfikatów. Komisja</w:t>
            </w:r>
            <w:r w:rsidR="005A1CAE" w:rsidRPr="005A1CAE">
              <w:rPr>
                <w:noProof/>
              </w:rPr>
              <w:t xml:space="preserve"> i</w:t>
            </w:r>
            <w:r w:rsidR="005A1CAE">
              <w:rPr>
                <w:noProof/>
              </w:rPr>
              <w:t> </w:t>
            </w:r>
            <w:r w:rsidR="005A1CAE" w:rsidRPr="005A1CAE">
              <w:rPr>
                <w:noProof/>
              </w:rPr>
              <w:t>pań</w:t>
            </w:r>
            <w:r w:rsidRPr="005A1CAE">
              <w:rPr>
                <w:noProof/>
              </w:rPr>
              <w:t>stwa członkowskie muszą wspólnie ustanowić CCP</w:t>
            </w:r>
            <w:r w:rsidR="005A1CAE" w:rsidRPr="005A1CAE">
              <w:rPr>
                <w:noProof/>
              </w:rPr>
              <w:t xml:space="preserve"> i</w:t>
            </w:r>
            <w:r w:rsidR="005A1CAE">
              <w:rPr>
                <w:noProof/>
              </w:rPr>
              <w:t> </w:t>
            </w:r>
            <w:r w:rsidR="005A1CAE" w:rsidRPr="005A1CAE">
              <w:rPr>
                <w:noProof/>
              </w:rPr>
              <w:t>zar</w:t>
            </w:r>
            <w:r w:rsidRPr="005A1CAE">
              <w:rPr>
                <w:noProof/>
              </w:rPr>
              <w:t>ządzać tą platformą, choć nie wchodzi ona</w:t>
            </w:r>
            <w:r w:rsidR="005A1CAE" w:rsidRPr="005A1CAE">
              <w:rPr>
                <w:noProof/>
              </w:rPr>
              <w:t xml:space="preserve"> w</w:t>
            </w:r>
            <w:r w:rsidR="005A1CAE">
              <w:rPr>
                <w:noProof/>
              </w:rPr>
              <w:t> </w:t>
            </w:r>
            <w:r w:rsidR="005A1CAE" w:rsidRPr="005A1CAE">
              <w:rPr>
                <w:noProof/>
              </w:rPr>
              <w:t>zak</w:t>
            </w:r>
            <w:r w:rsidRPr="005A1CAE">
              <w:rPr>
                <w:noProof/>
              </w:rPr>
              <w:t>res rejestru CBAM. Połączenie tego rejestru z CCP ma zasadnicze znaczenie, aby zgłaszający CBAM mogli wykazywać niezbędne certyfikaty na swoich rachunkach CBAM. Rachunki</w:t>
            </w:r>
            <w:r w:rsidR="005A1CAE" w:rsidRPr="005A1CAE">
              <w:rPr>
                <w:noProof/>
              </w:rPr>
              <w:t xml:space="preserve"> i</w:t>
            </w:r>
            <w:r w:rsidR="005A1CAE">
              <w:rPr>
                <w:noProof/>
              </w:rPr>
              <w:t> </w:t>
            </w:r>
            <w:r w:rsidR="005A1CAE" w:rsidRPr="005A1CAE">
              <w:rPr>
                <w:noProof/>
              </w:rPr>
              <w:t>cer</w:t>
            </w:r>
            <w:r w:rsidRPr="005A1CAE">
              <w:rPr>
                <w:noProof/>
              </w:rPr>
              <w:t>tyfikaty będą informacjami szczególnie chronionymi.</w:t>
            </w:r>
          </w:p>
          <w:p w14:paraId="693FF165" w14:textId="77777777" w:rsidR="00C56942" w:rsidRPr="005A1CAE" w:rsidRDefault="00C56942" w:rsidP="00A91EC0">
            <w:pPr>
              <w:pStyle w:val="Text1"/>
              <w:rPr>
                <w:noProof/>
              </w:rPr>
            </w:pPr>
            <w:r w:rsidRPr="005A1CAE">
              <w:rPr>
                <w:noProof/>
              </w:rPr>
              <w:t>W systemie ETS ustalać się będzie wyłącznie cenę sprzedaży certyfikatów.</w:t>
            </w:r>
          </w:p>
          <w:p w14:paraId="551CB104" w14:textId="7A0E59EB" w:rsidR="00C56942" w:rsidRPr="005A1CAE" w:rsidRDefault="00C56942" w:rsidP="00A91EC0">
            <w:pPr>
              <w:pStyle w:val="Text1"/>
              <w:rPr>
                <w:noProof/>
              </w:rPr>
            </w:pPr>
            <w:r w:rsidRPr="005A1CAE">
              <w:rPr>
                <w:noProof/>
              </w:rPr>
              <w:t>Głównymi użytkownikami rejestru CBAM są zgłaszający CBAM. DG TAXUD spodziewa się około 20 000 zgłaszających</w:t>
            </w:r>
            <w:r w:rsidR="005A1CAE" w:rsidRPr="005A1CAE">
              <w:rPr>
                <w:noProof/>
              </w:rPr>
              <w:t xml:space="preserve"> w</w:t>
            </w:r>
            <w:r w:rsidR="005A1CAE">
              <w:rPr>
                <w:noProof/>
              </w:rPr>
              <w:t> </w:t>
            </w:r>
            <w:r w:rsidR="005A1CAE" w:rsidRPr="005A1CAE">
              <w:rPr>
                <w:noProof/>
              </w:rPr>
              <w:t>2</w:t>
            </w:r>
            <w:r w:rsidRPr="005A1CAE">
              <w:rPr>
                <w:noProof/>
              </w:rPr>
              <w:t>026</w:t>
            </w:r>
            <w:r w:rsidR="005A1CAE" w:rsidRPr="005A1CAE">
              <w:rPr>
                <w:noProof/>
              </w:rPr>
              <w:t> </w:t>
            </w:r>
            <w:r w:rsidRPr="005A1CAE">
              <w:rPr>
                <w:noProof/>
              </w:rPr>
              <w:t>r. po przyjęciu uproszczenia, ale zakłada, że</w:t>
            </w:r>
            <w:r w:rsidR="005A1CAE" w:rsidRPr="005A1CAE">
              <w:rPr>
                <w:noProof/>
              </w:rPr>
              <w:t xml:space="preserve"> w</w:t>
            </w:r>
            <w:r w:rsidR="005A1CAE">
              <w:rPr>
                <w:noProof/>
              </w:rPr>
              <w:t> </w:t>
            </w:r>
            <w:r w:rsidR="005A1CAE" w:rsidRPr="005A1CAE">
              <w:rPr>
                <w:noProof/>
              </w:rPr>
              <w:t>wyn</w:t>
            </w:r>
            <w:r w:rsidRPr="005A1CAE">
              <w:rPr>
                <w:noProof/>
              </w:rPr>
              <w:t>iku rozszerzenia CBAM na towary niższego szczebla ich liczba wzrośnie do</w:t>
            </w:r>
            <w:r w:rsidR="005A1CAE" w:rsidRPr="005A1CAE">
              <w:rPr>
                <w:noProof/>
              </w:rPr>
              <w:t> </w:t>
            </w:r>
            <w:r w:rsidRPr="005A1CAE">
              <w:rPr>
                <w:noProof/>
              </w:rPr>
              <w:t>40 000). Zgłaszający CBAM będą korzystać</w:t>
            </w:r>
            <w:r w:rsidR="005A1CAE" w:rsidRPr="005A1CAE">
              <w:rPr>
                <w:noProof/>
              </w:rPr>
              <w:t xml:space="preserve"> z</w:t>
            </w:r>
            <w:r w:rsidR="005A1CAE">
              <w:rPr>
                <w:noProof/>
              </w:rPr>
              <w:t> </w:t>
            </w:r>
            <w:r w:rsidR="005A1CAE" w:rsidRPr="005A1CAE">
              <w:rPr>
                <w:noProof/>
              </w:rPr>
              <w:t>rej</w:t>
            </w:r>
            <w:r w:rsidRPr="005A1CAE">
              <w:rPr>
                <w:noProof/>
              </w:rPr>
              <w:t>estru CBAM, aby co roku (w maju) deklarować emisje powstałe</w:t>
            </w:r>
            <w:r w:rsidR="005A1CAE" w:rsidRPr="005A1CAE">
              <w:rPr>
                <w:noProof/>
              </w:rPr>
              <w:t xml:space="preserve"> w</w:t>
            </w:r>
            <w:r w:rsidR="005A1CAE">
              <w:rPr>
                <w:noProof/>
              </w:rPr>
              <w:t> </w:t>
            </w:r>
            <w:r w:rsidR="005A1CAE" w:rsidRPr="005A1CAE">
              <w:rPr>
                <w:noProof/>
              </w:rPr>
              <w:t>wyn</w:t>
            </w:r>
            <w:r w:rsidRPr="005A1CAE">
              <w:rPr>
                <w:noProof/>
              </w:rPr>
              <w:t>iku produkcji przywożonych towarów, monitorować saldo kwartalne rachunków CBAM pod względem stosunku liczby certyfikatów do zgłoszonego przywozu oraz współpracować</w:t>
            </w:r>
            <w:r w:rsidR="005A1CAE" w:rsidRPr="005A1CAE">
              <w:rPr>
                <w:noProof/>
              </w:rPr>
              <w:t xml:space="preserve"> z</w:t>
            </w:r>
            <w:r w:rsidR="005A1CAE">
              <w:rPr>
                <w:noProof/>
              </w:rPr>
              <w:t> </w:t>
            </w:r>
            <w:r w:rsidR="005A1CAE" w:rsidRPr="005A1CAE">
              <w:rPr>
                <w:noProof/>
              </w:rPr>
              <w:t>kra</w:t>
            </w:r>
            <w:r w:rsidRPr="005A1CAE">
              <w:rPr>
                <w:noProof/>
              </w:rPr>
              <w:t>jowymi organami celnymi podczas przeglądu swoich deklaracji CBAM. Właściwe organy krajowe najpierw zweryfikują zgłaszających CBAM</w:t>
            </w:r>
            <w:r w:rsidR="005A1CAE" w:rsidRPr="005A1CAE">
              <w:rPr>
                <w:noProof/>
              </w:rPr>
              <w:t xml:space="preserve"> w</w:t>
            </w:r>
            <w:r w:rsidR="005A1CAE">
              <w:rPr>
                <w:noProof/>
              </w:rPr>
              <w:t> </w:t>
            </w:r>
            <w:r w:rsidR="005A1CAE" w:rsidRPr="005A1CAE">
              <w:rPr>
                <w:noProof/>
              </w:rPr>
              <w:t>rej</w:t>
            </w:r>
            <w:r w:rsidRPr="005A1CAE">
              <w:rPr>
                <w:noProof/>
              </w:rPr>
              <w:t>estrze CBAM,</w:t>
            </w:r>
            <w:r w:rsidR="005A1CAE" w:rsidRPr="005A1CAE">
              <w:rPr>
                <w:noProof/>
              </w:rPr>
              <w:t xml:space="preserve"> a</w:t>
            </w:r>
            <w:r w:rsidR="005A1CAE">
              <w:rPr>
                <w:noProof/>
              </w:rPr>
              <w:t> </w:t>
            </w:r>
            <w:r w:rsidR="005A1CAE" w:rsidRPr="005A1CAE">
              <w:rPr>
                <w:noProof/>
              </w:rPr>
              <w:t>nas</w:t>
            </w:r>
            <w:r w:rsidRPr="005A1CAE">
              <w:rPr>
                <w:noProof/>
              </w:rPr>
              <w:t>tępnie upoważnią ich do przywozu towarów objętych CBAM</w:t>
            </w:r>
            <w:r w:rsidR="005A1CAE" w:rsidRPr="005A1CAE">
              <w:rPr>
                <w:noProof/>
              </w:rPr>
              <w:t xml:space="preserve"> i</w:t>
            </w:r>
            <w:r w:rsidR="005A1CAE">
              <w:rPr>
                <w:noProof/>
              </w:rPr>
              <w:t> </w:t>
            </w:r>
            <w:r w:rsidR="005A1CAE" w:rsidRPr="005A1CAE">
              <w:rPr>
                <w:noProof/>
              </w:rPr>
              <w:t>prz</w:t>
            </w:r>
            <w:r w:rsidRPr="005A1CAE">
              <w:rPr>
                <w:noProof/>
              </w:rPr>
              <w:t>yznają im konto CBAM. Od tego czasu zgłaszający CBAM będą mogli co roku deklarować emisje</w:t>
            </w:r>
            <w:r w:rsidR="005A1CAE" w:rsidRPr="005A1CAE">
              <w:rPr>
                <w:noProof/>
              </w:rPr>
              <w:t xml:space="preserve"> w</w:t>
            </w:r>
            <w:r w:rsidR="005A1CAE">
              <w:rPr>
                <w:noProof/>
              </w:rPr>
              <w:t> </w:t>
            </w:r>
            <w:r w:rsidR="005A1CAE" w:rsidRPr="005A1CAE">
              <w:rPr>
                <w:noProof/>
              </w:rPr>
              <w:t>rej</w:t>
            </w:r>
            <w:r w:rsidRPr="005A1CAE">
              <w:rPr>
                <w:noProof/>
              </w:rPr>
              <w:t>estrze CBAM</w:t>
            </w:r>
            <w:r w:rsidR="005A1CAE" w:rsidRPr="005A1CAE">
              <w:rPr>
                <w:noProof/>
              </w:rPr>
              <w:t xml:space="preserve"> i</w:t>
            </w:r>
            <w:r w:rsidR="005A1CAE">
              <w:rPr>
                <w:noProof/>
              </w:rPr>
              <w:t> </w:t>
            </w:r>
            <w:r w:rsidR="005A1CAE" w:rsidRPr="005A1CAE">
              <w:rPr>
                <w:noProof/>
              </w:rPr>
              <w:t>prz</w:t>
            </w:r>
            <w:r w:rsidRPr="005A1CAE">
              <w:rPr>
                <w:noProof/>
              </w:rPr>
              <w:t>ekazywać do umorzenia wymagane certyfikaty.</w:t>
            </w:r>
          </w:p>
          <w:p w14:paraId="48BFD3EC" w14:textId="0ACA012E" w:rsidR="00C56942" w:rsidRPr="005A1CAE" w:rsidRDefault="00C56942" w:rsidP="00A91EC0">
            <w:pPr>
              <w:pStyle w:val="Text1"/>
              <w:rPr>
                <w:noProof/>
              </w:rPr>
            </w:pPr>
            <w:r w:rsidRPr="005A1CAE">
              <w:rPr>
                <w:noProof/>
              </w:rPr>
              <w:t>Operatorzy instalacji produkujących</w:t>
            </w:r>
            <w:r w:rsidR="005A1CAE" w:rsidRPr="005A1CAE">
              <w:rPr>
                <w:noProof/>
              </w:rPr>
              <w:t xml:space="preserve"> w</w:t>
            </w:r>
            <w:r w:rsidR="005A1CAE">
              <w:rPr>
                <w:noProof/>
              </w:rPr>
              <w:t> </w:t>
            </w:r>
            <w:r w:rsidR="005A1CAE" w:rsidRPr="005A1CAE">
              <w:rPr>
                <w:noProof/>
              </w:rPr>
              <w:t>pań</w:t>
            </w:r>
            <w:r w:rsidRPr="005A1CAE">
              <w:rPr>
                <w:noProof/>
              </w:rPr>
              <w:t>stwach trzecich towary objęte CBAM zarejestrują się</w:t>
            </w:r>
            <w:r w:rsidR="005A1CAE" w:rsidRPr="005A1CAE">
              <w:rPr>
                <w:noProof/>
              </w:rPr>
              <w:t xml:space="preserve"> w</w:t>
            </w:r>
            <w:r w:rsidR="005A1CAE">
              <w:rPr>
                <w:noProof/>
              </w:rPr>
              <w:t> </w:t>
            </w:r>
            <w:r w:rsidR="005A1CAE" w:rsidRPr="005A1CAE">
              <w:rPr>
                <w:noProof/>
              </w:rPr>
              <w:t>rej</w:t>
            </w:r>
            <w:r w:rsidRPr="005A1CAE">
              <w:rPr>
                <w:noProof/>
              </w:rPr>
              <w:t>estrze CBAM,</w:t>
            </w:r>
            <w:r w:rsidR="005A1CAE" w:rsidRPr="005A1CAE">
              <w:rPr>
                <w:noProof/>
              </w:rPr>
              <w:t xml:space="preserve"> a</w:t>
            </w:r>
            <w:r w:rsidR="005A1CAE">
              <w:rPr>
                <w:noProof/>
              </w:rPr>
              <w:t> </w:t>
            </w:r>
            <w:r w:rsidR="005A1CAE" w:rsidRPr="005A1CAE">
              <w:rPr>
                <w:noProof/>
              </w:rPr>
              <w:t>nas</w:t>
            </w:r>
            <w:r w:rsidRPr="005A1CAE">
              <w:rPr>
                <w:noProof/>
              </w:rPr>
              <w:t>tępnie wprowadzą do niego szczegółowe informacje</w:t>
            </w:r>
            <w:r w:rsidR="005A1CAE" w:rsidRPr="005A1CAE">
              <w:rPr>
                <w:noProof/>
              </w:rPr>
              <w:t xml:space="preserve"> o</w:t>
            </w:r>
            <w:r w:rsidR="005A1CAE">
              <w:rPr>
                <w:noProof/>
              </w:rPr>
              <w:t> </w:t>
            </w:r>
            <w:r w:rsidR="005A1CAE" w:rsidRPr="005A1CAE">
              <w:rPr>
                <w:noProof/>
              </w:rPr>
              <w:t>emi</w:t>
            </w:r>
            <w:r w:rsidRPr="005A1CAE">
              <w:rPr>
                <w:noProof/>
              </w:rPr>
              <w:t>sjach związanych</w:t>
            </w:r>
            <w:r w:rsidR="005A1CAE" w:rsidRPr="005A1CAE">
              <w:rPr>
                <w:noProof/>
              </w:rPr>
              <w:t xml:space="preserve"> z</w:t>
            </w:r>
            <w:r w:rsidR="005A1CAE">
              <w:rPr>
                <w:noProof/>
              </w:rPr>
              <w:t> </w:t>
            </w:r>
            <w:r w:rsidR="005A1CAE" w:rsidRPr="005A1CAE">
              <w:rPr>
                <w:noProof/>
              </w:rPr>
              <w:t>tym</w:t>
            </w:r>
            <w:r w:rsidRPr="005A1CAE">
              <w:rPr>
                <w:noProof/>
              </w:rPr>
              <w:t>i towarami. Zgłaszający CBAM będą mogli uzasadniać zgłaszane emisje poprzez odniesienie do wpisów operatorów. Jest to istotny środek zmniejszający obciążenie regulacyjne podmiotów zgłaszających CBAM</w:t>
            </w:r>
            <w:r w:rsidR="005A1CAE" w:rsidRPr="005A1CAE">
              <w:rPr>
                <w:noProof/>
              </w:rPr>
              <w:t xml:space="preserve"> i</w:t>
            </w:r>
            <w:r w:rsidR="005A1CAE">
              <w:rPr>
                <w:noProof/>
              </w:rPr>
              <w:t> </w:t>
            </w:r>
            <w:r w:rsidR="005A1CAE" w:rsidRPr="005A1CAE">
              <w:rPr>
                <w:noProof/>
              </w:rPr>
              <w:t>pop</w:t>
            </w:r>
            <w:r w:rsidRPr="005A1CAE">
              <w:rPr>
                <w:noProof/>
              </w:rPr>
              <w:t>rawiający jakość danych CBAM. Chociaż na tym etapie nie ma dowodów na poparcie tych szacunków, DG TAXUD spodziewa się, że</w:t>
            </w:r>
            <w:r w:rsidR="005A1CAE" w:rsidRPr="005A1CAE">
              <w:rPr>
                <w:noProof/>
              </w:rPr>
              <w:t xml:space="preserve"> w</w:t>
            </w:r>
            <w:r w:rsidR="005A1CAE">
              <w:rPr>
                <w:noProof/>
              </w:rPr>
              <w:t> </w:t>
            </w:r>
            <w:r w:rsidR="005A1CAE" w:rsidRPr="005A1CAE">
              <w:rPr>
                <w:noProof/>
              </w:rPr>
              <w:t>2</w:t>
            </w:r>
            <w:r w:rsidRPr="005A1CAE">
              <w:rPr>
                <w:noProof/>
              </w:rPr>
              <w:t>026</w:t>
            </w:r>
            <w:r w:rsidR="005A1CAE" w:rsidRPr="005A1CAE">
              <w:rPr>
                <w:noProof/>
              </w:rPr>
              <w:t> </w:t>
            </w:r>
            <w:r w:rsidRPr="005A1CAE">
              <w:rPr>
                <w:noProof/>
              </w:rPr>
              <w:t>r. liczba operatorów wyniesie 20 000–50 000.</w:t>
            </w:r>
          </w:p>
          <w:p w14:paraId="0231ED0A" w14:textId="0ECE6BD2" w:rsidR="00C56942" w:rsidRPr="005A1CAE" w:rsidRDefault="00C56942" w:rsidP="00A91EC0">
            <w:pPr>
              <w:pStyle w:val="Text1"/>
              <w:rPr>
                <w:noProof/>
              </w:rPr>
            </w:pPr>
            <w:r w:rsidRPr="005A1CAE">
              <w:rPr>
                <w:noProof/>
              </w:rPr>
              <w:t>Właściwe organy krajowe CBAM będą korzystać</w:t>
            </w:r>
            <w:r w:rsidR="005A1CAE" w:rsidRPr="005A1CAE">
              <w:rPr>
                <w:noProof/>
              </w:rPr>
              <w:t xml:space="preserve"> z</w:t>
            </w:r>
            <w:r w:rsidR="005A1CAE">
              <w:rPr>
                <w:noProof/>
              </w:rPr>
              <w:t> </w:t>
            </w:r>
            <w:r w:rsidR="005A1CAE" w:rsidRPr="005A1CAE">
              <w:rPr>
                <w:noProof/>
              </w:rPr>
              <w:t>rej</w:t>
            </w:r>
            <w:r w:rsidRPr="005A1CAE">
              <w:rPr>
                <w:noProof/>
              </w:rPr>
              <w:t>estru CBAM</w:t>
            </w:r>
            <w:r w:rsidR="005A1CAE" w:rsidRPr="005A1CAE">
              <w:rPr>
                <w:noProof/>
              </w:rPr>
              <w:t xml:space="preserve"> w</w:t>
            </w:r>
            <w:r w:rsidR="005A1CAE">
              <w:rPr>
                <w:noProof/>
              </w:rPr>
              <w:t> </w:t>
            </w:r>
            <w:r w:rsidR="005A1CAE" w:rsidRPr="005A1CAE">
              <w:rPr>
                <w:noProof/>
              </w:rPr>
              <w:t>cel</w:t>
            </w:r>
            <w:r w:rsidRPr="005A1CAE">
              <w:rPr>
                <w:noProof/>
              </w:rPr>
              <w:t>u udzielania dostępu podmiotom zgłaszającym CBAM, zarządzania upoważnieniami CBAM, monitorowania rachunków</w:t>
            </w:r>
            <w:r w:rsidR="005A1CAE" w:rsidRPr="005A1CAE">
              <w:rPr>
                <w:noProof/>
              </w:rPr>
              <w:t xml:space="preserve"> i</w:t>
            </w:r>
            <w:r w:rsidR="005A1CAE">
              <w:rPr>
                <w:noProof/>
              </w:rPr>
              <w:t> </w:t>
            </w:r>
            <w:r w:rsidR="005A1CAE" w:rsidRPr="005A1CAE">
              <w:rPr>
                <w:noProof/>
              </w:rPr>
              <w:t>dek</w:t>
            </w:r>
            <w:r w:rsidRPr="005A1CAE">
              <w:rPr>
                <w:noProof/>
              </w:rPr>
              <w:t>laracji CBAM oraz interakcji</w:t>
            </w:r>
            <w:r w:rsidR="005A1CAE" w:rsidRPr="005A1CAE">
              <w:rPr>
                <w:noProof/>
              </w:rPr>
              <w:t xml:space="preserve"> z</w:t>
            </w:r>
            <w:r w:rsidR="005A1CAE">
              <w:rPr>
                <w:noProof/>
              </w:rPr>
              <w:t> </w:t>
            </w:r>
            <w:r w:rsidR="005A1CAE" w:rsidRPr="005A1CAE">
              <w:rPr>
                <w:noProof/>
              </w:rPr>
              <w:t>pod</w:t>
            </w:r>
            <w:r w:rsidRPr="005A1CAE">
              <w:rPr>
                <w:noProof/>
              </w:rPr>
              <w:t>miotami zgłaszającymi CBAM, aby zapewnić przestrzeganie przez nie przepisów rozporządzenia</w:t>
            </w:r>
            <w:r w:rsidR="005A1CAE" w:rsidRPr="005A1CAE">
              <w:rPr>
                <w:noProof/>
              </w:rPr>
              <w:t xml:space="preserve"> w</w:t>
            </w:r>
            <w:r w:rsidR="005A1CAE">
              <w:rPr>
                <w:noProof/>
              </w:rPr>
              <w:t> </w:t>
            </w:r>
            <w:r w:rsidR="005A1CAE" w:rsidRPr="005A1CAE">
              <w:rPr>
                <w:noProof/>
              </w:rPr>
              <w:t>spr</w:t>
            </w:r>
            <w:r w:rsidRPr="005A1CAE">
              <w:rPr>
                <w:noProof/>
              </w:rPr>
              <w:t>awie CBAM. Właściwe organy krajowe są pojedynczym punktem kontaktowym dla zgłaszających CBAM.</w:t>
            </w:r>
          </w:p>
          <w:p w14:paraId="505F461D" w14:textId="08C04AE7" w:rsidR="00C56942" w:rsidRPr="005A1CAE" w:rsidRDefault="00C56942" w:rsidP="00A91EC0">
            <w:pPr>
              <w:pStyle w:val="Text1"/>
              <w:rPr>
                <w:noProof/>
              </w:rPr>
            </w:pPr>
            <w:r w:rsidRPr="005A1CAE">
              <w:rPr>
                <w:noProof/>
              </w:rPr>
              <w:t>Inne organy uzyskają dostęp do rejestru CBAM, aby uczestniczyć</w:t>
            </w:r>
            <w:r w:rsidR="005A1CAE" w:rsidRPr="005A1CAE">
              <w:rPr>
                <w:noProof/>
              </w:rPr>
              <w:t xml:space="preserve"> w</w:t>
            </w:r>
            <w:r w:rsidR="005A1CAE">
              <w:rPr>
                <w:noProof/>
              </w:rPr>
              <w:t> </w:t>
            </w:r>
            <w:r w:rsidR="005A1CAE" w:rsidRPr="005A1CAE">
              <w:rPr>
                <w:noProof/>
              </w:rPr>
              <w:t>zar</w:t>
            </w:r>
            <w:r w:rsidRPr="005A1CAE">
              <w:rPr>
                <w:noProof/>
              </w:rPr>
              <w:t>ządzaniu ryzykiem</w:t>
            </w:r>
            <w:r w:rsidR="005A1CAE" w:rsidRPr="005A1CAE">
              <w:rPr>
                <w:noProof/>
              </w:rPr>
              <w:t xml:space="preserve"> i</w:t>
            </w:r>
            <w:r w:rsidR="005A1CAE">
              <w:rPr>
                <w:noProof/>
              </w:rPr>
              <w:t> </w:t>
            </w:r>
            <w:r w:rsidR="005A1CAE" w:rsidRPr="005A1CAE">
              <w:rPr>
                <w:noProof/>
              </w:rPr>
              <w:t>egz</w:t>
            </w:r>
            <w:r w:rsidRPr="005A1CAE">
              <w:rPr>
                <w:noProof/>
              </w:rPr>
              <w:t>ekwowaniu przepisów</w:t>
            </w:r>
            <w:r w:rsidR="005A1CAE" w:rsidRPr="005A1CAE">
              <w:rPr>
                <w:noProof/>
              </w:rPr>
              <w:t xml:space="preserve"> w</w:t>
            </w:r>
            <w:r w:rsidR="005A1CAE">
              <w:rPr>
                <w:noProof/>
              </w:rPr>
              <w:t> </w:t>
            </w:r>
            <w:r w:rsidR="005A1CAE" w:rsidRPr="005A1CAE">
              <w:rPr>
                <w:noProof/>
              </w:rPr>
              <w:t>ram</w:t>
            </w:r>
            <w:r w:rsidRPr="005A1CAE">
              <w:rPr>
                <w:noProof/>
              </w:rPr>
              <w:t>ach ich odpowiednich obszarów odpowiedzialności. Rejestr CBAM posłuży do koordynacji</w:t>
            </w:r>
            <w:r w:rsidR="005A1CAE" w:rsidRPr="005A1CAE">
              <w:rPr>
                <w:noProof/>
              </w:rPr>
              <w:t xml:space="preserve"> i</w:t>
            </w:r>
            <w:r w:rsidR="005A1CAE">
              <w:rPr>
                <w:noProof/>
              </w:rPr>
              <w:t> </w:t>
            </w:r>
            <w:r w:rsidR="005A1CAE" w:rsidRPr="005A1CAE">
              <w:rPr>
                <w:noProof/>
              </w:rPr>
              <w:t>wsp</w:t>
            </w:r>
            <w:r w:rsidRPr="005A1CAE">
              <w:rPr>
                <w:noProof/>
              </w:rPr>
              <w:t>arcia współpracy międzyagencyjnej</w:t>
            </w:r>
            <w:r w:rsidR="005A1CAE" w:rsidRPr="005A1CAE">
              <w:rPr>
                <w:noProof/>
              </w:rPr>
              <w:t xml:space="preserve"> w</w:t>
            </w:r>
            <w:r w:rsidR="005A1CAE">
              <w:rPr>
                <w:noProof/>
              </w:rPr>
              <w:t> </w:t>
            </w:r>
            <w:r w:rsidR="005A1CAE" w:rsidRPr="005A1CAE">
              <w:rPr>
                <w:noProof/>
              </w:rPr>
              <w:t>zak</w:t>
            </w:r>
            <w:r w:rsidRPr="005A1CAE">
              <w:rPr>
                <w:noProof/>
              </w:rPr>
              <w:t>resie zapewniania przestrzegania przepisów. Krajowe administracje celne będą zatwierdzać upoważnienia CBAM podczas kontroli zgłoszeń przywozowych,</w:t>
            </w:r>
            <w:r w:rsidR="005A1CAE" w:rsidRPr="005A1CAE">
              <w:rPr>
                <w:noProof/>
              </w:rPr>
              <w:t xml:space="preserve"> z</w:t>
            </w:r>
            <w:r w:rsidR="005A1CAE">
              <w:rPr>
                <w:noProof/>
              </w:rPr>
              <w:t> </w:t>
            </w:r>
            <w:r w:rsidR="005A1CAE" w:rsidRPr="005A1CAE">
              <w:rPr>
                <w:noProof/>
              </w:rPr>
              <w:t>wyk</w:t>
            </w:r>
            <w:r w:rsidRPr="005A1CAE">
              <w:rPr>
                <w:noProof/>
              </w:rPr>
              <w:t>orzystaniem usług replikacji</w:t>
            </w:r>
            <w:r w:rsidR="005A1CAE" w:rsidRPr="005A1CAE">
              <w:rPr>
                <w:noProof/>
              </w:rPr>
              <w:t xml:space="preserve"> i</w:t>
            </w:r>
            <w:r w:rsidR="005A1CAE">
              <w:rPr>
                <w:noProof/>
              </w:rPr>
              <w:t> </w:t>
            </w:r>
            <w:r w:rsidR="005A1CAE" w:rsidRPr="005A1CAE">
              <w:rPr>
                <w:noProof/>
              </w:rPr>
              <w:t>wal</w:t>
            </w:r>
            <w:r w:rsidRPr="005A1CAE">
              <w:rPr>
                <w:noProof/>
              </w:rPr>
              <w:t>idacji rejestru CBAM za pośrednictwem EU CSW-CERTEX.</w:t>
            </w:r>
          </w:p>
          <w:p w14:paraId="7211AA30" w14:textId="3BEF8F53" w:rsidR="00C56942" w:rsidRPr="005A1CAE" w:rsidRDefault="00C56942" w:rsidP="00A91EC0">
            <w:pPr>
              <w:pStyle w:val="Text1"/>
              <w:rPr>
                <w:noProof/>
              </w:rPr>
            </w:pPr>
            <w:r w:rsidRPr="005A1CAE">
              <w:rPr>
                <w:noProof/>
              </w:rPr>
              <w:t>Komisja będzie przydzielać zgłaszającym CBAM rachunki CBAM</w:t>
            </w:r>
            <w:r w:rsidR="005A1CAE" w:rsidRPr="005A1CAE">
              <w:rPr>
                <w:noProof/>
              </w:rPr>
              <w:t xml:space="preserve"> w</w:t>
            </w:r>
            <w:r w:rsidR="005A1CAE">
              <w:rPr>
                <w:noProof/>
              </w:rPr>
              <w:t> </w:t>
            </w:r>
            <w:r w:rsidR="005A1CAE" w:rsidRPr="005A1CAE">
              <w:rPr>
                <w:noProof/>
              </w:rPr>
              <w:t>rej</w:t>
            </w:r>
            <w:r w:rsidRPr="005A1CAE">
              <w:rPr>
                <w:noProof/>
              </w:rPr>
              <w:t>estrze CBAM</w:t>
            </w:r>
            <w:r w:rsidR="005A1CAE" w:rsidRPr="005A1CAE">
              <w:rPr>
                <w:noProof/>
              </w:rPr>
              <w:t xml:space="preserve"> i</w:t>
            </w:r>
            <w:r w:rsidR="005A1CAE">
              <w:rPr>
                <w:noProof/>
              </w:rPr>
              <w:t> </w:t>
            </w:r>
            <w:r w:rsidR="005A1CAE" w:rsidRPr="005A1CAE">
              <w:rPr>
                <w:noProof/>
              </w:rPr>
              <w:t>zap</w:t>
            </w:r>
            <w:r w:rsidRPr="005A1CAE">
              <w:rPr>
                <w:noProof/>
              </w:rPr>
              <w:t>ewniać ich aktualność, łącząc informacje przywozowe otrzymane od krajowych administracji celnych, emisje wskazane</w:t>
            </w:r>
            <w:r w:rsidR="005A1CAE" w:rsidRPr="005A1CAE">
              <w:rPr>
                <w:noProof/>
              </w:rPr>
              <w:t xml:space="preserve"> w</w:t>
            </w:r>
            <w:r w:rsidR="005A1CAE">
              <w:rPr>
                <w:noProof/>
              </w:rPr>
              <w:t> </w:t>
            </w:r>
            <w:r w:rsidR="005A1CAE" w:rsidRPr="005A1CAE">
              <w:rPr>
                <w:noProof/>
              </w:rPr>
              <w:t>dek</w:t>
            </w:r>
            <w:r w:rsidRPr="005A1CAE">
              <w:rPr>
                <w:noProof/>
              </w:rPr>
              <w:t>laracjach rocznych, liczbę certyfikatów, ich zakup zgłoszony na platformie CCP, ich coroczne umarzanie potwierdzone przez zgłaszającego CBAM oraz odkup niewykorzystanych certyfikatów. Komisja będzie korzystać</w:t>
            </w:r>
            <w:r w:rsidR="005A1CAE" w:rsidRPr="005A1CAE">
              <w:rPr>
                <w:noProof/>
              </w:rPr>
              <w:t xml:space="preserve"> z</w:t>
            </w:r>
            <w:r w:rsidR="005A1CAE">
              <w:rPr>
                <w:noProof/>
              </w:rPr>
              <w:t> </w:t>
            </w:r>
            <w:r w:rsidR="005A1CAE" w:rsidRPr="005A1CAE">
              <w:rPr>
                <w:noProof/>
              </w:rPr>
              <w:t>rej</w:t>
            </w:r>
            <w:r w:rsidRPr="005A1CAE">
              <w:rPr>
                <w:noProof/>
              </w:rPr>
              <w:t>estru CBAM, aby monitorować przywożone towary</w:t>
            </w:r>
            <w:r w:rsidR="005A1CAE" w:rsidRPr="005A1CAE">
              <w:rPr>
                <w:noProof/>
              </w:rPr>
              <w:t xml:space="preserve"> i</w:t>
            </w:r>
            <w:r w:rsidR="005A1CAE">
              <w:rPr>
                <w:noProof/>
              </w:rPr>
              <w:t> </w:t>
            </w:r>
            <w:r w:rsidR="005A1CAE" w:rsidRPr="005A1CAE">
              <w:rPr>
                <w:noProof/>
              </w:rPr>
              <w:t>zwi</w:t>
            </w:r>
            <w:r w:rsidRPr="005A1CAE">
              <w:rPr>
                <w:noProof/>
              </w:rPr>
              <w:t>ązane</w:t>
            </w:r>
            <w:r w:rsidR="005A1CAE" w:rsidRPr="005A1CAE">
              <w:rPr>
                <w:noProof/>
              </w:rPr>
              <w:t xml:space="preserve"> z</w:t>
            </w:r>
            <w:r w:rsidR="005A1CAE">
              <w:rPr>
                <w:noProof/>
              </w:rPr>
              <w:t> </w:t>
            </w:r>
            <w:r w:rsidR="005A1CAE" w:rsidRPr="005A1CAE">
              <w:rPr>
                <w:noProof/>
              </w:rPr>
              <w:t>nim</w:t>
            </w:r>
            <w:r w:rsidRPr="005A1CAE">
              <w:rPr>
                <w:noProof/>
              </w:rPr>
              <w:t>i emisje</w:t>
            </w:r>
            <w:r w:rsidR="005A1CAE" w:rsidRPr="005A1CAE">
              <w:rPr>
                <w:noProof/>
              </w:rPr>
              <w:t xml:space="preserve"> w</w:t>
            </w:r>
            <w:r w:rsidR="005A1CAE">
              <w:rPr>
                <w:noProof/>
              </w:rPr>
              <w:t> </w:t>
            </w:r>
            <w:r w:rsidR="005A1CAE" w:rsidRPr="005A1CAE">
              <w:rPr>
                <w:noProof/>
              </w:rPr>
              <w:t>cel</w:t>
            </w:r>
            <w:r w:rsidRPr="005A1CAE">
              <w:rPr>
                <w:noProof/>
              </w:rPr>
              <w:t>u zarządzania ryzykiem,</w:t>
            </w:r>
            <w:r w:rsidR="005A1CAE" w:rsidRPr="005A1CAE">
              <w:rPr>
                <w:noProof/>
              </w:rPr>
              <w:t xml:space="preserve"> w</w:t>
            </w:r>
            <w:r w:rsidR="005A1CAE">
              <w:rPr>
                <w:noProof/>
              </w:rPr>
              <w:t> </w:t>
            </w:r>
            <w:r w:rsidR="005A1CAE" w:rsidRPr="005A1CAE">
              <w:rPr>
                <w:noProof/>
              </w:rPr>
              <w:t>szc</w:t>
            </w:r>
            <w:r w:rsidRPr="005A1CAE">
              <w:rPr>
                <w:noProof/>
              </w:rPr>
              <w:t xml:space="preserve">zególności – ryzykiem obchodzenia przepisów. Rejestr CBAM będzie również </w:t>
            </w:r>
            <w:r w:rsidRPr="005A1CAE">
              <w:rPr>
                <w:noProof/>
              </w:rPr>
              <w:lastRenderedPageBreak/>
              <w:t>oferował specjalny interfejs do systemu zarządzania ryzykiem celnym CRMS2, umożliwiający dzielenie się ryzykiem związanym z CBAM</w:t>
            </w:r>
            <w:r w:rsidR="005A1CAE" w:rsidRPr="005A1CAE">
              <w:rPr>
                <w:noProof/>
              </w:rPr>
              <w:t xml:space="preserve"> z</w:t>
            </w:r>
            <w:r w:rsidR="005A1CAE">
              <w:rPr>
                <w:noProof/>
              </w:rPr>
              <w:t> </w:t>
            </w:r>
            <w:r w:rsidR="005A1CAE" w:rsidRPr="005A1CAE">
              <w:rPr>
                <w:noProof/>
              </w:rPr>
              <w:t>dzi</w:t>
            </w:r>
            <w:r w:rsidRPr="005A1CAE">
              <w:rPr>
                <w:noProof/>
              </w:rPr>
              <w:t>edziną ceł. Rejestr CBAM będzie również oferował komponent zarządzania sprawami, który umożliwi organom tworzenie, uzupełnianie, śledzenie</w:t>
            </w:r>
            <w:r w:rsidR="005A1CAE" w:rsidRPr="005A1CAE">
              <w:rPr>
                <w:noProof/>
              </w:rPr>
              <w:t xml:space="preserve"> i</w:t>
            </w:r>
            <w:r w:rsidR="005A1CAE">
              <w:rPr>
                <w:noProof/>
              </w:rPr>
              <w:t> </w:t>
            </w:r>
            <w:r w:rsidR="005A1CAE" w:rsidRPr="005A1CAE">
              <w:rPr>
                <w:noProof/>
              </w:rPr>
              <w:t>roz</w:t>
            </w:r>
            <w:r w:rsidRPr="005A1CAE">
              <w:rPr>
                <w:noProof/>
              </w:rPr>
              <w:t>strzyganie spraw, wymianę powiadomień</w:t>
            </w:r>
            <w:r w:rsidR="005A1CAE" w:rsidRPr="005A1CAE">
              <w:rPr>
                <w:noProof/>
              </w:rPr>
              <w:t xml:space="preserve"> i</w:t>
            </w:r>
            <w:r w:rsidR="005A1CAE">
              <w:rPr>
                <w:noProof/>
              </w:rPr>
              <w:t> </w:t>
            </w:r>
            <w:r w:rsidR="005A1CAE" w:rsidRPr="005A1CAE">
              <w:rPr>
                <w:noProof/>
              </w:rPr>
              <w:t>wyn</w:t>
            </w:r>
            <w:r w:rsidRPr="005A1CAE">
              <w:rPr>
                <w:noProof/>
              </w:rPr>
              <w:t>ików oraz monitorowanie aktualnego wykazu wszystkich spraw</w:t>
            </w:r>
            <w:r w:rsidR="005A1CAE" w:rsidRPr="005A1CAE">
              <w:rPr>
                <w:noProof/>
              </w:rPr>
              <w:t xml:space="preserve"> w</w:t>
            </w:r>
            <w:r w:rsidR="005A1CAE">
              <w:rPr>
                <w:noProof/>
              </w:rPr>
              <w:t> </w:t>
            </w:r>
            <w:r w:rsidR="005A1CAE" w:rsidRPr="005A1CAE">
              <w:rPr>
                <w:noProof/>
              </w:rPr>
              <w:t>cał</w:t>
            </w:r>
            <w:r w:rsidRPr="005A1CAE">
              <w:rPr>
                <w:noProof/>
              </w:rPr>
              <w:t xml:space="preserve">ym systemie. </w:t>
            </w:r>
          </w:p>
          <w:p w14:paraId="2ABAFA9C" w14:textId="15411FEA" w:rsidR="00C56942" w:rsidRPr="005A1CAE" w:rsidRDefault="00C56942" w:rsidP="00A91EC0">
            <w:pPr>
              <w:pStyle w:val="Text1"/>
              <w:rPr>
                <w:noProof/>
              </w:rPr>
            </w:pPr>
            <w:r w:rsidRPr="005A1CAE">
              <w:rPr>
                <w:noProof/>
              </w:rPr>
              <w:t>Dostęp poszczególnych podmiotów do rejestru CBAM odbywa się za pośrednictwem specjalnych portali</w:t>
            </w:r>
            <w:r w:rsidR="005A1CAE" w:rsidRPr="005A1CAE">
              <w:rPr>
                <w:noProof/>
              </w:rPr>
              <w:t xml:space="preserve"> w</w:t>
            </w:r>
            <w:r w:rsidR="005A1CAE">
              <w:rPr>
                <w:noProof/>
              </w:rPr>
              <w:t> </w:t>
            </w:r>
            <w:r w:rsidR="005A1CAE" w:rsidRPr="005A1CAE">
              <w:rPr>
                <w:noProof/>
              </w:rPr>
              <w:t>ram</w:t>
            </w:r>
            <w:r w:rsidRPr="005A1CAE">
              <w:rPr>
                <w:noProof/>
              </w:rPr>
              <w:t>ach rozproszonego zarządzania dostępem przez odpowiednie podmioty:</w:t>
            </w:r>
          </w:p>
          <w:p w14:paraId="622D0039" w14:textId="5211F95B" w:rsidR="00C56942" w:rsidRPr="005A1CAE" w:rsidRDefault="00C56942" w:rsidP="00E05594">
            <w:pPr>
              <w:pStyle w:val="Text1"/>
              <w:numPr>
                <w:ilvl w:val="0"/>
                <w:numId w:val="22"/>
              </w:numPr>
              <w:rPr>
                <w:rFonts w:eastAsiaTheme="minorHAnsi"/>
                <w:noProof/>
              </w:rPr>
            </w:pPr>
            <w:r w:rsidRPr="005A1CAE">
              <w:rPr>
                <w:noProof/>
              </w:rPr>
              <w:t>właściwy organ krajowy zarządza dostępem zgłaszających CBAM do portalu CBAM dla zgłaszającego, uzyskiwanym</w:t>
            </w:r>
            <w:r w:rsidR="005A1CAE" w:rsidRPr="005A1CAE">
              <w:rPr>
                <w:noProof/>
              </w:rPr>
              <w:t xml:space="preserve"> w</w:t>
            </w:r>
            <w:r w:rsidR="005A1CAE">
              <w:rPr>
                <w:noProof/>
              </w:rPr>
              <w:t> </w:t>
            </w:r>
            <w:r w:rsidR="005A1CAE" w:rsidRPr="005A1CAE">
              <w:rPr>
                <w:noProof/>
              </w:rPr>
              <w:t>opa</w:t>
            </w:r>
            <w:r w:rsidRPr="005A1CAE">
              <w:rPr>
                <w:noProof/>
              </w:rPr>
              <w:t>rciu</w:t>
            </w:r>
            <w:r w:rsidR="005A1CAE" w:rsidRPr="005A1CAE">
              <w:rPr>
                <w:noProof/>
              </w:rPr>
              <w:t xml:space="preserve"> o</w:t>
            </w:r>
            <w:r w:rsidR="005A1CAE">
              <w:rPr>
                <w:noProof/>
              </w:rPr>
              <w:t> </w:t>
            </w:r>
            <w:r w:rsidR="005A1CAE" w:rsidRPr="005A1CAE">
              <w:rPr>
                <w:noProof/>
              </w:rPr>
              <w:t>kra</w:t>
            </w:r>
            <w:r w:rsidRPr="005A1CAE">
              <w:rPr>
                <w:noProof/>
              </w:rPr>
              <w:t>jowe dane uwierzytelniające przyznane już wcześniej przez krajową administrację celną albo</w:t>
            </w:r>
            <w:r w:rsidR="005A1CAE" w:rsidRPr="005A1CAE">
              <w:rPr>
                <w:noProof/>
              </w:rPr>
              <w:t xml:space="preserve"> w</w:t>
            </w:r>
            <w:r w:rsidR="005A1CAE">
              <w:rPr>
                <w:noProof/>
              </w:rPr>
              <w:t> </w:t>
            </w:r>
            <w:r w:rsidR="005A1CAE" w:rsidRPr="005A1CAE">
              <w:rPr>
                <w:noProof/>
              </w:rPr>
              <w:t>opa</w:t>
            </w:r>
            <w:r w:rsidRPr="005A1CAE">
              <w:rPr>
                <w:noProof/>
              </w:rPr>
              <w:t>rciu</w:t>
            </w:r>
            <w:r w:rsidR="005A1CAE" w:rsidRPr="005A1CAE">
              <w:rPr>
                <w:noProof/>
              </w:rPr>
              <w:t xml:space="preserve"> o</w:t>
            </w:r>
            <w:r w:rsidR="005A1CAE">
              <w:rPr>
                <w:noProof/>
              </w:rPr>
              <w:t> </w:t>
            </w:r>
            <w:r w:rsidR="005A1CAE" w:rsidRPr="005A1CAE">
              <w:rPr>
                <w:noProof/>
              </w:rPr>
              <w:t>kon</w:t>
            </w:r>
            <w:r w:rsidRPr="005A1CAE">
              <w:rPr>
                <w:noProof/>
              </w:rPr>
              <w:t>to EU Login;</w:t>
            </w:r>
          </w:p>
          <w:p w14:paraId="736E6478" w14:textId="1E7044EE" w:rsidR="00C56942" w:rsidRPr="005A1CAE" w:rsidRDefault="00C56942" w:rsidP="00E05594">
            <w:pPr>
              <w:pStyle w:val="Text1"/>
              <w:numPr>
                <w:ilvl w:val="0"/>
                <w:numId w:val="22"/>
              </w:numPr>
              <w:rPr>
                <w:rFonts w:eastAsiaTheme="minorHAnsi"/>
                <w:noProof/>
              </w:rPr>
            </w:pPr>
            <w:r w:rsidRPr="005A1CAE">
              <w:rPr>
                <w:noProof/>
              </w:rPr>
              <w:t>Komisja zarządza dostępem do portalu operatorów instalacji</w:t>
            </w:r>
            <w:r w:rsidR="005A1CAE" w:rsidRPr="005A1CAE">
              <w:rPr>
                <w:noProof/>
              </w:rPr>
              <w:t xml:space="preserve"> z</w:t>
            </w:r>
            <w:r w:rsidR="005A1CAE">
              <w:rPr>
                <w:noProof/>
              </w:rPr>
              <w:t> </w:t>
            </w:r>
            <w:r w:rsidR="005A1CAE" w:rsidRPr="005A1CAE">
              <w:rPr>
                <w:noProof/>
              </w:rPr>
              <w:t>pań</w:t>
            </w:r>
            <w:r w:rsidRPr="005A1CAE">
              <w:rPr>
                <w:noProof/>
              </w:rPr>
              <w:t>stw trzecich, uzyskiwanym</w:t>
            </w:r>
            <w:r w:rsidR="005A1CAE" w:rsidRPr="005A1CAE">
              <w:rPr>
                <w:noProof/>
              </w:rPr>
              <w:t xml:space="preserve"> w</w:t>
            </w:r>
            <w:r w:rsidR="005A1CAE">
              <w:rPr>
                <w:noProof/>
              </w:rPr>
              <w:t> </w:t>
            </w:r>
            <w:r w:rsidR="005A1CAE" w:rsidRPr="005A1CAE">
              <w:rPr>
                <w:noProof/>
              </w:rPr>
              <w:t>opa</w:t>
            </w:r>
            <w:r w:rsidRPr="005A1CAE">
              <w:rPr>
                <w:noProof/>
              </w:rPr>
              <w:t>rciu</w:t>
            </w:r>
            <w:r w:rsidR="005A1CAE" w:rsidRPr="005A1CAE">
              <w:rPr>
                <w:noProof/>
              </w:rPr>
              <w:t xml:space="preserve"> o</w:t>
            </w:r>
            <w:r w:rsidR="005A1CAE">
              <w:rPr>
                <w:noProof/>
              </w:rPr>
              <w:t> </w:t>
            </w:r>
            <w:r w:rsidR="005A1CAE" w:rsidRPr="005A1CAE">
              <w:rPr>
                <w:noProof/>
              </w:rPr>
              <w:t>dan</w:t>
            </w:r>
            <w:r w:rsidRPr="005A1CAE">
              <w:rPr>
                <w:noProof/>
              </w:rPr>
              <w:t>e uwierzytelniające EU Login</w:t>
            </w:r>
            <w:r w:rsidR="005A1CAE" w:rsidRPr="005A1CAE">
              <w:rPr>
                <w:noProof/>
              </w:rPr>
              <w:t>. W</w:t>
            </w:r>
            <w:r w:rsidR="005A1CAE">
              <w:rPr>
                <w:noProof/>
              </w:rPr>
              <w:t> </w:t>
            </w:r>
            <w:r w:rsidR="005A1CAE" w:rsidRPr="005A1CAE">
              <w:rPr>
                <w:noProof/>
              </w:rPr>
              <w:t>póź</w:t>
            </w:r>
            <w:r w:rsidRPr="005A1CAE">
              <w:rPr>
                <w:noProof/>
              </w:rPr>
              <w:t>niejszym terminie zostanie określone, czy Komisja przekaże zadanie przyznawania upoważnienia do dostępu do rejestru CBAM zewnętrznym zaufanym podmiotom;</w:t>
            </w:r>
          </w:p>
          <w:p w14:paraId="6D1140A8" w14:textId="5637C5F3" w:rsidR="00C56942" w:rsidRPr="005A1CAE" w:rsidRDefault="00C56942" w:rsidP="00E05594">
            <w:pPr>
              <w:pStyle w:val="Text1"/>
              <w:numPr>
                <w:ilvl w:val="0"/>
                <w:numId w:val="22"/>
              </w:numPr>
              <w:rPr>
                <w:rFonts w:eastAsiaTheme="minorHAnsi"/>
                <w:noProof/>
              </w:rPr>
            </w:pPr>
            <w:r w:rsidRPr="005A1CAE">
              <w:rPr>
                <w:noProof/>
              </w:rPr>
              <w:t>właściwe organy krajowe, Komisja</w:t>
            </w:r>
            <w:r w:rsidR="005A1CAE" w:rsidRPr="005A1CAE">
              <w:rPr>
                <w:noProof/>
              </w:rPr>
              <w:t xml:space="preserve"> i</w:t>
            </w:r>
            <w:r w:rsidR="005A1CAE">
              <w:rPr>
                <w:noProof/>
              </w:rPr>
              <w:t> </w:t>
            </w:r>
            <w:r w:rsidR="005A1CAE" w:rsidRPr="005A1CAE">
              <w:rPr>
                <w:noProof/>
              </w:rPr>
              <w:t>inn</w:t>
            </w:r>
            <w:r w:rsidRPr="005A1CAE">
              <w:rPr>
                <w:noProof/>
              </w:rPr>
              <w:t>e organy będą zarządzać dostępem swoich użytkowników.</w:t>
            </w:r>
          </w:p>
          <w:p w14:paraId="49EA70FB" w14:textId="5DEA4CDB" w:rsidR="00D0690F" w:rsidRPr="005A1CAE" w:rsidRDefault="00C56942" w:rsidP="00A91EC0">
            <w:pPr>
              <w:pStyle w:val="Text1"/>
              <w:rPr>
                <w:noProof/>
              </w:rPr>
            </w:pPr>
            <w:r w:rsidRPr="005A1CAE">
              <w:rPr>
                <w:noProof/>
              </w:rPr>
              <w:t>Podstawowy rejestr CBAM obejmuje zautomatyzowane procesy, które Komisja będzie przeprowadzać</w:t>
            </w:r>
            <w:r w:rsidR="005A1CAE" w:rsidRPr="005A1CAE">
              <w:rPr>
                <w:noProof/>
              </w:rPr>
              <w:t xml:space="preserve"> w</w:t>
            </w:r>
            <w:r w:rsidR="005A1CAE">
              <w:rPr>
                <w:noProof/>
              </w:rPr>
              <w:t> </w:t>
            </w:r>
            <w:r w:rsidR="005A1CAE" w:rsidRPr="005A1CAE">
              <w:rPr>
                <w:noProof/>
              </w:rPr>
              <w:t>cel</w:t>
            </w:r>
            <w:r w:rsidRPr="005A1CAE">
              <w:rPr>
                <w:noProof/>
              </w:rPr>
              <w:t>u wypełnienia swoich obowiązków wynikających</w:t>
            </w:r>
            <w:r w:rsidR="005A1CAE" w:rsidRPr="005A1CAE">
              <w:rPr>
                <w:noProof/>
              </w:rPr>
              <w:t xml:space="preserve"> z</w:t>
            </w:r>
            <w:r w:rsidR="005A1CAE">
              <w:rPr>
                <w:noProof/>
              </w:rPr>
              <w:t> </w:t>
            </w:r>
            <w:r w:rsidR="005A1CAE" w:rsidRPr="005A1CAE">
              <w:rPr>
                <w:noProof/>
              </w:rPr>
              <w:t>roz</w:t>
            </w:r>
            <w:r w:rsidRPr="005A1CAE">
              <w:rPr>
                <w:noProof/>
              </w:rPr>
              <w:t>porządzenia</w:t>
            </w:r>
            <w:r w:rsidR="005A1CAE" w:rsidRPr="005A1CAE">
              <w:rPr>
                <w:noProof/>
              </w:rPr>
              <w:t xml:space="preserve"> w</w:t>
            </w:r>
            <w:r w:rsidR="005A1CAE">
              <w:rPr>
                <w:noProof/>
              </w:rPr>
              <w:t> </w:t>
            </w:r>
            <w:r w:rsidR="005A1CAE" w:rsidRPr="005A1CAE">
              <w:rPr>
                <w:noProof/>
              </w:rPr>
              <w:t>spr</w:t>
            </w:r>
            <w:r w:rsidRPr="005A1CAE">
              <w:rPr>
                <w:noProof/>
              </w:rPr>
              <w:t>awie CBAM, jak podsumowano powyżej. Zarządzanie danymi referencyjnymi będzie kluczowym procesem zapewniającym spójność</w:t>
            </w:r>
            <w:r w:rsidR="005A1CAE" w:rsidRPr="005A1CAE">
              <w:rPr>
                <w:noProof/>
              </w:rPr>
              <w:t xml:space="preserve"> i</w:t>
            </w:r>
            <w:r w:rsidR="005A1CAE">
              <w:rPr>
                <w:noProof/>
              </w:rPr>
              <w:t> </w:t>
            </w:r>
            <w:r w:rsidR="005A1CAE" w:rsidRPr="005A1CAE">
              <w:rPr>
                <w:noProof/>
              </w:rPr>
              <w:t>int</w:t>
            </w:r>
            <w:r w:rsidRPr="005A1CAE">
              <w:rPr>
                <w:noProof/>
              </w:rPr>
              <w:t>egralność wszystkich zautomatyzowanych procesów służących współpracy zainteresowanych podmiotów. Poza „zwykłym” wykazem towarów, właściwych organów krajowych</w:t>
            </w:r>
            <w:r w:rsidR="005A1CAE" w:rsidRPr="005A1CAE">
              <w:rPr>
                <w:noProof/>
              </w:rPr>
              <w:t xml:space="preserve"> i</w:t>
            </w:r>
            <w:r w:rsidR="005A1CAE">
              <w:rPr>
                <w:noProof/>
              </w:rPr>
              <w:t> </w:t>
            </w:r>
            <w:r w:rsidR="005A1CAE" w:rsidRPr="005A1CAE">
              <w:rPr>
                <w:noProof/>
              </w:rPr>
              <w:t>opł</w:t>
            </w:r>
            <w:r w:rsidRPr="005A1CAE">
              <w:rPr>
                <w:noProof/>
              </w:rPr>
              <w:t>at emisyjnych</w:t>
            </w:r>
            <w:r w:rsidR="005A1CAE" w:rsidRPr="005A1CAE">
              <w:rPr>
                <w:noProof/>
              </w:rPr>
              <w:t xml:space="preserve"> w</w:t>
            </w:r>
            <w:r w:rsidR="005A1CAE">
              <w:rPr>
                <w:noProof/>
              </w:rPr>
              <w:t> </w:t>
            </w:r>
            <w:r w:rsidR="005A1CAE" w:rsidRPr="005A1CAE">
              <w:rPr>
                <w:noProof/>
              </w:rPr>
              <w:t>sys</w:t>
            </w:r>
            <w:r w:rsidRPr="005A1CAE">
              <w:rPr>
                <w:noProof/>
              </w:rPr>
              <w:t>temie znajdą się także konkretne parametry stosowane do zgłaszania emisji zgodnie ze szczególnymi metodami oraz ustalona domyślna wartość emisji. Wartość domyślna jest kluczowa do celów zatwierdzania wiarygodności deklarowanych emisji.</w:t>
            </w:r>
          </w:p>
        </w:tc>
      </w:tr>
    </w:tbl>
    <w:p w14:paraId="27112B64" w14:textId="77777777" w:rsidR="00D0690F" w:rsidRPr="005A1CAE" w:rsidRDefault="00D0690F" w:rsidP="009F612D">
      <w:pPr>
        <w:pStyle w:val="ManualHeading2"/>
        <w:rPr>
          <w:noProof/>
        </w:rPr>
      </w:pPr>
      <w:bookmarkStart w:id="184" w:name="_Toc167220303"/>
      <w:bookmarkStart w:id="185" w:name="_Toc177549038"/>
      <w:r w:rsidRPr="005A1CAE">
        <w:rPr>
          <w:noProof/>
        </w:rPr>
        <w:lastRenderedPageBreak/>
        <w:t>4.2.</w:t>
      </w:r>
      <w:r w:rsidRPr="005A1CAE">
        <w:rPr>
          <w:noProof/>
        </w:rPr>
        <w:tab/>
        <w:t>Dane</w:t>
      </w:r>
      <w:bookmarkEnd w:id="184"/>
      <w:bookmarkEnd w:id="185"/>
    </w:p>
    <w:tbl>
      <w:tblPr>
        <w:tblStyle w:val="Tabela-Siatka"/>
        <w:tblW w:w="0" w:type="auto"/>
        <w:tblLook w:val="04A0" w:firstRow="1" w:lastRow="0" w:firstColumn="1" w:lastColumn="0" w:noHBand="0" w:noVBand="1"/>
      </w:tblPr>
      <w:tblGrid>
        <w:gridCol w:w="9063"/>
      </w:tblGrid>
      <w:tr w:rsidR="00D0690F" w:rsidRPr="005A1CAE" w14:paraId="2E2A1510" w14:textId="77777777" w:rsidTr="009F612D">
        <w:tc>
          <w:tcPr>
            <w:tcW w:w="9063" w:type="dxa"/>
          </w:tcPr>
          <w:p w14:paraId="58BA51CD" w14:textId="77777777" w:rsidR="00C56942" w:rsidRPr="005A1CAE" w:rsidRDefault="00C56942" w:rsidP="00A91EC0">
            <w:pPr>
              <w:pStyle w:val="Text1"/>
              <w:rPr>
                <w:noProof/>
              </w:rPr>
            </w:pPr>
            <w:r w:rsidRPr="005A1CAE">
              <w:rPr>
                <w:noProof/>
              </w:rPr>
              <w:t>W CBAM przetwarzane będą następujące zasoby danych:</w:t>
            </w:r>
          </w:p>
          <w:p w14:paraId="7EE10155" w14:textId="77777777" w:rsidR="00C56942" w:rsidRPr="005A1CAE" w:rsidRDefault="00C56942" w:rsidP="00E05594">
            <w:pPr>
              <w:pStyle w:val="Text1"/>
              <w:numPr>
                <w:ilvl w:val="0"/>
                <w:numId w:val="23"/>
              </w:numPr>
              <w:rPr>
                <w:noProof/>
              </w:rPr>
            </w:pPr>
            <w:r w:rsidRPr="005A1CAE">
              <w:rPr>
                <w:noProof/>
              </w:rPr>
              <w:t>dane zgłaszającego CBAM (Etap 2)</w:t>
            </w:r>
          </w:p>
          <w:p w14:paraId="18FD0E3F" w14:textId="7D0FCD5D" w:rsidR="00C56942" w:rsidRPr="005A1CAE" w:rsidRDefault="00C56942" w:rsidP="00E05594">
            <w:pPr>
              <w:pStyle w:val="Text1"/>
              <w:numPr>
                <w:ilvl w:val="0"/>
                <w:numId w:val="23"/>
              </w:numPr>
              <w:rPr>
                <w:noProof/>
              </w:rPr>
            </w:pPr>
            <w:r w:rsidRPr="005A1CAE">
              <w:rPr>
                <w:noProof/>
              </w:rPr>
              <w:t>dane operatorów</w:t>
            </w:r>
            <w:r w:rsidR="005A1CAE" w:rsidRPr="005A1CAE">
              <w:rPr>
                <w:noProof/>
              </w:rPr>
              <w:t xml:space="preserve"> z</w:t>
            </w:r>
            <w:r w:rsidR="005A1CAE">
              <w:rPr>
                <w:noProof/>
              </w:rPr>
              <w:t> </w:t>
            </w:r>
            <w:r w:rsidR="005A1CAE" w:rsidRPr="005A1CAE">
              <w:rPr>
                <w:noProof/>
              </w:rPr>
              <w:t>pań</w:t>
            </w:r>
            <w:r w:rsidRPr="005A1CAE">
              <w:rPr>
                <w:noProof/>
              </w:rPr>
              <w:t>stw trzecich</w:t>
            </w:r>
            <w:r w:rsidR="005A1CAE" w:rsidRPr="005A1CAE">
              <w:rPr>
                <w:noProof/>
              </w:rPr>
              <w:t xml:space="preserve"> i</w:t>
            </w:r>
            <w:r w:rsidR="005A1CAE">
              <w:rPr>
                <w:noProof/>
              </w:rPr>
              <w:t> </w:t>
            </w:r>
            <w:r w:rsidR="005A1CAE" w:rsidRPr="005A1CAE">
              <w:rPr>
                <w:noProof/>
              </w:rPr>
              <w:t>ich</w:t>
            </w:r>
            <w:r w:rsidRPr="005A1CAE">
              <w:rPr>
                <w:noProof/>
              </w:rPr>
              <w:t xml:space="preserve"> instalacji (Etap 2)</w:t>
            </w:r>
          </w:p>
          <w:p w14:paraId="3F183DCF" w14:textId="77777777" w:rsidR="00C56942" w:rsidRPr="005A1CAE" w:rsidRDefault="00C56942" w:rsidP="00E05594">
            <w:pPr>
              <w:pStyle w:val="Text1"/>
              <w:numPr>
                <w:ilvl w:val="0"/>
                <w:numId w:val="23"/>
              </w:numPr>
              <w:rPr>
                <w:noProof/>
              </w:rPr>
            </w:pPr>
            <w:r w:rsidRPr="005A1CAE">
              <w:rPr>
                <w:noProof/>
              </w:rPr>
              <w:t>dane referencyjne CBAM (Etap 2)</w:t>
            </w:r>
          </w:p>
          <w:p w14:paraId="20080D83" w14:textId="77777777" w:rsidR="00C56942" w:rsidRPr="005A1CAE" w:rsidRDefault="00C56942" w:rsidP="00E05594">
            <w:pPr>
              <w:pStyle w:val="Text1"/>
              <w:numPr>
                <w:ilvl w:val="0"/>
                <w:numId w:val="23"/>
              </w:numPr>
              <w:rPr>
                <w:noProof/>
              </w:rPr>
            </w:pPr>
            <w:r w:rsidRPr="005A1CAE">
              <w:rPr>
                <w:noProof/>
              </w:rPr>
              <w:t>dane dotyczące zarządzania dostępem użytkowników CBAM (Etap 2)</w:t>
            </w:r>
          </w:p>
          <w:p w14:paraId="6FFB0FDC" w14:textId="77777777" w:rsidR="00C56942" w:rsidRPr="005A1CAE" w:rsidRDefault="00C56942" w:rsidP="00E05594">
            <w:pPr>
              <w:pStyle w:val="Text1"/>
              <w:numPr>
                <w:ilvl w:val="0"/>
                <w:numId w:val="23"/>
              </w:numPr>
              <w:rPr>
                <w:noProof/>
              </w:rPr>
            </w:pPr>
            <w:r w:rsidRPr="005A1CAE">
              <w:rPr>
                <w:noProof/>
              </w:rPr>
              <w:t>funkcje zgłaszającego CBAM/importera (Etap 2)</w:t>
            </w:r>
          </w:p>
          <w:p w14:paraId="0D9C70BF" w14:textId="77777777" w:rsidR="00C56942" w:rsidRPr="005A1CAE" w:rsidRDefault="00C56942" w:rsidP="00E05594">
            <w:pPr>
              <w:pStyle w:val="Text1"/>
              <w:numPr>
                <w:ilvl w:val="0"/>
                <w:numId w:val="23"/>
              </w:numPr>
              <w:rPr>
                <w:noProof/>
              </w:rPr>
            </w:pPr>
            <w:r w:rsidRPr="005A1CAE">
              <w:rPr>
                <w:noProof/>
              </w:rPr>
              <w:t>funkcje organów Komisji zajmujących się CBAM (Etap 2)</w:t>
            </w:r>
          </w:p>
          <w:p w14:paraId="459E12BF" w14:textId="6195E680" w:rsidR="00C56942" w:rsidRPr="005A1CAE" w:rsidRDefault="00C56942" w:rsidP="00E05594">
            <w:pPr>
              <w:pStyle w:val="Text1"/>
              <w:numPr>
                <w:ilvl w:val="0"/>
                <w:numId w:val="23"/>
              </w:numPr>
              <w:rPr>
                <w:noProof/>
              </w:rPr>
            </w:pPr>
            <w:r w:rsidRPr="005A1CAE">
              <w:rPr>
                <w:noProof/>
              </w:rPr>
              <w:t>funkcje operatorów instalacji</w:t>
            </w:r>
            <w:r w:rsidR="005A1CAE" w:rsidRPr="005A1CAE">
              <w:rPr>
                <w:noProof/>
              </w:rPr>
              <w:t xml:space="preserve"> w</w:t>
            </w:r>
            <w:r w:rsidR="005A1CAE">
              <w:rPr>
                <w:noProof/>
              </w:rPr>
              <w:t> </w:t>
            </w:r>
            <w:r w:rsidR="005A1CAE" w:rsidRPr="005A1CAE">
              <w:rPr>
                <w:noProof/>
              </w:rPr>
              <w:t>pań</w:t>
            </w:r>
            <w:r w:rsidRPr="005A1CAE">
              <w:rPr>
                <w:noProof/>
              </w:rPr>
              <w:t>stwach trzecich (O3CI, Etap 2)</w:t>
            </w:r>
            <w:r w:rsidR="005A1CAE" w:rsidRPr="005A1CAE">
              <w:rPr>
                <w:noProof/>
              </w:rPr>
              <w:t xml:space="preserve"> i</w:t>
            </w:r>
            <w:r w:rsidR="005A1CAE">
              <w:rPr>
                <w:noProof/>
              </w:rPr>
              <w:t> </w:t>
            </w:r>
            <w:r w:rsidR="005A1CAE" w:rsidRPr="005A1CAE">
              <w:rPr>
                <w:noProof/>
              </w:rPr>
              <w:t>akr</w:t>
            </w:r>
            <w:r w:rsidRPr="005A1CAE">
              <w:rPr>
                <w:noProof/>
              </w:rPr>
              <w:t>edytowanych weryfikatorów (do potwierdzenia, Etap 3)</w:t>
            </w:r>
          </w:p>
          <w:p w14:paraId="5C420E8A" w14:textId="237A10A5" w:rsidR="00C56942" w:rsidRPr="005A1CAE" w:rsidRDefault="00C56942" w:rsidP="00E05594">
            <w:pPr>
              <w:pStyle w:val="Text1"/>
              <w:numPr>
                <w:ilvl w:val="0"/>
                <w:numId w:val="23"/>
              </w:numPr>
              <w:rPr>
                <w:noProof/>
              </w:rPr>
            </w:pPr>
            <w:r w:rsidRPr="005A1CAE">
              <w:rPr>
                <w:noProof/>
              </w:rPr>
              <w:t>dane</w:t>
            </w:r>
            <w:r w:rsidR="005A1CAE" w:rsidRPr="005A1CAE">
              <w:rPr>
                <w:noProof/>
              </w:rPr>
              <w:t xml:space="preserve"> z</w:t>
            </w:r>
            <w:r w:rsidR="005A1CAE">
              <w:rPr>
                <w:noProof/>
              </w:rPr>
              <w:t> </w:t>
            </w:r>
            <w:r w:rsidR="005A1CAE" w:rsidRPr="005A1CAE">
              <w:rPr>
                <w:noProof/>
              </w:rPr>
              <w:t>dek</w:t>
            </w:r>
            <w:r w:rsidRPr="005A1CAE">
              <w:rPr>
                <w:noProof/>
              </w:rPr>
              <w:t>laracji CBAM, dane dotyczące przeglądu</w:t>
            </w:r>
            <w:r w:rsidR="005A1CAE" w:rsidRPr="005A1CAE">
              <w:rPr>
                <w:noProof/>
              </w:rPr>
              <w:t xml:space="preserve"> i</w:t>
            </w:r>
            <w:r w:rsidR="005A1CAE">
              <w:rPr>
                <w:noProof/>
              </w:rPr>
              <w:t> </w:t>
            </w:r>
            <w:r w:rsidR="005A1CAE" w:rsidRPr="005A1CAE">
              <w:rPr>
                <w:noProof/>
              </w:rPr>
              <w:t>cyk</w:t>
            </w:r>
            <w:r w:rsidRPr="005A1CAE">
              <w:rPr>
                <w:noProof/>
              </w:rPr>
              <w:t>lu życia deklaracji CBAM (Etap 3)</w:t>
            </w:r>
          </w:p>
          <w:p w14:paraId="6D34A636" w14:textId="77777777" w:rsidR="00C56942" w:rsidRPr="005A1CAE" w:rsidRDefault="00C56942" w:rsidP="00E05594">
            <w:pPr>
              <w:pStyle w:val="Text1"/>
              <w:numPr>
                <w:ilvl w:val="0"/>
                <w:numId w:val="23"/>
              </w:numPr>
              <w:rPr>
                <w:noProof/>
              </w:rPr>
            </w:pPr>
            <w:r w:rsidRPr="005A1CAE">
              <w:rPr>
                <w:noProof/>
              </w:rPr>
              <w:lastRenderedPageBreak/>
              <w:t>dane przywożonych towarów CBAM (Etap 3)</w:t>
            </w:r>
          </w:p>
          <w:p w14:paraId="17D95CE8" w14:textId="1396C3FD" w:rsidR="00C56942" w:rsidRPr="005A1CAE" w:rsidRDefault="00C56942" w:rsidP="00E05594">
            <w:pPr>
              <w:pStyle w:val="Text1"/>
              <w:numPr>
                <w:ilvl w:val="0"/>
                <w:numId w:val="23"/>
              </w:numPr>
              <w:rPr>
                <w:noProof/>
              </w:rPr>
            </w:pPr>
            <w:r w:rsidRPr="005A1CAE">
              <w:rPr>
                <w:noProof/>
              </w:rPr>
              <w:t>dane dotyczące emisji CBAM</w:t>
            </w:r>
            <w:r w:rsidR="005A1CAE" w:rsidRPr="005A1CAE">
              <w:rPr>
                <w:noProof/>
              </w:rPr>
              <w:t xml:space="preserve"> i</w:t>
            </w:r>
            <w:r w:rsidR="005A1CAE">
              <w:rPr>
                <w:noProof/>
              </w:rPr>
              <w:t> </w:t>
            </w:r>
            <w:r w:rsidR="005A1CAE" w:rsidRPr="005A1CAE">
              <w:rPr>
                <w:noProof/>
              </w:rPr>
              <w:t>ich</w:t>
            </w:r>
            <w:r w:rsidRPr="005A1CAE">
              <w:rPr>
                <w:noProof/>
              </w:rPr>
              <w:t xml:space="preserve"> obliczania (Etap 3)</w:t>
            </w:r>
          </w:p>
          <w:p w14:paraId="08CDEA5B" w14:textId="77777777" w:rsidR="00C56942" w:rsidRPr="005A1CAE" w:rsidRDefault="00C56942" w:rsidP="00E05594">
            <w:pPr>
              <w:pStyle w:val="Text1"/>
              <w:numPr>
                <w:ilvl w:val="0"/>
                <w:numId w:val="23"/>
              </w:numPr>
              <w:rPr>
                <w:noProof/>
              </w:rPr>
            </w:pPr>
            <w:r w:rsidRPr="005A1CAE">
              <w:rPr>
                <w:noProof/>
              </w:rPr>
              <w:t>dane dotyczące rejestru CBAM (Etap 3)</w:t>
            </w:r>
          </w:p>
          <w:p w14:paraId="5EA44FC4" w14:textId="77777777" w:rsidR="00C56942" w:rsidRPr="005A1CAE" w:rsidRDefault="00C56942" w:rsidP="00E05594">
            <w:pPr>
              <w:pStyle w:val="Text1"/>
              <w:numPr>
                <w:ilvl w:val="0"/>
                <w:numId w:val="23"/>
              </w:numPr>
              <w:rPr>
                <w:noProof/>
              </w:rPr>
            </w:pPr>
            <w:r w:rsidRPr="005A1CAE">
              <w:rPr>
                <w:noProof/>
              </w:rPr>
              <w:t>dane dotyczące zarządzania certyfikatami CBAM (Etap 3)</w:t>
            </w:r>
          </w:p>
          <w:p w14:paraId="60950092" w14:textId="26EB87C5" w:rsidR="00C56942" w:rsidRPr="005A1CAE" w:rsidRDefault="00C56942" w:rsidP="00E05594">
            <w:pPr>
              <w:pStyle w:val="Text1"/>
              <w:numPr>
                <w:ilvl w:val="0"/>
                <w:numId w:val="23"/>
              </w:numPr>
              <w:rPr>
                <w:noProof/>
              </w:rPr>
            </w:pPr>
            <w:r w:rsidRPr="005A1CAE">
              <w:rPr>
                <w:noProof/>
              </w:rPr>
              <w:t>dane dotyczące monitorowania nieprzestrzegania przepisów CBAM, dochodzeń</w:t>
            </w:r>
            <w:r w:rsidR="005A1CAE" w:rsidRPr="005A1CAE">
              <w:rPr>
                <w:noProof/>
              </w:rPr>
              <w:t xml:space="preserve"> w</w:t>
            </w:r>
            <w:r w:rsidR="005A1CAE">
              <w:rPr>
                <w:noProof/>
              </w:rPr>
              <w:t> </w:t>
            </w:r>
            <w:r w:rsidR="005A1CAE" w:rsidRPr="005A1CAE">
              <w:rPr>
                <w:noProof/>
              </w:rPr>
              <w:t>spr</w:t>
            </w:r>
            <w:r w:rsidRPr="005A1CAE">
              <w:rPr>
                <w:noProof/>
              </w:rPr>
              <w:t>awie obchodzenia przepisów</w:t>
            </w:r>
            <w:r w:rsidR="005A1CAE" w:rsidRPr="005A1CAE">
              <w:rPr>
                <w:noProof/>
              </w:rPr>
              <w:t xml:space="preserve"> i</w:t>
            </w:r>
            <w:r w:rsidR="005A1CAE">
              <w:rPr>
                <w:noProof/>
              </w:rPr>
              <w:t> </w:t>
            </w:r>
            <w:r w:rsidR="005A1CAE" w:rsidRPr="005A1CAE">
              <w:rPr>
                <w:noProof/>
              </w:rPr>
              <w:t>zar</w:t>
            </w:r>
            <w:r w:rsidRPr="005A1CAE">
              <w:rPr>
                <w:noProof/>
              </w:rPr>
              <w:t>ządzania ryzykiem (Etap 3)</w:t>
            </w:r>
          </w:p>
          <w:p w14:paraId="4F43D03B" w14:textId="31D75856" w:rsidR="00C56942" w:rsidRPr="005A1CAE" w:rsidRDefault="00C56942" w:rsidP="00E05594">
            <w:pPr>
              <w:pStyle w:val="Text1"/>
              <w:numPr>
                <w:ilvl w:val="0"/>
                <w:numId w:val="23"/>
              </w:numPr>
              <w:rPr>
                <w:noProof/>
              </w:rPr>
            </w:pPr>
            <w:r w:rsidRPr="005A1CAE">
              <w:rPr>
                <w:noProof/>
              </w:rPr>
              <w:t>dane dotyczące sprawozdawczości CBAM, tabeli wyników, powiadomień</w:t>
            </w:r>
            <w:r w:rsidR="005A1CAE" w:rsidRPr="005A1CAE">
              <w:rPr>
                <w:noProof/>
              </w:rPr>
              <w:t xml:space="preserve"> i</w:t>
            </w:r>
            <w:r w:rsidR="005A1CAE">
              <w:rPr>
                <w:noProof/>
              </w:rPr>
              <w:t> </w:t>
            </w:r>
            <w:r w:rsidR="005A1CAE" w:rsidRPr="005A1CAE">
              <w:rPr>
                <w:noProof/>
              </w:rPr>
              <w:t>zar</w:t>
            </w:r>
            <w:r w:rsidRPr="005A1CAE">
              <w:rPr>
                <w:noProof/>
              </w:rPr>
              <w:t>ządzania dokumentami (Etap 3)</w:t>
            </w:r>
          </w:p>
          <w:p w14:paraId="7798568D" w14:textId="77777777" w:rsidR="00C56942" w:rsidRPr="005A1CAE" w:rsidRDefault="00C56942" w:rsidP="00E05594">
            <w:pPr>
              <w:pStyle w:val="Text1"/>
              <w:numPr>
                <w:ilvl w:val="0"/>
                <w:numId w:val="23"/>
              </w:numPr>
              <w:rPr>
                <w:noProof/>
              </w:rPr>
            </w:pPr>
            <w:r w:rsidRPr="005A1CAE">
              <w:rPr>
                <w:noProof/>
              </w:rPr>
              <w:t>portal wymiany informacji dotyczących ryzyka CBAM Ri. (Etap 3)</w:t>
            </w:r>
          </w:p>
          <w:p w14:paraId="2A3D4760" w14:textId="77777777" w:rsidR="00C56942" w:rsidRPr="005A1CAE" w:rsidRDefault="00C56942" w:rsidP="00E05594">
            <w:pPr>
              <w:pStyle w:val="Text1"/>
              <w:numPr>
                <w:ilvl w:val="0"/>
                <w:numId w:val="23"/>
              </w:numPr>
              <w:rPr>
                <w:noProof/>
              </w:rPr>
            </w:pPr>
            <w:r w:rsidRPr="005A1CAE">
              <w:rPr>
                <w:noProof/>
              </w:rPr>
              <w:t>funkcje właściwych organów krajowych (Etap 3)</w:t>
            </w:r>
          </w:p>
          <w:p w14:paraId="0BE7F3F0" w14:textId="32B0A2BF" w:rsidR="00D0690F" w:rsidRPr="005A1CAE" w:rsidRDefault="00C56942" w:rsidP="00A91EC0">
            <w:pPr>
              <w:pStyle w:val="Text1"/>
              <w:rPr>
                <w:noProof/>
              </w:rPr>
            </w:pPr>
            <w:r w:rsidRPr="005A1CAE">
              <w:rPr>
                <w:noProof/>
              </w:rPr>
              <w:t>Więcej informacji na temat poszczególnych zasobów danych znajduje się</w:t>
            </w:r>
            <w:r w:rsidR="005A1CAE" w:rsidRPr="005A1CAE">
              <w:rPr>
                <w:noProof/>
              </w:rPr>
              <w:t xml:space="preserve"> w</w:t>
            </w:r>
            <w:r w:rsidR="005A1CAE">
              <w:rPr>
                <w:noProof/>
              </w:rPr>
              <w:t> </w:t>
            </w:r>
            <w:r w:rsidR="005A1CAE" w:rsidRPr="005A1CAE">
              <w:rPr>
                <w:noProof/>
              </w:rPr>
              <w:t>pon</w:t>
            </w:r>
            <w:r w:rsidRPr="005A1CAE">
              <w:rPr>
                <w:noProof/>
              </w:rPr>
              <w:t>iższej tabeli:</w:t>
            </w:r>
          </w:p>
          <w:tbl>
            <w:tblPr>
              <w:tblStyle w:val="Tabela-Siatka"/>
              <w:tblW w:w="8700" w:type="dxa"/>
              <w:jc w:val="center"/>
              <w:tblLook w:val="04A0" w:firstRow="1" w:lastRow="0" w:firstColumn="1" w:lastColumn="0" w:noHBand="0" w:noVBand="1"/>
            </w:tblPr>
            <w:tblGrid>
              <w:gridCol w:w="2743"/>
              <w:gridCol w:w="5957"/>
            </w:tblGrid>
            <w:tr w:rsidR="00C56942" w:rsidRPr="005A1CAE" w14:paraId="60DEA4A4" w14:textId="77777777">
              <w:trPr>
                <w:trHeight w:val="300"/>
                <w:jc w:val="center"/>
              </w:trPr>
              <w:tc>
                <w:tcPr>
                  <w:tcW w:w="2743" w:type="dxa"/>
                  <w:tcBorders>
                    <w:top w:val="single" w:sz="8" w:space="0" w:color="000000" w:themeColor="text1"/>
                    <w:left w:val="single" w:sz="8" w:space="0" w:color="000000" w:themeColor="text1"/>
                    <w:bottom w:val="single" w:sz="8" w:space="0" w:color="000000" w:themeColor="text1"/>
                    <w:right w:val="nil"/>
                  </w:tcBorders>
                  <w:shd w:val="clear" w:color="auto" w:fill="000000" w:themeFill="text1"/>
                  <w:tcMar>
                    <w:left w:w="108" w:type="dxa"/>
                    <w:right w:w="108" w:type="dxa"/>
                  </w:tcMar>
                  <w:vAlign w:val="center"/>
                </w:tcPr>
                <w:p w14:paraId="5C85EB4B" w14:textId="77777777" w:rsidR="00C56942" w:rsidRPr="005A1CAE" w:rsidRDefault="00C56942" w:rsidP="00C56942">
                  <w:pPr>
                    <w:spacing w:after="0"/>
                    <w:jc w:val="left"/>
                    <w:rPr>
                      <w:noProof/>
                    </w:rPr>
                  </w:pPr>
                  <w:r w:rsidRPr="005A1CAE">
                    <w:rPr>
                      <w:b/>
                      <w:noProof/>
                      <w:sz w:val="18"/>
                    </w:rPr>
                    <w:t>Opis docelowych aktywów podstawowych CBAM</w:t>
                  </w:r>
                </w:p>
              </w:tc>
              <w:tc>
                <w:tcPr>
                  <w:tcW w:w="5957" w:type="dxa"/>
                  <w:tcBorders>
                    <w:top w:val="single" w:sz="8" w:space="0" w:color="000000" w:themeColor="text1"/>
                    <w:left w:val="nil"/>
                    <w:bottom w:val="single" w:sz="8" w:space="0" w:color="000000" w:themeColor="text1"/>
                    <w:right w:val="single" w:sz="8" w:space="0" w:color="000000" w:themeColor="text1"/>
                  </w:tcBorders>
                  <w:shd w:val="clear" w:color="auto" w:fill="000000" w:themeFill="text1"/>
                  <w:tcMar>
                    <w:left w:w="108" w:type="dxa"/>
                    <w:right w:w="108" w:type="dxa"/>
                  </w:tcMar>
                  <w:vAlign w:val="center"/>
                </w:tcPr>
                <w:p w14:paraId="18A0836D" w14:textId="77777777" w:rsidR="00C56942" w:rsidRPr="005A1CAE" w:rsidRDefault="00C56942" w:rsidP="00C56942">
                  <w:pPr>
                    <w:spacing w:after="0"/>
                    <w:jc w:val="left"/>
                    <w:rPr>
                      <w:noProof/>
                    </w:rPr>
                  </w:pPr>
                  <w:r w:rsidRPr="005A1CAE">
                    <w:rPr>
                      <w:b/>
                      <w:noProof/>
                      <w:sz w:val="18"/>
                    </w:rPr>
                    <w:t>Opis odnośnych składników biznesowych/procesów</w:t>
                  </w:r>
                </w:p>
              </w:tc>
            </w:tr>
            <w:tr w:rsidR="00C56942" w:rsidRPr="005A1CAE" w14:paraId="446D5057" w14:textId="77777777">
              <w:trPr>
                <w:trHeight w:val="60"/>
                <w:jc w:val="center"/>
              </w:trPr>
              <w:tc>
                <w:tcPr>
                  <w:tcW w:w="2743" w:type="dxa"/>
                  <w:tcBorders>
                    <w:top w:val="single" w:sz="8" w:space="0" w:color="000000" w:themeColor="text1"/>
                    <w:left w:val="single" w:sz="8" w:space="0" w:color="666666"/>
                    <w:bottom w:val="single" w:sz="8" w:space="0" w:color="666666"/>
                    <w:right w:val="single" w:sz="8" w:space="0" w:color="666666"/>
                  </w:tcBorders>
                  <w:shd w:val="clear" w:color="auto" w:fill="CCCCCC"/>
                  <w:tcMar>
                    <w:left w:w="108" w:type="dxa"/>
                    <w:right w:w="108" w:type="dxa"/>
                  </w:tcMar>
                  <w:vAlign w:val="center"/>
                </w:tcPr>
                <w:p w14:paraId="585F22AF" w14:textId="77777777" w:rsidR="00C56942" w:rsidRPr="005A1CAE" w:rsidRDefault="00C56942" w:rsidP="00C56942">
                  <w:pPr>
                    <w:spacing w:after="0"/>
                    <w:jc w:val="left"/>
                    <w:rPr>
                      <w:noProof/>
                    </w:rPr>
                  </w:pPr>
                  <w:r w:rsidRPr="005A1CAE">
                    <w:rPr>
                      <w:b/>
                      <w:noProof/>
                      <w:sz w:val="18"/>
                    </w:rPr>
                    <w:t>Dane dotyczące zarządzania certyfikatami CBAM</w:t>
                  </w:r>
                </w:p>
              </w:tc>
              <w:tc>
                <w:tcPr>
                  <w:tcW w:w="5957" w:type="dxa"/>
                  <w:tcBorders>
                    <w:top w:val="single" w:sz="8" w:space="0" w:color="000000" w:themeColor="text1"/>
                    <w:left w:val="single" w:sz="8" w:space="0" w:color="666666"/>
                    <w:bottom w:val="single" w:sz="8" w:space="0" w:color="666666"/>
                    <w:right w:val="single" w:sz="8" w:space="0" w:color="666666"/>
                  </w:tcBorders>
                  <w:shd w:val="clear" w:color="auto" w:fill="CCCCCC"/>
                  <w:tcMar>
                    <w:left w:w="108" w:type="dxa"/>
                    <w:right w:w="108" w:type="dxa"/>
                  </w:tcMar>
                  <w:vAlign w:val="center"/>
                </w:tcPr>
                <w:p w14:paraId="54C27E1F" w14:textId="66707DB8" w:rsidR="00C56942" w:rsidRPr="005A1CAE" w:rsidRDefault="00C56942" w:rsidP="00C56942">
                  <w:pPr>
                    <w:spacing w:after="0"/>
                    <w:jc w:val="left"/>
                    <w:rPr>
                      <w:noProof/>
                    </w:rPr>
                  </w:pPr>
                  <w:r w:rsidRPr="005A1CAE">
                    <w:rPr>
                      <w:noProof/>
                      <w:sz w:val="18"/>
                    </w:rPr>
                    <w:t>Zarządzanie cyklem życia certyfikatów CBAM zapewnia informacje</w:t>
                  </w:r>
                  <w:r w:rsidR="005A1CAE" w:rsidRPr="005A1CAE">
                    <w:rPr>
                      <w:noProof/>
                      <w:sz w:val="18"/>
                    </w:rPr>
                    <w:t xml:space="preserve"> o</w:t>
                  </w:r>
                  <w:r w:rsidR="005A1CAE">
                    <w:rPr>
                      <w:noProof/>
                      <w:sz w:val="18"/>
                    </w:rPr>
                    <w:t> </w:t>
                  </w:r>
                  <w:r w:rsidR="005A1CAE" w:rsidRPr="005A1CAE">
                    <w:rPr>
                      <w:noProof/>
                      <w:sz w:val="18"/>
                    </w:rPr>
                    <w:t>cer</w:t>
                  </w:r>
                  <w:r w:rsidRPr="005A1CAE">
                    <w:rPr>
                      <w:noProof/>
                      <w:sz w:val="18"/>
                    </w:rPr>
                    <w:t>tyfikatach, ich liczbie</w:t>
                  </w:r>
                  <w:r w:rsidR="005A1CAE" w:rsidRPr="005A1CAE">
                    <w:rPr>
                      <w:noProof/>
                      <w:sz w:val="18"/>
                    </w:rPr>
                    <w:t xml:space="preserve"> i</w:t>
                  </w:r>
                  <w:r w:rsidR="005A1CAE">
                    <w:rPr>
                      <w:noProof/>
                      <w:sz w:val="18"/>
                    </w:rPr>
                    <w:t> </w:t>
                  </w:r>
                  <w:r w:rsidR="005A1CAE" w:rsidRPr="005A1CAE">
                    <w:rPr>
                      <w:noProof/>
                      <w:sz w:val="18"/>
                    </w:rPr>
                    <w:t>war</w:t>
                  </w:r>
                  <w:r w:rsidRPr="005A1CAE">
                    <w:rPr>
                      <w:noProof/>
                      <w:sz w:val="18"/>
                    </w:rPr>
                    <w:t>tości oraz prowadzenie cyklu życia certyfikatu,</w:t>
                  </w:r>
                  <w:r w:rsidR="005A1CAE" w:rsidRPr="005A1CAE">
                    <w:rPr>
                      <w:noProof/>
                      <w:sz w:val="18"/>
                    </w:rPr>
                    <w:t xml:space="preserve"> a</w:t>
                  </w:r>
                  <w:r w:rsidR="005A1CAE">
                    <w:rPr>
                      <w:noProof/>
                      <w:sz w:val="18"/>
                    </w:rPr>
                    <w:t> </w:t>
                  </w:r>
                  <w:r w:rsidR="005A1CAE" w:rsidRPr="005A1CAE">
                    <w:rPr>
                      <w:noProof/>
                      <w:sz w:val="18"/>
                    </w:rPr>
                    <w:t>tak</w:t>
                  </w:r>
                  <w:r w:rsidRPr="005A1CAE">
                    <w:rPr>
                      <w:noProof/>
                      <w:sz w:val="18"/>
                    </w:rPr>
                    <w:t>że informacje potrzebne do celów monitorowania ryzyka</w:t>
                  </w:r>
                  <w:r w:rsidR="005A1CAE" w:rsidRPr="005A1CAE">
                    <w:rPr>
                      <w:noProof/>
                      <w:sz w:val="18"/>
                    </w:rPr>
                    <w:t xml:space="preserve"> i</w:t>
                  </w:r>
                  <w:r w:rsidR="005A1CAE">
                    <w:rPr>
                      <w:noProof/>
                      <w:sz w:val="18"/>
                    </w:rPr>
                    <w:t> </w:t>
                  </w:r>
                  <w:r w:rsidR="005A1CAE" w:rsidRPr="005A1CAE">
                    <w:rPr>
                      <w:noProof/>
                      <w:sz w:val="18"/>
                    </w:rPr>
                    <w:t>prz</w:t>
                  </w:r>
                  <w:r w:rsidRPr="005A1CAE">
                    <w:rPr>
                      <w:noProof/>
                      <w:sz w:val="18"/>
                    </w:rPr>
                    <w:t xml:space="preserve">ypadków nieprzestrzegania przepisów. </w:t>
                  </w:r>
                </w:p>
              </w:tc>
            </w:tr>
            <w:tr w:rsidR="00C56942" w:rsidRPr="005A1CAE" w14:paraId="5F4E7EF4" w14:textId="77777777">
              <w:trPr>
                <w:trHeight w:val="1155"/>
                <w:jc w:val="center"/>
              </w:trPr>
              <w:tc>
                <w:tcPr>
                  <w:tcW w:w="2743"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30AFF4B8" w14:textId="77777777" w:rsidR="00C56942" w:rsidRPr="005A1CAE" w:rsidRDefault="00C56942" w:rsidP="00C56942">
                  <w:pPr>
                    <w:spacing w:after="0"/>
                    <w:jc w:val="left"/>
                    <w:rPr>
                      <w:noProof/>
                    </w:rPr>
                  </w:pPr>
                  <w:r w:rsidRPr="005A1CAE">
                    <w:rPr>
                      <w:b/>
                      <w:noProof/>
                      <w:sz w:val="18"/>
                    </w:rPr>
                    <w:t>Dane zgłaszającego CBAM</w:t>
                  </w:r>
                </w:p>
              </w:tc>
              <w:tc>
                <w:tcPr>
                  <w:tcW w:w="5957"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694C0BE3" w14:textId="76DFD697" w:rsidR="00C56942" w:rsidRPr="005A1CAE" w:rsidRDefault="00C56942" w:rsidP="00C56942">
                  <w:pPr>
                    <w:spacing w:after="0"/>
                    <w:jc w:val="left"/>
                    <w:rPr>
                      <w:noProof/>
                    </w:rPr>
                  </w:pPr>
                  <w:r w:rsidRPr="005A1CAE">
                    <w:rPr>
                      <w:noProof/>
                      <w:sz w:val="18"/>
                    </w:rPr>
                    <w:t>Dane dotyczące upoważnienia zgłaszającego, jego powielania</w:t>
                  </w:r>
                  <w:r w:rsidR="005A1CAE" w:rsidRPr="005A1CAE">
                    <w:rPr>
                      <w:noProof/>
                      <w:sz w:val="18"/>
                    </w:rPr>
                    <w:t xml:space="preserve"> i</w:t>
                  </w:r>
                  <w:r w:rsidR="005A1CAE">
                    <w:rPr>
                      <w:noProof/>
                      <w:sz w:val="18"/>
                    </w:rPr>
                    <w:t> </w:t>
                  </w:r>
                  <w:r w:rsidR="005A1CAE" w:rsidRPr="005A1CAE">
                    <w:rPr>
                      <w:noProof/>
                      <w:sz w:val="18"/>
                    </w:rPr>
                    <w:t>wal</w:t>
                  </w:r>
                  <w:r w:rsidRPr="005A1CAE">
                    <w:rPr>
                      <w:noProof/>
                      <w:sz w:val="18"/>
                    </w:rPr>
                    <w:t>idacji.</w:t>
                  </w:r>
                </w:p>
                <w:p w14:paraId="2570E386" w14:textId="52DBA8EB" w:rsidR="00C56942" w:rsidRPr="005A1CAE" w:rsidRDefault="00C56942" w:rsidP="00C56942">
                  <w:pPr>
                    <w:spacing w:after="0"/>
                    <w:jc w:val="left"/>
                    <w:rPr>
                      <w:noProof/>
                    </w:rPr>
                  </w:pPr>
                  <w:r w:rsidRPr="005A1CAE">
                    <w:rPr>
                      <w:noProof/>
                      <w:sz w:val="18"/>
                    </w:rPr>
                    <w:t>Dane dotyczące rachunku zgłaszającego</w:t>
                  </w:r>
                  <w:r w:rsidR="005A1CAE" w:rsidRPr="005A1CAE">
                    <w:rPr>
                      <w:noProof/>
                      <w:sz w:val="18"/>
                    </w:rPr>
                    <w:t xml:space="preserve"> i</w:t>
                  </w:r>
                  <w:r w:rsidR="005A1CAE">
                    <w:rPr>
                      <w:noProof/>
                      <w:sz w:val="18"/>
                    </w:rPr>
                    <w:t> </w:t>
                  </w:r>
                  <w:r w:rsidR="005A1CAE" w:rsidRPr="005A1CAE">
                    <w:rPr>
                      <w:noProof/>
                      <w:sz w:val="18"/>
                    </w:rPr>
                    <w:t>zar</w:t>
                  </w:r>
                  <w:r w:rsidRPr="005A1CAE">
                    <w:rPr>
                      <w:noProof/>
                      <w:sz w:val="18"/>
                    </w:rPr>
                    <w:t>ządzania tym rachunkiem.</w:t>
                  </w:r>
                </w:p>
                <w:p w14:paraId="76D56045" w14:textId="77777777" w:rsidR="00C56942" w:rsidRPr="005A1CAE" w:rsidRDefault="00C56942" w:rsidP="00C56942">
                  <w:pPr>
                    <w:spacing w:after="0"/>
                    <w:jc w:val="left"/>
                    <w:rPr>
                      <w:noProof/>
                    </w:rPr>
                  </w:pPr>
                  <w:r w:rsidRPr="005A1CAE">
                    <w:rPr>
                      <w:noProof/>
                      <w:sz w:val="18"/>
                    </w:rPr>
                    <w:t xml:space="preserve">Zarządzanie cyklem życia upoważnienia CBAM udzielonego importerowi lub przedstawicielowi pośredniemu przez właściwy organ krajowy. </w:t>
                  </w:r>
                </w:p>
                <w:p w14:paraId="72DB3A0A" w14:textId="71B2C902" w:rsidR="00C56942" w:rsidRPr="005A1CAE" w:rsidRDefault="00C56942" w:rsidP="00C56942">
                  <w:pPr>
                    <w:spacing w:after="0"/>
                    <w:jc w:val="left"/>
                    <w:rPr>
                      <w:noProof/>
                    </w:rPr>
                  </w:pPr>
                  <w:r w:rsidRPr="005A1CAE">
                    <w:rPr>
                      <w:noProof/>
                      <w:sz w:val="18"/>
                    </w:rPr>
                    <w:t>Przekazywanie potrzebnych informacji</w:t>
                  </w:r>
                  <w:r w:rsidR="005A1CAE" w:rsidRPr="005A1CAE">
                    <w:rPr>
                      <w:noProof/>
                      <w:sz w:val="18"/>
                    </w:rPr>
                    <w:t xml:space="preserve"> o</w:t>
                  </w:r>
                  <w:r w:rsidR="005A1CAE">
                    <w:rPr>
                      <w:noProof/>
                      <w:sz w:val="18"/>
                    </w:rPr>
                    <w:t> </w:t>
                  </w:r>
                  <w:r w:rsidR="005A1CAE" w:rsidRPr="005A1CAE">
                    <w:rPr>
                      <w:noProof/>
                      <w:sz w:val="18"/>
                    </w:rPr>
                    <w:t>rac</w:t>
                  </w:r>
                  <w:r w:rsidRPr="005A1CAE">
                    <w:rPr>
                      <w:noProof/>
                      <w:sz w:val="18"/>
                    </w:rPr>
                    <w:t>hunku zgłaszającego CBAM do usługi replikacji</w:t>
                  </w:r>
                  <w:r w:rsidR="005A1CAE" w:rsidRPr="005A1CAE">
                    <w:rPr>
                      <w:noProof/>
                      <w:sz w:val="18"/>
                    </w:rPr>
                    <w:t xml:space="preserve"> i</w:t>
                  </w:r>
                  <w:r w:rsidR="005A1CAE">
                    <w:rPr>
                      <w:noProof/>
                      <w:sz w:val="18"/>
                    </w:rPr>
                    <w:t> </w:t>
                  </w:r>
                  <w:r w:rsidR="005A1CAE" w:rsidRPr="005A1CAE">
                    <w:rPr>
                      <w:noProof/>
                      <w:sz w:val="18"/>
                    </w:rPr>
                    <w:t>wal</w:t>
                  </w:r>
                  <w:r w:rsidRPr="005A1CAE">
                    <w:rPr>
                      <w:noProof/>
                      <w:sz w:val="18"/>
                    </w:rPr>
                    <w:t>idacji upoważnień (ARVS),</w:t>
                  </w:r>
                  <w:r w:rsidR="005A1CAE" w:rsidRPr="005A1CAE">
                    <w:rPr>
                      <w:noProof/>
                      <w:sz w:val="18"/>
                    </w:rPr>
                    <w:t xml:space="preserve"> w</w:t>
                  </w:r>
                  <w:r w:rsidR="005A1CAE">
                    <w:rPr>
                      <w:noProof/>
                      <w:sz w:val="18"/>
                    </w:rPr>
                    <w:t> </w:t>
                  </w:r>
                  <w:r w:rsidR="005A1CAE" w:rsidRPr="005A1CAE">
                    <w:rPr>
                      <w:noProof/>
                      <w:sz w:val="18"/>
                    </w:rPr>
                    <w:t>któ</w:t>
                  </w:r>
                  <w:r w:rsidRPr="005A1CAE">
                    <w:rPr>
                      <w:noProof/>
                      <w:sz w:val="18"/>
                    </w:rPr>
                    <w:t>rej przechowuje się informacje</w:t>
                  </w:r>
                  <w:r w:rsidR="005A1CAE" w:rsidRPr="005A1CAE">
                    <w:rPr>
                      <w:noProof/>
                      <w:sz w:val="18"/>
                    </w:rPr>
                    <w:t xml:space="preserve"> o</w:t>
                  </w:r>
                  <w:r w:rsidR="005A1CAE">
                    <w:rPr>
                      <w:noProof/>
                      <w:sz w:val="18"/>
                    </w:rPr>
                    <w:t> </w:t>
                  </w:r>
                  <w:r w:rsidR="005A1CAE" w:rsidRPr="005A1CAE">
                    <w:rPr>
                      <w:noProof/>
                      <w:sz w:val="18"/>
                    </w:rPr>
                    <w:t>upo</w:t>
                  </w:r>
                  <w:r w:rsidRPr="005A1CAE">
                    <w:rPr>
                      <w:noProof/>
                      <w:sz w:val="18"/>
                    </w:rPr>
                    <w:t>ważnionych zgłaszających CBAM, przekazywane właściwym organom krajowym</w:t>
                  </w:r>
                  <w:r w:rsidR="005A1CAE" w:rsidRPr="005A1CAE">
                    <w:rPr>
                      <w:noProof/>
                      <w:sz w:val="18"/>
                    </w:rPr>
                    <w:t xml:space="preserve"> i</w:t>
                  </w:r>
                  <w:r w:rsidR="005A1CAE">
                    <w:rPr>
                      <w:noProof/>
                      <w:sz w:val="18"/>
                    </w:rPr>
                    <w:t> </w:t>
                  </w:r>
                  <w:r w:rsidR="005A1CAE" w:rsidRPr="005A1CAE">
                    <w:rPr>
                      <w:noProof/>
                      <w:sz w:val="18"/>
                    </w:rPr>
                    <w:t>wła</w:t>
                  </w:r>
                  <w:r w:rsidRPr="005A1CAE">
                    <w:rPr>
                      <w:noProof/>
                      <w:sz w:val="18"/>
                    </w:rPr>
                    <w:t>ściwym krajowym organom celnym odpowiedzialnym za weryfikację upoważnień importerów.</w:t>
                  </w:r>
                </w:p>
              </w:tc>
            </w:tr>
            <w:tr w:rsidR="00C56942" w:rsidRPr="005A1CAE" w14:paraId="7F2EBB92" w14:textId="77777777">
              <w:trPr>
                <w:trHeight w:val="300"/>
                <w:jc w:val="center"/>
              </w:trPr>
              <w:tc>
                <w:tcPr>
                  <w:tcW w:w="2743"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61693114" w14:textId="0CAB13AB" w:rsidR="00C56942" w:rsidRPr="005A1CAE" w:rsidRDefault="00C56942" w:rsidP="00C56942">
                  <w:pPr>
                    <w:spacing w:after="0"/>
                    <w:jc w:val="left"/>
                    <w:rPr>
                      <w:noProof/>
                    </w:rPr>
                  </w:pPr>
                  <w:r w:rsidRPr="005A1CAE">
                    <w:rPr>
                      <w:b/>
                      <w:noProof/>
                      <w:sz w:val="18"/>
                    </w:rPr>
                    <w:t>Dane</w:t>
                  </w:r>
                  <w:r w:rsidR="005A1CAE" w:rsidRPr="005A1CAE">
                    <w:rPr>
                      <w:b/>
                      <w:noProof/>
                      <w:sz w:val="18"/>
                    </w:rPr>
                    <w:t xml:space="preserve"> z</w:t>
                  </w:r>
                  <w:r w:rsidR="005A1CAE">
                    <w:rPr>
                      <w:b/>
                      <w:noProof/>
                      <w:sz w:val="18"/>
                    </w:rPr>
                    <w:t> </w:t>
                  </w:r>
                  <w:r w:rsidR="005A1CAE" w:rsidRPr="005A1CAE">
                    <w:rPr>
                      <w:b/>
                      <w:noProof/>
                      <w:sz w:val="18"/>
                    </w:rPr>
                    <w:t>dek</w:t>
                  </w:r>
                  <w:r w:rsidRPr="005A1CAE">
                    <w:rPr>
                      <w:b/>
                      <w:noProof/>
                      <w:sz w:val="18"/>
                    </w:rPr>
                    <w:t>laracji CBAM, dane dotyczące przeglądu</w:t>
                  </w:r>
                  <w:r w:rsidR="005A1CAE" w:rsidRPr="005A1CAE">
                    <w:rPr>
                      <w:b/>
                      <w:noProof/>
                      <w:sz w:val="18"/>
                    </w:rPr>
                    <w:t xml:space="preserve"> i</w:t>
                  </w:r>
                  <w:r w:rsidR="005A1CAE">
                    <w:rPr>
                      <w:b/>
                      <w:noProof/>
                      <w:sz w:val="18"/>
                    </w:rPr>
                    <w:t> </w:t>
                  </w:r>
                  <w:r w:rsidR="005A1CAE" w:rsidRPr="005A1CAE">
                    <w:rPr>
                      <w:b/>
                      <w:noProof/>
                      <w:sz w:val="18"/>
                    </w:rPr>
                    <w:t>cyk</w:t>
                  </w:r>
                  <w:r w:rsidRPr="005A1CAE">
                    <w:rPr>
                      <w:b/>
                      <w:noProof/>
                      <w:sz w:val="18"/>
                    </w:rPr>
                    <w:t>lu życia deklaracji CBAM</w:t>
                  </w:r>
                </w:p>
              </w:tc>
              <w:tc>
                <w:tcPr>
                  <w:tcW w:w="5957"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1B8CAF53" w14:textId="6642AA85" w:rsidR="00C56942" w:rsidRPr="005A1CAE" w:rsidRDefault="00C56942" w:rsidP="00C56942">
                  <w:pPr>
                    <w:spacing w:after="0"/>
                    <w:jc w:val="left"/>
                    <w:rPr>
                      <w:noProof/>
                    </w:rPr>
                  </w:pPr>
                  <w:r w:rsidRPr="005A1CAE">
                    <w:rPr>
                      <w:noProof/>
                      <w:sz w:val="18"/>
                    </w:rPr>
                    <w:t>Dane dotyczące zarządzania cyklem życia deklaracji</w:t>
                  </w:r>
                  <w:r w:rsidR="005A1CAE" w:rsidRPr="005A1CAE">
                    <w:rPr>
                      <w:noProof/>
                      <w:sz w:val="18"/>
                    </w:rPr>
                    <w:t xml:space="preserve"> i</w:t>
                  </w:r>
                  <w:r w:rsidR="005A1CAE">
                    <w:rPr>
                      <w:noProof/>
                      <w:sz w:val="18"/>
                    </w:rPr>
                    <w:t> </w:t>
                  </w:r>
                  <w:r w:rsidR="005A1CAE" w:rsidRPr="005A1CAE">
                    <w:rPr>
                      <w:noProof/>
                      <w:sz w:val="18"/>
                    </w:rPr>
                    <w:t>spr</w:t>
                  </w:r>
                  <w:r w:rsidRPr="005A1CAE">
                    <w:rPr>
                      <w:noProof/>
                      <w:sz w:val="18"/>
                    </w:rPr>
                    <w:t>awozdań dotyczących deklaracji.</w:t>
                  </w:r>
                  <w:r w:rsidRPr="005A1CAE">
                    <w:rPr>
                      <w:noProof/>
                    </w:rPr>
                    <w:t xml:space="preserve"> </w:t>
                  </w:r>
                  <w:r w:rsidRPr="005A1CAE">
                    <w:rPr>
                      <w:noProof/>
                    </w:rPr>
                    <w:br/>
                  </w:r>
                  <w:r w:rsidRPr="005A1CAE">
                    <w:rPr>
                      <w:noProof/>
                    </w:rPr>
                    <w:br/>
                  </w:r>
                  <w:r w:rsidRPr="005A1CAE">
                    <w:rPr>
                      <w:noProof/>
                      <w:sz w:val="18"/>
                    </w:rPr>
                    <w:t>Zarządzanie cyklem życia deklaracji CBAM (tworzenie deklaracji, uwzględnianie przywożonych towarów</w:t>
                  </w:r>
                  <w:r w:rsidR="005A1CAE" w:rsidRPr="005A1CAE">
                    <w:rPr>
                      <w:noProof/>
                      <w:sz w:val="18"/>
                    </w:rPr>
                    <w:t xml:space="preserve"> i</w:t>
                  </w:r>
                  <w:r w:rsidR="005A1CAE">
                    <w:rPr>
                      <w:noProof/>
                      <w:sz w:val="18"/>
                    </w:rPr>
                    <w:t> </w:t>
                  </w:r>
                  <w:r w:rsidR="005A1CAE" w:rsidRPr="005A1CAE">
                    <w:rPr>
                      <w:noProof/>
                      <w:sz w:val="18"/>
                    </w:rPr>
                    <w:t>emi</w:t>
                  </w:r>
                  <w:r w:rsidRPr="005A1CAE">
                    <w:rPr>
                      <w:noProof/>
                      <w:sz w:val="18"/>
                    </w:rPr>
                    <w:t>sji, przegląd, finalizacja lub odrzucenie deklaracji)</w:t>
                  </w:r>
                  <w:r w:rsidR="005A1CAE" w:rsidRPr="005A1CAE">
                    <w:rPr>
                      <w:noProof/>
                      <w:sz w:val="18"/>
                    </w:rPr>
                    <w:t xml:space="preserve"> i</w:t>
                  </w:r>
                  <w:r w:rsidR="005A1CAE">
                    <w:rPr>
                      <w:noProof/>
                      <w:sz w:val="18"/>
                    </w:rPr>
                    <w:t> </w:t>
                  </w:r>
                  <w:r w:rsidR="005A1CAE" w:rsidRPr="005A1CAE">
                    <w:rPr>
                      <w:noProof/>
                      <w:sz w:val="18"/>
                    </w:rPr>
                    <w:t>spr</w:t>
                  </w:r>
                  <w:r w:rsidRPr="005A1CAE">
                    <w:rPr>
                      <w:noProof/>
                      <w:sz w:val="18"/>
                    </w:rPr>
                    <w:t>awozdawczość.</w:t>
                  </w:r>
                </w:p>
              </w:tc>
            </w:tr>
            <w:tr w:rsidR="00C56942" w:rsidRPr="005A1CAE" w14:paraId="3D244221" w14:textId="77777777">
              <w:trPr>
                <w:trHeight w:val="300"/>
                <w:jc w:val="center"/>
              </w:trPr>
              <w:tc>
                <w:tcPr>
                  <w:tcW w:w="2743"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3EDEC7A0" w14:textId="3CA12452" w:rsidR="00C56942" w:rsidRPr="005A1CAE" w:rsidRDefault="00C56942" w:rsidP="00C56942">
                  <w:pPr>
                    <w:spacing w:after="0"/>
                    <w:jc w:val="left"/>
                    <w:rPr>
                      <w:noProof/>
                    </w:rPr>
                  </w:pPr>
                  <w:r w:rsidRPr="005A1CAE">
                    <w:rPr>
                      <w:b/>
                      <w:noProof/>
                      <w:sz w:val="18"/>
                    </w:rPr>
                    <w:t>Dane dotyczące emisji CBAM</w:t>
                  </w:r>
                  <w:r w:rsidR="005A1CAE" w:rsidRPr="005A1CAE">
                    <w:rPr>
                      <w:b/>
                      <w:noProof/>
                      <w:sz w:val="18"/>
                    </w:rPr>
                    <w:t xml:space="preserve"> i</w:t>
                  </w:r>
                  <w:r w:rsidR="005A1CAE">
                    <w:rPr>
                      <w:b/>
                      <w:noProof/>
                      <w:sz w:val="18"/>
                    </w:rPr>
                    <w:t> </w:t>
                  </w:r>
                  <w:r w:rsidR="005A1CAE" w:rsidRPr="005A1CAE">
                    <w:rPr>
                      <w:b/>
                      <w:noProof/>
                      <w:sz w:val="18"/>
                    </w:rPr>
                    <w:t>ich</w:t>
                  </w:r>
                  <w:r w:rsidRPr="005A1CAE">
                    <w:rPr>
                      <w:b/>
                      <w:noProof/>
                      <w:sz w:val="18"/>
                    </w:rPr>
                    <w:t xml:space="preserve"> obliczania</w:t>
                  </w:r>
                </w:p>
              </w:tc>
              <w:tc>
                <w:tcPr>
                  <w:tcW w:w="5957"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039D1B12" w14:textId="277E2B0A" w:rsidR="00C56942" w:rsidRPr="005A1CAE" w:rsidRDefault="00C56942" w:rsidP="00C56942">
                  <w:pPr>
                    <w:spacing w:after="0"/>
                    <w:jc w:val="left"/>
                    <w:rPr>
                      <w:noProof/>
                    </w:rPr>
                  </w:pPr>
                  <w:r w:rsidRPr="005A1CAE">
                    <w:rPr>
                      <w:noProof/>
                      <w:sz w:val="18"/>
                    </w:rPr>
                    <w:t>Obliczanie emisji związanych</w:t>
                  </w:r>
                  <w:r w:rsidR="005A1CAE" w:rsidRPr="005A1CAE">
                    <w:rPr>
                      <w:noProof/>
                      <w:sz w:val="18"/>
                    </w:rPr>
                    <w:t xml:space="preserve"> z</w:t>
                  </w:r>
                  <w:r w:rsidR="005A1CAE">
                    <w:rPr>
                      <w:noProof/>
                      <w:sz w:val="18"/>
                    </w:rPr>
                    <w:t> </w:t>
                  </w:r>
                  <w:r w:rsidR="005A1CAE" w:rsidRPr="005A1CAE">
                    <w:rPr>
                      <w:noProof/>
                      <w:sz w:val="18"/>
                    </w:rPr>
                    <w:t>tow</w:t>
                  </w:r>
                  <w:r w:rsidRPr="005A1CAE">
                    <w:rPr>
                      <w:noProof/>
                      <w:sz w:val="18"/>
                    </w:rPr>
                    <w:t>arami przywożonymi przez zgłaszających CBAM</w:t>
                  </w:r>
                  <w:r w:rsidR="005A1CAE" w:rsidRPr="005A1CAE">
                    <w:rPr>
                      <w:noProof/>
                      <w:sz w:val="18"/>
                    </w:rPr>
                    <w:t xml:space="preserve"> w</w:t>
                  </w:r>
                  <w:r w:rsidR="005A1CAE">
                    <w:rPr>
                      <w:noProof/>
                      <w:sz w:val="18"/>
                    </w:rPr>
                    <w:t> </w:t>
                  </w:r>
                  <w:r w:rsidR="005A1CAE" w:rsidRPr="005A1CAE">
                    <w:rPr>
                      <w:noProof/>
                      <w:sz w:val="18"/>
                    </w:rPr>
                    <w:t>opa</w:t>
                  </w:r>
                  <w:r w:rsidRPr="005A1CAE">
                    <w:rPr>
                      <w:noProof/>
                      <w:sz w:val="18"/>
                    </w:rPr>
                    <w:t>rciu</w:t>
                  </w:r>
                  <w:r w:rsidR="005A1CAE" w:rsidRPr="005A1CAE">
                    <w:rPr>
                      <w:noProof/>
                      <w:sz w:val="18"/>
                    </w:rPr>
                    <w:t xml:space="preserve"> o</w:t>
                  </w:r>
                  <w:r w:rsidR="005A1CAE">
                    <w:rPr>
                      <w:noProof/>
                      <w:sz w:val="18"/>
                    </w:rPr>
                    <w:t> </w:t>
                  </w:r>
                  <w:r w:rsidR="005A1CAE" w:rsidRPr="005A1CAE">
                    <w:rPr>
                      <w:noProof/>
                      <w:sz w:val="18"/>
                    </w:rPr>
                    <w:t>dan</w:t>
                  </w:r>
                  <w:r w:rsidRPr="005A1CAE">
                    <w:rPr>
                      <w:noProof/>
                      <w:sz w:val="18"/>
                    </w:rPr>
                    <w:t>e otrzymane od zgłaszającego, dane referencyjne, dane rejestrowe (wartości własne zgłaszającego), dane otrzymane od operatorów</w:t>
                  </w:r>
                  <w:r w:rsidR="005A1CAE" w:rsidRPr="005A1CAE">
                    <w:rPr>
                      <w:noProof/>
                      <w:sz w:val="18"/>
                    </w:rPr>
                    <w:t xml:space="preserve"> i</w:t>
                  </w:r>
                  <w:r w:rsidR="005A1CAE">
                    <w:rPr>
                      <w:noProof/>
                      <w:sz w:val="18"/>
                    </w:rPr>
                    <w:t> </w:t>
                  </w:r>
                  <w:r w:rsidR="005A1CAE" w:rsidRPr="005A1CAE">
                    <w:rPr>
                      <w:noProof/>
                      <w:sz w:val="18"/>
                    </w:rPr>
                    <w:t>pań</w:t>
                  </w:r>
                  <w:r w:rsidRPr="005A1CAE">
                    <w:rPr>
                      <w:noProof/>
                      <w:sz w:val="18"/>
                    </w:rPr>
                    <w:t>stw trzecich (raport</w:t>
                  </w:r>
                  <w:r w:rsidR="005A1CAE" w:rsidRPr="005A1CAE">
                    <w:rPr>
                      <w:noProof/>
                      <w:sz w:val="18"/>
                    </w:rPr>
                    <w:t xml:space="preserve"> z</w:t>
                  </w:r>
                  <w:r w:rsidR="005A1CAE">
                    <w:rPr>
                      <w:noProof/>
                      <w:sz w:val="18"/>
                    </w:rPr>
                    <w:t> </w:t>
                  </w:r>
                  <w:r w:rsidR="005A1CAE" w:rsidRPr="005A1CAE">
                    <w:rPr>
                      <w:noProof/>
                      <w:sz w:val="18"/>
                    </w:rPr>
                    <w:t>wer</w:t>
                  </w:r>
                  <w:r w:rsidRPr="005A1CAE">
                    <w:rPr>
                      <w:noProof/>
                      <w:sz w:val="18"/>
                    </w:rPr>
                    <w:t>yfikacji) itp.</w:t>
                  </w:r>
                </w:p>
              </w:tc>
            </w:tr>
            <w:tr w:rsidR="00C56942" w:rsidRPr="005A1CAE" w14:paraId="74C43829" w14:textId="77777777">
              <w:trPr>
                <w:trHeight w:val="1260"/>
                <w:jc w:val="center"/>
              </w:trPr>
              <w:tc>
                <w:tcPr>
                  <w:tcW w:w="2743"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3309B57E" w14:textId="77777777" w:rsidR="00C56942" w:rsidRPr="005A1CAE" w:rsidRDefault="00C56942" w:rsidP="00C56942">
                  <w:pPr>
                    <w:spacing w:after="0"/>
                    <w:jc w:val="left"/>
                    <w:rPr>
                      <w:noProof/>
                    </w:rPr>
                  </w:pPr>
                  <w:r w:rsidRPr="005A1CAE">
                    <w:rPr>
                      <w:b/>
                      <w:noProof/>
                      <w:sz w:val="18"/>
                    </w:rPr>
                    <w:t>Dane przywożonych towarów CBAM</w:t>
                  </w:r>
                </w:p>
              </w:tc>
              <w:tc>
                <w:tcPr>
                  <w:tcW w:w="5957"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168483E2" w14:textId="2733EFC5" w:rsidR="00C56942" w:rsidRPr="005A1CAE" w:rsidRDefault="00C56942" w:rsidP="00C56942">
                  <w:pPr>
                    <w:spacing w:after="0"/>
                    <w:jc w:val="left"/>
                    <w:rPr>
                      <w:noProof/>
                    </w:rPr>
                  </w:pPr>
                  <w:r w:rsidRPr="005A1CAE">
                    <w:rPr>
                      <w:noProof/>
                      <w:sz w:val="18"/>
                    </w:rPr>
                    <w:t>Portale właściwych organów krajowych</w:t>
                  </w:r>
                  <w:r w:rsidR="005A1CAE" w:rsidRPr="005A1CAE">
                    <w:rPr>
                      <w:noProof/>
                      <w:sz w:val="18"/>
                    </w:rPr>
                    <w:t xml:space="preserve"> i</w:t>
                  </w:r>
                  <w:r w:rsidR="005A1CAE">
                    <w:rPr>
                      <w:noProof/>
                      <w:sz w:val="18"/>
                    </w:rPr>
                    <w:t> </w:t>
                  </w:r>
                  <w:r w:rsidR="005A1CAE" w:rsidRPr="005A1CAE">
                    <w:rPr>
                      <w:noProof/>
                      <w:sz w:val="18"/>
                    </w:rPr>
                    <w:t>Kom</w:t>
                  </w:r>
                  <w:r w:rsidRPr="005A1CAE">
                    <w:rPr>
                      <w:noProof/>
                      <w:sz w:val="18"/>
                    </w:rPr>
                    <w:t>isji zawierają interfejsy monitorujące wprowadzanie danych SURV3 (i identyfikujące problemy), umożliwiające użytkownikom ręczne wprowadzanie danych (w drodze wysyłki partii plików) dotyczących przywożonych towarów oraz towarów podlegających uszlachetnianiu czynnemu. Dane te są następnie przetwarzane, przechowywane</w:t>
                  </w:r>
                  <w:r w:rsidR="005A1CAE" w:rsidRPr="005A1CAE">
                    <w:rPr>
                      <w:noProof/>
                      <w:sz w:val="18"/>
                    </w:rPr>
                    <w:t xml:space="preserve"> w</w:t>
                  </w:r>
                  <w:r w:rsidR="005A1CAE">
                    <w:rPr>
                      <w:noProof/>
                      <w:sz w:val="18"/>
                    </w:rPr>
                    <w:t> </w:t>
                  </w:r>
                  <w:r w:rsidR="005A1CAE" w:rsidRPr="005A1CAE">
                    <w:rPr>
                      <w:noProof/>
                      <w:sz w:val="18"/>
                    </w:rPr>
                    <w:t>por</w:t>
                  </w:r>
                  <w:r w:rsidRPr="005A1CAE">
                    <w:rPr>
                      <w:noProof/>
                      <w:sz w:val="18"/>
                    </w:rPr>
                    <w:t>talach,</w:t>
                  </w:r>
                  <w:r w:rsidR="005A1CAE" w:rsidRPr="005A1CAE">
                    <w:rPr>
                      <w:noProof/>
                      <w:sz w:val="18"/>
                    </w:rPr>
                    <w:t xml:space="preserve"> a</w:t>
                  </w:r>
                  <w:r w:rsidR="005A1CAE">
                    <w:rPr>
                      <w:noProof/>
                      <w:sz w:val="18"/>
                    </w:rPr>
                    <w:t> </w:t>
                  </w:r>
                  <w:r w:rsidR="005A1CAE" w:rsidRPr="005A1CAE">
                    <w:rPr>
                      <w:noProof/>
                      <w:sz w:val="18"/>
                    </w:rPr>
                    <w:t>póź</w:t>
                  </w:r>
                  <w:r w:rsidRPr="005A1CAE">
                    <w:rPr>
                      <w:noProof/>
                      <w:sz w:val="18"/>
                    </w:rPr>
                    <w:t>niej – konsolidowane</w:t>
                  </w:r>
                  <w:r w:rsidR="005A1CAE" w:rsidRPr="005A1CAE">
                    <w:rPr>
                      <w:noProof/>
                      <w:sz w:val="18"/>
                    </w:rPr>
                    <w:t xml:space="preserve"> w</w:t>
                  </w:r>
                  <w:r w:rsidR="005A1CAE">
                    <w:rPr>
                      <w:noProof/>
                      <w:sz w:val="18"/>
                    </w:rPr>
                    <w:t> </w:t>
                  </w:r>
                  <w:r w:rsidR="005A1CAE" w:rsidRPr="005A1CAE">
                    <w:rPr>
                      <w:noProof/>
                      <w:sz w:val="18"/>
                    </w:rPr>
                    <w:t>seg</w:t>
                  </w:r>
                  <w:r w:rsidRPr="005A1CAE">
                    <w:rPr>
                      <w:noProof/>
                      <w:sz w:val="18"/>
                    </w:rPr>
                    <w:t>mencie back-end</w:t>
                  </w:r>
                  <w:r w:rsidR="005A1CAE" w:rsidRPr="005A1CAE">
                    <w:rPr>
                      <w:noProof/>
                      <w:sz w:val="18"/>
                    </w:rPr>
                    <w:t xml:space="preserve"> w</w:t>
                  </w:r>
                  <w:r w:rsidR="005A1CAE">
                    <w:rPr>
                      <w:noProof/>
                      <w:sz w:val="18"/>
                    </w:rPr>
                    <w:t> </w:t>
                  </w:r>
                  <w:r w:rsidR="005A1CAE" w:rsidRPr="005A1CAE">
                    <w:rPr>
                      <w:noProof/>
                      <w:sz w:val="18"/>
                    </w:rPr>
                    <w:t>ram</w:t>
                  </w:r>
                  <w:r w:rsidRPr="005A1CAE">
                    <w:rPr>
                      <w:noProof/>
                      <w:sz w:val="18"/>
                    </w:rPr>
                    <w:t>ach rejestru.</w:t>
                  </w:r>
                </w:p>
              </w:tc>
            </w:tr>
            <w:tr w:rsidR="00C56942" w:rsidRPr="005A1CAE" w14:paraId="0709330B" w14:textId="77777777">
              <w:trPr>
                <w:trHeight w:val="300"/>
                <w:jc w:val="center"/>
              </w:trPr>
              <w:tc>
                <w:tcPr>
                  <w:tcW w:w="2743"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26AB6C8A" w14:textId="77777777" w:rsidR="00C56942" w:rsidRPr="005A1CAE" w:rsidRDefault="00C56942" w:rsidP="00C56942">
                  <w:pPr>
                    <w:spacing w:after="0"/>
                    <w:jc w:val="left"/>
                    <w:rPr>
                      <w:noProof/>
                    </w:rPr>
                  </w:pPr>
                  <w:r w:rsidRPr="005A1CAE">
                    <w:rPr>
                      <w:b/>
                      <w:noProof/>
                      <w:sz w:val="18"/>
                    </w:rPr>
                    <w:t>Dane dotyczące rejestru CBAM</w:t>
                  </w:r>
                </w:p>
                <w:p w14:paraId="196FB67D" w14:textId="77777777" w:rsidR="00C56942" w:rsidRPr="005A1CAE" w:rsidRDefault="00C56942" w:rsidP="00C56942">
                  <w:pPr>
                    <w:spacing w:after="0"/>
                    <w:jc w:val="left"/>
                    <w:rPr>
                      <w:noProof/>
                    </w:rPr>
                  </w:pPr>
                  <w:r w:rsidRPr="005A1CAE">
                    <w:rPr>
                      <w:noProof/>
                      <w:sz w:val="18"/>
                    </w:rPr>
                    <w:t xml:space="preserve"> </w:t>
                  </w:r>
                </w:p>
                <w:p w14:paraId="6DB89068" w14:textId="7B956359" w:rsidR="00C56942" w:rsidRPr="005A1CAE" w:rsidRDefault="00C56942" w:rsidP="00C56942">
                  <w:pPr>
                    <w:spacing w:after="0"/>
                    <w:jc w:val="left"/>
                    <w:rPr>
                      <w:noProof/>
                    </w:rPr>
                  </w:pPr>
                  <w:r w:rsidRPr="005A1CAE">
                    <w:rPr>
                      <w:noProof/>
                      <w:sz w:val="18"/>
                    </w:rPr>
                    <w:t xml:space="preserve">Uwaga: Nie określono jeszcze dokładnie danych, które mają być </w:t>
                  </w:r>
                  <w:r w:rsidRPr="005A1CAE">
                    <w:rPr>
                      <w:noProof/>
                      <w:sz w:val="18"/>
                    </w:rPr>
                    <w:lastRenderedPageBreak/>
                    <w:t>przechowywane</w:t>
                  </w:r>
                  <w:r w:rsidR="005A1CAE" w:rsidRPr="005A1CAE">
                    <w:rPr>
                      <w:noProof/>
                      <w:sz w:val="18"/>
                    </w:rPr>
                    <w:t xml:space="preserve"> w</w:t>
                  </w:r>
                  <w:r w:rsidR="005A1CAE">
                    <w:rPr>
                      <w:noProof/>
                      <w:sz w:val="18"/>
                    </w:rPr>
                    <w:t> </w:t>
                  </w:r>
                  <w:r w:rsidR="005A1CAE" w:rsidRPr="005A1CAE">
                    <w:rPr>
                      <w:noProof/>
                      <w:sz w:val="18"/>
                    </w:rPr>
                    <w:t>rej</w:t>
                  </w:r>
                  <w:r w:rsidRPr="005A1CAE">
                    <w:rPr>
                      <w:noProof/>
                      <w:sz w:val="18"/>
                    </w:rPr>
                    <w:t>estrze. Co do zasady rejestr ma być niemożliwym do zmiany dziennikiem. Podjęto już odpowiednie działania, aby zapewnić jego bezpieczeństwo. Składnik ten zostanie poddany ponownej ocenie na Etapie 3.</w:t>
                  </w:r>
                </w:p>
              </w:tc>
              <w:tc>
                <w:tcPr>
                  <w:tcW w:w="5957"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5C88CC0F" w14:textId="29E5EAA9" w:rsidR="00C56942" w:rsidRPr="005A1CAE" w:rsidRDefault="00C56942" w:rsidP="00C56942">
                  <w:pPr>
                    <w:spacing w:after="0"/>
                    <w:jc w:val="left"/>
                    <w:rPr>
                      <w:noProof/>
                    </w:rPr>
                  </w:pPr>
                  <w:r w:rsidRPr="005A1CAE">
                    <w:rPr>
                      <w:noProof/>
                      <w:sz w:val="18"/>
                    </w:rPr>
                    <w:lastRenderedPageBreak/>
                    <w:t>Dane dotyczące przetwarzania kont rejestru</w:t>
                  </w:r>
                  <w:r w:rsidR="005A1CAE" w:rsidRPr="005A1CAE">
                    <w:rPr>
                      <w:noProof/>
                      <w:sz w:val="18"/>
                    </w:rPr>
                    <w:t xml:space="preserve"> i</w:t>
                  </w:r>
                  <w:r w:rsidR="005A1CAE">
                    <w:rPr>
                      <w:noProof/>
                      <w:sz w:val="18"/>
                    </w:rPr>
                    <w:t> </w:t>
                  </w:r>
                  <w:r w:rsidR="005A1CAE" w:rsidRPr="005A1CAE">
                    <w:rPr>
                      <w:noProof/>
                      <w:sz w:val="18"/>
                    </w:rPr>
                    <w:t>dan</w:t>
                  </w:r>
                  <w:r w:rsidRPr="005A1CAE">
                    <w:rPr>
                      <w:noProof/>
                      <w:sz w:val="18"/>
                    </w:rPr>
                    <w:t>e dotyczące transakcji.</w:t>
                  </w:r>
                  <w:r w:rsidRPr="005A1CAE">
                    <w:rPr>
                      <w:noProof/>
                    </w:rPr>
                    <w:t xml:space="preserve"> </w:t>
                  </w:r>
                  <w:r w:rsidRPr="005A1CAE">
                    <w:rPr>
                      <w:noProof/>
                    </w:rPr>
                    <w:br/>
                    <w:t xml:space="preserve"> </w:t>
                  </w:r>
                  <w:r w:rsidRPr="005A1CAE">
                    <w:rPr>
                      <w:noProof/>
                    </w:rPr>
                    <w:br/>
                  </w:r>
                  <w:r w:rsidRPr="005A1CAE">
                    <w:rPr>
                      <w:noProof/>
                      <w:sz w:val="18"/>
                    </w:rPr>
                    <w:t>Rejestr CBAM odpowiada za wpisy dziennika zawierające dane zgłaszającego (w tym numer jego rachunku)</w:t>
                  </w:r>
                  <w:r w:rsidR="005A1CAE" w:rsidRPr="005A1CAE">
                    <w:rPr>
                      <w:noProof/>
                      <w:sz w:val="18"/>
                    </w:rPr>
                    <w:t xml:space="preserve"> i</w:t>
                  </w:r>
                  <w:r w:rsidR="005A1CAE">
                    <w:rPr>
                      <w:noProof/>
                      <w:sz w:val="18"/>
                    </w:rPr>
                    <w:t> </w:t>
                  </w:r>
                  <w:r w:rsidR="005A1CAE" w:rsidRPr="005A1CAE">
                    <w:rPr>
                      <w:noProof/>
                      <w:sz w:val="18"/>
                    </w:rPr>
                    <w:t>tra</w:t>
                  </w:r>
                  <w:r w:rsidRPr="005A1CAE">
                    <w:rPr>
                      <w:noProof/>
                      <w:sz w:val="18"/>
                    </w:rPr>
                    <w:t xml:space="preserve">nsakcji między powiązanymi relacjami komponentu CBAM, zarządza tymi wpisami i je rejestruje. Wpisy te tworzone </w:t>
                  </w:r>
                  <w:r w:rsidRPr="005A1CAE">
                    <w:rPr>
                      <w:noProof/>
                      <w:sz w:val="18"/>
                    </w:rPr>
                    <w:lastRenderedPageBreak/>
                    <w:t>są</w:t>
                  </w:r>
                  <w:r w:rsidR="005A1CAE" w:rsidRPr="005A1CAE">
                    <w:rPr>
                      <w:noProof/>
                      <w:sz w:val="18"/>
                    </w:rPr>
                    <w:t xml:space="preserve"> w</w:t>
                  </w:r>
                  <w:r w:rsidR="005A1CAE">
                    <w:rPr>
                      <w:noProof/>
                      <w:sz w:val="18"/>
                    </w:rPr>
                    <w:t> </w:t>
                  </w:r>
                  <w:r w:rsidR="005A1CAE" w:rsidRPr="005A1CAE">
                    <w:rPr>
                      <w:noProof/>
                      <w:sz w:val="18"/>
                    </w:rPr>
                    <w:t>dro</w:t>
                  </w:r>
                  <w:r w:rsidRPr="005A1CAE">
                    <w:rPr>
                      <w:noProof/>
                      <w:sz w:val="18"/>
                    </w:rPr>
                    <w:t>dze dodawania danych, które następnie stają się niemożliwe do zmiany (dane te obejmują kwestie zarządzania cyklem życia deklaracji, autoryzacji</w:t>
                  </w:r>
                  <w:r w:rsidR="005A1CAE" w:rsidRPr="005A1CAE">
                    <w:rPr>
                      <w:noProof/>
                      <w:sz w:val="18"/>
                    </w:rPr>
                    <w:t xml:space="preserve"> i</w:t>
                  </w:r>
                  <w:r w:rsidR="005A1CAE">
                    <w:rPr>
                      <w:noProof/>
                      <w:sz w:val="18"/>
                    </w:rPr>
                    <w:t> </w:t>
                  </w:r>
                  <w:r w:rsidR="005A1CAE" w:rsidRPr="005A1CAE">
                    <w:rPr>
                      <w:noProof/>
                      <w:sz w:val="18"/>
                    </w:rPr>
                    <w:t>zar</w:t>
                  </w:r>
                  <w:r w:rsidRPr="005A1CAE">
                    <w:rPr>
                      <w:noProof/>
                      <w:sz w:val="18"/>
                    </w:rPr>
                    <w:t>ządzania rachunkami, zarządzania certyfikatami, monitorowania ryzyka</w:t>
                  </w:r>
                  <w:r w:rsidR="005A1CAE" w:rsidRPr="005A1CAE">
                    <w:rPr>
                      <w:noProof/>
                      <w:sz w:val="18"/>
                    </w:rPr>
                    <w:t xml:space="preserve"> i</w:t>
                  </w:r>
                  <w:r w:rsidR="005A1CAE">
                    <w:rPr>
                      <w:noProof/>
                      <w:sz w:val="18"/>
                    </w:rPr>
                    <w:t> </w:t>
                  </w:r>
                  <w:r w:rsidR="005A1CAE" w:rsidRPr="005A1CAE">
                    <w:rPr>
                      <w:noProof/>
                      <w:sz w:val="18"/>
                    </w:rPr>
                    <w:t>prz</w:t>
                  </w:r>
                  <w:r w:rsidRPr="005A1CAE">
                    <w:rPr>
                      <w:noProof/>
                      <w:sz w:val="18"/>
                    </w:rPr>
                    <w:t>ypadków nieprzestrzegania przepisów, ARV itp.).</w:t>
                  </w:r>
                </w:p>
              </w:tc>
            </w:tr>
            <w:tr w:rsidR="00C56942" w:rsidRPr="005A1CAE" w14:paraId="6E95AB9E" w14:textId="77777777">
              <w:trPr>
                <w:trHeight w:val="2085"/>
                <w:jc w:val="center"/>
              </w:trPr>
              <w:tc>
                <w:tcPr>
                  <w:tcW w:w="2743"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06F7ED70" w14:textId="7D67BD60" w:rsidR="00C56942" w:rsidRPr="005A1CAE" w:rsidRDefault="00C56942" w:rsidP="00C56942">
                  <w:pPr>
                    <w:spacing w:after="0"/>
                    <w:jc w:val="left"/>
                    <w:rPr>
                      <w:noProof/>
                    </w:rPr>
                  </w:pPr>
                  <w:r w:rsidRPr="005A1CAE">
                    <w:rPr>
                      <w:b/>
                      <w:noProof/>
                      <w:sz w:val="18"/>
                    </w:rPr>
                    <w:lastRenderedPageBreak/>
                    <w:t>Dane dotyczące monitorowania nieprzestrzegania przepisów CBAM, dochodzeń</w:t>
                  </w:r>
                  <w:r w:rsidR="005A1CAE" w:rsidRPr="005A1CAE">
                    <w:rPr>
                      <w:b/>
                      <w:noProof/>
                      <w:sz w:val="18"/>
                    </w:rPr>
                    <w:t xml:space="preserve"> w</w:t>
                  </w:r>
                  <w:r w:rsidR="005A1CAE">
                    <w:rPr>
                      <w:b/>
                      <w:noProof/>
                      <w:sz w:val="18"/>
                    </w:rPr>
                    <w:t> </w:t>
                  </w:r>
                  <w:r w:rsidR="005A1CAE" w:rsidRPr="005A1CAE">
                    <w:rPr>
                      <w:b/>
                      <w:noProof/>
                      <w:sz w:val="18"/>
                    </w:rPr>
                    <w:t>spr</w:t>
                  </w:r>
                  <w:r w:rsidRPr="005A1CAE">
                    <w:rPr>
                      <w:b/>
                      <w:noProof/>
                      <w:sz w:val="18"/>
                    </w:rPr>
                    <w:t>awie obchodzenia przepisów</w:t>
                  </w:r>
                  <w:r w:rsidR="005A1CAE" w:rsidRPr="005A1CAE">
                    <w:rPr>
                      <w:b/>
                      <w:noProof/>
                      <w:sz w:val="18"/>
                    </w:rPr>
                    <w:t xml:space="preserve"> i</w:t>
                  </w:r>
                  <w:r w:rsidR="005A1CAE">
                    <w:rPr>
                      <w:b/>
                      <w:noProof/>
                      <w:sz w:val="18"/>
                    </w:rPr>
                    <w:t> </w:t>
                  </w:r>
                  <w:r w:rsidR="005A1CAE" w:rsidRPr="005A1CAE">
                    <w:rPr>
                      <w:b/>
                      <w:noProof/>
                      <w:sz w:val="18"/>
                    </w:rPr>
                    <w:t>zar</w:t>
                  </w:r>
                  <w:r w:rsidRPr="005A1CAE">
                    <w:rPr>
                      <w:b/>
                      <w:noProof/>
                      <w:sz w:val="18"/>
                    </w:rPr>
                    <w:t>ządzania ryzykiem</w:t>
                  </w:r>
                </w:p>
              </w:tc>
              <w:tc>
                <w:tcPr>
                  <w:tcW w:w="5957"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705C9D41" w14:textId="7FF3A19F" w:rsidR="00C56942" w:rsidRPr="005A1CAE" w:rsidRDefault="00C56942" w:rsidP="00C56942">
                  <w:pPr>
                    <w:spacing w:after="0"/>
                    <w:jc w:val="left"/>
                    <w:rPr>
                      <w:noProof/>
                    </w:rPr>
                  </w:pPr>
                  <w:r w:rsidRPr="005A1CAE">
                    <w:rPr>
                      <w:noProof/>
                      <w:sz w:val="18"/>
                    </w:rPr>
                    <w:t>System informatyczny CBAM wykorzystywany do śledzenia, monitorowania</w:t>
                  </w:r>
                  <w:r w:rsidR="005A1CAE" w:rsidRPr="005A1CAE">
                    <w:rPr>
                      <w:noProof/>
                      <w:sz w:val="18"/>
                    </w:rPr>
                    <w:t xml:space="preserve"> i</w:t>
                  </w:r>
                  <w:r w:rsidR="005A1CAE">
                    <w:rPr>
                      <w:noProof/>
                      <w:sz w:val="18"/>
                    </w:rPr>
                    <w:t> </w:t>
                  </w:r>
                  <w:r w:rsidR="005A1CAE" w:rsidRPr="005A1CAE">
                    <w:rPr>
                      <w:noProof/>
                      <w:sz w:val="18"/>
                    </w:rPr>
                    <w:t>uwi</w:t>
                  </w:r>
                  <w:r w:rsidRPr="005A1CAE">
                    <w:rPr>
                      <w:noProof/>
                      <w:sz w:val="18"/>
                    </w:rPr>
                    <w:t>daczniania potencjalnych lub potwierdzonych przypadków nieprawidłowości</w:t>
                  </w:r>
                  <w:r w:rsidR="005A1CAE" w:rsidRPr="005A1CAE">
                    <w:rPr>
                      <w:noProof/>
                      <w:sz w:val="18"/>
                    </w:rPr>
                    <w:t xml:space="preserve"> i</w:t>
                  </w:r>
                  <w:r w:rsidR="005A1CAE">
                    <w:rPr>
                      <w:noProof/>
                      <w:sz w:val="18"/>
                    </w:rPr>
                    <w:t> </w:t>
                  </w:r>
                  <w:r w:rsidR="005A1CAE" w:rsidRPr="005A1CAE">
                    <w:rPr>
                      <w:noProof/>
                      <w:sz w:val="18"/>
                    </w:rPr>
                    <w:t>nie</w:t>
                  </w:r>
                  <w:r w:rsidRPr="005A1CAE">
                    <w:rPr>
                      <w:noProof/>
                      <w:sz w:val="18"/>
                    </w:rPr>
                    <w:t>zgodności</w:t>
                  </w:r>
                  <w:r w:rsidR="005A1CAE" w:rsidRPr="005A1CAE">
                    <w:rPr>
                      <w:noProof/>
                      <w:sz w:val="18"/>
                    </w:rPr>
                    <w:t xml:space="preserve"> w</w:t>
                  </w:r>
                  <w:r w:rsidR="005A1CAE">
                    <w:rPr>
                      <w:noProof/>
                      <w:sz w:val="18"/>
                    </w:rPr>
                    <w:t> </w:t>
                  </w:r>
                  <w:r w:rsidR="005A1CAE" w:rsidRPr="005A1CAE">
                    <w:rPr>
                      <w:noProof/>
                      <w:sz w:val="18"/>
                    </w:rPr>
                    <w:t>sys</w:t>
                  </w:r>
                  <w:r w:rsidRPr="005A1CAE">
                    <w:rPr>
                      <w:noProof/>
                      <w:sz w:val="18"/>
                    </w:rPr>
                    <w:t>temie CBAM.</w:t>
                  </w:r>
                </w:p>
                <w:p w14:paraId="2C09AFF7" w14:textId="2D707904" w:rsidR="00C56942" w:rsidRPr="005A1CAE" w:rsidRDefault="00C56942" w:rsidP="00C56942">
                  <w:pPr>
                    <w:spacing w:after="0"/>
                    <w:jc w:val="left"/>
                    <w:rPr>
                      <w:noProof/>
                    </w:rPr>
                  </w:pPr>
                  <w:r w:rsidRPr="005A1CAE">
                    <w:rPr>
                      <w:noProof/>
                      <w:sz w:val="18"/>
                    </w:rPr>
                    <w:t>Identyfikowanie, monitorowanie, weryfikowanie</w:t>
                  </w:r>
                  <w:r w:rsidR="005A1CAE" w:rsidRPr="005A1CAE">
                    <w:rPr>
                      <w:noProof/>
                      <w:sz w:val="18"/>
                    </w:rPr>
                    <w:t xml:space="preserve"> i</w:t>
                  </w:r>
                  <w:r w:rsidR="005A1CAE">
                    <w:rPr>
                      <w:noProof/>
                      <w:sz w:val="18"/>
                    </w:rPr>
                    <w:t> </w:t>
                  </w:r>
                  <w:r w:rsidR="005A1CAE" w:rsidRPr="005A1CAE">
                    <w:rPr>
                      <w:noProof/>
                      <w:sz w:val="18"/>
                    </w:rPr>
                    <w:t>zgł</w:t>
                  </w:r>
                  <w:r w:rsidRPr="005A1CAE">
                    <w:rPr>
                      <w:noProof/>
                      <w:sz w:val="18"/>
                    </w:rPr>
                    <w:t>aszanie przypadków obchodzenia przepisów</w:t>
                  </w:r>
                  <w:r w:rsidR="005A1CAE" w:rsidRPr="005A1CAE">
                    <w:rPr>
                      <w:noProof/>
                      <w:sz w:val="18"/>
                    </w:rPr>
                    <w:t xml:space="preserve"> i</w:t>
                  </w:r>
                  <w:r w:rsidR="005A1CAE">
                    <w:rPr>
                      <w:noProof/>
                      <w:sz w:val="18"/>
                    </w:rPr>
                    <w:t> </w:t>
                  </w:r>
                  <w:r w:rsidR="005A1CAE" w:rsidRPr="005A1CAE">
                    <w:rPr>
                      <w:noProof/>
                      <w:sz w:val="18"/>
                    </w:rPr>
                    <w:t>inn</w:t>
                  </w:r>
                  <w:r w:rsidRPr="005A1CAE">
                    <w:rPr>
                      <w:noProof/>
                      <w:sz w:val="18"/>
                    </w:rPr>
                    <w:t>ych nielegalnych praktyk niezgodnych</w:t>
                  </w:r>
                  <w:r w:rsidR="005A1CAE" w:rsidRPr="005A1CAE">
                    <w:rPr>
                      <w:noProof/>
                      <w:sz w:val="18"/>
                    </w:rPr>
                    <w:t xml:space="preserve"> z</w:t>
                  </w:r>
                  <w:r w:rsidR="005A1CAE">
                    <w:rPr>
                      <w:noProof/>
                      <w:sz w:val="18"/>
                    </w:rPr>
                    <w:t> </w:t>
                  </w:r>
                  <w:r w:rsidR="005A1CAE" w:rsidRPr="005A1CAE">
                    <w:rPr>
                      <w:noProof/>
                      <w:sz w:val="18"/>
                    </w:rPr>
                    <w:t>roz</w:t>
                  </w:r>
                  <w:r w:rsidRPr="005A1CAE">
                    <w:rPr>
                      <w:noProof/>
                      <w:sz w:val="18"/>
                    </w:rPr>
                    <w:t xml:space="preserve">porządzeniem CBAM. </w:t>
                  </w:r>
                </w:p>
                <w:p w14:paraId="0AB05932" w14:textId="1DE1571B" w:rsidR="00C56942" w:rsidRPr="005A1CAE" w:rsidRDefault="00C56942" w:rsidP="00C56942">
                  <w:pPr>
                    <w:spacing w:after="0"/>
                    <w:jc w:val="left"/>
                    <w:rPr>
                      <w:noProof/>
                    </w:rPr>
                  </w:pPr>
                  <w:r w:rsidRPr="005A1CAE">
                    <w:rPr>
                      <w:noProof/>
                      <w:sz w:val="18"/>
                    </w:rPr>
                    <w:t>Komponent oceny ryzyka (w tym wyniki przeglądów deklaracji)</w:t>
                  </w:r>
                  <w:r w:rsidR="005A1CAE" w:rsidRPr="005A1CAE">
                    <w:rPr>
                      <w:noProof/>
                      <w:sz w:val="18"/>
                    </w:rPr>
                    <w:t xml:space="preserve"> i</w:t>
                  </w:r>
                  <w:r w:rsidR="005A1CAE">
                    <w:rPr>
                      <w:noProof/>
                      <w:sz w:val="18"/>
                    </w:rPr>
                    <w:t> </w:t>
                  </w:r>
                  <w:r w:rsidR="005A1CAE" w:rsidRPr="005A1CAE">
                    <w:rPr>
                      <w:noProof/>
                      <w:sz w:val="18"/>
                    </w:rPr>
                    <w:t>zar</w:t>
                  </w:r>
                  <w:r w:rsidRPr="005A1CAE">
                    <w:rPr>
                      <w:noProof/>
                      <w:sz w:val="18"/>
                    </w:rPr>
                    <w:t>ządzania, mający na celu identyfikację</w:t>
                  </w:r>
                  <w:r w:rsidR="005A1CAE" w:rsidRPr="005A1CAE">
                    <w:rPr>
                      <w:noProof/>
                      <w:sz w:val="18"/>
                    </w:rPr>
                    <w:t xml:space="preserve"> i</w:t>
                  </w:r>
                  <w:r w:rsidR="005A1CAE">
                    <w:rPr>
                      <w:noProof/>
                      <w:sz w:val="18"/>
                    </w:rPr>
                    <w:t> </w:t>
                  </w:r>
                  <w:r w:rsidR="005A1CAE" w:rsidRPr="005A1CAE">
                    <w:rPr>
                      <w:noProof/>
                      <w:sz w:val="18"/>
                    </w:rPr>
                    <w:t>oce</w:t>
                  </w:r>
                  <w:r w:rsidRPr="005A1CAE">
                    <w:rPr>
                      <w:noProof/>
                      <w:sz w:val="18"/>
                    </w:rPr>
                    <w:t>nę ryzyka (np. analiza zdarzeń ryzyka, sprawozdania</w:t>
                  </w:r>
                  <w:r w:rsidR="005A1CAE" w:rsidRPr="005A1CAE">
                    <w:rPr>
                      <w:noProof/>
                      <w:sz w:val="18"/>
                    </w:rPr>
                    <w:t xml:space="preserve"> z</w:t>
                  </w:r>
                  <w:r w:rsidR="005A1CAE">
                    <w:rPr>
                      <w:noProof/>
                      <w:sz w:val="18"/>
                    </w:rPr>
                    <w:t> </w:t>
                  </w:r>
                  <w:r w:rsidR="005A1CAE" w:rsidRPr="005A1CAE">
                    <w:rPr>
                      <w:noProof/>
                      <w:sz w:val="18"/>
                    </w:rPr>
                    <w:t>wer</w:t>
                  </w:r>
                  <w:r w:rsidRPr="005A1CAE">
                    <w:rPr>
                      <w:noProof/>
                      <w:sz w:val="18"/>
                    </w:rPr>
                    <w:t>yfikacji, wyniki kontroli ryzyka itp.) związanego</w:t>
                  </w:r>
                  <w:r w:rsidR="005A1CAE" w:rsidRPr="005A1CAE">
                    <w:rPr>
                      <w:noProof/>
                      <w:sz w:val="18"/>
                    </w:rPr>
                    <w:t xml:space="preserve"> z</w:t>
                  </w:r>
                  <w:r w:rsidR="005A1CAE">
                    <w:rPr>
                      <w:noProof/>
                      <w:sz w:val="18"/>
                    </w:rPr>
                    <w:t> </w:t>
                  </w:r>
                  <w:r w:rsidR="005A1CAE" w:rsidRPr="005A1CAE">
                    <w:rPr>
                      <w:noProof/>
                      <w:sz w:val="18"/>
                    </w:rPr>
                    <w:t>pro</w:t>
                  </w:r>
                  <w:r w:rsidRPr="005A1CAE">
                    <w:rPr>
                      <w:noProof/>
                      <w:sz w:val="18"/>
                    </w:rPr>
                    <w:t>cesem przeglądu deklaracji oraz identyfikację</w:t>
                  </w:r>
                  <w:r w:rsidR="005A1CAE" w:rsidRPr="005A1CAE">
                    <w:rPr>
                      <w:noProof/>
                      <w:sz w:val="18"/>
                    </w:rPr>
                    <w:t xml:space="preserve"> i</w:t>
                  </w:r>
                  <w:r w:rsidR="005A1CAE">
                    <w:rPr>
                      <w:noProof/>
                      <w:sz w:val="18"/>
                    </w:rPr>
                    <w:t> </w:t>
                  </w:r>
                  <w:r w:rsidR="005A1CAE" w:rsidRPr="005A1CAE">
                    <w:rPr>
                      <w:noProof/>
                      <w:sz w:val="18"/>
                    </w:rPr>
                    <w:t>oce</w:t>
                  </w:r>
                  <w:r w:rsidRPr="005A1CAE">
                    <w:rPr>
                      <w:noProof/>
                      <w:sz w:val="18"/>
                    </w:rPr>
                    <w:t>nę potencjalnych nieprawidłowości</w:t>
                  </w:r>
                  <w:r w:rsidR="005A1CAE" w:rsidRPr="005A1CAE">
                    <w:rPr>
                      <w:noProof/>
                      <w:sz w:val="18"/>
                    </w:rPr>
                    <w:t xml:space="preserve"> w</w:t>
                  </w:r>
                  <w:r w:rsidR="005A1CAE">
                    <w:rPr>
                      <w:noProof/>
                      <w:sz w:val="18"/>
                    </w:rPr>
                    <w:t> </w:t>
                  </w:r>
                  <w:r w:rsidR="005A1CAE" w:rsidRPr="005A1CAE">
                    <w:rPr>
                      <w:noProof/>
                      <w:sz w:val="18"/>
                    </w:rPr>
                    <w:t>seg</w:t>
                  </w:r>
                  <w:r w:rsidRPr="005A1CAE">
                    <w:rPr>
                      <w:noProof/>
                      <w:sz w:val="18"/>
                    </w:rPr>
                    <w:t>mencie back-end rejestru CBAM,</w:t>
                  </w:r>
                  <w:r w:rsidR="005A1CAE" w:rsidRPr="005A1CAE">
                    <w:rPr>
                      <w:noProof/>
                      <w:sz w:val="18"/>
                    </w:rPr>
                    <w:t xml:space="preserve"> a</w:t>
                  </w:r>
                  <w:r w:rsidR="005A1CAE">
                    <w:rPr>
                      <w:noProof/>
                      <w:sz w:val="18"/>
                    </w:rPr>
                    <w:t> </w:t>
                  </w:r>
                  <w:r w:rsidR="005A1CAE" w:rsidRPr="005A1CAE">
                    <w:rPr>
                      <w:noProof/>
                      <w:sz w:val="18"/>
                    </w:rPr>
                    <w:t>tak</w:t>
                  </w:r>
                  <w:r w:rsidRPr="005A1CAE">
                    <w:rPr>
                      <w:noProof/>
                      <w:sz w:val="18"/>
                    </w:rPr>
                    <w:t>że identyfikację</w:t>
                  </w:r>
                  <w:r w:rsidR="005A1CAE" w:rsidRPr="005A1CAE">
                    <w:rPr>
                      <w:noProof/>
                      <w:sz w:val="18"/>
                    </w:rPr>
                    <w:t xml:space="preserve"> i</w:t>
                  </w:r>
                  <w:r w:rsidR="005A1CAE">
                    <w:rPr>
                      <w:noProof/>
                      <w:sz w:val="18"/>
                    </w:rPr>
                    <w:t> </w:t>
                  </w:r>
                  <w:r w:rsidR="005A1CAE" w:rsidRPr="005A1CAE">
                    <w:rPr>
                      <w:noProof/>
                      <w:sz w:val="18"/>
                    </w:rPr>
                    <w:t>oce</w:t>
                  </w:r>
                  <w:r w:rsidRPr="005A1CAE">
                    <w:rPr>
                      <w:noProof/>
                      <w:sz w:val="18"/>
                    </w:rPr>
                    <w:t>nę przypadków obchodzenia przepisów (dalsze dochodzenie).</w:t>
                  </w:r>
                </w:p>
                <w:p w14:paraId="2A5A8B10" w14:textId="68165006" w:rsidR="00C56942" w:rsidRPr="005A1CAE" w:rsidRDefault="00C56942" w:rsidP="00C56942">
                  <w:pPr>
                    <w:spacing w:after="0"/>
                    <w:jc w:val="left"/>
                    <w:rPr>
                      <w:noProof/>
                    </w:rPr>
                  </w:pPr>
                  <w:r w:rsidRPr="005A1CAE">
                    <w:rPr>
                      <w:noProof/>
                      <w:sz w:val="18"/>
                    </w:rPr>
                    <w:t>Łączy informacje</w:t>
                  </w:r>
                  <w:r w:rsidR="005A1CAE" w:rsidRPr="005A1CAE">
                    <w:rPr>
                      <w:noProof/>
                      <w:sz w:val="18"/>
                    </w:rPr>
                    <w:t xml:space="preserve"> i</w:t>
                  </w:r>
                  <w:r w:rsidR="005A1CAE">
                    <w:rPr>
                      <w:noProof/>
                      <w:sz w:val="18"/>
                    </w:rPr>
                    <w:t> </w:t>
                  </w:r>
                  <w:r w:rsidR="005A1CAE" w:rsidRPr="005A1CAE">
                    <w:rPr>
                      <w:noProof/>
                      <w:sz w:val="18"/>
                    </w:rPr>
                    <w:t>fun</w:t>
                  </w:r>
                  <w:r w:rsidRPr="005A1CAE">
                    <w:rPr>
                      <w:noProof/>
                      <w:sz w:val="18"/>
                    </w:rPr>
                    <w:t>kcje modułów dochodzeń, zarządzania ryzykiem</w:t>
                  </w:r>
                  <w:r w:rsidR="005A1CAE" w:rsidRPr="005A1CAE">
                    <w:rPr>
                      <w:noProof/>
                      <w:sz w:val="18"/>
                    </w:rPr>
                    <w:t xml:space="preserve"> i</w:t>
                  </w:r>
                  <w:r w:rsidR="005A1CAE">
                    <w:rPr>
                      <w:noProof/>
                      <w:sz w:val="18"/>
                    </w:rPr>
                    <w:t> </w:t>
                  </w:r>
                  <w:r w:rsidR="005A1CAE" w:rsidRPr="005A1CAE">
                    <w:rPr>
                      <w:noProof/>
                      <w:sz w:val="18"/>
                    </w:rPr>
                    <w:t>bez</w:t>
                  </w:r>
                  <w:r w:rsidRPr="005A1CAE">
                    <w:rPr>
                      <w:noProof/>
                      <w:sz w:val="18"/>
                    </w:rPr>
                    <w:t>piecznego forum</w:t>
                  </w:r>
                  <w:r w:rsidR="005A1CAE" w:rsidRPr="005A1CAE">
                    <w:rPr>
                      <w:noProof/>
                      <w:sz w:val="18"/>
                    </w:rPr>
                    <w:t xml:space="preserve"> w</w:t>
                  </w:r>
                  <w:r w:rsidR="005A1CAE">
                    <w:rPr>
                      <w:noProof/>
                      <w:sz w:val="18"/>
                    </w:rPr>
                    <w:t> </w:t>
                  </w:r>
                  <w:r w:rsidR="005A1CAE" w:rsidRPr="005A1CAE">
                    <w:rPr>
                      <w:noProof/>
                      <w:sz w:val="18"/>
                    </w:rPr>
                    <w:t>odn</w:t>
                  </w:r>
                  <w:r w:rsidRPr="005A1CAE">
                    <w:rPr>
                      <w:noProof/>
                      <w:sz w:val="18"/>
                    </w:rPr>
                    <w:t>iesieniu do poszczególnych działań.</w:t>
                  </w:r>
                </w:p>
              </w:tc>
            </w:tr>
            <w:tr w:rsidR="00C56942" w:rsidRPr="005A1CAE" w14:paraId="2DF9D96F" w14:textId="77777777">
              <w:trPr>
                <w:trHeight w:val="300"/>
                <w:jc w:val="center"/>
              </w:trPr>
              <w:tc>
                <w:tcPr>
                  <w:tcW w:w="2743"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7EE5BF2F" w14:textId="77777777" w:rsidR="00C56942" w:rsidRPr="005A1CAE" w:rsidRDefault="00C56942" w:rsidP="00C56942">
                  <w:pPr>
                    <w:spacing w:after="0"/>
                    <w:jc w:val="left"/>
                    <w:rPr>
                      <w:noProof/>
                    </w:rPr>
                  </w:pPr>
                  <w:r w:rsidRPr="005A1CAE">
                    <w:rPr>
                      <w:b/>
                      <w:noProof/>
                      <w:sz w:val="18"/>
                    </w:rPr>
                    <w:t>Dane referencyjne CBAM</w:t>
                  </w:r>
                </w:p>
              </w:tc>
              <w:tc>
                <w:tcPr>
                  <w:tcW w:w="5957"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4EE478C4" w14:textId="60AB9D55" w:rsidR="00C56942" w:rsidRPr="005A1CAE" w:rsidRDefault="00C56942" w:rsidP="00C56942">
                  <w:pPr>
                    <w:spacing w:after="0"/>
                    <w:jc w:val="left"/>
                    <w:rPr>
                      <w:noProof/>
                    </w:rPr>
                  </w:pPr>
                  <w:r w:rsidRPr="005A1CAE">
                    <w:rPr>
                      <w:noProof/>
                      <w:sz w:val="18"/>
                    </w:rPr>
                    <w:t>Główne źródło wszystkich danych referencyjnych CBAM, (bezpośrednio lub pośrednio) zapewniające spójność</w:t>
                  </w:r>
                  <w:r w:rsidR="005A1CAE" w:rsidRPr="005A1CAE">
                    <w:rPr>
                      <w:noProof/>
                      <w:sz w:val="18"/>
                    </w:rPr>
                    <w:t xml:space="preserve"> i</w:t>
                  </w:r>
                  <w:r w:rsidR="005A1CAE">
                    <w:rPr>
                      <w:noProof/>
                      <w:sz w:val="18"/>
                    </w:rPr>
                    <w:t> </w:t>
                  </w:r>
                  <w:r w:rsidR="005A1CAE" w:rsidRPr="005A1CAE">
                    <w:rPr>
                      <w:noProof/>
                      <w:sz w:val="18"/>
                    </w:rPr>
                    <w:t>int</w:t>
                  </w:r>
                  <w:r w:rsidRPr="005A1CAE">
                    <w:rPr>
                      <w:noProof/>
                      <w:sz w:val="18"/>
                    </w:rPr>
                    <w:t xml:space="preserve">egralność danych we wszystkich komponentach CBAM. </w:t>
                  </w:r>
                </w:p>
              </w:tc>
            </w:tr>
            <w:tr w:rsidR="00C56942" w:rsidRPr="005A1CAE" w14:paraId="705DD5B5" w14:textId="77777777">
              <w:trPr>
                <w:trHeight w:val="735"/>
                <w:jc w:val="center"/>
              </w:trPr>
              <w:tc>
                <w:tcPr>
                  <w:tcW w:w="2743"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6517562E" w14:textId="71C19C10" w:rsidR="00C56942" w:rsidRPr="005A1CAE" w:rsidRDefault="00C56942" w:rsidP="00C56942">
                  <w:pPr>
                    <w:spacing w:after="0"/>
                    <w:jc w:val="left"/>
                    <w:rPr>
                      <w:noProof/>
                    </w:rPr>
                  </w:pPr>
                  <w:r w:rsidRPr="005A1CAE">
                    <w:rPr>
                      <w:b/>
                      <w:noProof/>
                      <w:sz w:val="18"/>
                    </w:rPr>
                    <w:t>Dane dotyczące sprawozdawczości CBAM, tabeli wyników, powiadomień</w:t>
                  </w:r>
                  <w:r w:rsidR="005A1CAE" w:rsidRPr="005A1CAE">
                    <w:rPr>
                      <w:b/>
                      <w:noProof/>
                      <w:sz w:val="18"/>
                    </w:rPr>
                    <w:t xml:space="preserve"> i</w:t>
                  </w:r>
                  <w:r w:rsidR="005A1CAE">
                    <w:rPr>
                      <w:b/>
                      <w:noProof/>
                      <w:sz w:val="18"/>
                    </w:rPr>
                    <w:t> </w:t>
                  </w:r>
                  <w:r w:rsidR="005A1CAE" w:rsidRPr="005A1CAE">
                    <w:rPr>
                      <w:b/>
                      <w:noProof/>
                      <w:sz w:val="18"/>
                    </w:rPr>
                    <w:t>zar</w:t>
                  </w:r>
                  <w:r w:rsidRPr="005A1CAE">
                    <w:rPr>
                      <w:b/>
                      <w:noProof/>
                      <w:sz w:val="18"/>
                    </w:rPr>
                    <w:t>ządzania dokumentami</w:t>
                  </w:r>
                </w:p>
              </w:tc>
              <w:tc>
                <w:tcPr>
                  <w:tcW w:w="5957"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4B522144" w14:textId="15F50265" w:rsidR="00C56942" w:rsidRPr="005A1CAE" w:rsidRDefault="00C56942" w:rsidP="00C56942">
                  <w:pPr>
                    <w:spacing w:after="0"/>
                    <w:jc w:val="left"/>
                    <w:rPr>
                      <w:noProof/>
                    </w:rPr>
                  </w:pPr>
                  <w:r w:rsidRPr="005A1CAE">
                    <w:rPr>
                      <w:noProof/>
                      <w:sz w:val="18"/>
                    </w:rPr>
                    <w:t>Kluczowe narzędzie do śledzenia</w:t>
                  </w:r>
                  <w:r w:rsidR="005A1CAE" w:rsidRPr="005A1CAE">
                    <w:rPr>
                      <w:noProof/>
                      <w:sz w:val="18"/>
                    </w:rPr>
                    <w:t xml:space="preserve"> i</w:t>
                  </w:r>
                  <w:r w:rsidR="005A1CAE">
                    <w:rPr>
                      <w:noProof/>
                      <w:sz w:val="18"/>
                    </w:rPr>
                    <w:t> </w:t>
                  </w:r>
                  <w:r w:rsidR="005A1CAE" w:rsidRPr="005A1CAE">
                    <w:rPr>
                      <w:noProof/>
                      <w:sz w:val="18"/>
                    </w:rPr>
                    <w:t>mon</w:t>
                  </w:r>
                  <w:r w:rsidRPr="005A1CAE">
                    <w:rPr>
                      <w:noProof/>
                      <w:sz w:val="18"/>
                    </w:rPr>
                    <w:t>itorowania systemu CBAM oraz gromadzenia</w:t>
                  </w:r>
                  <w:r w:rsidR="005A1CAE" w:rsidRPr="005A1CAE">
                    <w:rPr>
                      <w:noProof/>
                      <w:sz w:val="18"/>
                    </w:rPr>
                    <w:t xml:space="preserve"> i</w:t>
                  </w:r>
                  <w:r w:rsidR="005A1CAE">
                    <w:rPr>
                      <w:noProof/>
                      <w:sz w:val="18"/>
                    </w:rPr>
                    <w:t> </w:t>
                  </w:r>
                  <w:r w:rsidR="005A1CAE" w:rsidRPr="005A1CAE">
                    <w:rPr>
                      <w:noProof/>
                      <w:sz w:val="18"/>
                    </w:rPr>
                    <w:t>ana</w:t>
                  </w:r>
                  <w:r w:rsidRPr="005A1CAE">
                    <w:rPr>
                      <w:noProof/>
                      <w:sz w:val="18"/>
                    </w:rPr>
                    <w:t>lizowania kluczowych wskaźników jego efektywności</w:t>
                  </w:r>
                  <w:r w:rsidR="005A1CAE" w:rsidRPr="005A1CAE">
                    <w:rPr>
                      <w:noProof/>
                      <w:sz w:val="18"/>
                    </w:rPr>
                    <w:t xml:space="preserve"> i</w:t>
                  </w:r>
                  <w:r w:rsidR="005A1CAE">
                    <w:rPr>
                      <w:noProof/>
                      <w:sz w:val="18"/>
                    </w:rPr>
                    <w:t> </w:t>
                  </w:r>
                  <w:r w:rsidR="005A1CAE" w:rsidRPr="005A1CAE">
                    <w:rPr>
                      <w:noProof/>
                      <w:sz w:val="18"/>
                    </w:rPr>
                    <w:t>odp</w:t>
                  </w:r>
                  <w:r w:rsidRPr="005A1CAE">
                    <w:rPr>
                      <w:noProof/>
                      <w:sz w:val="18"/>
                    </w:rPr>
                    <w:t>owiednich wskaźników biznesowych.</w:t>
                  </w:r>
                </w:p>
                <w:p w14:paraId="28D2FF87" w14:textId="77777777" w:rsidR="00C56942" w:rsidRPr="005A1CAE" w:rsidRDefault="00C56942" w:rsidP="00C56942">
                  <w:pPr>
                    <w:spacing w:after="0"/>
                    <w:jc w:val="left"/>
                    <w:rPr>
                      <w:noProof/>
                    </w:rPr>
                  </w:pPr>
                  <w:r w:rsidRPr="005A1CAE">
                    <w:rPr>
                      <w:noProof/>
                      <w:sz w:val="18"/>
                    </w:rPr>
                    <w:t>Wykorzystywane do przekazywania informacji biznesowych odpowiednim użytkownikom systemu CBAM; obejmuje to możliwość odpowiadania na powiadomienia, jeżeli jest to konieczne/wymagane.</w:t>
                  </w:r>
                </w:p>
                <w:p w14:paraId="41A19F02" w14:textId="4A19018D" w:rsidR="00C56942" w:rsidRPr="005A1CAE" w:rsidRDefault="00C56942" w:rsidP="00C56942">
                  <w:pPr>
                    <w:spacing w:after="0"/>
                    <w:jc w:val="left"/>
                    <w:rPr>
                      <w:noProof/>
                    </w:rPr>
                  </w:pPr>
                  <w:r w:rsidRPr="005A1CAE">
                    <w:rPr>
                      <w:noProof/>
                      <w:sz w:val="18"/>
                    </w:rPr>
                    <w:t>Wykorzystywane do przechowywania</w:t>
                  </w:r>
                  <w:r w:rsidR="005A1CAE" w:rsidRPr="005A1CAE">
                    <w:rPr>
                      <w:noProof/>
                      <w:sz w:val="18"/>
                    </w:rPr>
                    <w:t xml:space="preserve"> i</w:t>
                  </w:r>
                  <w:r w:rsidR="005A1CAE">
                    <w:rPr>
                      <w:noProof/>
                      <w:sz w:val="18"/>
                    </w:rPr>
                    <w:t> </w:t>
                  </w:r>
                  <w:r w:rsidR="005A1CAE" w:rsidRPr="005A1CAE">
                    <w:rPr>
                      <w:noProof/>
                      <w:sz w:val="18"/>
                    </w:rPr>
                    <w:t>wys</w:t>
                  </w:r>
                  <w:r w:rsidRPr="005A1CAE">
                    <w:rPr>
                      <w:noProof/>
                      <w:sz w:val="18"/>
                    </w:rPr>
                    <w:t>zukiwania dokumentów mających wpływ na wiele modułów systemu CBAM oraz zarządzania tymi dokumentami.</w:t>
                  </w:r>
                </w:p>
              </w:tc>
            </w:tr>
            <w:tr w:rsidR="00C56942" w:rsidRPr="005A1CAE" w14:paraId="4A60CE2F" w14:textId="77777777">
              <w:trPr>
                <w:trHeight w:val="300"/>
                <w:jc w:val="center"/>
              </w:trPr>
              <w:tc>
                <w:tcPr>
                  <w:tcW w:w="2743"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5ADC739E" w14:textId="77777777" w:rsidR="00C56942" w:rsidRPr="005A1CAE" w:rsidRDefault="00C56942" w:rsidP="00C56942">
                  <w:pPr>
                    <w:spacing w:after="0"/>
                    <w:jc w:val="left"/>
                    <w:rPr>
                      <w:noProof/>
                    </w:rPr>
                  </w:pPr>
                  <w:r w:rsidRPr="005A1CAE">
                    <w:rPr>
                      <w:b/>
                      <w:noProof/>
                      <w:sz w:val="18"/>
                    </w:rPr>
                    <w:t>Portal wymiany informacji dotyczących ryzyka CBAM.</w:t>
                  </w:r>
                </w:p>
              </w:tc>
              <w:tc>
                <w:tcPr>
                  <w:tcW w:w="5957"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564C5FC5" w14:textId="5977C1D6" w:rsidR="00C56942" w:rsidRPr="005A1CAE" w:rsidRDefault="00C56942" w:rsidP="00C56942">
                  <w:pPr>
                    <w:spacing w:after="0"/>
                    <w:jc w:val="left"/>
                    <w:rPr>
                      <w:noProof/>
                    </w:rPr>
                  </w:pPr>
                  <w:r w:rsidRPr="005A1CAE">
                    <w:rPr>
                      <w:noProof/>
                      <w:sz w:val="18"/>
                    </w:rPr>
                    <w:t>Pomost między polityką CBAM</w:t>
                  </w:r>
                  <w:r w:rsidR="005A1CAE" w:rsidRPr="005A1CAE">
                    <w:rPr>
                      <w:noProof/>
                      <w:sz w:val="18"/>
                    </w:rPr>
                    <w:t xml:space="preserve"> a</w:t>
                  </w:r>
                  <w:r w:rsidR="005A1CAE">
                    <w:rPr>
                      <w:noProof/>
                      <w:sz w:val="18"/>
                    </w:rPr>
                    <w:t> </w:t>
                  </w:r>
                  <w:r w:rsidR="005A1CAE" w:rsidRPr="005A1CAE">
                    <w:rPr>
                      <w:noProof/>
                      <w:sz w:val="18"/>
                    </w:rPr>
                    <w:t>pol</w:t>
                  </w:r>
                  <w:r w:rsidRPr="005A1CAE">
                    <w:rPr>
                      <w:noProof/>
                      <w:sz w:val="18"/>
                    </w:rPr>
                    <w:t>ityką celną, umożliwiający dzielenie się ryzykiem związanym</w:t>
                  </w:r>
                  <w:r w:rsidR="005A1CAE" w:rsidRPr="005A1CAE">
                    <w:rPr>
                      <w:noProof/>
                      <w:sz w:val="18"/>
                    </w:rPr>
                    <w:t xml:space="preserve"> z</w:t>
                  </w:r>
                  <w:r w:rsidR="005A1CAE">
                    <w:rPr>
                      <w:noProof/>
                      <w:sz w:val="18"/>
                    </w:rPr>
                    <w:t> </w:t>
                  </w:r>
                  <w:r w:rsidR="005A1CAE" w:rsidRPr="005A1CAE">
                    <w:rPr>
                      <w:noProof/>
                      <w:sz w:val="18"/>
                    </w:rPr>
                    <w:t>obc</w:t>
                  </w:r>
                  <w:r w:rsidRPr="005A1CAE">
                    <w:rPr>
                      <w:noProof/>
                      <w:sz w:val="18"/>
                    </w:rPr>
                    <w:t>hodzeniem CBAM</w:t>
                  </w:r>
                  <w:r w:rsidR="005A1CAE" w:rsidRPr="005A1CAE">
                    <w:rPr>
                      <w:noProof/>
                      <w:sz w:val="18"/>
                    </w:rPr>
                    <w:t xml:space="preserve"> z</w:t>
                  </w:r>
                  <w:r w:rsidR="005A1CAE">
                    <w:rPr>
                      <w:noProof/>
                      <w:sz w:val="18"/>
                    </w:rPr>
                    <w:t> </w:t>
                  </w:r>
                  <w:r w:rsidR="005A1CAE" w:rsidRPr="005A1CAE">
                    <w:rPr>
                      <w:noProof/>
                      <w:sz w:val="18"/>
                    </w:rPr>
                    <w:t>org</w:t>
                  </w:r>
                  <w:r w:rsidRPr="005A1CAE">
                    <w:rPr>
                      <w:noProof/>
                      <w:sz w:val="18"/>
                    </w:rPr>
                    <w:t>anami celnymi. Portal ten, będący częścią rejestru CBAM, będzie służyć do wymiany informacji</w:t>
                  </w:r>
                  <w:r w:rsidR="005A1CAE" w:rsidRPr="005A1CAE">
                    <w:rPr>
                      <w:noProof/>
                      <w:sz w:val="18"/>
                    </w:rPr>
                    <w:t xml:space="preserve"> o</w:t>
                  </w:r>
                  <w:r w:rsidR="005A1CAE">
                    <w:rPr>
                      <w:noProof/>
                      <w:sz w:val="18"/>
                    </w:rPr>
                    <w:t> </w:t>
                  </w:r>
                  <w:r w:rsidR="005A1CAE" w:rsidRPr="005A1CAE">
                    <w:rPr>
                      <w:noProof/>
                      <w:sz w:val="18"/>
                    </w:rPr>
                    <w:t>ryz</w:t>
                  </w:r>
                  <w:r w:rsidRPr="005A1CAE">
                    <w:rPr>
                      <w:noProof/>
                      <w:sz w:val="18"/>
                    </w:rPr>
                    <w:t>yku</w:t>
                  </w:r>
                  <w:r w:rsidR="005A1CAE" w:rsidRPr="005A1CAE">
                    <w:rPr>
                      <w:noProof/>
                      <w:sz w:val="18"/>
                    </w:rPr>
                    <w:t xml:space="preserve"> z</w:t>
                  </w:r>
                  <w:r w:rsidR="005A1CAE">
                    <w:rPr>
                      <w:noProof/>
                      <w:sz w:val="18"/>
                    </w:rPr>
                    <w:t> </w:t>
                  </w:r>
                  <w:r w:rsidR="005A1CAE" w:rsidRPr="005A1CAE">
                    <w:rPr>
                      <w:noProof/>
                      <w:sz w:val="18"/>
                    </w:rPr>
                    <w:t>rej</w:t>
                  </w:r>
                  <w:r w:rsidRPr="005A1CAE">
                    <w:rPr>
                      <w:noProof/>
                      <w:sz w:val="18"/>
                    </w:rPr>
                    <w:t>estru CBAM</w:t>
                  </w:r>
                  <w:r w:rsidR="005A1CAE" w:rsidRPr="005A1CAE">
                    <w:rPr>
                      <w:noProof/>
                      <w:sz w:val="18"/>
                    </w:rPr>
                    <w:t xml:space="preserve"> z</w:t>
                  </w:r>
                  <w:r w:rsidR="005A1CAE">
                    <w:rPr>
                      <w:noProof/>
                      <w:sz w:val="18"/>
                    </w:rPr>
                    <w:t> </w:t>
                  </w:r>
                  <w:r w:rsidR="005A1CAE" w:rsidRPr="005A1CAE">
                    <w:rPr>
                      <w:noProof/>
                      <w:sz w:val="18"/>
                    </w:rPr>
                    <w:t>sys</w:t>
                  </w:r>
                  <w:r w:rsidRPr="005A1CAE">
                    <w:rPr>
                      <w:noProof/>
                      <w:sz w:val="18"/>
                    </w:rPr>
                    <w:t>temem zarządzania ryzykiem celnym 2 za pośrednictwem interfejsu system–system. .</w:t>
                  </w:r>
                </w:p>
                <w:p w14:paraId="4B02ED92" w14:textId="45F47805" w:rsidR="00C56942" w:rsidRPr="005A1CAE" w:rsidRDefault="00C56942" w:rsidP="00C56942">
                  <w:pPr>
                    <w:spacing w:after="0"/>
                    <w:jc w:val="left"/>
                    <w:rPr>
                      <w:noProof/>
                    </w:rPr>
                  </w:pPr>
                  <w:r w:rsidRPr="005A1CAE">
                    <w:rPr>
                      <w:noProof/>
                      <w:sz w:val="18"/>
                    </w:rPr>
                    <w:t>Wszystkie pozostałe ustrukturyzowane lub nieustrukturyzowane informacje/dane pozyskane lub pobrane</w:t>
                  </w:r>
                  <w:r w:rsidR="005A1CAE" w:rsidRPr="005A1CAE">
                    <w:rPr>
                      <w:noProof/>
                      <w:sz w:val="18"/>
                    </w:rPr>
                    <w:t xml:space="preserve"> z</w:t>
                  </w:r>
                  <w:r w:rsidR="005A1CAE">
                    <w:rPr>
                      <w:noProof/>
                      <w:sz w:val="18"/>
                    </w:rPr>
                    <w:t> </w:t>
                  </w:r>
                  <w:r w:rsidR="005A1CAE" w:rsidRPr="005A1CAE">
                    <w:rPr>
                      <w:noProof/>
                      <w:sz w:val="18"/>
                    </w:rPr>
                    <w:t>sys</w:t>
                  </w:r>
                  <w:r w:rsidRPr="005A1CAE">
                    <w:rPr>
                      <w:noProof/>
                      <w:sz w:val="18"/>
                    </w:rPr>
                    <w:t>temu CBAM</w:t>
                  </w:r>
                  <w:r w:rsidR="005A1CAE" w:rsidRPr="005A1CAE">
                    <w:rPr>
                      <w:noProof/>
                      <w:sz w:val="18"/>
                    </w:rPr>
                    <w:t xml:space="preserve"> i</w:t>
                  </w:r>
                  <w:r w:rsidR="005A1CAE">
                    <w:rPr>
                      <w:noProof/>
                      <w:sz w:val="18"/>
                    </w:rPr>
                    <w:t> </w:t>
                  </w:r>
                  <w:r w:rsidR="005A1CAE" w:rsidRPr="005A1CAE">
                    <w:rPr>
                      <w:noProof/>
                      <w:sz w:val="18"/>
                    </w:rPr>
                    <w:t>prz</w:t>
                  </w:r>
                  <w:r w:rsidRPr="005A1CAE">
                    <w:rPr>
                      <w:noProof/>
                      <w:sz w:val="18"/>
                    </w:rPr>
                    <w:t>echowywane lub przetwarzane</w:t>
                  </w:r>
                  <w:r w:rsidR="005A1CAE" w:rsidRPr="005A1CAE">
                    <w:rPr>
                      <w:noProof/>
                      <w:sz w:val="18"/>
                    </w:rPr>
                    <w:t xml:space="preserve"> w</w:t>
                  </w:r>
                  <w:r w:rsidR="005A1CAE">
                    <w:rPr>
                      <w:noProof/>
                      <w:sz w:val="18"/>
                    </w:rPr>
                    <w:t> </w:t>
                  </w:r>
                  <w:r w:rsidR="005A1CAE" w:rsidRPr="005A1CAE">
                    <w:rPr>
                      <w:noProof/>
                      <w:sz w:val="18"/>
                    </w:rPr>
                    <w:t>mie</w:t>
                  </w:r>
                  <w:r w:rsidRPr="005A1CAE">
                    <w:rPr>
                      <w:noProof/>
                      <w:sz w:val="18"/>
                    </w:rPr>
                    <w:t>jscach przechowywania i na nośnikach poza systemem CBAM.</w:t>
                  </w:r>
                </w:p>
              </w:tc>
            </w:tr>
            <w:tr w:rsidR="00C56942" w:rsidRPr="005A1CAE" w14:paraId="236457A9" w14:textId="77777777">
              <w:trPr>
                <w:trHeight w:val="300"/>
                <w:jc w:val="center"/>
              </w:trPr>
              <w:tc>
                <w:tcPr>
                  <w:tcW w:w="2743"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7ED2BA3C" w14:textId="77777777" w:rsidR="00C56942" w:rsidRPr="005A1CAE" w:rsidRDefault="00C56942" w:rsidP="00C56942">
                  <w:pPr>
                    <w:spacing w:after="0"/>
                    <w:jc w:val="left"/>
                    <w:rPr>
                      <w:noProof/>
                    </w:rPr>
                  </w:pPr>
                  <w:r w:rsidRPr="005A1CAE">
                    <w:rPr>
                      <w:b/>
                      <w:noProof/>
                      <w:sz w:val="18"/>
                    </w:rPr>
                    <w:t>Dane dotyczące zarządzania dostępem użytkowników CBAM</w:t>
                  </w:r>
                </w:p>
              </w:tc>
              <w:tc>
                <w:tcPr>
                  <w:tcW w:w="5957"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753F95D7" w14:textId="3611D9BF" w:rsidR="00C56942" w:rsidRPr="005A1CAE" w:rsidRDefault="00C56942" w:rsidP="00C56942">
                  <w:pPr>
                    <w:spacing w:after="0"/>
                    <w:jc w:val="left"/>
                    <w:rPr>
                      <w:noProof/>
                    </w:rPr>
                  </w:pPr>
                  <w:r w:rsidRPr="005A1CAE">
                    <w:rPr>
                      <w:noProof/>
                      <w:sz w:val="18"/>
                    </w:rPr>
                    <w:t>Dostęp użytkowników (np. zgłaszających, organów celnych państw członkowskich, organów Komisji itp.) do systemu CBAM, dane dotyczące ich logowania</w:t>
                  </w:r>
                  <w:r w:rsidR="005A1CAE" w:rsidRPr="005A1CAE">
                    <w:rPr>
                      <w:noProof/>
                      <w:sz w:val="18"/>
                    </w:rPr>
                    <w:t xml:space="preserve"> i</w:t>
                  </w:r>
                  <w:r w:rsidR="005A1CAE">
                    <w:rPr>
                      <w:noProof/>
                      <w:sz w:val="18"/>
                    </w:rPr>
                    <w:t> </w:t>
                  </w:r>
                  <w:r w:rsidR="005A1CAE" w:rsidRPr="005A1CAE">
                    <w:rPr>
                      <w:noProof/>
                      <w:sz w:val="18"/>
                    </w:rPr>
                    <w:t>zar</w:t>
                  </w:r>
                  <w:r w:rsidRPr="005A1CAE">
                    <w:rPr>
                      <w:noProof/>
                      <w:sz w:val="18"/>
                    </w:rPr>
                    <w:t>ządzania ich dostępem d systemu CBAM.</w:t>
                  </w:r>
                </w:p>
              </w:tc>
            </w:tr>
            <w:tr w:rsidR="00C56942" w:rsidRPr="005A1CAE" w14:paraId="62BD3792" w14:textId="77777777">
              <w:trPr>
                <w:trHeight w:val="300"/>
                <w:jc w:val="center"/>
              </w:trPr>
              <w:tc>
                <w:tcPr>
                  <w:tcW w:w="2743"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5B83C04A" w14:textId="41092920" w:rsidR="00C56942" w:rsidRPr="005A1CAE" w:rsidRDefault="00C56942" w:rsidP="00C56942">
                  <w:pPr>
                    <w:spacing w:after="0"/>
                    <w:jc w:val="left"/>
                    <w:rPr>
                      <w:noProof/>
                    </w:rPr>
                  </w:pPr>
                  <w:r w:rsidRPr="005A1CAE">
                    <w:rPr>
                      <w:b/>
                      <w:noProof/>
                      <w:sz w:val="18"/>
                    </w:rPr>
                    <w:t>Dane operatorów</w:t>
                  </w:r>
                  <w:r w:rsidR="005A1CAE" w:rsidRPr="005A1CAE">
                    <w:rPr>
                      <w:b/>
                      <w:noProof/>
                      <w:sz w:val="18"/>
                    </w:rPr>
                    <w:t xml:space="preserve"> i</w:t>
                  </w:r>
                  <w:r w:rsidR="005A1CAE">
                    <w:rPr>
                      <w:b/>
                      <w:noProof/>
                      <w:sz w:val="18"/>
                    </w:rPr>
                    <w:t> </w:t>
                  </w:r>
                  <w:r w:rsidR="005A1CAE" w:rsidRPr="005A1CAE">
                    <w:rPr>
                      <w:b/>
                      <w:noProof/>
                      <w:sz w:val="18"/>
                    </w:rPr>
                    <w:t>ins</w:t>
                  </w:r>
                  <w:r w:rsidRPr="005A1CAE">
                    <w:rPr>
                      <w:b/>
                      <w:noProof/>
                      <w:sz w:val="18"/>
                    </w:rPr>
                    <w:t>talacji</w:t>
                  </w:r>
                  <w:r w:rsidR="005A1CAE" w:rsidRPr="005A1CAE">
                    <w:rPr>
                      <w:b/>
                      <w:noProof/>
                      <w:sz w:val="18"/>
                    </w:rPr>
                    <w:t xml:space="preserve"> z</w:t>
                  </w:r>
                  <w:r w:rsidR="005A1CAE">
                    <w:rPr>
                      <w:b/>
                      <w:noProof/>
                      <w:sz w:val="18"/>
                    </w:rPr>
                    <w:t> </w:t>
                  </w:r>
                  <w:r w:rsidR="005A1CAE" w:rsidRPr="005A1CAE">
                    <w:rPr>
                      <w:b/>
                      <w:noProof/>
                      <w:sz w:val="18"/>
                    </w:rPr>
                    <w:t>pań</w:t>
                  </w:r>
                  <w:r w:rsidRPr="005A1CAE">
                    <w:rPr>
                      <w:b/>
                      <w:noProof/>
                      <w:sz w:val="18"/>
                    </w:rPr>
                    <w:t>stw trzecich</w:t>
                  </w:r>
                </w:p>
              </w:tc>
              <w:tc>
                <w:tcPr>
                  <w:tcW w:w="5957"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6874C52D" w14:textId="7E73A6A9" w:rsidR="00C56942" w:rsidRPr="005A1CAE" w:rsidRDefault="00C56942" w:rsidP="00C56942">
                  <w:pPr>
                    <w:spacing w:after="0"/>
                    <w:jc w:val="left"/>
                    <w:rPr>
                      <w:noProof/>
                    </w:rPr>
                  </w:pPr>
                  <w:r w:rsidRPr="005A1CAE">
                    <w:rPr>
                      <w:noProof/>
                      <w:sz w:val="18"/>
                    </w:rPr>
                    <w:t>Operatorzy produkujących towary CBAM instalacji</w:t>
                  </w:r>
                  <w:r w:rsidR="005A1CAE" w:rsidRPr="005A1CAE">
                    <w:rPr>
                      <w:noProof/>
                      <w:sz w:val="18"/>
                    </w:rPr>
                    <w:t xml:space="preserve"> w</w:t>
                  </w:r>
                  <w:r w:rsidR="005A1CAE">
                    <w:rPr>
                      <w:noProof/>
                      <w:sz w:val="18"/>
                    </w:rPr>
                    <w:t> </w:t>
                  </w:r>
                  <w:r w:rsidR="005A1CAE" w:rsidRPr="005A1CAE">
                    <w:rPr>
                      <w:noProof/>
                      <w:sz w:val="18"/>
                    </w:rPr>
                    <w:t>pań</w:t>
                  </w:r>
                  <w:r w:rsidRPr="005A1CAE">
                    <w:rPr>
                      <w:noProof/>
                      <w:sz w:val="18"/>
                    </w:rPr>
                    <w:t>stwach trzecich mogą zarejestrować się jako operatorzy CBAM lub wyrejestrować się (np.</w:t>
                  </w:r>
                  <w:r w:rsidR="005A1CAE" w:rsidRPr="005A1CAE">
                    <w:rPr>
                      <w:noProof/>
                      <w:sz w:val="18"/>
                    </w:rPr>
                    <w:t xml:space="preserve"> w</w:t>
                  </w:r>
                  <w:r w:rsidR="005A1CAE">
                    <w:rPr>
                      <w:noProof/>
                      <w:sz w:val="18"/>
                    </w:rPr>
                    <w:t> </w:t>
                  </w:r>
                  <w:r w:rsidR="005A1CAE" w:rsidRPr="005A1CAE">
                    <w:rPr>
                      <w:noProof/>
                      <w:sz w:val="18"/>
                    </w:rPr>
                    <w:t>prz</w:t>
                  </w:r>
                  <w:r w:rsidRPr="005A1CAE">
                    <w:rPr>
                      <w:noProof/>
                      <w:sz w:val="18"/>
                    </w:rPr>
                    <w:t>ypadku zaprzestania działalności) oraz przekazywać istotne informacje dotyczące procesów/metod produkcji, parametrów kwalifikacji, emisji, sprawozdań</w:t>
                  </w:r>
                  <w:r w:rsidR="005A1CAE" w:rsidRPr="005A1CAE">
                    <w:rPr>
                      <w:noProof/>
                      <w:sz w:val="18"/>
                    </w:rPr>
                    <w:t xml:space="preserve"> z</w:t>
                  </w:r>
                  <w:r w:rsidR="005A1CAE">
                    <w:rPr>
                      <w:noProof/>
                      <w:sz w:val="18"/>
                    </w:rPr>
                    <w:t> </w:t>
                  </w:r>
                  <w:r w:rsidR="005A1CAE" w:rsidRPr="005A1CAE">
                    <w:rPr>
                      <w:noProof/>
                      <w:sz w:val="18"/>
                    </w:rPr>
                    <w:t>wer</w:t>
                  </w:r>
                  <w:r w:rsidRPr="005A1CAE">
                    <w:rPr>
                      <w:noProof/>
                      <w:sz w:val="18"/>
                    </w:rPr>
                    <w:t>yfikacji itp.</w:t>
                  </w:r>
                  <w:r w:rsidRPr="005A1CAE">
                    <w:rPr>
                      <w:noProof/>
                    </w:rPr>
                    <w:t xml:space="preserve"> </w:t>
                  </w:r>
                  <w:r w:rsidRPr="005A1CAE">
                    <w:rPr>
                      <w:noProof/>
                    </w:rPr>
                    <w:br/>
                    <w:t xml:space="preserve"> </w:t>
                  </w:r>
                  <w:r w:rsidRPr="005A1CAE">
                    <w:rPr>
                      <w:noProof/>
                    </w:rPr>
                    <w:br/>
                  </w:r>
                  <w:r w:rsidRPr="005A1CAE">
                    <w:rPr>
                      <w:noProof/>
                      <w:sz w:val="18"/>
                    </w:rPr>
                    <w:t>Odpowiednie sprawozdanie</w:t>
                  </w:r>
                  <w:r w:rsidR="005A1CAE" w:rsidRPr="005A1CAE">
                    <w:rPr>
                      <w:noProof/>
                      <w:sz w:val="18"/>
                    </w:rPr>
                    <w:t xml:space="preserve"> z</w:t>
                  </w:r>
                  <w:r w:rsidR="005A1CAE">
                    <w:rPr>
                      <w:noProof/>
                      <w:sz w:val="18"/>
                    </w:rPr>
                    <w:t> </w:t>
                  </w:r>
                  <w:r w:rsidR="005A1CAE" w:rsidRPr="005A1CAE">
                    <w:rPr>
                      <w:noProof/>
                      <w:sz w:val="18"/>
                    </w:rPr>
                    <w:t>wer</w:t>
                  </w:r>
                  <w:r w:rsidRPr="005A1CAE">
                    <w:rPr>
                      <w:noProof/>
                      <w:sz w:val="18"/>
                    </w:rPr>
                    <w:t>yfikacji można udostępnić zgłaszającym CBAM – informacje te obejmują poufne dane dotyczące produkcji</w:t>
                  </w:r>
                  <w:r w:rsidR="005A1CAE" w:rsidRPr="005A1CAE">
                    <w:rPr>
                      <w:noProof/>
                      <w:sz w:val="18"/>
                    </w:rPr>
                    <w:t xml:space="preserve"> i</w:t>
                  </w:r>
                  <w:r w:rsidR="005A1CAE">
                    <w:rPr>
                      <w:noProof/>
                      <w:sz w:val="18"/>
                    </w:rPr>
                    <w:t> </w:t>
                  </w:r>
                  <w:r w:rsidR="005A1CAE" w:rsidRPr="005A1CAE">
                    <w:rPr>
                      <w:noProof/>
                      <w:sz w:val="18"/>
                    </w:rPr>
                    <w:t>par</w:t>
                  </w:r>
                  <w:r w:rsidRPr="005A1CAE">
                    <w:rPr>
                      <w:noProof/>
                      <w:sz w:val="18"/>
                    </w:rPr>
                    <w:t>ametrów kwalifikacji, które mogą nie być dostępne dla zgłaszających, lecz wyłącznie dla Komisji</w:t>
                  </w:r>
                  <w:r w:rsidR="005A1CAE" w:rsidRPr="005A1CAE">
                    <w:rPr>
                      <w:noProof/>
                      <w:sz w:val="18"/>
                    </w:rPr>
                    <w:t xml:space="preserve"> i</w:t>
                  </w:r>
                  <w:r w:rsidR="005A1CAE">
                    <w:rPr>
                      <w:noProof/>
                      <w:sz w:val="18"/>
                    </w:rPr>
                    <w:t> </w:t>
                  </w:r>
                  <w:r w:rsidR="005A1CAE" w:rsidRPr="005A1CAE">
                    <w:rPr>
                      <w:noProof/>
                      <w:sz w:val="18"/>
                    </w:rPr>
                    <w:t>wła</w:t>
                  </w:r>
                  <w:r w:rsidRPr="005A1CAE">
                    <w:rPr>
                      <w:noProof/>
                      <w:sz w:val="18"/>
                    </w:rPr>
                    <w:t xml:space="preserve">ściwych organów krajowych. </w:t>
                  </w:r>
                </w:p>
              </w:tc>
            </w:tr>
            <w:tr w:rsidR="00C56942" w:rsidRPr="005A1CAE" w14:paraId="0EF6C5BC" w14:textId="77777777">
              <w:trPr>
                <w:trHeight w:val="300"/>
                <w:jc w:val="center"/>
              </w:trPr>
              <w:tc>
                <w:tcPr>
                  <w:tcW w:w="2743"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1009CF48" w14:textId="77777777" w:rsidR="00C56942" w:rsidRPr="005A1CAE" w:rsidRDefault="00C56942" w:rsidP="00C56942">
                  <w:pPr>
                    <w:spacing w:after="0"/>
                    <w:jc w:val="left"/>
                    <w:rPr>
                      <w:noProof/>
                    </w:rPr>
                  </w:pPr>
                  <w:r w:rsidRPr="005A1CAE">
                    <w:rPr>
                      <w:b/>
                      <w:noProof/>
                      <w:sz w:val="18"/>
                    </w:rPr>
                    <w:t xml:space="preserve">Funkcje zgłaszającego CBAM/importera </w:t>
                  </w:r>
                </w:p>
              </w:tc>
              <w:tc>
                <w:tcPr>
                  <w:tcW w:w="5957"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6361BE91" w14:textId="5128B20F" w:rsidR="00C56942" w:rsidRPr="005A1CAE" w:rsidRDefault="00C56942" w:rsidP="00C56942">
                  <w:pPr>
                    <w:spacing w:after="0"/>
                    <w:jc w:val="left"/>
                    <w:rPr>
                      <w:noProof/>
                    </w:rPr>
                  </w:pPr>
                  <w:r w:rsidRPr="005A1CAE">
                    <w:rPr>
                      <w:noProof/>
                      <w:sz w:val="18"/>
                    </w:rPr>
                    <w:t>Główne funkcje biznesowe wykonywane przez zgłaszającego/przedsiębiorcę</w:t>
                  </w:r>
                  <w:r w:rsidR="005A1CAE" w:rsidRPr="005A1CAE">
                    <w:rPr>
                      <w:noProof/>
                      <w:sz w:val="18"/>
                    </w:rPr>
                    <w:t xml:space="preserve"> w</w:t>
                  </w:r>
                  <w:r w:rsidR="005A1CAE">
                    <w:rPr>
                      <w:noProof/>
                      <w:sz w:val="18"/>
                    </w:rPr>
                    <w:t> </w:t>
                  </w:r>
                  <w:r w:rsidR="005A1CAE" w:rsidRPr="005A1CAE">
                    <w:rPr>
                      <w:noProof/>
                      <w:sz w:val="18"/>
                    </w:rPr>
                    <w:t>opa</w:t>
                  </w:r>
                  <w:r w:rsidRPr="005A1CAE">
                    <w:rPr>
                      <w:noProof/>
                      <w:sz w:val="18"/>
                    </w:rPr>
                    <w:t>rciu</w:t>
                  </w:r>
                  <w:r w:rsidR="005A1CAE" w:rsidRPr="005A1CAE">
                    <w:rPr>
                      <w:noProof/>
                      <w:sz w:val="18"/>
                    </w:rPr>
                    <w:t xml:space="preserve"> o</w:t>
                  </w:r>
                  <w:r w:rsidR="005A1CAE">
                    <w:rPr>
                      <w:noProof/>
                      <w:sz w:val="18"/>
                    </w:rPr>
                    <w:t> </w:t>
                  </w:r>
                  <w:r w:rsidR="005A1CAE" w:rsidRPr="005A1CAE">
                    <w:rPr>
                      <w:noProof/>
                      <w:sz w:val="18"/>
                    </w:rPr>
                    <w:t>pro</w:t>
                  </w:r>
                  <w:r w:rsidRPr="005A1CAE">
                    <w:rPr>
                      <w:noProof/>
                      <w:sz w:val="18"/>
                    </w:rPr>
                    <w:t>cesy realizowane/rozpoczęte</w:t>
                  </w:r>
                  <w:r w:rsidR="005A1CAE" w:rsidRPr="005A1CAE">
                    <w:rPr>
                      <w:noProof/>
                      <w:sz w:val="18"/>
                    </w:rPr>
                    <w:t xml:space="preserve"> w</w:t>
                  </w:r>
                  <w:r w:rsidR="005A1CAE">
                    <w:rPr>
                      <w:noProof/>
                      <w:sz w:val="18"/>
                    </w:rPr>
                    <w:t> </w:t>
                  </w:r>
                  <w:r w:rsidR="005A1CAE" w:rsidRPr="005A1CAE">
                    <w:rPr>
                      <w:noProof/>
                      <w:sz w:val="18"/>
                    </w:rPr>
                    <w:t>por</w:t>
                  </w:r>
                  <w:r w:rsidRPr="005A1CAE">
                    <w:rPr>
                      <w:noProof/>
                      <w:sz w:val="18"/>
                    </w:rPr>
                    <w:t>talu CBAM dla zgłaszającego.</w:t>
                  </w:r>
                </w:p>
                <w:p w14:paraId="37D8B078" w14:textId="77777777" w:rsidR="00C56942" w:rsidRPr="005A1CAE" w:rsidRDefault="00C56942" w:rsidP="00C56942">
                  <w:pPr>
                    <w:spacing w:after="0"/>
                    <w:jc w:val="left"/>
                    <w:rPr>
                      <w:noProof/>
                    </w:rPr>
                  </w:pPr>
                  <w:r w:rsidRPr="005A1CAE">
                    <w:rPr>
                      <w:noProof/>
                      <w:sz w:val="18"/>
                    </w:rPr>
                    <w:lastRenderedPageBreak/>
                    <w:t xml:space="preserve"> </w:t>
                  </w:r>
                </w:p>
              </w:tc>
            </w:tr>
            <w:tr w:rsidR="00C56942" w:rsidRPr="005A1CAE" w14:paraId="66EC0F94" w14:textId="77777777">
              <w:trPr>
                <w:trHeight w:val="825"/>
                <w:jc w:val="center"/>
              </w:trPr>
              <w:tc>
                <w:tcPr>
                  <w:tcW w:w="2743"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2C0C847B" w14:textId="77777777" w:rsidR="00C56942" w:rsidRPr="005A1CAE" w:rsidRDefault="00C56942" w:rsidP="00C56942">
                  <w:pPr>
                    <w:spacing w:after="0"/>
                    <w:jc w:val="left"/>
                    <w:rPr>
                      <w:noProof/>
                    </w:rPr>
                  </w:pPr>
                  <w:r w:rsidRPr="005A1CAE">
                    <w:rPr>
                      <w:b/>
                      <w:noProof/>
                      <w:sz w:val="18"/>
                    </w:rPr>
                    <w:lastRenderedPageBreak/>
                    <w:t xml:space="preserve">Funkcje organów Komisji zajmujących się CBAM </w:t>
                  </w:r>
                </w:p>
              </w:tc>
              <w:tc>
                <w:tcPr>
                  <w:tcW w:w="5957"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77432B96" w14:textId="1B1E2970" w:rsidR="00C56942" w:rsidRPr="005A1CAE" w:rsidRDefault="00C56942" w:rsidP="00C56942">
                  <w:pPr>
                    <w:spacing w:after="0"/>
                    <w:jc w:val="left"/>
                    <w:rPr>
                      <w:noProof/>
                    </w:rPr>
                  </w:pPr>
                  <w:r w:rsidRPr="005A1CAE">
                    <w:rPr>
                      <w:noProof/>
                      <w:sz w:val="18"/>
                    </w:rPr>
                    <w:t>Główne funkcje biznesowe pełnione przez Komisję Europejską</w:t>
                  </w:r>
                  <w:r w:rsidR="005A1CAE" w:rsidRPr="005A1CAE">
                    <w:rPr>
                      <w:noProof/>
                      <w:sz w:val="18"/>
                    </w:rPr>
                    <w:t xml:space="preserve"> w</w:t>
                  </w:r>
                  <w:r w:rsidR="005A1CAE">
                    <w:rPr>
                      <w:noProof/>
                      <w:sz w:val="18"/>
                    </w:rPr>
                    <w:t> </w:t>
                  </w:r>
                  <w:r w:rsidR="005A1CAE" w:rsidRPr="005A1CAE">
                    <w:rPr>
                      <w:noProof/>
                      <w:sz w:val="18"/>
                    </w:rPr>
                    <w:t>opa</w:t>
                  </w:r>
                  <w:r w:rsidRPr="005A1CAE">
                    <w:rPr>
                      <w:noProof/>
                      <w:sz w:val="18"/>
                    </w:rPr>
                    <w:t>rciu</w:t>
                  </w:r>
                  <w:r w:rsidR="005A1CAE" w:rsidRPr="005A1CAE">
                    <w:rPr>
                      <w:noProof/>
                      <w:sz w:val="18"/>
                    </w:rPr>
                    <w:t xml:space="preserve"> o</w:t>
                  </w:r>
                  <w:r w:rsidR="005A1CAE">
                    <w:rPr>
                      <w:noProof/>
                      <w:sz w:val="18"/>
                    </w:rPr>
                    <w:t> </w:t>
                  </w:r>
                  <w:r w:rsidR="005A1CAE" w:rsidRPr="005A1CAE">
                    <w:rPr>
                      <w:noProof/>
                      <w:sz w:val="18"/>
                    </w:rPr>
                    <w:t>pro</w:t>
                  </w:r>
                  <w:r w:rsidRPr="005A1CAE">
                    <w:rPr>
                      <w:noProof/>
                      <w:sz w:val="18"/>
                    </w:rPr>
                    <w:t>cesy realizowane/rozpoczęte</w:t>
                  </w:r>
                  <w:r w:rsidR="005A1CAE" w:rsidRPr="005A1CAE">
                    <w:rPr>
                      <w:noProof/>
                      <w:sz w:val="18"/>
                    </w:rPr>
                    <w:t xml:space="preserve"> w</w:t>
                  </w:r>
                  <w:r w:rsidR="005A1CAE">
                    <w:rPr>
                      <w:noProof/>
                      <w:sz w:val="18"/>
                    </w:rPr>
                    <w:t> </w:t>
                  </w:r>
                  <w:r w:rsidR="005A1CAE" w:rsidRPr="005A1CAE">
                    <w:rPr>
                      <w:noProof/>
                      <w:sz w:val="18"/>
                    </w:rPr>
                    <w:t>por</w:t>
                  </w:r>
                  <w:r w:rsidRPr="005A1CAE">
                    <w:rPr>
                      <w:noProof/>
                      <w:sz w:val="18"/>
                    </w:rPr>
                    <w:t>talu CBAM dla Komisji.</w:t>
                  </w:r>
                </w:p>
              </w:tc>
            </w:tr>
            <w:tr w:rsidR="00C56942" w:rsidRPr="005A1CAE" w14:paraId="155480B5" w14:textId="77777777">
              <w:trPr>
                <w:trHeight w:val="765"/>
                <w:jc w:val="center"/>
              </w:trPr>
              <w:tc>
                <w:tcPr>
                  <w:tcW w:w="2743"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091E84CC" w14:textId="023F94D3" w:rsidR="00C56942" w:rsidRPr="005A1CAE" w:rsidRDefault="00C56942" w:rsidP="00C56942">
                  <w:pPr>
                    <w:spacing w:after="0"/>
                    <w:jc w:val="left"/>
                    <w:rPr>
                      <w:noProof/>
                    </w:rPr>
                  </w:pPr>
                  <w:r w:rsidRPr="005A1CAE">
                    <w:rPr>
                      <w:b/>
                      <w:noProof/>
                      <w:sz w:val="18"/>
                    </w:rPr>
                    <w:t>Funkcje dotyczące monitorowania nieprzestrzegania przepisów CBAM, dochodzeń</w:t>
                  </w:r>
                  <w:r w:rsidR="005A1CAE" w:rsidRPr="005A1CAE">
                    <w:rPr>
                      <w:b/>
                      <w:noProof/>
                      <w:sz w:val="18"/>
                    </w:rPr>
                    <w:t xml:space="preserve"> w</w:t>
                  </w:r>
                  <w:r w:rsidR="005A1CAE">
                    <w:rPr>
                      <w:b/>
                      <w:noProof/>
                      <w:sz w:val="18"/>
                    </w:rPr>
                    <w:t> </w:t>
                  </w:r>
                  <w:r w:rsidR="005A1CAE" w:rsidRPr="005A1CAE">
                    <w:rPr>
                      <w:b/>
                      <w:noProof/>
                      <w:sz w:val="18"/>
                    </w:rPr>
                    <w:t>spr</w:t>
                  </w:r>
                  <w:r w:rsidRPr="005A1CAE">
                    <w:rPr>
                      <w:b/>
                      <w:noProof/>
                      <w:sz w:val="18"/>
                    </w:rPr>
                    <w:t>awie obchodzenia przepisów</w:t>
                  </w:r>
                  <w:r w:rsidR="005A1CAE" w:rsidRPr="005A1CAE">
                    <w:rPr>
                      <w:b/>
                      <w:noProof/>
                      <w:sz w:val="18"/>
                    </w:rPr>
                    <w:t xml:space="preserve"> i</w:t>
                  </w:r>
                  <w:r w:rsidR="005A1CAE">
                    <w:rPr>
                      <w:b/>
                      <w:noProof/>
                      <w:sz w:val="18"/>
                    </w:rPr>
                    <w:t> </w:t>
                  </w:r>
                  <w:r w:rsidR="005A1CAE" w:rsidRPr="005A1CAE">
                    <w:rPr>
                      <w:b/>
                      <w:noProof/>
                      <w:sz w:val="18"/>
                    </w:rPr>
                    <w:t>zar</w:t>
                  </w:r>
                  <w:r w:rsidRPr="005A1CAE">
                    <w:rPr>
                      <w:b/>
                      <w:noProof/>
                      <w:sz w:val="18"/>
                    </w:rPr>
                    <w:t>ządzania ryzykiem</w:t>
                  </w:r>
                </w:p>
              </w:tc>
              <w:tc>
                <w:tcPr>
                  <w:tcW w:w="5957"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72D94C64" w14:textId="57E35BEF" w:rsidR="00C56942" w:rsidRPr="005A1CAE" w:rsidRDefault="00C56942" w:rsidP="00C56942">
                  <w:pPr>
                    <w:spacing w:after="0"/>
                    <w:jc w:val="left"/>
                    <w:rPr>
                      <w:noProof/>
                    </w:rPr>
                  </w:pPr>
                  <w:r w:rsidRPr="005A1CAE">
                    <w:rPr>
                      <w:noProof/>
                      <w:sz w:val="18"/>
                    </w:rPr>
                    <w:t>System informatyczny CBAM wykorzystywany do śledzenia, monitorowania</w:t>
                  </w:r>
                  <w:r w:rsidR="005A1CAE" w:rsidRPr="005A1CAE">
                    <w:rPr>
                      <w:noProof/>
                      <w:sz w:val="18"/>
                    </w:rPr>
                    <w:t xml:space="preserve"> i</w:t>
                  </w:r>
                  <w:r w:rsidR="005A1CAE">
                    <w:rPr>
                      <w:noProof/>
                      <w:sz w:val="18"/>
                    </w:rPr>
                    <w:t> </w:t>
                  </w:r>
                  <w:r w:rsidR="005A1CAE" w:rsidRPr="005A1CAE">
                    <w:rPr>
                      <w:noProof/>
                      <w:sz w:val="18"/>
                    </w:rPr>
                    <w:t>uwi</w:t>
                  </w:r>
                  <w:r w:rsidRPr="005A1CAE">
                    <w:rPr>
                      <w:noProof/>
                      <w:sz w:val="18"/>
                    </w:rPr>
                    <w:t>daczniania potencjalnych lub potwierdzonych przypadków nieprawidłowości</w:t>
                  </w:r>
                  <w:r w:rsidR="005A1CAE" w:rsidRPr="005A1CAE">
                    <w:rPr>
                      <w:noProof/>
                      <w:sz w:val="18"/>
                    </w:rPr>
                    <w:t xml:space="preserve"> i</w:t>
                  </w:r>
                  <w:r w:rsidR="005A1CAE">
                    <w:rPr>
                      <w:noProof/>
                      <w:sz w:val="18"/>
                    </w:rPr>
                    <w:t> </w:t>
                  </w:r>
                  <w:r w:rsidR="005A1CAE" w:rsidRPr="005A1CAE">
                    <w:rPr>
                      <w:noProof/>
                      <w:sz w:val="18"/>
                    </w:rPr>
                    <w:t>nie</w:t>
                  </w:r>
                  <w:r w:rsidRPr="005A1CAE">
                    <w:rPr>
                      <w:noProof/>
                      <w:sz w:val="18"/>
                    </w:rPr>
                    <w:t>zgodności</w:t>
                  </w:r>
                  <w:r w:rsidR="005A1CAE" w:rsidRPr="005A1CAE">
                    <w:rPr>
                      <w:noProof/>
                      <w:sz w:val="18"/>
                    </w:rPr>
                    <w:t xml:space="preserve"> w</w:t>
                  </w:r>
                  <w:r w:rsidR="005A1CAE">
                    <w:rPr>
                      <w:noProof/>
                      <w:sz w:val="18"/>
                    </w:rPr>
                    <w:t> </w:t>
                  </w:r>
                  <w:r w:rsidR="005A1CAE" w:rsidRPr="005A1CAE">
                    <w:rPr>
                      <w:noProof/>
                      <w:sz w:val="18"/>
                    </w:rPr>
                    <w:t>sys</w:t>
                  </w:r>
                  <w:r w:rsidRPr="005A1CAE">
                    <w:rPr>
                      <w:noProof/>
                      <w:sz w:val="18"/>
                    </w:rPr>
                    <w:t>temie CBAM.</w:t>
                  </w:r>
                </w:p>
              </w:tc>
            </w:tr>
            <w:tr w:rsidR="00C56942" w:rsidRPr="005A1CAE" w14:paraId="45913FAB" w14:textId="77777777">
              <w:trPr>
                <w:trHeight w:val="60"/>
                <w:jc w:val="center"/>
              </w:trPr>
              <w:tc>
                <w:tcPr>
                  <w:tcW w:w="2743"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65DA5447" w14:textId="77777777" w:rsidR="00C56942" w:rsidRPr="005A1CAE" w:rsidRDefault="00C56942" w:rsidP="00C56942">
                  <w:pPr>
                    <w:spacing w:after="0"/>
                    <w:jc w:val="left"/>
                    <w:rPr>
                      <w:noProof/>
                    </w:rPr>
                  </w:pPr>
                  <w:r w:rsidRPr="005A1CAE">
                    <w:rPr>
                      <w:b/>
                      <w:noProof/>
                      <w:sz w:val="18"/>
                    </w:rPr>
                    <w:t xml:space="preserve">Funkcje właściwych organów krajowych </w:t>
                  </w:r>
                </w:p>
              </w:tc>
              <w:tc>
                <w:tcPr>
                  <w:tcW w:w="5957"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03E00E4D" w14:textId="38B683BE" w:rsidR="00C56942" w:rsidRPr="005A1CAE" w:rsidRDefault="00C56942" w:rsidP="00C56942">
                  <w:pPr>
                    <w:spacing w:after="0"/>
                    <w:jc w:val="left"/>
                    <w:rPr>
                      <w:noProof/>
                    </w:rPr>
                  </w:pPr>
                  <w:r w:rsidRPr="005A1CAE">
                    <w:rPr>
                      <w:noProof/>
                      <w:sz w:val="18"/>
                    </w:rPr>
                    <w:t>Główne funkcje biznesowe pełnione przez właściwe organy krajowe państw członkowskich</w:t>
                  </w:r>
                  <w:r w:rsidR="005A1CAE" w:rsidRPr="005A1CAE">
                    <w:rPr>
                      <w:noProof/>
                      <w:sz w:val="18"/>
                    </w:rPr>
                    <w:t xml:space="preserve"> w</w:t>
                  </w:r>
                  <w:r w:rsidR="005A1CAE">
                    <w:rPr>
                      <w:noProof/>
                      <w:sz w:val="18"/>
                    </w:rPr>
                    <w:t> </w:t>
                  </w:r>
                  <w:r w:rsidR="005A1CAE" w:rsidRPr="005A1CAE">
                    <w:rPr>
                      <w:noProof/>
                      <w:sz w:val="18"/>
                    </w:rPr>
                    <w:t>opa</w:t>
                  </w:r>
                  <w:r w:rsidRPr="005A1CAE">
                    <w:rPr>
                      <w:noProof/>
                      <w:sz w:val="18"/>
                    </w:rPr>
                    <w:t>rciu</w:t>
                  </w:r>
                  <w:r w:rsidR="005A1CAE" w:rsidRPr="005A1CAE">
                    <w:rPr>
                      <w:noProof/>
                      <w:sz w:val="18"/>
                    </w:rPr>
                    <w:t xml:space="preserve"> o</w:t>
                  </w:r>
                  <w:r w:rsidR="005A1CAE">
                    <w:rPr>
                      <w:noProof/>
                      <w:sz w:val="18"/>
                    </w:rPr>
                    <w:t> </w:t>
                  </w:r>
                  <w:r w:rsidR="005A1CAE" w:rsidRPr="005A1CAE">
                    <w:rPr>
                      <w:noProof/>
                      <w:sz w:val="18"/>
                    </w:rPr>
                    <w:t>pro</w:t>
                  </w:r>
                  <w:r w:rsidRPr="005A1CAE">
                    <w:rPr>
                      <w:noProof/>
                      <w:sz w:val="18"/>
                    </w:rPr>
                    <w:t>cesy realizowane/rozpoczęte</w:t>
                  </w:r>
                  <w:r w:rsidR="005A1CAE" w:rsidRPr="005A1CAE">
                    <w:rPr>
                      <w:noProof/>
                      <w:sz w:val="18"/>
                    </w:rPr>
                    <w:t xml:space="preserve"> w</w:t>
                  </w:r>
                  <w:r w:rsidR="005A1CAE">
                    <w:rPr>
                      <w:noProof/>
                      <w:sz w:val="18"/>
                    </w:rPr>
                    <w:t> </w:t>
                  </w:r>
                  <w:r w:rsidR="005A1CAE" w:rsidRPr="005A1CAE">
                    <w:rPr>
                      <w:noProof/>
                      <w:sz w:val="18"/>
                    </w:rPr>
                    <w:t>por</w:t>
                  </w:r>
                  <w:r w:rsidRPr="005A1CAE">
                    <w:rPr>
                      <w:noProof/>
                      <w:sz w:val="18"/>
                    </w:rPr>
                    <w:t>talu CBAM.</w:t>
                  </w:r>
                </w:p>
              </w:tc>
            </w:tr>
            <w:tr w:rsidR="00C56942" w:rsidRPr="005A1CAE" w14:paraId="004BFF65" w14:textId="77777777">
              <w:trPr>
                <w:trHeight w:val="300"/>
                <w:jc w:val="center"/>
              </w:trPr>
              <w:tc>
                <w:tcPr>
                  <w:tcW w:w="2743"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70445697" w14:textId="675827EB" w:rsidR="00C56942" w:rsidRPr="005A1CAE" w:rsidRDefault="00C56942" w:rsidP="00C56942">
                  <w:pPr>
                    <w:spacing w:after="0"/>
                    <w:jc w:val="left"/>
                    <w:rPr>
                      <w:noProof/>
                    </w:rPr>
                  </w:pPr>
                  <w:r w:rsidRPr="005A1CAE">
                    <w:rPr>
                      <w:b/>
                      <w:noProof/>
                      <w:sz w:val="18"/>
                    </w:rPr>
                    <w:t>Funkcje operatorów instalacji</w:t>
                  </w:r>
                  <w:r w:rsidR="005A1CAE" w:rsidRPr="005A1CAE">
                    <w:rPr>
                      <w:b/>
                      <w:noProof/>
                      <w:sz w:val="18"/>
                    </w:rPr>
                    <w:t xml:space="preserve"> w</w:t>
                  </w:r>
                  <w:r w:rsidR="005A1CAE">
                    <w:rPr>
                      <w:b/>
                      <w:noProof/>
                      <w:sz w:val="18"/>
                    </w:rPr>
                    <w:t> </w:t>
                  </w:r>
                  <w:r w:rsidR="005A1CAE" w:rsidRPr="005A1CAE">
                    <w:rPr>
                      <w:b/>
                      <w:noProof/>
                      <w:sz w:val="18"/>
                    </w:rPr>
                    <w:t>pań</w:t>
                  </w:r>
                  <w:r w:rsidRPr="005A1CAE">
                    <w:rPr>
                      <w:b/>
                      <w:noProof/>
                      <w:sz w:val="18"/>
                    </w:rPr>
                    <w:t>stwach trzecich</w:t>
                  </w:r>
                  <w:r w:rsidR="005A1CAE" w:rsidRPr="005A1CAE">
                    <w:rPr>
                      <w:b/>
                      <w:noProof/>
                      <w:sz w:val="18"/>
                    </w:rPr>
                    <w:t xml:space="preserve"> i</w:t>
                  </w:r>
                  <w:r w:rsidR="005A1CAE">
                    <w:rPr>
                      <w:b/>
                      <w:noProof/>
                      <w:sz w:val="18"/>
                    </w:rPr>
                    <w:t> </w:t>
                  </w:r>
                  <w:r w:rsidR="005A1CAE" w:rsidRPr="005A1CAE">
                    <w:rPr>
                      <w:b/>
                      <w:noProof/>
                      <w:sz w:val="18"/>
                    </w:rPr>
                    <w:t>akr</w:t>
                  </w:r>
                  <w:r w:rsidRPr="005A1CAE">
                    <w:rPr>
                      <w:b/>
                      <w:noProof/>
                      <w:sz w:val="18"/>
                    </w:rPr>
                    <w:t>edytowanych weryfikatorów</w:t>
                  </w:r>
                </w:p>
              </w:tc>
              <w:tc>
                <w:tcPr>
                  <w:tcW w:w="5957"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08BAC609" w14:textId="22E97987" w:rsidR="00C56942" w:rsidRPr="005A1CAE" w:rsidRDefault="00C56942" w:rsidP="00C56942">
                  <w:pPr>
                    <w:spacing w:after="0"/>
                    <w:jc w:val="left"/>
                    <w:rPr>
                      <w:noProof/>
                    </w:rPr>
                  </w:pPr>
                  <w:r w:rsidRPr="005A1CAE">
                    <w:rPr>
                      <w:noProof/>
                      <w:sz w:val="18"/>
                    </w:rPr>
                    <w:t>Główne funkcje biznesowe wykonywane przez operatorów instalacji</w:t>
                  </w:r>
                  <w:r w:rsidR="005A1CAE" w:rsidRPr="005A1CAE">
                    <w:rPr>
                      <w:noProof/>
                      <w:sz w:val="18"/>
                    </w:rPr>
                    <w:t xml:space="preserve"> w</w:t>
                  </w:r>
                  <w:r w:rsidR="005A1CAE">
                    <w:rPr>
                      <w:noProof/>
                      <w:sz w:val="18"/>
                    </w:rPr>
                    <w:t> </w:t>
                  </w:r>
                  <w:r w:rsidR="005A1CAE" w:rsidRPr="005A1CAE">
                    <w:rPr>
                      <w:noProof/>
                      <w:sz w:val="18"/>
                    </w:rPr>
                    <w:t>pań</w:t>
                  </w:r>
                  <w:r w:rsidRPr="005A1CAE">
                    <w:rPr>
                      <w:noProof/>
                      <w:sz w:val="18"/>
                    </w:rPr>
                    <w:t>stwach trzecich oraz przez akredytowanych weryfikatorów (do potwierdzenia)</w:t>
                  </w:r>
                  <w:r w:rsidR="005A1CAE" w:rsidRPr="005A1CAE">
                    <w:rPr>
                      <w:noProof/>
                      <w:sz w:val="18"/>
                    </w:rPr>
                    <w:t xml:space="preserve"> w</w:t>
                  </w:r>
                  <w:r w:rsidR="005A1CAE">
                    <w:rPr>
                      <w:noProof/>
                      <w:sz w:val="18"/>
                    </w:rPr>
                    <w:t> </w:t>
                  </w:r>
                  <w:r w:rsidR="005A1CAE" w:rsidRPr="005A1CAE">
                    <w:rPr>
                      <w:noProof/>
                      <w:sz w:val="18"/>
                    </w:rPr>
                    <w:t>opa</w:t>
                  </w:r>
                  <w:r w:rsidRPr="005A1CAE">
                    <w:rPr>
                      <w:noProof/>
                      <w:sz w:val="18"/>
                    </w:rPr>
                    <w:t>rciu</w:t>
                  </w:r>
                  <w:r w:rsidR="005A1CAE" w:rsidRPr="005A1CAE">
                    <w:rPr>
                      <w:noProof/>
                      <w:sz w:val="18"/>
                    </w:rPr>
                    <w:t xml:space="preserve"> o</w:t>
                  </w:r>
                  <w:r w:rsidR="005A1CAE">
                    <w:rPr>
                      <w:noProof/>
                      <w:sz w:val="18"/>
                    </w:rPr>
                    <w:t> </w:t>
                  </w:r>
                  <w:r w:rsidR="005A1CAE" w:rsidRPr="005A1CAE">
                    <w:rPr>
                      <w:noProof/>
                      <w:sz w:val="18"/>
                    </w:rPr>
                    <w:t>pro</w:t>
                  </w:r>
                  <w:r w:rsidRPr="005A1CAE">
                    <w:rPr>
                      <w:noProof/>
                      <w:sz w:val="18"/>
                    </w:rPr>
                    <w:t>cesy realizowane/rozpoczęte</w:t>
                  </w:r>
                  <w:r w:rsidR="005A1CAE" w:rsidRPr="005A1CAE">
                    <w:rPr>
                      <w:noProof/>
                      <w:sz w:val="18"/>
                    </w:rPr>
                    <w:t xml:space="preserve"> w</w:t>
                  </w:r>
                  <w:r w:rsidR="005A1CAE">
                    <w:rPr>
                      <w:noProof/>
                      <w:sz w:val="18"/>
                    </w:rPr>
                    <w:t> </w:t>
                  </w:r>
                  <w:r w:rsidR="005A1CAE" w:rsidRPr="005A1CAE">
                    <w:rPr>
                      <w:noProof/>
                      <w:sz w:val="18"/>
                    </w:rPr>
                    <w:t>por</w:t>
                  </w:r>
                  <w:r w:rsidRPr="005A1CAE">
                    <w:rPr>
                      <w:noProof/>
                      <w:sz w:val="18"/>
                    </w:rPr>
                    <w:t>talu CBAM dla operatorów</w:t>
                  </w:r>
                  <w:r w:rsidR="005A1CAE" w:rsidRPr="005A1CAE">
                    <w:rPr>
                      <w:noProof/>
                      <w:sz w:val="18"/>
                    </w:rPr>
                    <w:t xml:space="preserve"> i</w:t>
                  </w:r>
                  <w:r w:rsidR="005A1CAE">
                    <w:rPr>
                      <w:noProof/>
                      <w:sz w:val="18"/>
                    </w:rPr>
                    <w:t> </w:t>
                  </w:r>
                  <w:r w:rsidR="005A1CAE" w:rsidRPr="005A1CAE">
                    <w:rPr>
                      <w:noProof/>
                      <w:sz w:val="18"/>
                    </w:rPr>
                    <w:t>ins</w:t>
                  </w:r>
                  <w:r w:rsidRPr="005A1CAE">
                    <w:rPr>
                      <w:noProof/>
                      <w:sz w:val="18"/>
                    </w:rPr>
                    <w:t>talacji</w:t>
                  </w:r>
                  <w:r w:rsidR="005A1CAE" w:rsidRPr="005A1CAE">
                    <w:rPr>
                      <w:noProof/>
                      <w:sz w:val="18"/>
                    </w:rPr>
                    <w:t xml:space="preserve"> z</w:t>
                  </w:r>
                  <w:r w:rsidR="005A1CAE">
                    <w:rPr>
                      <w:noProof/>
                      <w:sz w:val="18"/>
                    </w:rPr>
                    <w:t> </w:t>
                  </w:r>
                  <w:r w:rsidR="005A1CAE" w:rsidRPr="005A1CAE">
                    <w:rPr>
                      <w:noProof/>
                      <w:sz w:val="18"/>
                    </w:rPr>
                    <w:t>pań</w:t>
                  </w:r>
                  <w:r w:rsidRPr="005A1CAE">
                    <w:rPr>
                      <w:noProof/>
                      <w:sz w:val="18"/>
                    </w:rPr>
                    <w:t>stw trzecich.</w:t>
                  </w:r>
                </w:p>
              </w:tc>
            </w:tr>
          </w:tbl>
          <w:p w14:paraId="7E917B09" w14:textId="77777777" w:rsidR="00C56942" w:rsidRPr="005A1CAE" w:rsidRDefault="00C56942" w:rsidP="00C56942">
            <w:pPr>
              <w:rPr>
                <w:noProof/>
                <w:color w:val="0000FF"/>
              </w:rPr>
            </w:pPr>
          </w:p>
        </w:tc>
      </w:tr>
    </w:tbl>
    <w:p w14:paraId="1F76D45E" w14:textId="77777777" w:rsidR="00D0690F" w:rsidRPr="005A1CAE" w:rsidRDefault="00D0690F" w:rsidP="009F612D">
      <w:pPr>
        <w:pStyle w:val="ManualHeading2"/>
        <w:rPr>
          <w:noProof/>
        </w:rPr>
      </w:pPr>
      <w:bookmarkStart w:id="186" w:name="_Toc167220305"/>
      <w:bookmarkStart w:id="187" w:name="_Toc177549039"/>
      <w:r w:rsidRPr="005A1CAE">
        <w:rPr>
          <w:noProof/>
        </w:rPr>
        <w:lastRenderedPageBreak/>
        <w:t>4.3.</w:t>
      </w:r>
      <w:r w:rsidRPr="005A1CAE">
        <w:rPr>
          <w:noProof/>
        </w:rPr>
        <w:tab/>
        <w:t>Rozwiązania cyfrowe</w:t>
      </w:r>
      <w:bookmarkEnd w:id="186"/>
      <w:bookmarkEnd w:id="187"/>
    </w:p>
    <w:tbl>
      <w:tblPr>
        <w:tblStyle w:val="Tabela-Siatka"/>
        <w:tblpPr w:leftFromText="141" w:rightFromText="141" w:vertAnchor="text" w:horzAnchor="margin" w:tblpY="2"/>
        <w:tblW w:w="9067" w:type="dxa"/>
        <w:tblLook w:val="04A0" w:firstRow="1" w:lastRow="0" w:firstColumn="1" w:lastColumn="0" w:noHBand="0" w:noVBand="1"/>
      </w:tblPr>
      <w:tblGrid>
        <w:gridCol w:w="10416"/>
      </w:tblGrid>
      <w:tr w:rsidR="00D0690F" w:rsidRPr="005A1CAE" w14:paraId="053648F5" w14:textId="77777777" w:rsidTr="1BD7CC0B">
        <w:tc>
          <w:tcPr>
            <w:tcW w:w="9067" w:type="dxa"/>
          </w:tcPr>
          <w:p w14:paraId="2CBDCD8D" w14:textId="3A3D7FE6" w:rsidR="007F1B81" w:rsidRPr="005A1CAE" w:rsidRDefault="000F5914" w:rsidP="009F612D">
            <w:pPr>
              <w:rPr>
                <w:noProof/>
              </w:rPr>
            </w:pPr>
            <w:r w:rsidRPr="005A1CAE">
              <w:rPr>
                <w:noProof/>
                <w:lang w:val="en-GB" w:eastAsia="en-GB"/>
              </w:rPr>
              <w:drawing>
                <wp:inline distT="0" distB="0" distL="0" distR="0" wp14:anchorId="66AAFBCB" wp14:editId="4D23B12A">
                  <wp:extent cx="6473009" cy="3631721"/>
                  <wp:effectExtent l="0" t="0" r="4445" b="6985"/>
                  <wp:docPr id="291063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5257" cy="3638593"/>
                          </a:xfrm>
                          <a:prstGeom prst="rect">
                            <a:avLst/>
                          </a:prstGeom>
                          <a:noFill/>
                          <a:ln>
                            <a:noFill/>
                          </a:ln>
                        </pic:spPr>
                      </pic:pic>
                    </a:graphicData>
                  </a:graphic>
                </wp:inline>
              </w:drawing>
            </w:r>
            <w:r w:rsidR="006A4F00" w:rsidRPr="005A1CAE">
              <w:rPr>
                <w:noProof/>
              </w:rPr>
              <w:t xml:space="preserve"> </w:t>
            </w:r>
          </w:p>
          <w:p w14:paraId="088364EE" w14:textId="77777777" w:rsidR="007F1B81" w:rsidRPr="005A1CAE" w:rsidRDefault="007F1B81" w:rsidP="007F1B81">
            <w:pPr>
              <w:spacing w:before="0"/>
              <w:rPr>
                <w:noProof/>
              </w:rPr>
            </w:pPr>
            <w:r w:rsidRPr="005A1CAE">
              <w:rPr>
                <w:noProof/>
              </w:rPr>
              <w:t xml:space="preserve">Ogólny zarys architektury rejestru CBAM obejmuje trzy warstwy: </w:t>
            </w:r>
          </w:p>
          <w:p w14:paraId="33C3B59C" w14:textId="6C70E308" w:rsidR="007F1B81" w:rsidRPr="005A1CAE" w:rsidRDefault="007F1B81" w:rsidP="00E05594">
            <w:pPr>
              <w:pStyle w:val="Akapitzlist"/>
              <w:numPr>
                <w:ilvl w:val="0"/>
                <w:numId w:val="18"/>
              </w:numPr>
              <w:spacing w:before="0" w:after="0" w:line="257" w:lineRule="auto"/>
              <w:ind w:left="360"/>
              <w:rPr>
                <w:rFonts w:eastAsia="Calibri"/>
                <w:noProof/>
                <w:szCs w:val="24"/>
              </w:rPr>
            </w:pPr>
            <w:r w:rsidRPr="005A1CAE">
              <w:rPr>
                <w:b/>
                <w:noProof/>
              </w:rPr>
              <w:t>Warstwa portalu</w:t>
            </w:r>
            <w:r w:rsidRPr="005A1CAE">
              <w:rPr>
                <w:noProof/>
              </w:rPr>
              <w:t xml:space="preserve"> obejmująca różne portale dla poszczególnych grup użytkowników rejestru CBAM: CBAM dla zgłaszających</w:t>
            </w:r>
            <w:r w:rsidR="005A1CAE" w:rsidRPr="005A1CAE">
              <w:rPr>
                <w:noProof/>
              </w:rPr>
              <w:t xml:space="preserve"> i</w:t>
            </w:r>
            <w:r w:rsidR="005A1CAE">
              <w:rPr>
                <w:noProof/>
              </w:rPr>
              <w:t> </w:t>
            </w:r>
            <w:r w:rsidR="005A1CAE" w:rsidRPr="005A1CAE">
              <w:rPr>
                <w:noProof/>
              </w:rPr>
              <w:t>ope</w:t>
            </w:r>
            <w:r w:rsidRPr="005A1CAE">
              <w:rPr>
                <w:noProof/>
              </w:rPr>
              <w:t>ratorów instalacji</w:t>
            </w:r>
            <w:r w:rsidR="005A1CAE" w:rsidRPr="005A1CAE">
              <w:rPr>
                <w:noProof/>
              </w:rPr>
              <w:t xml:space="preserve"> w</w:t>
            </w:r>
            <w:r w:rsidR="005A1CAE">
              <w:rPr>
                <w:noProof/>
              </w:rPr>
              <w:t> </w:t>
            </w:r>
            <w:r w:rsidR="005A1CAE" w:rsidRPr="005A1CAE">
              <w:rPr>
                <w:noProof/>
              </w:rPr>
              <w:t>pań</w:t>
            </w:r>
            <w:r w:rsidRPr="005A1CAE">
              <w:rPr>
                <w:noProof/>
              </w:rPr>
              <w:t>stwach trzecich oraz CBAM dla właściwych organów krajowych, Komisji, krajowych administracji celnych, OLAF-u</w:t>
            </w:r>
            <w:r w:rsidR="005A1CAE" w:rsidRPr="005A1CAE">
              <w:rPr>
                <w:noProof/>
              </w:rPr>
              <w:t xml:space="preserve"> i</w:t>
            </w:r>
            <w:r w:rsidR="005A1CAE">
              <w:rPr>
                <w:noProof/>
              </w:rPr>
              <w:t> </w:t>
            </w:r>
            <w:r w:rsidR="005A1CAE" w:rsidRPr="005A1CAE">
              <w:rPr>
                <w:noProof/>
              </w:rPr>
              <w:t>inn</w:t>
            </w:r>
            <w:r w:rsidRPr="005A1CAE">
              <w:rPr>
                <w:noProof/>
              </w:rPr>
              <w:t>ych służb Komisji.</w:t>
            </w:r>
          </w:p>
          <w:p w14:paraId="761AEF85" w14:textId="51131BF2" w:rsidR="007F1B81" w:rsidRPr="005A1CAE" w:rsidRDefault="007F1B81" w:rsidP="00E05594">
            <w:pPr>
              <w:pStyle w:val="Akapitzlist"/>
              <w:numPr>
                <w:ilvl w:val="0"/>
                <w:numId w:val="18"/>
              </w:numPr>
              <w:spacing w:before="0" w:after="0" w:line="257" w:lineRule="auto"/>
              <w:ind w:left="360"/>
              <w:rPr>
                <w:rFonts w:eastAsia="Calibri"/>
                <w:noProof/>
                <w:szCs w:val="24"/>
              </w:rPr>
            </w:pPr>
            <w:r w:rsidRPr="005A1CAE">
              <w:rPr>
                <w:b/>
                <w:noProof/>
              </w:rPr>
              <w:t>Warstwa zarządzania dostępem użytkowników</w:t>
            </w:r>
            <w:r w:rsidRPr="005A1CAE">
              <w:rPr>
                <w:noProof/>
              </w:rPr>
              <w:t>: do celów zarządzania uwierzytelnieniami</w:t>
            </w:r>
            <w:r w:rsidR="005A1CAE" w:rsidRPr="005A1CAE">
              <w:rPr>
                <w:noProof/>
              </w:rPr>
              <w:t xml:space="preserve"> i</w:t>
            </w:r>
            <w:r w:rsidR="005A1CAE">
              <w:rPr>
                <w:noProof/>
              </w:rPr>
              <w:t> </w:t>
            </w:r>
            <w:r w:rsidR="005A1CAE" w:rsidRPr="005A1CAE">
              <w:rPr>
                <w:noProof/>
              </w:rPr>
              <w:t>upo</w:t>
            </w:r>
            <w:r w:rsidRPr="005A1CAE">
              <w:rPr>
                <w:noProof/>
              </w:rPr>
              <w:t>ważnieniami użytkowników rejestru CBAM. Właściwe organy krajowe będą musiały zapewnić dostęp zgłaszającym CBAM (oczekuje się, że</w:t>
            </w:r>
            <w:r w:rsidR="005A1CAE" w:rsidRPr="005A1CAE">
              <w:rPr>
                <w:noProof/>
              </w:rPr>
              <w:t xml:space="preserve"> w</w:t>
            </w:r>
            <w:r w:rsidR="005A1CAE">
              <w:rPr>
                <w:noProof/>
              </w:rPr>
              <w:t> </w:t>
            </w:r>
            <w:r w:rsidR="005A1CAE" w:rsidRPr="005A1CAE">
              <w:rPr>
                <w:noProof/>
              </w:rPr>
              <w:t>2</w:t>
            </w:r>
            <w:r w:rsidRPr="005A1CAE">
              <w:rPr>
                <w:noProof/>
              </w:rPr>
              <w:t>026</w:t>
            </w:r>
            <w:r w:rsidR="005A1CAE" w:rsidRPr="005A1CAE">
              <w:rPr>
                <w:noProof/>
              </w:rPr>
              <w:t> </w:t>
            </w:r>
            <w:r w:rsidRPr="005A1CAE">
              <w:rPr>
                <w:noProof/>
              </w:rPr>
              <w:t>r. ich liczba przekroczy 20 000)</w:t>
            </w:r>
            <w:r w:rsidR="005A1CAE" w:rsidRPr="005A1CAE">
              <w:rPr>
                <w:noProof/>
              </w:rPr>
              <w:t xml:space="preserve"> i</w:t>
            </w:r>
            <w:r w:rsidR="005A1CAE">
              <w:rPr>
                <w:noProof/>
              </w:rPr>
              <w:t> </w:t>
            </w:r>
            <w:r w:rsidR="005A1CAE" w:rsidRPr="005A1CAE">
              <w:rPr>
                <w:noProof/>
              </w:rPr>
              <w:t>tym</w:t>
            </w:r>
            <w:r w:rsidRPr="005A1CAE">
              <w:rPr>
                <w:noProof/>
              </w:rPr>
              <w:t xml:space="preserve"> dostępem zarządzać, natomiast Komisja – operatorom</w:t>
            </w:r>
            <w:r w:rsidR="005A1CAE" w:rsidRPr="005A1CAE">
              <w:rPr>
                <w:noProof/>
              </w:rPr>
              <w:t xml:space="preserve"> z</w:t>
            </w:r>
            <w:r w:rsidR="005A1CAE">
              <w:rPr>
                <w:noProof/>
              </w:rPr>
              <w:t> </w:t>
            </w:r>
            <w:r w:rsidR="005A1CAE" w:rsidRPr="005A1CAE">
              <w:rPr>
                <w:noProof/>
              </w:rPr>
              <w:t>pań</w:t>
            </w:r>
            <w:r w:rsidRPr="005A1CAE">
              <w:rPr>
                <w:noProof/>
              </w:rPr>
              <w:t>stw trzecich (szacowanym na</w:t>
            </w:r>
            <w:r w:rsidR="005A1CAE" w:rsidRPr="005A1CAE">
              <w:rPr>
                <w:noProof/>
              </w:rPr>
              <w:t> </w:t>
            </w:r>
            <w:r w:rsidRPr="005A1CAE">
              <w:rPr>
                <w:noProof/>
              </w:rPr>
              <w:t>50 000</w:t>
            </w:r>
            <w:r w:rsidR="005A1CAE" w:rsidRPr="005A1CAE">
              <w:rPr>
                <w:noProof/>
              </w:rPr>
              <w:t xml:space="preserve"> w</w:t>
            </w:r>
            <w:r w:rsidR="005A1CAE">
              <w:rPr>
                <w:noProof/>
              </w:rPr>
              <w:t> </w:t>
            </w:r>
            <w:r w:rsidR="005A1CAE" w:rsidRPr="005A1CAE">
              <w:rPr>
                <w:noProof/>
              </w:rPr>
              <w:t>2</w:t>
            </w:r>
            <w:r w:rsidRPr="005A1CAE">
              <w:rPr>
                <w:noProof/>
              </w:rPr>
              <w:t>026</w:t>
            </w:r>
            <w:r w:rsidR="005A1CAE" w:rsidRPr="005A1CAE">
              <w:rPr>
                <w:noProof/>
              </w:rPr>
              <w:t> </w:t>
            </w:r>
            <w:r w:rsidRPr="005A1CAE">
              <w:rPr>
                <w:noProof/>
              </w:rPr>
              <w:t>r.). Każde państwo członkowskie</w:t>
            </w:r>
            <w:r w:rsidR="005A1CAE" w:rsidRPr="005A1CAE">
              <w:rPr>
                <w:noProof/>
              </w:rPr>
              <w:t xml:space="preserve"> i</w:t>
            </w:r>
            <w:r w:rsidR="005A1CAE">
              <w:rPr>
                <w:noProof/>
              </w:rPr>
              <w:t> </w:t>
            </w:r>
            <w:r w:rsidR="005A1CAE" w:rsidRPr="005A1CAE">
              <w:rPr>
                <w:noProof/>
              </w:rPr>
              <w:t>adm</w:t>
            </w:r>
            <w:r w:rsidRPr="005A1CAE">
              <w:rPr>
                <w:noProof/>
              </w:rPr>
              <w:t>inistracja UE będą odpowiedzialne za dostęp swoich użytkowników.</w:t>
            </w:r>
          </w:p>
          <w:p w14:paraId="0263B6F5" w14:textId="54FA6B1E" w:rsidR="007F1B81" w:rsidRPr="005A1CAE" w:rsidRDefault="007F1B81" w:rsidP="00E05594">
            <w:pPr>
              <w:pStyle w:val="Akapitzlist"/>
              <w:numPr>
                <w:ilvl w:val="0"/>
                <w:numId w:val="18"/>
              </w:numPr>
              <w:spacing w:before="0" w:after="0" w:line="257" w:lineRule="auto"/>
              <w:ind w:left="360"/>
              <w:rPr>
                <w:rFonts w:eastAsia="Calibri"/>
                <w:noProof/>
                <w:szCs w:val="24"/>
              </w:rPr>
            </w:pPr>
            <w:r w:rsidRPr="005A1CAE">
              <w:rPr>
                <w:noProof/>
              </w:rPr>
              <w:lastRenderedPageBreak/>
              <w:t xml:space="preserve">Segment </w:t>
            </w:r>
            <w:r w:rsidRPr="005A1CAE">
              <w:rPr>
                <w:b/>
                <w:noProof/>
              </w:rPr>
              <w:t>back-end</w:t>
            </w:r>
            <w:r w:rsidRPr="005A1CAE">
              <w:rPr>
                <w:noProof/>
              </w:rPr>
              <w:t>: do celów wspierania wszelkiego zarządzania danymi</w:t>
            </w:r>
            <w:r w:rsidR="005A1CAE" w:rsidRPr="005A1CAE">
              <w:rPr>
                <w:noProof/>
              </w:rPr>
              <w:t xml:space="preserve"> i</w:t>
            </w:r>
            <w:r w:rsidR="005A1CAE">
              <w:rPr>
                <w:noProof/>
              </w:rPr>
              <w:t> </w:t>
            </w:r>
            <w:r w:rsidR="005A1CAE" w:rsidRPr="005A1CAE">
              <w:rPr>
                <w:noProof/>
              </w:rPr>
              <w:t>zas</w:t>
            </w:r>
            <w:r w:rsidRPr="005A1CAE">
              <w:rPr>
                <w:noProof/>
              </w:rPr>
              <w:t>adami wymaganymi</w:t>
            </w:r>
            <w:r w:rsidR="005A1CAE" w:rsidRPr="005A1CAE">
              <w:rPr>
                <w:noProof/>
              </w:rPr>
              <w:t xml:space="preserve"> w</w:t>
            </w:r>
            <w:r w:rsidR="005A1CAE">
              <w:rPr>
                <w:noProof/>
              </w:rPr>
              <w:t> </w:t>
            </w:r>
            <w:r w:rsidR="005A1CAE" w:rsidRPr="005A1CAE">
              <w:rPr>
                <w:noProof/>
              </w:rPr>
              <w:t>odn</w:t>
            </w:r>
            <w:r w:rsidRPr="005A1CAE">
              <w:rPr>
                <w:noProof/>
              </w:rPr>
              <w:t>iesieniu do CBAM,</w:t>
            </w:r>
            <w:r w:rsidR="005A1CAE" w:rsidRPr="005A1CAE">
              <w:rPr>
                <w:noProof/>
              </w:rPr>
              <w:t xml:space="preserve"> a</w:t>
            </w:r>
            <w:r w:rsidR="005A1CAE">
              <w:rPr>
                <w:noProof/>
              </w:rPr>
              <w:t> </w:t>
            </w:r>
            <w:r w:rsidR="005A1CAE" w:rsidRPr="005A1CAE">
              <w:rPr>
                <w:noProof/>
              </w:rPr>
              <w:t>tak</w:t>
            </w:r>
            <w:r w:rsidRPr="005A1CAE">
              <w:rPr>
                <w:noProof/>
              </w:rPr>
              <w:t>że wspierania wszelkich interakcji</w:t>
            </w:r>
            <w:r w:rsidR="005A1CAE" w:rsidRPr="005A1CAE">
              <w:rPr>
                <w:noProof/>
              </w:rPr>
              <w:t xml:space="preserve"> z</w:t>
            </w:r>
            <w:r w:rsidR="005A1CAE">
              <w:rPr>
                <w:noProof/>
              </w:rPr>
              <w:t> </w:t>
            </w:r>
            <w:r w:rsidR="005A1CAE" w:rsidRPr="005A1CAE">
              <w:rPr>
                <w:noProof/>
              </w:rPr>
              <w:t>sys</w:t>
            </w:r>
            <w:r w:rsidRPr="005A1CAE">
              <w:rPr>
                <w:noProof/>
              </w:rPr>
              <w:t>temami zewnętrznymi. Należy zaznaczyć, że: do celów wspierania wszelkiego zarządzania danymi</w:t>
            </w:r>
            <w:r w:rsidR="005A1CAE" w:rsidRPr="005A1CAE">
              <w:rPr>
                <w:noProof/>
              </w:rPr>
              <w:t xml:space="preserve"> i</w:t>
            </w:r>
            <w:r w:rsidR="005A1CAE">
              <w:rPr>
                <w:noProof/>
              </w:rPr>
              <w:t> </w:t>
            </w:r>
            <w:r w:rsidR="005A1CAE" w:rsidRPr="005A1CAE">
              <w:rPr>
                <w:noProof/>
              </w:rPr>
              <w:t>zas</w:t>
            </w:r>
            <w:r w:rsidRPr="005A1CAE">
              <w:rPr>
                <w:noProof/>
              </w:rPr>
              <w:t>adami wymaganymi</w:t>
            </w:r>
            <w:r w:rsidR="005A1CAE" w:rsidRPr="005A1CAE">
              <w:rPr>
                <w:noProof/>
              </w:rPr>
              <w:t xml:space="preserve"> w</w:t>
            </w:r>
            <w:r w:rsidR="005A1CAE">
              <w:rPr>
                <w:noProof/>
              </w:rPr>
              <w:t> </w:t>
            </w:r>
            <w:r w:rsidR="005A1CAE" w:rsidRPr="005A1CAE">
              <w:rPr>
                <w:noProof/>
              </w:rPr>
              <w:t>odn</w:t>
            </w:r>
            <w:r w:rsidRPr="005A1CAE">
              <w:rPr>
                <w:noProof/>
              </w:rPr>
              <w:t>iesieniu do CBAM,</w:t>
            </w:r>
            <w:r w:rsidR="005A1CAE" w:rsidRPr="005A1CAE">
              <w:rPr>
                <w:noProof/>
              </w:rPr>
              <w:t xml:space="preserve"> a</w:t>
            </w:r>
            <w:r w:rsidR="005A1CAE">
              <w:rPr>
                <w:noProof/>
              </w:rPr>
              <w:t> </w:t>
            </w:r>
            <w:r w:rsidR="005A1CAE" w:rsidRPr="005A1CAE">
              <w:rPr>
                <w:noProof/>
              </w:rPr>
              <w:t>tak</w:t>
            </w:r>
            <w:r w:rsidRPr="005A1CAE">
              <w:rPr>
                <w:noProof/>
              </w:rPr>
              <w:t>że wspierania wszelkich interakcji</w:t>
            </w:r>
            <w:r w:rsidR="005A1CAE" w:rsidRPr="005A1CAE">
              <w:rPr>
                <w:noProof/>
              </w:rPr>
              <w:t xml:space="preserve"> z</w:t>
            </w:r>
            <w:r w:rsidR="005A1CAE">
              <w:rPr>
                <w:noProof/>
              </w:rPr>
              <w:t> </w:t>
            </w:r>
            <w:r w:rsidR="005A1CAE" w:rsidRPr="005A1CAE">
              <w:rPr>
                <w:noProof/>
              </w:rPr>
              <w:t>sys</w:t>
            </w:r>
            <w:r w:rsidRPr="005A1CAE">
              <w:rPr>
                <w:noProof/>
              </w:rPr>
              <w:t>temami zewnętrznymi. Należy zaznaczyć, że:</w:t>
            </w:r>
          </w:p>
          <w:p w14:paraId="466E8F5F" w14:textId="6DAE8E62" w:rsidR="007F1B81" w:rsidRPr="005A1CAE" w:rsidRDefault="007F1B81" w:rsidP="00E05594">
            <w:pPr>
              <w:pStyle w:val="Akapitzlist"/>
              <w:numPr>
                <w:ilvl w:val="1"/>
                <w:numId w:val="18"/>
              </w:numPr>
              <w:spacing w:before="0" w:after="0" w:line="257" w:lineRule="auto"/>
              <w:ind w:left="1080"/>
              <w:rPr>
                <w:rFonts w:eastAsia="Calibri"/>
                <w:noProof/>
                <w:szCs w:val="24"/>
              </w:rPr>
            </w:pPr>
            <w:r w:rsidRPr="005A1CAE">
              <w:rPr>
                <w:noProof/>
              </w:rPr>
              <w:t>w ramach CBAM zostaną wdrożone liczne procedury, powiadomienia</w:t>
            </w:r>
            <w:r w:rsidR="005A1CAE" w:rsidRPr="005A1CAE">
              <w:rPr>
                <w:noProof/>
              </w:rPr>
              <w:t xml:space="preserve"> i</w:t>
            </w:r>
            <w:r w:rsidR="005A1CAE">
              <w:rPr>
                <w:noProof/>
              </w:rPr>
              <w:t> </w:t>
            </w:r>
            <w:r w:rsidR="005A1CAE" w:rsidRPr="005A1CAE">
              <w:rPr>
                <w:noProof/>
              </w:rPr>
              <w:t>wym</w:t>
            </w:r>
            <w:r w:rsidRPr="005A1CAE">
              <w:rPr>
                <w:noProof/>
              </w:rPr>
              <w:t>iany informacji między Komisją, właściwymi organami krajowymi</w:t>
            </w:r>
            <w:r w:rsidR="005A1CAE" w:rsidRPr="005A1CAE">
              <w:rPr>
                <w:noProof/>
              </w:rPr>
              <w:t xml:space="preserve"> i</w:t>
            </w:r>
            <w:r w:rsidR="005A1CAE">
              <w:rPr>
                <w:noProof/>
              </w:rPr>
              <w:t> </w:t>
            </w:r>
            <w:r w:rsidR="005A1CAE" w:rsidRPr="005A1CAE">
              <w:rPr>
                <w:noProof/>
              </w:rPr>
              <w:t>pod</w:t>
            </w:r>
            <w:r w:rsidRPr="005A1CAE">
              <w:rPr>
                <w:noProof/>
              </w:rPr>
              <w:t>miotami zgłaszającymi CBAM,</w:t>
            </w:r>
            <w:r w:rsidR="005A1CAE" w:rsidRPr="005A1CAE">
              <w:rPr>
                <w:noProof/>
              </w:rPr>
              <w:t xml:space="preserve"> w</w:t>
            </w:r>
            <w:r w:rsidR="005A1CAE">
              <w:rPr>
                <w:noProof/>
              </w:rPr>
              <w:t> </w:t>
            </w:r>
            <w:r w:rsidR="005A1CAE" w:rsidRPr="005A1CAE">
              <w:rPr>
                <w:noProof/>
              </w:rPr>
              <w:t>szc</w:t>
            </w:r>
            <w:r w:rsidRPr="005A1CAE">
              <w:rPr>
                <w:noProof/>
              </w:rPr>
              <w:t>zególności</w:t>
            </w:r>
            <w:r w:rsidR="005A1CAE" w:rsidRPr="005A1CAE">
              <w:rPr>
                <w:noProof/>
              </w:rPr>
              <w:t xml:space="preserve"> w</w:t>
            </w:r>
            <w:r w:rsidR="005A1CAE">
              <w:rPr>
                <w:noProof/>
              </w:rPr>
              <w:t> </w:t>
            </w:r>
            <w:r w:rsidR="005A1CAE" w:rsidRPr="005A1CAE">
              <w:rPr>
                <w:noProof/>
              </w:rPr>
              <w:t>obs</w:t>
            </w:r>
            <w:r w:rsidRPr="005A1CAE">
              <w:rPr>
                <w:noProof/>
              </w:rPr>
              <w:t>zarach składania deklaracji</w:t>
            </w:r>
            <w:r w:rsidR="005A1CAE" w:rsidRPr="005A1CAE">
              <w:rPr>
                <w:noProof/>
              </w:rPr>
              <w:t xml:space="preserve"> i</w:t>
            </w:r>
            <w:r w:rsidR="005A1CAE">
              <w:rPr>
                <w:noProof/>
              </w:rPr>
              <w:t> </w:t>
            </w:r>
            <w:r w:rsidR="005A1CAE" w:rsidRPr="005A1CAE">
              <w:rPr>
                <w:noProof/>
              </w:rPr>
              <w:t>ich</w:t>
            </w:r>
            <w:r w:rsidRPr="005A1CAE">
              <w:rPr>
                <w:noProof/>
              </w:rPr>
              <w:t xml:space="preserve"> przeglądu (w tym oceny ryzyka);</w:t>
            </w:r>
          </w:p>
          <w:p w14:paraId="1A7F1C76" w14:textId="33663D67" w:rsidR="00D0690F" w:rsidRPr="005A1CAE" w:rsidRDefault="007F1B81" w:rsidP="00E05594">
            <w:pPr>
              <w:pStyle w:val="Akapitzlist"/>
              <w:numPr>
                <w:ilvl w:val="1"/>
                <w:numId w:val="18"/>
              </w:numPr>
              <w:spacing w:before="0" w:after="0" w:line="257" w:lineRule="auto"/>
              <w:ind w:left="1080"/>
              <w:rPr>
                <w:rFonts w:eastAsia="Calibri"/>
                <w:noProof/>
                <w:szCs w:val="24"/>
              </w:rPr>
            </w:pPr>
            <w:r w:rsidRPr="005A1CAE">
              <w:rPr>
                <w:noProof/>
              </w:rPr>
              <w:t>zarządzanie rachunkami zgłaszających</w:t>
            </w:r>
            <w:r w:rsidR="005A1CAE" w:rsidRPr="005A1CAE">
              <w:rPr>
                <w:noProof/>
              </w:rPr>
              <w:t xml:space="preserve"> i</w:t>
            </w:r>
            <w:r w:rsidR="005A1CAE">
              <w:rPr>
                <w:noProof/>
              </w:rPr>
              <w:t> </w:t>
            </w:r>
            <w:r w:rsidR="005A1CAE" w:rsidRPr="005A1CAE">
              <w:rPr>
                <w:noProof/>
              </w:rPr>
              <w:t>cer</w:t>
            </w:r>
            <w:r w:rsidRPr="005A1CAE">
              <w:rPr>
                <w:noProof/>
              </w:rPr>
              <w:t>tyfikatami CBAM (potencjalnie aktywa finansowe), zarządzanie ryzykiem</w:t>
            </w:r>
            <w:r w:rsidR="005A1CAE" w:rsidRPr="005A1CAE">
              <w:rPr>
                <w:noProof/>
              </w:rPr>
              <w:t xml:space="preserve"> i</w:t>
            </w:r>
            <w:r w:rsidR="005A1CAE">
              <w:rPr>
                <w:noProof/>
              </w:rPr>
              <w:t> </w:t>
            </w:r>
            <w:r w:rsidR="005A1CAE" w:rsidRPr="005A1CAE">
              <w:rPr>
                <w:noProof/>
              </w:rPr>
              <w:t>bez</w:t>
            </w:r>
            <w:r w:rsidRPr="005A1CAE">
              <w:rPr>
                <w:noProof/>
              </w:rPr>
              <w:t>pieczna wymiana informacji wiążą się</w:t>
            </w:r>
            <w:r w:rsidR="005A1CAE" w:rsidRPr="005A1CAE">
              <w:rPr>
                <w:noProof/>
              </w:rPr>
              <w:t xml:space="preserve"> z</w:t>
            </w:r>
            <w:r w:rsidR="005A1CAE">
              <w:rPr>
                <w:noProof/>
              </w:rPr>
              <w:t> </w:t>
            </w:r>
            <w:r w:rsidR="005A1CAE" w:rsidRPr="005A1CAE">
              <w:rPr>
                <w:noProof/>
              </w:rPr>
              <w:t>wys</w:t>
            </w:r>
            <w:r w:rsidRPr="005A1CAE">
              <w:rPr>
                <w:noProof/>
              </w:rPr>
              <w:t>okimi wymaganiami</w:t>
            </w:r>
            <w:r w:rsidR="005A1CAE" w:rsidRPr="005A1CAE">
              <w:rPr>
                <w:noProof/>
              </w:rPr>
              <w:t xml:space="preserve"> w</w:t>
            </w:r>
            <w:r w:rsidR="005A1CAE">
              <w:rPr>
                <w:noProof/>
              </w:rPr>
              <w:t> </w:t>
            </w:r>
            <w:r w:rsidR="005A1CAE" w:rsidRPr="005A1CAE">
              <w:rPr>
                <w:noProof/>
              </w:rPr>
              <w:t>zak</w:t>
            </w:r>
            <w:r w:rsidRPr="005A1CAE">
              <w:rPr>
                <w:noProof/>
              </w:rPr>
              <w:t>resie bezpieczeństwa.</w:t>
            </w:r>
          </w:p>
          <w:p w14:paraId="1973A965" w14:textId="77777777" w:rsidR="007F1B81" w:rsidRPr="005A1CAE" w:rsidRDefault="007F1B81" w:rsidP="007F1B81">
            <w:pPr>
              <w:spacing w:before="0" w:after="0" w:line="257" w:lineRule="auto"/>
              <w:rPr>
                <w:rFonts w:eastAsia="Calibri"/>
                <w:noProof/>
                <w:szCs w:val="24"/>
                <w:lang w:eastAsia="en-GB"/>
              </w:rPr>
            </w:pPr>
          </w:p>
        </w:tc>
      </w:tr>
    </w:tbl>
    <w:p w14:paraId="0E999A80" w14:textId="77777777" w:rsidR="00D0690F" w:rsidRPr="005A1CAE" w:rsidRDefault="00D0690F" w:rsidP="009F612D">
      <w:pPr>
        <w:pStyle w:val="ManualHeading2"/>
        <w:rPr>
          <w:rStyle w:val="Uwydatnienie"/>
          <w:b w:val="0"/>
          <w:bCs/>
          <w:i w:val="0"/>
          <w:iCs w:val="0"/>
          <w:noProof/>
        </w:rPr>
      </w:pPr>
      <w:bookmarkStart w:id="188" w:name="_Toc167220304"/>
      <w:bookmarkStart w:id="189" w:name="_Toc177549040"/>
      <w:r w:rsidRPr="005A1CAE">
        <w:rPr>
          <w:rStyle w:val="Uwydatnienie"/>
          <w:noProof/>
        </w:rPr>
        <w:lastRenderedPageBreak/>
        <w:t>4.4.</w:t>
      </w:r>
      <w:r w:rsidRPr="005A1CAE">
        <w:rPr>
          <w:noProof/>
        </w:rPr>
        <w:tab/>
      </w:r>
      <w:r w:rsidRPr="005A1CAE">
        <w:rPr>
          <w:rStyle w:val="Uwydatnienie"/>
          <w:noProof/>
        </w:rPr>
        <w:t>Ocena interoperacyjności</w:t>
      </w:r>
      <w:bookmarkEnd w:id="188"/>
      <w:bookmarkEnd w:id="189"/>
    </w:p>
    <w:tbl>
      <w:tblPr>
        <w:tblStyle w:val="Tabela-Siatka"/>
        <w:tblpPr w:leftFromText="141" w:rightFromText="141" w:vertAnchor="text" w:horzAnchor="margin" w:tblpY="36"/>
        <w:tblW w:w="9067" w:type="dxa"/>
        <w:tblLayout w:type="fixed"/>
        <w:tblLook w:val="06A0" w:firstRow="1" w:lastRow="0" w:firstColumn="1" w:lastColumn="0" w:noHBand="1" w:noVBand="1"/>
      </w:tblPr>
      <w:tblGrid>
        <w:gridCol w:w="9067"/>
      </w:tblGrid>
      <w:tr w:rsidR="00D0690F" w:rsidRPr="005A1CAE" w14:paraId="7FD60085" w14:textId="77777777" w:rsidTr="009F612D">
        <w:trPr>
          <w:trHeight w:val="300"/>
        </w:trPr>
        <w:tc>
          <w:tcPr>
            <w:tcW w:w="9067" w:type="dxa"/>
          </w:tcPr>
          <w:p w14:paraId="35C8DC85" w14:textId="2999B0C1" w:rsidR="007F1B81" w:rsidRPr="005A1CAE" w:rsidRDefault="007F1B81" w:rsidP="007F1B81">
            <w:pPr>
              <w:spacing w:line="257" w:lineRule="auto"/>
              <w:rPr>
                <w:noProof/>
                <w:szCs w:val="24"/>
              </w:rPr>
            </w:pPr>
            <w:r w:rsidRPr="005A1CAE">
              <w:rPr>
                <w:noProof/>
              </w:rPr>
              <w:t>CBAM jest</w:t>
            </w:r>
            <w:r w:rsidR="005A1CAE" w:rsidRPr="005A1CAE">
              <w:rPr>
                <w:noProof/>
              </w:rPr>
              <w:t xml:space="preserve"> z</w:t>
            </w:r>
            <w:r w:rsidR="005A1CAE">
              <w:rPr>
                <w:noProof/>
              </w:rPr>
              <w:t> </w:t>
            </w:r>
            <w:r w:rsidR="005A1CAE" w:rsidRPr="005A1CAE">
              <w:rPr>
                <w:noProof/>
              </w:rPr>
              <w:t>zał</w:t>
            </w:r>
            <w:r w:rsidRPr="005A1CAE">
              <w:rPr>
                <w:noProof/>
              </w:rPr>
              <w:t>ożenia mechanizmem transgranicznym, ponieważ wspiera on</w:t>
            </w:r>
            <w:r w:rsidR="005A1CAE" w:rsidRPr="005A1CAE">
              <w:rPr>
                <w:noProof/>
              </w:rPr>
              <w:t xml:space="preserve"> w</w:t>
            </w:r>
            <w:r w:rsidR="005A1CAE">
              <w:rPr>
                <w:noProof/>
              </w:rPr>
              <w:t> </w:t>
            </w:r>
            <w:r w:rsidR="005A1CAE" w:rsidRPr="005A1CAE">
              <w:rPr>
                <w:noProof/>
              </w:rPr>
              <w:t>cał</w:t>
            </w:r>
            <w:r w:rsidRPr="005A1CAE">
              <w:rPr>
                <w:noProof/>
              </w:rPr>
              <w:t>ej UE cykl życia CBAM,</w:t>
            </w:r>
            <w:r w:rsidR="005A1CAE" w:rsidRPr="005A1CAE">
              <w:rPr>
                <w:noProof/>
              </w:rPr>
              <w:t xml:space="preserve"> w</w:t>
            </w:r>
            <w:r w:rsidR="005A1CAE">
              <w:rPr>
                <w:noProof/>
              </w:rPr>
              <w:t> </w:t>
            </w:r>
            <w:r w:rsidR="005A1CAE" w:rsidRPr="005A1CAE">
              <w:rPr>
                <w:noProof/>
              </w:rPr>
              <w:t>szc</w:t>
            </w:r>
            <w:r w:rsidRPr="005A1CAE">
              <w:rPr>
                <w:noProof/>
              </w:rPr>
              <w:t>zególności organizację ocen ryzyka</w:t>
            </w:r>
            <w:r w:rsidR="005A1CAE" w:rsidRPr="005A1CAE">
              <w:rPr>
                <w:noProof/>
              </w:rPr>
              <w:t xml:space="preserve"> i</w:t>
            </w:r>
            <w:r w:rsidR="005A1CAE">
              <w:rPr>
                <w:noProof/>
              </w:rPr>
              <w:t> </w:t>
            </w:r>
            <w:r w:rsidR="005A1CAE" w:rsidRPr="005A1CAE">
              <w:rPr>
                <w:noProof/>
              </w:rPr>
              <w:t>prz</w:t>
            </w:r>
            <w:r w:rsidRPr="005A1CAE">
              <w:rPr>
                <w:noProof/>
              </w:rPr>
              <w:t>eglądów deklaracji CBAM przez wszystkie właściwe organy krajowe</w:t>
            </w:r>
            <w:r w:rsidR="005A1CAE" w:rsidRPr="005A1CAE">
              <w:rPr>
                <w:noProof/>
              </w:rPr>
              <w:t xml:space="preserve"> i</w:t>
            </w:r>
            <w:r w:rsidR="005A1CAE">
              <w:rPr>
                <w:noProof/>
              </w:rPr>
              <w:t> </w:t>
            </w:r>
            <w:r w:rsidR="005A1CAE" w:rsidRPr="005A1CAE">
              <w:rPr>
                <w:noProof/>
              </w:rPr>
              <w:t>Kom</w:t>
            </w:r>
            <w:r w:rsidRPr="005A1CAE">
              <w:rPr>
                <w:noProof/>
              </w:rPr>
              <w:t xml:space="preserve">isję. </w:t>
            </w:r>
          </w:p>
          <w:p w14:paraId="75C0A0BF" w14:textId="1EDA6C80" w:rsidR="007F1B81" w:rsidRPr="005A1CAE" w:rsidRDefault="007F1B81" w:rsidP="007F1B81">
            <w:pPr>
              <w:spacing w:line="257" w:lineRule="auto"/>
              <w:rPr>
                <w:noProof/>
                <w:szCs w:val="24"/>
              </w:rPr>
            </w:pPr>
            <w:r w:rsidRPr="005A1CAE">
              <w:rPr>
                <w:noProof/>
              </w:rPr>
              <w:t>Współpraca krajowych systemów celnych zostanie zapewniona</w:t>
            </w:r>
            <w:r w:rsidR="005A1CAE" w:rsidRPr="005A1CAE">
              <w:rPr>
                <w:noProof/>
              </w:rPr>
              <w:t xml:space="preserve"> w</w:t>
            </w:r>
            <w:r w:rsidR="005A1CAE">
              <w:rPr>
                <w:noProof/>
              </w:rPr>
              <w:t> </w:t>
            </w:r>
            <w:r w:rsidR="005A1CAE" w:rsidRPr="005A1CAE">
              <w:rPr>
                <w:noProof/>
              </w:rPr>
              <w:t>opa</w:t>
            </w:r>
            <w:r w:rsidRPr="005A1CAE">
              <w:rPr>
                <w:noProof/>
              </w:rPr>
              <w:t>rciu</w:t>
            </w:r>
            <w:r w:rsidR="005A1CAE" w:rsidRPr="005A1CAE">
              <w:rPr>
                <w:noProof/>
              </w:rPr>
              <w:t xml:space="preserve"> o</w:t>
            </w:r>
            <w:r w:rsidR="005A1CAE">
              <w:rPr>
                <w:noProof/>
              </w:rPr>
              <w:t> </w:t>
            </w:r>
            <w:r w:rsidR="005A1CAE" w:rsidRPr="005A1CAE">
              <w:rPr>
                <w:noProof/>
              </w:rPr>
              <w:t>usł</w:t>
            </w:r>
            <w:r w:rsidRPr="005A1CAE">
              <w:rPr>
                <w:noProof/>
              </w:rPr>
              <w:t>ugi</w:t>
            </w:r>
            <w:r w:rsidR="005A1CAE" w:rsidRPr="005A1CAE">
              <w:rPr>
                <w:noProof/>
              </w:rPr>
              <w:t xml:space="preserve"> i</w:t>
            </w:r>
            <w:r w:rsidR="005A1CAE">
              <w:rPr>
                <w:noProof/>
              </w:rPr>
              <w:t> </w:t>
            </w:r>
            <w:r w:rsidR="005A1CAE" w:rsidRPr="005A1CAE">
              <w:rPr>
                <w:noProof/>
              </w:rPr>
              <w:t>int</w:t>
            </w:r>
            <w:r w:rsidRPr="005A1CAE">
              <w:rPr>
                <w:noProof/>
              </w:rPr>
              <w:t>erfejsy informatyczne Komisji (takie jak SURV3, EU CSW–CERTEX i CRMS2),</w:t>
            </w:r>
            <w:r w:rsidR="005A1CAE" w:rsidRPr="005A1CAE">
              <w:rPr>
                <w:noProof/>
              </w:rPr>
              <w:t xml:space="preserve"> a</w:t>
            </w:r>
            <w:r w:rsidR="005A1CAE">
              <w:rPr>
                <w:noProof/>
              </w:rPr>
              <w:t> </w:t>
            </w:r>
            <w:r w:rsidR="005A1CAE" w:rsidRPr="005A1CAE">
              <w:rPr>
                <w:noProof/>
              </w:rPr>
              <w:t>tak</w:t>
            </w:r>
            <w:r w:rsidRPr="005A1CAE">
              <w:rPr>
                <w:noProof/>
              </w:rPr>
              <w:t xml:space="preserve">że nowe komponenty, zaprojektowane specjalnie na potrzeby CBAM. </w:t>
            </w:r>
          </w:p>
          <w:p w14:paraId="79E3B5B2" w14:textId="549A2EC9" w:rsidR="007F1B81" w:rsidRPr="005A1CAE" w:rsidRDefault="007F1B81" w:rsidP="007F1B81">
            <w:pPr>
              <w:spacing w:line="257" w:lineRule="auto"/>
              <w:rPr>
                <w:noProof/>
                <w:szCs w:val="24"/>
              </w:rPr>
            </w:pPr>
            <w:r w:rsidRPr="005A1CAE">
              <w:rPr>
                <w:noProof/>
              </w:rPr>
              <w:t>Rejestr CBAM zaprojektowano</w:t>
            </w:r>
            <w:r w:rsidR="005A1CAE" w:rsidRPr="005A1CAE">
              <w:rPr>
                <w:noProof/>
              </w:rPr>
              <w:t xml:space="preserve"> z</w:t>
            </w:r>
            <w:r w:rsidR="005A1CAE">
              <w:rPr>
                <w:noProof/>
              </w:rPr>
              <w:t> </w:t>
            </w:r>
            <w:r w:rsidR="005A1CAE" w:rsidRPr="005A1CAE">
              <w:rPr>
                <w:noProof/>
              </w:rPr>
              <w:t>myś</w:t>
            </w:r>
            <w:r w:rsidRPr="005A1CAE">
              <w:rPr>
                <w:noProof/>
              </w:rPr>
              <w:t>lą</w:t>
            </w:r>
            <w:r w:rsidR="005A1CAE" w:rsidRPr="005A1CAE">
              <w:rPr>
                <w:noProof/>
              </w:rPr>
              <w:t xml:space="preserve"> o</w:t>
            </w:r>
            <w:r w:rsidR="005A1CAE">
              <w:rPr>
                <w:noProof/>
              </w:rPr>
              <w:t> </w:t>
            </w:r>
            <w:r w:rsidR="005A1CAE" w:rsidRPr="005A1CAE">
              <w:rPr>
                <w:noProof/>
              </w:rPr>
              <w:t>wsp</w:t>
            </w:r>
            <w:r w:rsidRPr="005A1CAE">
              <w:rPr>
                <w:noProof/>
              </w:rPr>
              <w:t>ieraniu interoperacyjności poprzez nacisk na otwartość, modułowość, ograniczanie współzależności</w:t>
            </w:r>
            <w:r w:rsidR="005A1CAE" w:rsidRPr="005A1CAE">
              <w:rPr>
                <w:noProof/>
              </w:rPr>
              <w:t xml:space="preserve"> i</w:t>
            </w:r>
            <w:r w:rsidR="005A1CAE">
              <w:rPr>
                <w:noProof/>
              </w:rPr>
              <w:t> </w:t>
            </w:r>
            <w:r w:rsidR="005A1CAE" w:rsidRPr="005A1CAE">
              <w:rPr>
                <w:noProof/>
              </w:rPr>
              <w:t>sol</w:t>
            </w:r>
            <w:r w:rsidRPr="005A1CAE">
              <w:rPr>
                <w:noProof/>
              </w:rPr>
              <w:t>idne interfejsy. Rejestr ten będzie współdziałać</w:t>
            </w:r>
            <w:r w:rsidR="005A1CAE" w:rsidRPr="005A1CAE">
              <w:rPr>
                <w:noProof/>
              </w:rPr>
              <w:t xml:space="preserve"> z</w:t>
            </w:r>
            <w:r w:rsidR="005A1CAE">
              <w:rPr>
                <w:noProof/>
              </w:rPr>
              <w:t> </w:t>
            </w:r>
            <w:r w:rsidR="005A1CAE" w:rsidRPr="005A1CAE">
              <w:rPr>
                <w:noProof/>
              </w:rPr>
              <w:t>kra</w:t>
            </w:r>
            <w:r w:rsidRPr="005A1CAE">
              <w:rPr>
                <w:noProof/>
              </w:rPr>
              <w:t>jowymi systemami CBAM, ze wspólną centralną platformą,</w:t>
            </w:r>
            <w:r w:rsidR="005A1CAE" w:rsidRPr="005A1CAE">
              <w:rPr>
                <w:noProof/>
              </w:rPr>
              <w:t xml:space="preserve"> z</w:t>
            </w:r>
            <w:r w:rsidR="005A1CAE">
              <w:rPr>
                <w:noProof/>
              </w:rPr>
              <w:t> </w:t>
            </w:r>
            <w:r w:rsidR="005A1CAE" w:rsidRPr="005A1CAE">
              <w:rPr>
                <w:noProof/>
              </w:rPr>
              <w:t>uni</w:t>
            </w:r>
            <w:r w:rsidRPr="005A1CAE">
              <w:rPr>
                <w:noProof/>
              </w:rPr>
              <w:t>jnymi systemami celnymi DG TAXUD</w:t>
            </w:r>
            <w:r w:rsidR="005A1CAE" w:rsidRPr="005A1CAE">
              <w:rPr>
                <w:noProof/>
              </w:rPr>
              <w:t xml:space="preserve"> i</w:t>
            </w:r>
            <w:r w:rsidR="005A1CAE">
              <w:rPr>
                <w:noProof/>
              </w:rPr>
              <w:t> </w:t>
            </w:r>
            <w:r w:rsidR="005A1CAE" w:rsidRPr="005A1CAE">
              <w:rPr>
                <w:noProof/>
              </w:rPr>
              <w:t>kra</w:t>
            </w:r>
            <w:r w:rsidRPr="005A1CAE">
              <w:rPr>
                <w:noProof/>
              </w:rPr>
              <w:t>jowych administracji celnych,</w:t>
            </w:r>
            <w:r w:rsidR="005A1CAE" w:rsidRPr="005A1CAE">
              <w:rPr>
                <w:noProof/>
              </w:rPr>
              <w:t xml:space="preserve"> a</w:t>
            </w:r>
            <w:r w:rsidR="005A1CAE">
              <w:rPr>
                <w:noProof/>
              </w:rPr>
              <w:t> </w:t>
            </w:r>
            <w:r w:rsidR="005A1CAE" w:rsidRPr="005A1CAE">
              <w:rPr>
                <w:noProof/>
              </w:rPr>
              <w:t>tak</w:t>
            </w:r>
            <w:r w:rsidRPr="005A1CAE">
              <w:rPr>
                <w:noProof/>
              </w:rPr>
              <w:t>że</w:t>
            </w:r>
            <w:r w:rsidR="005A1CAE" w:rsidRPr="005A1CAE">
              <w:rPr>
                <w:noProof/>
              </w:rPr>
              <w:t xml:space="preserve"> z</w:t>
            </w:r>
            <w:r w:rsidR="005A1CAE">
              <w:rPr>
                <w:noProof/>
              </w:rPr>
              <w:t> </w:t>
            </w:r>
            <w:r w:rsidR="005A1CAE" w:rsidRPr="005A1CAE">
              <w:rPr>
                <w:noProof/>
              </w:rPr>
              <w:t>sys</w:t>
            </w:r>
            <w:r w:rsidRPr="005A1CAE">
              <w:rPr>
                <w:noProof/>
              </w:rPr>
              <w:t>temami pozostałych dyrekcji generalnych za pośrednictwem otwartych interfejsów.</w:t>
            </w:r>
          </w:p>
          <w:p w14:paraId="2FBE66AD" w14:textId="4A9789C8" w:rsidR="007F1B81" w:rsidRPr="005A1CAE" w:rsidRDefault="007F1B81" w:rsidP="007F1B81">
            <w:pPr>
              <w:spacing w:line="257" w:lineRule="auto"/>
              <w:rPr>
                <w:noProof/>
              </w:rPr>
            </w:pPr>
            <w:r w:rsidRPr="005A1CAE">
              <w:rPr>
                <w:noProof/>
              </w:rPr>
              <w:t>Centralne repozytorium CBAM będzie korzystać</w:t>
            </w:r>
            <w:r w:rsidR="005A1CAE" w:rsidRPr="005A1CAE">
              <w:rPr>
                <w:noProof/>
              </w:rPr>
              <w:t xml:space="preserve"> z</w:t>
            </w:r>
            <w:r w:rsidR="005A1CAE">
              <w:rPr>
                <w:noProof/>
              </w:rPr>
              <w:t> </w:t>
            </w:r>
            <w:r w:rsidR="005A1CAE" w:rsidRPr="005A1CAE">
              <w:rPr>
                <w:noProof/>
              </w:rPr>
              <w:t>ist</w:t>
            </w:r>
            <w:r w:rsidRPr="005A1CAE">
              <w:rPr>
                <w:noProof/>
              </w:rPr>
              <w:t>niejących interfejsów unijnych systemów celnych zarządzanych przez DG TAXUD. Określone zostaną specjalne formaty wpisów celnych dotyczących przywozu</w:t>
            </w:r>
            <w:r w:rsidR="005A1CAE" w:rsidRPr="005A1CAE">
              <w:rPr>
                <w:noProof/>
              </w:rPr>
              <w:t xml:space="preserve"> i</w:t>
            </w:r>
            <w:r w:rsidR="005A1CAE">
              <w:rPr>
                <w:noProof/>
              </w:rPr>
              <w:t> </w:t>
            </w:r>
            <w:r w:rsidR="005A1CAE" w:rsidRPr="005A1CAE">
              <w:rPr>
                <w:noProof/>
              </w:rPr>
              <w:t>usz</w:t>
            </w:r>
            <w:r w:rsidRPr="005A1CAE">
              <w:rPr>
                <w:noProof/>
              </w:rPr>
              <w:t>lachetniania czynnego, dokonywanych przez krajowe administracje celne. Nowe interfejsy służące powiązaniu CBAM</w:t>
            </w:r>
            <w:r w:rsidR="005A1CAE" w:rsidRPr="005A1CAE">
              <w:rPr>
                <w:noProof/>
              </w:rPr>
              <w:t xml:space="preserve"> z</w:t>
            </w:r>
            <w:r w:rsidR="005A1CAE">
              <w:rPr>
                <w:noProof/>
              </w:rPr>
              <w:t> </w:t>
            </w:r>
            <w:r w:rsidR="005A1CAE" w:rsidRPr="005A1CAE">
              <w:rPr>
                <w:noProof/>
              </w:rPr>
              <w:t>kra</w:t>
            </w:r>
            <w:r w:rsidRPr="005A1CAE">
              <w:rPr>
                <w:noProof/>
              </w:rPr>
              <w:t>jowymi systemami celnymi zostaną opublikowane na początku 2024</w:t>
            </w:r>
            <w:r w:rsidR="005A1CAE" w:rsidRPr="005A1CAE">
              <w:rPr>
                <w:noProof/>
              </w:rPr>
              <w:t> </w:t>
            </w:r>
            <w:r w:rsidRPr="005A1CAE">
              <w:rPr>
                <w:noProof/>
              </w:rPr>
              <w:t>r., aby zapewnić krajowym administracjom celnym wystarczająco dużo czasu na odpowiednie przygotowanie swoich systemów.</w:t>
            </w:r>
          </w:p>
          <w:p w14:paraId="3675BBD0" w14:textId="204855AC" w:rsidR="007F1B81" w:rsidRPr="005A1CAE" w:rsidRDefault="007F1B81" w:rsidP="007F1B81">
            <w:pPr>
              <w:spacing w:before="0" w:line="257" w:lineRule="auto"/>
              <w:rPr>
                <w:noProof/>
              </w:rPr>
            </w:pPr>
            <w:r w:rsidRPr="005A1CAE">
              <w:rPr>
                <w:noProof/>
              </w:rPr>
              <w:t>Interfejs S2S łączący rejestr CBAM z CCP będzie oparty na ustrukturyzowanej wymianie komunikatów</w:t>
            </w:r>
            <w:r w:rsidR="005A1CAE" w:rsidRPr="005A1CAE">
              <w:rPr>
                <w:noProof/>
              </w:rPr>
              <w:t xml:space="preserve"> i</w:t>
            </w:r>
            <w:r w:rsidR="005A1CAE">
              <w:rPr>
                <w:noProof/>
              </w:rPr>
              <w:t> </w:t>
            </w:r>
            <w:r w:rsidR="005A1CAE" w:rsidRPr="005A1CAE">
              <w:rPr>
                <w:noProof/>
              </w:rPr>
              <w:t>dos</w:t>
            </w:r>
            <w:r w:rsidRPr="005A1CAE">
              <w:rPr>
                <w:noProof/>
              </w:rPr>
              <w:t>tępny na początku 2024</w:t>
            </w:r>
            <w:r w:rsidR="005A1CAE" w:rsidRPr="005A1CAE">
              <w:rPr>
                <w:noProof/>
              </w:rPr>
              <w:t> </w:t>
            </w:r>
            <w:r w:rsidRPr="005A1CAE">
              <w:rPr>
                <w:noProof/>
              </w:rPr>
              <w:t>r., tak aby zapewnić wystarczająco dużo czasu na zintegrowanie odpowiednich interfejsów rejestru CBAM i CCP do połowy 2025</w:t>
            </w:r>
            <w:r w:rsidR="005A1CAE" w:rsidRPr="005A1CAE">
              <w:rPr>
                <w:noProof/>
              </w:rPr>
              <w:t> </w:t>
            </w:r>
            <w:r w:rsidRPr="005A1CAE">
              <w:rPr>
                <w:noProof/>
              </w:rPr>
              <w:t>r.</w:t>
            </w:r>
          </w:p>
          <w:p w14:paraId="5DB2E08B" w14:textId="0E96FF00" w:rsidR="007F1B81" w:rsidRPr="005A1CAE" w:rsidRDefault="007F1B81" w:rsidP="007F1B81">
            <w:pPr>
              <w:spacing w:before="0" w:line="257" w:lineRule="auto"/>
              <w:rPr>
                <w:noProof/>
              </w:rPr>
            </w:pPr>
            <w:r w:rsidRPr="005A1CAE">
              <w:rPr>
                <w:noProof/>
              </w:rPr>
              <w:t>Wszystkie te interfejsy będą oparte na ustrukturyzowanej wymianie komunikatów i,</w:t>
            </w:r>
            <w:r w:rsidR="005A1CAE" w:rsidRPr="005A1CAE">
              <w:rPr>
                <w:noProof/>
              </w:rPr>
              <w:t xml:space="preserve"> w</w:t>
            </w:r>
            <w:r w:rsidR="005A1CAE">
              <w:rPr>
                <w:noProof/>
              </w:rPr>
              <w:t> </w:t>
            </w:r>
            <w:r w:rsidR="005A1CAE" w:rsidRPr="005A1CAE">
              <w:rPr>
                <w:noProof/>
              </w:rPr>
              <w:t>mia</w:t>
            </w:r>
            <w:r w:rsidRPr="005A1CAE">
              <w:rPr>
                <w:noProof/>
              </w:rPr>
              <w:t>rę możliwości, zgodne z EUCDM</w:t>
            </w:r>
            <w:r w:rsidR="005A1CAE" w:rsidRPr="005A1CAE">
              <w:rPr>
                <w:noProof/>
              </w:rPr>
              <w:t xml:space="preserve"> i</w:t>
            </w:r>
            <w:r w:rsidR="005A1CAE">
              <w:rPr>
                <w:noProof/>
              </w:rPr>
              <w:t> </w:t>
            </w:r>
            <w:r w:rsidR="005A1CAE" w:rsidRPr="005A1CAE">
              <w:rPr>
                <w:noProof/>
              </w:rPr>
              <w:t>zał</w:t>
            </w:r>
            <w:r w:rsidRPr="005A1CAE">
              <w:rPr>
                <w:noProof/>
              </w:rPr>
              <w:t>ącznikiem B do unijnego kodeksu celnego. Specyfikacje techniczne dotyczące transakcji A2B i B2B zostaną wskazane</w:t>
            </w:r>
            <w:r w:rsidR="005A1CAE" w:rsidRPr="005A1CAE">
              <w:rPr>
                <w:noProof/>
              </w:rPr>
              <w:t xml:space="preserve"> w</w:t>
            </w:r>
            <w:r w:rsidR="005A1CAE">
              <w:rPr>
                <w:noProof/>
              </w:rPr>
              <w:t> </w:t>
            </w:r>
            <w:r w:rsidR="005A1CAE" w:rsidRPr="005A1CAE">
              <w:rPr>
                <w:noProof/>
              </w:rPr>
              <w:t>akc</w:t>
            </w:r>
            <w:r w:rsidRPr="005A1CAE">
              <w:rPr>
                <w:noProof/>
              </w:rPr>
              <w:t>ie wykonawczym do CBAM.</w:t>
            </w:r>
          </w:p>
          <w:p w14:paraId="325D275D" w14:textId="77777777" w:rsidR="007F1B81" w:rsidRPr="005A1CAE" w:rsidRDefault="007F1B81" w:rsidP="007F1B81">
            <w:pPr>
              <w:spacing w:before="0" w:line="257" w:lineRule="auto"/>
              <w:rPr>
                <w:b/>
                <w:bCs/>
                <w:noProof/>
                <w:sz w:val="22"/>
                <w:szCs w:val="18"/>
              </w:rPr>
            </w:pPr>
            <w:r w:rsidRPr="005A1CAE">
              <w:rPr>
                <w:b/>
                <w:noProof/>
              </w:rPr>
              <w:t>Ograniczenia możliwości ponownego użycia</w:t>
            </w:r>
          </w:p>
          <w:p w14:paraId="3ABBDFB8" w14:textId="2F55415B" w:rsidR="007F1B81" w:rsidRPr="005A1CAE" w:rsidRDefault="007F1B81" w:rsidP="007F1B81">
            <w:pPr>
              <w:spacing w:before="0" w:line="257" w:lineRule="auto"/>
              <w:rPr>
                <w:noProof/>
              </w:rPr>
            </w:pPr>
            <w:r w:rsidRPr="005A1CAE">
              <w:rPr>
                <w:noProof/>
              </w:rPr>
              <w:t>Możliwość ponownego użycia to jedna</w:t>
            </w:r>
            <w:r w:rsidR="005A1CAE" w:rsidRPr="005A1CAE">
              <w:rPr>
                <w:noProof/>
              </w:rPr>
              <w:t xml:space="preserve"> z</w:t>
            </w:r>
            <w:r w:rsidR="005A1CAE">
              <w:rPr>
                <w:noProof/>
              </w:rPr>
              <w:t> </w:t>
            </w:r>
            <w:r w:rsidR="005A1CAE" w:rsidRPr="005A1CAE">
              <w:rPr>
                <w:noProof/>
              </w:rPr>
              <w:t>pod</w:t>
            </w:r>
            <w:r w:rsidRPr="005A1CAE">
              <w:rPr>
                <w:noProof/>
              </w:rPr>
              <w:t xml:space="preserve">stawowych zasad architektury centralnego rejestru CBAM. Możliwość ponownego użycia obejmuje dwie kwestie: wykorzystanie usług </w:t>
            </w:r>
            <w:r w:rsidRPr="005A1CAE">
              <w:rPr>
                <w:noProof/>
              </w:rPr>
              <w:lastRenderedPageBreak/>
              <w:t>zewnętrznych</w:t>
            </w:r>
            <w:r w:rsidR="005A1CAE" w:rsidRPr="005A1CAE">
              <w:rPr>
                <w:noProof/>
              </w:rPr>
              <w:t xml:space="preserve"> w</w:t>
            </w:r>
            <w:r w:rsidR="005A1CAE">
              <w:rPr>
                <w:noProof/>
              </w:rPr>
              <w:t> </w:t>
            </w:r>
            <w:r w:rsidR="005A1CAE" w:rsidRPr="005A1CAE">
              <w:rPr>
                <w:noProof/>
              </w:rPr>
              <w:t>rej</w:t>
            </w:r>
            <w:r w:rsidRPr="005A1CAE">
              <w:rPr>
                <w:noProof/>
              </w:rPr>
              <w:t>estrze CBAM</w:t>
            </w:r>
            <w:r w:rsidR="005A1CAE" w:rsidRPr="005A1CAE">
              <w:rPr>
                <w:noProof/>
              </w:rPr>
              <w:t xml:space="preserve"> i</w:t>
            </w:r>
            <w:r w:rsidR="005A1CAE">
              <w:rPr>
                <w:noProof/>
              </w:rPr>
              <w:t> </w:t>
            </w:r>
            <w:r w:rsidR="005A1CAE" w:rsidRPr="005A1CAE">
              <w:rPr>
                <w:noProof/>
              </w:rPr>
              <w:t>pon</w:t>
            </w:r>
            <w:r w:rsidRPr="005A1CAE">
              <w:rPr>
                <w:noProof/>
              </w:rPr>
              <w:t xml:space="preserve">owne wykorzystanie istniejących komponentów do budowy rejestru CBAM. </w:t>
            </w:r>
          </w:p>
          <w:p w14:paraId="548273E1" w14:textId="312856A8" w:rsidR="007F1B81" w:rsidRPr="005A1CAE" w:rsidRDefault="007F1B81" w:rsidP="007F1B81">
            <w:pPr>
              <w:spacing w:before="0" w:line="264" w:lineRule="auto"/>
              <w:rPr>
                <w:noProof/>
              </w:rPr>
            </w:pPr>
            <w:r w:rsidRPr="005A1CAE">
              <w:rPr>
                <w:b/>
                <w:noProof/>
                <w:u w:val="single"/>
              </w:rPr>
              <w:t>Możliwość ponownego wykorzystania usług</w:t>
            </w:r>
            <w:r w:rsidR="005A1CAE" w:rsidRPr="005A1CAE">
              <w:rPr>
                <w:b/>
                <w:noProof/>
                <w:u w:val="single"/>
              </w:rPr>
              <w:t xml:space="preserve"> i</w:t>
            </w:r>
            <w:r w:rsidR="005A1CAE">
              <w:rPr>
                <w:b/>
                <w:noProof/>
                <w:u w:val="single"/>
              </w:rPr>
              <w:t> </w:t>
            </w:r>
            <w:r w:rsidR="005A1CAE" w:rsidRPr="005A1CAE">
              <w:rPr>
                <w:b/>
                <w:noProof/>
                <w:u w:val="single"/>
              </w:rPr>
              <w:t>kom</w:t>
            </w:r>
            <w:r w:rsidRPr="005A1CAE">
              <w:rPr>
                <w:b/>
                <w:noProof/>
                <w:u w:val="single"/>
              </w:rPr>
              <w:t>ponentów DG TAXUD</w:t>
            </w:r>
          </w:p>
          <w:p w14:paraId="2BA45701" w14:textId="78A303A2" w:rsidR="007F1B81" w:rsidRPr="005A1CAE" w:rsidRDefault="007F1B81" w:rsidP="007F1B81">
            <w:pPr>
              <w:spacing w:before="0" w:line="264" w:lineRule="auto"/>
              <w:rPr>
                <w:noProof/>
              </w:rPr>
            </w:pPr>
            <w:r w:rsidRPr="005A1CAE">
              <w:rPr>
                <w:noProof/>
              </w:rPr>
              <w:t>Usługi unijnej administracji celnej oferowane przez DG TAXUD zostaną wykorzystane</w:t>
            </w:r>
            <w:r w:rsidR="005A1CAE" w:rsidRPr="005A1CAE">
              <w:rPr>
                <w:noProof/>
              </w:rPr>
              <w:t xml:space="preserve"> w</w:t>
            </w:r>
            <w:r w:rsidR="005A1CAE">
              <w:rPr>
                <w:noProof/>
              </w:rPr>
              <w:t> </w:t>
            </w:r>
            <w:r w:rsidR="005A1CAE" w:rsidRPr="005A1CAE">
              <w:rPr>
                <w:noProof/>
              </w:rPr>
              <w:t>rej</w:t>
            </w:r>
            <w:r w:rsidRPr="005A1CAE">
              <w:rPr>
                <w:noProof/>
              </w:rPr>
              <w:t>estrze CBAM do celów:</w:t>
            </w:r>
          </w:p>
          <w:p w14:paraId="5AAA9A27" w14:textId="77777777" w:rsidR="007F1B81" w:rsidRPr="005A1CAE" w:rsidRDefault="007F1B81" w:rsidP="00E05594">
            <w:pPr>
              <w:pStyle w:val="Akapitzlist"/>
              <w:numPr>
                <w:ilvl w:val="0"/>
                <w:numId w:val="20"/>
              </w:numPr>
              <w:spacing w:before="0" w:after="0" w:line="257" w:lineRule="auto"/>
              <w:ind w:left="357" w:hanging="357"/>
              <w:rPr>
                <w:noProof/>
                <w:szCs w:val="24"/>
              </w:rPr>
            </w:pPr>
            <w:r w:rsidRPr="005A1CAE">
              <w:rPr>
                <w:noProof/>
              </w:rPr>
              <w:t>pobierania informacji o EORI przedsiębiorcy;</w:t>
            </w:r>
          </w:p>
          <w:p w14:paraId="5DE8AD5F" w14:textId="73BC78B6" w:rsidR="007F1B81" w:rsidRPr="005A1CAE" w:rsidRDefault="007F1B81" w:rsidP="00E05594">
            <w:pPr>
              <w:pStyle w:val="Akapitzlist"/>
              <w:numPr>
                <w:ilvl w:val="0"/>
                <w:numId w:val="20"/>
              </w:numPr>
              <w:spacing w:before="0" w:after="0" w:line="257" w:lineRule="auto"/>
              <w:ind w:left="357" w:hanging="357"/>
              <w:rPr>
                <w:noProof/>
                <w:szCs w:val="24"/>
              </w:rPr>
            </w:pPr>
            <w:r w:rsidRPr="005A1CAE">
              <w:rPr>
                <w:noProof/>
              </w:rPr>
              <w:t>dostępu do ewidencji celnej przywozu</w:t>
            </w:r>
            <w:r w:rsidR="005A1CAE" w:rsidRPr="005A1CAE">
              <w:rPr>
                <w:noProof/>
              </w:rPr>
              <w:t xml:space="preserve"> w</w:t>
            </w:r>
            <w:r w:rsidR="005A1CAE">
              <w:rPr>
                <w:noProof/>
              </w:rPr>
              <w:t> </w:t>
            </w:r>
            <w:r w:rsidR="005A1CAE" w:rsidRPr="005A1CAE">
              <w:rPr>
                <w:noProof/>
              </w:rPr>
              <w:t>sys</w:t>
            </w:r>
            <w:r w:rsidRPr="005A1CAE">
              <w:rPr>
                <w:noProof/>
              </w:rPr>
              <w:t>temie Surveillance 3;</w:t>
            </w:r>
          </w:p>
          <w:p w14:paraId="4250023C" w14:textId="11DAA4F1" w:rsidR="007F1B81" w:rsidRPr="005A1CAE" w:rsidRDefault="007F1B81" w:rsidP="00E05594">
            <w:pPr>
              <w:pStyle w:val="Akapitzlist"/>
              <w:numPr>
                <w:ilvl w:val="0"/>
                <w:numId w:val="20"/>
              </w:numPr>
              <w:spacing w:before="0" w:after="0" w:line="257" w:lineRule="auto"/>
              <w:ind w:left="357" w:hanging="357"/>
              <w:rPr>
                <w:noProof/>
                <w:szCs w:val="24"/>
              </w:rPr>
            </w:pPr>
            <w:r w:rsidRPr="005A1CAE">
              <w:rPr>
                <w:noProof/>
              </w:rPr>
              <w:t>pobierania informacji</w:t>
            </w:r>
            <w:r w:rsidR="005A1CAE" w:rsidRPr="005A1CAE">
              <w:rPr>
                <w:noProof/>
              </w:rPr>
              <w:t xml:space="preserve"> o</w:t>
            </w:r>
            <w:r w:rsidR="005A1CAE">
              <w:rPr>
                <w:noProof/>
              </w:rPr>
              <w:t> </w:t>
            </w:r>
            <w:r w:rsidR="005A1CAE" w:rsidRPr="005A1CAE">
              <w:rPr>
                <w:noProof/>
              </w:rPr>
              <w:t>tow</w:t>
            </w:r>
            <w:r w:rsidRPr="005A1CAE">
              <w:rPr>
                <w:noProof/>
              </w:rPr>
              <w:t>arach CBAM</w:t>
            </w:r>
            <w:r w:rsidR="005A1CAE" w:rsidRPr="005A1CAE">
              <w:rPr>
                <w:noProof/>
              </w:rPr>
              <w:t xml:space="preserve"> z</w:t>
            </w:r>
            <w:r w:rsidR="005A1CAE">
              <w:rPr>
                <w:noProof/>
              </w:rPr>
              <w:t> </w:t>
            </w:r>
            <w:r w:rsidR="005A1CAE" w:rsidRPr="005A1CAE">
              <w:rPr>
                <w:noProof/>
              </w:rPr>
              <w:t>sys</w:t>
            </w:r>
            <w:r w:rsidRPr="005A1CAE">
              <w:rPr>
                <w:noProof/>
              </w:rPr>
              <w:t xml:space="preserve">temu TARIC; </w:t>
            </w:r>
          </w:p>
          <w:p w14:paraId="127280C8" w14:textId="546AA07C" w:rsidR="007F1B81" w:rsidRPr="005A1CAE" w:rsidRDefault="007F1B81" w:rsidP="00E05594">
            <w:pPr>
              <w:pStyle w:val="Akapitzlist"/>
              <w:numPr>
                <w:ilvl w:val="0"/>
                <w:numId w:val="20"/>
              </w:numPr>
              <w:spacing w:before="0" w:after="0" w:line="257" w:lineRule="auto"/>
              <w:ind w:left="357" w:hanging="357"/>
              <w:rPr>
                <w:noProof/>
                <w:szCs w:val="24"/>
              </w:rPr>
            </w:pPr>
            <w:r w:rsidRPr="005A1CAE">
              <w:rPr>
                <w:noProof/>
              </w:rPr>
              <w:t>udostępniania usługi replikacji</w:t>
            </w:r>
            <w:r w:rsidR="005A1CAE" w:rsidRPr="005A1CAE">
              <w:rPr>
                <w:noProof/>
              </w:rPr>
              <w:t xml:space="preserve"> i</w:t>
            </w:r>
            <w:r w:rsidR="005A1CAE">
              <w:rPr>
                <w:noProof/>
              </w:rPr>
              <w:t> </w:t>
            </w:r>
            <w:r w:rsidR="005A1CAE" w:rsidRPr="005A1CAE">
              <w:rPr>
                <w:noProof/>
              </w:rPr>
              <w:t>wal</w:t>
            </w:r>
            <w:r w:rsidRPr="005A1CAE">
              <w:rPr>
                <w:noProof/>
              </w:rPr>
              <w:t>idacji upoważnień CBAM krajowym systemom celnym za pośrednictwem EU CSW-CERTEX oraz</w:t>
            </w:r>
          </w:p>
          <w:p w14:paraId="4DC328FC" w14:textId="27DC4EBA" w:rsidR="007F1B81" w:rsidRPr="005A1CAE" w:rsidRDefault="007F1B81" w:rsidP="00E05594">
            <w:pPr>
              <w:pStyle w:val="Akapitzlist"/>
              <w:numPr>
                <w:ilvl w:val="0"/>
                <w:numId w:val="20"/>
              </w:numPr>
              <w:spacing w:before="0" w:after="0" w:line="257" w:lineRule="auto"/>
              <w:ind w:left="357" w:hanging="357"/>
              <w:rPr>
                <w:noProof/>
                <w:szCs w:val="24"/>
              </w:rPr>
            </w:pPr>
            <w:r w:rsidRPr="005A1CAE">
              <w:rPr>
                <w:noProof/>
              </w:rPr>
              <w:t>wymiany bezpiecznych informacji</w:t>
            </w:r>
            <w:r w:rsidR="005A1CAE" w:rsidRPr="005A1CAE">
              <w:rPr>
                <w:noProof/>
              </w:rPr>
              <w:t xml:space="preserve"> z</w:t>
            </w:r>
            <w:r w:rsidR="005A1CAE">
              <w:rPr>
                <w:noProof/>
              </w:rPr>
              <w:t> </w:t>
            </w:r>
            <w:r w:rsidR="005A1CAE" w:rsidRPr="005A1CAE">
              <w:rPr>
                <w:noProof/>
              </w:rPr>
              <w:t>sys</w:t>
            </w:r>
            <w:r w:rsidRPr="005A1CAE">
              <w:rPr>
                <w:noProof/>
              </w:rPr>
              <w:t xml:space="preserve">temem CRMS2. </w:t>
            </w:r>
          </w:p>
          <w:p w14:paraId="53082B74" w14:textId="77777777" w:rsidR="007F1B81" w:rsidRPr="005A1CAE" w:rsidRDefault="007F1B81" w:rsidP="007F1B81">
            <w:pPr>
              <w:spacing w:before="0" w:line="257" w:lineRule="auto"/>
              <w:rPr>
                <w:noProof/>
                <w:szCs w:val="24"/>
              </w:rPr>
            </w:pPr>
          </w:p>
          <w:p w14:paraId="7B77EE28" w14:textId="134B8073" w:rsidR="007F1B81" w:rsidRPr="005A1CAE" w:rsidRDefault="007F1B81" w:rsidP="007F1B81">
            <w:pPr>
              <w:spacing w:before="0" w:line="257" w:lineRule="auto"/>
              <w:rPr>
                <w:noProof/>
                <w:szCs w:val="24"/>
              </w:rPr>
            </w:pPr>
            <w:r w:rsidRPr="005A1CAE">
              <w:rPr>
                <w:noProof/>
              </w:rPr>
              <w:t>Dostępem użytkowników do portali rejestru CBAM będzie zarządzać UUM&amp;DS, dzięki czemu zainteresowane państwa członkowskie będą mogły ponownie wykorzystać dane uwierzytelniające zgłaszających CBAM</w:t>
            </w:r>
            <w:r w:rsidR="005A1CAE" w:rsidRPr="005A1CAE">
              <w:rPr>
                <w:noProof/>
              </w:rPr>
              <w:t xml:space="preserve"> w</w:t>
            </w:r>
            <w:r w:rsidR="005A1CAE">
              <w:rPr>
                <w:noProof/>
              </w:rPr>
              <w:t> </w:t>
            </w:r>
            <w:r w:rsidR="005A1CAE" w:rsidRPr="005A1CAE">
              <w:rPr>
                <w:noProof/>
              </w:rPr>
              <w:t>sys</w:t>
            </w:r>
            <w:r w:rsidRPr="005A1CAE">
              <w:rPr>
                <w:noProof/>
              </w:rPr>
              <w:t>temach celnych, aby zapewnić im dostęp do portalu CBAM dla zgłaszającego,</w:t>
            </w:r>
            <w:r w:rsidR="005A1CAE" w:rsidRPr="005A1CAE">
              <w:rPr>
                <w:noProof/>
              </w:rPr>
              <w:t xml:space="preserve"> a</w:t>
            </w:r>
            <w:r w:rsidR="005A1CAE">
              <w:rPr>
                <w:noProof/>
              </w:rPr>
              <w:t> </w:t>
            </w:r>
            <w:r w:rsidR="005A1CAE" w:rsidRPr="005A1CAE">
              <w:rPr>
                <w:noProof/>
              </w:rPr>
              <w:t>Kom</w:t>
            </w:r>
            <w:r w:rsidRPr="005A1CAE">
              <w:rPr>
                <w:noProof/>
              </w:rPr>
              <w:t>isja (lub zaufane osoby trzecie) będzie mogła przyznać operatorom instalacji</w:t>
            </w:r>
            <w:r w:rsidR="005A1CAE" w:rsidRPr="005A1CAE">
              <w:rPr>
                <w:noProof/>
              </w:rPr>
              <w:t xml:space="preserve"> w</w:t>
            </w:r>
            <w:r w:rsidR="005A1CAE">
              <w:rPr>
                <w:noProof/>
              </w:rPr>
              <w:t> </w:t>
            </w:r>
            <w:r w:rsidR="005A1CAE" w:rsidRPr="005A1CAE">
              <w:rPr>
                <w:noProof/>
              </w:rPr>
              <w:t>pań</w:t>
            </w:r>
            <w:r w:rsidRPr="005A1CAE">
              <w:rPr>
                <w:noProof/>
              </w:rPr>
              <w:t>stwach trzecich prawo dostępu</w:t>
            </w:r>
            <w:r w:rsidR="005A1CAE" w:rsidRPr="005A1CAE">
              <w:rPr>
                <w:noProof/>
              </w:rPr>
              <w:t xml:space="preserve"> w</w:t>
            </w:r>
            <w:r w:rsidR="005A1CAE">
              <w:rPr>
                <w:noProof/>
              </w:rPr>
              <w:t> </w:t>
            </w:r>
            <w:r w:rsidR="005A1CAE" w:rsidRPr="005A1CAE">
              <w:rPr>
                <w:noProof/>
              </w:rPr>
              <w:t>opa</w:t>
            </w:r>
            <w:r w:rsidRPr="005A1CAE">
              <w:rPr>
                <w:noProof/>
              </w:rPr>
              <w:t>rciu</w:t>
            </w:r>
            <w:r w:rsidR="005A1CAE" w:rsidRPr="005A1CAE">
              <w:rPr>
                <w:noProof/>
              </w:rPr>
              <w:t xml:space="preserve"> o</w:t>
            </w:r>
            <w:r w:rsidR="005A1CAE">
              <w:rPr>
                <w:noProof/>
              </w:rPr>
              <w:t> </w:t>
            </w:r>
            <w:r w:rsidR="005A1CAE" w:rsidRPr="005A1CAE">
              <w:rPr>
                <w:noProof/>
              </w:rPr>
              <w:t>ich</w:t>
            </w:r>
            <w:r w:rsidRPr="005A1CAE">
              <w:rPr>
                <w:noProof/>
              </w:rPr>
              <w:t xml:space="preserve"> dane uwierzytelniające EU Login. Portal dla operatorów instalacji</w:t>
            </w:r>
            <w:r w:rsidR="005A1CAE" w:rsidRPr="005A1CAE">
              <w:rPr>
                <w:noProof/>
              </w:rPr>
              <w:t xml:space="preserve"> w</w:t>
            </w:r>
            <w:r w:rsidR="005A1CAE">
              <w:rPr>
                <w:noProof/>
              </w:rPr>
              <w:t> </w:t>
            </w:r>
            <w:r w:rsidR="005A1CAE" w:rsidRPr="005A1CAE">
              <w:rPr>
                <w:noProof/>
              </w:rPr>
              <w:t>pań</w:t>
            </w:r>
            <w:r w:rsidRPr="005A1CAE">
              <w:rPr>
                <w:noProof/>
              </w:rPr>
              <w:t>stwach trzecich będzie wykorzystywał system UE Access do celów autoryzacji użytkowników oraz będzie opierał się na systemie EU Login do celów uwierzytelniania użytkowników.</w:t>
            </w:r>
          </w:p>
          <w:p w14:paraId="42F87FC0" w14:textId="77777777" w:rsidR="007F1B81" w:rsidRPr="005A1CAE" w:rsidRDefault="007F1B81" w:rsidP="007F1B81">
            <w:pPr>
              <w:spacing w:before="0" w:line="257" w:lineRule="auto"/>
              <w:rPr>
                <w:noProof/>
              </w:rPr>
            </w:pPr>
          </w:p>
          <w:p w14:paraId="5249AF1B" w14:textId="2B3D6567" w:rsidR="007F1B81" w:rsidRPr="005A1CAE" w:rsidRDefault="007F1B81" w:rsidP="007F1B81">
            <w:pPr>
              <w:spacing w:before="0" w:line="264" w:lineRule="auto"/>
              <w:rPr>
                <w:noProof/>
              </w:rPr>
            </w:pPr>
            <w:r w:rsidRPr="005A1CAE">
              <w:rPr>
                <w:noProof/>
              </w:rPr>
              <w:t>W rejestrze CBAM zostanie ponownie wykorzystanych kilka komponentów technologicznych DG TAXUD</w:t>
            </w:r>
            <w:r w:rsidR="005A1CAE" w:rsidRPr="005A1CAE">
              <w:rPr>
                <w:noProof/>
              </w:rPr>
              <w:t xml:space="preserve"> i</w:t>
            </w:r>
            <w:r w:rsidR="005A1CAE">
              <w:rPr>
                <w:noProof/>
              </w:rPr>
              <w:t> </w:t>
            </w:r>
            <w:r w:rsidR="005A1CAE" w:rsidRPr="005A1CAE">
              <w:rPr>
                <w:noProof/>
              </w:rPr>
              <w:t>ins</w:t>
            </w:r>
            <w:r w:rsidRPr="005A1CAE">
              <w:rPr>
                <w:noProof/>
              </w:rPr>
              <w:t>tytucjonalnych systemów informatycznych bez uszczerbku dla zgodności</w:t>
            </w:r>
            <w:r w:rsidR="005A1CAE" w:rsidRPr="005A1CAE">
              <w:rPr>
                <w:noProof/>
              </w:rPr>
              <w:t xml:space="preserve"> z</w:t>
            </w:r>
            <w:r w:rsidR="005A1CAE">
              <w:rPr>
                <w:noProof/>
              </w:rPr>
              <w:t> </w:t>
            </w:r>
            <w:r w:rsidR="005A1CAE" w:rsidRPr="005A1CAE">
              <w:rPr>
                <w:noProof/>
              </w:rPr>
              <w:t>zas</w:t>
            </w:r>
            <w:r w:rsidRPr="005A1CAE">
              <w:rPr>
                <w:noProof/>
              </w:rPr>
              <w:t>adą płynności określoną</w:t>
            </w:r>
            <w:r w:rsidR="005A1CAE" w:rsidRPr="005A1CAE">
              <w:rPr>
                <w:noProof/>
              </w:rPr>
              <w:t xml:space="preserve"> w</w:t>
            </w:r>
            <w:r w:rsidR="005A1CAE">
              <w:rPr>
                <w:noProof/>
              </w:rPr>
              <w:t> </w:t>
            </w:r>
            <w:r w:rsidR="005A1CAE" w:rsidRPr="005A1CAE">
              <w:rPr>
                <w:noProof/>
              </w:rPr>
              <w:t>prz</w:t>
            </w:r>
            <w:r w:rsidRPr="005A1CAE">
              <w:rPr>
                <w:noProof/>
              </w:rPr>
              <w:t>eglądzie architektury</w:t>
            </w:r>
            <w:r w:rsidR="005A1CAE" w:rsidRPr="005A1CAE">
              <w:rPr>
                <w:noProof/>
              </w:rPr>
              <w:t xml:space="preserve"> w</w:t>
            </w:r>
            <w:r w:rsidR="005A1CAE">
              <w:rPr>
                <w:noProof/>
              </w:rPr>
              <w:t> </w:t>
            </w:r>
            <w:r w:rsidR="005A1CAE" w:rsidRPr="005A1CAE">
              <w:rPr>
                <w:noProof/>
              </w:rPr>
              <w:t>zał</w:t>
            </w:r>
            <w:r w:rsidRPr="005A1CAE">
              <w:rPr>
                <w:noProof/>
              </w:rPr>
              <w:t>ączniku 2,</w:t>
            </w:r>
            <w:r w:rsidR="005A1CAE" w:rsidRPr="005A1CAE">
              <w:rPr>
                <w:noProof/>
              </w:rPr>
              <w:t xml:space="preserve"> a</w:t>
            </w:r>
            <w:r w:rsidR="005A1CAE">
              <w:rPr>
                <w:noProof/>
              </w:rPr>
              <w:t> </w:t>
            </w:r>
            <w:r w:rsidR="005A1CAE" w:rsidRPr="005A1CAE">
              <w:rPr>
                <w:noProof/>
              </w:rPr>
              <w:t>mia</w:t>
            </w:r>
            <w:r w:rsidRPr="005A1CAE">
              <w:rPr>
                <w:noProof/>
              </w:rPr>
              <w:t>nowicie:</w:t>
            </w:r>
          </w:p>
          <w:p w14:paraId="6FCF8E26" w14:textId="4D30C075" w:rsidR="007F1B81" w:rsidRPr="005A1CAE" w:rsidRDefault="007F1B81" w:rsidP="00E05594">
            <w:pPr>
              <w:pStyle w:val="Akapitzlist"/>
              <w:numPr>
                <w:ilvl w:val="0"/>
                <w:numId w:val="19"/>
              </w:numPr>
              <w:spacing w:before="0" w:after="0" w:line="257" w:lineRule="auto"/>
              <w:ind w:left="1077" w:hanging="357"/>
              <w:rPr>
                <w:noProof/>
                <w:szCs w:val="24"/>
              </w:rPr>
            </w:pPr>
            <w:r w:rsidRPr="005A1CAE">
              <w:rPr>
                <w:noProof/>
              </w:rPr>
              <w:t>architektura oprogramowania pośredniczącego TSOAP DG TAXUD, która zostanie ponownie wykorzystana</w:t>
            </w:r>
            <w:r w:rsidR="005A1CAE" w:rsidRPr="005A1CAE">
              <w:rPr>
                <w:noProof/>
              </w:rPr>
              <w:t xml:space="preserve"> w</w:t>
            </w:r>
            <w:r w:rsidR="005A1CAE">
              <w:rPr>
                <w:noProof/>
              </w:rPr>
              <w:t> </w:t>
            </w:r>
            <w:r w:rsidR="005A1CAE" w:rsidRPr="005A1CAE">
              <w:rPr>
                <w:noProof/>
              </w:rPr>
              <w:t>każ</w:t>
            </w:r>
            <w:r w:rsidRPr="005A1CAE">
              <w:rPr>
                <w:noProof/>
              </w:rPr>
              <w:t>dym</w:t>
            </w:r>
            <w:r w:rsidR="005A1CAE" w:rsidRPr="005A1CAE">
              <w:rPr>
                <w:noProof/>
              </w:rPr>
              <w:t xml:space="preserve"> z</w:t>
            </w:r>
            <w:r w:rsidR="005A1CAE">
              <w:rPr>
                <w:noProof/>
              </w:rPr>
              <w:t> </w:t>
            </w:r>
            <w:r w:rsidR="005A1CAE" w:rsidRPr="005A1CAE">
              <w:rPr>
                <w:noProof/>
              </w:rPr>
              <w:t>mod</w:t>
            </w:r>
            <w:r w:rsidRPr="005A1CAE">
              <w:rPr>
                <w:noProof/>
              </w:rPr>
              <w:t>ułów rejestru CBAM;</w:t>
            </w:r>
          </w:p>
          <w:p w14:paraId="088D44DD" w14:textId="12E5CD22" w:rsidR="007F1B81" w:rsidRPr="005A1CAE" w:rsidRDefault="007F1B81" w:rsidP="00E05594">
            <w:pPr>
              <w:pStyle w:val="Akapitzlist"/>
              <w:numPr>
                <w:ilvl w:val="0"/>
                <w:numId w:val="19"/>
              </w:numPr>
              <w:spacing w:before="0" w:after="0" w:line="257" w:lineRule="auto"/>
              <w:ind w:left="1077" w:hanging="357"/>
              <w:rPr>
                <w:noProof/>
                <w:szCs w:val="24"/>
              </w:rPr>
            </w:pPr>
            <w:r w:rsidRPr="005A1CAE">
              <w:rPr>
                <w:noProof/>
              </w:rPr>
              <w:t>monitorowanie</w:t>
            </w:r>
            <w:r w:rsidR="005A1CAE" w:rsidRPr="005A1CAE">
              <w:rPr>
                <w:noProof/>
              </w:rPr>
              <w:t xml:space="preserve"> i</w:t>
            </w:r>
            <w:r w:rsidR="005A1CAE">
              <w:rPr>
                <w:noProof/>
              </w:rPr>
              <w:t> </w:t>
            </w:r>
            <w:r w:rsidR="005A1CAE" w:rsidRPr="005A1CAE">
              <w:rPr>
                <w:noProof/>
              </w:rPr>
              <w:t>aud</w:t>
            </w:r>
            <w:r w:rsidRPr="005A1CAE">
              <w:rPr>
                <w:noProof/>
              </w:rPr>
              <w:t>yt COTS ELK</w:t>
            </w:r>
            <w:r w:rsidR="005A1CAE" w:rsidRPr="005A1CAE">
              <w:rPr>
                <w:noProof/>
              </w:rPr>
              <w:t xml:space="preserve"> i</w:t>
            </w:r>
            <w:r w:rsidR="005A1CAE">
              <w:rPr>
                <w:noProof/>
              </w:rPr>
              <w:t> </w:t>
            </w:r>
            <w:r w:rsidR="005A1CAE" w:rsidRPr="005A1CAE">
              <w:rPr>
                <w:noProof/>
              </w:rPr>
              <w:t>Kaf</w:t>
            </w:r>
            <w:r w:rsidRPr="005A1CAE">
              <w:rPr>
                <w:noProof/>
              </w:rPr>
              <w:t>ka;</w:t>
            </w:r>
          </w:p>
          <w:p w14:paraId="2E978BE8" w14:textId="77777777" w:rsidR="007F1B81" w:rsidRPr="005A1CAE" w:rsidRDefault="007F1B81" w:rsidP="00E05594">
            <w:pPr>
              <w:pStyle w:val="Akapitzlist"/>
              <w:numPr>
                <w:ilvl w:val="0"/>
                <w:numId w:val="19"/>
              </w:numPr>
              <w:spacing w:before="0" w:after="0" w:line="257" w:lineRule="auto"/>
              <w:ind w:left="1077" w:hanging="357"/>
              <w:rPr>
                <w:noProof/>
                <w:szCs w:val="24"/>
              </w:rPr>
            </w:pPr>
            <w:r w:rsidRPr="005A1CAE">
              <w:rPr>
                <w:noProof/>
              </w:rPr>
              <w:t>źródła zarządzania ramami aplikacji celnych (TATAFng) DG TAXUD;</w:t>
            </w:r>
          </w:p>
          <w:p w14:paraId="06DF10E9" w14:textId="43A4DC0E" w:rsidR="007F1B81" w:rsidRPr="005A1CAE" w:rsidRDefault="007F1B81" w:rsidP="00E05594">
            <w:pPr>
              <w:pStyle w:val="Akapitzlist"/>
              <w:numPr>
                <w:ilvl w:val="0"/>
                <w:numId w:val="19"/>
              </w:numPr>
              <w:spacing w:before="0" w:after="0" w:line="257" w:lineRule="auto"/>
              <w:ind w:left="1077" w:hanging="357"/>
              <w:rPr>
                <w:noProof/>
                <w:szCs w:val="24"/>
              </w:rPr>
            </w:pPr>
            <w:r w:rsidRPr="005A1CAE">
              <w:rPr>
                <w:noProof/>
              </w:rPr>
              <w:t>dokumentacja</w:t>
            </w:r>
            <w:r w:rsidR="005A1CAE" w:rsidRPr="005A1CAE">
              <w:rPr>
                <w:noProof/>
              </w:rPr>
              <w:t xml:space="preserve"> i</w:t>
            </w:r>
            <w:r w:rsidR="005A1CAE">
              <w:rPr>
                <w:noProof/>
              </w:rPr>
              <w:t> </w:t>
            </w:r>
            <w:r w:rsidR="005A1CAE" w:rsidRPr="005A1CAE">
              <w:rPr>
                <w:noProof/>
              </w:rPr>
              <w:t>kod</w:t>
            </w:r>
            <w:r w:rsidRPr="005A1CAE">
              <w:rPr>
                <w:noProof/>
              </w:rPr>
              <w:t xml:space="preserve"> źródłowy systemu zarządzania decyzjami celnymi DG TAXUD na potrzeby budowy systemu upoważnień CBAM;</w:t>
            </w:r>
          </w:p>
          <w:p w14:paraId="36987504" w14:textId="6019E7F8" w:rsidR="007F1B81" w:rsidRPr="005A1CAE" w:rsidRDefault="007F1B81" w:rsidP="00E05594">
            <w:pPr>
              <w:pStyle w:val="Akapitzlist"/>
              <w:numPr>
                <w:ilvl w:val="0"/>
                <w:numId w:val="19"/>
              </w:numPr>
              <w:spacing w:before="0" w:after="0" w:line="257" w:lineRule="auto"/>
              <w:ind w:left="1077" w:hanging="357"/>
              <w:rPr>
                <w:noProof/>
                <w:szCs w:val="24"/>
              </w:rPr>
            </w:pPr>
            <w:r w:rsidRPr="005A1CAE">
              <w:rPr>
                <w:noProof/>
              </w:rPr>
              <w:t>dokumentacja</w:t>
            </w:r>
            <w:r w:rsidR="005A1CAE" w:rsidRPr="005A1CAE">
              <w:rPr>
                <w:noProof/>
              </w:rPr>
              <w:t xml:space="preserve"> i</w:t>
            </w:r>
            <w:r w:rsidR="005A1CAE">
              <w:rPr>
                <w:noProof/>
              </w:rPr>
              <w:t> </w:t>
            </w:r>
            <w:r w:rsidR="005A1CAE" w:rsidRPr="005A1CAE">
              <w:rPr>
                <w:noProof/>
              </w:rPr>
              <w:t>kod</w:t>
            </w:r>
            <w:r w:rsidRPr="005A1CAE">
              <w:rPr>
                <w:noProof/>
              </w:rPr>
              <w:t xml:space="preserve"> źródłowy bazy referencyjnej pozwoleń celnych DG TAXUD na potrzeby udostępniania krajowym systemom celnym upoważnień CBAM, które mają być kontrolowane podczas odprawy przywozowej;</w:t>
            </w:r>
          </w:p>
          <w:p w14:paraId="11CDE10A" w14:textId="5E9CA69C" w:rsidR="007F1B81" w:rsidRPr="005A1CAE" w:rsidRDefault="007F1B81" w:rsidP="00E05594">
            <w:pPr>
              <w:pStyle w:val="Akapitzlist"/>
              <w:numPr>
                <w:ilvl w:val="0"/>
                <w:numId w:val="19"/>
              </w:numPr>
              <w:spacing w:before="0" w:after="0" w:line="257" w:lineRule="auto"/>
              <w:ind w:left="1077" w:hanging="357"/>
              <w:rPr>
                <w:noProof/>
              </w:rPr>
            </w:pPr>
            <w:r w:rsidRPr="005A1CAE">
              <w:rPr>
                <w:noProof/>
              </w:rPr>
              <w:t>dokumentację</w:t>
            </w:r>
            <w:r w:rsidR="005A1CAE" w:rsidRPr="005A1CAE">
              <w:rPr>
                <w:noProof/>
              </w:rPr>
              <w:t xml:space="preserve"> i</w:t>
            </w:r>
            <w:r w:rsidR="005A1CAE">
              <w:rPr>
                <w:noProof/>
              </w:rPr>
              <w:t> </w:t>
            </w:r>
            <w:r w:rsidR="005A1CAE" w:rsidRPr="005A1CAE">
              <w:rPr>
                <w:noProof/>
              </w:rPr>
              <w:t>kod</w:t>
            </w:r>
            <w:r w:rsidRPr="005A1CAE">
              <w:rPr>
                <w:noProof/>
              </w:rPr>
              <w:t xml:space="preserve"> źródłowy systemu zarządzania ryzykiem celnym 2 (CRMS2) DG TAXUD na potrzeby zapewnienia portalu wymiany informacji dotyczących ryzyka; dokumentację</w:t>
            </w:r>
            <w:r w:rsidR="005A1CAE" w:rsidRPr="005A1CAE">
              <w:rPr>
                <w:noProof/>
              </w:rPr>
              <w:t xml:space="preserve"> i</w:t>
            </w:r>
            <w:r w:rsidR="005A1CAE">
              <w:rPr>
                <w:noProof/>
              </w:rPr>
              <w:t> </w:t>
            </w:r>
            <w:r w:rsidR="005A1CAE" w:rsidRPr="005A1CAE">
              <w:rPr>
                <w:noProof/>
              </w:rPr>
              <w:t>kod</w:t>
            </w:r>
            <w:r w:rsidRPr="005A1CAE">
              <w:rPr>
                <w:noProof/>
              </w:rPr>
              <w:t xml:space="preserve"> źródłowy systemu zarządzania ryzykiem celnym 2 (CRMS2) DG TAXUD na potrzeby zapewnienia portalu wymiany informacji dotyczących ryzyka Rsecure;</w:t>
            </w:r>
          </w:p>
          <w:p w14:paraId="223EF428" w14:textId="7DABC912" w:rsidR="007F1B81" w:rsidRPr="005A1CAE" w:rsidRDefault="007F1B81" w:rsidP="00E05594">
            <w:pPr>
              <w:pStyle w:val="Akapitzlist"/>
              <w:numPr>
                <w:ilvl w:val="0"/>
                <w:numId w:val="19"/>
              </w:numPr>
              <w:spacing w:before="0" w:after="0" w:line="257" w:lineRule="auto"/>
              <w:ind w:left="1077" w:hanging="357"/>
              <w:rPr>
                <w:noProof/>
                <w:szCs w:val="24"/>
              </w:rPr>
            </w:pPr>
            <w:r w:rsidRPr="005A1CAE">
              <w:rPr>
                <w:noProof/>
              </w:rPr>
              <w:t>metodyka DG TAXUD TEMPO,</w:t>
            </w:r>
            <w:r w:rsidR="005A1CAE" w:rsidRPr="005A1CAE">
              <w:rPr>
                <w:noProof/>
              </w:rPr>
              <w:t xml:space="preserve"> w</w:t>
            </w:r>
            <w:r w:rsidR="005A1CAE">
              <w:rPr>
                <w:noProof/>
              </w:rPr>
              <w:t> </w:t>
            </w:r>
            <w:r w:rsidR="005A1CAE" w:rsidRPr="005A1CAE">
              <w:rPr>
                <w:noProof/>
              </w:rPr>
              <w:t>tym</w:t>
            </w:r>
            <w:r w:rsidRPr="005A1CAE">
              <w:rPr>
                <w:noProof/>
              </w:rPr>
              <w:t xml:space="preserve"> PM</w:t>
            </w:r>
            <w:r w:rsidRPr="005A1CAE">
              <w:rPr>
                <w:noProof/>
                <w:vertAlign w:val="superscript"/>
              </w:rPr>
              <w:t>2</w:t>
            </w:r>
            <w:r w:rsidRPr="005A1CAE">
              <w:rPr>
                <w:noProof/>
              </w:rPr>
              <w:t>;</w:t>
            </w:r>
          </w:p>
          <w:p w14:paraId="64296CDC" w14:textId="4C0768CF" w:rsidR="007F1B81" w:rsidRPr="005A1CAE" w:rsidRDefault="007F1B81" w:rsidP="00E05594">
            <w:pPr>
              <w:pStyle w:val="Akapitzlist"/>
              <w:numPr>
                <w:ilvl w:val="0"/>
                <w:numId w:val="19"/>
              </w:numPr>
              <w:spacing w:before="0" w:after="0" w:line="257" w:lineRule="auto"/>
              <w:ind w:left="1077" w:hanging="357"/>
              <w:rPr>
                <w:noProof/>
                <w:szCs w:val="24"/>
              </w:rPr>
            </w:pPr>
            <w:r w:rsidRPr="005A1CAE">
              <w:rPr>
                <w:noProof/>
              </w:rPr>
              <w:t>dopóki obsługa rejestru CBAM będzie należała do zadań DG TAXUD – dwa centra danych DG TAXUD na potrzeby testowania</w:t>
            </w:r>
            <w:r w:rsidR="005A1CAE" w:rsidRPr="005A1CAE">
              <w:rPr>
                <w:noProof/>
              </w:rPr>
              <w:t xml:space="preserve"> i</w:t>
            </w:r>
            <w:r w:rsidR="005A1CAE">
              <w:rPr>
                <w:noProof/>
              </w:rPr>
              <w:t> </w:t>
            </w:r>
            <w:r w:rsidR="005A1CAE" w:rsidRPr="005A1CAE">
              <w:rPr>
                <w:noProof/>
              </w:rPr>
              <w:t>int</w:t>
            </w:r>
            <w:r w:rsidRPr="005A1CAE">
              <w:rPr>
                <w:noProof/>
              </w:rPr>
              <w:t>egracji, wraz</w:t>
            </w:r>
            <w:r w:rsidR="005A1CAE" w:rsidRPr="005A1CAE">
              <w:rPr>
                <w:noProof/>
              </w:rPr>
              <w:t xml:space="preserve"> z</w:t>
            </w:r>
            <w:r w:rsidR="005A1CAE">
              <w:rPr>
                <w:noProof/>
              </w:rPr>
              <w:t> </w:t>
            </w:r>
            <w:r w:rsidR="005A1CAE" w:rsidRPr="005A1CAE">
              <w:rPr>
                <w:noProof/>
              </w:rPr>
              <w:t>ich</w:t>
            </w:r>
            <w:r w:rsidRPr="005A1CAE">
              <w:rPr>
                <w:noProof/>
              </w:rPr>
              <w:t xml:space="preserve"> zaporami sieciowymi, aktywno-aktywnymi klastrami, bilansowaniem obciążenia</w:t>
            </w:r>
            <w:r w:rsidR="005A1CAE" w:rsidRPr="005A1CAE">
              <w:rPr>
                <w:noProof/>
              </w:rPr>
              <w:t xml:space="preserve"> </w:t>
            </w:r>
            <w:r w:rsidR="005A1CAE" w:rsidRPr="005A1CAE">
              <w:rPr>
                <w:noProof/>
              </w:rPr>
              <w:lastRenderedPageBreak/>
              <w:t>i</w:t>
            </w:r>
            <w:r w:rsidR="005A1CAE">
              <w:rPr>
                <w:noProof/>
              </w:rPr>
              <w:t> </w:t>
            </w:r>
            <w:r w:rsidR="005A1CAE" w:rsidRPr="005A1CAE">
              <w:rPr>
                <w:noProof/>
              </w:rPr>
              <w:t>dwo</w:t>
            </w:r>
            <w:r w:rsidRPr="005A1CAE">
              <w:rPr>
                <w:noProof/>
              </w:rPr>
              <w:t>ma aktywno-pasywnymi centrami danych, aby zapewnić skalowalność, wysoką dostępność</w:t>
            </w:r>
            <w:r w:rsidR="005A1CAE" w:rsidRPr="005A1CAE">
              <w:rPr>
                <w:noProof/>
              </w:rPr>
              <w:t xml:space="preserve"> i</w:t>
            </w:r>
            <w:r w:rsidR="005A1CAE">
              <w:rPr>
                <w:noProof/>
              </w:rPr>
              <w:t> </w:t>
            </w:r>
            <w:r w:rsidR="005A1CAE" w:rsidRPr="005A1CAE">
              <w:rPr>
                <w:noProof/>
              </w:rPr>
              <w:t>prz</w:t>
            </w:r>
            <w:r w:rsidRPr="005A1CAE">
              <w:rPr>
                <w:noProof/>
              </w:rPr>
              <w:t>ywrócenie gotowości do pracy po wystąpieniu sytuacji nadzwyczajnej, czyli elementy zabezpieczeń potrzebnych</w:t>
            </w:r>
            <w:r w:rsidR="005A1CAE" w:rsidRPr="005A1CAE">
              <w:rPr>
                <w:noProof/>
              </w:rPr>
              <w:t xml:space="preserve"> w</w:t>
            </w:r>
            <w:r w:rsidR="005A1CAE">
              <w:rPr>
                <w:noProof/>
              </w:rPr>
              <w:t> </w:t>
            </w:r>
            <w:r w:rsidR="005A1CAE" w:rsidRPr="005A1CAE">
              <w:rPr>
                <w:noProof/>
              </w:rPr>
              <w:t>rej</w:t>
            </w:r>
            <w:r w:rsidRPr="005A1CAE">
              <w:rPr>
                <w:noProof/>
              </w:rPr>
              <w:t>estrze CBAM.</w:t>
            </w:r>
          </w:p>
          <w:p w14:paraId="244214F5" w14:textId="0E692DD5" w:rsidR="007F1B81" w:rsidRPr="005A1CAE" w:rsidRDefault="007F1B81" w:rsidP="007F1B81">
            <w:pPr>
              <w:spacing w:before="0" w:line="257" w:lineRule="auto"/>
              <w:rPr>
                <w:noProof/>
              </w:rPr>
            </w:pPr>
            <w:r w:rsidRPr="005A1CAE">
              <w:rPr>
                <w:noProof/>
              </w:rPr>
              <w:t>Należy zauważyć, że od</w:t>
            </w:r>
            <w:r w:rsidR="005A1CAE" w:rsidRPr="005A1CAE">
              <w:rPr>
                <w:noProof/>
              </w:rPr>
              <w:t> </w:t>
            </w:r>
            <w:r w:rsidRPr="005A1CAE">
              <w:rPr>
                <w:noProof/>
              </w:rPr>
              <w:t>2014</w:t>
            </w:r>
            <w:r w:rsidR="005A1CAE" w:rsidRPr="005A1CAE">
              <w:rPr>
                <w:noProof/>
              </w:rPr>
              <w:t> </w:t>
            </w:r>
            <w:r w:rsidRPr="005A1CAE">
              <w:rPr>
                <w:noProof/>
              </w:rPr>
              <w:t>r. DG TAXUD stosuje się do wszystkich zaleceń DIGIT przy opracowywaniu usług aplikacji biznesowych, usług</w:t>
            </w:r>
            <w:r w:rsidR="005A1CAE" w:rsidRPr="005A1CAE">
              <w:rPr>
                <w:noProof/>
              </w:rPr>
              <w:t xml:space="preserve"> w</w:t>
            </w:r>
            <w:r w:rsidR="005A1CAE">
              <w:rPr>
                <w:noProof/>
              </w:rPr>
              <w:t> </w:t>
            </w:r>
            <w:r w:rsidR="005A1CAE" w:rsidRPr="005A1CAE">
              <w:rPr>
                <w:noProof/>
              </w:rPr>
              <w:t>zak</w:t>
            </w:r>
            <w:r w:rsidRPr="005A1CAE">
              <w:rPr>
                <w:noProof/>
              </w:rPr>
              <w:t>resie danych</w:t>
            </w:r>
            <w:r w:rsidR="005A1CAE" w:rsidRPr="005A1CAE">
              <w:rPr>
                <w:noProof/>
              </w:rPr>
              <w:t xml:space="preserve"> i</w:t>
            </w:r>
            <w:r w:rsidR="005A1CAE">
              <w:rPr>
                <w:noProof/>
              </w:rPr>
              <w:t> </w:t>
            </w:r>
            <w:r w:rsidR="005A1CAE" w:rsidRPr="005A1CAE">
              <w:rPr>
                <w:noProof/>
              </w:rPr>
              <w:t>usł</w:t>
            </w:r>
            <w:r w:rsidRPr="005A1CAE">
              <w:rPr>
                <w:noProof/>
              </w:rPr>
              <w:t>ug użyteczności publicznej na potrzeby swoich aplikacji SOA.</w:t>
            </w:r>
          </w:p>
          <w:p w14:paraId="162AB719" w14:textId="1C37B0BB" w:rsidR="007F1B81" w:rsidRPr="005A1CAE" w:rsidRDefault="007F1B81" w:rsidP="007F1B81">
            <w:pPr>
              <w:spacing w:before="0" w:line="264" w:lineRule="auto"/>
              <w:rPr>
                <w:noProof/>
              </w:rPr>
            </w:pPr>
            <w:r w:rsidRPr="005A1CAE">
              <w:rPr>
                <w:b/>
                <w:noProof/>
                <w:u w:val="single"/>
              </w:rPr>
              <w:t>Możliwość ponownego wykorzystania unijnych usług</w:t>
            </w:r>
            <w:r w:rsidR="005A1CAE" w:rsidRPr="005A1CAE">
              <w:rPr>
                <w:b/>
                <w:noProof/>
                <w:u w:val="single"/>
              </w:rPr>
              <w:t xml:space="preserve"> i</w:t>
            </w:r>
            <w:r w:rsidR="005A1CAE">
              <w:rPr>
                <w:b/>
                <w:noProof/>
                <w:u w:val="single"/>
              </w:rPr>
              <w:t> </w:t>
            </w:r>
            <w:r w:rsidR="005A1CAE" w:rsidRPr="005A1CAE">
              <w:rPr>
                <w:b/>
                <w:noProof/>
                <w:u w:val="single"/>
              </w:rPr>
              <w:t>kom</w:t>
            </w:r>
            <w:r w:rsidRPr="005A1CAE">
              <w:rPr>
                <w:b/>
                <w:noProof/>
                <w:u w:val="single"/>
              </w:rPr>
              <w:t>ponentów korporacyjnych</w:t>
            </w:r>
          </w:p>
          <w:p w14:paraId="7FBF077B" w14:textId="4FC678F1" w:rsidR="007F1B81" w:rsidRPr="005A1CAE" w:rsidRDefault="007F1B81" w:rsidP="007F1B81">
            <w:pPr>
              <w:spacing w:before="0" w:line="257" w:lineRule="auto"/>
              <w:rPr>
                <w:noProof/>
              </w:rPr>
            </w:pPr>
            <w:r w:rsidRPr="005A1CAE">
              <w:rPr>
                <w:noProof/>
              </w:rPr>
              <w:t>Rejestr CBAM będzie wykorzystywał system EU Login do uwierzytelnienia zgłaszających CBAM</w:t>
            </w:r>
            <w:r w:rsidR="005A1CAE" w:rsidRPr="005A1CAE">
              <w:rPr>
                <w:noProof/>
              </w:rPr>
              <w:t xml:space="preserve"> z</w:t>
            </w:r>
            <w:r w:rsidR="005A1CAE">
              <w:rPr>
                <w:noProof/>
              </w:rPr>
              <w:t> </w:t>
            </w:r>
            <w:r w:rsidR="005A1CAE" w:rsidRPr="005A1CAE">
              <w:rPr>
                <w:noProof/>
              </w:rPr>
              <w:t>pań</w:t>
            </w:r>
            <w:r w:rsidRPr="005A1CAE">
              <w:rPr>
                <w:noProof/>
              </w:rPr>
              <w:t>stw członkowskich sklasyfikowanych</w:t>
            </w:r>
            <w:r w:rsidR="005A1CAE" w:rsidRPr="005A1CAE">
              <w:rPr>
                <w:noProof/>
              </w:rPr>
              <w:t xml:space="preserve"> w</w:t>
            </w:r>
            <w:r w:rsidR="005A1CAE">
              <w:rPr>
                <w:noProof/>
              </w:rPr>
              <w:t> </w:t>
            </w:r>
            <w:r w:rsidR="005A1CAE" w:rsidRPr="005A1CAE">
              <w:rPr>
                <w:noProof/>
              </w:rPr>
              <w:t>sys</w:t>
            </w:r>
            <w:r w:rsidRPr="005A1CAE">
              <w:rPr>
                <w:noProof/>
              </w:rPr>
              <w:t>temie UUM&amp;DS jako typ D, operatorów instalacji</w:t>
            </w:r>
            <w:r w:rsidR="005A1CAE" w:rsidRPr="005A1CAE">
              <w:rPr>
                <w:noProof/>
              </w:rPr>
              <w:t xml:space="preserve"> w</w:t>
            </w:r>
            <w:r w:rsidR="005A1CAE">
              <w:rPr>
                <w:noProof/>
              </w:rPr>
              <w:t> </w:t>
            </w:r>
            <w:r w:rsidR="005A1CAE" w:rsidRPr="005A1CAE">
              <w:rPr>
                <w:noProof/>
              </w:rPr>
              <w:t>pań</w:t>
            </w:r>
            <w:r w:rsidRPr="005A1CAE">
              <w:rPr>
                <w:noProof/>
              </w:rPr>
              <w:t>stwach trzecich oraz wszystkich urzędników właściwych organów krajowych, Komisji, krajowych administracji celnych</w:t>
            </w:r>
            <w:r w:rsidR="005A1CAE" w:rsidRPr="005A1CAE">
              <w:rPr>
                <w:noProof/>
              </w:rPr>
              <w:t xml:space="preserve"> i</w:t>
            </w:r>
            <w:r w:rsidR="005A1CAE">
              <w:rPr>
                <w:noProof/>
              </w:rPr>
              <w:t> </w:t>
            </w:r>
            <w:r w:rsidR="005A1CAE" w:rsidRPr="005A1CAE">
              <w:rPr>
                <w:noProof/>
              </w:rPr>
              <w:t>inn</w:t>
            </w:r>
            <w:r w:rsidRPr="005A1CAE">
              <w:rPr>
                <w:noProof/>
              </w:rPr>
              <w:t>ych służb Komisji. Rejestr CBAM będzie korzystał</w:t>
            </w:r>
            <w:r w:rsidR="005A1CAE" w:rsidRPr="005A1CAE">
              <w:rPr>
                <w:noProof/>
              </w:rPr>
              <w:t xml:space="preserve"> z</w:t>
            </w:r>
            <w:r w:rsidR="005A1CAE">
              <w:rPr>
                <w:noProof/>
              </w:rPr>
              <w:t> </w:t>
            </w:r>
            <w:r w:rsidR="005A1CAE" w:rsidRPr="005A1CAE">
              <w:rPr>
                <w:noProof/>
              </w:rPr>
              <w:t>sie</w:t>
            </w:r>
            <w:r w:rsidRPr="005A1CAE">
              <w:rPr>
                <w:noProof/>
              </w:rPr>
              <w:t>ci identyfikacji elektronicznej organów celnych eIDAS</w:t>
            </w:r>
            <w:r w:rsidR="005A1CAE" w:rsidRPr="005A1CAE">
              <w:rPr>
                <w:noProof/>
              </w:rPr>
              <w:t xml:space="preserve"> w</w:t>
            </w:r>
            <w:r w:rsidR="005A1CAE">
              <w:rPr>
                <w:noProof/>
              </w:rPr>
              <w:t> </w:t>
            </w:r>
            <w:r w:rsidR="005A1CAE" w:rsidRPr="005A1CAE">
              <w:rPr>
                <w:noProof/>
              </w:rPr>
              <w:t>cel</w:t>
            </w:r>
            <w:r w:rsidRPr="005A1CAE">
              <w:rPr>
                <w:noProof/>
              </w:rPr>
              <w:t>u uwierzytelnienia zgłaszających CBAM</w:t>
            </w:r>
            <w:r w:rsidR="005A1CAE" w:rsidRPr="005A1CAE">
              <w:rPr>
                <w:noProof/>
              </w:rPr>
              <w:t xml:space="preserve"> z</w:t>
            </w:r>
            <w:r w:rsidR="005A1CAE">
              <w:rPr>
                <w:noProof/>
              </w:rPr>
              <w:t> </w:t>
            </w:r>
            <w:r w:rsidR="005A1CAE" w:rsidRPr="005A1CAE">
              <w:rPr>
                <w:noProof/>
              </w:rPr>
              <w:t>pań</w:t>
            </w:r>
            <w:r w:rsidRPr="005A1CAE">
              <w:rPr>
                <w:noProof/>
              </w:rPr>
              <w:t>stw członkowskich sklasyfikowanych</w:t>
            </w:r>
            <w:r w:rsidR="005A1CAE" w:rsidRPr="005A1CAE">
              <w:rPr>
                <w:noProof/>
              </w:rPr>
              <w:t xml:space="preserve"> w</w:t>
            </w:r>
            <w:r w:rsidR="005A1CAE">
              <w:rPr>
                <w:noProof/>
              </w:rPr>
              <w:t> </w:t>
            </w:r>
            <w:r w:rsidR="005A1CAE" w:rsidRPr="005A1CAE">
              <w:rPr>
                <w:noProof/>
              </w:rPr>
              <w:t>sys</w:t>
            </w:r>
            <w:r w:rsidRPr="005A1CAE">
              <w:rPr>
                <w:noProof/>
              </w:rPr>
              <w:t xml:space="preserve">temie UUM&amp;DS jako typ A, B lub C. </w:t>
            </w:r>
          </w:p>
          <w:p w14:paraId="5E8EEBDF" w14:textId="77777777" w:rsidR="007F1B81" w:rsidRPr="005A1CAE" w:rsidRDefault="007F1B81" w:rsidP="007F1B81">
            <w:pPr>
              <w:spacing w:before="0" w:line="257" w:lineRule="auto"/>
              <w:rPr>
                <w:noProof/>
              </w:rPr>
            </w:pPr>
            <w:r w:rsidRPr="005A1CAE">
              <w:rPr>
                <w:noProof/>
              </w:rPr>
              <w:t>Rejestr CBAM będzie wykorzystywał UUM&amp;DS i UE Access do udzielania upoważnień wszystkim użytkownikom.</w:t>
            </w:r>
          </w:p>
          <w:p w14:paraId="2BFBC352" w14:textId="27C5D34E" w:rsidR="007F1B81" w:rsidRPr="005A1CAE" w:rsidRDefault="007F1B81" w:rsidP="007F1B81">
            <w:pPr>
              <w:spacing w:before="0" w:line="257" w:lineRule="auto"/>
              <w:rPr>
                <w:noProof/>
                <w:szCs w:val="24"/>
              </w:rPr>
            </w:pPr>
            <w:r w:rsidRPr="005A1CAE">
              <w:rPr>
                <w:noProof/>
              </w:rPr>
              <w:t>Możliwość pełnego przejścia</w:t>
            </w:r>
            <w:r w:rsidR="005A1CAE" w:rsidRPr="005A1CAE">
              <w:rPr>
                <w:noProof/>
              </w:rPr>
              <w:t xml:space="preserve"> z</w:t>
            </w:r>
            <w:r w:rsidR="005A1CAE">
              <w:rPr>
                <w:noProof/>
              </w:rPr>
              <w:t> </w:t>
            </w:r>
            <w:r w:rsidR="005A1CAE" w:rsidRPr="005A1CAE">
              <w:rPr>
                <w:noProof/>
              </w:rPr>
              <w:t>sys</w:t>
            </w:r>
            <w:r w:rsidRPr="005A1CAE">
              <w:rPr>
                <w:noProof/>
              </w:rPr>
              <w:t>temu UUM&amp;DS do systemu UE Access zostanie rozważona, gdy system UE Access zacznie oferować wszystkie funkcje UUM&amp;DS,</w:t>
            </w:r>
            <w:r w:rsidR="005A1CAE" w:rsidRPr="005A1CAE">
              <w:rPr>
                <w:noProof/>
              </w:rPr>
              <w:t xml:space="preserve"> w</w:t>
            </w:r>
            <w:r w:rsidR="005A1CAE">
              <w:rPr>
                <w:noProof/>
              </w:rPr>
              <w:t> </w:t>
            </w:r>
            <w:r w:rsidR="005A1CAE" w:rsidRPr="005A1CAE">
              <w:rPr>
                <w:noProof/>
              </w:rPr>
              <w:t>tym</w:t>
            </w:r>
            <w:r w:rsidRPr="005A1CAE">
              <w:rPr>
                <w:noProof/>
              </w:rPr>
              <w:t xml:space="preserve"> wsparcie ze strony sieci eIDAS. Obecnie portal dla operatorów instalacji</w:t>
            </w:r>
            <w:r w:rsidR="005A1CAE" w:rsidRPr="005A1CAE">
              <w:rPr>
                <w:noProof/>
              </w:rPr>
              <w:t xml:space="preserve"> w</w:t>
            </w:r>
            <w:r w:rsidR="005A1CAE">
              <w:rPr>
                <w:noProof/>
              </w:rPr>
              <w:t> </w:t>
            </w:r>
            <w:r w:rsidR="005A1CAE" w:rsidRPr="005A1CAE">
              <w:rPr>
                <w:noProof/>
              </w:rPr>
              <w:t>pań</w:t>
            </w:r>
            <w:r w:rsidRPr="005A1CAE">
              <w:rPr>
                <w:noProof/>
              </w:rPr>
              <w:t>stwach trzecich będzie opiera się na systemie UE Access do celów autoryzacji użytkowników.</w:t>
            </w:r>
          </w:p>
          <w:p w14:paraId="7480FD8C" w14:textId="66BBB88F" w:rsidR="007F1B81" w:rsidRPr="005A1CAE" w:rsidRDefault="007F1B81" w:rsidP="007F1B81">
            <w:pPr>
              <w:spacing w:before="0" w:line="257" w:lineRule="auto"/>
              <w:rPr>
                <w:noProof/>
              </w:rPr>
            </w:pPr>
            <w:r w:rsidRPr="005A1CAE">
              <w:rPr>
                <w:noProof/>
              </w:rPr>
              <w:t>Rejestr CBAM będzie korzystał</w:t>
            </w:r>
            <w:r w:rsidR="005A1CAE" w:rsidRPr="005A1CAE">
              <w:rPr>
                <w:noProof/>
              </w:rPr>
              <w:t xml:space="preserve"> z</w:t>
            </w:r>
            <w:r w:rsidR="005A1CAE">
              <w:rPr>
                <w:noProof/>
              </w:rPr>
              <w:t> </w:t>
            </w:r>
            <w:r w:rsidR="005A1CAE" w:rsidRPr="005A1CAE">
              <w:rPr>
                <w:noProof/>
              </w:rPr>
              <w:t>usł</w:t>
            </w:r>
            <w:r w:rsidRPr="005A1CAE">
              <w:rPr>
                <w:noProof/>
              </w:rPr>
              <w:t>ugi EU Sign, zarządzanej przez Komisję, która obsługuje kwalifikowane podpisy elektroniczne, aby zapewnić pochodzenie</w:t>
            </w:r>
            <w:r w:rsidR="005A1CAE" w:rsidRPr="005A1CAE">
              <w:rPr>
                <w:noProof/>
              </w:rPr>
              <w:t xml:space="preserve"> i</w:t>
            </w:r>
            <w:r w:rsidR="005A1CAE">
              <w:rPr>
                <w:noProof/>
              </w:rPr>
              <w:t> </w:t>
            </w:r>
            <w:r w:rsidR="005A1CAE" w:rsidRPr="005A1CAE">
              <w:rPr>
                <w:noProof/>
              </w:rPr>
              <w:t>int</w:t>
            </w:r>
            <w:r w:rsidRPr="005A1CAE">
              <w:rPr>
                <w:noProof/>
              </w:rPr>
              <w:t>egralność dokumentów elektronicznych, zwiększając tym samym ich ogólne bezpieczeństwo</w:t>
            </w:r>
            <w:r w:rsidR="005A1CAE" w:rsidRPr="005A1CAE">
              <w:rPr>
                <w:noProof/>
              </w:rPr>
              <w:t xml:space="preserve"> i</w:t>
            </w:r>
            <w:r w:rsidR="005A1CAE">
              <w:rPr>
                <w:noProof/>
              </w:rPr>
              <w:t> </w:t>
            </w:r>
            <w:r w:rsidR="005A1CAE" w:rsidRPr="005A1CAE">
              <w:rPr>
                <w:noProof/>
              </w:rPr>
              <w:t>aut</w:t>
            </w:r>
            <w:r w:rsidRPr="005A1CAE">
              <w:rPr>
                <w:noProof/>
              </w:rPr>
              <w:t>entyczność</w:t>
            </w:r>
            <w:r w:rsidR="005A1CAE" w:rsidRPr="005A1CAE">
              <w:rPr>
                <w:noProof/>
              </w:rPr>
              <w:t xml:space="preserve"> w</w:t>
            </w:r>
            <w:r w:rsidR="005A1CAE">
              <w:rPr>
                <w:noProof/>
              </w:rPr>
              <w:t> </w:t>
            </w:r>
            <w:r w:rsidR="005A1CAE" w:rsidRPr="005A1CAE">
              <w:rPr>
                <w:noProof/>
              </w:rPr>
              <w:t>ram</w:t>
            </w:r>
            <w:r w:rsidRPr="005A1CAE">
              <w:rPr>
                <w:noProof/>
              </w:rPr>
              <w:t>ach CBAM.</w:t>
            </w:r>
          </w:p>
          <w:p w14:paraId="138BDF1F" w14:textId="39DC3D83" w:rsidR="007F1B81" w:rsidRPr="005A1CAE" w:rsidRDefault="007F1B81" w:rsidP="007F1B81">
            <w:pPr>
              <w:spacing w:before="0" w:line="257" w:lineRule="auto"/>
              <w:rPr>
                <w:noProof/>
              </w:rPr>
            </w:pPr>
            <w:r w:rsidRPr="005A1CAE">
              <w:rPr>
                <w:noProof/>
              </w:rPr>
              <w:t>Publiczne informacje o CBAM</w:t>
            </w:r>
            <w:r w:rsidR="005A1CAE" w:rsidRPr="005A1CAE">
              <w:rPr>
                <w:noProof/>
              </w:rPr>
              <w:t xml:space="preserve"> z</w:t>
            </w:r>
            <w:r w:rsidR="005A1CAE">
              <w:rPr>
                <w:noProof/>
              </w:rPr>
              <w:t> </w:t>
            </w:r>
            <w:r w:rsidR="005A1CAE" w:rsidRPr="005A1CAE">
              <w:rPr>
                <w:noProof/>
              </w:rPr>
              <w:t>rej</w:t>
            </w:r>
            <w:r w:rsidRPr="005A1CAE">
              <w:rPr>
                <w:noProof/>
              </w:rPr>
              <w:t>estru CBAM będą publikowane na portalu Europa.</w:t>
            </w:r>
          </w:p>
          <w:p w14:paraId="77FB5417" w14:textId="18A45E12" w:rsidR="00D0690F" w:rsidRPr="005A1CAE" w:rsidRDefault="007F1B81" w:rsidP="007F1B81">
            <w:pPr>
              <w:rPr>
                <w:i/>
                <w:iCs/>
                <w:noProof/>
                <w:color w:val="215868" w:themeColor="accent5" w:themeShade="80"/>
              </w:rPr>
            </w:pPr>
            <w:r w:rsidRPr="005A1CAE">
              <w:rPr>
                <w:noProof/>
              </w:rPr>
              <w:t>DG TAXUD pragnie także zmaksymalizować ponowne wykorzystanie usług</w:t>
            </w:r>
            <w:r w:rsidR="005A1CAE" w:rsidRPr="005A1CAE">
              <w:rPr>
                <w:noProof/>
              </w:rPr>
              <w:t xml:space="preserve"> i</w:t>
            </w:r>
            <w:r w:rsidR="005A1CAE">
              <w:rPr>
                <w:noProof/>
              </w:rPr>
              <w:t> </w:t>
            </w:r>
            <w:r w:rsidR="005A1CAE" w:rsidRPr="005A1CAE">
              <w:rPr>
                <w:noProof/>
              </w:rPr>
              <w:t>kom</w:t>
            </w:r>
            <w:r w:rsidRPr="005A1CAE">
              <w:rPr>
                <w:noProof/>
              </w:rPr>
              <w:t>ponentów korporacyjnych, które spełniałyby niektóre wymogi CBAM, ograniczyć ryzyko ich nieterminowego wdrożenia</w:t>
            </w:r>
            <w:r w:rsidR="005A1CAE" w:rsidRPr="005A1CAE">
              <w:rPr>
                <w:noProof/>
              </w:rPr>
              <w:t xml:space="preserve"> i</w:t>
            </w:r>
            <w:r w:rsidR="005A1CAE">
              <w:rPr>
                <w:noProof/>
              </w:rPr>
              <w:t> </w:t>
            </w:r>
            <w:r w:rsidR="005A1CAE" w:rsidRPr="005A1CAE">
              <w:rPr>
                <w:noProof/>
              </w:rPr>
              <w:t>zab</w:t>
            </w:r>
            <w:r w:rsidRPr="005A1CAE">
              <w:rPr>
                <w:noProof/>
              </w:rPr>
              <w:t>ezpieczyć jakość swojej działalności,</w:t>
            </w:r>
            <w:r w:rsidR="005A1CAE" w:rsidRPr="005A1CAE">
              <w:rPr>
                <w:noProof/>
              </w:rPr>
              <w:t xml:space="preserve"> a</w:t>
            </w:r>
            <w:r w:rsidR="005A1CAE">
              <w:rPr>
                <w:noProof/>
              </w:rPr>
              <w:t> </w:t>
            </w:r>
            <w:r w:rsidR="005A1CAE" w:rsidRPr="005A1CAE">
              <w:rPr>
                <w:noProof/>
              </w:rPr>
              <w:t>jed</w:t>
            </w:r>
            <w:r w:rsidRPr="005A1CAE">
              <w:rPr>
                <w:noProof/>
              </w:rPr>
              <w:t>nocześnie obniżyć wydatki kapitałowe</w:t>
            </w:r>
            <w:r w:rsidR="005A1CAE" w:rsidRPr="005A1CAE">
              <w:rPr>
                <w:noProof/>
              </w:rPr>
              <w:t xml:space="preserve"> i</w:t>
            </w:r>
            <w:r w:rsidR="005A1CAE">
              <w:rPr>
                <w:noProof/>
              </w:rPr>
              <w:t> </w:t>
            </w:r>
            <w:r w:rsidR="005A1CAE" w:rsidRPr="005A1CAE">
              <w:rPr>
                <w:noProof/>
              </w:rPr>
              <w:t>ope</w:t>
            </w:r>
            <w:r w:rsidRPr="005A1CAE">
              <w:rPr>
                <w:noProof/>
              </w:rPr>
              <w:t>racyjne.</w:t>
            </w:r>
          </w:p>
        </w:tc>
      </w:tr>
    </w:tbl>
    <w:p w14:paraId="4FDEEC6C" w14:textId="77777777" w:rsidR="00D0690F" w:rsidRPr="005A1CAE" w:rsidRDefault="00D0690F" w:rsidP="009F612D">
      <w:pPr>
        <w:pStyle w:val="ManualHeading2"/>
        <w:rPr>
          <w:noProof/>
        </w:rPr>
      </w:pPr>
      <w:bookmarkStart w:id="190" w:name="_Toc167220306"/>
      <w:bookmarkStart w:id="191" w:name="_Toc177549041"/>
      <w:r w:rsidRPr="005A1CAE">
        <w:rPr>
          <w:noProof/>
        </w:rPr>
        <w:lastRenderedPageBreak/>
        <w:t>4.5.</w:t>
      </w:r>
      <w:r w:rsidRPr="005A1CAE">
        <w:rPr>
          <w:noProof/>
        </w:rPr>
        <w:tab/>
        <w:t>Środki wspierające cyfrowe wdrażanie</w:t>
      </w:r>
      <w:bookmarkEnd w:id="190"/>
      <w:bookmarkEnd w:id="191"/>
    </w:p>
    <w:tbl>
      <w:tblPr>
        <w:tblStyle w:val="Tabela-Siatka"/>
        <w:tblpPr w:leftFromText="141" w:rightFromText="141" w:vertAnchor="text" w:horzAnchor="margin" w:tblpY="49"/>
        <w:tblW w:w="9067" w:type="dxa"/>
        <w:tblLook w:val="04A0" w:firstRow="1" w:lastRow="0" w:firstColumn="1" w:lastColumn="0" w:noHBand="0" w:noVBand="1"/>
      </w:tblPr>
      <w:tblGrid>
        <w:gridCol w:w="10623"/>
      </w:tblGrid>
      <w:tr w:rsidR="00D0690F" w:rsidRPr="005A1CAE" w14:paraId="7F183FD5" w14:textId="77777777" w:rsidTr="009F612D">
        <w:tc>
          <w:tcPr>
            <w:tcW w:w="9067" w:type="dxa"/>
          </w:tcPr>
          <w:p w14:paraId="3620B9AF" w14:textId="5B2B17DB" w:rsidR="007F1B81" w:rsidRPr="005A1CAE" w:rsidRDefault="007F1B81" w:rsidP="007F1B81">
            <w:pPr>
              <w:rPr>
                <w:noProof/>
              </w:rPr>
            </w:pPr>
            <w:r w:rsidRPr="005A1CAE">
              <w:rPr>
                <w:noProof/>
              </w:rPr>
              <w:t>W rozporządzeniu</w:t>
            </w:r>
            <w:r w:rsidR="005A1CAE" w:rsidRPr="005A1CAE">
              <w:rPr>
                <w:noProof/>
              </w:rPr>
              <w:t xml:space="preserve"> w</w:t>
            </w:r>
            <w:r w:rsidR="005A1CAE">
              <w:rPr>
                <w:noProof/>
              </w:rPr>
              <w:t> </w:t>
            </w:r>
            <w:r w:rsidR="005A1CAE" w:rsidRPr="005A1CAE">
              <w:rPr>
                <w:noProof/>
              </w:rPr>
              <w:t>spr</w:t>
            </w:r>
            <w:r w:rsidRPr="005A1CAE">
              <w:rPr>
                <w:noProof/>
              </w:rPr>
              <w:t>awie CBAM określono, że rejestr CBAM będzie wdrażany</w:t>
            </w:r>
            <w:r w:rsidR="005A1CAE" w:rsidRPr="005A1CAE">
              <w:rPr>
                <w:noProof/>
              </w:rPr>
              <w:t xml:space="preserve"> w</w:t>
            </w:r>
            <w:r w:rsidR="005A1CAE">
              <w:rPr>
                <w:noProof/>
              </w:rPr>
              <w:t> </w:t>
            </w:r>
            <w:r w:rsidR="005A1CAE" w:rsidRPr="005A1CAE">
              <w:rPr>
                <w:noProof/>
              </w:rPr>
              <w:t>dwó</w:t>
            </w:r>
            <w:r w:rsidRPr="005A1CAE">
              <w:rPr>
                <w:noProof/>
              </w:rPr>
              <w:t>ch okresach, podzielonych na trzy następujące po sobie etapy:</w:t>
            </w:r>
          </w:p>
          <w:p w14:paraId="20804F3C" w14:textId="7A8CA59F" w:rsidR="007F1B81" w:rsidRPr="005A1CAE" w:rsidRDefault="007F1B81" w:rsidP="00E05594">
            <w:pPr>
              <w:pStyle w:val="Akapitzlist"/>
              <w:numPr>
                <w:ilvl w:val="0"/>
                <w:numId w:val="21"/>
              </w:numPr>
              <w:spacing w:before="0" w:after="0"/>
              <w:ind w:left="360"/>
              <w:rPr>
                <w:rFonts w:eastAsia="Calibri"/>
                <w:noProof/>
                <w:szCs w:val="24"/>
              </w:rPr>
            </w:pPr>
            <w:r w:rsidRPr="005A1CAE">
              <w:rPr>
                <w:b/>
                <w:noProof/>
              </w:rPr>
              <w:t>Ramy czasowe:</w:t>
            </w:r>
            <w:r w:rsidRPr="005A1CAE">
              <w:rPr>
                <w:noProof/>
              </w:rPr>
              <w:t xml:space="preserve"> stopniowe wdrażanie</w:t>
            </w:r>
            <w:r w:rsidR="005A1CAE" w:rsidRPr="005A1CAE">
              <w:rPr>
                <w:noProof/>
              </w:rPr>
              <w:t xml:space="preserve"> w</w:t>
            </w:r>
            <w:r w:rsidR="005A1CAE">
              <w:rPr>
                <w:noProof/>
              </w:rPr>
              <w:t> </w:t>
            </w:r>
            <w:r w:rsidR="005A1CAE" w:rsidRPr="005A1CAE">
              <w:rPr>
                <w:noProof/>
              </w:rPr>
              <w:t>okr</w:t>
            </w:r>
            <w:r w:rsidRPr="005A1CAE">
              <w:rPr>
                <w:noProof/>
              </w:rPr>
              <w:t>esie przejściowym – od IV kwartału 2023</w:t>
            </w:r>
            <w:r w:rsidR="005A1CAE" w:rsidRPr="005A1CAE">
              <w:rPr>
                <w:noProof/>
              </w:rPr>
              <w:t> </w:t>
            </w:r>
            <w:r w:rsidRPr="005A1CAE">
              <w:rPr>
                <w:noProof/>
              </w:rPr>
              <w:t>r. do IV kwartału 2025</w:t>
            </w:r>
            <w:r w:rsidR="005A1CAE" w:rsidRPr="005A1CAE">
              <w:rPr>
                <w:noProof/>
              </w:rPr>
              <w:t> </w:t>
            </w:r>
            <w:r w:rsidRPr="005A1CAE">
              <w:rPr>
                <w:noProof/>
              </w:rPr>
              <w:t>r. – po którym, od I kwartału 2026</w:t>
            </w:r>
            <w:r w:rsidR="005A1CAE" w:rsidRPr="005A1CAE">
              <w:rPr>
                <w:noProof/>
              </w:rPr>
              <w:t> </w:t>
            </w:r>
            <w:r w:rsidRPr="005A1CAE">
              <w:rPr>
                <w:noProof/>
              </w:rPr>
              <w:t xml:space="preserve">r., nastąpi okres docelowy. </w:t>
            </w:r>
          </w:p>
          <w:p w14:paraId="756C7068" w14:textId="53B4478D" w:rsidR="007F1B81" w:rsidRPr="005A1CAE" w:rsidRDefault="007F1B81" w:rsidP="00E05594">
            <w:pPr>
              <w:pStyle w:val="Akapitzlist"/>
              <w:numPr>
                <w:ilvl w:val="1"/>
                <w:numId w:val="21"/>
              </w:numPr>
              <w:spacing w:before="0" w:after="0"/>
              <w:ind w:left="1080"/>
              <w:rPr>
                <w:rFonts w:eastAsia="Calibri"/>
                <w:noProof/>
                <w:szCs w:val="24"/>
              </w:rPr>
            </w:pPr>
            <w:r w:rsidRPr="005A1CAE">
              <w:rPr>
                <w:noProof/>
              </w:rPr>
              <w:t xml:space="preserve">W </w:t>
            </w:r>
            <w:r w:rsidRPr="005A1CAE">
              <w:rPr>
                <w:b/>
                <w:noProof/>
              </w:rPr>
              <w:t>okresie przejściowym</w:t>
            </w:r>
            <w:r w:rsidRPr="005A1CAE">
              <w:rPr>
                <w:noProof/>
              </w:rPr>
              <w:t xml:space="preserve"> importerzy CBAM co kwartał zgłaszają emisje związane</w:t>
            </w:r>
            <w:r w:rsidR="005A1CAE" w:rsidRPr="005A1CAE">
              <w:rPr>
                <w:noProof/>
              </w:rPr>
              <w:t xml:space="preserve"> z</w:t>
            </w:r>
            <w:r w:rsidR="005A1CAE">
              <w:rPr>
                <w:noProof/>
              </w:rPr>
              <w:t> </w:t>
            </w:r>
            <w:r w:rsidR="005A1CAE" w:rsidRPr="005A1CAE">
              <w:rPr>
                <w:noProof/>
              </w:rPr>
              <w:t>prz</w:t>
            </w:r>
            <w:r w:rsidRPr="005A1CAE">
              <w:rPr>
                <w:noProof/>
              </w:rPr>
              <w:t xml:space="preserve">ywożonymi towarami, ale nie muszą kupować ani umarzać certyfikatów. Jest to okres docierania się systemu CBAM. </w:t>
            </w:r>
          </w:p>
          <w:p w14:paraId="5C214E26" w14:textId="006E5C2E" w:rsidR="007F1B81" w:rsidRPr="005A1CAE" w:rsidRDefault="007F1B81" w:rsidP="00E05594">
            <w:pPr>
              <w:pStyle w:val="Akapitzlist"/>
              <w:numPr>
                <w:ilvl w:val="1"/>
                <w:numId w:val="21"/>
              </w:numPr>
              <w:spacing w:before="0" w:after="0"/>
              <w:ind w:left="1080"/>
              <w:rPr>
                <w:rFonts w:eastAsia="Calibri"/>
                <w:noProof/>
                <w:szCs w:val="24"/>
              </w:rPr>
            </w:pPr>
            <w:r w:rsidRPr="005A1CAE">
              <w:rPr>
                <w:noProof/>
              </w:rPr>
              <w:t xml:space="preserve">W </w:t>
            </w:r>
            <w:r w:rsidRPr="005A1CAE">
              <w:rPr>
                <w:b/>
                <w:bCs/>
                <w:noProof/>
              </w:rPr>
              <w:t>okresie docelowym</w:t>
            </w:r>
            <w:r w:rsidRPr="005A1CAE">
              <w:rPr>
                <w:noProof/>
              </w:rPr>
              <w:t>, rozpoczynającym się</w:t>
            </w:r>
            <w:r w:rsidR="005A1CAE" w:rsidRPr="005A1CAE">
              <w:rPr>
                <w:noProof/>
              </w:rPr>
              <w:t> </w:t>
            </w:r>
            <w:r w:rsidRPr="005A1CAE">
              <w:rPr>
                <w:noProof/>
              </w:rPr>
              <w:t>1 stycznia 2026</w:t>
            </w:r>
            <w:r w:rsidR="005A1CAE" w:rsidRPr="005A1CAE">
              <w:rPr>
                <w:noProof/>
              </w:rPr>
              <w:t> </w:t>
            </w:r>
            <w:r w:rsidRPr="005A1CAE">
              <w:rPr>
                <w:noProof/>
              </w:rPr>
              <w:t>r., zgłaszający CBAM będą musieli posiadać upoważnienie, co roku deklarować emisje, kupować certyfikaty, aby zachować na swoim koncie CBAM stosunek między zakupionymi certyfikatami</w:t>
            </w:r>
            <w:r w:rsidR="005A1CAE" w:rsidRPr="005A1CAE">
              <w:rPr>
                <w:noProof/>
              </w:rPr>
              <w:t xml:space="preserve"> a</w:t>
            </w:r>
            <w:r w:rsidR="005A1CAE">
              <w:rPr>
                <w:noProof/>
              </w:rPr>
              <w:t> </w:t>
            </w:r>
            <w:r w:rsidR="005A1CAE" w:rsidRPr="005A1CAE">
              <w:rPr>
                <w:noProof/>
              </w:rPr>
              <w:t>emi</w:t>
            </w:r>
            <w:r w:rsidRPr="005A1CAE">
              <w:rPr>
                <w:noProof/>
              </w:rPr>
              <w:t>sjami wynoszący co najmniej 50</w:t>
            </w:r>
            <w:r w:rsidR="005A1CAE" w:rsidRPr="005A1CAE">
              <w:rPr>
                <w:noProof/>
              </w:rPr>
              <w:t> </w:t>
            </w:r>
            <w:r w:rsidRPr="005A1CAE">
              <w:rPr>
                <w:noProof/>
              </w:rPr>
              <w:t>%,</w:t>
            </w:r>
            <w:r w:rsidR="005A1CAE" w:rsidRPr="005A1CAE">
              <w:rPr>
                <w:noProof/>
              </w:rPr>
              <w:t xml:space="preserve"> a</w:t>
            </w:r>
            <w:r w:rsidR="005A1CAE">
              <w:rPr>
                <w:noProof/>
              </w:rPr>
              <w:t> </w:t>
            </w:r>
            <w:r w:rsidR="005A1CAE" w:rsidRPr="005A1CAE">
              <w:rPr>
                <w:noProof/>
              </w:rPr>
              <w:t>tak</w:t>
            </w:r>
            <w:r w:rsidRPr="005A1CAE">
              <w:rPr>
                <w:noProof/>
              </w:rPr>
              <w:t>że umarzać certyfikaty przy składaniu deklaracji rocznych.</w:t>
            </w:r>
          </w:p>
          <w:p w14:paraId="04BFF820" w14:textId="4FD37FD1" w:rsidR="007F1B81" w:rsidRPr="005A1CAE" w:rsidRDefault="007F1B81" w:rsidP="00E05594">
            <w:pPr>
              <w:pStyle w:val="Akapitzlist"/>
              <w:numPr>
                <w:ilvl w:val="0"/>
                <w:numId w:val="21"/>
              </w:numPr>
              <w:spacing w:before="0" w:after="0"/>
              <w:ind w:left="360"/>
              <w:rPr>
                <w:rFonts w:eastAsia="Calibri"/>
                <w:noProof/>
                <w:szCs w:val="24"/>
              </w:rPr>
            </w:pPr>
            <w:r w:rsidRPr="005A1CAE">
              <w:rPr>
                <w:b/>
                <w:noProof/>
              </w:rPr>
              <w:t>Etapy</w:t>
            </w:r>
            <w:r w:rsidR="005A1CAE" w:rsidRPr="005A1CAE">
              <w:rPr>
                <w:b/>
                <w:noProof/>
              </w:rPr>
              <w:t xml:space="preserve"> i</w:t>
            </w:r>
            <w:r w:rsidR="005A1CAE">
              <w:rPr>
                <w:b/>
                <w:noProof/>
              </w:rPr>
              <w:t> </w:t>
            </w:r>
            <w:r w:rsidR="005A1CAE" w:rsidRPr="005A1CAE">
              <w:rPr>
                <w:b/>
                <w:noProof/>
              </w:rPr>
              <w:t>czę</w:t>
            </w:r>
            <w:r w:rsidRPr="005A1CAE">
              <w:rPr>
                <w:b/>
                <w:noProof/>
              </w:rPr>
              <w:t>ści:</w:t>
            </w:r>
          </w:p>
          <w:p w14:paraId="539EA1D1" w14:textId="14886A88" w:rsidR="007F1B81" w:rsidRPr="005A1CAE" w:rsidRDefault="007F1B81" w:rsidP="00E05594">
            <w:pPr>
              <w:pStyle w:val="Akapitzlist"/>
              <w:numPr>
                <w:ilvl w:val="1"/>
                <w:numId w:val="21"/>
              </w:numPr>
              <w:spacing w:before="0" w:after="0"/>
              <w:ind w:left="1080"/>
              <w:rPr>
                <w:rFonts w:eastAsia="Calibri"/>
                <w:noProof/>
                <w:szCs w:val="24"/>
              </w:rPr>
            </w:pPr>
            <w:r w:rsidRPr="005A1CAE">
              <w:rPr>
                <w:b/>
                <w:noProof/>
              </w:rPr>
              <w:lastRenderedPageBreak/>
              <w:t>Etap 1 CBAM:</w:t>
            </w:r>
            <w:r w:rsidRPr="005A1CAE">
              <w:rPr>
                <w:noProof/>
              </w:rPr>
              <w:t xml:space="preserve"> „sprawozdania CBAM” sporządzane przez importerów towarów objętych CBAM (tzw. część 1) – etap trwający przez cały okres przejściowy od IV kwartału 2023</w:t>
            </w:r>
            <w:r w:rsidR="005A1CAE" w:rsidRPr="005A1CAE">
              <w:rPr>
                <w:noProof/>
              </w:rPr>
              <w:t> </w:t>
            </w:r>
            <w:r w:rsidRPr="005A1CAE">
              <w:rPr>
                <w:noProof/>
              </w:rPr>
              <w:t>r. (poza zakresem Karty Projektu);</w:t>
            </w:r>
          </w:p>
          <w:p w14:paraId="07B29FA1" w14:textId="6B2FB99F" w:rsidR="007F1B81" w:rsidRPr="005A1CAE" w:rsidRDefault="007F1B81" w:rsidP="00E05594">
            <w:pPr>
              <w:pStyle w:val="Akapitzlist"/>
              <w:numPr>
                <w:ilvl w:val="1"/>
                <w:numId w:val="21"/>
              </w:numPr>
              <w:spacing w:before="0" w:after="0"/>
              <w:ind w:left="1080"/>
              <w:rPr>
                <w:rFonts w:eastAsia="Calibri"/>
                <w:noProof/>
                <w:szCs w:val="24"/>
              </w:rPr>
            </w:pPr>
            <w:r w:rsidRPr="005A1CAE">
              <w:rPr>
                <w:b/>
                <w:noProof/>
              </w:rPr>
              <w:t>Etap 2 CBAM:</w:t>
            </w:r>
            <w:r w:rsidRPr="005A1CAE">
              <w:rPr>
                <w:noProof/>
              </w:rPr>
              <w:t xml:space="preserve"> „sprawozdania CBAM” sporządzane przez importerów towarów objętych CBAM (część 1), upoważnienie zgłaszającego CBAM oraz rejestracja operatorów instalacji</w:t>
            </w:r>
            <w:r w:rsidR="005A1CAE" w:rsidRPr="005A1CAE">
              <w:rPr>
                <w:noProof/>
              </w:rPr>
              <w:t xml:space="preserve"> w</w:t>
            </w:r>
            <w:r w:rsidR="005A1CAE">
              <w:rPr>
                <w:noProof/>
              </w:rPr>
              <w:t> </w:t>
            </w:r>
            <w:r w:rsidR="005A1CAE" w:rsidRPr="005A1CAE">
              <w:rPr>
                <w:noProof/>
              </w:rPr>
              <w:t>pań</w:t>
            </w:r>
            <w:r w:rsidRPr="005A1CAE">
              <w:rPr>
                <w:noProof/>
              </w:rPr>
              <w:t>stwach trzecich (tzw. część 2) – etap trwający od</w:t>
            </w:r>
            <w:r w:rsidR="005A1CAE" w:rsidRPr="005A1CAE">
              <w:rPr>
                <w:noProof/>
              </w:rPr>
              <w:t> </w:t>
            </w:r>
            <w:r w:rsidRPr="005A1CAE">
              <w:rPr>
                <w:noProof/>
              </w:rPr>
              <w:t>31</w:t>
            </w:r>
            <w:r w:rsidR="000145D8">
              <w:rPr>
                <w:noProof/>
              </w:rPr>
              <w:t> </w:t>
            </w:r>
            <w:r w:rsidRPr="005A1CAE">
              <w:rPr>
                <w:noProof/>
              </w:rPr>
              <w:t>grudnia 2024</w:t>
            </w:r>
            <w:r w:rsidR="005A1CAE" w:rsidRPr="005A1CAE">
              <w:rPr>
                <w:noProof/>
              </w:rPr>
              <w:t> </w:t>
            </w:r>
            <w:r w:rsidRPr="005A1CAE">
              <w:rPr>
                <w:noProof/>
              </w:rPr>
              <w:t>r.</w:t>
            </w:r>
            <w:r w:rsidR="005A1CAE" w:rsidRPr="005A1CAE">
              <w:rPr>
                <w:noProof/>
              </w:rPr>
              <w:t xml:space="preserve"> w</w:t>
            </w:r>
            <w:r w:rsidR="005A1CAE">
              <w:rPr>
                <w:noProof/>
              </w:rPr>
              <w:t> </w:t>
            </w:r>
            <w:r w:rsidR="005A1CAE" w:rsidRPr="005A1CAE">
              <w:rPr>
                <w:noProof/>
              </w:rPr>
              <w:t>prz</w:t>
            </w:r>
            <w:r w:rsidRPr="005A1CAE">
              <w:rPr>
                <w:noProof/>
              </w:rPr>
              <w:t>ygotowaniu na okres docelowy;</w:t>
            </w:r>
          </w:p>
          <w:p w14:paraId="6AA288A7" w14:textId="5728DD8D" w:rsidR="007F1B81" w:rsidRPr="005A1CAE" w:rsidRDefault="007F1B81" w:rsidP="007F1B81">
            <w:pPr>
              <w:rPr>
                <w:rFonts w:eastAsia="Calibri"/>
                <w:noProof/>
                <w:szCs w:val="24"/>
              </w:rPr>
            </w:pPr>
            <w:r w:rsidRPr="005A1CAE">
              <w:rPr>
                <w:b/>
                <w:noProof/>
              </w:rPr>
              <w:t>Etap 3 CBAM:</w:t>
            </w:r>
            <w:r w:rsidRPr="005A1CAE">
              <w:rPr>
                <w:noProof/>
              </w:rPr>
              <w:t xml:space="preserve"> część 2 rozszerzona</w:t>
            </w:r>
            <w:r w:rsidR="005A1CAE" w:rsidRPr="005A1CAE">
              <w:rPr>
                <w:noProof/>
              </w:rPr>
              <w:t xml:space="preserve"> o</w:t>
            </w:r>
            <w:r w:rsidR="005A1CAE">
              <w:rPr>
                <w:noProof/>
              </w:rPr>
              <w:t> </w:t>
            </w:r>
            <w:r w:rsidR="005A1CAE" w:rsidRPr="005A1CAE">
              <w:rPr>
                <w:noProof/>
              </w:rPr>
              <w:t>dek</w:t>
            </w:r>
            <w:r w:rsidRPr="005A1CAE">
              <w:rPr>
                <w:noProof/>
              </w:rPr>
              <w:t>laracje</w:t>
            </w:r>
            <w:r w:rsidR="005A1CAE" w:rsidRPr="005A1CAE">
              <w:rPr>
                <w:noProof/>
              </w:rPr>
              <w:t xml:space="preserve"> i</w:t>
            </w:r>
            <w:r w:rsidR="005A1CAE">
              <w:rPr>
                <w:noProof/>
              </w:rPr>
              <w:t> </w:t>
            </w:r>
            <w:r w:rsidR="005A1CAE" w:rsidRPr="005A1CAE">
              <w:rPr>
                <w:noProof/>
              </w:rPr>
              <w:t>cer</w:t>
            </w:r>
            <w:r w:rsidRPr="005A1CAE">
              <w:rPr>
                <w:noProof/>
              </w:rPr>
              <w:t>tyfikaty CBAM oraz</w:t>
            </w:r>
            <w:r w:rsidR="005A1CAE" w:rsidRPr="005A1CAE">
              <w:rPr>
                <w:noProof/>
              </w:rPr>
              <w:t xml:space="preserve"> o</w:t>
            </w:r>
            <w:r w:rsidR="005A1CAE">
              <w:rPr>
                <w:noProof/>
              </w:rPr>
              <w:t> </w:t>
            </w:r>
            <w:r w:rsidR="005A1CAE" w:rsidRPr="005A1CAE">
              <w:rPr>
                <w:noProof/>
              </w:rPr>
              <w:t>peł</w:t>
            </w:r>
            <w:r w:rsidRPr="005A1CAE">
              <w:rPr>
                <w:noProof/>
              </w:rPr>
              <w:t>ne zarządzanie rachunkiem CBAM (tzw. część 3) od początku okresu docelowego, ale bez części 1 „sprawozdania CBAM” – etap ten rozpocznie się</w:t>
            </w:r>
            <w:r w:rsidR="005A1CAE" w:rsidRPr="005A1CAE">
              <w:rPr>
                <w:noProof/>
              </w:rPr>
              <w:t xml:space="preserve"> z</w:t>
            </w:r>
            <w:r w:rsidR="005A1CAE">
              <w:rPr>
                <w:noProof/>
              </w:rPr>
              <w:t> </w:t>
            </w:r>
            <w:r w:rsidR="005A1CAE" w:rsidRPr="005A1CAE">
              <w:rPr>
                <w:noProof/>
              </w:rPr>
              <w:t>koń</w:t>
            </w:r>
            <w:r w:rsidRPr="005A1CAE">
              <w:rPr>
                <w:noProof/>
              </w:rPr>
              <w:t>cem okresu przejściowego, 31</w:t>
            </w:r>
            <w:r w:rsidR="000145D8">
              <w:rPr>
                <w:noProof/>
              </w:rPr>
              <w:t> </w:t>
            </w:r>
            <w:r w:rsidRPr="005A1CAE">
              <w:rPr>
                <w:noProof/>
              </w:rPr>
              <w:t>grudnia 2025</w:t>
            </w:r>
            <w:r w:rsidR="005A1CAE" w:rsidRPr="005A1CAE">
              <w:rPr>
                <w:noProof/>
              </w:rPr>
              <w:t> </w:t>
            </w:r>
            <w:r w:rsidRPr="005A1CAE">
              <w:rPr>
                <w:noProof/>
              </w:rPr>
              <w:t>r.</w:t>
            </w:r>
          </w:p>
          <w:p w14:paraId="78614C1A" w14:textId="77777777" w:rsidR="007F1B81" w:rsidRPr="005A1CAE" w:rsidRDefault="007F1B81" w:rsidP="007F1B81">
            <w:pPr>
              <w:rPr>
                <w:rFonts w:eastAsia="Calibri"/>
                <w:noProof/>
                <w:szCs w:val="24"/>
              </w:rPr>
            </w:pPr>
          </w:p>
          <w:p w14:paraId="47B16EB1" w14:textId="010AD7A6" w:rsidR="007F1B81" w:rsidRPr="005A1CAE" w:rsidRDefault="000F5914" w:rsidP="007F1B81">
            <w:pPr>
              <w:rPr>
                <w:rFonts w:eastAsia="Calibri"/>
                <w:b/>
                <w:bCs/>
                <w:noProof/>
                <w:szCs w:val="24"/>
              </w:rPr>
            </w:pPr>
            <w:r w:rsidRPr="005A1CAE">
              <w:rPr>
                <w:rFonts w:eastAsia="Calibri"/>
                <w:b/>
                <w:bCs/>
                <w:noProof/>
                <w:szCs w:val="24"/>
                <w:lang w:val="en-GB" w:eastAsia="en-GB"/>
              </w:rPr>
              <w:drawing>
                <wp:inline distT="0" distB="0" distL="0" distR="0" wp14:anchorId="1E7801C8" wp14:editId="517B44CA">
                  <wp:extent cx="5909310" cy="1423670"/>
                  <wp:effectExtent l="0" t="0" r="0" b="5080"/>
                  <wp:docPr id="18621566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9310" cy="1423670"/>
                          </a:xfrm>
                          <a:prstGeom prst="rect">
                            <a:avLst/>
                          </a:prstGeom>
                          <a:noFill/>
                          <a:ln>
                            <a:noFill/>
                          </a:ln>
                        </pic:spPr>
                      </pic:pic>
                    </a:graphicData>
                  </a:graphic>
                </wp:inline>
              </w:drawing>
            </w:r>
          </w:p>
          <w:p w14:paraId="7CF04FD8" w14:textId="77777777" w:rsidR="006A4F00" w:rsidRPr="005A1CAE" w:rsidRDefault="006A4F00" w:rsidP="007F1B81">
            <w:pPr>
              <w:rPr>
                <w:rFonts w:eastAsia="Calibri"/>
                <w:b/>
                <w:bCs/>
                <w:noProof/>
                <w:szCs w:val="24"/>
              </w:rPr>
            </w:pPr>
          </w:p>
          <w:p w14:paraId="2A33FF9D" w14:textId="77777777" w:rsidR="007F1B81" w:rsidRPr="005A1CAE" w:rsidRDefault="007F1B81" w:rsidP="007F1B81">
            <w:pPr>
              <w:rPr>
                <w:noProof/>
              </w:rPr>
            </w:pPr>
            <w:r w:rsidRPr="005A1CAE">
              <w:rPr>
                <w:b/>
                <w:noProof/>
              </w:rPr>
              <w:t>Dwuetapowe (dwuczęściowe) wdrażanie rejestru CBAM</w:t>
            </w:r>
          </w:p>
          <w:p w14:paraId="27E2047A" w14:textId="4808A8CB" w:rsidR="007F1B81" w:rsidRPr="005A1CAE" w:rsidRDefault="007F1B81" w:rsidP="007F1B81">
            <w:pPr>
              <w:spacing w:before="0"/>
              <w:rPr>
                <w:noProof/>
              </w:rPr>
            </w:pPr>
            <w:r w:rsidRPr="005A1CAE">
              <w:rPr>
                <w:noProof/>
              </w:rPr>
              <w:t>Etap 1 CBAM (wdrożenie części 1 CBAM</w:t>
            </w:r>
            <w:r w:rsidR="005A1CAE" w:rsidRPr="005A1CAE">
              <w:rPr>
                <w:noProof/>
              </w:rPr>
              <w:t xml:space="preserve"> i</w:t>
            </w:r>
            <w:r w:rsidR="005A1CAE">
              <w:rPr>
                <w:noProof/>
              </w:rPr>
              <w:t> </w:t>
            </w:r>
            <w:r w:rsidR="005A1CAE" w:rsidRPr="005A1CAE">
              <w:rPr>
                <w:noProof/>
              </w:rPr>
              <w:t>jej</w:t>
            </w:r>
            <w:r w:rsidRPr="005A1CAE">
              <w:rPr>
                <w:noProof/>
              </w:rPr>
              <w:t xml:space="preserve"> funkcjonowanie od IV kwartału 2023</w:t>
            </w:r>
            <w:r w:rsidR="005A1CAE" w:rsidRPr="005A1CAE">
              <w:rPr>
                <w:noProof/>
              </w:rPr>
              <w:t> </w:t>
            </w:r>
            <w:r w:rsidRPr="005A1CAE">
              <w:rPr>
                <w:noProof/>
              </w:rPr>
              <w:t>r. do końca 2025</w:t>
            </w:r>
            <w:r w:rsidR="005A1CAE" w:rsidRPr="005A1CAE">
              <w:rPr>
                <w:noProof/>
              </w:rPr>
              <w:t> </w:t>
            </w:r>
            <w:r w:rsidRPr="005A1CAE">
              <w:rPr>
                <w:noProof/>
              </w:rPr>
              <w:t>r.) jest</w:t>
            </w:r>
            <w:r w:rsidR="005A1CAE" w:rsidRPr="005A1CAE">
              <w:rPr>
                <w:noProof/>
              </w:rPr>
              <w:t xml:space="preserve"> w</w:t>
            </w:r>
            <w:r w:rsidR="005A1CAE">
              <w:rPr>
                <w:noProof/>
              </w:rPr>
              <w:t> </w:t>
            </w:r>
            <w:r w:rsidR="005A1CAE" w:rsidRPr="005A1CAE">
              <w:rPr>
                <w:noProof/>
              </w:rPr>
              <w:t>cał</w:t>
            </w:r>
            <w:r w:rsidRPr="005A1CAE">
              <w:rPr>
                <w:noProof/>
              </w:rPr>
              <w:t xml:space="preserve">ości objęty kartą projektu okresu przejściowego. </w:t>
            </w:r>
          </w:p>
          <w:p w14:paraId="24D27904" w14:textId="551BE824" w:rsidR="007F1B81" w:rsidRPr="005A1CAE" w:rsidRDefault="007F1B81" w:rsidP="007F1B81">
            <w:pPr>
              <w:spacing w:before="0"/>
              <w:rPr>
                <w:noProof/>
              </w:rPr>
            </w:pPr>
            <w:r w:rsidRPr="005A1CAE">
              <w:rPr>
                <w:noProof/>
              </w:rPr>
              <w:t>Dwie poniższe ryciny ilustrują podejście polegające na zapewnieniu pełnego zakresu funkcjonowania systemu docelowego</w:t>
            </w:r>
            <w:r w:rsidR="005A1CAE" w:rsidRPr="005A1CAE">
              <w:rPr>
                <w:noProof/>
              </w:rPr>
              <w:t xml:space="preserve"> w</w:t>
            </w:r>
            <w:r w:rsidR="005A1CAE">
              <w:rPr>
                <w:noProof/>
              </w:rPr>
              <w:t> </w:t>
            </w:r>
            <w:r w:rsidR="005A1CAE" w:rsidRPr="005A1CAE">
              <w:rPr>
                <w:noProof/>
              </w:rPr>
              <w:t>dwó</w:t>
            </w:r>
            <w:r w:rsidRPr="005A1CAE">
              <w:rPr>
                <w:noProof/>
              </w:rPr>
              <w:t>ch etapach. Poniżej określono społeczności użytkowników, odnośne systemy zewnętrzne oraz główne podmioty, których dotyczą poszczególne etapy. Odnośne zewnętrzne systemy</w:t>
            </w:r>
            <w:r w:rsidR="005A1CAE" w:rsidRPr="005A1CAE">
              <w:rPr>
                <w:noProof/>
              </w:rPr>
              <w:t xml:space="preserve"> i</w:t>
            </w:r>
            <w:r w:rsidR="005A1CAE">
              <w:rPr>
                <w:noProof/>
              </w:rPr>
              <w:t> </w:t>
            </w:r>
            <w:r w:rsidR="005A1CAE" w:rsidRPr="005A1CAE">
              <w:rPr>
                <w:noProof/>
              </w:rPr>
              <w:t>pod</w:t>
            </w:r>
            <w:r w:rsidRPr="005A1CAE">
              <w:rPr>
                <w:noProof/>
              </w:rPr>
              <w:t>mioty określono</w:t>
            </w:r>
            <w:r w:rsidR="005A1CAE" w:rsidRPr="005A1CAE">
              <w:rPr>
                <w:noProof/>
              </w:rPr>
              <w:t xml:space="preserve"> w</w:t>
            </w:r>
            <w:r w:rsidR="005A1CAE">
              <w:rPr>
                <w:noProof/>
              </w:rPr>
              <w:t> </w:t>
            </w:r>
            <w:r w:rsidR="005A1CAE" w:rsidRPr="005A1CAE">
              <w:rPr>
                <w:noProof/>
              </w:rPr>
              <w:t>kol</w:t>
            </w:r>
            <w:r w:rsidRPr="005A1CAE">
              <w:rPr>
                <w:noProof/>
              </w:rPr>
              <w:t>ejnej sekcji.</w:t>
            </w:r>
          </w:p>
          <w:p w14:paraId="397946E0" w14:textId="2D40D6E7" w:rsidR="007F1B81" w:rsidRPr="005A1CAE" w:rsidRDefault="007F1B81" w:rsidP="007F1B81">
            <w:pPr>
              <w:spacing w:before="0"/>
              <w:rPr>
                <w:noProof/>
              </w:rPr>
            </w:pPr>
            <w:r w:rsidRPr="005A1CAE">
              <w:rPr>
                <w:b/>
                <w:noProof/>
              </w:rPr>
              <w:t>Zakres części 2 CBAM:</w:t>
            </w:r>
            <w:r w:rsidRPr="005A1CAE">
              <w:rPr>
                <w:noProof/>
              </w:rPr>
              <w:t xml:space="preserve"> do części 1 – „sprawozdania CBAM” sporządzane przez importerów towarów objętych CBAM – dodaje się część 2 –„Upoważnienia</w:t>
            </w:r>
            <w:r w:rsidR="005A1CAE" w:rsidRPr="005A1CAE">
              <w:rPr>
                <w:noProof/>
              </w:rPr>
              <w:t xml:space="preserve"> i</w:t>
            </w:r>
            <w:r w:rsidR="005A1CAE">
              <w:rPr>
                <w:noProof/>
              </w:rPr>
              <w:t> </w:t>
            </w:r>
            <w:r w:rsidR="005A1CAE" w:rsidRPr="005A1CAE">
              <w:rPr>
                <w:noProof/>
              </w:rPr>
              <w:t>ins</w:t>
            </w:r>
            <w:r w:rsidRPr="005A1CAE">
              <w:rPr>
                <w:noProof/>
              </w:rPr>
              <w:t>talacje CBAM” (obie poniżej na zielono), która zacznie być stosowana 31 grudnia 2024</w:t>
            </w:r>
            <w:r w:rsidR="005A1CAE" w:rsidRPr="005A1CAE">
              <w:rPr>
                <w:noProof/>
              </w:rPr>
              <w:t> </w:t>
            </w:r>
            <w:r w:rsidRPr="005A1CAE">
              <w:rPr>
                <w:noProof/>
              </w:rPr>
              <w:t>r., zgodnie</w:t>
            </w:r>
            <w:r w:rsidR="005A1CAE" w:rsidRPr="005A1CAE">
              <w:rPr>
                <w:noProof/>
              </w:rPr>
              <w:t xml:space="preserve"> z</w:t>
            </w:r>
            <w:r w:rsidR="005A1CAE">
              <w:rPr>
                <w:noProof/>
              </w:rPr>
              <w:t> </w:t>
            </w:r>
            <w:r w:rsidR="005A1CAE" w:rsidRPr="005A1CAE">
              <w:rPr>
                <w:noProof/>
              </w:rPr>
              <w:t>roz</w:t>
            </w:r>
            <w:r w:rsidRPr="005A1CAE">
              <w:rPr>
                <w:noProof/>
              </w:rPr>
              <w:t>porządzeniem</w:t>
            </w:r>
            <w:r w:rsidR="005A1CAE" w:rsidRPr="005A1CAE">
              <w:rPr>
                <w:noProof/>
              </w:rPr>
              <w:t xml:space="preserve"> w</w:t>
            </w:r>
            <w:r w:rsidR="005A1CAE">
              <w:rPr>
                <w:noProof/>
              </w:rPr>
              <w:t> </w:t>
            </w:r>
            <w:r w:rsidR="005A1CAE" w:rsidRPr="005A1CAE">
              <w:rPr>
                <w:noProof/>
              </w:rPr>
              <w:t>spr</w:t>
            </w:r>
            <w:r w:rsidRPr="005A1CAE">
              <w:rPr>
                <w:noProof/>
              </w:rPr>
              <w:t>awie CBAM. Obie te części będą następnie utrzymywane</w:t>
            </w:r>
            <w:r w:rsidR="005A1CAE" w:rsidRPr="005A1CAE">
              <w:rPr>
                <w:noProof/>
              </w:rPr>
              <w:t xml:space="preserve"> i</w:t>
            </w:r>
            <w:r w:rsidR="005A1CAE">
              <w:rPr>
                <w:noProof/>
              </w:rPr>
              <w:t> </w:t>
            </w:r>
            <w:r w:rsidR="005A1CAE" w:rsidRPr="005A1CAE">
              <w:rPr>
                <w:noProof/>
              </w:rPr>
              <w:t>roz</w:t>
            </w:r>
            <w:r w:rsidRPr="005A1CAE">
              <w:rPr>
                <w:noProof/>
              </w:rPr>
              <w:t>wijane przez pozostały czas okresu przejściowego. „Upoważnienia</w:t>
            </w:r>
            <w:r w:rsidR="005A1CAE" w:rsidRPr="005A1CAE">
              <w:rPr>
                <w:noProof/>
              </w:rPr>
              <w:t xml:space="preserve"> i</w:t>
            </w:r>
            <w:r w:rsidR="005A1CAE">
              <w:rPr>
                <w:noProof/>
              </w:rPr>
              <w:t> </w:t>
            </w:r>
            <w:r w:rsidR="005A1CAE" w:rsidRPr="005A1CAE">
              <w:rPr>
                <w:noProof/>
              </w:rPr>
              <w:t>ins</w:t>
            </w:r>
            <w:r w:rsidRPr="005A1CAE">
              <w:rPr>
                <w:noProof/>
              </w:rPr>
              <w:t>talacje CBAM” zostaną włączone do docelowego systemu CBAM, natomiast „sprawozdania CBAM” zostaną wycofane na koniec okresu przejściowego. Części 1</w:t>
            </w:r>
            <w:r w:rsidR="005A1CAE" w:rsidRPr="005A1CAE">
              <w:rPr>
                <w:noProof/>
              </w:rPr>
              <w:t xml:space="preserve"> i</w:t>
            </w:r>
            <w:r w:rsidR="005A1CAE">
              <w:rPr>
                <w:noProof/>
              </w:rPr>
              <w:t> </w:t>
            </w:r>
            <w:r w:rsidR="005A1CAE" w:rsidRPr="005A1CAE">
              <w:rPr>
                <w:noProof/>
              </w:rPr>
              <w:t>2</w:t>
            </w:r>
            <w:r w:rsidRPr="005A1CAE">
              <w:rPr>
                <w:noProof/>
              </w:rPr>
              <w:t xml:space="preserve"> łączą rejestr CBAM</w:t>
            </w:r>
            <w:r w:rsidR="005A1CAE" w:rsidRPr="005A1CAE">
              <w:rPr>
                <w:noProof/>
              </w:rPr>
              <w:t xml:space="preserve"> z</w:t>
            </w:r>
            <w:r w:rsidR="005A1CAE">
              <w:rPr>
                <w:noProof/>
              </w:rPr>
              <w:t> </w:t>
            </w:r>
            <w:r w:rsidR="005A1CAE" w:rsidRPr="005A1CAE">
              <w:rPr>
                <w:noProof/>
              </w:rPr>
              <w:t>kra</w:t>
            </w:r>
            <w:r w:rsidRPr="005A1CAE">
              <w:rPr>
                <w:noProof/>
              </w:rPr>
              <w:t>jowymi systemami celnymi przywozu,</w:t>
            </w:r>
            <w:r w:rsidR="005A1CAE" w:rsidRPr="005A1CAE">
              <w:rPr>
                <w:noProof/>
              </w:rPr>
              <w:t xml:space="preserve"> z</w:t>
            </w:r>
            <w:r w:rsidR="005A1CAE">
              <w:rPr>
                <w:noProof/>
              </w:rPr>
              <w:t> </w:t>
            </w:r>
            <w:r w:rsidR="005A1CAE" w:rsidRPr="005A1CAE">
              <w:rPr>
                <w:noProof/>
              </w:rPr>
              <w:t>kra</w:t>
            </w:r>
            <w:r w:rsidRPr="005A1CAE">
              <w:rPr>
                <w:noProof/>
              </w:rPr>
              <w:t>jowymi systemami celnymi uszlachetniania czynnego</w:t>
            </w:r>
            <w:r w:rsidR="005A1CAE" w:rsidRPr="005A1CAE">
              <w:rPr>
                <w:noProof/>
              </w:rPr>
              <w:t xml:space="preserve"> i</w:t>
            </w:r>
            <w:r w:rsidR="005A1CAE">
              <w:rPr>
                <w:noProof/>
              </w:rPr>
              <w:t> </w:t>
            </w:r>
            <w:r w:rsidR="005A1CAE" w:rsidRPr="005A1CAE">
              <w:rPr>
                <w:noProof/>
              </w:rPr>
              <w:t>z</w:t>
            </w:r>
            <w:r w:rsidR="005A1CAE">
              <w:rPr>
                <w:noProof/>
              </w:rPr>
              <w:t> </w:t>
            </w:r>
            <w:r w:rsidR="005A1CAE" w:rsidRPr="005A1CAE">
              <w:rPr>
                <w:noProof/>
              </w:rPr>
              <w:t>uni</w:t>
            </w:r>
            <w:r w:rsidRPr="005A1CAE">
              <w:rPr>
                <w:noProof/>
              </w:rPr>
              <w:t>jnymi wspierającymi systemami celnymi DG TAXUD, aby wspierać przestrzeganie przepisów przy minimalnym obciążeniu przedsiębiorców. Część 2 CBAM stanowi przygotowanie do docelowego systemu poprzez realizację jego pierwszego komponentu.</w:t>
            </w:r>
          </w:p>
          <w:p w14:paraId="406F5386" w14:textId="7DD11807" w:rsidR="007F1B81" w:rsidRPr="005A1CAE" w:rsidRDefault="007F1B81" w:rsidP="007F1B81">
            <w:pPr>
              <w:rPr>
                <w:rFonts w:eastAsia="Calibri"/>
                <w:noProof/>
                <w:szCs w:val="24"/>
              </w:rPr>
            </w:pPr>
            <w:r w:rsidRPr="005A1CAE">
              <w:rPr>
                <w:b/>
                <w:noProof/>
              </w:rPr>
              <w:t>Harmonogram etapu 2 CBAM:</w:t>
            </w:r>
            <w:r w:rsidRPr="005A1CAE">
              <w:rPr>
                <w:noProof/>
              </w:rPr>
              <w:t xml:space="preserve"> etap ten rozpocznie się</w:t>
            </w:r>
            <w:r w:rsidR="005A1CAE" w:rsidRPr="005A1CAE">
              <w:rPr>
                <w:noProof/>
              </w:rPr>
              <w:t> </w:t>
            </w:r>
            <w:r w:rsidRPr="005A1CAE">
              <w:rPr>
                <w:noProof/>
              </w:rPr>
              <w:t>31 grudnia 2024 r.</w:t>
            </w:r>
            <w:r w:rsidR="005A1CAE" w:rsidRPr="005A1CAE">
              <w:rPr>
                <w:noProof/>
              </w:rPr>
              <w:t xml:space="preserve"> i</w:t>
            </w:r>
            <w:r w:rsidR="005A1CAE">
              <w:rPr>
                <w:noProof/>
              </w:rPr>
              <w:t> </w:t>
            </w:r>
            <w:r w:rsidR="005A1CAE" w:rsidRPr="005A1CAE">
              <w:rPr>
                <w:noProof/>
              </w:rPr>
              <w:t>zak</w:t>
            </w:r>
            <w:r w:rsidRPr="005A1CAE">
              <w:rPr>
                <w:noProof/>
              </w:rPr>
              <w:t>ończy 31</w:t>
            </w:r>
            <w:r w:rsidR="000145D8">
              <w:rPr>
                <w:noProof/>
              </w:rPr>
              <w:t> </w:t>
            </w:r>
            <w:r w:rsidRPr="005A1CAE">
              <w:rPr>
                <w:noProof/>
              </w:rPr>
              <w:t>grudnia 2025 r., na dzień przed rozpoczęciem okresu docelowego. Społeczność użytkowników zostanie rozszerzona</w:t>
            </w:r>
            <w:r w:rsidR="005A1CAE" w:rsidRPr="005A1CAE">
              <w:rPr>
                <w:noProof/>
              </w:rPr>
              <w:t xml:space="preserve"> o</w:t>
            </w:r>
            <w:r w:rsidR="005A1CAE">
              <w:rPr>
                <w:noProof/>
              </w:rPr>
              <w:t> </w:t>
            </w:r>
            <w:r w:rsidR="005A1CAE" w:rsidRPr="005A1CAE">
              <w:rPr>
                <w:noProof/>
              </w:rPr>
              <w:t>ope</w:t>
            </w:r>
            <w:r w:rsidRPr="005A1CAE">
              <w:rPr>
                <w:noProof/>
              </w:rPr>
              <w:t>ratorów instalacji</w:t>
            </w:r>
            <w:r w:rsidR="005A1CAE" w:rsidRPr="005A1CAE">
              <w:rPr>
                <w:noProof/>
              </w:rPr>
              <w:t xml:space="preserve"> w</w:t>
            </w:r>
            <w:r w:rsidR="005A1CAE">
              <w:rPr>
                <w:noProof/>
              </w:rPr>
              <w:t> </w:t>
            </w:r>
            <w:r w:rsidR="005A1CAE" w:rsidRPr="005A1CAE">
              <w:rPr>
                <w:noProof/>
              </w:rPr>
              <w:t>pań</w:t>
            </w:r>
            <w:r w:rsidRPr="005A1CAE">
              <w:rPr>
                <w:noProof/>
              </w:rPr>
              <w:t>stwach trzecich,</w:t>
            </w:r>
            <w:r w:rsidR="005A1CAE" w:rsidRPr="005A1CAE">
              <w:rPr>
                <w:noProof/>
              </w:rPr>
              <w:t xml:space="preserve"> a</w:t>
            </w:r>
            <w:r w:rsidR="005A1CAE">
              <w:rPr>
                <w:noProof/>
              </w:rPr>
              <w:t> </w:t>
            </w:r>
            <w:r w:rsidR="005A1CAE" w:rsidRPr="005A1CAE">
              <w:rPr>
                <w:noProof/>
              </w:rPr>
              <w:t>zgł</w:t>
            </w:r>
            <w:r w:rsidRPr="005A1CAE">
              <w:rPr>
                <w:noProof/>
              </w:rPr>
              <w:t>aszający CBAM będą musieli uzyskać wymagane upoważnienia na okres docelowy.</w:t>
            </w:r>
          </w:p>
          <w:p w14:paraId="09E422B6" w14:textId="129B6D07" w:rsidR="007F1B81" w:rsidRPr="005A1CAE" w:rsidRDefault="00ED01D0" w:rsidP="007F1B81">
            <w:pPr>
              <w:rPr>
                <w:noProof/>
              </w:rPr>
            </w:pPr>
            <w:r w:rsidRPr="005A1CAE">
              <w:rPr>
                <w:b/>
                <w:noProof/>
                <w:lang w:val="en-GB" w:eastAsia="en-GB"/>
              </w:rPr>
              <w:lastRenderedPageBreak/>
              <w:drawing>
                <wp:inline distT="0" distB="0" distL="0" distR="0" wp14:anchorId="794AD0D4" wp14:editId="6606EDD6">
                  <wp:extent cx="6608658" cy="8893834"/>
                  <wp:effectExtent l="0" t="0" r="0" b="0"/>
                  <wp:docPr id="9474643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27788" cy="8919578"/>
                          </a:xfrm>
                          <a:prstGeom prst="rect">
                            <a:avLst/>
                          </a:prstGeom>
                          <a:noFill/>
                          <a:ln>
                            <a:noFill/>
                          </a:ln>
                        </pic:spPr>
                      </pic:pic>
                    </a:graphicData>
                  </a:graphic>
                </wp:inline>
              </w:drawing>
            </w:r>
            <w:r w:rsidR="006A4F00" w:rsidRPr="005A1CAE">
              <w:rPr>
                <w:b/>
                <w:noProof/>
              </w:rPr>
              <w:lastRenderedPageBreak/>
              <w:t>Zakres części 3 CBAM:</w:t>
            </w:r>
            <w:r w:rsidR="006A4F00" w:rsidRPr="005A1CAE">
              <w:rPr>
                <w:noProof/>
              </w:rPr>
              <w:t xml:space="preserve"> część „deklaracje CBAM, rachunki</w:t>
            </w:r>
            <w:r w:rsidR="005A1CAE" w:rsidRPr="005A1CAE">
              <w:rPr>
                <w:noProof/>
              </w:rPr>
              <w:t xml:space="preserve"> i</w:t>
            </w:r>
            <w:r w:rsidR="005A1CAE">
              <w:rPr>
                <w:noProof/>
              </w:rPr>
              <w:t> </w:t>
            </w:r>
            <w:r w:rsidR="005A1CAE" w:rsidRPr="005A1CAE">
              <w:rPr>
                <w:noProof/>
              </w:rPr>
              <w:t>zar</w:t>
            </w:r>
            <w:r w:rsidR="006A4F00" w:rsidRPr="005A1CAE">
              <w:rPr>
                <w:noProof/>
              </w:rPr>
              <w:t>ządzanie ryzykiem” (poniżej na fioletowo) wejdzie</w:t>
            </w:r>
            <w:r w:rsidR="005A1CAE" w:rsidRPr="005A1CAE">
              <w:rPr>
                <w:noProof/>
              </w:rPr>
              <w:t xml:space="preserve"> w</w:t>
            </w:r>
            <w:r w:rsidR="005A1CAE">
              <w:rPr>
                <w:noProof/>
              </w:rPr>
              <w:t> </w:t>
            </w:r>
            <w:r w:rsidR="005A1CAE" w:rsidRPr="005A1CAE">
              <w:rPr>
                <w:noProof/>
              </w:rPr>
              <w:t>życ</w:t>
            </w:r>
            <w:r w:rsidR="006A4F00" w:rsidRPr="005A1CAE">
              <w:rPr>
                <w:noProof/>
              </w:rPr>
              <w:t>ie</w:t>
            </w:r>
            <w:r w:rsidR="005A1CAE" w:rsidRPr="005A1CAE">
              <w:rPr>
                <w:noProof/>
              </w:rPr>
              <w:t xml:space="preserve"> z</w:t>
            </w:r>
            <w:r w:rsidR="005A1CAE">
              <w:rPr>
                <w:noProof/>
              </w:rPr>
              <w:t> </w:t>
            </w:r>
            <w:r w:rsidR="005A1CAE" w:rsidRPr="005A1CAE">
              <w:rPr>
                <w:noProof/>
              </w:rPr>
              <w:t>poc</w:t>
            </w:r>
            <w:r w:rsidR="006A4F00" w:rsidRPr="005A1CAE">
              <w:rPr>
                <w:noProof/>
              </w:rPr>
              <w:t>zątkiem okresu docelowego, który ma się rozpocząć 1 stycznia 2026</w:t>
            </w:r>
            <w:r w:rsidR="005A1CAE" w:rsidRPr="005A1CAE">
              <w:rPr>
                <w:noProof/>
              </w:rPr>
              <w:t> </w:t>
            </w:r>
            <w:r w:rsidR="006A4F00" w:rsidRPr="005A1CAE">
              <w:rPr>
                <w:noProof/>
              </w:rPr>
              <w:t>r. Część ta stanowi podstawę docelowego systemu CBAM. Część 3 CBAM obejmuje również interfejsy łączące system za pośrednictwem EU CSW-CERTEX</w:t>
            </w:r>
            <w:r w:rsidR="005A1CAE" w:rsidRPr="005A1CAE">
              <w:rPr>
                <w:noProof/>
              </w:rPr>
              <w:t xml:space="preserve"> z</w:t>
            </w:r>
            <w:r w:rsidR="005A1CAE">
              <w:rPr>
                <w:noProof/>
              </w:rPr>
              <w:t> </w:t>
            </w:r>
            <w:r w:rsidR="005A1CAE" w:rsidRPr="005A1CAE">
              <w:rPr>
                <w:noProof/>
              </w:rPr>
              <w:t>kra</w:t>
            </w:r>
            <w:r w:rsidR="006A4F00" w:rsidRPr="005A1CAE">
              <w:rPr>
                <w:noProof/>
              </w:rPr>
              <w:t>jowymi systemami importu na potrzeby upoważnień CBAM, ze wspólną centralną platformą zakupu certyfikatów CBAM, z ETS, OLAF-em oraz systemami właściwych organów krajowych</w:t>
            </w:r>
            <w:r w:rsidR="005A1CAE" w:rsidRPr="005A1CAE">
              <w:rPr>
                <w:noProof/>
              </w:rPr>
              <w:t>. W</w:t>
            </w:r>
            <w:r w:rsidR="005A1CAE">
              <w:rPr>
                <w:noProof/>
              </w:rPr>
              <w:t> </w:t>
            </w:r>
            <w:r w:rsidR="005A1CAE" w:rsidRPr="005A1CAE">
              <w:rPr>
                <w:noProof/>
              </w:rPr>
              <w:t>ram</w:t>
            </w:r>
            <w:r w:rsidR="006A4F00" w:rsidRPr="005A1CAE">
              <w:rPr>
                <w:noProof/>
              </w:rPr>
              <w:t xml:space="preserve">ach tej części do rejestru CBAM zostaną także dodane </w:t>
            </w:r>
            <w:r w:rsidR="006A4F00" w:rsidRPr="005A1CAE">
              <w:rPr>
                <w:b/>
                <w:noProof/>
              </w:rPr>
              <w:t>zdolności</w:t>
            </w:r>
            <w:r w:rsidR="005A1CAE" w:rsidRPr="005A1CAE">
              <w:rPr>
                <w:b/>
                <w:noProof/>
              </w:rPr>
              <w:t xml:space="preserve"> w</w:t>
            </w:r>
            <w:r w:rsidR="005A1CAE">
              <w:rPr>
                <w:b/>
                <w:noProof/>
              </w:rPr>
              <w:t> </w:t>
            </w:r>
            <w:r w:rsidR="005A1CAE" w:rsidRPr="005A1CAE">
              <w:rPr>
                <w:b/>
                <w:noProof/>
              </w:rPr>
              <w:t>zak</w:t>
            </w:r>
            <w:r w:rsidR="006A4F00" w:rsidRPr="005A1CAE">
              <w:rPr>
                <w:b/>
                <w:noProof/>
              </w:rPr>
              <w:t>resie certyfikatów CBAM</w:t>
            </w:r>
            <w:r w:rsidR="006A4F00" w:rsidRPr="005A1CAE">
              <w:rPr>
                <w:noProof/>
              </w:rPr>
              <w:t xml:space="preserve"> oraz zarządzania ryzykiem. Ponieważ moduły certyfikatów CBAM</w:t>
            </w:r>
            <w:r w:rsidR="005A1CAE" w:rsidRPr="005A1CAE">
              <w:rPr>
                <w:noProof/>
              </w:rPr>
              <w:t xml:space="preserve"> i</w:t>
            </w:r>
            <w:r w:rsidR="005A1CAE">
              <w:rPr>
                <w:noProof/>
              </w:rPr>
              <w:t> </w:t>
            </w:r>
            <w:r w:rsidR="005A1CAE" w:rsidRPr="005A1CAE">
              <w:rPr>
                <w:noProof/>
              </w:rPr>
              <w:t>zar</w:t>
            </w:r>
            <w:r w:rsidR="006A4F00" w:rsidRPr="005A1CAE">
              <w:rPr>
                <w:noProof/>
              </w:rPr>
              <w:t>ządzania ryzykiem posłużą do przetwarzania informacji poufnych</w:t>
            </w:r>
            <w:r w:rsidR="005A1CAE" w:rsidRPr="005A1CAE">
              <w:rPr>
                <w:noProof/>
              </w:rPr>
              <w:t xml:space="preserve"> i</w:t>
            </w:r>
            <w:r w:rsidR="005A1CAE">
              <w:rPr>
                <w:noProof/>
              </w:rPr>
              <w:t> </w:t>
            </w:r>
            <w:r w:rsidR="005A1CAE" w:rsidRPr="005A1CAE">
              <w:rPr>
                <w:noProof/>
              </w:rPr>
              <w:t>mon</w:t>
            </w:r>
            <w:r w:rsidR="006A4F00" w:rsidRPr="005A1CAE">
              <w:rPr>
                <w:noProof/>
              </w:rPr>
              <w:t>itorowania przypadków obchodzenia</w:t>
            </w:r>
            <w:r w:rsidR="005A1CAE" w:rsidRPr="005A1CAE">
              <w:rPr>
                <w:noProof/>
              </w:rPr>
              <w:t xml:space="preserve"> i</w:t>
            </w:r>
            <w:r w:rsidR="005A1CAE">
              <w:rPr>
                <w:noProof/>
              </w:rPr>
              <w:t> </w:t>
            </w:r>
            <w:r w:rsidR="005A1CAE" w:rsidRPr="005A1CAE">
              <w:rPr>
                <w:noProof/>
              </w:rPr>
              <w:t>nie</w:t>
            </w:r>
            <w:r w:rsidR="006A4F00" w:rsidRPr="005A1CAE">
              <w:rPr>
                <w:noProof/>
              </w:rPr>
              <w:t>przestrzegania przepisów, część 3 CBAM obejmuje zarządzanie informacjami szczególnie chronionymi</w:t>
            </w:r>
            <w:r w:rsidR="005A1CAE" w:rsidRPr="005A1CAE">
              <w:rPr>
                <w:noProof/>
              </w:rPr>
              <w:t xml:space="preserve"> i</w:t>
            </w:r>
            <w:r w:rsidR="005A1CAE">
              <w:rPr>
                <w:noProof/>
              </w:rPr>
              <w:t> </w:t>
            </w:r>
            <w:r w:rsidR="005A1CAE" w:rsidRPr="005A1CAE">
              <w:rPr>
                <w:noProof/>
              </w:rPr>
              <w:t>wym</w:t>
            </w:r>
            <w:r w:rsidR="006A4F00" w:rsidRPr="005A1CAE">
              <w:rPr>
                <w:noProof/>
              </w:rPr>
              <w:t>aga wysoce bezpiecznych procesów. Część ta będzie nadal utrzymywana</w:t>
            </w:r>
            <w:r w:rsidR="005A1CAE" w:rsidRPr="005A1CAE">
              <w:rPr>
                <w:noProof/>
              </w:rPr>
              <w:t xml:space="preserve"> i</w:t>
            </w:r>
            <w:r w:rsidR="005A1CAE">
              <w:rPr>
                <w:noProof/>
              </w:rPr>
              <w:t> </w:t>
            </w:r>
            <w:r w:rsidR="005A1CAE" w:rsidRPr="005A1CAE">
              <w:rPr>
                <w:noProof/>
              </w:rPr>
              <w:t>roz</w:t>
            </w:r>
            <w:r w:rsidR="006A4F00" w:rsidRPr="005A1CAE">
              <w:rPr>
                <w:noProof/>
              </w:rPr>
              <w:t>wijana</w:t>
            </w:r>
            <w:r w:rsidR="005A1CAE" w:rsidRPr="005A1CAE">
              <w:rPr>
                <w:noProof/>
              </w:rPr>
              <w:t xml:space="preserve"> w</w:t>
            </w:r>
            <w:r w:rsidR="005A1CAE">
              <w:rPr>
                <w:noProof/>
              </w:rPr>
              <w:t> </w:t>
            </w:r>
            <w:r w:rsidR="005A1CAE" w:rsidRPr="005A1CAE">
              <w:rPr>
                <w:noProof/>
              </w:rPr>
              <w:t>okr</w:t>
            </w:r>
            <w:r w:rsidR="006A4F00" w:rsidRPr="005A1CAE">
              <w:rPr>
                <w:noProof/>
              </w:rPr>
              <w:t xml:space="preserve">esie docelowym. </w:t>
            </w:r>
          </w:p>
          <w:p w14:paraId="10144A3B" w14:textId="72161745" w:rsidR="007F1B81" w:rsidRPr="005A1CAE" w:rsidRDefault="007F1B81" w:rsidP="007F1B81">
            <w:pPr>
              <w:rPr>
                <w:noProof/>
              </w:rPr>
            </w:pPr>
            <w:r w:rsidRPr="005A1CAE">
              <w:rPr>
                <w:b/>
                <w:noProof/>
              </w:rPr>
              <w:t>Harmonogram etapu 3 CBAM:</w:t>
            </w:r>
            <w:r w:rsidRPr="005A1CAE">
              <w:rPr>
                <w:noProof/>
              </w:rPr>
              <w:t xml:space="preserve"> etap ten rozpocznie się</w:t>
            </w:r>
            <w:r w:rsidR="005A1CAE" w:rsidRPr="005A1CAE">
              <w:rPr>
                <w:noProof/>
              </w:rPr>
              <w:t> </w:t>
            </w:r>
            <w:r w:rsidRPr="005A1CAE">
              <w:rPr>
                <w:noProof/>
              </w:rPr>
              <w:t>1 stycznia 2026 r., tak samo jak okres docelowy. Na tym etapie tylko części 2</w:t>
            </w:r>
            <w:r w:rsidR="005A1CAE" w:rsidRPr="005A1CAE">
              <w:rPr>
                <w:noProof/>
              </w:rPr>
              <w:t xml:space="preserve"> i</w:t>
            </w:r>
            <w:r w:rsidR="005A1CAE">
              <w:rPr>
                <w:noProof/>
              </w:rPr>
              <w:t> </w:t>
            </w:r>
            <w:r w:rsidR="005A1CAE" w:rsidRPr="005A1CAE">
              <w:rPr>
                <w:noProof/>
              </w:rPr>
              <w:t>3</w:t>
            </w:r>
            <w:r w:rsidRPr="005A1CAE">
              <w:rPr>
                <w:noProof/>
              </w:rPr>
              <w:t xml:space="preserve"> CBAM będą funkcjonować równolegle,</w:t>
            </w:r>
            <w:r w:rsidR="005A1CAE" w:rsidRPr="005A1CAE">
              <w:rPr>
                <w:noProof/>
              </w:rPr>
              <w:t xml:space="preserve"> w</w:t>
            </w:r>
            <w:r w:rsidR="005A1CAE">
              <w:rPr>
                <w:noProof/>
              </w:rPr>
              <w:t> </w:t>
            </w:r>
            <w:r w:rsidR="005A1CAE" w:rsidRPr="005A1CAE">
              <w:rPr>
                <w:noProof/>
              </w:rPr>
              <w:t>ści</w:t>
            </w:r>
            <w:r w:rsidRPr="005A1CAE">
              <w:rPr>
                <w:noProof/>
              </w:rPr>
              <w:t>słej interakcji. Część 1 zostanie wycofana, gdyż dotyczyła ona wyłącznie okresu przejściowego. Społeczność użytkowników zostanie rozszerzona</w:t>
            </w:r>
            <w:r w:rsidR="005A1CAE" w:rsidRPr="005A1CAE">
              <w:rPr>
                <w:noProof/>
              </w:rPr>
              <w:t xml:space="preserve"> o</w:t>
            </w:r>
            <w:r w:rsidR="005A1CAE">
              <w:rPr>
                <w:noProof/>
              </w:rPr>
              <w:t> </w:t>
            </w:r>
            <w:r w:rsidR="005A1CAE" w:rsidRPr="005A1CAE">
              <w:rPr>
                <w:noProof/>
              </w:rPr>
              <w:t>kra</w:t>
            </w:r>
            <w:r w:rsidRPr="005A1CAE">
              <w:rPr>
                <w:noProof/>
              </w:rPr>
              <w:t>jowe administracje celne.</w:t>
            </w:r>
          </w:p>
          <w:p w14:paraId="7570700E" w14:textId="05727C8A" w:rsidR="007F1B81" w:rsidRPr="005A1CAE" w:rsidRDefault="007F1B81" w:rsidP="007F1B81">
            <w:pPr>
              <w:rPr>
                <w:rFonts w:eastAsia="Calibri"/>
                <w:noProof/>
              </w:rPr>
            </w:pPr>
            <w:r w:rsidRPr="005A1CAE">
              <w:rPr>
                <w:b/>
                <w:noProof/>
              </w:rPr>
              <w:t>Zakres części 3 CBAM:</w:t>
            </w:r>
            <w:r w:rsidRPr="005A1CAE">
              <w:rPr>
                <w:noProof/>
              </w:rPr>
              <w:t xml:space="preserve"> Część „deklaracje CBAM, rachunki</w:t>
            </w:r>
            <w:r w:rsidR="005A1CAE" w:rsidRPr="005A1CAE">
              <w:rPr>
                <w:noProof/>
              </w:rPr>
              <w:t xml:space="preserve"> i</w:t>
            </w:r>
            <w:r w:rsidR="005A1CAE">
              <w:rPr>
                <w:noProof/>
              </w:rPr>
              <w:t> </w:t>
            </w:r>
            <w:r w:rsidR="005A1CAE" w:rsidRPr="005A1CAE">
              <w:rPr>
                <w:noProof/>
              </w:rPr>
              <w:t>zar</w:t>
            </w:r>
            <w:r w:rsidRPr="005A1CAE">
              <w:rPr>
                <w:noProof/>
              </w:rPr>
              <w:t>ządzanie ryzykiem” (poniżej na fioletowo) wejdzie</w:t>
            </w:r>
            <w:r w:rsidR="005A1CAE" w:rsidRPr="005A1CAE">
              <w:rPr>
                <w:noProof/>
              </w:rPr>
              <w:t xml:space="preserve"> w</w:t>
            </w:r>
            <w:r w:rsidR="005A1CAE">
              <w:rPr>
                <w:noProof/>
              </w:rPr>
              <w:t> </w:t>
            </w:r>
            <w:r w:rsidR="005A1CAE" w:rsidRPr="005A1CAE">
              <w:rPr>
                <w:noProof/>
              </w:rPr>
              <w:t>życ</w:t>
            </w:r>
            <w:r w:rsidRPr="005A1CAE">
              <w:rPr>
                <w:noProof/>
              </w:rPr>
              <w:t>ie</w:t>
            </w:r>
            <w:r w:rsidR="005A1CAE" w:rsidRPr="005A1CAE">
              <w:rPr>
                <w:noProof/>
              </w:rPr>
              <w:t xml:space="preserve"> z</w:t>
            </w:r>
            <w:r w:rsidR="005A1CAE">
              <w:rPr>
                <w:noProof/>
              </w:rPr>
              <w:t> </w:t>
            </w:r>
            <w:r w:rsidR="005A1CAE" w:rsidRPr="005A1CAE">
              <w:rPr>
                <w:noProof/>
              </w:rPr>
              <w:t>poc</w:t>
            </w:r>
            <w:r w:rsidRPr="005A1CAE">
              <w:rPr>
                <w:noProof/>
              </w:rPr>
              <w:t>zątkiem okresu docelowego, który ma się rozpocząć 1 stycznia 2026</w:t>
            </w:r>
            <w:r w:rsidR="005A1CAE" w:rsidRPr="005A1CAE">
              <w:rPr>
                <w:noProof/>
              </w:rPr>
              <w:t> </w:t>
            </w:r>
            <w:r w:rsidRPr="005A1CAE">
              <w:rPr>
                <w:noProof/>
              </w:rPr>
              <w:t>r. Część ta stanowi podstawę docelowego systemu CBAM. Część 3 CBAM obejmuje również interfejsy łączące system za pośrednictwem EU CSW-CERTEX</w:t>
            </w:r>
            <w:r w:rsidR="005A1CAE" w:rsidRPr="005A1CAE">
              <w:rPr>
                <w:noProof/>
              </w:rPr>
              <w:t xml:space="preserve"> z</w:t>
            </w:r>
            <w:r w:rsidR="005A1CAE">
              <w:rPr>
                <w:noProof/>
              </w:rPr>
              <w:t> </w:t>
            </w:r>
            <w:r w:rsidR="005A1CAE" w:rsidRPr="005A1CAE">
              <w:rPr>
                <w:noProof/>
              </w:rPr>
              <w:t>kra</w:t>
            </w:r>
            <w:r w:rsidRPr="005A1CAE">
              <w:rPr>
                <w:noProof/>
              </w:rPr>
              <w:t>jowymi systemami importu na potrzeby upoważnień CBAM, ze wspólną centralną platformą zakupu certyfikatów CBAM,</w:t>
            </w:r>
            <w:r w:rsidR="005A1CAE" w:rsidRPr="005A1CAE">
              <w:rPr>
                <w:noProof/>
              </w:rPr>
              <w:t xml:space="preserve"> z</w:t>
            </w:r>
            <w:r w:rsidR="005A1CAE">
              <w:rPr>
                <w:noProof/>
              </w:rPr>
              <w:t> </w:t>
            </w:r>
            <w:r w:rsidR="005A1CAE" w:rsidRPr="005A1CAE">
              <w:rPr>
                <w:noProof/>
              </w:rPr>
              <w:t>sys</w:t>
            </w:r>
            <w:r w:rsidRPr="005A1CAE">
              <w:rPr>
                <w:noProof/>
              </w:rPr>
              <w:t>temem CRMS2 służącym do wymiany informacji związanych</w:t>
            </w:r>
            <w:r w:rsidR="005A1CAE" w:rsidRPr="005A1CAE">
              <w:rPr>
                <w:noProof/>
              </w:rPr>
              <w:t xml:space="preserve"> z</w:t>
            </w:r>
            <w:r w:rsidR="005A1CAE">
              <w:rPr>
                <w:noProof/>
              </w:rPr>
              <w:t> </w:t>
            </w:r>
            <w:r w:rsidR="005A1CAE" w:rsidRPr="005A1CAE">
              <w:rPr>
                <w:noProof/>
              </w:rPr>
              <w:t>zar</w:t>
            </w:r>
            <w:r w:rsidRPr="005A1CAE">
              <w:rPr>
                <w:noProof/>
              </w:rPr>
              <w:t>ządzaniem ryzykiem celnym w UE, z ETS, OLAF-em oraz systemami właściwych organów krajowych</w:t>
            </w:r>
            <w:r w:rsidR="005A1CAE" w:rsidRPr="005A1CAE">
              <w:rPr>
                <w:noProof/>
              </w:rPr>
              <w:t>. W</w:t>
            </w:r>
            <w:r w:rsidR="005A1CAE">
              <w:rPr>
                <w:noProof/>
              </w:rPr>
              <w:t> </w:t>
            </w:r>
            <w:r w:rsidR="005A1CAE" w:rsidRPr="005A1CAE">
              <w:rPr>
                <w:noProof/>
              </w:rPr>
              <w:t>ram</w:t>
            </w:r>
            <w:r w:rsidRPr="005A1CAE">
              <w:rPr>
                <w:noProof/>
              </w:rPr>
              <w:t xml:space="preserve">ach tej części do rejestru CBAM zostaną także dodane </w:t>
            </w:r>
            <w:r w:rsidRPr="005A1CAE">
              <w:rPr>
                <w:b/>
                <w:bCs/>
                <w:noProof/>
              </w:rPr>
              <w:t>zdolności</w:t>
            </w:r>
            <w:r w:rsidR="005A1CAE" w:rsidRPr="005A1CAE">
              <w:rPr>
                <w:b/>
                <w:bCs/>
                <w:noProof/>
              </w:rPr>
              <w:t xml:space="preserve"> w</w:t>
            </w:r>
            <w:r w:rsidR="005A1CAE">
              <w:rPr>
                <w:b/>
                <w:bCs/>
                <w:noProof/>
              </w:rPr>
              <w:t> </w:t>
            </w:r>
            <w:r w:rsidR="005A1CAE" w:rsidRPr="005A1CAE">
              <w:rPr>
                <w:b/>
                <w:bCs/>
                <w:noProof/>
              </w:rPr>
              <w:t>zak</w:t>
            </w:r>
            <w:r w:rsidRPr="005A1CAE">
              <w:rPr>
                <w:b/>
                <w:bCs/>
                <w:noProof/>
              </w:rPr>
              <w:t>resie certyfikatów CBAM</w:t>
            </w:r>
            <w:r w:rsidRPr="005A1CAE">
              <w:rPr>
                <w:noProof/>
              </w:rPr>
              <w:t xml:space="preserve"> oraz zarządzania ryzykiem. Ponieważ moduły certyfikatów CBAM</w:t>
            </w:r>
            <w:r w:rsidR="005A1CAE" w:rsidRPr="005A1CAE">
              <w:rPr>
                <w:noProof/>
              </w:rPr>
              <w:t xml:space="preserve"> i</w:t>
            </w:r>
            <w:r w:rsidR="005A1CAE">
              <w:rPr>
                <w:noProof/>
              </w:rPr>
              <w:t> </w:t>
            </w:r>
            <w:r w:rsidR="005A1CAE" w:rsidRPr="005A1CAE">
              <w:rPr>
                <w:noProof/>
              </w:rPr>
              <w:t>zar</w:t>
            </w:r>
            <w:r w:rsidRPr="005A1CAE">
              <w:rPr>
                <w:noProof/>
              </w:rPr>
              <w:t>ządzania ryzykiem posłużą do przetwarzania informacji poufnych</w:t>
            </w:r>
            <w:r w:rsidR="005A1CAE" w:rsidRPr="005A1CAE">
              <w:rPr>
                <w:noProof/>
              </w:rPr>
              <w:t xml:space="preserve"> i</w:t>
            </w:r>
            <w:r w:rsidR="005A1CAE">
              <w:rPr>
                <w:noProof/>
              </w:rPr>
              <w:t> </w:t>
            </w:r>
            <w:r w:rsidR="005A1CAE" w:rsidRPr="005A1CAE">
              <w:rPr>
                <w:noProof/>
              </w:rPr>
              <w:t>mon</w:t>
            </w:r>
            <w:r w:rsidRPr="005A1CAE">
              <w:rPr>
                <w:noProof/>
              </w:rPr>
              <w:t>itorowania przypadków obchodzenia</w:t>
            </w:r>
            <w:r w:rsidR="005A1CAE" w:rsidRPr="005A1CAE">
              <w:rPr>
                <w:noProof/>
              </w:rPr>
              <w:t xml:space="preserve"> i</w:t>
            </w:r>
            <w:r w:rsidR="005A1CAE">
              <w:rPr>
                <w:noProof/>
              </w:rPr>
              <w:t> </w:t>
            </w:r>
            <w:r w:rsidR="005A1CAE" w:rsidRPr="005A1CAE">
              <w:rPr>
                <w:noProof/>
              </w:rPr>
              <w:t>nie</w:t>
            </w:r>
            <w:r w:rsidRPr="005A1CAE">
              <w:rPr>
                <w:noProof/>
              </w:rPr>
              <w:t>przestrzegania przepisów, część 3 CBAM obejmuje zarządzanie informacjami szczególnie chronionymi</w:t>
            </w:r>
            <w:r w:rsidR="005A1CAE" w:rsidRPr="005A1CAE">
              <w:rPr>
                <w:noProof/>
              </w:rPr>
              <w:t xml:space="preserve"> i</w:t>
            </w:r>
            <w:r w:rsidR="005A1CAE">
              <w:rPr>
                <w:noProof/>
              </w:rPr>
              <w:t> </w:t>
            </w:r>
            <w:r w:rsidR="005A1CAE" w:rsidRPr="005A1CAE">
              <w:rPr>
                <w:noProof/>
              </w:rPr>
              <w:t>wym</w:t>
            </w:r>
            <w:r w:rsidRPr="005A1CAE">
              <w:rPr>
                <w:noProof/>
              </w:rPr>
              <w:t>aga wysoce bezpiecznych procesów. Część ta będzie nadal utrzymywana</w:t>
            </w:r>
            <w:r w:rsidR="005A1CAE" w:rsidRPr="005A1CAE">
              <w:rPr>
                <w:noProof/>
              </w:rPr>
              <w:t xml:space="preserve"> i</w:t>
            </w:r>
            <w:r w:rsidR="005A1CAE">
              <w:rPr>
                <w:noProof/>
              </w:rPr>
              <w:t> </w:t>
            </w:r>
            <w:r w:rsidR="005A1CAE" w:rsidRPr="005A1CAE">
              <w:rPr>
                <w:noProof/>
              </w:rPr>
              <w:t>roz</w:t>
            </w:r>
            <w:r w:rsidRPr="005A1CAE">
              <w:rPr>
                <w:noProof/>
              </w:rPr>
              <w:t>wijana</w:t>
            </w:r>
            <w:r w:rsidR="005A1CAE" w:rsidRPr="005A1CAE">
              <w:rPr>
                <w:noProof/>
              </w:rPr>
              <w:t xml:space="preserve"> w</w:t>
            </w:r>
            <w:r w:rsidR="005A1CAE">
              <w:rPr>
                <w:noProof/>
              </w:rPr>
              <w:t> </w:t>
            </w:r>
            <w:r w:rsidR="005A1CAE" w:rsidRPr="005A1CAE">
              <w:rPr>
                <w:noProof/>
              </w:rPr>
              <w:t>okr</w:t>
            </w:r>
            <w:r w:rsidRPr="005A1CAE">
              <w:rPr>
                <w:noProof/>
              </w:rPr>
              <w:t xml:space="preserve">esie docelowym. </w:t>
            </w:r>
          </w:p>
          <w:p w14:paraId="7587B2E2" w14:textId="10D39BDE" w:rsidR="007F1B81" w:rsidRPr="005A1CAE" w:rsidRDefault="007F1B81" w:rsidP="007F1B81">
            <w:pPr>
              <w:rPr>
                <w:rFonts w:eastAsia="Calibri"/>
                <w:noProof/>
              </w:rPr>
            </w:pPr>
            <w:r w:rsidRPr="005A1CAE">
              <w:rPr>
                <w:b/>
                <w:noProof/>
              </w:rPr>
              <w:t>Harmonogram etapu 3 CBAM:</w:t>
            </w:r>
            <w:r w:rsidRPr="005A1CAE">
              <w:rPr>
                <w:noProof/>
              </w:rPr>
              <w:t xml:space="preserve"> etap ten rozpocznie się</w:t>
            </w:r>
            <w:r w:rsidR="005A1CAE" w:rsidRPr="005A1CAE">
              <w:rPr>
                <w:noProof/>
              </w:rPr>
              <w:t> </w:t>
            </w:r>
            <w:r w:rsidRPr="005A1CAE">
              <w:rPr>
                <w:noProof/>
              </w:rPr>
              <w:t>1 stycznia 2026 r., tak samo jak okres docelowy. Na tym etapie tylko części 2</w:t>
            </w:r>
            <w:r w:rsidR="005A1CAE" w:rsidRPr="005A1CAE">
              <w:rPr>
                <w:noProof/>
              </w:rPr>
              <w:t xml:space="preserve"> i</w:t>
            </w:r>
            <w:r w:rsidR="005A1CAE">
              <w:rPr>
                <w:noProof/>
              </w:rPr>
              <w:t> </w:t>
            </w:r>
            <w:r w:rsidR="005A1CAE" w:rsidRPr="005A1CAE">
              <w:rPr>
                <w:noProof/>
              </w:rPr>
              <w:t>3</w:t>
            </w:r>
            <w:r w:rsidRPr="005A1CAE">
              <w:rPr>
                <w:noProof/>
              </w:rPr>
              <w:t xml:space="preserve"> CBAM będą funkcjonować równolegle,</w:t>
            </w:r>
            <w:r w:rsidR="005A1CAE" w:rsidRPr="005A1CAE">
              <w:rPr>
                <w:noProof/>
              </w:rPr>
              <w:t xml:space="preserve"> w</w:t>
            </w:r>
            <w:r w:rsidR="005A1CAE">
              <w:rPr>
                <w:noProof/>
              </w:rPr>
              <w:t> </w:t>
            </w:r>
            <w:r w:rsidR="005A1CAE" w:rsidRPr="005A1CAE">
              <w:rPr>
                <w:noProof/>
              </w:rPr>
              <w:t>ści</w:t>
            </w:r>
            <w:r w:rsidRPr="005A1CAE">
              <w:rPr>
                <w:noProof/>
              </w:rPr>
              <w:t>słej interakcji. Część 1 zostanie wycofana, gdyż dotyczyła ona wyłącznie okresu przejściowego. Społeczność użytkowników zostanie rozszerzona</w:t>
            </w:r>
            <w:r w:rsidR="005A1CAE" w:rsidRPr="005A1CAE">
              <w:rPr>
                <w:noProof/>
              </w:rPr>
              <w:t xml:space="preserve"> o</w:t>
            </w:r>
            <w:r w:rsidR="005A1CAE">
              <w:rPr>
                <w:noProof/>
              </w:rPr>
              <w:t> </w:t>
            </w:r>
            <w:r w:rsidR="005A1CAE" w:rsidRPr="005A1CAE">
              <w:rPr>
                <w:noProof/>
              </w:rPr>
              <w:t>kra</w:t>
            </w:r>
            <w:r w:rsidRPr="005A1CAE">
              <w:rPr>
                <w:noProof/>
              </w:rPr>
              <w:t>jowe administracje celne.</w:t>
            </w:r>
          </w:p>
          <w:p w14:paraId="71E67438" w14:textId="77777777" w:rsidR="00EA6B4F" w:rsidRPr="005A1CAE" w:rsidRDefault="00EA6B4F" w:rsidP="007F1B81">
            <w:pPr>
              <w:rPr>
                <w:rFonts w:eastAsia="Calibri"/>
                <w:noProof/>
                <w:color w:val="0000FF"/>
              </w:rPr>
            </w:pPr>
          </w:p>
          <w:p w14:paraId="31058CBE" w14:textId="77777777" w:rsidR="00EA6B4F" w:rsidRPr="005A1CAE" w:rsidRDefault="00EA6B4F" w:rsidP="00EA6B4F">
            <w:pPr>
              <w:keepNext/>
              <w:rPr>
                <w:rFonts w:ascii="Calibri" w:eastAsia="Calibri" w:hAnsi="Calibri" w:cs="Calibri"/>
                <w:b/>
                <w:bCs/>
                <w:noProof/>
                <w:szCs w:val="24"/>
              </w:rPr>
            </w:pPr>
          </w:p>
          <w:p w14:paraId="3CF52D5D" w14:textId="77777777" w:rsidR="00EA6B4F" w:rsidRPr="005A1CAE" w:rsidRDefault="00EA6B4F" w:rsidP="00EA6B4F">
            <w:pPr>
              <w:keepNext/>
              <w:rPr>
                <w:rFonts w:ascii="Calibri" w:eastAsia="Calibri" w:hAnsi="Calibri" w:cs="Calibri"/>
                <w:b/>
                <w:bCs/>
                <w:noProof/>
                <w:szCs w:val="24"/>
              </w:rPr>
            </w:pPr>
          </w:p>
          <w:p w14:paraId="24DA288C" w14:textId="77777777" w:rsidR="00EA6B4F" w:rsidRPr="005A1CAE" w:rsidRDefault="00EA6B4F" w:rsidP="00EA6B4F">
            <w:pPr>
              <w:keepNext/>
              <w:rPr>
                <w:rFonts w:ascii="Calibri" w:eastAsia="Calibri" w:hAnsi="Calibri" w:cs="Calibri"/>
                <w:b/>
                <w:bCs/>
                <w:noProof/>
                <w:szCs w:val="24"/>
              </w:rPr>
            </w:pPr>
          </w:p>
          <w:p w14:paraId="60523B94" w14:textId="77777777" w:rsidR="00EA6B4F" w:rsidRPr="005A1CAE" w:rsidRDefault="00EA6B4F" w:rsidP="00EA6B4F">
            <w:pPr>
              <w:keepNext/>
              <w:rPr>
                <w:rFonts w:ascii="Calibri" w:eastAsia="Calibri" w:hAnsi="Calibri" w:cs="Calibri"/>
                <w:noProof/>
                <w:szCs w:val="24"/>
              </w:rPr>
            </w:pPr>
          </w:p>
          <w:p w14:paraId="4DC489DC" w14:textId="77777777" w:rsidR="00EA6B4F" w:rsidRPr="005A1CAE" w:rsidRDefault="00EA6B4F" w:rsidP="00EA6B4F">
            <w:pPr>
              <w:keepNext/>
              <w:rPr>
                <w:rFonts w:ascii="Calibri" w:eastAsia="Calibri" w:hAnsi="Calibri" w:cs="Calibri"/>
                <w:b/>
                <w:bCs/>
                <w:noProof/>
                <w:szCs w:val="24"/>
              </w:rPr>
            </w:pPr>
          </w:p>
          <w:p w14:paraId="07E9A8BF" w14:textId="77777777" w:rsidR="00EA6B4F" w:rsidRPr="005A1CAE" w:rsidRDefault="00EA6B4F" w:rsidP="00EA6B4F">
            <w:pPr>
              <w:keepNext/>
              <w:rPr>
                <w:rFonts w:ascii="Calibri" w:eastAsia="Calibri" w:hAnsi="Calibri" w:cs="Calibri"/>
                <w:b/>
                <w:bCs/>
                <w:noProof/>
                <w:szCs w:val="24"/>
              </w:rPr>
            </w:pPr>
          </w:p>
          <w:p w14:paraId="29FB697A" w14:textId="77777777" w:rsidR="00EA6B4F" w:rsidRPr="005A1CAE" w:rsidRDefault="00EA6B4F" w:rsidP="00EA6B4F">
            <w:pPr>
              <w:keepNext/>
              <w:rPr>
                <w:rFonts w:ascii="Calibri" w:eastAsia="Calibri" w:hAnsi="Calibri" w:cs="Calibri"/>
                <w:b/>
                <w:bCs/>
                <w:noProof/>
                <w:szCs w:val="24"/>
              </w:rPr>
            </w:pPr>
          </w:p>
          <w:p w14:paraId="2D0A28BD" w14:textId="77777777" w:rsidR="00EA6B4F" w:rsidRPr="005A1CAE" w:rsidRDefault="00EA6B4F" w:rsidP="00EA6B4F">
            <w:pPr>
              <w:keepNext/>
              <w:rPr>
                <w:rFonts w:ascii="Calibri" w:eastAsia="Calibri" w:hAnsi="Calibri" w:cs="Calibri"/>
                <w:b/>
                <w:bCs/>
                <w:noProof/>
                <w:szCs w:val="24"/>
              </w:rPr>
            </w:pPr>
          </w:p>
          <w:p w14:paraId="79C9B612" w14:textId="77777777" w:rsidR="00EA6B4F" w:rsidRPr="005A1CAE" w:rsidRDefault="00EA6B4F" w:rsidP="00EA6B4F">
            <w:pPr>
              <w:keepNext/>
              <w:rPr>
                <w:rFonts w:ascii="Calibri" w:eastAsia="Calibri" w:hAnsi="Calibri" w:cs="Calibri"/>
                <w:b/>
                <w:bCs/>
                <w:noProof/>
                <w:szCs w:val="24"/>
              </w:rPr>
            </w:pPr>
          </w:p>
          <w:p w14:paraId="4A5AC175" w14:textId="77777777" w:rsidR="00EA6B4F" w:rsidRPr="005A1CAE" w:rsidRDefault="00EA6B4F" w:rsidP="00EA6B4F">
            <w:pPr>
              <w:keepNext/>
              <w:rPr>
                <w:rFonts w:ascii="Calibri" w:eastAsia="Calibri" w:hAnsi="Calibri" w:cs="Calibri"/>
                <w:b/>
                <w:bCs/>
                <w:noProof/>
                <w:szCs w:val="24"/>
              </w:rPr>
            </w:pPr>
          </w:p>
          <w:p w14:paraId="16BC7528" w14:textId="77777777" w:rsidR="00EA6B4F" w:rsidRPr="005A1CAE" w:rsidRDefault="00EA6B4F" w:rsidP="007A036C">
            <w:pPr>
              <w:keepNext/>
              <w:rPr>
                <w:rFonts w:eastAsia="Calibri"/>
                <w:noProof/>
                <w:color w:val="0000FF"/>
              </w:rPr>
            </w:pPr>
            <w:r w:rsidRPr="005A1CAE">
              <w:rPr>
                <w:rFonts w:ascii="Calibri" w:hAnsi="Calibri"/>
                <w:b/>
                <w:noProof/>
              </w:rPr>
              <w:t>Etap 3 CBAM – ogólny zarys architektury</w:t>
            </w:r>
          </w:p>
          <w:p w14:paraId="56E7363A" w14:textId="5A085BE0" w:rsidR="00EA6B4F" w:rsidRPr="005A1CAE" w:rsidRDefault="00ED01D0" w:rsidP="007F1B81">
            <w:pPr>
              <w:rPr>
                <w:noProof/>
                <w:color w:val="0000FF"/>
              </w:rPr>
            </w:pPr>
            <w:r w:rsidRPr="005A1CAE">
              <w:rPr>
                <w:noProof/>
                <w:color w:val="0000FF"/>
                <w:lang w:val="en-GB" w:eastAsia="en-GB"/>
              </w:rPr>
              <w:lastRenderedPageBreak/>
              <w:drawing>
                <wp:inline distT="0" distB="0" distL="0" distR="0" wp14:anchorId="57ED0497" wp14:editId="3CB53F6F">
                  <wp:extent cx="6076604" cy="6581955"/>
                  <wp:effectExtent l="0" t="0" r="635" b="0"/>
                  <wp:docPr id="332872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8618" cy="6584137"/>
                          </a:xfrm>
                          <a:prstGeom prst="rect">
                            <a:avLst/>
                          </a:prstGeom>
                          <a:noFill/>
                          <a:ln>
                            <a:noFill/>
                          </a:ln>
                        </pic:spPr>
                      </pic:pic>
                    </a:graphicData>
                  </a:graphic>
                </wp:inline>
              </w:drawing>
            </w:r>
          </w:p>
        </w:tc>
      </w:tr>
      <w:bookmarkEnd w:id="181"/>
    </w:tbl>
    <w:p w14:paraId="6055DCBE" w14:textId="77777777" w:rsidR="00D0690F" w:rsidRPr="005A1CAE" w:rsidRDefault="00D0690F" w:rsidP="009F612D">
      <w:pPr>
        <w:rPr>
          <w:noProof/>
          <w:color w:val="008000"/>
        </w:rPr>
      </w:pPr>
    </w:p>
    <w:sectPr w:rsidR="00D0690F" w:rsidRPr="005A1CAE" w:rsidSect="009A1A09">
      <w:headerReference w:type="default" r:id="rId23"/>
      <w:footerReference w:type="default" r:id="rId2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3CA5" w14:textId="77777777" w:rsidR="001E4BE9" w:rsidRPr="005A1CAE" w:rsidRDefault="001E4BE9" w:rsidP="00D0690F">
      <w:pPr>
        <w:spacing w:before="0" w:after="0"/>
      </w:pPr>
      <w:r w:rsidRPr="005A1CAE">
        <w:separator/>
      </w:r>
    </w:p>
  </w:endnote>
  <w:endnote w:type="continuationSeparator" w:id="0">
    <w:p w14:paraId="5F0CC3B4" w14:textId="77777777" w:rsidR="001E4BE9" w:rsidRPr="005A1CAE" w:rsidRDefault="001E4BE9" w:rsidP="00D0690F">
      <w:pPr>
        <w:spacing w:before="0" w:after="0"/>
      </w:pPr>
      <w:r w:rsidRPr="005A1CAE">
        <w:continuationSeparator/>
      </w:r>
    </w:p>
  </w:endnote>
  <w:endnote w:type="continuationNotice" w:id="1">
    <w:p w14:paraId="6F9E5FC7" w14:textId="77777777" w:rsidR="001E4BE9" w:rsidRPr="005A1CAE" w:rsidRDefault="001E4B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Arial Narrow">
    <w:altName w:val="Arial"/>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8717" w14:textId="61954857" w:rsidR="009A1A09" w:rsidRPr="009A1A09" w:rsidRDefault="009A1A09" w:rsidP="009A1A09">
    <w:pPr>
      <w:pStyle w:val="Stopka"/>
      <w:rPr>
        <w:rFonts w:ascii="Arial" w:hAnsi="Arial" w:cs="Arial"/>
        <w:b/>
        <w:sz w:val="48"/>
      </w:rPr>
    </w:pPr>
    <w:r w:rsidRPr="009A1A09">
      <w:rPr>
        <w:rFonts w:ascii="Arial" w:hAnsi="Arial" w:cs="Arial"/>
        <w:b/>
        <w:sz w:val="48"/>
      </w:rPr>
      <w:t>PL</w:t>
    </w:r>
    <w:r w:rsidRPr="009A1A09">
      <w:rPr>
        <w:rFonts w:ascii="Arial" w:hAnsi="Arial" w:cs="Arial"/>
        <w:b/>
        <w:sz w:val="48"/>
      </w:rPr>
      <w:tab/>
    </w:r>
    <w:r w:rsidRPr="009A1A09">
      <w:rPr>
        <w:rFonts w:ascii="Arial" w:hAnsi="Arial" w:cs="Arial"/>
        <w:b/>
        <w:sz w:val="48"/>
      </w:rPr>
      <w:tab/>
    </w:r>
    <w:r w:rsidRPr="009A1A09">
      <w:tab/>
    </w:r>
    <w:proofErr w:type="spellStart"/>
    <w:r w:rsidRPr="009A1A09">
      <w:rPr>
        <w:rFonts w:ascii="Arial" w:hAnsi="Arial" w:cs="Arial"/>
        <w:b/>
        <w:sz w:val="48"/>
      </w:rPr>
      <w:t>PL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FC99" w14:textId="3C44E6D3" w:rsidR="009A1A09" w:rsidRPr="009A1A09" w:rsidRDefault="009A1A09" w:rsidP="009A1A09">
    <w:pPr>
      <w:pStyle w:val="Stopka"/>
      <w:rPr>
        <w:rFonts w:ascii="Arial" w:hAnsi="Arial" w:cs="Arial"/>
        <w:b/>
        <w:sz w:val="48"/>
      </w:rPr>
    </w:pPr>
    <w:r w:rsidRPr="009A1A09">
      <w:rPr>
        <w:rFonts w:ascii="Arial" w:hAnsi="Arial" w:cs="Arial"/>
        <w:b/>
        <w:sz w:val="48"/>
      </w:rPr>
      <w:t>PL</w:t>
    </w:r>
    <w:r w:rsidRPr="009A1A09">
      <w:rPr>
        <w:rFonts w:ascii="Arial" w:hAnsi="Arial" w:cs="Arial"/>
        <w:b/>
        <w:sz w:val="48"/>
      </w:rPr>
      <w:tab/>
    </w:r>
    <w:r w:rsidRPr="009A1A09">
      <w:rPr>
        <w:rFonts w:ascii="Arial" w:hAnsi="Arial" w:cs="Arial"/>
        <w:b/>
        <w:sz w:val="48"/>
      </w:rPr>
      <w:tab/>
    </w:r>
    <w:r w:rsidRPr="009A1A09">
      <w:tab/>
    </w:r>
    <w:proofErr w:type="spellStart"/>
    <w:r w:rsidRPr="009A1A09">
      <w:rPr>
        <w:rFonts w:ascii="Arial" w:hAnsi="Arial" w:cs="Arial"/>
        <w:b/>
        <w:sz w:val="48"/>
      </w:rPr>
      <w:t>PL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7C6D" w14:textId="77777777" w:rsidR="009A1A09" w:rsidRDefault="009A1A0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A680" w14:textId="46DF5159" w:rsidR="009A1A09" w:rsidRPr="009A1A09" w:rsidRDefault="009A1A09" w:rsidP="009A1A09">
    <w:pPr>
      <w:pStyle w:val="Stopka"/>
      <w:rPr>
        <w:rFonts w:ascii="Arial" w:hAnsi="Arial" w:cs="Arial"/>
        <w:b/>
        <w:sz w:val="48"/>
      </w:rPr>
    </w:pPr>
    <w:r w:rsidRPr="009A1A09">
      <w:rPr>
        <w:rFonts w:ascii="Arial" w:hAnsi="Arial" w:cs="Arial"/>
        <w:b/>
        <w:sz w:val="48"/>
      </w:rPr>
      <w:t>PL</w:t>
    </w:r>
    <w:r w:rsidRPr="009A1A09">
      <w:rPr>
        <w:rFonts w:ascii="Arial" w:hAnsi="Arial" w:cs="Arial"/>
        <w:b/>
        <w:sz w:val="48"/>
      </w:rPr>
      <w:tab/>
    </w:r>
    <w:r>
      <w:fldChar w:fldCharType="begin"/>
    </w:r>
    <w:r>
      <w:instrText xml:space="preserve"> PAGE  \* MERGEFORMAT </w:instrText>
    </w:r>
    <w:r>
      <w:fldChar w:fldCharType="separate"/>
    </w:r>
    <w:r w:rsidR="00A77B8B">
      <w:rPr>
        <w:noProof/>
      </w:rPr>
      <w:t>32</w:t>
    </w:r>
    <w:r>
      <w:fldChar w:fldCharType="end"/>
    </w:r>
    <w:r>
      <w:tab/>
    </w:r>
    <w:r w:rsidRPr="009A1A09">
      <w:tab/>
    </w:r>
    <w:r w:rsidRPr="009A1A09">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66AC" w14:textId="77777777" w:rsidR="009A1A09" w:rsidRDefault="009A1A09" w:rsidP="009A1A09">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624B" w14:textId="09E9137A" w:rsidR="009A1A09" w:rsidRPr="009A1A09" w:rsidRDefault="009A1A09" w:rsidP="009A1A09">
    <w:pPr>
      <w:pStyle w:val="FooterLandscape"/>
      <w:rPr>
        <w:rFonts w:ascii="Arial" w:hAnsi="Arial" w:cs="Arial"/>
        <w:b/>
        <w:sz w:val="48"/>
      </w:rPr>
    </w:pPr>
    <w:r w:rsidRPr="009A1A09">
      <w:rPr>
        <w:rFonts w:ascii="Arial" w:hAnsi="Arial" w:cs="Arial"/>
        <w:b/>
        <w:sz w:val="48"/>
      </w:rPr>
      <w:t>PL</w:t>
    </w:r>
    <w:r w:rsidRPr="009A1A0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9A1A09">
      <w:tab/>
    </w:r>
    <w:r w:rsidRPr="009A1A09">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D982" w14:textId="149645A7" w:rsidR="009A1A09" w:rsidRPr="009A1A09" w:rsidRDefault="009A1A09" w:rsidP="009A1A09">
    <w:pPr>
      <w:pStyle w:val="Stopka"/>
      <w:rPr>
        <w:rFonts w:ascii="Arial" w:hAnsi="Arial" w:cs="Arial"/>
        <w:b/>
        <w:sz w:val="48"/>
      </w:rPr>
    </w:pPr>
    <w:r w:rsidRPr="009A1A09">
      <w:rPr>
        <w:rFonts w:ascii="Arial" w:hAnsi="Arial" w:cs="Arial"/>
        <w:b/>
        <w:sz w:val="48"/>
      </w:rPr>
      <w:t>PL</w:t>
    </w:r>
    <w:r w:rsidRPr="009A1A0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A1A09">
      <w:tab/>
    </w:r>
    <w:r w:rsidRPr="009A1A09">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9B42" w14:textId="77777777" w:rsidR="001E4BE9" w:rsidRPr="005A1CAE" w:rsidRDefault="001E4BE9" w:rsidP="00D0690F">
      <w:pPr>
        <w:spacing w:before="0" w:after="0"/>
      </w:pPr>
      <w:r w:rsidRPr="005A1CAE">
        <w:separator/>
      </w:r>
    </w:p>
  </w:footnote>
  <w:footnote w:type="continuationSeparator" w:id="0">
    <w:p w14:paraId="2C8767E1" w14:textId="77777777" w:rsidR="001E4BE9" w:rsidRPr="005A1CAE" w:rsidRDefault="001E4BE9" w:rsidP="00D0690F">
      <w:pPr>
        <w:spacing w:before="0" w:after="0"/>
      </w:pPr>
      <w:r w:rsidRPr="005A1CAE">
        <w:continuationSeparator/>
      </w:r>
    </w:p>
  </w:footnote>
  <w:footnote w:type="continuationNotice" w:id="1">
    <w:p w14:paraId="2781D2E2" w14:textId="77777777" w:rsidR="001E4BE9" w:rsidRPr="005A1CAE" w:rsidRDefault="001E4BE9">
      <w:pPr>
        <w:spacing w:before="0" w:after="0"/>
      </w:pPr>
    </w:p>
  </w:footnote>
  <w:footnote w:id="2">
    <w:p w14:paraId="3445B374" w14:textId="3186589D" w:rsidR="00BE3E96" w:rsidRPr="005A1CAE" w:rsidRDefault="00BE3E96" w:rsidP="00BE3E96">
      <w:pPr>
        <w:pStyle w:val="Tekstprzypisudolnego"/>
      </w:pPr>
      <w:r w:rsidRPr="005A1CAE">
        <w:rPr>
          <w:rStyle w:val="Odwoanieprzypisudolnego"/>
        </w:rPr>
        <w:footnoteRef/>
      </w:r>
      <w:r w:rsidRPr="005A1CAE">
        <w:tab/>
        <w:t>Rozporządzenie Parlamentu Europejskiego</w:t>
      </w:r>
      <w:r w:rsidR="005A1CAE" w:rsidRPr="005A1CAE">
        <w:t xml:space="preserve"> i</w:t>
      </w:r>
      <w:r w:rsidR="005A1CAE">
        <w:t> </w:t>
      </w:r>
      <w:r w:rsidR="005A1CAE" w:rsidRPr="005A1CAE">
        <w:t>Rad</w:t>
      </w:r>
      <w:r w:rsidRPr="005A1CAE">
        <w:t>y (UE) 2023/956</w:t>
      </w:r>
      <w:r w:rsidR="005A1CAE" w:rsidRPr="005A1CAE">
        <w:t xml:space="preserve"> z</w:t>
      </w:r>
      <w:r w:rsidR="005A1CAE">
        <w:t> </w:t>
      </w:r>
      <w:r w:rsidR="005A1CAE" w:rsidRPr="005A1CAE">
        <w:t>dni</w:t>
      </w:r>
      <w:r w:rsidRPr="005A1CAE">
        <w:t>a 10 maja 2023</w:t>
      </w:r>
      <w:r w:rsidR="005A1CAE" w:rsidRPr="005A1CAE">
        <w:t> </w:t>
      </w:r>
      <w:r w:rsidRPr="005A1CAE">
        <w:t>r. ustanawiające mechanizm dostosowywania cen na granicach</w:t>
      </w:r>
      <w:r w:rsidR="005A1CAE" w:rsidRPr="005A1CAE">
        <w:t xml:space="preserve"> z</w:t>
      </w:r>
      <w:r w:rsidR="005A1CAE">
        <w:t> </w:t>
      </w:r>
      <w:r w:rsidR="005A1CAE" w:rsidRPr="005A1CAE">
        <w:t>uwz</w:t>
      </w:r>
      <w:r w:rsidRPr="005A1CAE">
        <w:t>ględnieniem emisji CO</w:t>
      </w:r>
      <w:r w:rsidRPr="005A1CAE">
        <w:rPr>
          <w:vertAlign w:val="subscript"/>
        </w:rPr>
        <w:t>2</w:t>
      </w:r>
      <w:r w:rsidRPr="005A1CAE">
        <w:t xml:space="preserve"> (Dz.U. L 130</w:t>
      </w:r>
      <w:r w:rsidR="005A1CAE" w:rsidRPr="005A1CAE">
        <w:t xml:space="preserve"> z</w:t>
      </w:r>
      <w:r w:rsidR="005A1CAE">
        <w:t> </w:t>
      </w:r>
      <w:proofErr w:type="gramStart"/>
      <w:r w:rsidR="005A1CAE" w:rsidRPr="005A1CAE">
        <w:t>1</w:t>
      </w:r>
      <w:r w:rsidRPr="005A1CAE">
        <w:t>6.5.2023</w:t>
      </w:r>
      <w:proofErr w:type="gramEnd"/>
      <w:r w:rsidRPr="005A1CAE">
        <w:t xml:space="preserve">, s. 52, ELI: </w:t>
      </w:r>
      <w:hyperlink r:id="rId1" w:tgtFrame="_blank" w:history="1">
        <w:r w:rsidRPr="005A1CAE">
          <w:rPr>
            <w:rStyle w:val="Hipercze"/>
          </w:rPr>
          <w:t>http://data.europa.eu/eli/reg/2023/956/oj</w:t>
        </w:r>
      </w:hyperlink>
      <w:r w:rsidRPr="005A1CAE">
        <w:t>).</w:t>
      </w:r>
    </w:p>
  </w:footnote>
  <w:footnote w:id="3">
    <w:p w14:paraId="71022DB3" w14:textId="786A9A2C" w:rsidR="00BE3E96" w:rsidRPr="005A1CAE" w:rsidDel="00104B82" w:rsidRDefault="00BE3E96" w:rsidP="00BE3E96">
      <w:pPr>
        <w:pStyle w:val="Tekstprzypisudolnego"/>
        <w:jc w:val="left"/>
      </w:pPr>
      <w:r w:rsidRPr="005A1CAE">
        <w:rPr>
          <w:rStyle w:val="Odwoanieprzypisudolnego"/>
        </w:rPr>
        <w:footnoteRef/>
      </w:r>
      <w:r w:rsidRPr="005A1CAE">
        <w:tab/>
        <w:t>Dyrektywa 2003/87/WE Parlamentu Europejskiego</w:t>
      </w:r>
      <w:r w:rsidR="005A1CAE" w:rsidRPr="005A1CAE">
        <w:t xml:space="preserve"> i</w:t>
      </w:r>
      <w:r w:rsidR="005A1CAE">
        <w:t> </w:t>
      </w:r>
      <w:r w:rsidR="005A1CAE" w:rsidRPr="005A1CAE">
        <w:t>Rad</w:t>
      </w:r>
      <w:r w:rsidRPr="005A1CAE">
        <w:t>y</w:t>
      </w:r>
      <w:r w:rsidR="005A1CAE" w:rsidRPr="005A1CAE">
        <w:t xml:space="preserve"> z</w:t>
      </w:r>
      <w:r w:rsidR="005A1CAE">
        <w:t> </w:t>
      </w:r>
      <w:r w:rsidR="005A1CAE" w:rsidRPr="005A1CAE">
        <w:t>dni</w:t>
      </w:r>
      <w:r w:rsidRPr="005A1CAE">
        <w:t>a 13 października 2003</w:t>
      </w:r>
      <w:r w:rsidR="005A1CAE" w:rsidRPr="005A1CAE">
        <w:t> </w:t>
      </w:r>
      <w:r w:rsidRPr="005A1CAE">
        <w:t>r. ustanawiająca system handlu przydziałami emisji gazów cieplarnianych</w:t>
      </w:r>
      <w:r w:rsidR="005A1CAE" w:rsidRPr="005A1CAE">
        <w:t xml:space="preserve"> w</w:t>
      </w:r>
      <w:r w:rsidR="005A1CAE">
        <w:t> </w:t>
      </w:r>
      <w:r w:rsidR="005A1CAE" w:rsidRPr="005A1CAE">
        <w:t>Uni</w:t>
      </w:r>
      <w:r w:rsidRPr="005A1CAE">
        <w:t>i oraz zmieniająca dyrektywę Rady 96/61/WE (Dz.U. L 275</w:t>
      </w:r>
      <w:r w:rsidR="005A1CAE" w:rsidRPr="005A1CAE">
        <w:t xml:space="preserve"> z</w:t>
      </w:r>
      <w:r w:rsidR="005A1CAE">
        <w:t> </w:t>
      </w:r>
      <w:r w:rsidR="005A1CAE" w:rsidRPr="005A1CAE">
        <w:t>2</w:t>
      </w:r>
      <w:r w:rsidRPr="005A1CAE">
        <w:t xml:space="preserve">5.10.2003, s. 32, ELI: </w:t>
      </w:r>
      <w:hyperlink r:id="rId2" w:history="1">
        <w:r w:rsidRPr="005A1CAE">
          <w:rPr>
            <w:rStyle w:val="Hipercze"/>
          </w:rPr>
          <w:t>http://data.europa.eu/eli/dir/2003/87/oj</w:t>
        </w:r>
      </w:hyperlink>
      <w:r w:rsidRPr="005A1CAE">
        <w:t>).</w:t>
      </w:r>
    </w:p>
  </w:footnote>
  <w:footnote w:id="4">
    <w:p w14:paraId="7BA00D95" w14:textId="5204E8B1" w:rsidR="00BE3E96" w:rsidRPr="005A1CAE" w:rsidRDefault="00BE3E96" w:rsidP="00BE3E96">
      <w:pPr>
        <w:pStyle w:val="Tekstprzypisudolnego"/>
      </w:pPr>
      <w:r w:rsidRPr="005A1CAE">
        <w:rPr>
          <w:rStyle w:val="Odwoanieprzypisudolnego"/>
        </w:rPr>
        <w:footnoteRef/>
      </w:r>
      <w:r w:rsidRPr="005A1CAE">
        <w:tab/>
        <w:t>Stopniowe wycofywanie bezpłatnych uprawnień</w:t>
      </w:r>
      <w:r w:rsidR="005A1CAE" w:rsidRPr="005A1CAE">
        <w:t xml:space="preserve"> w</w:t>
      </w:r>
      <w:r w:rsidR="005A1CAE">
        <w:t> </w:t>
      </w:r>
      <w:r w:rsidR="005A1CAE" w:rsidRPr="005A1CAE">
        <w:t>ram</w:t>
      </w:r>
      <w:r w:rsidRPr="005A1CAE">
        <w:t>ach ETS spowoduje wzrost popytu na uprawnienia sprzedawane na aukcji, co zgodnie</w:t>
      </w:r>
      <w:r w:rsidR="005A1CAE" w:rsidRPr="005A1CAE">
        <w:t xml:space="preserve"> z</w:t>
      </w:r>
      <w:r w:rsidR="005A1CAE">
        <w:t> </w:t>
      </w:r>
      <w:r w:rsidR="005A1CAE" w:rsidRPr="005A1CAE">
        <w:t>ocz</w:t>
      </w:r>
      <w:r w:rsidRPr="005A1CAE">
        <w:t>ekiwaniami zwiększy opłatę emisyjną uiszczaną w UE.</w:t>
      </w:r>
    </w:p>
  </w:footnote>
  <w:footnote w:id="5">
    <w:p w14:paraId="4635FA26" w14:textId="63A1D95B" w:rsidR="00BE3E96" w:rsidRPr="005A1CAE" w:rsidRDefault="00BE3E96" w:rsidP="00BE3E96">
      <w:pPr>
        <w:pStyle w:val="Tekstprzypisudolnego"/>
      </w:pPr>
      <w:r w:rsidRPr="005A1CAE">
        <w:rPr>
          <w:rStyle w:val="Odwoanieprzypisudolnego"/>
        </w:rPr>
        <w:footnoteRef/>
      </w:r>
      <w:r w:rsidRPr="005A1CAE">
        <w:tab/>
        <w:t>Komunikat „Europejski plan działania</w:t>
      </w:r>
      <w:r w:rsidR="005A1CAE" w:rsidRPr="005A1CAE">
        <w:t xml:space="preserve"> w</w:t>
      </w:r>
      <w:r w:rsidR="005A1CAE">
        <w:t> </w:t>
      </w:r>
      <w:r w:rsidR="005A1CAE" w:rsidRPr="005A1CAE">
        <w:t>zak</w:t>
      </w:r>
      <w:r w:rsidRPr="005A1CAE">
        <w:t>resie stali</w:t>
      </w:r>
      <w:r w:rsidR="005A1CAE" w:rsidRPr="005A1CAE">
        <w:t xml:space="preserve"> i</w:t>
      </w:r>
      <w:r w:rsidR="005A1CAE">
        <w:t> </w:t>
      </w:r>
      <w:r w:rsidR="005A1CAE" w:rsidRPr="005A1CAE">
        <w:t>met</w:t>
      </w:r>
      <w:r w:rsidRPr="005A1CAE">
        <w:t xml:space="preserve">ali”, </w:t>
      </w:r>
      <w:hyperlink r:id="rId3" w:history="1">
        <w:proofErr w:type="gramStart"/>
        <w:r w:rsidRPr="005A1CAE">
          <w:rPr>
            <w:rStyle w:val="Hipercze"/>
          </w:rPr>
          <w:t>COM(</w:t>
        </w:r>
        <w:proofErr w:type="gramEnd"/>
        <w:r w:rsidRPr="005A1CAE">
          <w:rPr>
            <w:rStyle w:val="Hipercze"/>
          </w:rPr>
          <w:t>2025) 125.</w:t>
        </w:r>
      </w:hyperlink>
    </w:p>
  </w:footnote>
  <w:footnote w:id="6">
    <w:p w14:paraId="1FCA68BC" w14:textId="12620996" w:rsidR="00BE3E96" w:rsidRPr="005A1CAE" w:rsidRDefault="00BE3E96" w:rsidP="00A4117F">
      <w:pPr>
        <w:pStyle w:val="Tekstprzypisudolnego"/>
        <w:ind w:left="709" w:hanging="709"/>
      </w:pPr>
      <w:r w:rsidRPr="005A1CAE">
        <w:rPr>
          <w:rStyle w:val="Odwoanieprzypisudolnego"/>
        </w:rPr>
        <w:footnoteRef/>
      </w:r>
      <w:r w:rsidRPr="005A1CAE">
        <w:tab/>
        <w:t>W przypadku importowanej energii elektrycznej rozporządzenie 2023/956 wymaga stosowania wartości domyślnych do obliczania emisji wbudowanych. Jeżeli spełnione są określone warunki, można zadeklarować rzeczywiste emisje związane</w:t>
      </w:r>
      <w:r w:rsidR="005A1CAE" w:rsidRPr="005A1CAE">
        <w:t xml:space="preserve"> z</w:t>
      </w:r>
      <w:r w:rsidR="005A1CAE">
        <w:t> </w:t>
      </w:r>
      <w:r w:rsidR="005A1CAE" w:rsidRPr="005A1CAE">
        <w:t>pro</w:t>
      </w:r>
      <w:r w:rsidRPr="005A1CAE">
        <w:t xml:space="preserve">dukcją energii elektrycznej. </w:t>
      </w:r>
    </w:p>
  </w:footnote>
  <w:footnote w:id="7">
    <w:p w14:paraId="3320C179" w14:textId="30185AC7" w:rsidR="00BE3E96" w:rsidRPr="005A1CAE" w:rsidRDefault="00BE3E96" w:rsidP="00BE3E96">
      <w:pPr>
        <w:pStyle w:val="Tekstprzypisudolnego"/>
      </w:pPr>
      <w:r w:rsidRPr="005A1CAE">
        <w:rPr>
          <w:rStyle w:val="Odwoanieprzypisudolnego"/>
        </w:rPr>
        <w:footnoteRef/>
      </w:r>
      <w:r w:rsidRPr="005A1CAE">
        <w:tab/>
        <w:t>Rozporządzenie Parlamentu Europejskiego</w:t>
      </w:r>
      <w:r w:rsidR="005A1CAE" w:rsidRPr="005A1CAE">
        <w:t xml:space="preserve"> i</w:t>
      </w:r>
      <w:r w:rsidR="005A1CAE">
        <w:t> </w:t>
      </w:r>
      <w:r w:rsidR="005A1CAE" w:rsidRPr="005A1CAE">
        <w:t>Rad</w:t>
      </w:r>
      <w:r w:rsidRPr="005A1CAE">
        <w:t>y (UE) 2021/1119</w:t>
      </w:r>
      <w:r w:rsidR="005A1CAE" w:rsidRPr="005A1CAE">
        <w:t xml:space="preserve"> z</w:t>
      </w:r>
      <w:r w:rsidR="005A1CAE">
        <w:t> </w:t>
      </w:r>
      <w:r w:rsidR="005A1CAE" w:rsidRPr="005A1CAE">
        <w:t>dni</w:t>
      </w:r>
      <w:r w:rsidRPr="005A1CAE">
        <w:t>a 30 czerwca 2021</w:t>
      </w:r>
      <w:r w:rsidR="005A1CAE" w:rsidRPr="005A1CAE">
        <w:t> </w:t>
      </w:r>
      <w:r w:rsidRPr="005A1CAE">
        <w:t>r.</w:t>
      </w:r>
      <w:r w:rsidR="005A1CAE" w:rsidRPr="005A1CAE">
        <w:t xml:space="preserve"> w</w:t>
      </w:r>
      <w:r w:rsidR="005A1CAE">
        <w:t> </w:t>
      </w:r>
      <w:r w:rsidR="005A1CAE" w:rsidRPr="005A1CAE">
        <w:t>spr</w:t>
      </w:r>
      <w:r w:rsidRPr="005A1CAE">
        <w:t>awie ustanowienia ram na potrzeby osiągnięcia neutralności klimatycznej</w:t>
      </w:r>
      <w:r w:rsidR="005A1CAE" w:rsidRPr="005A1CAE">
        <w:t xml:space="preserve"> i</w:t>
      </w:r>
      <w:r w:rsidR="005A1CAE">
        <w:t> </w:t>
      </w:r>
      <w:r w:rsidR="005A1CAE" w:rsidRPr="005A1CAE">
        <w:t>zmi</w:t>
      </w:r>
      <w:r w:rsidRPr="005A1CAE">
        <w:t>any rozporządzeń (WE) nr</w:t>
      </w:r>
      <w:r w:rsidR="005A1CAE" w:rsidRPr="005A1CAE">
        <w:t> </w:t>
      </w:r>
      <w:r w:rsidRPr="005A1CAE">
        <w:t>401/2009 i (UE) 2018/1999 (Europejskie prawo</w:t>
      </w:r>
      <w:r w:rsidR="005A1CAE" w:rsidRPr="005A1CAE">
        <w:t xml:space="preserve"> o</w:t>
      </w:r>
      <w:r w:rsidR="005A1CAE">
        <w:t> </w:t>
      </w:r>
      <w:r w:rsidR="005A1CAE" w:rsidRPr="005A1CAE">
        <w:t>kli</w:t>
      </w:r>
      <w:r w:rsidRPr="005A1CAE">
        <w:t>macie) (Dz.U. L 243</w:t>
      </w:r>
      <w:r w:rsidR="005A1CAE" w:rsidRPr="005A1CAE">
        <w:t xml:space="preserve"> z</w:t>
      </w:r>
      <w:r w:rsidR="005A1CAE">
        <w:t> </w:t>
      </w:r>
      <w:proofErr w:type="gramStart"/>
      <w:r w:rsidR="005A1CAE" w:rsidRPr="005A1CAE">
        <w:t>9</w:t>
      </w:r>
      <w:r w:rsidRPr="005A1CAE">
        <w:t>.7.2021</w:t>
      </w:r>
      <w:proofErr w:type="gramEnd"/>
      <w:r w:rsidRPr="005A1CAE">
        <w:t xml:space="preserve">, s. 1, ELI: </w:t>
      </w:r>
      <w:hyperlink r:id="rId4" w:tooltip="Dostęp do dokumentu poprzez identyfikator URI w systemie ELI." w:history="1">
        <w:r w:rsidRPr="005A1CAE">
          <w:rPr>
            <w:rStyle w:val="Hipercze"/>
          </w:rPr>
          <w:t>http://data.europa.eu/eli/reg/2021/1119/oj</w:t>
        </w:r>
      </w:hyperlink>
      <w:r w:rsidRPr="005A1CAE">
        <w:t>).</w:t>
      </w:r>
    </w:p>
  </w:footnote>
  <w:footnote w:id="8">
    <w:p w14:paraId="0AAB1C3F" w14:textId="0C6AAD86" w:rsidR="00BE3E96" w:rsidRPr="005A1CAE" w:rsidRDefault="00BE3E96" w:rsidP="00BE3E96">
      <w:pPr>
        <w:pStyle w:val="Tekstprzypisudolnego"/>
      </w:pPr>
      <w:r w:rsidRPr="005A1CAE">
        <w:rPr>
          <w:rStyle w:val="Odwoanieprzypisudolnego"/>
        </w:rPr>
        <w:footnoteRef/>
      </w:r>
      <w:r w:rsidRPr="005A1CAE">
        <w:tab/>
        <w:t>Rozporządzenie Parlamentu Europejskiego</w:t>
      </w:r>
      <w:r w:rsidR="005A1CAE" w:rsidRPr="005A1CAE">
        <w:t xml:space="preserve"> i</w:t>
      </w:r>
      <w:r w:rsidR="005A1CAE">
        <w:t> </w:t>
      </w:r>
      <w:r w:rsidR="005A1CAE" w:rsidRPr="005A1CAE">
        <w:t>Rad</w:t>
      </w:r>
      <w:r w:rsidRPr="005A1CAE">
        <w:t>y (UE) 2025/2083</w:t>
      </w:r>
      <w:r w:rsidR="005A1CAE" w:rsidRPr="005A1CAE">
        <w:t xml:space="preserve"> z</w:t>
      </w:r>
      <w:r w:rsidR="005A1CAE">
        <w:t> </w:t>
      </w:r>
      <w:r w:rsidR="005A1CAE" w:rsidRPr="005A1CAE">
        <w:t>dni</w:t>
      </w:r>
      <w:r w:rsidRPr="005A1CAE">
        <w:t>a 8 października 2025</w:t>
      </w:r>
      <w:r w:rsidR="005A1CAE" w:rsidRPr="005A1CAE">
        <w:t> </w:t>
      </w:r>
      <w:r w:rsidRPr="005A1CAE">
        <w:t>r.</w:t>
      </w:r>
      <w:r w:rsidR="005A1CAE" w:rsidRPr="005A1CAE">
        <w:t xml:space="preserve"> w</w:t>
      </w:r>
      <w:r w:rsidR="005A1CAE">
        <w:t> </w:t>
      </w:r>
      <w:r w:rsidR="005A1CAE" w:rsidRPr="005A1CAE">
        <w:t>spr</w:t>
      </w:r>
      <w:r w:rsidRPr="005A1CAE">
        <w:t>awie zmiany rozporządzenia (UE) 2023/956</w:t>
      </w:r>
      <w:r w:rsidR="005A1CAE" w:rsidRPr="005A1CAE">
        <w:t xml:space="preserve"> w</w:t>
      </w:r>
      <w:r w:rsidR="005A1CAE">
        <w:t> </w:t>
      </w:r>
      <w:r w:rsidR="005A1CAE" w:rsidRPr="005A1CAE">
        <w:t>odn</w:t>
      </w:r>
      <w:r w:rsidRPr="005A1CAE">
        <w:t>iesieniu do uproszczenia</w:t>
      </w:r>
      <w:r w:rsidR="005A1CAE" w:rsidRPr="005A1CAE">
        <w:t xml:space="preserve"> i</w:t>
      </w:r>
      <w:r w:rsidR="005A1CAE">
        <w:t> </w:t>
      </w:r>
      <w:r w:rsidR="005A1CAE" w:rsidRPr="005A1CAE">
        <w:t>wzm</w:t>
      </w:r>
      <w:r w:rsidRPr="005A1CAE">
        <w:t>ocnienia mechanizmu dostosowywania cen na granicach</w:t>
      </w:r>
      <w:r w:rsidR="005A1CAE" w:rsidRPr="005A1CAE">
        <w:t xml:space="preserve"> z</w:t>
      </w:r>
      <w:r w:rsidR="005A1CAE">
        <w:t> </w:t>
      </w:r>
      <w:r w:rsidR="005A1CAE" w:rsidRPr="005A1CAE">
        <w:t>uwz</w:t>
      </w:r>
      <w:r w:rsidRPr="005A1CAE">
        <w:t>ględnieniem emisji CO</w:t>
      </w:r>
      <w:r w:rsidRPr="005A1CAE">
        <w:rPr>
          <w:vertAlign w:val="subscript"/>
        </w:rPr>
        <w:t>2</w:t>
      </w:r>
      <w:r w:rsidRPr="005A1CAE">
        <w:t xml:space="preserve"> (Dz.U. L, 2025/2083, 17.10.2025, ELI: </w:t>
      </w:r>
      <w:hyperlink r:id="rId5" w:tooltip="Dostęp do dokumentu poprzez identyfikator URI w systemie ELI." w:history="1">
        <w:r w:rsidRPr="005A1CAE">
          <w:rPr>
            <w:rStyle w:val="Hipercze"/>
          </w:rPr>
          <w:t>http://data.europa.eu/eli/reg/2025/2083/oj</w:t>
        </w:r>
      </w:hyperlink>
      <w:r w:rsidRPr="005A1CAE">
        <w:t>).</w:t>
      </w:r>
    </w:p>
  </w:footnote>
  <w:footnote w:id="9">
    <w:p w14:paraId="616755D5" w14:textId="3B4317F9" w:rsidR="00BE3E96" w:rsidRPr="005A1CAE" w:rsidRDefault="00BE3E96" w:rsidP="00BE3E96">
      <w:pPr>
        <w:pStyle w:val="Tekstprzypisudolnego"/>
      </w:pPr>
      <w:r w:rsidRPr="005A1CAE">
        <w:rPr>
          <w:rStyle w:val="Odwoanieprzypisudolnego"/>
        </w:rPr>
        <w:footnoteRef/>
      </w:r>
      <w:r w:rsidRPr="005A1CAE">
        <w:tab/>
        <w:t>W ocenie tej szczegółowo omówiony zostanie wpływ obecnego zakresu CBAM na bardziej szczegółową grupę państw</w:t>
      </w:r>
      <w:r w:rsidR="005A1CAE" w:rsidRPr="005A1CAE">
        <w:t>. W</w:t>
      </w:r>
      <w:r w:rsidR="005A1CAE">
        <w:t> </w:t>
      </w:r>
      <w:r w:rsidR="005A1CAE" w:rsidRPr="005A1CAE">
        <w:t>nin</w:t>
      </w:r>
      <w:r w:rsidRPr="005A1CAE">
        <w:t>iejszej ocenie skutków przeanalizowano również skutki dla państw trzecich</w:t>
      </w:r>
      <w:r w:rsidR="005A1CAE" w:rsidRPr="005A1CAE">
        <w:t xml:space="preserve"> w</w:t>
      </w:r>
      <w:r w:rsidR="005A1CAE">
        <w:t> </w:t>
      </w:r>
      <w:r w:rsidR="005A1CAE" w:rsidRPr="005A1CAE">
        <w:t>sek</w:t>
      </w:r>
      <w:r w:rsidRPr="005A1CAE">
        <w:t>cji 6.</w:t>
      </w:r>
    </w:p>
  </w:footnote>
  <w:footnote w:id="10">
    <w:p w14:paraId="5454A804" w14:textId="1E55E6CE" w:rsidR="00BE3E96" w:rsidRPr="005A1CAE" w:rsidRDefault="00BE3E96" w:rsidP="00BE3E96">
      <w:pPr>
        <w:pStyle w:val="Tekstprzypisudolnego"/>
        <w:rPr>
          <w:sz w:val="22"/>
          <w:szCs w:val="22"/>
        </w:rPr>
      </w:pPr>
      <w:r w:rsidRPr="005A1CAE">
        <w:rPr>
          <w:rStyle w:val="Odwoanieprzypisudolnego"/>
        </w:rPr>
        <w:footnoteRef/>
      </w:r>
      <w:r w:rsidRPr="005A1CAE">
        <w:tab/>
        <w:t>Nie bierze się pod uwagę produktów rynku niższego szczebla związanych</w:t>
      </w:r>
      <w:r w:rsidR="005A1CAE" w:rsidRPr="005A1CAE">
        <w:t xml:space="preserve"> z</w:t>
      </w:r>
      <w:r w:rsidR="005A1CAE">
        <w:t> </w:t>
      </w:r>
      <w:r w:rsidR="005A1CAE" w:rsidRPr="005A1CAE">
        <w:t>ene</w:t>
      </w:r>
      <w:r w:rsidRPr="005A1CAE">
        <w:t>rgią elektryczną, ponieważ energia elektryczna jest wykorzystywana</w:t>
      </w:r>
      <w:r w:rsidR="005A1CAE" w:rsidRPr="005A1CAE">
        <w:t xml:space="preserve"> w</w:t>
      </w:r>
      <w:r w:rsidR="005A1CAE">
        <w:t> </w:t>
      </w:r>
      <w:r w:rsidR="005A1CAE" w:rsidRPr="005A1CAE">
        <w:t>pro</w:t>
      </w:r>
      <w:r w:rsidRPr="005A1CAE">
        <w:t>cesie produkcji praktycznie wszystkich towarów, co sprawia, że określenie udziału materiałów wsadowych</w:t>
      </w:r>
      <w:r w:rsidR="005A1CAE" w:rsidRPr="005A1CAE">
        <w:t xml:space="preserve"> i</w:t>
      </w:r>
      <w:r w:rsidR="005A1CAE">
        <w:t> </w:t>
      </w:r>
      <w:r w:rsidR="005A1CAE" w:rsidRPr="005A1CAE">
        <w:t>emi</w:t>
      </w:r>
      <w:r w:rsidRPr="005A1CAE">
        <w:t>sji wbudowanych związanych</w:t>
      </w:r>
      <w:r w:rsidR="005A1CAE" w:rsidRPr="005A1CAE">
        <w:t xml:space="preserve"> z</w:t>
      </w:r>
      <w:r w:rsidR="005A1CAE">
        <w:t> </w:t>
      </w:r>
      <w:r w:rsidR="005A1CAE" w:rsidRPr="005A1CAE">
        <w:t>ene</w:t>
      </w:r>
      <w:r w:rsidRPr="005A1CAE">
        <w:t xml:space="preserve">rgią elektryczną we wszystkich możliwych przywożonych towarach jest niewykonalne. </w:t>
      </w:r>
    </w:p>
  </w:footnote>
  <w:footnote w:id="11">
    <w:p w14:paraId="4EBE80E9" w14:textId="03AC567B" w:rsidR="00BE3E96" w:rsidRPr="005A1CAE" w:rsidRDefault="00BE3E96" w:rsidP="00BE3E96">
      <w:pPr>
        <w:pStyle w:val="Tekstprzypisudolnego"/>
      </w:pPr>
      <w:r w:rsidRPr="005A1CAE">
        <w:rPr>
          <w:rStyle w:val="Odwoanieprzypisudolnego"/>
        </w:rPr>
        <w:footnoteRef/>
      </w:r>
      <w:r w:rsidRPr="005A1CAE">
        <w:tab/>
        <w:t>Kluczowe uwzględnione aspekty obejmują zasady monitorowania, obliczania</w:t>
      </w:r>
      <w:r w:rsidR="005A1CAE" w:rsidRPr="005A1CAE">
        <w:t xml:space="preserve"> i</w:t>
      </w:r>
      <w:r w:rsidR="005A1CAE">
        <w:t> </w:t>
      </w:r>
      <w:r w:rsidR="005A1CAE" w:rsidRPr="005A1CAE">
        <w:t>wer</w:t>
      </w:r>
      <w:r w:rsidRPr="005A1CAE">
        <w:t>yfikacji emisji wbudowanych związanych</w:t>
      </w:r>
      <w:r w:rsidR="005A1CAE" w:rsidRPr="005A1CAE">
        <w:t xml:space="preserve"> z</w:t>
      </w:r>
      <w:r w:rsidR="005A1CAE">
        <w:t> </w:t>
      </w:r>
      <w:r w:rsidR="005A1CAE" w:rsidRPr="005A1CAE">
        <w:t>tow</w:t>
      </w:r>
      <w:r w:rsidRPr="005A1CAE">
        <w:t>arami objętymi zakresem mechanizmu, zasady dostosowywania obowiązku CBAM</w:t>
      </w:r>
      <w:r w:rsidR="005A1CAE" w:rsidRPr="005A1CAE">
        <w:t xml:space="preserve"> w</w:t>
      </w:r>
      <w:r w:rsidR="005A1CAE">
        <w:t> </w:t>
      </w:r>
      <w:r w:rsidR="005A1CAE" w:rsidRPr="005A1CAE">
        <w:t>cel</w:t>
      </w:r>
      <w:r w:rsidRPr="005A1CAE">
        <w:t>u uwzględnienia poziomów przydziału bezpłatnych uprawnień</w:t>
      </w:r>
      <w:r w:rsidR="005A1CAE" w:rsidRPr="005A1CAE">
        <w:t xml:space="preserve"> w</w:t>
      </w:r>
      <w:r w:rsidR="005A1CAE">
        <w:t> </w:t>
      </w:r>
      <w:r w:rsidR="005A1CAE" w:rsidRPr="005A1CAE">
        <w:t>sek</w:t>
      </w:r>
      <w:r w:rsidRPr="005A1CAE">
        <w:t>torach EU ETS objętych CBAM oraz zasady rozliczania opłat emisyjnych faktycznie uiszczonych</w:t>
      </w:r>
      <w:r w:rsidR="005A1CAE" w:rsidRPr="005A1CAE">
        <w:t xml:space="preserve"> w</w:t>
      </w:r>
      <w:r w:rsidR="005A1CAE">
        <w:t> </w:t>
      </w:r>
      <w:r w:rsidR="005A1CAE" w:rsidRPr="005A1CAE">
        <w:t>pań</w:t>
      </w:r>
      <w:r w:rsidRPr="005A1CAE">
        <w:t>stwach trzecich.</w:t>
      </w:r>
    </w:p>
  </w:footnote>
  <w:footnote w:id="12">
    <w:p w14:paraId="7D645437" w14:textId="66B5D095" w:rsidR="00BE3E96" w:rsidRPr="005A1CAE" w:rsidRDefault="00BE3E96" w:rsidP="00BE3E96">
      <w:pPr>
        <w:pStyle w:val="Tekstprzypisudolnego"/>
      </w:pPr>
      <w:r w:rsidRPr="005A1CAE">
        <w:rPr>
          <w:rStyle w:val="Odwoanieprzypisudolnego"/>
        </w:rPr>
        <w:footnoteRef/>
      </w:r>
      <w:r w:rsidRPr="005A1CAE">
        <w:tab/>
        <w:t>Komunikat, „Pakt dla czystego przemysłu: wspólny plan działania na rzecz konkurencyjności</w:t>
      </w:r>
      <w:r w:rsidR="005A1CAE" w:rsidRPr="005A1CAE">
        <w:t xml:space="preserve"> i</w:t>
      </w:r>
      <w:r w:rsidR="005A1CAE">
        <w:t> </w:t>
      </w:r>
      <w:r w:rsidR="005A1CAE" w:rsidRPr="005A1CAE">
        <w:t>dek</w:t>
      </w:r>
      <w:r w:rsidRPr="005A1CAE">
        <w:t xml:space="preserve">arbonizacji”, </w:t>
      </w:r>
      <w:hyperlink r:id="rId6" w:history="1">
        <w:proofErr w:type="gramStart"/>
        <w:r w:rsidRPr="005A1CAE">
          <w:rPr>
            <w:rStyle w:val="Hipercze"/>
          </w:rPr>
          <w:t>COM(</w:t>
        </w:r>
        <w:proofErr w:type="gramEnd"/>
        <w:r w:rsidRPr="005A1CAE">
          <w:rPr>
            <w:rStyle w:val="Hipercze"/>
          </w:rPr>
          <w:t xml:space="preserve">2025) 85 </w:t>
        </w:r>
        <w:proofErr w:type="spellStart"/>
        <w:r w:rsidRPr="005A1CAE">
          <w:rPr>
            <w:rStyle w:val="Hipercze"/>
          </w:rPr>
          <w:t>final</w:t>
        </w:r>
        <w:proofErr w:type="spellEnd"/>
      </w:hyperlink>
      <w:r w:rsidRPr="005A1CAE">
        <w:t xml:space="preserve">. </w:t>
      </w:r>
    </w:p>
  </w:footnote>
  <w:footnote w:id="13">
    <w:p w14:paraId="0CFFBF90" w14:textId="77777777" w:rsidR="00BE3E96" w:rsidRPr="005A1CAE" w:rsidRDefault="00BE3E96" w:rsidP="00BE3E96">
      <w:pPr>
        <w:pStyle w:val="Tekstprzypisudolnego"/>
      </w:pPr>
      <w:r w:rsidRPr="005A1CAE">
        <w:rPr>
          <w:rStyle w:val="Odwoanieprzypisudolnego"/>
        </w:rPr>
        <w:footnoteRef/>
      </w:r>
      <w:r w:rsidRPr="005A1CAE">
        <w:tab/>
        <w:t>Dla danego produktu wartość handlu produktem (wywóz plus przywóz) podzielona przez wartość całkowitej konsumpcji tego produktu w UE.</w:t>
      </w:r>
    </w:p>
  </w:footnote>
  <w:footnote w:id="14">
    <w:p w14:paraId="4A64BB46" w14:textId="77777777" w:rsidR="00BE3E96" w:rsidRPr="005A1CAE" w:rsidRDefault="00BE3E96" w:rsidP="00BE3E96">
      <w:pPr>
        <w:pStyle w:val="Tekstprzypisudolnego"/>
      </w:pPr>
      <w:r w:rsidRPr="005A1CAE">
        <w:rPr>
          <w:rStyle w:val="Odwoanieprzypisudolnego"/>
        </w:rPr>
        <w:footnoteRef/>
      </w:r>
      <w:r w:rsidRPr="005A1CAE">
        <w:tab/>
        <w:t>Dz.U. L, 2025/2083.</w:t>
      </w:r>
    </w:p>
  </w:footnote>
  <w:footnote w:id="15">
    <w:p w14:paraId="15713C9B" w14:textId="0239C901" w:rsidR="00BE3E96" w:rsidRPr="005A1CAE" w:rsidRDefault="00BE3E96" w:rsidP="00BE3E96">
      <w:pPr>
        <w:pStyle w:val="Tekstprzypisudolnego"/>
      </w:pPr>
      <w:r w:rsidRPr="005A1CAE">
        <w:rPr>
          <w:rStyle w:val="Odwoanieprzypisudolnego"/>
        </w:rPr>
        <w:footnoteRef/>
      </w:r>
      <w:r w:rsidRPr="005A1CAE">
        <w:tab/>
        <w:t>Ocena skutków towarzysząca wnioskowi dotyczącemu rozporządzenia Parlamentu Europejskiego</w:t>
      </w:r>
      <w:r w:rsidR="005A1CAE" w:rsidRPr="005A1CAE">
        <w:t xml:space="preserve"> i</w:t>
      </w:r>
      <w:r w:rsidR="005A1CAE">
        <w:t> </w:t>
      </w:r>
      <w:r w:rsidR="005A1CAE" w:rsidRPr="005A1CAE">
        <w:t>Rad</w:t>
      </w:r>
      <w:r w:rsidRPr="005A1CAE">
        <w:t>y zmieniającego rozporządzenie (UE) 2023/956</w:t>
      </w:r>
      <w:r w:rsidR="005A1CAE" w:rsidRPr="005A1CAE">
        <w:t xml:space="preserve"> w</w:t>
      </w:r>
      <w:r w:rsidR="005A1CAE">
        <w:t> </w:t>
      </w:r>
      <w:r w:rsidR="005A1CAE" w:rsidRPr="005A1CAE">
        <w:t>odn</w:t>
      </w:r>
      <w:r w:rsidRPr="005A1CAE">
        <w:t>iesieniu do uproszczenia</w:t>
      </w:r>
      <w:r w:rsidR="005A1CAE" w:rsidRPr="005A1CAE">
        <w:t xml:space="preserve"> i</w:t>
      </w:r>
      <w:r w:rsidR="005A1CAE">
        <w:t> </w:t>
      </w:r>
      <w:r w:rsidR="005A1CAE" w:rsidRPr="005A1CAE">
        <w:t>wzm</w:t>
      </w:r>
      <w:r w:rsidRPr="005A1CAE">
        <w:t>ocnienia mechanizmu dostosowywania cen na granicach</w:t>
      </w:r>
      <w:r w:rsidR="005A1CAE" w:rsidRPr="005A1CAE">
        <w:t xml:space="preserve"> z</w:t>
      </w:r>
      <w:r w:rsidR="005A1CAE">
        <w:t> </w:t>
      </w:r>
      <w:r w:rsidR="005A1CAE" w:rsidRPr="005A1CAE">
        <w:t>uwz</w:t>
      </w:r>
      <w:r w:rsidRPr="005A1CAE">
        <w:t>ględnieniem emisji CO</w:t>
      </w:r>
      <w:r w:rsidRPr="005A1CAE">
        <w:rPr>
          <w:vertAlign w:val="subscript"/>
        </w:rPr>
        <w:t>2</w:t>
      </w:r>
      <w:r w:rsidRPr="005A1CAE">
        <w:t xml:space="preserve">, </w:t>
      </w:r>
      <w:proofErr w:type="gramStart"/>
      <w:r w:rsidRPr="005A1CAE">
        <w:t>COM(</w:t>
      </w:r>
      <w:proofErr w:type="gramEnd"/>
      <w:r w:rsidRPr="005A1CAE">
        <w:t xml:space="preserve">2025) 87 </w:t>
      </w:r>
      <w:proofErr w:type="spellStart"/>
      <w:r w:rsidRPr="005A1CAE">
        <w:t>final</w:t>
      </w:r>
      <w:proofErr w:type="spellEnd"/>
      <w:r w:rsidRPr="005A1CAE">
        <w:t>.</w:t>
      </w:r>
    </w:p>
  </w:footnote>
  <w:footnote w:id="16">
    <w:p w14:paraId="342EC76C" w14:textId="3C5BBCDC" w:rsidR="00D0690F" w:rsidRPr="005A1CAE" w:rsidRDefault="00D0690F" w:rsidP="009F612D">
      <w:pPr>
        <w:pStyle w:val="Tekstprzypisudolnego"/>
      </w:pPr>
      <w:r w:rsidRPr="005A1CAE">
        <w:rPr>
          <w:rStyle w:val="Odwoanieprzypisudolnego"/>
        </w:rPr>
        <w:footnoteRef/>
      </w:r>
      <w:r w:rsidRPr="005A1CAE">
        <w:tab/>
        <w:t>Dz.U. C, […], s. […</w:t>
      </w:r>
      <w:proofErr w:type="gramStart"/>
      <w:r w:rsidRPr="005A1CAE">
        <w:t>].</w:t>
      </w:r>
      <w:r w:rsidR="005A1CAE">
        <w:t>.</w:t>
      </w:r>
      <w:proofErr w:type="gramEnd"/>
    </w:p>
  </w:footnote>
  <w:footnote w:id="17">
    <w:p w14:paraId="01A54E28" w14:textId="2968565C" w:rsidR="00D0690F" w:rsidRPr="005A1CAE" w:rsidRDefault="00D0690F" w:rsidP="009F612D">
      <w:pPr>
        <w:pStyle w:val="Tekstprzypisudolnego"/>
      </w:pPr>
      <w:r w:rsidRPr="005A1CAE">
        <w:rPr>
          <w:rStyle w:val="Odwoanieprzypisudolnego"/>
        </w:rPr>
        <w:footnoteRef/>
      </w:r>
      <w:r w:rsidRPr="005A1CAE">
        <w:tab/>
        <w:t>Dz.U. C, […], s. […</w:t>
      </w:r>
      <w:proofErr w:type="gramStart"/>
      <w:r w:rsidRPr="005A1CAE">
        <w:t>].</w:t>
      </w:r>
      <w:r w:rsidR="005A1CAE">
        <w:t>.</w:t>
      </w:r>
      <w:proofErr w:type="gramEnd"/>
    </w:p>
  </w:footnote>
  <w:footnote w:id="18">
    <w:p w14:paraId="3DB418CB" w14:textId="6BBCC42E" w:rsidR="004D36D9" w:rsidRPr="005A1CAE" w:rsidRDefault="004D36D9">
      <w:pPr>
        <w:pStyle w:val="Tekstprzypisudolnego"/>
      </w:pPr>
      <w:r w:rsidRPr="005A1CAE">
        <w:rPr>
          <w:rStyle w:val="Odwoanieprzypisudolnego"/>
        </w:rPr>
        <w:footnoteRef/>
      </w:r>
      <w:r w:rsidRPr="005A1CAE">
        <w:tab/>
        <w:t>Rozporządzenie Parlamentu Europejskiego</w:t>
      </w:r>
      <w:r w:rsidR="005A1CAE" w:rsidRPr="005A1CAE">
        <w:t xml:space="preserve"> i</w:t>
      </w:r>
      <w:r w:rsidR="005A1CAE">
        <w:t> </w:t>
      </w:r>
      <w:r w:rsidR="005A1CAE" w:rsidRPr="005A1CAE">
        <w:t>Rad</w:t>
      </w:r>
      <w:r w:rsidRPr="005A1CAE">
        <w:t>y (UE) 2023/956</w:t>
      </w:r>
      <w:r w:rsidR="005A1CAE" w:rsidRPr="005A1CAE">
        <w:t xml:space="preserve"> z</w:t>
      </w:r>
      <w:r w:rsidR="005A1CAE">
        <w:t> </w:t>
      </w:r>
      <w:r w:rsidR="005A1CAE" w:rsidRPr="005A1CAE">
        <w:t>dni</w:t>
      </w:r>
      <w:r w:rsidRPr="005A1CAE">
        <w:t>a 10 maja 2023</w:t>
      </w:r>
      <w:r w:rsidR="005A1CAE" w:rsidRPr="005A1CAE">
        <w:t> </w:t>
      </w:r>
      <w:r w:rsidRPr="005A1CAE">
        <w:t>r. ustanawiające mechanizm dostosowywania cen na granicach</w:t>
      </w:r>
      <w:r w:rsidR="005A1CAE" w:rsidRPr="005A1CAE">
        <w:t xml:space="preserve"> z</w:t>
      </w:r>
      <w:r w:rsidR="005A1CAE">
        <w:t> </w:t>
      </w:r>
      <w:r w:rsidR="005A1CAE" w:rsidRPr="005A1CAE">
        <w:t>uwz</w:t>
      </w:r>
      <w:r w:rsidRPr="005A1CAE">
        <w:t>ględnieniem emisji CO</w:t>
      </w:r>
      <w:r w:rsidRPr="005A1CAE">
        <w:rPr>
          <w:vertAlign w:val="subscript"/>
        </w:rPr>
        <w:t>2</w:t>
      </w:r>
      <w:r w:rsidRPr="005A1CAE">
        <w:t xml:space="preserve"> (Dz.U. L 130</w:t>
      </w:r>
      <w:r w:rsidR="005A1CAE" w:rsidRPr="005A1CAE">
        <w:t xml:space="preserve"> z</w:t>
      </w:r>
      <w:r w:rsidR="005A1CAE">
        <w:t> </w:t>
      </w:r>
      <w:proofErr w:type="gramStart"/>
      <w:r w:rsidR="005A1CAE" w:rsidRPr="005A1CAE">
        <w:t>1</w:t>
      </w:r>
      <w:r w:rsidRPr="005A1CAE">
        <w:t>6.5.2023</w:t>
      </w:r>
      <w:proofErr w:type="gramEnd"/>
      <w:r w:rsidRPr="005A1CAE">
        <w:t>, s. 52, ELI: http://data.europa.eu/eli/reg/2023/956/oj).</w:t>
      </w:r>
    </w:p>
  </w:footnote>
  <w:footnote w:id="19">
    <w:p w14:paraId="4127E96E" w14:textId="4AD42FA2" w:rsidR="00FA6820" w:rsidRPr="005A1CAE" w:rsidRDefault="00FA6820">
      <w:pPr>
        <w:pStyle w:val="Tekstprzypisudolnego"/>
      </w:pPr>
      <w:r w:rsidRPr="005A1CAE">
        <w:rPr>
          <w:rStyle w:val="Odwoanieprzypisudolnego"/>
        </w:rPr>
        <w:footnoteRef/>
      </w:r>
      <w:r w:rsidRPr="005A1CAE">
        <w:tab/>
        <w:t>Komunikat „Europejski plan działania</w:t>
      </w:r>
      <w:r w:rsidR="005A1CAE" w:rsidRPr="005A1CAE">
        <w:t xml:space="preserve"> w</w:t>
      </w:r>
      <w:r w:rsidR="005A1CAE">
        <w:t> </w:t>
      </w:r>
      <w:r w:rsidR="005A1CAE" w:rsidRPr="005A1CAE">
        <w:t>zak</w:t>
      </w:r>
      <w:r w:rsidRPr="005A1CAE">
        <w:t>resie stali</w:t>
      </w:r>
      <w:r w:rsidR="005A1CAE" w:rsidRPr="005A1CAE">
        <w:t xml:space="preserve"> i</w:t>
      </w:r>
      <w:r w:rsidR="005A1CAE">
        <w:t> </w:t>
      </w:r>
      <w:r w:rsidR="005A1CAE" w:rsidRPr="005A1CAE">
        <w:t>met</w:t>
      </w:r>
      <w:r w:rsidRPr="005A1CAE">
        <w:t xml:space="preserve">ali”, </w:t>
      </w:r>
      <w:hyperlink r:id="rId7" w:history="1">
        <w:r w:rsidRPr="005A1CAE">
          <w:rPr>
            <w:rStyle w:val="Hipercze"/>
          </w:rPr>
          <w:t>COM</w:t>
        </w:r>
        <w:proofErr w:type="gramStart"/>
        <w:r w:rsidRPr="005A1CAE">
          <w:rPr>
            <w:rStyle w:val="Hipercze"/>
          </w:rPr>
          <w:t>/(</w:t>
        </w:r>
        <w:proofErr w:type="gramEnd"/>
        <w:r w:rsidRPr="005A1CAE">
          <w:rPr>
            <w:rStyle w:val="Hipercze"/>
          </w:rPr>
          <w:t>2025) 125 final</w:t>
        </w:r>
      </w:hyperlink>
      <w:hyperlink r:id="rId8" w:history="1">
        <w:r w:rsidRPr="005A1CAE">
          <w:rPr>
            <w:rStyle w:val="Hipercze"/>
          </w:rPr>
          <w:t>https://eur-lex.europa.eu/legal-content/PL/TXT/?uri=celex:52025DC0085</w:t>
        </w:r>
      </w:hyperlink>
      <w:r w:rsidRPr="005A1CAE">
        <w:t xml:space="preserve">. </w:t>
      </w:r>
    </w:p>
  </w:footnote>
  <w:footnote w:id="20">
    <w:p w14:paraId="3333036B" w14:textId="3F43DCE3" w:rsidR="00334E94" w:rsidRPr="005A1CAE" w:rsidRDefault="00334E94" w:rsidP="00334E94">
      <w:pPr>
        <w:pStyle w:val="Tekstprzypisudolnego"/>
      </w:pPr>
      <w:r w:rsidRPr="005A1CAE">
        <w:rPr>
          <w:rStyle w:val="Odwoanieprzypisudolnego"/>
        </w:rPr>
        <w:footnoteRef/>
      </w:r>
      <w:r w:rsidRPr="005A1CAE">
        <w:tab/>
        <w:t xml:space="preserve">Komunikat: Europejski Zielony Ład, </w:t>
      </w:r>
      <w:hyperlink r:id="rId9" w:history="1">
        <w:proofErr w:type="gramStart"/>
        <w:r w:rsidRPr="005A1CAE">
          <w:rPr>
            <w:rStyle w:val="Hipercze"/>
          </w:rPr>
          <w:t>COM(</w:t>
        </w:r>
        <w:proofErr w:type="gramEnd"/>
        <w:r w:rsidRPr="005A1CAE">
          <w:rPr>
            <w:rStyle w:val="Hipercze"/>
          </w:rPr>
          <w:t xml:space="preserve">2019) 640 </w:t>
        </w:r>
        <w:proofErr w:type="spellStart"/>
        <w:r w:rsidRPr="005A1CAE">
          <w:rPr>
            <w:rStyle w:val="Hipercze"/>
          </w:rPr>
          <w:t>final</w:t>
        </w:r>
        <w:proofErr w:type="spellEnd"/>
      </w:hyperlink>
      <w:r w:rsidRPr="005A1CAE">
        <w:t>.</w:t>
      </w:r>
    </w:p>
  </w:footnote>
  <w:footnote w:id="21">
    <w:p w14:paraId="4716ED46" w14:textId="528B2409" w:rsidR="00334E94" w:rsidRPr="005A1CAE" w:rsidRDefault="00334E94" w:rsidP="00334E94">
      <w:pPr>
        <w:pStyle w:val="Tekstprzypisudolnego"/>
      </w:pPr>
      <w:r w:rsidRPr="005A1CAE">
        <w:rPr>
          <w:rStyle w:val="Odwoanieprzypisudolnego"/>
        </w:rPr>
        <w:footnoteRef/>
      </w:r>
      <w:r w:rsidRPr="005A1CAE">
        <w:tab/>
        <w:t>Dz.U. L 282</w:t>
      </w:r>
      <w:r w:rsidR="005A1CAE" w:rsidRPr="005A1CAE">
        <w:t xml:space="preserve"> z</w:t>
      </w:r>
      <w:r w:rsidR="005A1CAE">
        <w:t> </w:t>
      </w:r>
      <w:r w:rsidR="005A1CAE" w:rsidRPr="005A1CAE">
        <w:t>1</w:t>
      </w:r>
      <w:r w:rsidRPr="005A1CAE">
        <w:t>9.10.2016, s. 4.</w:t>
      </w:r>
    </w:p>
  </w:footnote>
  <w:footnote w:id="22">
    <w:p w14:paraId="55996242" w14:textId="4505D7DC" w:rsidR="00334E94" w:rsidRPr="005A1CAE" w:rsidRDefault="00334E94" w:rsidP="00334E94">
      <w:pPr>
        <w:pStyle w:val="Tekstprzypisudolnego"/>
      </w:pPr>
      <w:r w:rsidRPr="005A1CAE">
        <w:rPr>
          <w:rStyle w:val="Odwoanieprzypisudolnego"/>
        </w:rPr>
        <w:footnoteRef/>
      </w:r>
      <w:r w:rsidRPr="005A1CAE">
        <w:tab/>
        <w:t>Wspólny komunikat: Globalna wizja klimatyczna</w:t>
      </w:r>
      <w:r w:rsidR="005A1CAE" w:rsidRPr="005A1CAE">
        <w:t xml:space="preserve"> i</w:t>
      </w:r>
      <w:r w:rsidR="005A1CAE">
        <w:t> </w:t>
      </w:r>
      <w:r w:rsidR="005A1CAE" w:rsidRPr="005A1CAE">
        <w:t>ene</w:t>
      </w:r>
      <w:r w:rsidRPr="005A1CAE">
        <w:t>rgetyczna UE: zapewnienie konkurencyjnej roli Europy na rynkach światowych</w:t>
      </w:r>
      <w:r w:rsidR="005A1CAE" w:rsidRPr="005A1CAE">
        <w:t xml:space="preserve"> i</w:t>
      </w:r>
      <w:r w:rsidR="005A1CAE">
        <w:t> </w:t>
      </w:r>
      <w:r w:rsidR="005A1CAE" w:rsidRPr="005A1CAE">
        <w:t>prz</w:t>
      </w:r>
      <w:r w:rsidRPr="005A1CAE">
        <w:t xml:space="preserve">yspieszenie czystej transformacji, </w:t>
      </w:r>
      <w:hyperlink r:id="rId10" w:history="1">
        <w:proofErr w:type="gramStart"/>
        <w:r w:rsidRPr="005A1CAE">
          <w:rPr>
            <w:rStyle w:val="Hipercze"/>
          </w:rPr>
          <w:t>JOIN(</w:t>
        </w:r>
        <w:proofErr w:type="gramEnd"/>
        <w:r w:rsidRPr="005A1CAE">
          <w:rPr>
            <w:rStyle w:val="Hipercze"/>
          </w:rPr>
          <w:t xml:space="preserve">2025) 25 </w:t>
        </w:r>
        <w:proofErr w:type="spellStart"/>
        <w:r w:rsidRPr="005A1CAE">
          <w:rPr>
            <w:rStyle w:val="Hipercze"/>
          </w:rPr>
          <w:t>final</w:t>
        </w:r>
        <w:proofErr w:type="spellEnd"/>
      </w:hyperlink>
      <w:r w:rsidRPr="005A1CAE">
        <w:t>.</w:t>
      </w:r>
    </w:p>
  </w:footnote>
  <w:footnote w:id="23">
    <w:p w14:paraId="785B50EB" w14:textId="14530838" w:rsidR="00334E94" w:rsidRPr="005A1CAE" w:rsidRDefault="00334E94" w:rsidP="00334E94">
      <w:pPr>
        <w:pStyle w:val="Tekstprzypisudolnego"/>
      </w:pPr>
      <w:r w:rsidRPr="005A1CAE">
        <w:rPr>
          <w:rStyle w:val="Odwoanieprzypisudolnego"/>
        </w:rPr>
        <w:footnoteRef/>
      </w:r>
      <w:r w:rsidRPr="005A1CAE">
        <w:tab/>
        <w:t>Rozporządzenie Parlamentu Europejskiego</w:t>
      </w:r>
      <w:r w:rsidR="005A1CAE" w:rsidRPr="005A1CAE">
        <w:t xml:space="preserve"> i</w:t>
      </w:r>
      <w:r w:rsidR="005A1CAE">
        <w:t> </w:t>
      </w:r>
      <w:r w:rsidR="005A1CAE" w:rsidRPr="005A1CAE">
        <w:t>Rad</w:t>
      </w:r>
      <w:r w:rsidRPr="005A1CAE">
        <w:t>y (UE) 2019/943</w:t>
      </w:r>
      <w:r w:rsidR="005A1CAE" w:rsidRPr="005A1CAE">
        <w:t xml:space="preserve"> z</w:t>
      </w:r>
      <w:r w:rsidR="005A1CAE">
        <w:t> </w:t>
      </w:r>
      <w:r w:rsidR="005A1CAE" w:rsidRPr="005A1CAE">
        <w:t>dni</w:t>
      </w:r>
      <w:r w:rsidRPr="005A1CAE">
        <w:t>a 5 czerwca 2019</w:t>
      </w:r>
      <w:r w:rsidR="005A1CAE" w:rsidRPr="005A1CAE">
        <w:t> </w:t>
      </w:r>
      <w:r w:rsidRPr="005A1CAE">
        <w:t>r.</w:t>
      </w:r>
      <w:r w:rsidR="005A1CAE" w:rsidRPr="005A1CAE">
        <w:t xml:space="preserve"> w</w:t>
      </w:r>
      <w:r w:rsidR="005A1CAE">
        <w:t> </w:t>
      </w:r>
      <w:r w:rsidR="005A1CAE" w:rsidRPr="005A1CAE">
        <w:t>spr</w:t>
      </w:r>
      <w:r w:rsidRPr="005A1CAE">
        <w:t>awie rynku wewnętrznego energii elektrycznej (wersja przekształcona) (Dz.U. L 158</w:t>
      </w:r>
      <w:r w:rsidR="005A1CAE" w:rsidRPr="005A1CAE">
        <w:t xml:space="preserve"> z</w:t>
      </w:r>
      <w:r w:rsidR="005A1CAE">
        <w:t> </w:t>
      </w:r>
      <w:proofErr w:type="gramStart"/>
      <w:r w:rsidR="005A1CAE" w:rsidRPr="005A1CAE">
        <w:t>1</w:t>
      </w:r>
      <w:r w:rsidRPr="005A1CAE">
        <w:t>4.6.2019</w:t>
      </w:r>
      <w:proofErr w:type="gramEnd"/>
      <w:r w:rsidRPr="005A1CAE">
        <w:t xml:space="preserve">, s. 54, ELI: </w:t>
      </w:r>
      <w:hyperlink r:id="rId11" w:history="1">
        <w:r w:rsidRPr="005A1CAE">
          <w:rPr>
            <w:rStyle w:val="Hipercze"/>
          </w:rPr>
          <w:t>http://data.europa.eu/eli/reg/2019/943/oj</w:t>
        </w:r>
      </w:hyperlink>
      <w:r w:rsidRPr="005A1CAE">
        <w:t xml:space="preserve">). </w:t>
      </w:r>
    </w:p>
  </w:footnote>
  <w:footnote w:id="24">
    <w:p w14:paraId="623C4A7E" w14:textId="1B1167F9" w:rsidR="00334E94" w:rsidRPr="005A1CAE" w:rsidRDefault="00334E94" w:rsidP="00334E94">
      <w:pPr>
        <w:pStyle w:val="Tekstprzypisudolnego"/>
      </w:pPr>
      <w:r w:rsidRPr="005A1CAE">
        <w:rPr>
          <w:rStyle w:val="Odwoanieprzypisudolnego"/>
        </w:rPr>
        <w:footnoteRef/>
      </w:r>
      <w:r w:rsidRPr="005A1CAE">
        <w:tab/>
        <w:t>Rozporządzenie Komisji (UE) 2015/1222</w:t>
      </w:r>
      <w:r w:rsidR="005A1CAE" w:rsidRPr="005A1CAE">
        <w:t xml:space="preserve"> z</w:t>
      </w:r>
      <w:r w:rsidR="005A1CAE">
        <w:t> </w:t>
      </w:r>
      <w:r w:rsidR="005A1CAE" w:rsidRPr="005A1CAE">
        <w:t>dni</w:t>
      </w:r>
      <w:r w:rsidRPr="005A1CAE">
        <w:t>a 24 lipca 2015</w:t>
      </w:r>
      <w:r w:rsidR="005A1CAE" w:rsidRPr="005A1CAE">
        <w:t> </w:t>
      </w:r>
      <w:r w:rsidRPr="005A1CAE">
        <w:t>r. ustanawiające wytyczne dotyczące alokacji zdolności przesyłowych</w:t>
      </w:r>
      <w:r w:rsidR="005A1CAE" w:rsidRPr="005A1CAE">
        <w:t xml:space="preserve"> i</w:t>
      </w:r>
      <w:r w:rsidR="005A1CAE">
        <w:t> </w:t>
      </w:r>
      <w:r w:rsidR="005A1CAE" w:rsidRPr="005A1CAE">
        <w:t>zar</w:t>
      </w:r>
      <w:r w:rsidRPr="005A1CAE">
        <w:t>ządzania ograniczeniami przesyłowymi (Dz.U. L 197</w:t>
      </w:r>
      <w:r w:rsidR="005A1CAE" w:rsidRPr="005A1CAE">
        <w:t xml:space="preserve"> z</w:t>
      </w:r>
      <w:r w:rsidR="005A1CAE">
        <w:t> </w:t>
      </w:r>
      <w:proofErr w:type="gramStart"/>
      <w:r w:rsidR="005A1CAE" w:rsidRPr="005A1CAE">
        <w:t>2</w:t>
      </w:r>
      <w:r w:rsidRPr="005A1CAE">
        <w:t>5.7.2015</w:t>
      </w:r>
      <w:proofErr w:type="gramEnd"/>
      <w:r w:rsidRPr="005A1CAE">
        <w:t xml:space="preserve">, s. 24, ELI: </w:t>
      </w:r>
      <w:hyperlink r:id="rId12" w:history="1">
        <w:r w:rsidRPr="005A1CAE">
          <w:rPr>
            <w:rStyle w:val="Hipercze"/>
          </w:rPr>
          <w:t>http://data.europa.eu/eli/reg/2015/1222/oj</w:t>
        </w:r>
      </w:hyperlink>
      <w:r w:rsidRPr="005A1CAE">
        <w:t xml:space="preserve">). </w:t>
      </w:r>
    </w:p>
  </w:footnote>
  <w:footnote w:id="25">
    <w:p w14:paraId="3E02BF2E" w14:textId="1BF397C0" w:rsidR="005A3158" w:rsidRPr="005A1CAE" w:rsidRDefault="005A3158" w:rsidP="00316CCE">
      <w:pPr>
        <w:pStyle w:val="Tekstprzypisudolnego"/>
      </w:pPr>
      <w:r w:rsidRPr="005A1CAE">
        <w:rPr>
          <w:rStyle w:val="Odwoanieprzypisudolnego"/>
        </w:rPr>
        <w:footnoteRef/>
      </w:r>
      <w:r w:rsidRPr="005A1CAE">
        <w:tab/>
        <w:t>Rozporządzenie Rady (EWG) nr</w:t>
      </w:r>
      <w:r w:rsidR="005A1CAE" w:rsidRPr="005A1CAE">
        <w:t> </w:t>
      </w:r>
      <w:r w:rsidRPr="005A1CAE">
        <w:t>2658/87</w:t>
      </w:r>
      <w:r w:rsidR="005A1CAE" w:rsidRPr="005A1CAE">
        <w:t xml:space="preserve"> z</w:t>
      </w:r>
      <w:r w:rsidR="005A1CAE">
        <w:t> </w:t>
      </w:r>
      <w:r w:rsidR="005A1CAE" w:rsidRPr="005A1CAE">
        <w:t>dni</w:t>
      </w:r>
      <w:r w:rsidRPr="005A1CAE">
        <w:t>a 23 lipca 1987</w:t>
      </w:r>
      <w:r w:rsidR="005A1CAE" w:rsidRPr="005A1CAE">
        <w:t> </w:t>
      </w:r>
      <w:r w:rsidRPr="005A1CAE">
        <w:t>r.</w:t>
      </w:r>
      <w:r w:rsidR="005A1CAE" w:rsidRPr="005A1CAE">
        <w:t xml:space="preserve"> w</w:t>
      </w:r>
      <w:r w:rsidR="005A1CAE">
        <w:t> </w:t>
      </w:r>
      <w:r w:rsidR="005A1CAE" w:rsidRPr="005A1CAE">
        <w:t>spr</w:t>
      </w:r>
      <w:r w:rsidRPr="005A1CAE">
        <w:t>awie nomenklatury taryfowej</w:t>
      </w:r>
      <w:r w:rsidR="005A1CAE" w:rsidRPr="005A1CAE">
        <w:t xml:space="preserve"> i</w:t>
      </w:r>
      <w:r w:rsidR="005A1CAE">
        <w:t> </w:t>
      </w:r>
      <w:r w:rsidR="005A1CAE" w:rsidRPr="005A1CAE">
        <w:t>sta</w:t>
      </w:r>
      <w:r w:rsidRPr="005A1CAE">
        <w:t>tystycznej oraz</w:t>
      </w:r>
      <w:r w:rsidR="005A1CAE" w:rsidRPr="005A1CAE">
        <w:t xml:space="preserve"> w</w:t>
      </w:r>
      <w:r w:rsidR="005A1CAE">
        <w:t> </w:t>
      </w:r>
      <w:r w:rsidR="005A1CAE" w:rsidRPr="005A1CAE">
        <w:t>spr</w:t>
      </w:r>
      <w:r w:rsidRPr="005A1CAE">
        <w:t>awie Wspólnej Taryfy Celnej (Dz.U. L 256</w:t>
      </w:r>
      <w:r w:rsidR="005A1CAE" w:rsidRPr="005A1CAE">
        <w:t xml:space="preserve"> z</w:t>
      </w:r>
      <w:r w:rsidR="005A1CAE">
        <w:t> </w:t>
      </w:r>
      <w:proofErr w:type="gramStart"/>
      <w:r w:rsidR="005A1CAE" w:rsidRPr="005A1CAE">
        <w:t>7</w:t>
      </w:r>
      <w:r w:rsidRPr="005A1CAE">
        <w:t>.9.1987</w:t>
      </w:r>
      <w:proofErr w:type="gramEnd"/>
      <w:r w:rsidRPr="005A1CAE">
        <w:t xml:space="preserve">, s. 1, ELI: </w:t>
      </w:r>
      <w:hyperlink r:id="rId13" w:history="1">
        <w:r w:rsidRPr="005A1CAE">
          <w:rPr>
            <w:rStyle w:val="Hipercze"/>
          </w:rPr>
          <w:t>http://data.europa.eu/eli/reg/1987/2658/oj</w:t>
        </w:r>
      </w:hyperlink>
      <w:r w:rsidRPr="005A1CAE">
        <w:t>).</w:t>
      </w:r>
    </w:p>
  </w:footnote>
  <w:footnote w:id="26">
    <w:p w14:paraId="0A6D27C6" w14:textId="082876D2" w:rsidR="006A4665" w:rsidRPr="005A1CAE" w:rsidRDefault="006A4665">
      <w:pPr>
        <w:pStyle w:val="Tekstprzypisudolnego"/>
      </w:pPr>
      <w:r w:rsidRPr="005A1CAE">
        <w:rPr>
          <w:rStyle w:val="Odwoanieprzypisudolnego"/>
        </w:rPr>
        <w:footnoteRef/>
      </w:r>
      <w:r w:rsidRPr="005A1CAE">
        <w:tab/>
        <w:t>Dyrektywa 2003/87/WE Parlamentu Europejskiego</w:t>
      </w:r>
      <w:r w:rsidR="005A1CAE" w:rsidRPr="005A1CAE">
        <w:t xml:space="preserve"> i</w:t>
      </w:r>
      <w:r w:rsidR="005A1CAE">
        <w:t> </w:t>
      </w:r>
      <w:r w:rsidR="005A1CAE" w:rsidRPr="005A1CAE">
        <w:t>Rad</w:t>
      </w:r>
      <w:r w:rsidRPr="005A1CAE">
        <w:t>y</w:t>
      </w:r>
      <w:r w:rsidR="005A1CAE" w:rsidRPr="005A1CAE">
        <w:t xml:space="preserve"> z</w:t>
      </w:r>
      <w:r w:rsidR="005A1CAE">
        <w:t> </w:t>
      </w:r>
      <w:r w:rsidR="005A1CAE" w:rsidRPr="005A1CAE">
        <w:t>dni</w:t>
      </w:r>
      <w:r w:rsidRPr="005A1CAE">
        <w:t>a 13 października 2003</w:t>
      </w:r>
      <w:r w:rsidR="005A1CAE" w:rsidRPr="005A1CAE">
        <w:t> </w:t>
      </w:r>
      <w:r w:rsidRPr="005A1CAE">
        <w:t>r. ustanawiająca system handlu przydziałami emisji gazów cieplarnianych</w:t>
      </w:r>
      <w:r w:rsidR="005A1CAE" w:rsidRPr="005A1CAE">
        <w:t xml:space="preserve"> w</w:t>
      </w:r>
      <w:r w:rsidR="005A1CAE">
        <w:t> </w:t>
      </w:r>
      <w:r w:rsidR="005A1CAE" w:rsidRPr="005A1CAE">
        <w:t>Uni</w:t>
      </w:r>
      <w:r w:rsidRPr="005A1CAE">
        <w:t>i oraz zmieniająca dyrektywę Rady 96/61/WE (Dz.U. L 275</w:t>
      </w:r>
      <w:r w:rsidR="005A1CAE" w:rsidRPr="005A1CAE">
        <w:t xml:space="preserve"> z</w:t>
      </w:r>
      <w:r w:rsidR="005A1CAE">
        <w:t> </w:t>
      </w:r>
      <w:r w:rsidR="005A1CAE" w:rsidRPr="005A1CAE">
        <w:t>2</w:t>
      </w:r>
      <w:r w:rsidRPr="005A1CAE">
        <w:t>5.10.2003, s. 32, ELI: http://data.europa.eu/eli/dir/2003/87/oj).</w:t>
      </w:r>
    </w:p>
  </w:footnote>
  <w:footnote w:id="27">
    <w:p w14:paraId="189B852A" w14:textId="70F8519F" w:rsidR="004656D1" w:rsidRPr="005A1CAE" w:rsidRDefault="004656D1" w:rsidP="004656D1">
      <w:pPr>
        <w:pStyle w:val="Tekstprzypisudolnego"/>
        <w:rPr>
          <w:rFonts w:eastAsia="Times New Roman"/>
        </w:rPr>
      </w:pPr>
      <w:r w:rsidRPr="005A1CAE">
        <w:rPr>
          <w:rStyle w:val="Odwoanieprzypisudolnego"/>
        </w:rPr>
        <w:footnoteRef/>
      </w:r>
      <w:r w:rsidRPr="005A1CAE">
        <w:tab/>
        <w:t>Wskaźniki ucieczki definiuje się jako wzrost emisji</w:t>
      </w:r>
      <w:r w:rsidR="005A1CAE" w:rsidRPr="005A1CAE">
        <w:t xml:space="preserve"> w</w:t>
      </w:r>
      <w:r w:rsidR="005A1CAE">
        <w:t> </w:t>
      </w:r>
      <w:r w:rsidR="005A1CAE" w:rsidRPr="005A1CAE">
        <w:t>sek</w:t>
      </w:r>
      <w:r w:rsidRPr="005A1CAE">
        <w:t xml:space="preserve">torach </w:t>
      </w:r>
      <w:proofErr w:type="spellStart"/>
      <w:r w:rsidRPr="005A1CAE">
        <w:rPr>
          <w:i/>
          <w:iCs/>
        </w:rPr>
        <w:t>downstream</w:t>
      </w:r>
      <w:proofErr w:type="spellEnd"/>
      <w:r w:rsidRPr="005A1CAE">
        <w:t xml:space="preserve"> poza UE</w:t>
      </w:r>
      <w:r w:rsidR="005A1CAE" w:rsidRPr="005A1CAE">
        <w:t xml:space="preserve"> w</w:t>
      </w:r>
      <w:r w:rsidR="005A1CAE">
        <w:t> </w:t>
      </w:r>
      <w:r w:rsidR="005A1CAE" w:rsidRPr="005A1CAE">
        <w:t>sto</w:t>
      </w:r>
      <w:r w:rsidRPr="005A1CAE">
        <w:t>sunku do spadku poziomu emisji</w:t>
      </w:r>
      <w:r w:rsidR="005A1CAE" w:rsidRPr="005A1CAE">
        <w:t xml:space="preserve"> w</w:t>
      </w:r>
      <w:r w:rsidR="005A1CAE">
        <w:t> </w:t>
      </w:r>
      <w:r w:rsidR="005A1CAE" w:rsidRPr="005A1CAE">
        <w:t>tyc</w:t>
      </w:r>
      <w:r w:rsidRPr="005A1CAE">
        <w:t>h sektorach w UE.</w:t>
      </w:r>
    </w:p>
  </w:footnote>
  <w:footnote w:id="28">
    <w:p w14:paraId="21505282" w14:textId="57243F1A" w:rsidR="00D0690F" w:rsidRPr="005A1CAE" w:rsidRDefault="00D0690F" w:rsidP="009F612D">
      <w:pPr>
        <w:pStyle w:val="Tekstprzypisudolnego"/>
      </w:pPr>
      <w:r w:rsidRPr="005A1CAE">
        <w:rPr>
          <w:rStyle w:val="Odwoanieprzypisudolnego"/>
        </w:rPr>
        <w:footnoteRef/>
      </w:r>
      <w:r w:rsidRPr="005A1CAE">
        <w:tab/>
        <w:t>O którym mowa</w:t>
      </w:r>
      <w:r w:rsidR="005A1CAE" w:rsidRPr="005A1CAE">
        <w:t xml:space="preserve"> w</w:t>
      </w:r>
      <w:r w:rsidR="005A1CAE">
        <w:t> </w:t>
      </w:r>
      <w:r w:rsidR="005A1CAE" w:rsidRPr="005A1CAE">
        <w:t>art</w:t>
      </w:r>
      <w:r w:rsidRPr="005A1CAE">
        <w:t>.</w:t>
      </w:r>
      <w:r w:rsidR="005A1CAE" w:rsidRPr="005A1CAE">
        <w:t> </w:t>
      </w:r>
      <w:r w:rsidRPr="005A1CAE">
        <w:t>58 ust.</w:t>
      </w:r>
      <w:r w:rsidR="005A1CAE" w:rsidRPr="005A1CAE">
        <w:t> </w:t>
      </w:r>
      <w:r w:rsidRPr="005A1CAE">
        <w:t>2 lit.</w:t>
      </w:r>
      <w:r w:rsidR="005A1CAE" w:rsidRPr="005A1CAE">
        <w:t> </w:t>
      </w:r>
      <w:r w:rsidRPr="005A1CAE">
        <w:t>a) lub b) rozporządzenia finansowego mającego zastosowanie do budżetu ogólnego Unii.</w:t>
      </w:r>
    </w:p>
  </w:footnote>
  <w:footnote w:id="29">
    <w:p w14:paraId="217A0C30" w14:textId="77777777" w:rsidR="004B7651" w:rsidRPr="005A1CAE" w:rsidRDefault="004B7651" w:rsidP="004B7651">
      <w:pPr>
        <w:pStyle w:val="Tekstprzypisudolnego"/>
        <w:rPr>
          <w:szCs w:val="24"/>
        </w:rPr>
      </w:pPr>
      <w:r w:rsidRPr="005A1CAE">
        <w:rPr>
          <w:rStyle w:val="Odwoanieprzypisudolnego"/>
        </w:rPr>
        <w:footnoteRef/>
      </w:r>
      <w:r w:rsidRPr="005A1CAE">
        <w:tab/>
        <w:t>Środki zróżnicowane/środki niezróżnicowane.</w:t>
      </w:r>
    </w:p>
  </w:footnote>
  <w:footnote w:id="30">
    <w:p w14:paraId="62324170" w14:textId="77777777" w:rsidR="004B7651" w:rsidRPr="005A1CAE" w:rsidRDefault="004B7651" w:rsidP="004B7651">
      <w:pPr>
        <w:pStyle w:val="Tekstprzypisudolnego"/>
        <w:rPr>
          <w:szCs w:val="24"/>
        </w:rPr>
      </w:pPr>
      <w:r w:rsidRPr="005A1CAE">
        <w:rPr>
          <w:rStyle w:val="Odwoanieprzypisudolnego"/>
        </w:rPr>
        <w:footnoteRef/>
      </w:r>
      <w:r w:rsidRPr="005A1CAE">
        <w:tab/>
        <w:t xml:space="preserve">EFTA: Europejskie Stowarzyszenie Wolnego Handlu. </w:t>
      </w:r>
    </w:p>
  </w:footnote>
  <w:footnote w:id="31">
    <w:p w14:paraId="3D0541C6" w14:textId="0BCE43C2" w:rsidR="00D0690F" w:rsidRPr="005A1CAE" w:rsidRDefault="00D0690F" w:rsidP="009F612D">
      <w:pPr>
        <w:pStyle w:val="Tekstprzypisudolnego"/>
        <w:rPr>
          <w:szCs w:val="24"/>
        </w:rPr>
      </w:pPr>
      <w:r w:rsidRPr="005A1CAE">
        <w:rPr>
          <w:rStyle w:val="Odwoanieprzypisudolnego"/>
        </w:rPr>
        <w:footnoteRef/>
      </w:r>
      <w:r w:rsidRPr="005A1CAE">
        <w:tab/>
        <w:t>Produkty odnoszą się do produktów</w:t>
      </w:r>
      <w:r w:rsidR="005A1CAE" w:rsidRPr="005A1CAE">
        <w:t xml:space="preserve"> i</w:t>
      </w:r>
      <w:r w:rsidR="005A1CAE">
        <w:t> </w:t>
      </w:r>
      <w:r w:rsidR="005A1CAE" w:rsidRPr="005A1CAE">
        <w:t>usł</w:t>
      </w:r>
      <w:r w:rsidRPr="005A1CAE">
        <w:t>ug, które mają zostać zapewnione (np. liczba sfinansowanych wymian studentów, liczba kilometrów zbudowanych dróg itp.).</w:t>
      </w:r>
    </w:p>
  </w:footnote>
  <w:footnote w:id="32">
    <w:p w14:paraId="0DB92BD7" w14:textId="7BD33F55" w:rsidR="00D0690F" w:rsidRPr="005A1CAE" w:rsidRDefault="00D0690F" w:rsidP="009F612D">
      <w:pPr>
        <w:pStyle w:val="Tekstprzypisudolnego"/>
        <w:rPr>
          <w:szCs w:val="24"/>
        </w:rPr>
      </w:pPr>
      <w:r w:rsidRPr="005A1CAE">
        <w:rPr>
          <w:rStyle w:val="Odwoanieprzypisudolnego"/>
        </w:rPr>
        <w:footnoteRef/>
      </w:r>
      <w:r w:rsidRPr="005A1CAE">
        <w:tab/>
        <w:t>Zgodnie</w:t>
      </w:r>
      <w:r w:rsidR="005A1CAE" w:rsidRPr="005A1CAE">
        <w:t xml:space="preserve"> z</w:t>
      </w:r>
      <w:r w:rsidR="005A1CAE">
        <w:t> </w:t>
      </w:r>
      <w:r w:rsidR="005A1CAE" w:rsidRPr="005A1CAE">
        <w:t>opi</w:t>
      </w:r>
      <w:r w:rsidRPr="005A1CAE">
        <w:t>sem</w:t>
      </w:r>
      <w:r w:rsidR="005A1CAE" w:rsidRPr="005A1CAE">
        <w:t xml:space="preserve"> w</w:t>
      </w:r>
      <w:r w:rsidR="005A1CAE">
        <w:t> </w:t>
      </w:r>
      <w:r w:rsidR="005A1CAE" w:rsidRPr="005A1CAE">
        <w:t>sek</w:t>
      </w:r>
      <w:r w:rsidRPr="005A1CAE">
        <w:t xml:space="preserve">cji 1.3.2. „Cel(e) szczegółowy(-e)”. </w:t>
      </w:r>
    </w:p>
  </w:footnote>
  <w:footnote w:id="33">
    <w:p w14:paraId="13D38198" w14:textId="7BF4D41A" w:rsidR="00216914" w:rsidRPr="005A1CAE" w:rsidRDefault="00216914" w:rsidP="00216914">
      <w:pPr>
        <w:pStyle w:val="Tekstprzypisudolnego"/>
      </w:pPr>
      <w:r w:rsidRPr="005A1CAE">
        <w:rPr>
          <w:rStyle w:val="Odwoanieprzypisudolnego"/>
        </w:rPr>
        <w:footnoteRef/>
      </w:r>
      <w:r w:rsidRPr="005A1CAE">
        <w:tab/>
        <w:t>Proszę określić</w:t>
      </w:r>
      <w:r w:rsidR="005A1CAE" w:rsidRPr="005A1CAE">
        <w:t xml:space="preserve"> w</w:t>
      </w:r>
      <w:r w:rsidR="005A1CAE">
        <w:t> </w:t>
      </w:r>
      <w:r w:rsidR="005A1CAE" w:rsidRPr="005A1CAE">
        <w:t>tab</w:t>
      </w:r>
      <w:r w:rsidRPr="005A1CAE">
        <w:t>eli poniżej, ile EPC</w:t>
      </w:r>
      <w:r w:rsidR="005A1CAE" w:rsidRPr="005A1CAE">
        <w:t xml:space="preserve"> w</w:t>
      </w:r>
      <w:r w:rsidR="005A1CAE">
        <w:t> </w:t>
      </w:r>
      <w:r w:rsidR="005A1CAE" w:rsidRPr="005A1CAE">
        <w:t>ram</w:t>
      </w:r>
      <w:r w:rsidRPr="005A1CAE">
        <w:t>ach wskazanej liczby jest już przydzielonych na zarządzanie tym działaniem lub może zostać przesuniętych</w:t>
      </w:r>
      <w:r w:rsidR="005A1CAE" w:rsidRPr="005A1CAE">
        <w:t xml:space="preserve"> w</w:t>
      </w:r>
      <w:r w:rsidR="005A1CAE">
        <w:t> </w:t>
      </w:r>
      <w:r w:rsidR="005A1CAE" w:rsidRPr="005A1CAE">
        <w:t>ram</w:t>
      </w:r>
      <w:r w:rsidRPr="005A1CAE">
        <w:t>ach Państwa dyrekcji generalnej oraz jakie są Państwa potrzeby netto.</w:t>
      </w:r>
    </w:p>
  </w:footnote>
  <w:footnote w:id="34">
    <w:p w14:paraId="341F5752" w14:textId="1CE5F30E" w:rsidR="00C56942" w:rsidRPr="005A1CAE" w:rsidRDefault="00C56942" w:rsidP="009F612D">
      <w:pPr>
        <w:pStyle w:val="Tekstprzypisudolnego"/>
        <w:rPr>
          <w:szCs w:val="24"/>
        </w:rPr>
      </w:pPr>
      <w:r w:rsidRPr="005A1CAE">
        <w:rPr>
          <w:rStyle w:val="Odwoanieprzypisudolnego"/>
        </w:rPr>
        <w:footnoteRef/>
      </w:r>
      <w:r w:rsidRPr="005A1CAE">
        <w:tab/>
        <w:t>W przypadku tradycyjnych zasobów własnych (opłaty celne, opłaty wyrównawcze od cukru) należy wskazać kwoty netto, tzn. kwoty brutto po odliczeniu 25</w:t>
      </w:r>
      <w:r w:rsidR="005A1CAE" w:rsidRPr="005A1CAE">
        <w:t> </w:t>
      </w:r>
      <w:r w:rsidRPr="005A1CAE">
        <w:t>%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BEAD" w14:textId="77777777" w:rsidR="009A1A09" w:rsidRDefault="009A1A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CCA1" w14:textId="77777777" w:rsidR="009A1A09" w:rsidRDefault="009A1A09" w:rsidP="009A1A0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7349" w14:textId="77777777" w:rsidR="009A1A09" w:rsidRPr="009A1A09" w:rsidRDefault="009A1A09" w:rsidP="009A1A09">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5E01" w14:textId="77777777" w:rsidR="009A1A09" w:rsidRPr="009A1A09" w:rsidRDefault="009A1A09" w:rsidP="009A1A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1C0309D"/>
    <w:multiLevelType w:val="hybridMultilevel"/>
    <w:tmpl w:val="45F4ED6C"/>
    <w:lvl w:ilvl="0" w:tplc="63FAD462">
      <w:start w:val="1"/>
      <w:numFmt w:val="bullet"/>
      <w:lvlText w:val=""/>
      <w:lvlJc w:val="left"/>
      <w:pPr>
        <w:ind w:left="1570" w:hanging="360"/>
      </w:pPr>
      <w:rPr>
        <w:rFonts w:ascii="Symbol" w:hAnsi="Symbol" w:hint="default"/>
      </w:rPr>
    </w:lvl>
    <w:lvl w:ilvl="1" w:tplc="4F82B89C" w:tentative="1">
      <w:start w:val="1"/>
      <w:numFmt w:val="bullet"/>
      <w:lvlText w:val="o"/>
      <w:lvlJc w:val="left"/>
      <w:pPr>
        <w:ind w:left="2290" w:hanging="360"/>
      </w:pPr>
      <w:rPr>
        <w:rFonts w:ascii="Courier New" w:hAnsi="Courier New" w:hint="default"/>
      </w:rPr>
    </w:lvl>
    <w:lvl w:ilvl="2" w:tplc="E38400FE" w:tentative="1">
      <w:start w:val="1"/>
      <w:numFmt w:val="bullet"/>
      <w:lvlText w:val=""/>
      <w:lvlJc w:val="left"/>
      <w:pPr>
        <w:ind w:left="3010" w:hanging="360"/>
      </w:pPr>
      <w:rPr>
        <w:rFonts w:ascii="Wingdings" w:hAnsi="Wingdings" w:hint="default"/>
      </w:rPr>
    </w:lvl>
    <w:lvl w:ilvl="3" w:tplc="8CB68866" w:tentative="1">
      <w:start w:val="1"/>
      <w:numFmt w:val="bullet"/>
      <w:lvlText w:val=""/>
      <w:lvlJc w:val="left"/>
      <w:pPr>
        <w:ind w:left="3730" w:hanging="360"/>
      </w:pPr>
      <w:rPr>
        <w:rFonts w:ascii="Symbol" w:hAnsi="Symbol" w:hint="default"/>
      </w:rPr>
    </w:lvl>
    <w:lvl w:ilvl="4" w:tplc="2BACEA76" w:tentative="1">
      <w:start w:val="1"/>
      <w:numFmt w:val="bullet"/>
      <w:lvlText w:val="o"/>
      <w:lvlJc w:val="left"/>
      <w:pPr>
        <w:ind w:left="4450" w:hanging="360"/>
      </w:pPr>
      <w:rPr>
        <w:rFonts w:ascii="Courier New" w:hAnsi="Courier New" w:hint="default"/>
      </w:rPr>
    </w:lvl>
    <w:lvl w:ilvl="5" w:tplc="3280B61A" w:tentative="1">
      <w:start w:val="1"/>
      <w:numFmt w:val="bullet"/>
      <w:lvlText w:val=""/>
      <w:lvlJc w:val="left"/>
      <w:pPr>
        <w:ind w:left="5170" w:hanging="360"/>
      </w:pPr>
      <w:rPr>
        <w:rFonts w:ascii="Wingdings" w:hAnsi="Wingdings" w:hint="default"/>
      </w:rPr>
    </w:lvl>
    <w:lvl w:ilvl="6" w:tplc="BA281A0C" w:tentative="1">
      <w:start w:val="1"/>
      <w:numFmt w:val="bullet"/>
      <w:lvlText w:val=""/>
      <w:lvlJc w:val="left"/>
      <w:pPr>
        <w:ind w:left="5890" w:hanging="360"/>
      </w:pPr>
      <w:rPr>
        <w:rFonts w:ascii="Symbol" w:hAnsi="Symbol" w:hint="default"/>
      </w:rPr>
    </w:lvl>
    <w:lvl w:ilvl="7" w:tplc="C3342F68" w:tentative="1">
      <w:start w:val="1"/>
      <w:numFmt w:val="bullet"/>
      <w:lvlText w:val="o"/>
      <w:lvlJc w:val="left"/>
      <w:pPr>
        <w:ind w:left="6610" w:hanging="360"/>
      </w:pPr>
      <w:rPr>
        <w:rFonts w:ascii="Courier New" w:hAnsi="Courier New" w:hint="default"/>
      </w:rPr>
    </w:lvl>
    <w:lvl w:ilvl="8" w:tplc="15B40794" w:tentative="1">
      <w:start w:val="1"/>
      <w:numFmt w:val="bullet"/>
      <w:lvlText w:val=""/>
      <w:lvlJc w:val="left"/>
      <w:pPr>
        <w:ind w:left="7330" w:hanging="360"/>
      </w:pPr>
      <w:rPr>
        <w:rFonts w:ascii="Wingdings" w:hAnsi="Wingdings"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53F572F"/>
    <w:multiLevelType w:val="hybridMultilevel"/>
    <w:tmpl w:val="7B5E3DA2"/>
    <w:lvl w:ilvl="0" w:tplc="D33AFC6A">
      <w:start w:val="1"/>
      <w:numFmt w:val="bullet"/>
      <w:lvlText w:val="·"/>
      <w:lvlJc w:val="left"/>
      <w:pPr>
        <w:ind w:left="720" w:hanging="360"/>
      </w:pPr>
      <w:rPr>
        <w:rFonts w:ascii="Symbol" w:hAnsi="Symbol" w:hint="default"/>
      </w:rPr>
    </w:lvl>
    <w:lvl w:ilvl="1" w:tplc="2A183480">
      <w:start w:val="1"/>
      <w:numFmt w:val="bullet"/>
      <w:lvlText w:val="o"/>
      <w:lvlJc w:val="left"/>
      <w:pPr>
        <w:ind w:left="1440" w:hanging="360"/>
      </w:pPr>
      <w:rPr>
        <w:rFonts w:ascii="Symbol" w:hAnsi="Symbol" w:hint="default"/>
      </w:rPr>
    </w:lvl>
    <w:lvl w:ilvl="2" w:tplc="91D2C294">
      <w:start w:val="1"/>
      <w:numFmt w:val="bullet"/>
      <w:lvlText w:val=""/>
      <w:lvlJc w:val="left"/>
      <w:pPr>
        <w:ind w:left="2160" w:hanging="360"/>
      </w:pPr>
      <w:rPr>
        <w:rFonts w:ascii="Wingdings" w:hAnsi="Wingdings" w:hint="default"/>
      </w:rPr>
    </w:lvl>
    <w:lvl w:ilvl="3" w:tplc="2206BA0E">
      <w:start w:val="1"/>
      <w:numFmt w:val="bullet"/>
      <w:lvlText w:val=""/>
      <w:lvlJc w:val="left"/>
      <w:pPr>
        <w:ind w:left="2880" w:hanging="360"/>
      </w:pPr>
      <w:rPr>
        <w:rFonts w:ascii="Symbol" w:hAnsi="Symbol" w:hint="default"/>
      </w:rPr>
    </w:lvl>
    <w:lvl w:ilvl="4" w:tplc="24B47058">
      <w:start w:val="1"/>
      <w:numFmt w:val="bullet"/>
      <w:lvlText w:val="o"/>
      <w:lvlJc w:val="left"/>
      <w:pPr>
        <w:ind w:left="3600" w:hanging="360"/>
      </w:pPr>
      <w:rPr>
        <w:rFonts w:ascii="Courier New" w:hAnsi="Courier New" w:hint="default"/>
      </w:rPr>
    </w:lvl>
    <w:lvl w:ilvl="5" w:tplc="4A0884EA">
      <w:start w:val="1"/>
      <w:numFmt w:val="bullet"/>
      <w:lvlText w:val=""/>
      <w:lvlJc w:val="left"/>
      <w:pPr>
        <w:ind w:left="4320" w:hanging="360"/>
      </w:pPr>
      <w:rPr>
        <w:rFonts w:ascii="Wingdings" w:hAnsi="Wingdings" w:hint="default"/>
      </w:rPr>
    </w:lvl>
    <w:lvl w:ilvl="6" w:tplc="68666ECC">
      <w:start w:val="1"/>
      <w:numFmt w:val="bullet"/>
      <w:lvlText w:val=""/>
      <w:lvlJc w:val="left"/>
      <w:pPr>
        <w:ind w:left="5040" w:hanging="360"/>
      </w:pPr>
      <w:rPr>
        <w:rFonts w:ascii="Symbol" w:hAnsi="Symbol" w:hint="default"/>
      </w:rPr>
    </w:lvl>
    <w:lvl w:ilvl="7" w:tplc="F7D66BA8">
      <w:start w:val="1"/>
      <w:numFmt w:val="bullet"/>
      <w:lvlText w:val="o"/>
      <w:lvlJc w:val="left"/>
      <w:pPr>
        <w:ind w:left="5760" w:hanging="360"/>
      </w:pPr>
      <w:rPr>
        <w:rFonts w:ascii="Courier New" w:hAnsi="Courier New" w:hint="default"/>
      </w:rPr>
    </w:lvl>
    <w:lvl w:ilvl="8" w:tplc="76F4EF48">
      <w:start w:val="1"/>
      <w:numFmt w:val="bullet"/>
      <w:lvlText w:val=""/>
      <w:lvlJc w:val="left"/>
      <w:pPr>
        <w:ind w:left="6480" w:hanging="360"/>
      </w:pPr>
      <w:rPr>
        <w:rFonts w:ascii="Wingdings" w:hAnsi="Wingdings" w:hint="default"/>
      </w:rPr>
    </w:lvl>
  </w:abstractNum>
  <w:abstractNum w:abstractNumId="5" w15:restartNumberingAfterBreak="0">
    <w:nsid w:val="1585FEF6"/>
    <w:multiLevelType w:val="hybridMultilevel"/>
    <w:tmpl w:val="6868B344"/>
    <w:lvl w:ilvl="0" w:tplc="C362FF04">
      <w:start w:val="1"/>
      <w:numFmt w:val="bullet"/>
      <w:lvlText w:val="·"/>
      <w:lvlJc w:val="left"/>
      <w:pPr>
        <w:ind w:left="720" w:hanging="360"/>
      </w:pPr>
      <w:rPr>
        <w:rFonts w:ascii="Symbol" w:hAnsi="Symbol" w:hint="default"/>
      </w:rPr>
    </w:lvl>
    <w:lvl w:ilvl="1" w:tplc="F474BE12">
      <w:start w:val="1"/>
      <w:numFmt w:val="bullet"/>
      <w:lvlText w:val="o"/>
      <w:lvlJc w:val="left"/>
      <w:pPr>
        <w:ind w:left="1440" w:hanging="360"/>
      </w:pPr>
      <w:rPr>
        <w:rFonts w:ascii="Courier New" w:hAnsi="Courier New" w:hint="default"/>
      </w:rPr>
    </w:lvl>
    <w:lvl w:ilvl="2" w:tplc="5D5AA4A4">
      <w:start w:val="1"/>
      <w:numFmt w:val="bullet"/>
      <w:lvlText w:val=""/>
      <w:lvlJc w:val="left"/>
      <w:pPr>
        <w:ind w:left="2160" w:hanging="360"/>
      </w:pPr>
      <w:rPr>
        <w:rFonts w:ascii="Wingdings" w:hAnsi="Wingdings" w:hint="default"/>
      </w:rPr>
    </w:lvl>
    <w:lvl w:ilvl="3" w:tplc="B32AECF2">
      <w:start w:val="1"/>
      <w:numFmt w:val="bullet"/>
      <w:lvlText w:val=""/>
      <w:lvlJc w:val="left"/>
      <w:pPr>
        <w:ind w:left="2880" w:hanging="360"/>
      </w:pPr>
      <w:rPr>
        <w:rFonts w:ascii="Symbol" w:hAnsi="Symbol" w:hint="default"/>
      </w:rPr>
    </w:lvl>
    <w:lvl w:ilvl="4" w:tplc="BCFA59BE">
      <w:start w:val="1"/>
      <w:numFmt w:val="bullet"/>
      <w:lvlText w:val="o"/>
      <w:lvlJc w:val="left"/>
      <w:pPr>
        <w:ind w:left="3600" w:hanging="360"/>
      </w:pPr>
      <w:rPr>
        <w:rFonts w:ascii="Courier New" w:hAnsi="Courier New" w:hint="default"/>
      </w:rPr>
    </w:lvl>
    <w:lvl w:ilvl="5" w:tplc="469053E6">
      <w:start w:val="1"/>
      <w:numFmt w:val="bullet"/>
      <w:lvlText w:val=""/>
      <w:lvlJc w:val="left"/>
      <w:pPr>
        <w:ind w:left="4320" w:hanging="360"/>
      </w:pPr>
      <w:rPr>
        <w:rFonts w:ascii="Wingdings" w:hAnsi="Wingdings" w:hint="default"/>
      </w:rPr>
    </w:lvl>
    <w:lvl w:ilvl="6" w:tplc="34F628F0">
      <w:start w:val="1"/>
      <w:numFmt w:val="bullet"/>
      <w:lvlText w:val=""/>
      <w:lvlJc w:val="left"/>
      <w:pPr>
        <w:ind w:left="5040" w:hanging="360"/>
      </w:pPr>
      <w:rPr>
        <w:rFonts w:ascii="Symbol" w:hAnsi="Symbol" w:hint="default"/>
      </w:rPr>
    </w:lvl>
    <w:lvl w:ilvl="7" w:tplc="045CB354">
      <w:start w:val="1"/>
      <w:numFmt w:val="bullet"/>
      <w:lvlText w:val="o"/>
      <w:lvlJc w:val="left"/>
      <w:pPr>
        <w:ind w:left="5760" w:hanging="360"/>
      </w:pPr>
      <w:rPr>
        <w:rFonts w:ascii="Courier New" w:hAnsi="Courier New" w:hint="default"/>
      </w:rPr>
    </w:lvl>
    <w:lvl w:ilvl="8" w:tplc="20A23DAE">
      <w:start w:val="1"/>
      <w:numFmt w:val="bullet"/>
      <w:lvlText w:val=""/>
      <w:lvlJc w:val="left"/>
      <w:pPr>
        <w:ind w:left="6480"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2D3A5FD"/>
    <w:multiLevelType w:val="hybridMultilevel"/>
    <w:tmpl w:val="C27C8B6C"/>
    <w:lvl w:ilvl="0" w:tplc="1D966950">
      <w:start w:val="1"/>
      <w:numFmt w:val="bullet"/>
      <w:lvlText w:val="·"/>
      <w:lvlJc w:val="left"/>
      <w:pPr>
        <w:ind w:left="720" w:hanging="360"/>
      </w:pPr>
      <w:rPr>
        <w:rFonts w:ascii="Symbol" w:hAnsi="Symbol" w:hint="default"/>
      </w:rPr>
    </w:lvl>
    <w:lvl w:ilvl="1" w:tplc="B3E291BC">
      <w:start w:val="1"/>
      <w:numFmt w:val="bullet"/>
      <w:lvlText w:val="o"/>
      <w:lvlJc w:val="left"/>
      <w:pPr>
        <w:ind w:left="1440" w:hanging="360"/>
      </w:pPr>
      <w:rPr>
        <w:rFonts w:ascii="Courier New" w:hAnsi="Courier New" w:hint="default"/>
      </w:rPr>
    </w:lvl>
    <w:lvl w:ilvl="2" w:tplc="702A6BAA">
      <w:start w:val="1"/>
      <w:numFmt w:val="bullet"/>
      <w:lvlText w:val=""/>
      <w:lvlJc w:val="left"/>
      <w:pPr>
        <w:ind w:left="2160" w:hanging="360"/>
      </w:pPr>
      <w:rPr>
        <w:rFonts w:ascii="Wingdings" w:hAnsi="Wingdings" w:hint="default"/>
      </w:rPr>
    </w:lvl>
    <w:lvl w:ilvl="3" w:tplc="F83466DC">
      <w:start w:val="1"/>
      <w:numFmt w:val="bullet"/>
      <w:lvlText w:val=""/>
      <w:lvlJc w:val="left"/>
      <w:pPr>
        <w:ind w:left="2880" w:hanging="360"/>
      </w:pPr>
      <w:rPr>
        <w:rFonts w:ascii="Symbol" w:hAnsi="Symbol" w:hint="default"/>
      </w:rPr>
    </w:lvl>
    <w:lvl w:ilvl="4" w:tplc="65784740">
      <w:start w:val="1"/>
      <w:numFmt w:val="bullet"/>
      <w:lvlText w:val="o"/>
      <w:lvlJc w:val="left"/>
      <w:pPr>
        <w:ind w:left="3600" w:hanging="360"/>
      </w:pPr>
      <w:rPr>
        <w:rFonts w:ascii="Courier New" w:hAnsi="Courier New" w:hint="default"/>
      </w:rPr>
    </w:lvl>
    <w:lvl w:ilvl="5" w:tplc="BA88AAA2">
      <w:start w:val="1"/>
      <w:numFmt w:val="bullet"/>
      <w:lvlText w:val=""/>
      <w:lvlJc w:val="left"/>
      <w:pPr>
        <w:ind w:left="4320" w:hanging="360"/>
      </w:pPr>
      <w:rPr>
        <w:rFonts w:ascii="Wingdings" w:hAnsi="Wingdings" w:hint="default"/>
      </w:rPr>
    </w:lvl>
    <w:lvl w:ilvl="6" w:tplc="76D8BDBE">
      <w:start w:val="1"/>
      <w:numFmt w:val="bullet"/>
      <w:lvlText w:val=""/>
      <w:lvlJc w:val="left"/>
      <w:pPr>
        <w:ind w:left="5040" w:hanging="360"/>
      </w:pPr>
      <w:rPr>
        <w:rFonts w:ascii="Symbol" w:hAnsi="Symbol" w:hint="default"/>
      </w:rPr>
    </w:lvl>
    <w:lvl w:ilvl="7" w:tplc="B0727310">
      <w:start w:val="1"/>
      <w:numFmt w:val="bullet"/>
      <w:lvlText w:val="o"/>
      <w:lvlJc w:val="left"/>
      <w:pPr>
        <w:ind w:left="5760" w:hanging="360"/>
      </w:pPr>
      <w:rPr>
        <w:rFonts w:ascii="Courier New" w:hAnsi="Courier New" w:hint="default"/>
      </w:rPr>
    </w:lvl>
    <w:lvl w:ilvl="8" w:tplc="9B64C5C0">
      <w:start w:val="1"/>
      <w:numFmt w:val="bullet"/>
      <w:lvlText w:val=""/>
      <w:lvlJc w:val="left"/>
      <w:pPr>
        <w:ind w:left="6480" w:hanging="360"/>
      </w:pPr>
      <w:rPr>
        <w:rFonts w:ascii="Wingdings" w:hAnsi="Wingdings" w:hint="default"/>
      </w:rPr>
    </w:lvl>
  </w:abstractNum>
  <w:abstractNum w:abstractNumId="15" w15:restartNumberingAfterBreak="0">
    <w:nsid w:val="398C015E"/>
    <w:multiLevelType w:val="multilevel"/>
    <w:tmpl w:val="027A66BA"/>
    <w:name w:val="List Dash 4"/>
    <w:lvl w:ilvl="0">
      <w:start w:val="1"/>
      <w:numFmt w:val="decimal"/>
      <w:pStyle w:val="Listanumerowan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1E64EB7"/>
    <w:multiLevelType w:val="hybridMultilevel"/>
    <w:tmpl w:val="F1DAF92C"/>
    <w:lvl w:ilvl="0" w:tplc="D19859B8">
      <w:start w:val="1"/>
      <w:numFmt w:val="bullet"/>
      <w:lvlText w:val="-"/>
      <w:lvlJc w:val="left"/>
      <w:pPr>
        <w:ind w:left="783" w:hanging="360"/>
      </w:pPr>
      <w:rPr>
        <w:rFonts w:ascii="Courier New" w:hAnsi="Courier New" w:hint="default"/>
      </w:rPr>
    </w:lvl>
    <w:lvl w:ilvl="1" w:tplc="689ED8D2" w:tentative="1">
      <w:start w:val="1"/>
      <w:numFmt w:val="bullet"/>
      <w:lvlText w:val="o"/>
      <w:lvlJc w:val="left"/>
      <w:pPr>
        <w:ind w:left="1503" w:hanging="360"/>
      </w:pPr>
      <w:rPr>
        <w:rFonts w:ascii="Courier New" w:hAnsi="Courier New" w:hint="default"/>
      </w:rPr>
    </w:lvl>
    <w:lvl w:ilvl="2" w:tplc="88967ACA" w:tentative="1">
      <w:start w:val="1"/>
      <w:numFmt w:val="bullet"/>
      <w:lvlText w:val=""/>
      <w:lvlJc w:val="left"/>
      <w:pPr>
        <w:ind w:left="2223" w:hanging="360"/>
      </w:pPr>
      <w:rPr>
        <w:rFonts w:ascii="Wingdings" w:hAnsi="Wingdings" w:hint="default"/>
      </w:rPr>
    </w:lvl>
    <w:lvl w:ilvl="3" w:tplc="10280A9C" w:tentative="1">
      <w:start w:val="1"/>
      <w:numFmt w:val="bullet"/>
      <w:lvlText w:val=""/>
      <w:lvlJc w:val="left"/>
      <w:pPr>
        <w:ind w:left="2943" w:hanging="360"/>
      </w:pPr>
      <w:rPr>
        <w:rFonts w:ascii="Symbol" w:hAnsi="Symbol" w:hint="default"/>
      </w:rPr>
    </w:lvl>
    <w:lvl w:ilvl="4" w:tplc="5C0249A4" w:tentative="1">
      <w:start w:val="1"/>
      <w:numFmt w:val="bullet"/>
      <w:lvlText w:val="o"/>
      <w:lvlJc w:val="left"/>
      <w:pPr>
        <w:ind w:left="3663" w:hanging="360"/>
      </w:pPr>
      <w:rPr>
        <w:rFonts w:ascii="Courier New" w:hAnsi="Courier New" w:hint="default"/>
      </w:rPr>
    </w:lvl>
    <w:lvl w:ilvl="5" w:tplc="84D8CF84" w:tentative="1">
      <w:start w:val="1"/>
      <w:numFmt w:val="bullet"/>
      <w:lvlText w:val=""/>
      <w:lvlJc w:val="left"/>
      <w:pPr>
        <w:ind w:left="4383" w:hanging="360"/>
      </w:pPr>
      <w:rPr>
        <w:rFonts w:ascii="Wingdings" w:hAnsi="Wingdings" w:hint="default"/>
      </w:rPr>
    </w:lvl>
    <w:lvl w:ilvl="6" w:tplc="6FAED148" w:tentative="1">
      <w:start w:val="1"/>
      <w:numFmt w:val="bullet"/>
      <w:lvlText w:val=""/>
      <w:lvlJc w:val="left"/>
      <w:pPr>
        <w:ind w:left="5103" w:hanging="360"/>
      </w:pPr>
      <w:rPr>
        <w:rFonts w:ascii="Symbol" w:hAnsi="Symbol" w:hint="default"/>
      </w:rPr>
    </w:lvl>
    <w:lvl w:ilvl="7" w:tplc="7108E16C" w:tentative="1">
      <w:start w:val="1"/>
      <w:numFmt w:val="bullet"/>
      <w:lvlText w:val="o"/>
      <w:lvlJc w:val="left"/>
      <w:pPr>
        <w:ind w:left="5823" w:hanging="360"/>
      </w:pPr>
      <w:rPr>
        <w:rFonts w:ascii="Courier New" w:hAnsi="Courier New" w:hint="default"/>
      </w:rPr>
    </w:lvl>
    <w:lvl w:ilvl="8" w:tplc="9238FB9E" w:tentative="1">
      <w:start w:val="1"/>
      <w:numFmt w:val="bullet"/>
      <w:lvlText w:val=""/>
      <w:lvlJc w:val="left"/>
      <w:pPr>
        <w:ind w:left="6543" w:hanging="360"/>
      </w:pPr>
      <w:rPr>
        <w:rFonts w:ascii="Wingdings" w:hAnsi="Wingdings" w:hint="default"/>
      </w:rPr>
    </w:lvl>
  </w:abstractNum>
  <w:abstractNum w:abstractNumId="17" w15:restartNumberingAfterBreak="0">
    <w:nsid w:val="421C0FC4"/>
    <w:multiLevelType w:val="hybridMultilevel"/>
    <w:tmpl w:val="B3B4AF3E"/>
    <w:lvl w:ilvl="0" w:tplc="6EE01010">
      <w:start w:val="1"/>
      <w:numFmt w:val="bullet"/>
      <w:lvlText w:val="·"/>
      <w:lvlJc w:val="left"/>
      <w:pPr>
        <w:ind w:left="720" w:hanging="360"/>
      </w:pPr>
      <w:rPr>
        <w:rFonts w:ascii="Symbol" w:hAnsi="Symbol" w:hint="default"/>
      </w:rPr>
    </w:lvl>
    <w:lvl w:ilvl="1" w:tplc="7F740258">
      <w:start w:val="1"/>
      <w:numFmt w:val="bullet"/>
      <w:lvlText w:val="o"/>
      <w:lvlJc w:val="left"/>
      <w:pPr>
        <w:ind w:left="1440" w:hanging="360"/>
      </w:pPr>
      <w:rPr>
        <w:rFonts w:ascii="Symbol" w:hAnsi="Symbol" w:hint="default"/>
      </w:rPr>
    </w:lvl>
    <w:lvl w:ilvl="2" w:tplc="2D6C0D48">
      <w:start w:val="1"/>
      <w:numFmt w:val="bullet"/>
      <w:lvlText w:val=""/>
      <w:lvlJc w:val="left"/>
      <w:pPr>
        <w:ind w:left="2160" w:hanging="360"/>
      </w:pPr>
      <w:rPr>
        <w:rFonts w:ascii="Wingdings" w:hAnsi="Wingdings" w:hint="default"/>
      </w:rPr>
    </w:lvl>
    <w:lvl w:ilvl="3" w:tplc="F1B6527E">
      <w:start w:val="1"/>
      <w:numFmt w:val="bullet"/>
      <w:lvlText w:val=""/>
      <w:lvlJc w:val="left"/>
      <w:pPr>
        <w:ind w:left="2880" w:hanging="360"/>
      </w:pPr>
      <w:rPr>
        <w:rFonts w:ascii="Symbol" w:hAnsi="Symbol" w:hint="default"/>
      </w:rPr>
    </w:lvl>
    <w:lvl w:ilvl="4" w:tplc="10A880DE">
      <w:start w:val="1"/>
      <w:numFmt w:val="bullet"/>
      <w:lvlText w:val="o"/>
      <w:lvlJc w:val="left"/>
      <w:pPr>
        <w:ind w:left="3600" w:hanging="360"/>
      </w:pPr>
      <w:rPr>
        <w:rFonts w:ascii="Courier New" w:hAnsi="Courier New" w:hint="default"/>
      </w:rPr>
    </w:lvl>
    <w:lvl w:ilvl="5" w:tplc="3C48E7E4">
      <w:start w:val="1"/>
      <w:numFmt w:val="bullet"/>
      <w:lvlText w:val=""/>
      <w:lvlJc w:val="left"/>
      <w:pPr>
        <w:ind w:left="4320" w:hanging="360"/>
      </w:pPr>
      <w:rPr>
        <w:rFonts w:ascii="Wingdings" w:hAnsi="Wingdings" w:hint="default"/>
      </w:rPr>
    </w:lvl>
    <w:lvl w:ilvl="6" w:tplc="B2EA43A2">
      <w:start w:val="1"/>
      <w:numFmt w:val="bullet"/>
      <w:lvlText w:val=""/>
      <w:lvlJc w:val="left"/>
      <w:pPr>
        <w:ind w:left="5040" w:hanging="360"/>
      </w:pPr>
      <w:rPr>
        <w:rFonts w:ascii="Symbol" w:hAnsi="Symbol" w:hint="default"/>
      </w:rPr>
    </w:lvl>
    <w:lvl w:ilvl="7" w:tplc="F56E2018">
      <w:start w:val="1"/>
      <w:numFmt w:val="bullet"/>
      <w:lvlText w:val="o"/>
      <w:lvlJc w:val="left"/>
      <w:pPr>
        <w:ind w:left="5760" w:hanging="360"/>
      </w:pPr>
      <w:rPr>
        <w:rFonts w:ascii="Courier New" w:hAnsi="Courier New" w:hint="default"/>
      </w:rPr>
    </w:lvl>
    <w:lvl w:ilvl="8" w:tplc="79F42500">
      <w:start w:val="1"/>
      <w:numFmt w:val="bullet"/>
      <w:lvlText w:val=""/>
      <w:lvlJc w:val="left"/>
      <w:pPr>
        <w:ind w:left="6480"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3"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4" w15:restartNumberingAfterBreak="0">
    <w:nsid w:val="542A1204"/>
    <w:multiLevelType w:val="multilevel"/>
    <w:tmpl w:val="BC1E8404"/>
    <w:lvl w:ilvl="0">
      <w:start w:val="1"/>
      <w:numFmt w:val="decimal"/>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5AC3394F"/>
    <w:multiLevelType w:val="hybridMultilevel"/>
    <w:tmpl w:val="77E62C60"/>
    <w:lvl w:ilvl="0" w:tplc="19F89598">
      <w:start w:val="1"/>
      <w:numFmt w:val="bullet"/>
      <w:lvlText w:val=""/>
      <w:lvlJc w:val="left"/>
      <w:pPr>
        <w:ind w:left="1570" w:hanging="360"/>
      </w:pPr>
      <w:rPr>
        <w:rFonts w:ascii="Symbol" w:hAnsi="Symbol" w:hint="default"/>
      </w:rPr>
    </w:lvl>
    <w:lvl w:ilvl="1" w:tplc="9334A3E6" w:tentative="1">
      <w:start w:val="1"/>
      <w:numFmt w:val="bullet"/>
      <w:lvlText w:val="o"/>
      <w:lvlJc w:val="left"/>
      <w:pPr>
        <w:ind w:left="2290" w:hanging="360"/>
      </w:pPr>
      <w:rPr>
        <w:rFonts w:ascii="Courier New" w:hAnsi="Courier New" w:hint="default"/>
      </w:rPr>
    </w:lvl>
    <w:lvl w:ilvl="2" w:tplc="200E1CCC" w:tentative="1">
      <w:start w:val="1"/>
      <w:numFmt w:val="bullet"/>
      <w:lvlText w:val=""/>
      <w:lvlJc w:val="left"/>
      <w:pPr>
        <w:ind w:left="3010" w:hanging="360"/>
      </w:pPr>
      <w:rPr>
        <w:rFonts w:ascii="Wingdings" w:hAnsi="Wingdings" w:hint="default"/>
      </w:rPr>
    </w:lvl>
    <w:lvl w:ilvl="3" w:tplc="2B666BB0" w:tentative="1">
      <w:start w:val="1"/>
      <w:numFmt w:val="bullet"/>
      <w:lvlText w:val=""/>
      <w:lvlJc w:val="left"/>
      <w:pPr>
        <w:ind w:left="3730" w:hanging="360"/>
      </w:pPr>
      <w:rPr>
        <w:rFonts w:ascii="Symbol" w:hAnsi="Symbol" w:hint="default"/>
      </w:rPr>
    </w:lvl>
    <w:lvl w:ilvl="4" w:tplc="C6903EC4" w:tentative="1">
      <w:start w:val="1"/>
      <w:numFmt w:val="bullet"/>
      <w:lvlText w:val="o"/>
      <w:lvlJc w:val="left"/>
      <w:pPr>
        <w:ind w:left="4450" w:hanging="360"/>
      </w:pPr>
      <w:rPr>
        <w:rFonts w:ascii="Courier New" w:hAnsi="Courier New" w:hint="default"/>
      </w:rPr>
    </w:lvl>
    <w:lvl w:ilvl="5" w:tplc="77B2719C" w:tentative="1">
      <w:start w:val="1"/>
      <w:numFmt w:val="bullet"/>
      <w:lvlText w:val=""/>
      <w:lvlJc w:val="left"/>
      <w:pPr>
        <w:ind w:left="5170" w:hanging="360"/>
      </w:pPr>
      <w:rPr>
        <w:rFonts w:ascii="Wingdings" w:hAnsi="Wingdings" w:hint="default"/>
      </w:rPr>
    </w:lvl>
    <w:lvl w:ilvl="6" w:tplc="02386FCA" w:tentative="1">
      <w:start w:val="1"/>
      <w:numFmt w:val="bullet"/>
      <w:lvlText w:val=""/>
      <w:lvlJc w:val="left"/>
      <w:pPr>
        <w:ind w:left="5890" w:hanging="360"/>
      </w:pPr>
      <w:rPr>
        <w:rFonts w:ascii="Symbol" w:hAnsi="Symbol" w:hint="default"/>
      </w:rPr>
    </w:lvl>
    <w:lvl w:ilvl="7" w:tplc="3364D4FC" w:tentative="1">
      <w:start w:val="1"/>
      <w:numFmt w:val="bullet"/>
      <w:lvlText w:val="o"/>
      <w:lvlJc w:val="left"/>
      <w:pPr>
        <w:ind w:left="6610" w:hanging="360"/>
      </w:pPr>
      <w:rPr>
        <w:rFonts w:ascii="Courier New" w:hAnsi="Courier New" w:hint="default"/>
      </w:rPr>
    </w:lvl>
    <w:lvl w:ilvl="8" w:tplc="809E99AA" w:tentative="1">
      <w:start w:val="1"/>
      <w:numFmt w:val="bullet"/>
      <w:lvlText w:val=""/>
      <w:lvlJc w:val="left"/>
      <w:pPr>
        <w:ind w:left="7330" w:hanging="360"/>
      </w:pPr>
      <w:rPr>
        <w:rFonts w:ascii="Wingdings" w:hAnsi="Wingdings" w:hint="default"/>
      </w:rPr>
    </w:lvl>
  </w:abstractNum>
  <w:abstractNum w:abstractNumId="27" w15:restartNumberingAfterBreak="0">
    <w:nsid w:val="5B0B0635"/>
    <w:multiLevelType w:val="singleLevel"/>
    <w:tmpl w:val="017E7CEE"/>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F84969"/>
    <w:multiLevelType w:val="singleLevel"/>
    <w:tmpl w:val="1E12021A"/>
    <w:lvl w:ilvl="0">
      <w:start w:val="1"/>
      <w:numFmt w:val="bullet"/>
      <w:pStyle w:val="Listapunktowana"/>
      <w:lvlText w:val=""/>
      <w:lvlJc w:val="left"/>
      <w:pPr>
        <w:tabs>
          <w:tab w:val="num" w:pos="283"/>
        </w:tabs>
        <w:ind w:left="283" w:hanging="283"/>
      </w:pPr>
      <w:rPr>
        <w:rFonts w:ascii="Symbol" w:hAnsi="Symbol" w:hint="default"/>
      </w:rPr>
    </w:lvl>
  </w:abstractNum>
  <w:abstractNum w:abstractNumId="32"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15:restartNumberingAfterBreak="0">
    <w:nsid w:val="71F06166"/>
    <w:multiLevelType w:val="multilevel"/>
    <w:tmpl w:val="C08066D2"/>
    <w:name w:val="0.6719891"/>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D73F7A"/>
    <w:multiLevelType w:val="singleLevel"/>
    <w:tmpl w:val="26365734"/>
    <w:lvl w:ilvl="0">
      <w:start w:val="1"/>
      <w:numFmt w:val="bullet"/>
      <w:pStyle w:val="Listapunktowana2"/>
      <w:lvlText w:val=""/>
      <w:lvlJc w:val="left"/>
      <w:pPr>
        <w:tabs>
          <w:tab w:val="num" w:pos="1134"/>
        </w:tabs>
        <w:ind w:left="1134" w:hanging="283"/>
      </w:pPr>
      <w:rPr>
        <w:rFonts w:ascii="Symbol" w:hAnsi="Symbol" w:hint="default"/>
      </w:rPr>
    </w:lvl>
  </w:abstractNum>
  <w:abstractNum w:abstractNumId="36" w15:restartNumberingAfterBreak="0">
    <w:nsid w:val="76BC5C11"/>
    <w:multiLevelType w:val="singleLevel"/>
    <w:tmpl w:val="E44CE82E"/>
    <w:lvl w:ilvl="0">
      <w:start w:val="1"/>
      <w:numFmt w:val="bullet"/>
      <w:pStyle w:val="Listapunktowana3"/>
      <w:lvlText w:val=""/>
      <w:lvlJc w:val="left"/>
      <w:pPr>
        <w:tabs>
          <w:tab w:val="num" w:pos="1134"/>
        </w:tabs>
        <w:ind w:left="1134" w:hanging="283"/>
      </w:pPr>
      <w:rPr>
        <w:rFonts w:ascii="Symbol" w:hAnsi="Symbol" w:hint="default"/>
      </w:r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57044303">
    <w:abstractNumId w:val="0"/>
  </w:num>
  <w:num w:numId="2" w16cid:durableId="1480269717">
    <w:abstractNumId w:val="27"/>
  </w:num>
  <w:num w:numId="3" w16cid:durableId="333457961">
    <w:abstractNumId w:val="11"/>
  </w:num>
  <w:num w:numId="4" w16cid:durableId="1367562855">
    <w:abstractNumId w:val="23"/>
  </w:num>
  <w:num w:numId="5" w16cid:durableId="743995120">
    <w:abstractNumId w:val="22"/>
  </w:num>
  <w:num w:numId="6" w16cid:durableId="78673043">
    <w:abstractNumId w:val="34"/>
  </w:num>
  <w:num w:numId="7" w16cid:durableId="424884960">
    <w:abstractNumId w:val="31"/>
  </w:num>
  <w:num w:numId="8" w16cid:durableId="2056808434">
    <w:abstractNumId w:val="35"/>
  </w:num>
  <w:num w:numId="9" w16cid:durableId="54550141">
    <w:abstractNumId w:val="36"/>
  </w:num>
  <w:num w:numId="10" w16cid:durableId="1432821903">
    <w:abstractNumId w:val="2"/>
  </w:num>
  <w:num w:numId="11" w16cid:durableId="1788893128">
    <w:abstractNumId w:val="13"/>
  </w:num>
  <w:num w:numId="12" w16cid:durableId="1335569706">
    <w:abstractNumId w:val="3"/>
  </w:num>
  <w:num w:numId="13" w16cid:durableId="843784012">
    <w:abstractNumId w:val="15"/>
  </w:num>
  <w:num w:numId="14" w16cid:durableId="169835418">
    <w:abstractNumId w:val="12"/>
  </w:num>
  <w:num w:numId="15" w16cid:durableId="2106417689">
    <w:abstractNumId w:val="24"/>
  </w:num>
  <w:num w:numId="16" w16cid:durableId="2115397115">
    <w:abstractNumId w:val="10"/>
  </w:num>
  <w:num w:numId="17" w16cid:durableId="1210267070">
    <w:abstractNumId w:val="16"/>
  </w:num>
  <w:num w:numId="18" w16cid:durableId="1141845242">
    <w:abstractNumId w:val="4"/>
  </w:num>
  <w:num w:numId="19" w16cid:durableId="1323268108">
    <w:abstractNumId w:val="14"/>
  </w:num>
  <w:num w:numId="20" w16cid:durableId="1625039501">
    <w:abstractNumId w:val="5"/>
  </w:num>
  <w:num w:numId="21" w16cid:durableId="407264619">
    <w:abstractNumId w:val="17"/>
  </w:num>
  <w:num w:numId="22" w16cid:durableId="2066827889">
    <w:abstractNumId w:val="1"/>
  </w:num>
  <w:num w:numId="23" w16cid:durableId="476802886">
    <w:abstractNumId w:val="26"/>
  </w:num>
  <w:num w:numId="24" w16cid:durableId="1551260272">
    <w:abstractNumId w:val="30"/>
  </w:num>
  <w:num w:numId="25" w16cid:durableId="1389373936">
    <w:abstractNumId w:val="18"/>
  </w:num>
  <w:num w:numId="26" w16cid:durableId="1077433175">
    <w:abstractNumId w:val="33"/>
  </w:num>
  <w:num w:numId="27" w16cid:durableId="354353643">
    <w:abstractNumId w:val="9"/>
  </w:num>
  <w:num w:numId="28" w16cid:durableId="1413888848">
    <w:abstractNumId w:val="19"/>
  </w:num>
  <w:num w:numId="29" w16cid:durableId="397435205">
    <w:abstractNumId w:val="20"/>
  </w:num>
  <w:num w:numId="30" w16cid:durableId="1690327674">
    <w:abstractNumId w:val="7"/>
  </w:num>
  <w:num w:numId="31" w16cid:durableId="1583178847">
    <w:abstractNumId w:val="32"/>
  </w:num>
  <w:num w:numId="32" w16cid:durableId="1679844387">
    <w:abstractNumId w:val="6"/>
  </w:num>
  <w:num w:numId="33" w16cid:durableId="1414934863">
    <w:abstractNumId w:val="21"/>
  </w:num>
  <w:num w:numId="34" w16cid:durableId="192769909">
    <w:abstractNumId w:val="28"/>
  </w:num>
  <w:num w:numId="35" w16cid:durableId="1914272362">
    <w:abstractNumId w:val="29"/>
  </w:num>
  <w:num w:numId="36" w16cid:durableId="1839227473">
    <w:abstractNumId w:val="8"/>
  </w:num>
  <w:num w:numId="37" w16cid:durableId="1415317771">
    <w:abstractNumId w:val="25"/>
  </w:num>
  <w:num w:numId="38" w16cid:durableId="1870099582">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6-02-09 10:41:2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6B4961D-E976-4701-94AA-423805841F65"/>
    <w:docVar w:name="LW_COVERPAGE_TYPE" w:val="1"/>
    <w:docVar w:name="LW_CreatedUtc" w:val="2025-09-24T09:13:21.6800701Z"/>
    <w:docVar w:name="LW_CROSSREFERENCE" w:val="{SEC(2025) 989 final} - {SWD(2025) 987 final} - {SWD(2025) 988 final} - {SWD(2025) 989 final}"/>
    <w:docVar w:name="LW_DocType" w:val="COM"/>
    <w:docVar w:name="LW_EMISSION" w:val="17.12.2025"/>
    <w:docVar w:name="LW_EMISSION_ISODATE" w:val="2025-12-17"/>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419"/>
    <w:docVar w:name="LW_REF.II.NEW.CP_YEAR" w:val="2025"/>
    <w:docVar w:name="LW_REF.INST.NEW" w:val="COM"/>
    <w:docVar w:name="LW_REF.INST.NEW_ADOPTED" w:val="final"/>
    <w:docVar w:name="LW_REF.INST.NEW_TEXT" w:val="(2025) 9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u261?ce rozporz\u261?dzenie (UE) 2023/956 w odniesieniu do rozszerzenia zakresu jego stosowania na towary ni\u380?szego szczebla i \u347?rodki przeciwdzia\u322?aj\u261?ce obchodzeniu przepisów"/>
    <w:docVar w:name="LW_TYPE.DOC.CP" w:val="ROZPORZ\u260?DZENIE PARLAMENTU EUROPEJSKIEGO I RADY"/>
    <w:docVar w:name="LwApiVersions" w:val="LW4CoDe 1.24.5.0; LW 9.2, Build 20251112"/>
  </w:docVars>
  <w:rsids>
    <w:rsidRoot w:val="00D0690F"/>
    <w:rsid w:val="00000282"/>
    <w:rsid w:val="000006B5"/>
    <w:rsid w:val="00000789"/>
    <w:rsid w:val="00000888"/>
    <w:rsid w:val="00000E77"/>
    <w:rsid w:val="00000FCE"/>
    <w:rsid w:val="00001176"/>
    <w:rsid w:val="0000117C"/>
    <w:rsid w:val="0000117D"/>
    <w:rsid w:val="0000123D"/>
    <w:rsid w:val="0000124C"/>
    <w:rsid w:val="0000199E"/>
    <w:rsid w:val="00001A3B"/>
    <w:rsid w:val="00001B49"/>
    <w:rsid w:val="00001B64"/>
    <w:rsid w:val="00001BB3"/>
    <w:rsid w:val="00001BDD"/>
    <w:rsid w:val="00001E5F"/>
    <w:rsid w:val="00002018"/>
    <w:rsid w:val="000026DF"/>
    <w:rsid w:val="00002E89"/>
    <w:rsid w:val="00003085"/>
    <w:rsid w:val="000030C3"/>
    <w:rsid w:val="00003211"/>
    <w:rsid w:val="000034F6"/>
    <w:rsid w:val="00003594"/>
    <w:rsid w:val="0000388E"/>
    <w:rsid w:val="00003CA8"/>
    <w:rsid w:val="00003D92"/>
    <w:rsid w:val="00003F68"/>
    <w:rsid w:val="00004275"/>
    <w:rsid w:val="000046BC"/>
    <w:rsid w:val="00004890"/>
    <w:rsid w:val="00004B17"/>
    <w:rsid w:val="00004B42"/>
    <w:rsid w:val="00004B49"/>
    <w:rsid w:val="00004FC4"/>
    <w:rsid w:val="0000511C"/>
    <w:rsid w:val="00005722"/>
    <w:rsid w:val="0000585E"/>
    <w:rsid w:val="00005C73"/>
    <w:rsid w:val="00005D88"/>
    <w:rsid w:val="00005DB7"/>
    <w:rsid w:val="00005FE5"/>
    <w:rsid w:val="00006130"/>
    <w:rsid w:val="00006774"/>
    <w:rsid w:val="00006829"/>
    <w:rsid w:val="000068AD"/>
    <w:rsid w:val="00006E18"/>
    <w:rsid w:val="00006E63"/>
    <w:rsid w:val="00006F9F"/>
    <w:rsid w:val="000072A7"/>
    <w:rsid w:val="000078FD"/>
    <w:rsid w:val="00007936"/>
    <w:rsid w:val="00007AC4"/>
    <w:rsid w:val="00007BEA"/>
    <w:rsid w:val="00007D29"/>
    <w:rsid w:val="00007D83"/>
    <w:rsid w:val="00010158"/>
    <w:rsid w:val="0001021C"/>
    <w:rsid w:val="00010443"/>
    <w:rsid w:val="00010497"/>
    <w:rsid w:val="00010831"/>
    <w:rsid w:val="000109AC"/>
    <w:rsid w:val="00010C8E"/>
    <w:rsid w:val="00010E4C"/>
    <w:rsid w:val="00010E96"/>
    <w:rsid w:val="00010F6C"/>
    <w:rsid w:val="00011193"/>
    <w:rsid w:val="0001122F"/>
    <w:rsid w:val="000114F1"/>
    <w:rsid w:val="00011558"/>
    <w:rsid w:val="0001155C"/>
    <w:rsid w:val="00011754"/>
    <w:rsid w:val="00011AD5"/>
    <w:rsid w:val="00011C8A"/>
    <w:rsid w:val="00011DB8"/>
    <w:rsid w:val="000120B3"/>
    <w:rsid w:val="00012250"/>
    <w:rsid w:val="000123AE"/>
    <w:rsid w:val="0001275B"/>
    <w:rsid w:val="00012763"/>
    <w:rsid w:val="000127EC"/>
    <w:rsid w:val="00012B31"/>
    <w:rsid w:val="00012CA3"/>
    <w:rsid w:val="00012D3A"/>
    <w:rsid w:val="00012F5B"/>
    <w:rsid w:val="000130B6"/>
    <w:rsid w:val="000132ED"/>
    <w:rsid w:val="0001356A"/>
    <w:rsid w:val="0001359E"/>
    <w:rsid w:val="000136C2"/>
    <w:rsid w:val="00013A0F"/>
    <w:rsid w:val="00013CA4"/>
    <w:rsid w:val="00013FB2"/>
    <w:rsid w:val="00013FDD"/>
    <w:rsid w:val="000143A1"/>
    <w:rsid w:val="000145D8"/>
    <w:rsid w:val="000147FB"/>
    <w:rsid w:val="00014CCB"/>
    <w:rsid w:val="0001518C"/>
    <w:rsid w:val="00015464"/>
    <w:rsid w:val="000155F4"/>
    <w:rsid w:val="0001563D"/>
    <w:rsid w:val="00015A8B"/>
    <w:rsid w:val="000160A1"/>
    <w:rsid w:val="0001642F"/>
    <w:rsid w:val="000164FF"/>
    <w:rsid w:val="00016636"/>
    <w:rsid w:val="000167C6"/>
    <w:rsid w:val="00016926"/>
    <w:rsid w:val="00016DE6"/>
    <w:rsid w:val="00017316"/>
    <w:rsid w:val="00017606"/>
    <w:rsid w:val="00017927"/>
    <w:rsid w:val="00017BC6"/>
    <w:rsid w:val="00020439"/>
    <w:rsid w:val="0002049D"/>
    <w:rsid w:val="00020737"/>
    <w:rsid w:val="00020840"/>
    <w:rsid w:val="00020AEB"/>
    <w:rsid w:val="00020C71"/>
    <w:rsid w:val="00020E96"/>
    <w:rsid w:val="00020EE9"/>
    <w:rsid w:val="00020F89"/>
    <w:rsid w:val="000210CB"/>
    <w:rsid w:val="000216E6"/>
    <w:rsid w:val="0002172B"/>
    <w:rsid w:val="00021764"/>
    <w:rsid w:val="000217CE"/>
    <w:rsid w:val="00021B32"/>
    <w:rsid w:val="00021D45"/>
    <w:rsid w:val="00021D5B"/>
    <w:rsid w:val="00021DD7"/>
    <w:rsid w:val="00021EAC"/>
    <w:rsid w:val="00021ECA"/>
    <w:rsid w:val="000222EE"/>
    <w:rsid w:val="000224A8"/>
    <w:rsid w:val="00022616"/>
    <w:rsid w:val="00022630"/>
    <w:rsid w:val="0002264E"/>
    <w:rsid w:val="00022ADA"/>
    <w:rsid w:val="00022AEB"/>
    <w:rsid w:val="00022FC8"/>
    <w:rsid w:val="00022FDF"/>
    <w:rsid w:val="000230E3"/>
    <w:rsid w:val="00023231"/>
    <w:rsid w:val="00023366"/>
    <w:rsid w:val="00023409"/>
    <w:rsid w:val="00023840"/>
    <w:rsid w:val="0002395B"/>
    <w:rsid w:val="00023A18"/>
    <w:rsid w:val="00023A93"/>
    <w:rsid w:val="00024224"/>
    <w:rsid w:val="00024265"/>
    <w:rsid w:val="0002453E"/>
    <w:rsid w:val="00024558"/>
    <w:rsid w:val="0002490B"/>
    <w:rsid w:val="00024A72"/>
    <w:rsid w:val="00024AF9"/>
    <w:rsid w:val="00024B86"/>
    <w:rsid w:val="00024BB6"/>
    <w:rsid w:val="00024F60"/>
    <w:rsid w:val="000256A1"/>
    <w:rsid w:val="00025903"/>
    <w:rsid w:val="00025A30"/>
    <w:rsid w:val="00025CBF"/>
    <w:rsid w:val="00025DD1"/>
    <w:rsid w:val="00025ED8"/>
    <w:rsid w:val="00025EED"/>
    <w:rsid w:val="00025F2E"/>
    <w:rsid w:val="0002601E"/>
    <w:rsid w:val="000261F3"/>
    <w:rsid w:val="00026201"/>
    <w:rsid w:val="000262EC"/>
    <w:rsid w:val="0002647D"/>
    <w:rsid w:val="00026B76"/>
    <w:rsid w:val="00026BAB"/>
    <w:rsid w:val="00026D68"/>
    <w:rsid w:val="00026E6B"/>
    <w:rsid w:val="00026FD3"/>
    <w:rsid w:val="0002701E"/>
    <w:rsid w:val="00027071"/>
    <w:rsid w:val="00027807"/>
    <w:rsid w:val="0002782E"/>
    <w:rsid w:val="0002786A"/>
    <w:rsid w:val="00027C3A"/>
    <w:rsid w:val="00027C59"/>
    <w:rsid w:val="00027CF7"/>
    <w:rsid w:val="00030064"/>
    <w:rsid w:val="000306B9"/>
    <w:rsid w:val="00030773"/>
    <w:rsid w:val="000308FF"/>
    <w:rsid w:val="00030AF2"/>
    <w:rsid w:val="00030B40"/>
    <w:rsid w:val="00030BEF"/>
    <w:rsid w:val="00030F02"/>
    <w:rsid w:val="00030FA7"/>
    <w:rsid w:val="00031EF4"/>
    <w:rsid w:val="000325D3"/>
    <w:rsid w:val="00032A8A"/>
    <w:rsid w:val="00032EA8"/>
    <w:rsid w:val="000331B1"/>
    <w:rsid w:val="00033364"/>
    <w:rsid w:val="0003397B"/>
    <w:rsid w:val="00033A15"/>
    <w:rsid w:val="00033F58"/>
    <w:rsid w:val="00034479"/>
    <w:rsid w:val="000344F1"/>
    <w:rsid w:val="000349F1"/>
    <w:rsid w:val="00034A78"/>
    <w:rsid w:val="000353D8"/>
    <w:rsid w:val="000356DE"/>
    <w:rsid w:val="000359EB"/>
    <w:rsid w:val="00035E82"/>
    <w:rsid w:val="000361C0"/>
    <w:rsid w:val="000361FE"/>
    <w:rsid w:val="000362A3"/>
    <w:rsid w:val="000362CB"/>
    <w:rsid w:val="000362FE"/>
    <w:rsid w:val="000364E8"/>
    <w:rsid w:val="000365FB"/>
    <w:rsid w:val="000368CD"/>
    <w:rsid w:val="00037359"/>
    <w:rsid w:val="00037439"/>
    <w:rsid w:val="00037467"/>
    <w:rsid w:val="000374C3"/>
    <w:rsid w:val="00037512"/>
    <w:rsid w:val="00037546"/>
    <w:rsid w:val="0003767B"/>
    <w:rsid w:val="0003797C"/>
    <w:rsid w:val="00037B00"/>
    <w:rsid w:val="00037DF9"/>
    <w:rsid w:val="00037E3D"/>
    <w:rsid w:val="00037E3E"/>
    <w:rsid w:val="00037E58"/>
    <w:rsid w:val="0004047E"/>
    <w:rsid w:val="0004065D"/>
    <w:rsid w:val="0004083B"/>
    <w:rsid w:val="00040924"/>
    <w:rsid w:val="00040EFC"/>
    <w:rsid w:val="00041083"/>
    <w:rsid w:val="00041335"/>
    <w:rsid w:val="00041494"/>
    <w:rsid w:val="00041698"/>
    <w:rsid w:val="0004176B"/>
    <w:rsid w:val="0004197B"/>
    <w:rsid w:val="00041A92"/>
    <w:rsid w:val="00042309"/>
    <w:rsid w:val="00042410"/>
    <w:rsid w:val="0004245C"/>
    <w:rsid w:val="00042628"/>
    <w:rsid w:val="00042847"/>
    <w:rsid w:val="0004294C"/>
    <w:rsid w:val="00042C20"/>
    <w:rsid w:val="00042D95"/>
    <w:rsid w:val="000431BE"/>
    <w:rsid w:val="0004347A"/>
    <w:rsid w:val="000434BE"/>
    <w:rsid w:val="000434CE"/>
    <w:rsid w:val="00043737"/>
    <w:rsid w:val="00043931"/>
    <w:rsid w:val="000439FB"/>
    <w:rsid w:val="00043A90"/>
    <w:rsid w:val="00043D1A"/>
    <w:rsid w:val="00043D59"/>
    <w:rsid w:val="00043D86"/>
    <w:rsid w:val="000441B5"/>
    <w:rsid w:val="000445C6"/>
    <w:rsid w:val="00044797"/>
    <w:rsid w:val="00044E66"/>
    <w:rsid w:val="0004514C"/>
    <w:rsid w:val="00045267"/>
    <w:rsid w:val="000456CB"/>
    <w:rsid w:val="00045986"/>
    <w:rsid w:val="000459B9"/>
    <w:rsid w:val="00045BE0"/>
    <w:rsid w:val="00045CAC"/>
    <w:rsid w:val="0004617E"/>
    <w:rsid w:val="000461E7"/>
    <w:rsid w:val="00046376"/>
    <w:rsid w:val="00046483"/>
    <w:rsid w:val="0004685E"/>
    <w:rsid w:val="0004690F"/>
    <w:rsid w:val="00046A7B"/>
    <w:rsid w:val="00046F62"/>
    <w:rsid w:val="000470B5"/>
    <w:rsid w:val="000472E4"/>
    <w:rsid w:val="0004739A"/>
    <w:rsid w:val="00047566"/>
    <w:rsid w:val="00047571"/>
    <w:rsid w:val="0004782C"/>
    <w:rsid w:val="00047BAC"/>
    <w:rsid w:val="000500E7"/>
    <w:rsid w:val="00050154"/>
    <w:rsid w:val="00050369"/>
    <w:rsid w:val="000503E7"/>
    <w:rsid w:val="00050623"/>
    <w:rsid w:val="0005071F"/>
    <w:rsid w:val="00050771"/>
    <w:rsid w:val="0005083F"/>
    <w:rsid w:val="000509C1"/>
    <w:rsid w:val="00050CF6"/>
    <w:rsid w:val="00050D22"/>
    <w:rsid w:val="00050DEF"/>
    <w:rsid w:val="00051377"/>
    <w:rsid w:val="000515C8"/>
    <w:rsid w:val="00051899"/>
    <w:rsid w:val="00051951"/>
    <w:rsid w:val="00051A2B"/>
    <w:rsid w:val="00051D1B"/>
    <w:rsid w:val="00051F7D"/>
    <w:rsid w:val="00052063"/>
    <w:rsid w:val="000520B7"/>
    <w:rsid w:val="000521A1"/>
    <w:rsid w:val="000528B3"/>
    <w:rsid w:val="00052BEE"/>
    <w:rsid w:val="00053355"/>
    <w:rsid w:val="00053846"/>
    <w:rsid w:val="00053A8A"/>
    <w:rsid w:val="00053DBE"/>
    <w:rsid w:val="00053FFD"/>
    <w:rsid w:val="000542DA"/>
    <w:rsid w:val="00054E93"/>
    <w:rsid w:val="00054F05"/>
    <w:rsid w:val="000550B0"/>
    <w:rsid w:val="000550D7"/>
    <w:rsid w:val="00055253"/>
    <w:rsid w:val="000555B2"/>
    <w:rsid w:val="000556A5"/>
    <w:rsid w:val="000557A1"/>
    <w:rsid w:val="0005593C"/>
    <w:rsid w:val="00055B46"/>
    <w:rsid w:val="00055BBD"/>
    <w:rsid w:val="00055D58"/>
    <w:rsid w:val="00056A6D"/>
    <w:rsid w:val="00056BDA"/>
    <w:rsid w:val="00056D7F"/>
    <w:rsid w:val="00056FEA"/>
    <w:rsid w:val="0005718B"/>
    <w:rsid w:val="000575FD"/>
    <w:rsid w:val="00057B37"/>
    <w:rsid w:val="00057E90"/>
    <w:rsid w:val="00057FA7"/>
    <w:rsid w:val="00060209"/>
    <w:rsid w:val="00060248"/>
    <w:rsid w:val="0006033B"/>
    <w:rsid w:val="0006061C"/>
    <w:rsid w:val="00060BF2"/>
    <w:rsid w:val="00060E17"/>
    <w:rsid w:val="00060F44"/>
    <w:rsid w:val="0006109B"/>
    <w:rsid w:val="0006116C"/>
    <w:rsid w:val="00061361"/>
    <w:rsid w:val="00061691"/>
    <w:rsid w:val="0006176E"/>
    <w:rsid w:val="00061DAE"/>
    <w:rsid w:val="00061FD2"/>
    <w:rsid w:val="00062339"/>
    <w:rsid w:val="000627DD"/>
    <w:rsid w:val="00062987"/>
    <w:rsid w:val="00062DF2"/>
    <w:rsid w:val="00062FF7"/>
    <w:rsid w:val="000632BC"/>
    <w:rsid w:val="00063662"/>
    <w:rsid w:val="0006372E"/>
    <w:rsid w:val="000637A4"/>
    <w:rsid w:val="0006386D"/>
    <w:rsid w:val="00063985"/>
    <w:rsid w:val="00063AA8"/>
    <w:rsid w:val="00063F1A"/>
    <w:rsid w:val="00064089"/>
    <w:rsid w:val="00064268"/>
    <w:rsid w:val="000644FA"/>
    <w:rsid w:val="000646D8"/>
    <w:rsid w:val="0006495A"/>
    <w:rsid w:val="00064A6B"/>
    <w:rsid w:val="00064B5D"/>
    <w:rsid w:val="00065187"/>
    <w:rsid w:val="00065387"/>
    <w:rsid w:val="00065560"/>
    <w:rsid w:val="000659A1"/>
    <w:rsid w:val="00065C20"/>
    <w:rsid w:val="00065C4C"/>
    <w:rsid w:val="00066030"/>
    <w:rsid w:val="000664F7"/>
    <w:rsid w:val="00066644"/>
    <w:rsid w:val="00066669"/>
    <w:rsid w:val="00066722"/>
    <w:rsid w:val="0006675F"/>
    <w:rsid w:val="00066D08"/>
    <w:rsid w:val="00067276"/>
    <w:rsid w:val="0006742C"/>
    <w:rsid w:val="0006750E"/>
    <w:rsid w:val="00067823"/>
    <w:rsid w:val="00067BE7"/>
    <w:rsid w:val="00067E19"/>
    <w:rsid w:val="0007006E"/>
    <w:rsid w:val="00070320"/>
    <w:rsid w:val="000703DF"/>
    <w:rsid w:val="00070606"/>
    <w:rsid w:val="00070612"/>
    <w:rsid w:val="000707F8"/>
    <w:rsid w:val="000708B8"/>
    <w:rsid w:val="00070927"/>
    <w:rsid w:val="00070942"/>
    <w:rsid w:val="00070991"/>
    <w:rsid w:val="000709B6"/>
    <w:rsid w:val="00070D52"/>
    <w:rsid w:val="00070EFA"/>
    <w:rsid w:val="00070F45"/>
    <w:rsid w:val="00071178"/>
    <w:rsid w:val="000711A7"/>
    <w:rsid w:val="00071302"/>
    <w:rsid w:val="00071359"/>
    <w:rsid w:val="00071409"/>
    <w:rsid w:val="0007142C"/>
    <w:rsid w:val="00071483"/>
    <w:rsid w:val="000717ED"/>
    <w:rsid w:val="0007185F"/>
    <w:rsid w:val="00071CFB"/>
    <w:rsid w:val="00071F8E"/>
    <w:rsid w:val="00072015"/>
    <w:rsid w:val="000721C9"/>
    <w:rsid w:val="00072782"/>
    <w:rsid w:val="00072ACE"/>
    <w:rsid w:val="00072FB3"/>
    <w:rsid w:val="000731DA"/>
    <w:rsid w:val="00073239"/>
    <w:rsid w:val="0007355D"/>
    <w:rsid w:val="00073598"/>
    <w:rsid w:val="000737F4"/>
    <w:rsid w:val="0007387B"/>
    <w:rsid w:val="00073EC4"/>
    <w:rsid w:val="00073FF4"/>
    <w:rsid w:val="00074114"/>
    <w:rsid w:val="000741E4"/>
    <w:rsid w:val="000747AC"/>
    <w:rsid w:val="000748CF"/>
    <w:rsid w:val="000749AB"/>
    <w:rsid w:val="00074D15"/>
    <w:rsid w:val="00074EBF"/>
    <w:rsid w:val="00074F32"/>
    <w:rsid w:val="000751E9"/>
    <w:rsid w:val="00075215"/>
    <w:rsid w:val="00075876"/>
    <w:rsid w:val="00075918"/>
    <w:rsid w:val="00075950"/>
    <w:rsid w:val="00075B7A"/>
    <w:rsid w:val="0007601E"/>
    <w:rsid w:val="000762B3"/>
    <w:rsid w:val="00076324"/>
    <w:rsid w:val="00076524"/>
    <w:rsid w:val="000765FE"/>
    <w:rsid w:val="000769CF"/>
    <w:rsid w:val="00076AC0"/>
    <w:rsid w:val="00076B54"/>
    <w:rsid w:val="00076FC7"/>
    <w:rsid w:val="00076FE5"/>
    <w:rsid w:val="00077066"/>
    <w:rsid w:val="0007712E"/>
    <w:rsid w:val="000771A1"/>
    <w:rsid w:val="000771E5"/>
    <w:rsid w:val="0007747E"/>
    <w:rsid w:val="000776C7"/>
    <w:rsid w:val="00077736"/>
    <w:rsid w:val="00077763"/>
    <w:rsid w:val="0007793F"/>
    <w:rsid w:val="00080174"/>
    <w:rsid w:val="0008028A"/>
    <w:rsid w:val="000802CB"/>
    <w:rsid w:val="000802F5"/>
    <w:rsid w:val="00080326"/>
    <w:rsid w:val="0008055E"/>
    <w:rsid w:val="0008061E"/>
    <w:rsid w:val="000809A2"/>
    <w:rsid w:val="00080B14"/>
    <w:rsid w:val="00080B65"/>
    <w:rsid w:val="00080C01"/>
    <w:rsid w:val="00080C17"/>
    <w:rsid w:val="00080C30"/>
    <w:rsid w:val="00080CDF"/>
    <w:rsid w:val="00080D57"/>
    <w:rsid w:val="00080D73"/>
    <w:rsid w:val="00080ECD"/>
    <w:rsid w:val="000813B0"/>
    <w:rsid w:val="0008169C"/>
    <w:rsid w:val="00081A16"/>
    <w:rsid w:val="00081B4B"/>
    <w:rsid w:val="000825D8"/>
    <w:rsid w:val="000825E3"/>
    <w:rsid w:val="00082602"/>
    <w:rsid w:val="000826CC"/>
    <w:rsid w:val="00082721"/>
    <w:rsid w:val="00082A8F"/>
    <w:rsid w:val="00082E42"/>
    <w:rsid w:val="0008343C"/>
    <w:rsid w:val="000834AB"/>
    <w:rsid w:val="000835E0"/>
    <w:rsid w:val="0008361B"/>
    <w:rsid w:val="0008386F"/>
    <w:rsid w:val="00083DA6"/>
    <w:rsid w:val="00083E5D"/>
    <w:rsid w:val="0008403E"/>
    <w:rsid w:val="0008433A"/>
    <w:rsid w:val="0008463C"/>
    <w:rsid w:val="0008487D"/>
    <w:rsid w:val="0008490C"/>
    <w:rsid w:val="00084A93"/>
    <w:rsid w:val="00084C88"/>
    <w:rsid w:val="00084F19"/>
    <w:rsid w:val="00084F41"/>
    <w:rsid w:val="00085218"/>
    <w:rsid w:val="00085937"/>
    <w:rsid w:val="00085DBF"/>
    <w:rsid w:val="0008600F"/>
    <w:rsid w:val="0008605A"/>
    <w:rsid w:val="000866ED"/>
    <w:rsid w:val="00086B1C"/>
    <w:rsid w:val="00086C35"/>
    <w:rsid w:val="00087444"/>
    <w:rsid w:val="00087612"/>
    <w:rsid w:val="0008771F"/>
    <w:rsid w:val="00087790"/>
    <w:rsid w:val="0008785B"/>
    <w:rsid w:val="00087929"/>
    <w:rsid w:val="00087C1B"/>
    <w:rsid w:val="00087E00"/>
    <w:rsid w:val="00090366"/>
    <w:rsid w:val="00090486"/>
    <w:rsid w:val="00090684"/>
    <w:rsid w:val="0009076A"/>
    <w:rsid w:val="00090972"/>
    <w:rsid w:val="00090CCD"/>
    <w:rsid w:val="00090D1F"/>
    <w:rsid w:val="00090E84"/>
    <w:rsid w:val="000911D5"/>
    <w:rsid w:val="00091281"/>
    <w:rsid w:val="00091576"/>
    <w:rsid w:val="0009166F"/>
    <w:rsid w:val="00091B4F"/>
    <w:rsid w:val="00091F00"/>
    <w:rsid w:val="0009218C"/>
    <w:rsid w:val="000928E3"/>
    <w:rsid w:val="0009293B"/>
    <w:rsid w:val="00092A37"/>
    <w:rsid w:val="00092B35"/>
    <w:rsid w:val="00092CC2"/>
    <w:rsid w:val="00092DFF"/>
    <w:rsid w:val="00092FD9"/>
    <w:rsid w:val="0009301D"/>
    <w:rsid w:val="0009319D"/>
    <w:rsid w:val="00093200"/>
    <w:rsid w:val="0009322B"/>
    <w:rsid w:val="000934C2"/>
    <w:rsid w:val="00093542"/>
    <w:rsid w:val="00093823"/>
    <w:rsid w:val="00093ABC"/>
    <w:rsid w:val="00093E06"/>
    <w:rsid w:val="00093FDF"/>
    <w:rsid w:val="000940C5"/>
    <w:rsid w:val="000943BA"/>
    <w:rsid w:val="000945C0"/>
    <w:rsid w:val="000947DD"/>
    <w:rsid w:val="000949AC"/>
    <w:rsid w:val="00094A24"/>
    <w:rsid w:val="00094C67"/>
    <w:rsid w:val="00094CC6"/>
    <w:rsid w:val="00094EB1"/>
    <w:rsid w:val="00094FB7"/>
    <w:rsid w:val="0009536A"/>
    <w:rsid w:val="0009543E"/>
    <w:rsid w:val="0009574D"/>
    <w:rsid w:val="00095A55"/>
    <w:rsid w:val="00095AAF"/>
    <w:rsid w:val="00095CF9"/>
    <w:rsid w:val="00096221"/>
    <w:rsid w:val="000962DC"/>
    <w:rsid w:val="0009640C"/>
    <w:rsid w:val="000966D0"/>
    <w:rsid w:val="00096A6A"/>
    <w:rsid w:val="00096C3D"/>
    <w:rsid w:val="00096D19"/>
    <w:rsid w:val="000970E7"/>
    <w:rsid w:val="00097348"/>
    <w:rsid w:val="000975FC"/>
    <w:rsid w:val="00097714"/>
    <w:rsid w:val="0009782A"/>
    <w:rsid w:val="0009783B"/>
    <w:rsid w:val="000978D8"/>
    <w:rsid w:val="00097C35"/>
    <w:rsid w:val="00097C8B"/>
    <w:rsid w:val="00097FA1"/>
    <w:rsid w:val="000A0010"/>
    <w:rsid w:val="000A02B7"/>
    <w:rsid w:val="000A0394"/>
    <w:rsid w:val="000A087C"/>
    <w:rsid w:val="000A0BBF"/>
    <w:rsid w:val="000A0E8A"/>
    <w:rsid w:val="000A1238"/>
    <w:rsid w:val="000A1257"/>
    <w:rsid w:val="000A1410"/>
    <w:rsid w:val="000A1431"/>
    <w:rsid w:val="000A16A2"/>
    <w:rsid w:val="000A1A6B"/>
    <w:rsid w:val="000A1C2A"/>
    <w:rsid w:val="000A1D8F"/>
    <w:rsid w:val="000A22AC"/>
    <w:rsid w:val="000A2391"/>
    <w:rsid w:val="000A240B"/>
    <w:rsid w:val="000A25D6"/>
    <w:rsid w:val="000A2933"/>
    <w:rsid w:val="000A2C48"/>
    <w:rsid w:val="000A2C7D"/>
    <w:rsid w:val="000A3127"/>
    <w:rsid w:val="000A31EA"/>
    <w:rsid w:val="000A3315"/>
    <w:rsid w:val="000A3373"/>
    <w:rsid w:val="000A388B"/>
    <w:rsid w:val="000A38B0"/>
    <w:rsid w:val="000A3A12"/>
    <w:rsid w:val="000A3B7D"/>
    <w:rsid w:val="000A3C73"/>
    <w:rsid w:val="000A3E6E"/>
    <w:rsid w:val="000A3EAF"/>
    <w:rsid w:val="000A43CD"/>
    <w:rsid w:val="000A453B"/>
    <w:rsid w:val="000A4841"/>
    <w:rsid w:val="000A49D7"/>
    <w:rsid w:val="000A4C8B"/>
    <w:rsid w:val="000A519F"/>
    <w:rsid w:val="000A52F9"/>
    <w:rsid w:val="000A533E"/>
    <w:rsid w:val="000A5614"/>
    <w:rsid w:val="000A5959"/>
    <w:rsid w:val="000A5FF6"/>
    <w:rsid w:val="000A60B1"/>
    <w:rsid w:val="000A61D6"/>
    <w:rsid w:val="000A61DA"/>
    <w:rsid w:val="000A63B9"/>
    <w:rsid w:val="000A658C"/>
    <w:rsid w:val="000A6680"/>
    <w:rsid w:val="000A6B97"/>
    <w:rsid w:val="000A6BFE"/>
    <w:rsid w:val="000A6DAC"/>
    <w:rsid w:val="000A6DCF"/>
    <w:rsid w:val="000A6F74"/>
    <w:rsid w:val="000A6FA4"/>
    <w:rsid w:val="000A70B7"/>
    <w:rsid w:val="000A729C"/>
    <w:rsid w:val="000A751B"/>
    <w:rsid w:val="000A7530"/>
    <w:rsid w:val="000A7592"/>
    <w:rsid w:val="000A75B6"/>
    <w:rsid w:val="000A78F8"/>
    <w:rsid w:val="000A7934"/>
    <w:rsid w:val="000A7E4D"/>
    <w:rsid w:val="000B0520"/>
    <w:rsid w:val="000B05BB"/>
    <w:rsid w:val="000B0B0E"/>
    <w:rsid w:val="000B0CD0"/>
    <w:rsid w:val="000B0D7B"/>
    <w:rsid w:val="000B0F63"/>
    <w:rsid w:val="000B1074"/>
    <w:rsid w:val="000B108D"/>
    <w:rsid w:val="000B10D4"/>
    <w:rsid w:val="000B123C"/>
    <w:rsid w:val="000B12D0"/>
    <w:rsid w:val="000B153E"/>
    <w:rsid w:val="000B191F"/>
    <w:rsid w:val="000B193A"/>
    <w:rsid w:val="000B1CDD"/>
    <w:rsid w:val="000B1D4D"/>
    <w:rsid w:val="000B1DE5"/>
    <w:rsid w:val="000B1E21"/>
    <w:rsid w:val="000B229B"/>
    <w:rsid w:val="000B259D"/>
    <w:rsid w:val="000B265F"/>
    <w:rsid w:val="000B271C"/>
    <w:rsid w:val="000B2820"/>
    <w:rsid w:val="000B2872"/>
    <w:rsid w:val="000B28F5"/>
    <w:rsid w:val="000B2F90"/>
    <w:rsid w:val="000B2FD0"/>
    <w:rsid w:val="000B3115"/>
    <w:rsid w:val="000B35A1"/>
    <w:rsid w:val="000B3B75"/>
    <w:rsid w:val="000B3B76"/>
    <w:rsid w:val="000B3C2C"/>
    <w:rsid w:val="000B3C33"/>
    <w:rsid w:val="000B3C94"/>
    <w:rsid w:val="000B3DC1"/>
    <w:rsid w:val="000B3FA8"/>
    <w:rsid w:val="000B4989"/>
    <w:rsid w:val="000B4A26"/>
    <w:rsid w:val="000B4EF6"/>
    <w:rsid w:val="000B5124"/>
    <w:rsid w:val="000B5440"/>
    <w:rsid w:val="000B58C2"/>
    <w:rsid w:val="000B5B64"/>
    <w:rsid w:val="000B5B74"/>
    <w:rsid w:val="000B608C"/>
    <w:rsid w:val="000B630C"/>
    <w:rsid w:val="000B635F"/>
    <w:rsid w:val="000B640A"/>
    <w:rsid w:val="000B6AF7"/>
    <w:rsid w:val="000B6E73"/>
    <w:rsid w:val="000B6FAC"/>
    <w:rsid w:val="000B6FF9"/>
    <w:rsid w:val="000B73C9"/>
    <w:rsid w:val="000B74B2"/>
    <w:rsid w:val="000B782E"/>
    <w:rsid w:val="000B79BD"/>
    <w:rsid w:val="000B7A58"/>
    <w:rsid w:val="000B7D42"/>
    <w:rsid w:val="000B7EDF"/>
    <w:rsid w:val="000C016E"/>
    <w:rsid w:val="000C023C"/>
    <w:rsid w:val="000C04A6"/>
    <w:rsid w:val="000C07BF"/>
    <w:rsid w:val="000C07F8"/>
    <w:rsid w:val="000C0C2C"/>
    <w:rsid w:val="000C107B"/>
    <w:rsid w:val="000C138A"/>
    <w:rsid w:val="000C167E"/>
    <w:rsid w:val="000C1AA5"/>
    <w:rsid w:val="000C1E2F"/>
    <w:rsid w:val="000C1E4F"/>
    <w:rsid w:val="000C1F85"/>
    <w:rsid w:val="000C2037"/>
    <w:rsid w:val="000C22B3"/>
    <w:rsid w:val="000C2307"/>
    <w:rsid w:val="000C23D5"/>
    <w:rsid w:val="000C24EE"/>
    <w:rsid w:val="000C2636"/>
    <w:rsid w:val="000C27D5"/>
    <w:rsid w:val="000C2886"/>
    <w:rsid w:val="000C2892"/>
    <w:rsid w:val="000C2A2E"/>
    <w:rsid w:val="000C2A71"/>
    <w:rsid w:val="000C2AB6"/>
    <w:rsid w:val="000C2C32"/>
    <w:rsid w:val="000C2D04"/>
    <w:rsid w:val="000C2E88"/>
    <w:rsid w:val="000C2EE8"/>
    <w:rsid w:val="000C2EF9"/>
    <w:rsid w:val="000C3171"/>
    <w:rsid w:val="000C3355"/>
    <w:rsid w:val="000C3653"/>
    <w:rsid w:val="000C3B72"/>
    <w:rsid w:val="000C3FA1"/>
    <w:rsid w:val="000C4046"/>
    <w:rsid w:val="000C416F"/>
    <w:rsid w:val="000C4332"/>
    <w:rsid w:val="000C46C0"/>
    <w:rsid w:val="000C46EA"/>
    <w:rsid w:val="000C4773"/>
    <w:rsid w:val="000C49CE"/>
    <w:rsid w:val="000C4E5A"/>
    <w:rsid w:val="000C4F56"/>
    <w:rsid w:val="000C54F8"/>
    <w:rsid w:val="000C57B2"/>
    <w:rsid w:val="000C5B1D"/>
    <w:rsid w:val="000C5CE9"/>
    <w:rsid w:val="000C6000"/>
    <w:rsid w:val="000C627C"/>
    <w:rsid w:val="000C6623"/>
    <w:rsid w:val="000C6678"/>
    <w:rsid w:val="000C6767"/>
    <w:rsid w:val="000C68C1"/>
    <w:rsid w:val="000C6B76"/>
    <w:rsid w:val="000C6D68"/>
    <w:rsid w:val="000C73F5"/>
    <w:rsid w:val="000C7488"/>
    <w:rsid w:val="000C76F0"/>
    <w:rsid w:val="000C7829"/>
    <w:rsid w:val="000C78BD"/>
    <w:rsid w:val="000C7C8F"/>
    <w:rsid w:val="000D04D7"/>
    <w:rsid w:val="000D0574"/>
    <w:rsid w:val="000D062E"/>
    <w:rsid w:val="000D0844"/>
    <w:rsid w:val="000D08A2"/>
    <w:rsid w:val="000D1097"/>
    <w:rsid w:val="000D10E0"/>
    <w:rsid w:val="000D12C6"/>
    <w:rsid w:val="000D165A"/>
    <w:rsid w:val="000D1891"/>
    <w:rsid w:val="000D1DB0"/>
    <w:rsid w:val="000D23DD"/>
    <w:rsid w:val="000D2640"/>
    <w:rsid w:val="000D288F"/>
    <w:rsid w:val="000D309B"/>
    <w:rsid w:val="000D30E2"/>
    <w:rsid w:val="000D3241"/>
    <w:rsid w:val="000D3459"/>
    <w:rsid w:val="000D345A"/>
    <w:rsid w:val="000D3776"/>
    <w:rsid w:val="000D37D0"/>
    <w:rsid w:val="000D37E5"/>
    <w:rsid w:val="000D38F1"/>
    <w:rsid w:val="000D394A"/>
    <w:rsid w:val="000D3A62"/>
    <w:rsid w:val="000D3FA4"/>
    <w:rsid w:val="000D4100"/>
    <w:rsid w:val="000D41F7"/>
    <w:rsid w:val="000D4271"/>
    <w:rsid w:val="000D467B"/>
    <w:rsid w:val="000D4845"/>
    <w:rsid w:val="000D4924"/>
    <w:rsid w:val="000D4D08"/>
    <w:rsid w:val="000D4D92"/>
    <w:rsid w:val="000D4E61"/>
    <w:rsid w:val="000D5002"/>
    <w:rsid w:val="000D585C"/>
    <w:rsid w:val="000D59C4"/>
    <w:rsid w:val="000D5B72"/>
    <w:rsid w:val="000D5EE4"/>
    <w:rsid w:val="000D61A9"/>
    <w:rsid w:val="000D66A4"/>
    <w:rsid w:val="000D68AC"/>
    <w:rsid w:val="000D6AAB"/>
    <w:rsid w:val="000D6EF3"/>
    <w:rsid w:val="000D71A0"/>
    <w:rsid w:val="000D726E"/>
    <w:rsid w:val="000D7358"/>
    <w:rsid w:val="000D73FF"/>
    <w:rsid w:val="000D7A86"/>
    <w:rsid w:val="000D7C80"/>
    <w:rsid w:val="000D7CD9"/>
    <w:rsid w:val="000D7D15"/>
    <w:rsid w:val="000D7F7F"/>
    <w:rsid w:val="000E0272"/>
    <w:rsid w:val="000E03BE"/>
    <w:rsid w:val="000E0413"/>
    <w:rsid w:val="000E084F"/>
    <w:rsid w:val="000E08C3"/>
    <w:rsid w:val="000E0AD2"/>
    <w:rsid w:val="000E0CAC"/>
    <w:rsid w:val="000E0EBB"/>
    <w:rsid w:val="000E1027"/>
    <w:rsid w:val="000E104F"/>
    <w:rsid w:val="000E146C"/>
    <w:rsid w:val="000E14D5"/>
    <w:rsid w:val="000E1676"/>
    <w:rsid w:val="000E1709"/>
    <w:rsid w:val="000E1A0F"/>
    <w:rsid w:val="000E1DFF"/>
    <w:rsid w:val="000E2043"/>
    <w:rsid w:val="000E229E"/>
    <w:rsid w:val="000E247D"/>
    <w:rsid w:val="000E25C9"/>
    <w:rsid w:val="000E2792"/>
    <w:rsid w:val="000E28B9"/>
    <w:rsid w:val="000E2ABA"/>
    <w:rsid w:val="000E3181"/>
    <w:rsid w:val="000E318F"/>
    <w:rsid w:val="000E3215"/>
    <w:rsid w:val="000E326A"/>
    <w:rsid w:val="000E3323"/>
    <w:rsid w:val="000E38DB"/>
    <w:rsid w:val="000E3905"/>
    <w:rsid w:val="000E3B02"/>
    <w:rsid w:val="000E3BF4"/>
    <w:rsid w:val="000E3C2C"/>
    <w:rsid w:val="000E4138"/>
    <w:rsid w:val="000E43A6"/>
    <w:rsid w:val="000E46E7"/>
    <w:rsid w:val="000E487A"/>
    <w:rsid w:val="000E49D9"/>
    <w:rsid w:val="000E4DE0"/>
    <w:rsid w:val="000E4E7B"/>
    <w:rsid w:val="000E51C9"/>
    <w:rsid w:val="000E554E"/>
    <w:rsid w:val="000E555C"/>
    <w:rsid w:val="000E56A7"/>
    <w:rsid w:val="000E5989"/>
    <w:rsid w:val="000E599D"/>
    <w:rsid w:val="000E5ACC"/>
    <w:rsid w:val="000E5C7F"/>
    <w:rsid w:val="000E5D3C"/>
    <w:rsid w:val="000E5DA8"/>
    <w:rsid w:val="000E5DF7"/>
    <w:rsid w:val="000E66C3"/>
    <w:rsid w:val="000E6756"/>
    <w:rsid w:val="000E690F"/>
    <w:rsid w:val="000E69C8"/>
    <w:rsid w:val="000E6C67"/>
    <w:rsid w:val="000E6EDB"/>
    <w:rsid w:val="000E73C2"/>
    <w:rsid w:val="000E761B"/>
    <w:rsid w:val="000E78AC"/>
    <w:rsid w:val="000E7B77"/>
    <w:rsid w:val="000E7D84"/>
    <w:rsid w:val="000E7F53"/>
    <w:rsid w:val="000E7FF7"/>
    <w:rsid w:val="000E7FFB"/>
    <w:rsid w:val="000F0277"/>
    <w:rsid w:val="000F0360"/>
    <w:rsid w:val="000F045E"/>
    <w:rsid w:val="000F077C"/>
    <w:rsid w:val="000F0866"/>
    <w:rsid w:val="000F09BE"/>
    <w:rsid w:val="000F1146"/>
    <w:rsid w:val="000F17B2"/>
    <w:rsid w:val="000F1A0B"/>
    <w:rsid w:val="000F1D6C"/>
    <w:rsid w:val="000F1E8E"/>
    <w:rsid w:val="000F20F4"/>
    <w:rsid w:val="000F24B1"/>
    <w:rsid w:val="000F250F"/>
    <w:rsid w:val="000F2523"/>
    <w:rsid w:val="000F2668"/>
    <w:rsid w:val="000F266A"/>
    <w:rsid w:val="000F2797"/>
    <w:rsid w:val="000F2A68"/>
    <w:rsid w:val="000F2C19"/>
    <w:rsid w:val="000F2C34"/>
    <w:rsid w:val="000F2CE7"/>
    <w:rsid w:val="000F2ED6"/>
    <w:rsid w:val="000F31D0"/>
    <w:rsid w:val="000F322B"/>
    <w:rsid w:val="000F3253"/>
    <w:rsid w:val="000F34F7"/>
    <w:rsid w:val="000F3673"/>
    <w:rsid w:val="000F3749"/>
    <w:rsid w:val="000F395E"/>
    <w:rsid w:val="000F3A3C"/>
    <w:rsid w:val="000F3B59"/>
    <w:rsid w:val="000F3CF0"/>
    <w:rsid w:val="000F3E69"/>
    <w:rsid w:val="000F4089"/>
    <w:rsid w:val="000F45F2"/>
    <w:rsid w:val="000F476C"/>
    <w:rsid w:val="000F4838"/>
    <w:rsid w:val="000F4ACD"/>
    <w:rsid w:val="000F4B26"/>
    <w:rsid w:val="000F4D02"/>
    <w:rsid w:val="000F4DB7"/>
    <w:rsid w:val="000F4E73"/>
    <w:rsid w:val="000F51A4"/>
    <w:rsid w:val="000F5396"/>
    <w:rsid w:val="000F548F"/>
    <w:rsid w:val="000F5914"/>
    <w:rsid w:val="000F5B8C"/>
    <w:rsid w:val="000F6186"/>
    <w:rsid w:val="000F62C8"/>
    <w:rsid w:val="000F6473"/>
    <w:rsid w:val="000F65BA"/>
    <w:rsid w:val="000F6646"/>
    <w:rsid w:val="000F6727"/>
    <w:rsid w:val="000F6981"/>
    <w:rsid w:val="000F6AFE"/>
    <w:rsid w:val="000F721D"/>
    <w:rsid w:val="000F7580"/>
    <w:rsid w:val="000F769B"/>
    <w:rsid w:val="000F7A75"/>
    <w:rsid w:val="000F7BA3"/>
    <w:rsid w:val="001000A3"/>
    <w:rsid w:val="001000C2"/>
    <w:rsid w:val="00100330"/>
    <w:rsid w:val="0010061D"/>
    <w:rsid w:val="00100784"/>
    <w:rsid w:val="001007EB"/>
    <w:rsid w:val="00100D3E"/>
    <w:rsid w:val="00100EE4"/>
    <w:rsid w:val="00100EFC"/>
    <w:rsid w:val="00100FB4"/>
    <w:rsid w:val="001010CD"/>
    <w:rsid w:val="00101171"/>
    <w:rsid w:val="0010127B"/>
    <w:rsid w:val="001013B7"/>
    <w:rsid w:val="00101845"/>
    <w:rsid w:val="00101AC9"/>
    <w:rsid w:val="00101BA7"/>
    <w:rsid w:val="00101CA5"/>
    <w:rsid w:val="00101D03"/>
    <w:rsid w:val="0010203F"/>
    <w:rsid w:val="001034E9"/>
    <w:rsid w:val="00103539"/>
    <w:rsid w:val="00103621"/>
    <w:rsid w:val="0010367D"/>
    <w:rsid w:val="00103A5E"/>
    <w:rsid w:val="00103A6A"/>
    <w:rsid w:val="00103AB4"/>
    <w:rsid w:val="00103CC7"/>
    <w:rsid w:val="00103E25"/>
    <w:rsid w:val="00104007"/>
    <w:rsid w:val="0010402A"/>
    <w:rsid w:val="00104090"/>
    <w:rsid w:val="001041CA"/>
    <w:rsid w:val="00104216"/>
    <w:rsid w:val="00104302"/>
    <w:rsid w:val="0010464D"/>
    <w:rsid w:val="001048D2"/>
    <w:rsid w:val="00104A38"/>
    <w:rsid w:val="00104C5E"/>
    <w:rsid w:val="00104EF2"/>
    <w:rsid w:val="00105028"/>
    <w:rsid w:val="00105181"/>
    <w:rsid w:val="00105188"/>
    <w:rsid w:val="0010529B"/>
    <w:rsid w:val="0010536A"/>
    <w:rsid w:val="0010538E"/>
    <w:rsid w:val="001053EC"/>
    <w:rsid w:val="001056E5"/>
    <w:rsid w:val="001058B9"/>
    <w:rsid w:val="00105AA9"/>
    <w:rsid w:val="00105BE8"/>
    <w:rsid w:val="00105C09"/>
    <w:rsid w:val="00105EE4"/>
    <w:rsid w:val="00106163"/>
    <w:rsid w:val="001062C7"/>
    <w:rsid w:val="001065F5"/>
    <w:rsid w:val="001067A4"/>
    <w:rsid w:val="00106860"/>
    <w:rsid w:val="00106D92"/>
    <w:rsid w:val="00106E86"/>
    <w:rsid w:val="00106F85"/>
    <w:rsid w:val="00107521"/>
    <w:rsid w:val="001075F4"/>
    <w:rsid w:val="00107873"/>
    <w:rsid w:val="00107DCC"/>
    <w:rsid w:val="00107EE5"/>
    <w:rsid w:val="00107F41"/>
    <w:rsid w:val="001101F4"/>
    <w:rsid w:val="0011065B"/>
    <w:rsid w:val="00110717"/>
    <w:rsid w:val="001107A9"/>
    <w:rsid w:val="00110817"/>
    <w:rsid w:val="00110A17"/>
    <w:rsid w:val="00110E45"/>
    <w:rsid w:val="00110FC2"/>
    <w:rsid w:val="001110AD"/>
    <w:rsid w:val="0011112D"/>
    <w:rsid w:val="0011125F"/>
    <w:rsid w:val="00111364"/>
    <w:rsid w:val="00111395"/>
    <w:rsid w:val="00111417"/>
    <w:rsid w:val="00111440"/>
    <w:rsid w:val="001114BA"/>
    <w:rsid w:val="00111578"/>
    <w:rsid w:val="00111687"/>
    <w:rsid w:val="0011199D"/>
    <w:rsid w:val="00111B2E"/>
    <w:rsid w:val="00111FA6"/>
    <w:rsid w:val="00112000"/>
    <w:rsid w:val="001120FD"/>
    <w:rsid w:val="001122BE"/>
    <w:rsid w:val="001124BE"/>
    <w:rsid w:val="00112560"/>
    <w:rsid w:val="00112626"/>
    <w:rsid w:val="00112785"/>
    <w:rsid w:val="0011287A"/>
    <w:rsid w:val="0011291F"/>
    <w:rsid w:val="0011299F"/>
    <w:rsid w:val="00112BA6"/>
    <w:rsid w:val="00112C28"/>
    <w:rsid w:val="00112D75"/>
    <w:rsid w:val="00113108"/>
    <w:rsid w:val="001135BB"/>
    <w:rsid w:val="00113820"/>
    <w:rsid w:val="00113DED"/>
    <w:rsid w:val="00114081"/>
    <w:rsid w:val="00114138"/>
    <w:rsid w:val="001141AD"/>
    <w:rsid w:val="00114302"/>
    <w:rsid w:val="00114480"/>
    <w:rsid w:val="00114A0D"/>
    <w:rsid w:val="00114A19"/>
    <w:rsid w:val="00114E13"/>
    <w:rsid w:val="00114E62"/>
    <w:rsid w:val="00115057"/>
    <w:rsid w:val="0011514E"/>
    <w:rsid w:val="001151BF"/>
    <w:rsid w:val="001152DA"/>
    <w:rsid w:val="001153C0"/>
    <w:rsid w:val="00115451"/>
    <w:rsid w:val="001154BC"/>
    <w:rsid w:val="00115615"/>
    <w:rsid w:val="00115682"/>
    <w:rsid w:val="001156D0"/>
    <w:rsid w:val="00115728"/>
    <w:rsid w:val="001158D1"/>
    <w:rsid w:val="00115AFB"/>
    <w:rsid w:val="00115C10"/>
    <w:rsid w:val="00115C25"/>
    <w:rsid w:val="00115EA4"/>
    <w:rsid w:val="00115F8D"/>
    <w:rsid w:val="0011609B"/>
    <w:rsid w:val="00116659"/>
    <w:rsid w:val="0011672D"/>
    <w:rsid w:val="0011681D"/>
    <w:rsid w:val="0011691A"/>
    <w:rsid w:val="00116BF8"/>
    <w:rsid w:val="00116C6D"/>
    <w:rsid w:val="00116F89"/>
    <w:rsid w:val="00116F91"/>
    <w:rsid w:val="0011701D"/>
    <w:rsid w:val="001170B6"/>
    <w:rsid w:val="00117281"/>
    <w:rsid w:val="00117567"/>
    <w:rsid w:val="001175FE"/>
    <w:rsid w:val="00117BD1"/>
    <w:rsid w:val="00117D03"/>
    <w:rsid w:val="00117FBF"/>
    <w:rsid w:val="00120040"/>
    <w:rsid w:val="001201CA"/>
    <w:rsid w:val="001202D3"/>
    <w:rsid w:val="001204AC"/>
    <w:rsid w:val="00120A87"/>
    <w:rsid w:val="00121218"/>
    <w:rsid w:val="0012130B"/>
    <w:rsid w:val="00121B7D"/>
    <w:rsid w:val="00121E6C"/>
    <w:rsid w:val="00122026"/>
    <w:rsid w:val="00122100"/>
    <w:rsid w:val="001225AE"/>
    <w:rsid w:val="001225E2"/>
    <w:rsid w:val="0012273A"/>
    <w:rsid w:val="001227EC"/>
    <w:rsid w:val="00122CE5"/>
    <w:rsid w:val="00122D79"/>
    <w:rsid w:val="00122D99"/>
    <w:rsid w:val="0012310E"/>
    <w:rsid w:val="00123387"/>
    <w:rsid w:val="001233E4"/>
    <w:rsid w:val="00123559"/>
    <w:rsid w:val="001238EF"/>
    <w:rsid w:val="00123BAE"/>
    <w:rsid w:val="001240A4"/>
    <w:rsid w:val="0012414F"/>
    <w:rsid w:val="00124300"/>
    <w:rsid w:val="0012491F"/>
    <w:rsid w:val="00124940"/>
    <w:rsid w:val="00124A97"/>
    <w:rsid w:val="00124B73"/>
    <w:rsid w:val="00124D65"/>
    <w:rsid w:val="00124FF9"/>
    <w:rsid w:val="0012513B"/>
    <w:rsid w:val="0012516B"/>
    <w:rsid w:val="001254A4"/>
    <w:rsid w:val="0012551C"/>
    <w:rsid w:val="00125874"/>
    <w:rsid w:val="00125995"/>
    <w:rsid w:val="00125CC2"/>
    <w:rsid w:val="00125E12"/>
    <w:rsid w:val="00125E86"/>
    <w:rsid w:val="00125FC9"/>
    <w:rsid w:val="00126082"/>
    <w:rsid w:val="0012652C"/>
    <w:rsid w:val="00126560"/>
    <w:rsid w:val="00126709"/>
    <w:rsid w:val="0012684C"/>
    <w:rsid w:val="0012708F"/>
    <w:rsid w:val="001270A1"/>
    <w:rsid w:val="001270E3"/>
    <w:rsid w:val="00127146"/>
    <w:rsid w:val="00127343"/>
    <w:rsid w:val="00127442"/>
    <w:rsid w:val="00127711"/>
    <w:rsid w:val="001277CA"/>
    <w:rsid w:val="0012794C"/>
    <w:rsid w:val="00127990"/>
    <w:rsid w:val="00127F0D"/>
    <w:rsid w:val="00130157"/>
    <w:rsid w:val="001301DC"/>
    <w:rsid w:val="001306A7"/>
    <w:rsid w:val="00130948"/>
    <w:rsid w:val="00130B85"/>
    <w:rsid w:val="00130E75"/>
    <w:rsid w:val="0013119F"/>
    <w:rsid w:val="00131371"/>
    <w:rsid w:val="001313C2"/>
    <w:rsid w:val="001314B0"/>
    <w:rsid w:val="001316B6"/>
    <w:rsid w:val="00131A6D"/>
    <w:rsid w:val="00131D19"/>
    <w:rsid w:val="00131E31"/>
    <w:rsid w:val="00132019"/>
    <w:rsid w:val="00132167"/>
    <w:rsid w:val="0013232A"/>
    <w:rsid w:val="001325BE"/>
    <w:rsid w:val="00132A0C"/>
    <w:rsid w:val="00132A48"/>
    <w:rsid w:val="00132D46"/>
    <w:rsid w:val="00132DDE"/>
    <w:rsid w:val="00133095"/>
    <w:rsid w:val="00133114"/>
    <w:rsid w:val="00133146"/>
    <w:rsid w:val="0013483A"/>
    <w:rsid w:val="00134A18"/>
    <w:rsid w:val="00134B3B"/>
    <w:rsid w:val="00134C55"/>
    <w:rsid w:val="00134D36"/>
    <w:rsid w:val="00134E69"/>
    <w:rsid w:val="00134FCD"/>
    <w:rsid w:val="0013520B"/>
    <w:rsid w:val="001354BA"/>
    <w:rsid w:val="001356EC"/>
    <w:rsid w:val="00135CC6"/>
    <w:rsid w:val="00135CF3"/>
    <w:rsid w:val="00136013"/>
    <w:rsid w:val="00136368"/>
    <w:rsid w:val="00136679"/>
    <w:rsid w:val="00136976"/>
    <w:rsid w:val="00136B8C"/>
    <w:rsid w:val="00136EEB"/>
    <w:rsid w:val="00137355"/>
    <w:rsid w:val="001375BC"/>
    <w:rsid w:val="001378A9"/>
    <w:rsid w:val="00137A01"/>
    <w:rsid w:val="0014057F"/>
    <w:rsid w:val="00140735"/>
    <w:rsid w:val="0014074E"/>
    <w:rsid w:val="00140D01"/>
    <w:rsid w:val="00140EAA"/>
    <w:rsid w:val="00141121"/>
    <w:rsid w:val="001412A0"/>
    <w:rsid w:val="00141611"/>
    <w:rsid w:val="00141786"/>
    <w:rsid w:val="00141879"/>
    <w:rsid w:val="00141955"/>
    <w:rsid w:val="00141A61"/>
    <w:rsid w:val="00141C78"/>
    <w:rsid w:val="00141D3A"/>
    <w:rsid w:val="00141FA7"/>
    <w:rsid w:val="00142207"/>
    <w:rsid w:val="001423D5"/>
    <w:rsid w:val="001426F5"/>
    <w:rsid w:val="0014282F"/>
    <w:rsid w:val="001428E2"/>
    <w:rsid w:val="00142927"/>
    <w:rsid w:val="00142B60"/>
    <w:rsid w:val="00142C7F"/>
    <w:rsid w:val="00142DF8"/>
    <w:rsid w:val="00143098"/>
    <w:rsid w:val="001432EB"/>
    <w:rsid w:val="001434A3"/>
    <w:rsid w:val="0014353B"/>
    <w:rsid w:val="001435EB"/>
    <w:rsid w:val="001436C6"/>
    <w:rsid w:val="00143755"/>
    <w:rsid w:val="00143809"/>
    <w:rsid w:val="00143B96"/>
    <w:rsid w:val="001440EF"/>
    <w:rsid w:val="00144219"/>
    <w:rsid w:val="001445BB"/>
    <w:rsid w:val="001447C4"/>
    <w:rsid w:val="001449EC"/>
    <w:rsid w:val="00144A3E"/>
    <w:rsid w:val="001451FC"/>
    <w:rsid w:val="00145749"/>
    <w:rsid w:val="00145864"/>
    <w:rsid w:val="00145871"/>
    <w:rsid w:val="00145918"/>
    <w:rsid w:val="00145A5D"/>
    <w:rsid w:val="00145BFC"/>
    <w:rsid w:val="00145C0F"/>
    <w:rsid w:val="00145D96"/>
    <w:rsid w:val="00145E52"/>
    <w:rsid w:val="00145ED3"/>
    <w:rsid w:val="0014644A"/>
    <w:rsid w:val="001465AB"/>
    <w:rsid w:val="00146984"/>
    <w:rsid w:val="00146AD5"/>
    <w:rsid w:val="00146AE9"/>
    <w:rsid w:val="00146AFC"/>
    <w:rsid w:val="00146B50"/>
    <w:rsid w:val="00146F4A"/>
    <w:rsid w:val="00146F5D"/>
    <w:rsid w:val="00147001"/>
    <w:rsid w:val="0014718D"/>
    <w:rsid w:val="0014740F"/>
    <w:rsid w:val="0014741D"/>
    <w:rsid w:val="001477B5"/>
    <w:rsid w:val="0014784F"/>
    <w:rsid w:val="001479E1"/>
    <w:rsid w:val="00147F93"/>
    <w:rsid w:val="00147FEA"/>
    <w:rsid w:val="00150097"/>
    <w:rsid w:val="001501DC"/>
    <w:rsid w:val="0015026E"/>
    <w:rsid w:val="001504A9"/>
    <w:rsid w:val="001504B4"/>
    <w:rsid w:val="001504CE"/>
    <w:rsid w:val="001506F6"/>
    <w:rsid w:val="00150CC4"/>
    <w:rsid w:val="00151024"/>
    <w:rsid w:val="001510BF"/>
    <w:rsid w:val="0015111E"/>
    <w:rsid w:val="00151350"/>
    <w:rsid w:val="001514F2"/>
    <w:rsid w:val="001516DB"/>
    <w:rsid w:val="00151779"/>
    <w:rsid w:val="00151815"/>
    <w:rsid w:val="00151DD1"/>
    <w:rsid w:val="00151FEC"/>
    <w:rsid w:val="001520BA"/>
    <w:rsid w:val="00152397"/>
    <w:rsid w:val="00152C5D"/>
    <w:rsid w:val="00152C9B"/>
    <w:rsid w:val="00152CF6"/>
    <w:rsid w:val="00152FEA"/>
    <w:rsid w:val="001531C3"/>
    <w:rsid w:val="00153226"/>
    <w:rsid w:val="001532F7"/>
    <w:rsid w:val="00153377"/>
    <w:rsid w:val="0015337B"/>
    <w:rsid w:val="0015340B"/>
    <w:rsid w:val="001534FC"/>
    <w:rsid w:val="0015356E"/>
    <w:rsid w:val="0015361C"/>
    <w:rsid w:val="00153937"/>
    <w:rsid w:val="00153BAA"/>
    <w:rsid w:val="00153E73"/>
    <w:rsid w:val="0015406C"/>
    <w:rsid w:val="0015439C"/>
    <w:rsid w:val="00154440"/>
    <w:rsid w:val="00154958"/>
    <w:rsid w:val="00154AF5"/>
    <w:rsid w:val="00154B94"/>
    <w:rsid w:val="00154F05"/>
    <w:rsid w:val="00154F8F"/>
    <w:rsid w:val="001552B1"/>
    <w:rsid w:val="001552B9"/>
    <w:rsid w:val="001552F9"/>
    <w:rsid w:val="001554B8"/>
    <w:rsid w:val="00155611"/>
    <w:rsid w:val="0015575C"/>
    <w:rsid w:val="00155866"/>
    <w:rsid w:val="00155867"/>
    <w:rsid w:val="00155A08"/>
    <w:rsid w:val="00156220"/>
    <w:rsid w:val="0015623E"/>
    <w:rsid w:val="00156436"/>
    <w:rsid w:val="00156472"/>
    <w:rsid w:val="001564CB"/>
    <w:rsid w:val="00156B26"/>
    <w:rsid w:val="00156C76"/>
    <w:rsid w:val="00156DDC"/>
    <w:rsid w:val="001572FB"/>
    <w:rsid w:val="00157347"/>
    <w:rsid w:val="0015742D"/>
    <w:rsid w:val="001575F1"/>
    <w:rsid w:val="00157940"/>
    <w:rsid w:val="00157D7B"/>
    <w:rsid w:val="00157E54"/>
    <w:rsid w:val="00157F92"/>
    <w:rsid w:val="0016005E"/>
    <w:rsid w:val="001600CF"/>
    <w:rsid w:val="001601A9"/>
    <w:rsid w:val="0016037D"/>
    <w:rsid w:val="001607F5"/>
    <w:rsid w:val="00160921"/>
    <w:rsid w:val="00160EC4"/>
    <w:rsid w:val="00161403"/>
    <w:rsid w:val="0016146C"/>
    <w:rsid w:val="001619EB"/>
    <w:rsid w:val="00161CEE"/>
    <w:rsid w:val="00161CFB"/>
    <w:rsid w:val="00161F28"/>
    <w:rsid w:val="0016251A"/>
    <w:rsid w:val="00162B4D"/>
    <w:rsid w:val="00162CA1"/>
    <w:rsid w:val="00163680"/>
    <w:rsid w:val="0016371A"/>
    <w:rsid w:val="001637EF"/>
    <w:rsid w:val="001638FE"/>
    <w:rsid w:val="00163C3E"/>
    <w:rsid w:val="00163E0A"/>
    <w:rsid w:val="0016413A"/>
    <w:rsid w:val="001641A1"/>
    <w:rsid w:val="001641CA"/>
    <w:rsid w:val="001643A8"/>
    <w:rsid w:val="00164B1B"/>
    <w:rsid w:val="00164E38"/>
    <w:rsid w:val="00165032"/>
    <w:rsid w:val="001651C0"/>
    <w:rsid w:val="001651ED"/>
    <w:rsid w:val="001653D6"/>
    <w:rsid w:val="00165487"/>
    <w:rsid w:val="001654F9"/>
    <w:rsid w:val="00165513"/>
    <w:rsid w:val="001655AD"/>
    <w:rsid w:val="001657A4"/>
    <w:rsid w:val="001659FD"/>
    <w:rsid w:val="00165C51"/>
    <w:rsid w:val="00165D57"/>
    <w:rsid w:val="00166171"/>
    <w:rsid w:val="001662DA"/>
    <w:rsid w:val="0016679E"/>
    <w:rsid w:val="00166843"/>
    <w:rsid w:val="00166BAC"/>
    <w:rsid w:val="00166D64"/>
    <w:rsid w:val="00166EA9"/>
    <w:rsid w:val="00166ECD"/>
    <w:rsid w:val="00166FEC"/>
    <w:rsid w:val="001670DB"/>
    <w:rsid w:val="00167212"/>
    <w:rsid w:val="00167424"/>
    <w:rsid w:val="00167541"/>
    <w:rsid w:val="00167671"/>
    <w:rsid w:val="001704A9"/>
    <w:rsid w:val="001704FD"/>
    <w:rsid w:val="0017056D"/>
    <w:rsid w:val="001706E1"/>
    <w:rsid w:val="00170CBB"/>
    <w:rsid w:val="001711F0"/>
    <w:rsid w:val="00171269"/>
    <w:rsid w:val="00171385"/>
    <w:rsid w:val="0017162B"/>
    <w:rsid w:val="001716E6"/>
    <w:rsid w:val="001718BE"/>
    <w:rsid w:val="001719EC"/>
    <w:rsid w:val="001719F9"/>
    <w:rsid w:val="00172192"/>
    <w:rsid w:val="001721C3"/>
    <w:rsid w:val="00172299"/>
    <w:rsid w:val="001724AD"/>
    <w:rsid w:val="0017264D"/>
    <w:rsid w:val="0017293C"/>
    <w:rsid w:val="0017296C"/>
    <w:rsid w:val="001732AC"/>
    <w:rsid w:val="0017339A"/>
    <w:rsid w:val="001733B5"/>
    <w:rsid w:val="001735E8"/>
    <w:rsid w:val="0017375A"/>
    <w:rsid w:val="001737E9"/>
    <w:rsid w:val="001739D5"/>
    <w:rsid w:val="00173B97"/>
    <w:rsid w:val="00173C05"/>
    <w:rsid w:val="00173D2B"/>
    <w:rsid w:val="00173E1C"/>
    <w:rsid w:val="001746D0"/>
    <w:rsid w:val="001747EF"/>
    <w:rsid w:val="00174BD1"/>
    <w:rsid w:val="00174C5E"/>
    <w:rsid w:val="00174D27"/>
    <w:rsid w:val="00174E5C"/>
    <w:rsid w:val="00174FE7"/>
    <w:rsid w:val="001751C2"/>
    <w:rsid w:val="00175767"/>
    <w:rsid w:val="00175F41"/>
    <w:rsid w:val="00175F97"/>
    <w:rsid w:val="0017696C"/>
    <w:rsid w:val="00176A23"/>
    <w:rsid w:val="00176AA3"/>
    <w:rsid w:val="00176CCF"/>
    <w:rsid w:val="00176F17"/>
    <w:rsid w:val="00177195"/>
    <w:rsid w:val="001774A2"/>
    <w:rsid w:val="00177560"/>
    <w:rsid w:val="00177A5B"/>
    <w:rsid w:val="00177D87"/>
    <w:rsid w:val="00177DFF"/>
    <w:rsid w:val="00177E47"/>
    <w:rsid w:val="00177F3F"/>
    <w:rsid w:val="0018006A"/>
    <w:rsid w:val="001800B7"/>
    <w:rsid w:val="001801AD"/>
    <w:rsid w:val="00180315"/>
    <w:rsid w:val="0018036E"/>
    <w:rsid w:val="001803A8"/>
    <w:rsid w:val="001803EC"/>
    <w:rsid w:val="001806E4"/>
    <w:rsid w:val="00180D22"/>
    <w:rsid w:val="00180D3D"/>
    <w:rsid w:val="00180DBD"/>
    <w:rsid w:val="00180E1C"/>
    <w:rsid w:val="00180EFB"/>
    <w:rsid w:val="00180F0D"/>
    <w:rsid w:val="00181042"/>
    <w:rsid w:val="0018147D"/>
    <w:rsid w:val="001815A6"/>
    <w:rsid w:val="00181691"/>
    <w:rsid w:val="001816A6"/>
    <w:rsid w:val="00181ABF"/>
    <w:rsid w:val="00181DA0"/>
    <w:rsid w:val="00181F20"/>
    <w:rsid w:val="0018205B"/>
    <w:rsid w:val="0018213C"/>
    <w:rsid w:val="001821F1"/>
    <w:rsid w:val="0018224E"/>
    <w:rsid w:val="001823C7"/>
    <w:rsid w:val="0018240F"/>
    <w:rsid w:val="00182546"/>
    <w:rsid w:val="00182651"/>
    <w:rsid w:val="00182745"/>
    <w:rsid w:val="001827A9"/>
    <w:rsid w:val="00183055"/>
    <w:rsid w:val="00183067"/>
    <w:rsid w:val="0018313F"/>
    <w:rsid w:val="001831D9"/>
    <w:rsid w:val="0018355B"/>
    <w:rsid w:val="00183624"/>
    <w:rsid w:val="0018385C"/>
    <w:rsid w:val="001839A0"/>
    <w:rsid w:val="001839AC"/>
    <w:rsid w:val="00183F40"/>
    <w:rsid w:val="00184399"/>
    <w:rsid w:val="001844FF"/>
    <w:rsid w:val="0018498A"/>
    <w:rsid w:val="00184A7F"/>
    <w:rsid w:val="00184CAF"/>
    <w:rsid w:val="00184E27"/>
    <w:rsid w:val="00185214"/>
    <w:rsid w:val="0018586D"/>
    <w:rsid w:val="001858AA"/>
    <w:rsid w:val="00185970"/>
    <w:rsid w:val="00185C0B"/>
    <w:rsid w:val="001862B7"/>
    <w:rsid w:val="0018658A"/>
    <w:rsid w:val="00186611"/>
    <w:rsid w:val="0018680E"/>
    <w:rsid w:val="00186B56"/>
    <w:rsid w:val="00186DFD"/>
    <w:rsid w:val="00187103"/>
    <w:rsid w:val="001871B2"/>
    <w:rsid w:val="00187271"/>
    <w:rsid w:val="00187A9D"/>
    <w:rsid w:val="00187D79"/>
    <w:rsid w:val="0019000C"/>
    <w:rsid w:val="00190192"/>
    <w:rsid w:val="00190476"/>
    <w:rsid w:val="001904E3"/>
    <w:rsid w:val="00190537"/>
    <w:rsid w:val="00190572"/>
    <w:rsid w:val="0019059E"/>
    <w:rsid w:val="001909C3"/>
    <w:rsid w:val="001909F6"/>
    <w:rsid w:val="00190AE4"/>
    <w:rsid w:val="00190C99"/>
    <w:rsid w:val="00190D00"/>
    <w:rsid w:val="00191003"/>
    <w:rsid w:val="00191040"/>
    <w:rsid w:val="001910EA"/>
    <w:rsid w:val="00191279"/>
    <w:rsid w:val="0019133D"/>
    <w:rsid w:val="00191426"/>
    <w:rsid w:val="00191509"/>
    <w:rsid w:val="00191674"/>
    <w:rsid w:val="00191D5B"/>
    <w:rsid w:val="001921AF"/>
    <w:rsid w:val="0019226F"/>
    <w:rsid w:val="00192479"/>
    <w:rsid w:val="001928A0"/>
    <w:rsid w:val="001928DD"/>
    <w:rsid w:val="001928E2"/>
    <w:rsid w:val="00192971"/>
    <w:rsid w:val="00192A23"/>
    <w:rsid w:val="00192AAD"/>
    <w:rsid w:val="00192B6D"/>
    <w:rsid w:val="00192E2D"/>
    <w:rsid w:val="00192F15"/>
    <w:rsid w:val="00193208"/>
    <w:rsid w:val="001936FB"/>
    <w:rsid w:val="00193814"/>
    <w:rsid w:val="0019390A"/>
    <w:rsid w:val="00193FFC"/>
    <w:rsid w:val="0019422C"/>
    <w:rsid w:val="0019428A"/>
    <w:rsid w:val="00194295"/>
    <w:rsid w:val="001943FC"/>
    <w:rsid w:val="0019446F"/>
    <w:rsid w:val="001945D4"/>
    <w:rsid w:val="00194723"/>
    <w:rsid w:val="00194766"/>
    <w:rsid w:val="00194919"/>
    <w:rsid w:val="00194FAC"/>
    <w:rsid w:val="0019510C"/>
    <w:rsid w:val="00195278"/>
    <w:rsid w:val="0019554B"/>
    <w:rsid w:val="00195553"/>
    <w:rsid w:val="00195C6B"/>
    <w:rsid w:val="001967A0"/>
    <w:rsid w:val="001967B8"/>
    <w:rsid w:val="00196B41"/>
    <w:rsid w:val="00197151"/>
    <w:rsid w:val="00197508"/>
    <w:rsid w:val="00197543"/>
    <w:rsid w:val="00197613"/>
    <w:rsid w:val="00197713"/>
    <w:rsid w:val="00197923"/>
    <w:rsid w:val="00197945"/>
    <w:rsid w:val="001A00F8"/>
    <w:rsid w:val="001A02FC"/>
    <w:rsid w:val="001A04F8"/>
    <w:rsid w:val="001A05D7"/>
    <w:rsid w:val="001A05F6"/>
    <w:rsid w:val="001A0843"/>
    <w:rsid w:val="001A0CC6"/>
    <w:rsid w:val="001A0EE0"/>
    <w:rsid w:val="001A125C"/>
    <w:rsid w:val="001A1343"/>
    <w:rsid w:val="001A13D9"/>
    <w:rsid w:val="001A1736"/>
    <w:rsid w:val="001A18CA"/>
    <w:rsid w:val="001A1957"/>
    <w:rsid w:val="001A19A2"/>
    <w:rsid w:val="001A1A0B"/>
    <w:rsid w:val="001A1B4F"/>
    <w:rsid w:val="001A1D55"/>
    <w:rsid w:val="001A1D84"/>
    <w:rsid w:val="001A2E97"/>
    <w:rsid w:val="001A309B"/>
    <w:rsid w:val="001A324D"/>
    <w:rsid w:val="001A3362"/>
    <w:rsid w:val="001A33B2"/>
    <w:rsid w:val="001A371B"/>
    <w:rsid w:val="001A381B"/>
    <w:rsid w:val="001A386E"/>
    <w:rsid w:val="001A3B2E"/>
    <w:rsid w:val="001A3B7F"/>
    <w:rsid w:val="001A3D77"/>
    <w:rsid w:val="001A3EE8"/>
    <w:rsid w:val="001A3F06"/>
    <w:rsid w:val="001A3F11"/>
    <w:rsid w:val="001A4027"/>
    <w:rsid w:val="001A41F4"/>
    <w:rsid w:val="001A4220"/>
    <w:rsid w:val="001A42F7"/>
    <w:rsid w:val="001A4564"/>
    <w:rsid w:val="001A473E"/>
    <w:rsid w:val="001A47AD"/>
    <w:rsid w:val="001A48C6"/>
    <w:rsid w:val="001A4B60"/>
    <w:rsid w:val="001A4DBE"/>
    <w:rsid w:val="001A507E"/>
    <w:rsid w:val="001A516D"/>
    <w:rsid w:val="001A5448"/>
    <w:rsid w:val="001A571C"/>
    <w:rsid w:val="001A57DD"/>
    <w:rsid w:val="001A59D3"/>
    <w:rsid w:val="001A5BFF"/>
    <w:rsid w:val="001A5CC2"/>
    <w:rsid w:val="001A5DA7"/>
    <w:rsid w:val="001A5E91"/>
    <w:rsid w:val="001A6032"/>
    <w:rsid w:val="001A6222"/>
    <w:rsid w:val="001A6229"/>
    <w:rsid w:val="001A6455"/>
    <w:rsid w:val="001A645F"/>
    <w:rsid w:val="001A69BF"/>
    <w:rsid w:val="001A6A94"/>
    <w:rsid w:val="001A6C30"/>
    <w:rsid w:val="001A7254"/>
    <w:rsid w:val="001A73A4"/>
    <w:rsid w:val="001A74AA"/>
    <w:rsid w:val="001A7DFA"/>
    <w:rsid w:val="001A7EA9"/>
    <w:rsid w:val="001B0823"/>
    <w:rsid w:val="001B085D"/>
    <w:rsid w:val="001B0D3E"/>
    <w:rsid w:val="001B0D44"/>
    <w:rsid w:val="001B0DEF"/>
    <w:rsid w:val="001B116A"/>
    <w:rsid w:val="001B145D"/>
    <w:rsid w:val="001B146C"/>
    <w:rsid w:val="001B1477"/>
    <w:rsid w:val="001B164C"/>
    <w:rsid w:val="001B171C"/>
    <w:rsid w:val="001B1952"/>
    <w:rsid w:val="001B1974"/>
    <w:rsid w:val="001B19F0"/>
    <w:rsid w:val="001B1B49"/>
    <w:rsid w:val="001B1D82"/>
    <w:rsid w:val="001B1FD9"/>
    <w:rsid w:val="001B202F"/>
    <w:rsid w:val="001B20B5"/>
    <w:rsid w:val="001B213D"/>
    <w:rsid w:val="001B2190"/>
    <w:rsid w:val="001B278C"/>
    <w:rsid w:val="001B2A6A"/>
    <w:rsid w:val="001B2BFC"/>
    <w:rsid w:val="001B2C42"/>
    <w:rsid w:val="001B2EFE"/>
    <w:rsid w:val="001B342F"/>
    <w:rsid w:val="001B34F7"/>
    <w:rsid w:val="001B351B"/>
    <w:rsid w:val="001B3543"/>
    <w:rsid w:val="001B3758"/>
    <w:rsid w:val="001B3B4B"/>
    <w:rsid w:val="001B3BBB"/>
    <w:rsid w:val="001B3BC2"/>
    <w:rsid w:val="001B3DDD"/>
    <w:rsid w:val="001B3EFA"/>
    <w:rsid w:val="001B41BC"/>
    <w:rsid w:val="001B4844"/>
    <w:rsid w:val="001B4FB5"/>
    <w:rsid w:val="001B51D8"/>
    <w:rsid w:val="001B5209"/>
    <w:rsid w:val="001B53B9"/>
    <w:rsid w:val="001B55A6"/>
    <w:rsid w:val="001B5936"/>
    <w:rsid w:val="001B593C"/>
    <w:rsid w:val="001B5D2B"/>
    <w:rsid w:val="001B5FE0"/>
    <w:rsid w:val="001B6219"/>
    <w:rsid w:val="001B62B6"/>
    <w:rsid w:val="001B6458"/>
    <w:rsid w:val="001B663C"/>
    <w:rsid w:val="001B673B"/>
    <w:rsid w:val="001B686A"/>
    <w:rsid w:val="001B68E3"/>
    <w:rsid w:val="001B6C1C"/>
    <w:rsid w:val="001B6C74"/>
    <w:rsid w:val="001B6E13"/>
    <w:rsid w:val="001B719B"/>
    <w:rsid w:val="001B7282"/>
    <w:rsid w:val="001B7360"/>
    <w:rsid w:val="001B7437"/>
    <w:rsid w:val="001B75EC"/>
    <w:rsid w:val="001B7B3E"/>
    <w:rsid w:val="001B7C95"/>
    <w:rsid w:val="001B7D1F"/>
    <w:rsid w:val="001B7DB7"/>
    <w:rsid w:val="001B7F3F"/>
    <w:rsid w:val="001C01E2"/>
    <w:rsid w:val="001C072E"/>
    <w:rsid w:val="001C0A3A"/>
    <w:rsid w:val="001C0AB9"/>
    <w:rsid w:val="001C0C16"/>
    <w:rsid w:val="001C0F27"/>
    <w:rsid w:val="001C0F49"/>
    <w:rsid w:val="001C14EA"/>
    <w:rsid w:val="001C1D59"/>
    <w:rsid w:val="001C1DF7"/>
    <w:rsid w:val="001C1DFA"/>
    <w:rsid w:val="001C1E21"/>
    <w:rsid w:val="001C1E26"/>
    <w:rsid w:val="001C257A"/>
    <w:rsid w:val="001C25F4"/>
    <w:rsid w:val="001C2739"/>
    <w:rsid w:val="001C2867"/>
    <w:rsid w:val="001C28D9"/>
    <w:rsid w:val="001C2A16"/>
    <w:rsid w:val="001C2A23"/>
    <w:rsid w:val="001C3147"/>
    <w:rsid w:val="001C3508"/>
    <w:rsid w:val="001C369A"/>
    <w:rsid w:val="001C378B"/>
    <w:rsid w:val="001C387F"/>
    <w:rsid w:val="001C3930"/>
    <w:rsid w:val="001C39A4"/>
    <w:rsid w:val="001C3B7C"/>
    <w:rsid w:val="001C3BB4"/>
    <w:rsid w:val="001C3D16"/>
    <w:rsid w:val="001C3ED8"/>
    <w:rsid w:val="001C3F2E"/>
    <w:rsid w:val="001C423C"/>
    <w:rsid w:val="001C45B5"/>
    <w:rsid w:val="001C4638"/>
    <w:rsid w:val="001C496F"/>
    <w:rsid w:val="001C4B0F"/>
    <w:rsid w:val="001C4B11"/>
    <w:rsid w:val="001C4C52"/>
    <w:rsid w:val="001C4D88"/>
    <w:rsid w:val="001C4F0C"/>
    <w:rsid w:val="001C50DD"/>
    <w:rsid w:val="001C5378"/>
    <w:rsid w:val="001C544A"/>
    <w:rsid w:val="001C575D"/>
    <w:rsid w:val="001C57F7"/>
    <w:rsid w:val="001C5AC4"/>
    <w:rsid w:val="001C5C72"/>
    <w:rsid w:val="001C5D2F"/>
    <w:rsid w:val="001C5D32"/>
    <w:rsid w:val="001C5D4A"/>
    <w:rsid w:val="001C5E40"/>
    <w:rsid w:val="001C5E8A"/>
    <w:rsid w:val="001C624C"/>
    <w:rsid w:val="001C63A6"/>
    <w:rsid w:val="001C6410"/>
    <w:rsid w:val="001C650E"/>
    <w:rsid w:val="001C67EB"/>
    <w:rsid w:val="001C6A09"/>
    <w:rsid w:val="001C6BA9"/>
    <w:rsid w:val="001C6BC5"/>
    <w:rsid w:val="001C6CB3"/>
    <w:rsid w:val="001C6CB9"/>
    <w:rsid w:val="001C7075"/>
    <w:rsid w:val="001C7351"/>
    <w:rsid w:val="001C73BA"/>
    <w:rsid w:val="001C7488"/>
    <w:rsid w:val="001C76E0"/>
    <w:rsid w:val="001C78A9"/>
    <w:rsid w:val="001C79F9"/>
    <w:rsid w:val="001C7BCB"/>
    <w:rsid w:val="001C7D10"/>
    <w:rsid w:val="001C7E27"/>
    <w:rsid w:val="001C7E49"/>
    <w:rsid w:val="001C7FCE"/>
    <w:rsid w:val="001D011C"/>
    <w:rsid w:val="001D025E"/>
    <w:rsid w:val="001D0273"/>
    <w:rsid w:val="001D03EE"/>
    <w:rsid w:val="001D05E5"/>
    <w:rsid w:val="001D07E3"/>
    <w:rsid w:val="001D096A"/>
    <w:rsid w:val="001D0A0D"/>
    <w:rsid w:val="001D0B45"/>
    <w:rsid w:val="001D0B5C"/>
    <w:rsid w:val="001D0BE0"/>
    <w:rsid w:val="001D0C15"/>
    <w:rsid w:val="001D0EB5"/>
    <w:rsid w:val="001D0EFD"/>
    <w:rsid w:val="001D12F1"/>
    <w:rsid w:val="001D19F3"/>
    <w:rsid w:val="001D1BCA"/>
    <w:rsid w:val="001D1C2E"/>
    <w:rsid w:val="001D1D4C"/>
    <w:rsid w:val="001D1ED6"/>
    <w:rsid w:val="001D21F4"/>
    <w:rsid w:val="001D22EA"/>
    <w:rsid w:val="001D23D3"/>
    <w:rsid w:val="001D2404"/>
    <w:rsid w:val="001D2722"/>
    <w:rsid w:val="001D2986"/>
    <w:rsid w:val="001D29BD"/>
    <w:rsid w:val="001D2A26"/>
    <w:rsid w:val="001D2A6E"/>
    <w:rsid w:val="001D2C54"/>
    <w:rsid w:val="001D2D0E"/>
    <w:rsid w:val="001D2D74"/>
    <w:rsid w:val="001D2F27"/>
    <w:rsid w:val="001D2F2F"/>
    <w:rsid w:val="001D31D4"/>
    <w:rsid w:val="001D37B0"/>
    <w:rsid w:val="001D3A0A"/>
    <w:rsid w:val="001D4137"/>
    <w:rsid w:val="001D420C"/>
    <w:rsid w:val="001D492B"/>
    <w:rsid w:val="001D4B56"/>
    <w:rsid w:val="001D4D2B"/>
    <w:rsid w:val="001D4D95"/>
    <w:rsid w:val="001D4E44"/>
    <w:rsid w:val="001D50AB"/>
    <w:rsid w:val="001D5159"/>
    <w:rsid w:val="001D525B"/>
    <w:rsid w:val="001D54B0"/>
    <w:rsid w:val="001D5866"/>
    <w:rsid w:val="001D599F"/>
    <w:rsid w:val="001D5B61"/>
    <w:rsid w:val="001D5C13"/>
    <w:rsid w:val="001D5CDA"/>
    <w:rsid w:val="001D60CD"/>
    <w:rsid w:val="001D636A"/>
    <w:rsid w:val="001D63EC"/>
    <w:rsid w:val="001D6996"/>
    <w:rsid w:val="001D6C9F"/>
    <w:rsid w:val="001D6DF1"/>
    <w:rsid w:val="001D6F0F"/>
    <w:rsid w:val="001D71DB"/>
    <w:rsid w:val="001D730F"/>
    <w:rsid w:val="001D74E6"/>
    <w:rsid w:val="001D7755"/>
    <w:rsid w:val="001D78EA"/>
    <w:rsid w:val="001D7A86"/>
    <w:rsid w:val="001D7BAD"/>
    <w:rsid w:val="001D7CE7"/>
    <w:rsid w:val="001D7F12"/>
    <w:rsid w:val="001E00A2"/>
    <w:rsid w:val="001E02FF"/>
    <w:rsid w:val="001E09D4"/>
    <w:rsid w:val="001E09E6"/>
    <w:rsid w:val="001E0C52"/>
    <w:rsid w:val="001E0D58"/>
    <w:rsid w:val="001E10C2"/>
    <w:rsid w:val="001E11F8"/>
    <w:rsid w:val="001E1204"/>
    <w:rsid w:val="001E1AC9"/>
    <w:rsid w:val="001E1C1B"/>
    <w:rsid w:val="001E1E3A"/>
    <w:rsid w:val="001E1EEE"/>
    <w:rsid w:val="001E1F2A"/>
    <w:rsid w:val="001E2436"/>
    <w:rsid w:val="001E2481"/>
    <w:rsid w:val="001E2AE0"/>
    <w:rsid w:val="001E2B09"/>
    <w:rsid w:val="001E2B4F"/>
    <w:rsid w:val="001E36E5"/>
    <w:rsid w:val="001E3C05"/>
    <w:rsid w:val="001E3DBD"/>
    <w:rsid w:val="001E4251"/>
    <w:rsid w:val="001E4760"/>
    <w:rsid w:val="001E4B99"/>
    <w:rsid w:val="001E4BD8"/>
    <w:rsid w:val="001E4BE9"/>
    <w:rsid w:val="001E4D8C"/>
    <w:rsid w:val="001E52D4"/>
    <w:rsid w:val="001E57C3"/>
    <w:rsid w:val="001E5CEA"/>
    <w:rsid w:val="001E5E73"/>
    <w:rsid w:val="001E612F"/>
    <w:rsid w:val="001E6446"/>
    <w:rsid w:val="001E65BC"/>
    <w:rsid w:val="001E69A2"/>
    <w:rsid w:val="001E6BE5"/>
    <w:rsid w:val="001E6CBA"/>
    <w:rsid w:val="001E6CC6"/>
    <w:rsid w:val="001E6CD3"/>
    <w:rsid w:val="001E6E0A"/>
    <w:rsid w:val="001E6E8B"/>
    <w:rsid w:val="001E70B5"/>
    <w:rsid w:val="001E7138"/>
    <w:rsid w:val="001E7320"/>
    <w:rsid w:val="001E7416"/>
    <w:rsid w:val="001E7447"/>
    <w:rsid w:val="001E74C8"/>
    <w:rsid w:val="001E775A"/>
    <w:rsid w:val="001E7939"/>
    <w:rsid w:val="001E7A42"/>
    <w:rsid w:val="001E7C70"/>
    <w:rsid w:val="001E7EAE"/>
    <w:rsid w:val="001F0119"/>
    <w:rsid w:val="001F0CE4"/>
    <w:rsid w:val="001F0D5B"/>
    <w:rsid w:val="001F0E11"/>
    <w:rsid w:val="001F0EC0"/>
    <w:rsid w:val="001F0ECC"/>
    <w:rsid w:val="001F112A"/>
    <w:rsid w:val="001F119C"/>
    <w:rsid w:val="001F1EF5"/>
    <w:rsid w:val="001F212C"/>
    <w:rsid w:val="001F220F"/>
    <w:rsid w:val="001F2507"/>
    <w:rsid w:val="001F26E7"/>
    <w:rsid w:val="001F293D"/>
    <w:rsid w:val="001F29B3"/>
    <w:rsid w:val="001F30B4"/>
    <w:rsid w:val="001F3499"/>
    <w:rsid w:val="001F394D"/>
    <w:rsid w:val="001F3CB2"/>
    <w:rsid w:val="001F3E6A"/>
    <w:rsid w:val="001F3E92"/>
    <w:rsid w:val="001F40B5"/>
    <w:rsid w:val="001F4269"/>
    <w:rsid w:val="001F440B"/>
    <w:rsid w:val="001F44D8"/>
    <w:rsid w:val="001F487A"/>
    <w:rsid w:val="001F496F"/>
    <w:rsid w:val="001F4B21"/>
    <w:rsid w:val="001F4D83"/>
    <w:rsid w:val="001F4EC9"/>
    <w:rsid w:val="001F50ED"/>
    <w:rsid w:val="001F511F"/>
    <w:rsid w:val="001F531A"/>
    <w:rsid w:val="001F5476"/>
    <w:rsid w:val="001F54DC"/>
    <w:rsid w:val="001F55FA"/>
    <w:rsid w:val="001F560B"/>
    <w:rsid w:val="001F5632"/>
    <w:rsid w:val="001F5675"/>
    <w:rsid w:val="001F571D"/>
    <w:rsid w:val="001F57E1"/>
    <w:rsid w:val="001F5809"/>
    <w:rsid w:val="001F5889"/>
    <w:rsid w:val="001F5B52"/>
    <w:rsid w:val="001F5D63"/>
    <w:rsid w:val="001F5ED0"/>
    <w:rsid w:val="001F5F3B"/>
    <w:rsid w:val="001F6075"/>
    <w:rsid w:val="001F60A8"/>
    <w:rsid w:val="001F6219"/>
    <w:rsid w:val="001F62BD"/>
    <w:rsid w:val="001F636F"/>
    <w:rsid w:val="001F65A8"/>
    <w:rsid w:val="001F6891"/>
    <w:rsid w:val="001F6A97"/>
    <w:rsid w:val="001F6B08"/>
    <w:rsid w:val="001F6C8A"/>
    <w:rsid w:val="001F6CC1"/>
    <w:rsid w:val="001F6F3C"/>
    <w:rsid w:val="001F6FC6"/>
    <w:rsid w:val="001F7352"/>
    <w:rsid w:val="001F7945"/>
    <w:rsid w:val="001F7B02"/>
    <w:rsid w:val="001F7CE3"/>
    <w:rsid w:val="001F7D36"/>
    <w:rsid w:val="001F7EBC"/>
    <w:rsid w:val="0020024B"/>
    <w:rsid w:val="00200D02"/>
    <w:rsid w:val="00200E2F"/>
    <w:rsid w:val="002010B6"/>
    <w:rsid w:val="0020119B"/>
    <w:rsid w:val="002012A9"/>
    <w:rsid w:val="00201541"/>
    <w:rsid w:val="00201657"/>
    <w:rsid w:val="0020167B"/>
    <w:rsid w:val="002016AE"/>
    <w:rsid w:val="00201790"/>
    <w:rsid w:val="002018E1"/>
    <w:rsid w:val="00201955"/>
    <w:rsid w:val="00201A7B"/>
    <w:rsid w:val="00201AA2"/>
    <w:rsid w:val="00201B84"/>
    <w:rsid w:val="00201BD9"/>
    <w:rsid w:val="00201D1D"/>
    <w:rsid w:val="00201FC1"/>
    <w:rsid w:val="00202151"/>
    <w:rsid w:val="0020219C"/>
    <w:rsid w:val="002021E0"/>
    <w:rsid w:val="002022D6"/>
    <w:rsid w:val="0020234E"/>
    <w:rsid w:val="0020285E"/>
    <w:rsid w:val="0020287B"/>
    <w:rsid w:val="0020296D"/>
    <w:rsid w:val="00202C33"/>
    <w:rsid w:val="002033A3"/>
    <w:rsid w:val="0020381E"/>
    <w:rsid w:val="002038FC"/>
    <w:rsid w:val="00203A52"/>
    <w:rsid w:val="00203C21"/>
    <w:rsid w:val="00203EF6"/>
    <w:rsid w:val="00203F8E"/>
    <w:rsid w:val="0020434D"/>
    <w:rsid w:val="00204590"/>
    <w:rsid w:val="00204592"/>
    <w:rsid w:val="0020471D"/>
    <w:rsid w:val="00204957"/>
    <w:rsid w:val="00204B5E"/>
    <w:rsid w:val="00204CF3"/>
    <w:rsid w:val="00205164"/>
    <w:rsid w:val="0020529B"/>
    <w:rsid w:val="0020533E"/>
    <w:rsid w:val="00205848"/>
    <w:rsid w:val="0020584F"/>
    <w:rsid w:val="00205AFE"/>
    <w:rsid w:val="00205BB5"/>
    <w:rsid w:val="00205E3E"/>
    <w:rsid w:val="00206031"/>
    <w:rsid w:val="00206185"/>
    <w:rsid w:val="00206218"/>
    <w:rsid w:val="002068B0"/>
    <w:rsid w:val="00206F25"/>
    <w:rsid w:val="00207963"/>
    <w:rsid w:val="002079CA"/>
    <w:rsid w:val="00207AA2"/>
    <w:rsid w:val="00207B9A"/>
    <w:rsid w:val="00207CE0"/>
    <w:rsid w:val="00207DD6"/>
    <w:rsid w:val="00207E48"/>
    <w:rsid w:val="00207F48"/>
    <w:rsid w:val="00207F75"/>
    <w:rsid w:val="00207FA7"/>
    <w:rsid w:val="0021005B"/>
    <w:rsid w:val="002100EB"/>
    <w:rsid w:val="002102AA"/>
    <w:rsid w:val="0021040D"/>
    <w:rsid w:val="002104E6"/>
    <w:rsid w:val="00210583"/>
    <w:rsid w:val="002106FD"/>
    <w:rsid w:val="00210BF6"/>
    <w:rsid w:val="00210CBC"/>
    <w:rsid w:val="00210F3D"/>
    <w:rsid w:val="00210F87"/>
    <w:rsid w:val="00211305"/>
    <w:rsid w:val="00211749"/>
    <w:rsid w:val="00212148"/>
    <w:rsid w:val="00212180"/>
    <w:rsid w:val="00212403"/>
    <w:rsid w:val="002127A7"/>
    <w:rsid w:val="002129BC"/>
    <w:rsid w:val="00212E63"/>
    <w:rsid w:val="00212F3D"/>
    <w:rsid w:val="00213277"/>
    <w:rsid w:val="002133CF"/>
    <w:rsid w:val="0021353F"/>
    <w:rsid w:val="00213654"/>
    <w:rsid w:val="00213826"/>
    <w:rsid w:val="00213B51"/>
    <w:rsid w:val="00213D53"/>
    <w:rsid w:val="00213D9B"/>
    <w:rsid w:val="00213EE8"/>
    <w:rsid w:val="00213FBB"/>
    <w:rsid w:val="00214136"/>
    <w:rsid w:val="002142B6"/>
    <w:rsid w:val="002143D4"/>
    <w:rsid w:val="0021440B"/>
    <w:rsid w:val="0021444D"/>
    <w:rsid w:val="002150D4"/>
    <w:rsid w:val="00215164"/>
    <w:rsid w:val="0021548A"/>
    <w:rsid w:val="00215565"/>
    <w:rsid w:val="0021562F"/>
    <w:rsid w:val="00215662"/>
    <w:rsid w:val="00215663"/>
    <w:rsid w:val="00215D0C"/>
    <w:rsid w:val="00215DF0"/>
    <w:rsid w:val="00215E84"/>
    <w:rsid w:val="00215F4F"/>
    <w:rsid w:val="00216019"/>
    <w:rsid w:val="002161BB"/>
    <w:rsid w:val="002161DC"/>
    <w:rsid w:val="00216339"/>
    <w:rsid w:val="0021636D"/>
    <w:rsid w:val="002164E8"/>
    <w:rsid w:val="00216602"/>
    <w:rsid w:val="0021679E"/>
    <w:rsid w:val="0021690E"/>
    <w:rsid w:val="00216914"/>
    <w:rsid w:val="00216BE4"/>
    <w:rsid w:val="00216CA1"/>
    <w:rsid w:val="00216E64"/>
    <w:rsid w:val="00216E82"/>
    <w:rsid w:val="0021703F"/>
    <w:rsid w:val="0021726F"/>
    <w:rsid w:val="00217790"/>
    <w:rsid w:val="0021798D"/>
    <w:rsid w:val="00217A18"/>
    <w:rsid w:val="00217CCC"/>
    <w:rsid w:val="00217EBA"/>
    <w:rsid w:val="002200E9"/>
    <w:rsid w:val="002203D9"/>
    <w:rsid w:val="00220487"/>
    <w:rsid w:val="002204D6"/>
    <w:rsid w:val="002204EB"/>
    <w:rsid w:val="0022062A"/>
    <w:rsid w:val="002209DF"/>
    <w:rsid w:val="00220B42"/>
    <w:rsid w:val="002211CA"/>
    <w:rsid w:val="00221470"/>
    <w:rsid w:val="002214AC"/>
    <w:rsid w:val="00221629"/>
    <w:rsid w:val="002216D2"/>
    <w:rsid w:val="0022194B"/>
    <w:rsid w:val="00221AAB"/>
    <w:rsid w:val="00221E03"/>
    <w:rsid w:val="00221E75"/>
    <w:rsid w:val="002220CC"/>
    <w:rsid w:val="00222135"/>
    <w:rsid w:val="00222401"/>
    <w:rsid w:val="002224A9"/>
    <w:rsid w:val="00222E28"/>
    <w:rsid w:val="00223197"/>
    <w:rsid w:val="0022362C"/>
    <w:rsid w:val="00223638"/>
    <w:rsid w:val="00223674"/>
    <w:rsid w:val="002236C4"/>
    <w:rsid w:val="00223731"/>
    <w:rsid w:val="00223A9F"/>
    <w:rsid w:val="00223C1D"/>
    <w:rsid w:val="00223C4B"/>
    <w:rsid w:val="00223CD6"/>
    <w:rsid w:val="00223D7A"/>
    <w:rsid w:val="00223E49"/>
    <w:rsid w:val="00223E7F"/>
    <w:rsid w:val="002240B8"/>
    <w:rsid w:val="00224149"/>
    <w:rsid w:val="002242F3"/>
    <w:rsid w:val="00224491"/>
    <w:rsid w:val="00224585"/>
    <w:rsid w:val="0022466C"/>
    <w:rsid w:val="002246AD"/>
    <w:rsid w:val="0022498F"/>
    <w:rsid w:val="002249C0"/>
    <w:rsid w:val="00224A4D"/>
    <w:rsid w:val="00224CAA"/>
    <w:rsid w:val="00224CE5"/>
    <w:rsid w:val="00224E03"/>
    <w:rsid w:val="00224E25"/>
    <w:rsid w:val="00225493"/>
    <w:rsid w:val="002255B8"/>
    <w:rsid w:val="002255FA"/>
    <w:rsid w:val="0022659A"/>
    <w:rsid w:val="00226642"/>
    <w:rsid w:val="00226A55"/>
    <w:rsid w:val="00227091"/>
    <w:rsid w:val="0022719E"/>
    <w:rsid w:val="002272C2"/>
    <w:rsid w:val="0022783B"/>
    <w:rsid w:val="00227931"/>
    <w:rsid w:val="002279D0"/>
    <w:rsid w:val="00230302"/>
    <w:rsid w:val="00230363"/>
    <w:rsid w:val="002305A6"/>
    <w:rsid w:val="00230843"/>
    <w:rsid w:val="00230862"/>
    <w:rsid w:val="00230B85"/>
    <w:rsid w:val="00230C9F"/>
    <w:rsid w:val="0023108C"/>
    <w:rsid w:val="0023112D"/>
    <w:rsid w:val="002314CA"/>
    <w:rsid w:val="0023164A"/>
    <w:rsid w:val="002318F9"/>
    <w:rsid w:val="00231B97"/>
    <w:rsid w:val="00232264"/>
    <w:rsid w:val="002323C8"/>
    <w:rsid w:val="0023242D"/>
    <w:rsid w:val="002324A0"/>
    <w:rsid w:val="0023278A"/>
    <w:rsid w:val="00232986"/>
    <w:rsid w:val="00232A21"/>
    <w:rsid w:val="00232A83"/>
    <w:rsid w:val="00232AD9"/>
    <w:rsid w:val="00232D47"/>
    <w:rsid w:val="00232DB3"/>
    <w:rsid w:val="002336A0"/>
    <w:rsid w:val="002336C7"/>
    <w:rsid w:val="00233B17"/>
    <w:rsid w:val="00233BDD"/>
    <w:rsid w:val="00233C76"/>
    <w:rsid w:val="00233D76"/>
    <w:rsid w:val="00233DC7"/>
    <w:rsid w:val="00233ED1"/>
    <w:rsid w:val="002342E9"/>
    <w:rsid w:val="00234352"/>
    <w:rsid w:val="002349BA"/>
    <w:rsid w:val="002349E2"/>
    <w:rsid w:val="00235035"/>
    <w:rsid w:val="0023517E"/>
    <w:rsid w:val="002351E6"/>
    <w:rsid w:val="002355A1"/>
    <w:rsid w:val="002355E3"/>
    <w:rsid w:val="00235659"/>
    <w:rsid w:val="00235898"/>
    <w:rsid w:val="00235C4C"/>
    <w:rsid w:val="00235D61"/>
    <w:rsid w:val="00235F35"/>
    <w:rsid w:val="002360C7"/>
    <w:rsid w:val="002362B8"/>
    <w:rsid w:val="002365A5"/>
    <w:rsid w:val="00236703"/>
    <w:rsid w:val="0023673A"/>
    <w:rsid w:val="00236915"/>
    <w:rsid w:val="002369D8"/>
    <w:rsid w:val="00236BCE"/>
    <w:rsid w:val="00236D73"/>
    <w:rsid w:val="00237075"/>
    <w:rsid w:val="0023713E"/>
    <w:rsid w:val="0023732C"/>
    <w:rsid w:val="00237558"/>
    <w:rsid w:val="002375AF"/>
    <w:rsid w:val="002376A2"/>
    <w:rsid w:val="002379B4"/>
    <w:rsid w:val="00237AD2"/>
    <w:rsid w:val="00240029"/>
    <w:rsid w:val="00240681"/>
    <w:rsid w:val="0024098A"/>
    <w:rsid w:val="00240B09"/>
    <w:rsid w:val="00240B94"/>
    <w:rsid w:val="00240CA6"/>
    <w:rsid w:val="00240CA7"/>
    <w:rsid w:val="00240DE2"/>
    <w:rsid w:val="00240E6F"/>
    <w:rsid w:val="00240EB1"/>
    <w:rsid w:val="0024145C"/>
    <w:rsid w:val="0024174E"/>
    <w:rsid w:val="00241780"/>
    <w:rsid w:val="002417C8"/>
    <w:rsid w:val="00241815"/>
    <w:rsid w:val="00241940"/>
    <w:rsid w:val="00241984"/>
    <w:rsid w:val="00241AB3"/>
    <w:rsid w:val="00241EF8"/>
    <w:rsid w:val="00242069"/>
    <w:rsid w:val="00242169"/>
    <w:rsid w:val="002422B5"/>
    <w:rsid w:val="0024244E"/>
    <w:rsid w:val="002425EA"/>
    <w:rsid w:val="00242A1D"/>
    <w:rsid w:val="00242C34"/>
    <w:rsid w:val="00242C5F"/>
    <w:rsid w:val="002430B8"/>
    <w:rsid w:val="002430C6"/>
    <w:rsid w:val="00243204"/>
    <w:rsid w:val="00243234"/>
    <w:rsid w:val="0024326C"/>
    <w:rsid w:val="0024343F"/>
    <w:rsid w:val="00243442"/>
    <w:rsid w:val="0024351E"/>
    <w:rsid w:val="0024367D"/>
    <w:rsid w:val="002437F7"/>
    <w:rsid w:val="00243AE4"/>
    <w:rsid w:val="00244281"/>
    <w:rsid w:val="002444BF"/>
    <w:rsid w:val="002445AA"/>
    <w:rsid w:val="00244692"/>
    <w:rsid w:val="00244E6F"/>
    <w:rsid w:val="00244F45"/>
    <w:rsid w:val="0024509F"/>
    <w:rsid w:val="00245614"/>
    <w:rsid w:val="00245AF9"/>
    <w:rsid w:val="002462D1"/>
    <w:rsid w:val="00246536"/>
    <w:rsid w:val="002465BD"/>
    <w:rsid w:val="002467C5"/>
    <w:rsid w:val="00246B87"/>
    <w:rsid w:val="00246CA6"/>
    <w:rsid w:val="00246CF8"/>
    <w:rsid w:val="00246D5F"/>
    <w:rsid w:val="002472A7"/>
    <w:rsid w:val="0024758E"/>
    <w:rsid w:val="002475DA"/>
    <w:rsid w:val="00247779"/>
    <w:rsid w:val="00247C4C"/>
    <w:rsid w:val="00247FB6"/>
    <w:rsid w:val="002500C9"/>
    <w:rsid w:val="0025030A"/>
    <w:rsid w:val="00250555"/>
    <w:rsid w:val="002508F9"/>
    <w:rsid w:val="00250912"/>
    <w:rsid w:val="00250960"/>
    <w:rsid w:val="0025099D"/>
    <w:rsid w:val="00250D36"/>
    <w:rsid w:val="00250FA3"/>
    <w:rsid w:val="002512A1"/>
    <w:rsid w:val="0025166C"/>
    <w:rsid w:val="002516E1"/>
    <w:rsid w:val="002518AF"/>
    <w:rsid w:val="00251D6D"/>
    <w:rsid w:val="00251DED"/>
    <w:rsid w:val="00251F89"/>
    <w:rsid w:val="00252115"/>
    <w:rsid w:val="00252128"/>
    <w:rsid w:val="00252162"/>
    <w:rsid w:val="00252422"/>
    <w:rsid w:val="0025246C"/>
    <w:rsid w:val="002524C4"/>
    <w:rsid w:val="0025253B"/>
    <w:rsid w:val="00252771"/>
    <w:rsid w:val="00252775"/>
    <w:rsid w:val="002527A6"/>
    <w:rsid w:val="002527EE"/>
    <w:rsid w:val="00252A06"/>
    <w:rsid w:val="00252B83"/>
    <w:rsid w:val="00252FF8"/>
    <w:rsid w:val="002530C9"/>
    <w:rsid w:val="00253260"/>
    <w:rsid w:val="002532E7"/>
    <w:rsid w:val="0025335D"/>
    <w:rsid w:val="0025344B"/>
    <w:rsid w:val="0025349F"/>
    <w:rsid w:val="002534E7"/>
    <w:rsid w:val="00253544"/>
    <w:rsid w:val="0025377A"/>
    <w:rsid w:val="002537EB"/>
    <w:rsid w:val="00253904"/>
    <w:rsid w:val="0025399C"/>
    <w:rsid w:val="00253AB8"/>
    <w:rsid w:val="00253C96"/>
    <w:rsid w:val="00253F8F"/>
    <w:rsid w:val="00254448"/>
    <w:rsid w:val="00254514"/>
    <w:rsid w:val="00254614"/>
    <w:rsid w:val="002547CD"/>
    <w:rsid w:val="0025483C"/>
    <w:rsid w:val="00254CDC"/>
    <w:rsid w:val="00255488"/>
    <w:rsid w:val="00255498"/>
    <w:rsid w:val="00255770"/>
    <w:rsid w:val="00255A36"/>
    <w:rsid w:val="00255D33"/>
    <w:rsid w:val="00255F70"/>
    <w:rsid w:val="002561EA"/>
    <w:rsid w:val="00256382"/>
    <w:rsid w:val="00256422"/>
    <w:rsid w:val="002564DA"/>
    <w:rsid w:val="002564E0"/>
    <w:rsid w:val="002566BE"/>
    <w:rsid w:val="002568EB"/>
    <w:rsid w:val="00256953"/>
    <w:rsid w:val="00256AFA"/>
    <w:rsid w:val="00256AFF"/>
    <w:rsid w:val="00256D3E"/>
    <w:rsid w:val="00256E95"/>
    <w:rsid w:val="00257111"/>
    <w:rsid w:val="002576FC"/>
    <w:rsid w:val="00257943"/>
    <w:rsid w:val="00257AB6"/>
    <w:rsid w:val="00257E10"/>
    <w:rsid w:val="00257E26"/>
    <w:rsid w:val="002600D8"/>
    <w:rsid w:val="00260107"/>
    <w:rsid w:val="00260800"/>
    <w:rsid w:val="002609FF"/>
    <w:rsid w:val="00260AB7"/>
    <w:rsid w:val="00260EDF"/>
    <w:rsid w:val="0026102F"/>
    <w:rsid w:val="0026105A"/>
    <w:rsid w:val="002611D8"/>
    <w:rsid w:val="0026124D"/>
    <w:rsid w:val="00261813"/>
    <w:rsid w:val="00261871"/>
    <w:rsid w:val="00261BFE"/>
    <w:rsid w:val="00261E7A"/>
    <w:rsid w:val="00261EC3"/>
    <w:rsid w:val="0026208D"/>
    <w:rsid w:val="0026209B"/>
    <w:rsid w:val="00262106"/>
    <w:rsid w:val="0026227E"/>
    <w:rsid w:val="0026253D"/>
    <w:rsid w:val="0026263F"/>
    <w:rsid w:val="002628B1"/>
    <w:rsid w:val="002629CC"/>
    <w:rsid w:val="002629CD"/>
    <w:rsid w:val="00262A1A"/>
    <w:rsid w:val="00262AF8"/>
    <w:rsid w:val="00262BE7"/>
    <w:rsid w:val="00262DA6"/>
    <w:rsid w:val="002630FB"/>
    <w:rsid w:val="0026386D"/>
    <w:rsid w:val="002638DC"/>
    <w:rsid w:val="002638E5"/>
    <w:rsid w:val="00263B27"/>
    <w:rsid w:val="00263C6C"/>
    <w:rsid w:val="00263C97"/>
    <w:rsid w:val="00263D49"/>
    <w:rsid w:val="002643BE"/>
    <w:rsid w:val="00264474"/>
    <w:rsid w:val="00264748"/>
    <w:rsid w:val="00264AB6"/>
    <w:rsid w:val="00265720"/>
    <w:rsid w:val="00265746"/>
    <w:rsid w:val="0026576D"/>
    <w:rsid w:val="0026596B"/>
    <w:rsid w:val="00265AC4"/>
    <w:rsid w:val="00265BFB"/>
    <w:rsid w:val="00265F07"/>
    <w:rsid w:val="00266124"/>
    <w:rsid w:val="002661B7"/>
    <w:rsid w:val="00266335"/>
    <w:rsid w:val="0026650C"/>
    <w:rsid w:val="002667F6"/>
    <w:rsid w:val="002668A9"/>
    <w:rsid w:val="00266BB3"/>
    <w:rsid w:val="00266DA3"/>
    <w:rsid w:val="002672BA"/>
    <w:rsid w:val="00267420"/>
    <w:rsid w:val="002675F0"/>
    <w:rsid w:val="00267948"/>
    <w:rsid w:val="002700AD"/>
    <w:rsid w:val="002700BD"/>
    <w:rsid w:val="00270416"/>
    <w:rsid w:val="00270437"/>
    <w:rsid w:val="0027061F"/>
    <w:rsid w:val="00270781"/>
    <w:rsid w:val="00270AD0"/>
    <w:rsid w:val="00270B19"/>
    <w:rsid w:val="00270CE6"/>
    <w:rsid w:val="00270E97"/>
    <w:rsid w:val="00270FB4"/>
    <w:rsid w:val="0027113F"/>
    <w:rsid w:val="0027114C"/>
    <w:rsid w:val="002712AF"/>
    <w:rsid w:val="00271301"/>
    <w:rsid w:val="0027176E"/>
    <w:rsid w:val="00271FBA"/>
    <w:rsid w:val="0027241E"/>
    <w:rsid w:val="0027250B"/>
    <w:rsid w:val="00272C9E"/>
    <w:rsid w:val="00272F95"/>
    <w:rsid w:val="00273312"/>
    <w:rsid w:val="0027352E"/>
    <w:rsid w:val="0027354A"/>
    <w:rsid w:val="00273826"/>
    <w:rsid w:val="002738FC"/>
    <w:rsid w:val="00273A72"/>
    <w:rsid w:val="00273B1C"/>
    <w:rsid w:val="00273BDE"/>
    <w:rsid w:val="00273C8F"/>
    <w:rsid w:val="00273E5A"/>
    <w:rsid w:val="00274022"/>
    <w:rsid w:val="002742EB"/>
    <w:rsid w:val="00274310"/>
    <w:rsid w:val="00274644"/>
    <w:rsid w:val="002746A6"/>
    <w:rsid w:val="00274851"/>
    <w:rsid w:val="00274906"/>
    <w:rsid w:val="00274958"/>
    <w:rsid w:val="002749A6"/>
    <w:rsid w:val="00274A12"/>
    <w:rsid w:val="00274AF9"/>
    <w:rsid w:val="00274AFB"/>
    <w:rsid w:val="00274CE6"/>
    <w:rsid w:val="00274DA9"/>
    <w:rsid w:val="00274FBA"/>
    <w:rsid w:val="0027514C"/>
    <w:rsid w:val="00275158"/>
    <w:rsid w:val="0027518B"/>
    <w:rsid w:val="002751C7"/>
    <w:rsid w:val="0027523D"/>
    <w:rsid w:val="0027568A"/>
    <w:rsid w:val="002756C0"/>
    <w:rsid w:val="00275710"/>
    <w:rsid w:val="0027583B"/>
    <w:rsid w:val="00275EC8"/>
    <w:rsid w:val="0027608C"/>
    <w:rsid w:val="002761E0"/>
    <w:rsid w:val="0027646F"/>
    <w:rsid w:val="002766BE"/>
    <w:rsid w:val="002766F8"/>
    <w:rsid w:val="002767F5"/>
    <w:rsid w:val="00276B3C"/>
    <w:rsid w:val="00276BD4"/>
    <w:rsid w:val="00277158"/>
    <w:rsid w:val="00277602"/>
    <w:rsid w:val="002776D7"/>
    <w:rsid w:val="00277B38"/>
    <w:rsid w:val="00277EBE"/>
    <w:rsid w:val="00277F14"/>
    <w:rsid w:val="00277FA3"/>
    <w:rsid w:val="00280350"/>
    <w:rsid w:val="0028044B"/>
    <w:rsid w:val="00280610"/>
    <w:rsid w:val="0028068A"/>
    <w:rsid w:val="00280709"/>
    <w:rsid w:val="0028083F"/>
    <w:rsid w:val="00280A98"/>
    <w:rsid w:val="00280E2E"/>
    <w:rsid w:val="002811B6"/>
    <w:rsid w:val="002811EB"/>
    <w:rsid w:val="002813E7"/>
    <w:rsid w:val="002814EA"/>
    <w:rsid w:val="002816E2"/>
    <w:rsid w:val="00281709"/>
    <w:rsid w:val="00281A92"/>
    <w:rsid w:val="00281C5D"/>
    <w:rsid w:val="00281D45"/>
    <w:rsid w:val="00281E4E"/>
    <w:rsid w:val="00281FA4"/>
    <w:rsid w:val="002823B2"/>
    <w:rsid w:val="0028248D"/>
    <w:rsid w:val="002824A9"/>
    <w:rsid w:val="00282746"/>
    <w:rsid w:val="002827C0"/>
    <w:rsid w:val="002829D6"/>
    <w:rsid w:val="00282A5B"/>
    <w:rsid w:val="00282C5D"/>
    <w:rsid w:val="00282DEA"/>
    <w:rsid w:val="0028304D"/>
    <w:rsid w:val="00283070"/>
    <w:rsid w:val="00283073"/>
    <w:rsid w:val="002830F9"/>
    <w:rsid w:val="0028333B"/>
    <w:rsid w:val="0028338A"/>
    <w:rsid w:val="002837AD"/>
    <w:rsid w:val="002838E6"/>
    <w:rsid w:val="00283ABE"/>
    <w:rsid w:val="00283BB0"/>
    <w:rsid w:val="00283D2B"/>
    <w:rsid w:val="00283EA2"/>
    <w:rsid w:val="00284095"/>
    <w:rsid w:val="00284890"/>
    <w:rsid w:val="00284C94"/>
    <w:rsid w:val="0028520C"/>
    <w:rsid w:val="00285313"/>
    <w:rsid w:val="00285475"/>
    <w:rsid w:val="002858C1"/>
    <w:rsid w:val="00285A18"/>
    <w:rsid w:val="00285A3D"/>
    <w:rsid w:val="00285BEE"/>
    <w:rsid w:val="00285DC1"/>
    <w:rsid w:val="00285F02"/>
    <w:rsid w:val="00285F77"/>
    <w:rsid w:val="0028602C"/>
    <w:rsid w:val="002863B3"/>
    <w:rsid w:val="00286819"/>
    <w:rsid w:val="00286C91"/>
    <w:rsid w:val="00286D34"/>
    <w:rsid w:val="00286F61"/>
    <w:rsid w:val="002874B4"/>
    <w:rsid w:val="002876F3"/>
    <w:rsid w:val="00287964"/>
    <w:rsid w:val="00287969"/>
    <w:rsid w:val="00290162"/>
    <w:rsid w:val="0029040A"/>
    <w:rsid w:val="00290E24"/>
    <w:rsid w:val="00291007"/>
    <w:rsid w:val="002911B1"/>
    <w:rsid w:val="0029142E"/>
    <w:rsid w:val="0029172B"/>
    <w:rsid w:val="0029183C"/>
    <w:rsid w:val="002918B4"/>
    <w:rsid w:val="00291A1D"/>
    <w:rsid w:val="00291A76"/>
    <w:rsid w:val="00291AAF"/>
    <w:rsid w:val="00291AD1"/>
    <w:rsid w:val="00291B24"/>
    <w:rsid w:val="00292245"/>
    <w:rsid w:val="0029228A"/>
    <w:rsid w:val="002922E8"/>
    <w:rsid w:val="0029245E"/>
    <w:rsid w:val="00292843"/>
    <w:rsid w:val="00292B92"/>
    <w:rsid w:val="00292BEB"/>
    <w:rsid w:val="00292F6C"/>
    <w:rsid w:val="00292FB7"/>
    <w:rsid w:val="00292FBA"/>
    <w:rsid w:val="00293012"/>
    <w:rsid w:val="00293026"/>
    <w:rsid w:val="00293495"/>
    <w:rsid w:val="002935E9"/>
    <w:rsid w:val="0029371B"/>
    <w:rsid w:val="00293B6D"/>
    <w:rsid w:val="00293D7F"/>
    <w:rsid w:val="00293DC9"/>
    <w:rsid w:val="00293FA8"/>
    <w:rsid w:val="00294162"/>
    <w:rsid w:val="002942B2"/>
    <w:rsid w:val="00294531"/>
    <w:rsid w:val="00294579"/>
    <w:rsid w:val="00294677"/>
    <w:rsid w:val="00294CDA"/>
    <w:rsid w:val="00294F3F"/>
    <w:rsid w:val="002951B5"/>
    <w:rsid w:val="0029533F"/>
    <w:rsid w:val="00295367"/>
    <w:rsid w:val="002954DC"/>
    <w:rsid w:val="002956EF"/>
    <w:rsid w:val="0029594D"/>
    <w:rsid w:val="002959E2"/>
    <w:rsid w:val="00295CBB"/>
    <w:rsid w:val="00295D37"/>
    <w:rsid w:val="00295E35"/>
    <w:rsid w:val="00295E44"/>
    <w:rsid w:val="00295EAE"/>
    <w:rsid w:val="00296197"/>
    <w:rsid w:val="00296308"/>
    <w:rsid w:val="00296579"/>
    <w:rsid w:val="00296587"/>
    <w:rsid w:val="002966ED"/>
    <w:rsid w:val="00296729"/>
    <w:rsid w:val="00296D55"/>
    <w:rsid w:val="00296FA6"/>
    <w:rsid w:val="00296FE5"/>
    <w:rsid w:val="00297074"/>
    <w:rsid w:val="0029711E"/>
    <w:rsid w:val="0029712F"/>
    <w:rsid w:val="002974D0"/>
    <w:rsid w:val="00297505"/>
    <w:rsid w:val="00297761"/>
    <w:rsid w:val="002978F0"/>
    <w:rsid w:val="002979D4"/>
    <w:rsid w:val="00297B05"/>
    <w:rsid w:val="002A0084"/>
    <w:rsid w:val="002A0383"/>
    <w:rsid w:val="002A03E6"/>
    <w:rsid w:val="002A058C"/>
    <w:rsid w:val="002A06AA"/>
    <w:rsid w:val="002A07C9"/>
    <w:rsid w:val="002A0B1B"/>
    <w:rsid w:val="002A0FDA"/>
    <w:rsid w:val="002A1008"/>
    <w:rsid w:val="002A12E7"/>
    <w:rsid w:val="002A14EC"/>
    <w:rsid w:val="002A171F"/>
    <w:rsid w:val="002A1FB1"/>
    <w:rsid w:val="002A2304"/>
    <w:rsid w:val="002A2328"/>
    <w:rsid w:val="002A2379"/>
    <w:rsid w:val="002A255E"/>
    <w:rsid w:val="002A2713"/>
    <w:rsid w:val="002A27BB"/>
    <w:rsid w:val="002A298F"/>
    <w:rsid w:val="002A2A7F"/>
    <w:rsid w:val="002A2BFB"/>
    <w:rsid w:val="002A2C8F"/>
    <w:rsid w:val="002A2F1E"/>
    <w:rsid w:val="002A31CB"/>
    <w:rsid w:val="002A32F3"/>
    <w:rsid w:val="002A345F"/>
    <w:rsid w:val="002A35DC"/>
    <w:rsid w:val="002A36B4"/>
    <w:rsid w:val="002A36F6"/>
    <w:rsid w:val="002A37F2"/>
    <w:rsid w:val="002A39B2"/>
    <w:rsid w:val="002A3CF6"/>
    <w:rsid w:val="002A3EF5"/>
    <w:rsid w:val="002A4194"/>
    <w:rsid w:val="002A41E0"/>
    <w:rsid w:val="002A43CC"/>
    <w:rsid w:val="002A44C1"/>
    <w:rsid w:val="002A4BAD"/>
    <w:rsid w:val="002A4BD4"/>
    <w:rsid w:val="002A4C51"/>
    <w:rsid w:val="002A4CC9"/>
    <w:rsid w:val="002A4D75"/>
    <w:rsid w:val="002A4DCC"/>
    <w:rsid w:val="002A4FBA"/>
    <w:rsid w:val="002A50AA"/>
    <w:rsid w:val="002A50ED"/>
    <w:rsid w:val="002A52EB"/>
    <w:rsid w:val="002A53BE"/>
    <w:rsid w:val="002A5554"/>
    <w:rsid w:val="002A555C"/>
    <w:rsid w:val="002A564C"/>
    <w:rsid w:val="002A5766"/>
    <w:rsid w:val="002A5914"/>
    <w:rsid w:val="002A5B26"/>
    <w:rsid w:val="002A5D06"/>
    <w:rsid w:val="002A5FE5"/>
    <w:rsid w:val="002A6134"/>
    <w:rsid w:val="002A646D"/>
    <w:rsid w:val="002A666F"/>
    <w:rsid w:val="002A6773"/>
    <w:rsid w:val="002A67C0"/>
    <w:rsid w:val="002A72C5"/>
    <w:rsid w:val="002A797F"/>
    <w:rsid w:val="002A7B04"/>
    <w:rsid w:val="002A7BBE"/>
    <w:rsid w:val="002A7CB3"/>
    <w:rsid w:val="002A7FF5"/>
    <w:rsid w:val="002B000E"/>
    <w:rsid w:val="002B01F0"/>
    <w:rsid w:val="002B0313"/>
    <w:rsid w:val="002B03A5"/>
    <w:rsid w:val="002B0464"/>
    <w:rsid w:val="002B04FF"/>
    <w:rsid w:val="002B0772"/>
    <w:rsid w:val="002B07CE"/>
    <w:rsid w:val="002B089A"/>
    <w:rsid w:val="002B09DD"/>
    <w:rsid w:val="002B0A52"/>
    <w:rsid w:val="002B0B1B"/>
    <w:rsid w:val="002B0B6F"/>
    <w:rsid w:val="002B0D82"/>
    <w:rsid w:val="002B0F1D"/>
    <w:rsid w:val="002B12F5"/>
    <w:rsid w:val="002B13E7"/>
    <w:rsid w:val="002B1454"/>
    <w:rsid w:val="002B1547"/>
    <w:rsid w:val="002B1B0F"/>
    <w:rsid w:val="002B1BBE"/>
    <w:rsid w:val="002B1BD0"/>
    <w:rsid w:val="002B1DBF"/>
    <w:rsid w:val="002B1F33"/>
    <w:rsid w:val="002B1F8C"/>
    <w:rsid w:val="002B23D8"/>
    <w:rsid w:val="002B3054"/>
    <w:rsid w:val="002B30AF"/>
    <w:rsid w:val="002B3467"/>
    <w:rsid w:val="002B3B08"/>
    <w:rsid w:val="002B3CE1"/>
    <w:rsid w:val="002B3D4E"/>
    <w:rsid w:val="002B401F"/>
    <w:rsid w:val="002B404A"/>
    <w:rsid w:val="002B4178"/>
    <w:rsid w:val="002B43FD"/>
    <w:rsid w:val="002B4525"/>
    <w:rsid w:val="002B468D"/>
    <w:rsid w:val="002B4702"/>
    <w:rsid w:val="002B4C20"/>
    <w:rsid w:val="002B4C2C"/>
    <w:rsid w:val="002B4F4D"/>
    <w:rsid w:val="002B4F58"/>
    <w:rsid w:val="002B52D1"/>
    <w:rsid w:val="002B55C1"/>
    <w:rsid w:val="002B5ABB"/>
    <w:rsid w:val="002B5F35"/>
    <w:rsid w:val="002B5F85"/>
    <w:rsid w:val="002B5FA5"/>
    <w:rsid w:val="002B606D"/>
    <w:rsid w:val="002B60FF"/>
    <w:rsid w:val="002B61A4"/>
    <w:rsid w:val="002B6497"/>
    <w:rsid w:val="002B69A6"/>
    <w:rsid w:val="002B6E52"/>
    <w:rsid w:val="002B7006"/>
    <w:rsid w:val="002B768E"/>
    <w:rsid w:val="002B77E2"/>
    <w:rsid w:val="002B7862"/>
    <w:rsid w:val="002B791C"/>
    <w:rsid w:val="002B7C36"/>
    <w:rsid w:val="002B7E08"/>
    <w:rsid w:val="002C0038"/>
    <w:rsid w:val="002C03EF"/>
    <w:rsid w:val="002C05BC"/>
    <w:rsid w:val="002C0967"/>
    <w:rsid w:val="002C0A04"/>
    <w:rsid w:val="002C0B6D"/>
    <w:rsid w:val="002C0F19"/>
    <w:rsid w:val="002C11EB"/>
    <w:rsid w:val="002C12F5"/>
    <w:rsid w:val="002C139D"/>
    <w:rsid w:val="002C153C"/>
    <w:rsid w:val="002C17E2"/>
    <w:rsid w:val="002C1E39"/>
    <w:rsid w:val="002C208B"/>
    <w:rsid w:val="002C2363"/>
    <w:rsid w:val="002C23BB"/>
    <w:rsid w:val="002C25D9"/>
    <w:rsid w:val="002C2955"/>
    <w:rsid w:val="002C2DEB"/>
    <w:rsid w:val="002C31A7"/>
    <w:rsid w:val="002C31AA"/>
    <w:rsid w:val="002C32AD"/>
    <w:rsid w:val="002C345C"/>
    <w:rsid w:val="002C352B"/>
    <w:rsid w:val="002C3650"/>
    <w:rsid w:val="002C3667"/>
    <w:rsid w:val="002C39B5"/>
    <w:rsid w:val="002C3E65"/>
    <w:rsid w:val="002C46F9"/>
    <w:rsid w:val="002C489F"/>
    <w:rsid w:val="002C4D58"/>
    <w:rsid w:val="002C50C7"/>
    <w:rsid w:val="002C51CC"/>
    <w:rsid w:val="002C5303"/>
    <w:rsid w:val="002C5536"/>
    <w:rsid w:val="002C55F0"/>
    <w:rsid w:val="002C5603"/>
    <w:rsid w:val="002C5692"/>
    <w:rsid w:val="002C598F"/>
    <w:rsid w:val="002C5A71"/>
    <w:rsid w:val="002C5CA4"/>
    <w:rsid w:val="002C5DEA"/>
    <w:rsid w:val="002C5EB1"/>
    <w:rsid w:val="002C5ED9"/>
    <w:rsid w:val="002C5FF8"/>
    <w:rsid w:val="002C61BA"/>
    <w:rsid w:val="002C64B3"/>
    <w:rsid w:val="002C6817"/>
    <w:rsid w:val="002C68C9"/>
    <w:rsid w:val="002C692F"/>
    <w:rsid w:val="002C69F7"/>
    <w:rsid w:val="002C6A0F"/>
    <w:rsid w:val="002C6A10"/>
    <w:rsid w:val="002C6B18"/>
    <w:rsid w:val="002C6B45"/>
    <w:rsid w:val="002C6DB1"/>
    <w:rsid w:val="002C6E1C"/>
    <w:rsid w:val="002C6EFF"/>
    <w:rsid w:val="002C6F36"/>
    <w:rsid w:val="002C6F9F"/>
    <w:rsid w:val="002C6FCD"/>
    <w:rsid w:val="002C7081"/>
    <w:rsid w:val="002C712A"/>
    <w:rsid w:val="002C7582"/>
    <w:rsid w:val="002C76B0"/>
    <w:rsid w:val="002C777F"/>
    <w:rsid w:val="002C7AB5"/>
    <w:rsid w:val="002D059E"/>
    <w:rsid w:val="002D0B7A"/>
    <w:rsid w:val="002D0C5E"/>
    <w:rsid w:val="002D0D8C"/>
    <w:rsid w:val="002D0E47"/>
    <w:rsid w:val="002D1055"/>
    <w:rsid w:val="002D1279"/>
    <w:rsid w:val="002D13F0"/>
    <w:rsid w:val="002D1608"/>
    <w:rsid w:val="002D1633"/>
    <w:rsid w:val="002D1768"/>
    <w:rsid w:val="002D1AB0"/>
    <w:rsid w:val="002D1C25"/>
    <w:rsid w:val="002D1E9C"/>
    <w:rsid w:val="002D2544"/>
    <w:rsid w:val="002D29F3"/>
    <w:rsid w:val="002D2C7A"/>
    <w:rsid w:val="002D2E1E"/>
    <w:rsid w:val="002D30A5"/>
    <w:rsid w:val="002D3168"/>
    <w:rsid w:val="002D359C"/>
    <w:rsid w:val="002D3F2D"/>
    <w:rsid w:val="002D4092"/>
    <w:rsid w:val="002D4102"/>
    <w:rsid w:val="002D4162"/>
    <w:rsid w:val="002D4607"/>
    <w:rsid w:val="002D46DA"/>
    <w:rsid w:val="002D46F4"/>
    <w:rsid w:val="002D4A47"/>
    <w:rsid w:val="002D4A62"/>
    <w:rsid w:val="002D4AAE"/>
    <w:rsid w:val="002D4BEA"/>
    <w:rsid w:val="002D5107"/>
    <w:rsid w:val="002D5167"/>
    <w:rsid w:val="002D5396"/>
    <w:rsid w:val="002D55EB"/>
    <w:rsid w:val="002D57EF"/>
    <w:rsid w:val="002D598D"/>
    <w:rsid w:val="002D5B79"/>
    <w:rsid w:val="002D5D0E"/>
    <w:rsid w:val="002D5E35"/>
    <w:rsid w:val="002D5F73"/>
    <w:rsid w:val="002D634A"/>
    <w:rsid w:val="002D6609"/>
    <w:rsid w:val="002D6A7D"/>
    <w:rsid w:val="002D6B96"/>
    <w:rsid w:val="002D6D1C"/>
    <w:rsid w:val="002D6E68"/>
    <w:rsid w:val="002D71E6"/>
    <w:rsid w:val="002D7202"/>
    <w:rsid w:val="002D7375"/>
    <w:rsid w:val="002D758B"/>
    <w:rsid w:val="002D77DB"/>
    <w:rsid w:val="002D78C7"/>
    <w:rsid w:val="002D7B30"/>
    <w:rsid w:val="002D7B50"/>
    <w:rsid w:val="002D7CFF"/>
    <w:rsid w:val="002D7E22"/>
    <w:rsid w:val="002E0239"/>
    <w:rsid w:val="002E0258"/>
    <w:rsid w:val="002E0737"/>
    <w:rsid w:val="002E0CE9"/>
    <w:rsid w:val="002E0DB4"/>
    <w:rsid w:val="002E0E19"/>
    <w:rsid w:val="002E1051"/>
    <w:rsid w:val="002E17CA"/>
    <w:rsid w:val="002E1B6B"/>
    <w:rsid w:val="002E24DF"/>
    <w:rsid w:val="002E25E1"/>
    <w:rsid w:val="002E28C4"/>
    <w:rsid w:val="002E29C5"/>
    <w:rsid w:val="002E2BBD"/>
    <w:rsid w:val="002E2E6C"/>
    <w:rsid w:val="002E3215"/>
    <w:rsid w:val="002E330A"/>
    <w:rsid w:val="002E3446"/>
    <w:rsid w:val="002E3BBC"/>
    <w:rsid w:val="002E3DCA"/>
    <w:rsid w:val="002E3ED0"/>
    <w:rsid w:val="002E3F37"/>
    <w:rsid w:val="002E4375"/>
    <w:rsid w:val="002E442F"/>
    <w:rsid w:val="002E4432"/>
    <w:rsid w:val="002E447B"/>
    <w:rsid w:val="002E448B"/>
    <w:rsid w:val="002E470F"/>
    <w:rsid w:val="002E47C3"/>
    <w:rsid w:val="002E4A28"/>
    <w:rsid w:val="002E4E4F"/>
    <w:rsid w:val="002E4E98"/>
    <w:rsid w:val="002E4EAC"/>
    <w:rsid w:val="002E4F55"/>
    <w:rsid w:val="002E5068"/>
    <w:rsid w:val="002E51C3"/>
    <w:rsid w:val="002E56E7"/>
    <w:rsid w:val="002E57F6"/>
    <w:rsid w:val="002E5A3C"/>
    <w:rsid w:val="002E5A3D"/>
    <w:rsid w:val="002E5D49"/>
    <w:rsid w:val="002E6363"/>
    <w:rsid w:val="002E6505"/>
    <w:rsid w:val="002E672D"/>
    <w:rsid w:val="002E6A1D"/>
    <w:rsid w:val="002E6E50"/>
    <w:rsid w:val="002E6F85"/>
    <w:rsid w:val="002E70C4"/>
    <w:rsid w:val="002E7265"/>
    <w:rsid w:val="002E734C"/>
    <w:rsid w:val="002E7495"/>
    <w:rsid w:val="002E7870"/>
    <w:rsid w:val="002E7B49"/>
    <w:rsid w:val="002E7EEE"/>
    <w:rsid w:val="002F0746"/>
    <w:rsid w:val="002F0B29"/>
    <w:rsid w:val="002F0B2F"/>
    <w:rsid w:val="002F0DD4"/>
    <w:rsid w:val="002F0ECC"/>
    <w:rsid w:val="002F0EEC"/>
    <w:rsid w:val="002F0F76"/>
    <w:rsid w:val="002F1123"/>
    <w:rsid w:val="002F11D0"/>
    <w:rsid w:val="002F138F"/>
    <w:rsid w:val="002F16A1"/>
    <w:rsid w:val="002F194E"/>
    <w:rsid w:val="002F1CA1"/>
    <w:rsid w:val="002F2035"/>
    <w:rsid w:val="002F21E4"/>
    <w:rsid w:val="002F2227"/>
    <w:rsid w:val="002F2250"/>
    <w:rsid w:val="002F231B"/>
    <w:rsid w:val="002F2631"/>
    <w:rsid w:val="002F27DD"/>
    <w:rsid w:val="002F284A"/>
    <w:rsid w:val="002F2854"/>
    <w:rsid w:val="002F28CF"/>
    <w:rsid w:val="002F2C50"/>
    <w:rsid w:val="002F3005"/>
    <w:rsid w:val="002F3176"/>
    <w:rsid w:val="002F34E5"/>
    <w:rsid w:val="002F36DC"/>
    <w:rsid w:val="002F3E0B"/>
    <w:rsid w:val="002F42C8"/>
    <w:rsid w:val="002F43C4"/>
    <w:rsid w:val="002F44D2"/>
    <w:rsid w:val="002F4566"/>
    <w:rsid w:val="002F469F"/>
    <w:rsid w:val="002F4843"/>
    <w:rsid w:val="002F4EA0"/>
    <w:rsid w:val="002F4F7F"/>
    <w:rsid w:val="002F5152"/>
    <w:rsid w:val="002F5321"/>
    <w:rsid w:val="002F57B3"/>
    <w:rsid w:val="002F5DA7"/>
    <w:rsid w:val="002F60F5"/>
    <w:rsid w:val="002F616B"/>
    <w:rsid w:val="002F636B"/>
    <w:rsid w:val="002F6591"/>
    <w:rsid w:val="002F6672"/>
    <w:rsid w:val="002F66EB"/>
    <w:rsid w:val="002F6B98"/>
    <w:rsid w:val="002F6CBB"/>
    <w:rsid w:val="002F6E57"/>
    <w:rsid w:val="002F70CB"/>
    <w:rsid w:val="002F723C"/>
    <w:rsid w:val="002F7267"/>
    <w:rsid w:val="002F7321"/>
    <w:rsid w:val="002F73E8"/>
    <w:rsid w:val="002F7509"/>
    <w:rsid w:val="002F757E"/>
    <w:rsid w:val="002F764D"/>
    <w:rsid w:val="002F778C"/>
    <w:rsid w:val="002F7900"/>
    <w:rsid w:val="002F7ADD"/>
    <w:rsid w:val="002F7B93"/>
    <w:rsid w:val="002F7F89"/>
    <w:rsid w:val="0030026B"/>
    <w:rsid w:val="003002F1"/>
    <w:rsid w:val="00300301"/>
    <w:rsid w:val="003003EB"/>
    <w:rsid w:val="0030092A"/>
    <w:rsid w:val="00300EE3"/>
    <w:rsid w:val="0030100D"/>
    <w:rsid w:val="00301087"/>
    <w:rsid w:val="00301293"/>
    <w:rsid w:val="003012CA"/>
    <w:rsid w:val="00301396"/>
    <w:rsid w:val="003015AC"/>
    <w:rsid w:val="003015B3"/>
    <w:rsid w:val="00301C7A"/>
    <w:rsid w:val="00301D7D"/>
    <w:rsid w:val="003020C8"/>
    <w:rsid w:val="00302272"/>
    <w:rsid w:val="0030233F"/>
    <w:rsid w:val="00302460"/>
    <w:rsid w:val="00302744"/>
    <w:rsid w:val="00302CCD"/>
    <w:rsid w:val="003030C3"/>
    <w:rsid w:val="00303338"/>
    <w:rsid w:val="0030335C"/>
    <w:rsid w:val="003033C0"/>
    <w:rsid w:val="003033CC"/>
    <w:rsid w:val="0030357B"/>
    <w:rsid w:val="00303930"/>
    <w:rsid w:val="003039F0"/>
    <w:rsid w:val="00303AAF"/>
    <w:rsid w:val="00303C0A"/>
    <w:rsid w:val="003043E5"/>
    <w:rsid w:val="003047FE"/>
    <w:rsid w:val="00304A16"/>
    <w:rsid w:val="00304AEB"/>
    <w:rsid w:val="00304EED"/>
    <w:rsid w:val="003050CA"/>
    <w:rsid w:val="003052E1"/>
    <w:rsid w:val="00305372"/>
    <w:rsid w:val="003053AF"/>
    <w:rsid w:val="0030563B"/>
    <w:rsid w:val="0030566A"/>
    <w:rsid w:val="00305744"/>
    <w:rsid w:val="00305893"/>
    <w:rsid w:val="00305939"/>
    <w:rsid w:val="003059FF"/>
    <w:rsid w:val="00305D13"/>
    <w:rsid w:val="00305D4B"/>
    <w:rsid w:val="00305E27"/>
    <w:rsid w:val="00305F03"/>
    <w:rsid w:val="00306038"/>
    <w:rsid w:val="00306342"/>
    <w:rsid w:val="00306499"/>
    <w:rsid w:val="00306617"/>
    <w:rsid w:val="003068A6"/>
    <w:rsid w:val="00306CB8"/>
    <w:rsid w:val="00306D2E"/>
    <w:rsid w:val="00307651"/>
    <w:rsid w:val="0030767D"/>
    <w:rsid w:val="003076BA"/>
    <w:rsid w:val="0030782C"/>
    <w:rsid w:val="003078D3"/>
    <w:rsid w:val="00307BA5"/>
    <w:rsid w:val="00307D2B"/>
    <w:rsid w:val="00307E35"/>
    <w:rsid w:val="0031033D"/>
    <w:rsid w:val="00310554"/>
    <w:rsid w:val="0031058A"/>
    <w:rsid w:val="003105EA"/>
    <w:rsid w:val="0031122E"/>
    <w:rsid w:val="003115BB"/>
    <w:rsid w:val="0031180B"/>
    <w:rsid w:val="00311BC8"/>
    <w:rsid w:val="00311BFA"/>
    <w:rsid w:val="00311D79"/>
    <w:rsid w:val="00311FA4"/>
    <w:rsid w:val="00312183"/>
    <w:rsid w:val="0031221A"/>
    <w:rsid w:val="003122AC"/>
    <w:rsid w:val="003122DA"/>
    <w:rsid w:val="00312857"/>
    <w:rsid w:val="00312F1B"/>
    <w:rsid w:val="003132F3"/>
    <w:rsid w:val="003134C7"/>
    <w:rsid w:val="003134E1"/>
    <w:rsid w:val="00313C79"/>
    <w:rsid w:val="00313CC4"/>
    <w:rsid w:val="00313D7E"/>
    <w:rsid w:val="00313EB4"/>
    <w:rsid w:val="00314123"/>
    <w:rsid w:val="00314154"/>
    <w:rsid w:val="00314192"/>
    <w:rsid w:val="00314236"/>
    <w:rsid w:val="003142DF"/>
    <w:rsid w:val="00314311"/>
    <w:rsid w:val="0031448D"/>
    <w:rsid w:val="003145B1"/>
    <w:rsid w:val="003146CA"/>
    <w:rsid w:val="00314811"/>
    <w:rsid w:val="00314877"/>
    <w:rsid w:val="00314899"/>
    <w:rsid w:val="00314985"/>
    <w:rsid w:val="00314D1F"/>
    <w:rsid w:val="00314DBA"/>
    <w:rsid w:val="00314E75"/>
    <w:rsid w:val="00314ED1"/>
    <w:rsid w:val="0031564A"/>
    <w:rsid w:val="00315A41"/>
    <w:rsid w:val="00316144"/>
    <w:rsid w:val="00316264"/>
    <w:rsid w:val="003162C8"/>
    <w:rsid w:val="003162D4"/>
    <w:rsid w:val="00316314"/>
    <w:rsid w:val="00316338"/>
    <w:rsid w:val="003167E1"/>
    <w:rsid w:val="0031685B"/>
    <w:rsid w:val="00316CCE"/>
    <w:rsid w:val="00317082"/>
    <w:rsid w:val="00317182"/>
    <w:rsid w:val="003171D6"/>
    <w:rsid w:val="00317268"/>
    <w:rsid w:val="003172E5"/>
    <w:rsid w:val="0031757F"/>
    <w:rsid w:val="003175D5"/>
    <w:rsid w:val="00317751"/>
    <w:rsid w:val="003177FD"/>
    <w:rsid w:val="003179DC"/>
    <w:rsid w:val="00317B81"/>
    <w:rsid w:val="00317CF3"/>
    <w:rsid w:val="00317D74"/>
    <w:rsid w:val="00317E58"/>
    <w:rsid w:val="003200DC"/>
    <w:rsid w:val="00320667"/>
    <w:rsid w:val="00320927"/>
    <w:rsid w:val="00320D38"/>
    <w:rsid w:val="00321131"/>
    <w:rsid w:val="003214B2"/>
    <w:rsid w:val="0032164B"/>
    <w:rsid w:val="003219EF"/>
    <w:rsid w:val="00321AD0"/>
    <w:rsid w:val="00321B61"/>
    <w:rsid w:val="00321B7F"/>
    <w:rsid w:val="00321E9A"/>
    <w:rsid w:val="00321EDD"/>
    <w:rsid w:val="00321F81"/>
    <w:rsid w:val="00322176"/>
    <w:rsid w:val="00322179"/>
    <w:rsid w:val="00322190"/>
    <w:rsid w:val="003228AB"/>
    <w:rsid w:val="00322D21"/>
    <w:rsid w:val="00322EC9"/>
    <w:rsid w:val="0032307D"/>
    <w:rsid w:val="00323252"/>
    <w:rsid w:val="0032328A"/>
    <w:rsid w:val="003235CB"/>
    <w:rsid w:val="00323851"/>
    <w:rsid w:val="0032388B"/>
    <w:rsid w:val="00323F80"/>
    <w:rsid w:val="00323F9B"/>
    <w:rsid w:val="00324066"/>
    <w:rsid w:val="00324385"/>
    <w:rsid w:val="00324393"/>
    <w:rsid w:val="003243A4"/>
    <w:rsid w:val="00324595"/>
    <w:rsid w:val="0032486A"/>
    <w:rsid w:val="003249D6"/>
    <w:rsid w:val="00324A33"/>
    <w:rsid w:val="00324B10"/>
    <w:rsid w:val="00324BF5"/>
    <w:rsid w:val="00324EE5"/>
    <w:rsid w:val="00324F1C"/>
    <w:rsid w:val="00324F29"/>
    <w:rsid w:val="00324F9C"/>
    <w:rsid w:val="0032540A"/>
    <w:rsid w:val="003254A6"/>
    <w:rsid w:val="003254A9"/>
    <w:rsid w:val="003256A8"/>
    <w:rsid w:val="00325713"/>
    <w:rsid w:val="00325860"/>
    <w:rsid w:val="00325ADF"/>
    <w:rsid w:val="00325DE8"/>
    <w:rsid w:val="00326125"/>
    <w:rsid w:val="00326175"/>
    <w:rsid w:val="00326241"/>
    <w:rsid w:val="003269DD"/>
    <w:rsid w:val="00326D6D"/>
    <w:rsid w:val="00326E43"/>
    <w:rsid w:val="00326EE2"/>
    <w:rsid w:val="00327522"/>
    <w:rsid w:val="003276B4"/>
    <w:rsid w:val="00327A31"/>
    <w:rsid w:val="00327D76"/>
    <w:rsid w:val="00327FED"/>
    <w:rsid w:val="003300E0"/>
    <w:rsid w:val="0033029A"/>
    <w:rsid w:val="003302B0"/>
    <w:rsid w:val="003303D1"/>
    <w:rsid w:val="003304E2"/>
    <w:rsid w:val="00330531"/>
    <w:rsid w:val="00330A76"/>
    <w:rsid w:val="00330B3F"/>
    <w:rsid w:val="00330C39"/>
    <w:rsid w:val="00330F76"/>
    <w:rsid w:val="00331083"/>
    <w:rsid w:val="00331222"/>
    <w:rsid w:val="00331728"/>
    <w:rsid w:val="003318DD"/>
    <w:rsid w:val="00331A1B"/>
    <w:rsid w:val="00331AC6"/>
    <w:rsid w:val="00331C6E"/>
    <w:rsid w:val="00331CC7"/>
    <w:rsid w:val="003322BE"/>
    <w:rsid w:val="00332327"/>
    <w:rsid w:val="003324F3"/>
    <w:rsid w:val="003327D6"/>
    <w:rsid w:val="0033288F"/>
    <w:rsid w:val="00332AA9"/>
    <w:rsid w:val="00332B50"/>
    <w:rsid w:val="00332B6A"/>
    <w:rsid w:val="00332D61"/>
    <w:rsid w:val="0033315B"/>
    <w:rsid w:val="003333D3"/>
    <w:rsid w:val="0033344A"/>
    <w:rsid w:val="00333662"/>
    <w:rsid w:val="003336DA"/>
    <w:rsid w:val="00333977"/>
    <w:rsid w:val="00333A38"/>
    <w:rsid w:val="00333B93"/>
    <w:rsid w:val="00333CA3"/>
    <w:rsid w:val="00333DC1"/>
    <w:rsid w:val="00333EBD"/>
    <w:rsid w:val="00334220"/>
    <w:rsid w:val="003344B9"/>
    <w:rsid w:val="003349C9"/>
    <w:rsid w:val="00334A72"/>
    <w:rsid w:val="00334C6A"/>
    <w:rsid w:val="00334E94"/>
    <w:rsid w:val="0033522B"/>
    <w:rsid w:val="003353C8"/>
    <w:rsid w:val="003353C9"/>
    <w:rsid w:val="00335410"/>
    <w:rsid w:val="00335C5A"/>
    <w:rsid w:val="00335DE3"/>
    <w:rsid w:val="00335EC9"/>
    <w:rsid w:val="00336043"/>
    <w:rsid w:val="00336067"/>
    <w:rsid w:val="003361D8"/>
    <w:rsid w:val="00336336"/>
    <w:rsid w:val="00336635"/>
    <w:rsid w:val="003367EB"/>
    <w:rsid w:val="00336988"/>
    <w:rsid w:val="00337145"/>
    <w:rsid w:val="0033715A"/>
    <w:rsid w:val="0033738C"/>
    <w:rsid w:val="00337794"/>
    <w:rsid w:val="00337A2C"/>
    <w:rsid w:val="00337AAB"/>
    <w:rsid w:val="00337B55"/>
    <w:rsid w:val="00337C5B"/>
    <w:rsid w:val="00337C8C"/>
    <w:rsid w:val="00337E50"/>
    <w:rsid w:val="00337E81"/>
    <w:rsid w:val="00337F4D"/>
    <w:rsid w:val="00337FE3"/>
    <w:rsid w:val="00340022"/>
    <w:rsid w:val="00340043"/>
    <w:rsid w:val="0034009E"/>
    <w:rsid w:val="00340296"/>
    <w:rsid w:val="00340666"/>
    <w:rsid w:val="003407CA"/>
    <w:rsid w:val="0034089B"/>
    <w:rsid w:val="0034091E"/>
    <w:rsid w:val="00340943"/>
    <w:rsid w:val="00340D04"/>
    <w:rsid w:val="00341321"/>
    <w:rsid w:val="003413C0"/>
    <w:rsid w:val="003414A1"/>
    <w:rsid w:val="0034151A"/>
    <w:rsid w:val="00341578"/>
    <w:rsid w:val="00341FEE"/>
    <w:rsid w:val="003420FE"/>
    <w:rsid w:val="0034252B"/>
    <w:rsid w:val="003428CF"/>
    <w:rsid w:val="00342D2E"/>
    <w:rsid w:val="003433DD"/>
    <w:rsid w:val="00343A25"/>
    <w:rsid w:val="00343ADD"/>
    <w:rsid w:val="00343F39"/>
    <w:rsid w:val="00344036"/>
    <w:rsid w:val="003446F5"/>
    <w:rsid w:val="003448AE"/>
    <w:rsid w:val="00344B45"/>
    <w:rsid w:val="00344BA6"/>
    <w:rsid w:val="00345279"/>
    <w:rsid w:val="00345616"/>
    <w:rsid w:val="003457FE"/>
    <w:rsid w:val="00345817"/>
    <w:rsid w:val="0034595B"/>
    <w:rsid w:val="003463AD"/>
    <w:rsid w:val="003464D5"/>
    <w:rsid w:val="00346537"/>
    <w:rsid w:val="00346817"/>
    <w:rsid w:val="0034696A"/>
    <w:rsid w:val="00346B5F"/>
    <w:rsid w:val="00346C00"/>
    <w:rsid w:val="00346D10"/>
    <w:rsid w:val="003475A1"/>
    <w:rsid w:val="00347B0D"/>
    <w:rsid w:val="00347B5D"/>
    <w:rsid w:val="00347BA1"/>
    <w:rsid w:val="00347DDF"/>
    <w:rsid w:val="0035007E"/>
    <w:rsid w:val="0035032B"/>
    <w:rsid w:val="0035039E"/>
    <w:rsid w:val="00350AE6"/>
    <w:rsid w:val="00350EF6"/>
    <w:rsid w:val="003512D0"/>
    <w:rsid w:val="003512E8"/>
    <w:rsid w:val="003512FC"/>
    <w:rsid w:val="0035150D"/>
    <w:rsid w:val="003518EE"/>
    <w:rsid w:val="00351B66"/>
    <w:rsid w:val="00351C0F"/>
    <w:rsid w:val="003524DB"/>
    <w:rsid w:val="0035289F"/>
    <w:rsid w:val="003528A0"/>
    <w:rsid w:val="00352A59"/>
    <w:rsid w:val="00352B8D"/>
    <w:rsid w:val="00352F43"/>
    <w:rsid w:val="00352FA8"/>
    <w:rsid w:val="00352FF7"/>
    <w:rsid w:val="00353129"/>
    <w:rsid w:val="00353741"/>
    <w:rsid w:val="003538FA"/>
    <w:rsid w:val="00353A4F"/>
    <w:rsid w:val="00353CB3"/>
    <w:rsid w:val="00353FAE"/>
    <w:rsid w:val="00354147"/>
    <w:rsid w:val="003542E3"/>
    <w:rsid w:val="003543EB"/>
    <w:rsid w:val="003543F8"/>
    <w:rsid w:val="00354463"/>
    <w:rsid w:val="0035464C"/>
    <w:rsid w:val="0035470B"/>
    <w:rsid w:val="00354E51"/>
    <w:rsid w:val="00354FE8"/>
    <w:rsid w:val="00355203"/>
    <w:rsid w:val="0035534E"/>
    <w:rsid w:val="003553F3"/>
    <w:rsid w:val="00355415"/>
    <w:rsid w:val="003554A0"/>
    <w:rsid w:val="003554E3"/>
    <w:rsid w:val="0035553D"/>
    <w:rsid w:val="003556F8"/>
    <w:rsid w:val="0035582B"/>
    <w:rsid w:val="003558B2"/>
    <w:rsid w:val="00355911"/>
    <w:rsid w:val="00355CC3"/>
    <w:rsid w:val="00355D18"/>
    <w:rsid w:val="00355ED4"/>
    <w:rsid w:val="0035601E"/>
    <w:rsid w:val="0035614F"/>
    <w:rsid w:val="003562A4"/>
    <w:rsid w:val="00356389"/>
    <w:rsid w:val="00356670"/>
    <w:rsid w:val="003566EC"/>
    <w:rsid w:val="00356ECC"/>
    <w:rsid w:val="0035705F"/>
    <w:rsid w:val="003572E2"/>
    <w:rsid w:val="003576FC"/>
    <w:rsid w:val="00357758"/>
    <w:rsid w:val="00357C16"/>
    <w:rsid w:val="00357E3B"/>
    <w:rsid w:val="00360366"/>
    <w:rsid w:val="00360389"/>
    <w:rsid w:val="003603CE"/>
    <w:rsid w:val="0036045C"/>
    <w:rsid w:val="0036077A"/>
    <w:rsid w:val="00360878"/>
    <w:rsid w:val="00360BE4"/>
    <w:rsid w:val="00360C7E"/>
    <w:rsid w:val="00360DB0"/>
    <w:rsid w:val="00361206"/>
    <w:rsid w:val="0036129B"/>
    <w:rsid w:val="003613F6"/>
    <w:rsid w:val="003616C1"/>
    <w:rsid w:val="00361A1C"/>
    <w:rsid w:val="00361D1B"/>
    <w:rsid w:val="00361DBA"/>
    <w:rsid w:val="00361E61"/>
    <w:rsid w:val="00361FAE"/>
    <w:rsid w:val="0036211B"/>
    <w:rsid w:val="00362141"/>
    <w:rsid w:val="003624C3"/>
    <w:rsid w:val="00362589"/>
    <w:rsid w:val="00362ABC"/>
    <w:rsid w:val="00362E84"/>
    <w:rsid w:val="00362FF7"/>
    <w:rsid w:val="003634E2"/>
    <w:rsid w:val="003636E2"/>
    <w:rsid w:val="00363939"/>
    <w:rsid w:val="00363AC0"/>
    <w:rsid w:val="00363B6B"/>
    <w:rsid w:val="00363C4C"/>
    <w:rsid w:val="00363D7B"/>
    <w:rsid w:val="00363E21"/>
    <w:rsid w:val="0036408E"/>
    <w:rsid w:val="00364299"/>
    <w:rsid w:val="003649A1"/>
    <w:rsid w:val="00364ADD"/>
    <w:rsid w:val="00364C82"/>
    <w:rsid w:val="00364D8C"/>
    <w:rsid w:val="00364F06"/>
    <w:rsid w:val="00365051"/>
    <w:rsid w:val="00365407"/>
    <w:rsid w:val="00365473"/>
    <w:rsid w:val="003659AB"/>
    <w:rsid w:val="00365A21"/>
    <w:rsid w:val="00365A81"/>
    <w:rsid w:val="00365AB2"/>
    <w:rsid w:val="00365E81"/>
    <w:rsid w:val="00366133"/>
    <w:rsid w:val="0036613E"/>
    <w:rsid w:val="00366228"/>
    <w:rsid w:val="00366275"/>
    <w:rsid w:val="003664D5"/>
    <w:rsid w:val="003665DE"/>
    <w:rsid w:val="0036669B"/>
    <w:rsid w:val="00366723"/>
    <w:rsid w:val="00366B15"/>
    <w:rsid w:val="00366BAD"/>
    <w:rsid w:val="00366FF0"/>
    <w:rsid w:val="00367337"/>
    <w:rsid w:val="0036743B"/>
    <w:rsid w:val="00367E16"/>
    <w:rsid w:val="00367EE8"/>
    <w:rsid w:val="003702BA"/>
    <w:rsid w:val="003702C3"/>
    <w:rsid w:val="0037060B"/>
    <w:rsid w:val="00370CDB"/>
    <w:rsid w:val="00370E33"/>
    <w:rsid w:val="003711D6"/>
    <w:rsid w:val="00371226"/>
    <w:rsid w:val="003712AB"/>
    <w:rsid w:val="0037149D"/>
    <w:rsid w:val="00371587"/>
    <w:rsid w:val="0037161D"/>
    <w:rsid w:val="00371B92"/>
    <w:rsid w:val="00371BC0"/>
    <w:rsid w:val="003723DF"/>
    <w:rsid w:val="00372425"/>
    <w:rsid w:val="003724AE"/>
    <w:rsid w:val="003724D3"/>
    <w:rsid w:val="00372744"/>
    <w:rsid w:val="00372858"/>
    <w:rsid w:val="00372B9D"/>
    <w:rsid w:val="00372DCE"/>
    <w:rsid w:val="00372E3E"/>
    <w:rsid w:val="0037305A"/>
    <w:rsid w:val="0037388D"/>
    <w:rsid w:val="00373968"/>
    <w:rsid w:val="00374080"/>
    <w:rsid w:val="00374167"/>
    <w:rsid w:val="00374219"/>
    <w:rsid w:val="00374384"/>
    <w:rsid w:val="0037478E"/>
    <w:rsid w:val="003747E3"/>
    <w:rsid w:val="00374899"/>
    <w:rsid w:val="00374975"/>
    <w:rsid w:val="0037498D"/>
    <w:rsid w:val="00374C8B"/>
    <w:rsid w:val="00374ECB"/>
    <w:rsid w:val="00374F74"/>
    <w:rsid w:val="00374FF5"/>
    <w:rsid w:val="003752C3"/>
    <w:rsid w:val="003754F4"/>
    <w:rsid w:val="0037563F"/>
    <w:rsid w:val="00375920"/>
    <w:rsid w:val="00375960"/>
    <w:rsid w:val="00375A5D"/>
    <w:rsid w:val="00375C86"/>
    <w:rsid w:val="00375F70"/>
    <w:rsid w:val="003762BC"/>
    <w:rsid w:val="00376361"/>
    <w:rsid w:val="0037652D"/>
    <w:rsid w:val="0037676F"/>
    <w:rsid w:val="00376781"/>
    <w:rsid w:val="00376B50"/>
    <w:rsid w:val="00376BAB"/>
    <w:rsid w:val="00376DAE"/>
    <w:rsid w:val="00376EFC"/>
    <w:rsid w:val="0037714C"/>
    <w:rsid w:val="00377159"/>
    <w:rsid w:val="003771C9"/>
    <w:rsid w:val="003775F1"/>
    <w:rsid w:val="00377710"/>
    <w:rsid w:val="00377921"/>
    <w:rsid w:val="00377B2B"/>
    <w:rsid w:val="00377E1B"/>
    <w:rsid w:val="0038002E"/>
    <w:rsid w:val="003807D6"/>
    <w:rsid w:val="00380A75"/>
    <w:rsid w:val="00380D4D"/>
    <w:rsid w:val="00381070"/>
    <w:rsid w:val="0038139C"/>
    <w:rsid w:val="0038157B"/>
    <w:rsid w:val="00381A91"/>
    <w:rsid w:val="00381EC3"/>
    <w:rsid w:val="00381FAC"/>
    <w:rsid w:val="003821E1"/>
    <w:rsid w:val="003823C0"/>
    <w:rsid w:val="00382CAC"/>
    <w:rsid w:val="00382CD1"/>
    <w:rsid w:val="0038306B"/>
    <w:rsid w:val="003830BA"/>
    <w:rsid w:val="0038314E"/>
    <w:rsid w:val="003831D5"/>
    <w:rsid w:val="003832E5"/>
    <w:rsid w:val="003833E9"/>
    <w:rsid w:val="003834D1"/>
    <w:rsid w:val="0038353E"/>
    <w:rsid w:val="00383841"/>
    <w:rsid w:val="00383A39"/>
    <w:rsid w:val="00383A7B"/>
    <w:rsid w:val="00383A88"/>
    <w:rsid w:val="00383A89"/>
    <w:rsid w:val="00383B1F"/>
    <w:rsid w:val="00383BEB"/>
    <w:rsid w:val="00383CB9"/>
    <w:rsid w:val="00383F75"/>
    <w:rsid w:val="003842A0"/>
    <w:rsid w:val="0038432D"/>
    <w:rsid w:val="00384350"/>
    <w:rsid w:val="00384436"/>
    <w:rsid w:val="00384850"/>
    <w:rsid w:val="00384B3B"/>
    <w:rsid w:val="00384EB9"/>
    <w:rsid w:val="00384EF3"/>
    <w:rsid w:val="00385088"/>
    <w:rsid w:val="00385123"/>
    <w:rsid w:val="003857C1"/>
    <w:rsid w:val="00385DD4"/>
    <w:rsid w:val="00385E9C"/>
    <w:rsid w:val="00385F5D"/>
    <w:rsid w:val="003861FA"/>
    <w:rsid w:val="00386593"/>
    <w:rsid w:val="00386597"/>
    <w:rsid w:val="00386680"/>
    <w:rsid w:val="003868A7"/>
    <w:rsid w:val="00386916"/>
    <w:rsid w:val="0038694D"/>
    <w:rsid w:val="00386CF1"/>
    <w:rsid w:val="00386E30"/>
    <w:rsid w:val="00386E3A"/>
    <w:rsid w:val="00386FC8"/>
    <w:rsid w:val="00387348"/>
    <w:rsid w:val="003873B7"/>
    <w:rsid w:val="003876D9"/>
    <w:rsid w:val="00387BDD"/>
    <w:rsid w:val="00387D97"/>
    <w:rsid w:val="00390333"/>
    <w:rsid w:val="00390472"/>
    <w:rsid w:val="0039048D"/>
    <w:rsid w:val="00390596"/>
    <w:rsid w:val="0039059A"/>
    <w:rsid w:val="003905B3"/>
    <w:rsid w:val="003905C9"/>
    <w:rsid w:val="00390A69"/>
    <w:rsid w:val="00390B18"/>
    <w:rsid w:val="00390CC5"/>
    <w:rsid w:val="00391157"/>
    <w:rsid w:val="00391269"/>
    <w:rsid w:val="00391510"/>
    <w:rsid w:val="003917A6"/>
    <w:rsid w:val="003917EA"/>
    <w:rsid w:val="0039183C"/>
    <w:rsid w:val="00391862"/>
    <w:rsid w:val="003918F8"/>
    <w:rsid w:val="00391B21"/>
    <w:rsid w:val="00391CE2"/>
    <w:rsid w:val="00392065"/>
    <w:rsid w:val="00392240"/>
    <w:rsid w:val="00392571"/>
    <w:rsid w:val="003927BF"/>
    <w:rsid w:val="003927C5"/>
    <w:rsid w:val="003929A9"/>
    <w:rsid w:val="00392BF1"/>
    <w:rsid w:val="00392C97"/>
    <w:rsid w:val="0039312A"/>
    <w:rsid w:val="00393151"/>
    <w:rsid w:val="00393312"/>
    <w:rsid w:val="003933CB"/>
    <w:rsid w:val="003933DB"/>
    <w:rsid w:val="0039367B"/>
    <w:rsid w:val="00393BF1"/>
    <w:rsid w:val="00393C64"/>
    <w:rsid w:val="00393E48"/>
    <w:rsid w:val="00393EB2"/>
    <w:rsid w:val="00393EB7"/>
    <w:rsid w:val="003941AE"/>
    <w:rsid w:val="0039435C"/>
    <w:rsid w:val="0039450E"/>
    <w:rsid w:val="00394666"/>
    <w:rsid w:val="003946FE"/>
    <w:rsid w:val="0039481F"/>
    <w:rsid w:val="003951E3"/>
    <w:rsid w:val="003952AA"/>
    <w:rsid w:val="00395325"/>
    <w:rsid w:val="00395361"/>
    <w:rsid w:val="00395878"/>
    <w:rsid w:val="00395A42"/>
    <w:rsid w:val="00395C0B"/>
    <w:rsid w:val="00395E9B"/>
    <w:rsid w:val="0039646D"/>
    <w:rsid w:val="003965E9"/>
    <w:rsid w:val="00396673"/>
    <w:rsid w:val="0039682E"/>
    <w:rsid w:val="00396EE6"/>
    <w:rsid w:val="00397604"/>
    <w:rsid w:val="00397F5C"/>
    <w:rsid w:val="003A0053"/>
    <w:rsid w:val="003A01BB"/>
    <w:rsid w:val="003A0617"/>
    <w:rsid w:val="003A065C"/>
    <w:rsid w:val="003A06AB"/>
    <w:rsid w:val="003A088F"/>
    <w:rsid w:val="003A0B00"/>
    <w:rsid w:val="003A111B"/>
    <w:rsid w:val="003A121E"/>
    <w:rsid w:val="003A13B1"/>
    <w:rsid w:val="003A1486"/>
    <w:rsid w:val="003A16F1"/>
    <w:rsid w:val="003A1DA2"/>
    <w:rsid w:val="003A1E99"/>
    <w:rsid w:val="003A20FD"/>
    <w:rsid w:val="003A23F0"/>
    <w:rsid w:val="003A2411"/>
    <w:rsid w:val="003A26DA"/>
    <w:rsid w:val="003A27C6"/>
    <w:rsid w:val="003A2924"/>
    <w:rsid w:val="003A2E01"/>
    <w:rsid w:val="003A2EC3"/>
    <w:rsid w:val="003A30B0"/>
    <w:rsid w:val="003A30F4"/>
    <w:rsid w:val="003A3289"/>
    <w:rsid w:val="003A33E8"/>
    <w:rsid w:val="003A35A6"/>
    <w:rsid w:val="003A3A91"/>
    <w:rsid w:val="003A3FA7"/>
    <w:rsid w:val="003A4831"/>
    <w:rsid w:val="003A494D"/>
    <w:rsid w:val="003A4B1C"/>
    <w:rsid w:val="003A4B3B"/>
    <w:rsid w:val="003A4C35"/>
    <w:rsid w:val="003A4DD3"/>
    <w:rsid w:val="003A4E5F"/>
    <w:rsid w:val="003A4E89"/>
    <w:rsid w:val="003A4F4E"/>
    <w:rsid w:val="003A4F57"/>
    <w:rsid w:val="003A5287"/>
    <w:rsid w:val="003A5830"/>
    <w:rsid w:val="003A5B5F"/>
    <w:rsid w:val="003A5C9E"/>
    <w:rsid w:val="003A5D9D"/>
    <w:rsid w:val="003A6170"/>
    <w:rsid w:val="003A626A"/>
    <w:rsid w:val="003A6406"/>
    <w:rsid w:val="003A6523"/>
    <w:rsid w:val="003A66F1"/>
    <w:rsid w:val="003A6729"/>
    <w:rsid w:val="003A6734"/>
    <w:rsid w:val="003A6740"/>
    <w:rsid w:val="003A6BC3"/>
    <w:rsid w:val="003A7208"/>
    <w:rsid w:val="003A74EC"/>
    <w:rsid w:val="003A762A"/>
    <w:rsid w:val="003A791F"/>
    <w:rsid w:val="003A7E12"/>
    <w:rsid w:val="003B00E1"/>
    <w:rsid w:val="003B02C6"/>
    <w:rsid w:val="003B02E6"/>
    <w:rsid w:val="003B03BE"/>
    <w:rsid w:val="003B083E"/>
    <w:rsid w:val="003B0925"/>
    <w:rsid w:val="003B097B"/>
    <w:rsid w:val="003B0B09"/>
    <w:rsid w:val="003B0CB8"/>
    <w:rsid w:val="003B10BA"/>
    <w:rsid w:val="003B114D"/>
    <w:rsid w:val="003B1325"/>
    <w:rsid w:val="003B1766"/>
    <w:rsid w:val="003B1800"/>
    <w:rsid w:val="003B18A7"/>
    <w:rsid w:val="003B2011"/>
    <w:rsid w:val="003B2019"/>
    <w:rsid w:val="003B2899"/>
    <w:rsid w:val="003B2BF8"/>
    <w:rsid w:val="003B2E19"/>
    <w:rsid w:val="003B2E66"/>
    <w:rsid w:val="003B2F05"/>
    <w:rsid w:val="003B2F74"/>
    <w:rsid w:val="003B3191"/>
    <w:rsid w:val="003B35C4"/>
    <w:rsid w:val="003B3808"/>
    <w:rsid w:val="003B381D"/>
    <w:rsid w:val="003B38D7"/>
    <w:rsid w:val="003B39E6"/>
    <w:rsid w:val="003B3B32"/>
    <w:rsid w:val="003B3D5A"/>
    <w:rsid w:val="003B3EA2"/>
    <w:rsid w:val="003B42DA"/>
    <w:rsid w:val="003B4CBC"/>
    <w:rsid w:val="003B4DD2"/>
    <w:rsid w:val="003B54BE"/>
    <w:rsid w:val="003B5699"/>
    <w:rsid w:val="003B57B0"/>
    <w:rsid w:val="003B58AD"/>
    <w:rsid w:val="003B5AA1"/>
    <w:rsid w:val="003B5AA8"/>
    <w:rsid w:val="003B5AF8"/>
    <w:rsid w:val="003B5B83"/>
    <w:rsid w:val="003B5CCE"/>
    <w:rsid w:val="003B5D4A"/>
    <w:rsid w:val="003B5DE6"/>
    <w:rsid w:val="003B5E4A"/>
    <w:rsid w:val="003B608F"/>
    <w:rsid w:val="003B6185"/>
    <w:rsid w:val="003B6451"/>
    <w:rsid w:val="003B6587"/>
    <w:rsid w:val="003B6942"/>
    <w:rsid w:val="003B6A23"/>
    <w:rsid w:val="003B6A58"/>
    <w:rsid w:val="003B73A4"/>
    <w:rsid w:val="003B7654"/>
    <w:rsid w:val="003B7771"/>
    <w:rsid w:val="003B794E"/>
    <w:rsid w:val="003B7B0E"/>
    <w:rsid w:val="003B7B52"/>
    <w:rsid w:val="003B7C24"/>
    <w:rsid w:val="003B7C77"/>
    <w:rsid w:val="003B7CB5"/>
    <w:rsid w:val="003B7CEC"/>
    <w:rsid w:val="003B7FDD"/>
    <w:rsid w:val="003C07ED"/>
    <w:rsid w:val="003C07F5"/>
    <w:rsid w:val="003C08A9"/>
    <w:rsid w:val="003C09C7"/>
    <w:rsid w:val="003C0CC7"/>
    <w:rsid w:val="003C0D1C"/>
    <w:rsid w:val="003C0DD4"/>
    <w:rsid w:val="003C10D8"/>
    <w:rsid w:val="003C10F3"/>
    <w:rsid w:val="003C1200"/>
    <w:rsid w:val="003C1588"/>
    <w:rsid w:val="003C1789"/>
    <w:rsid w:val="003C19D8"/>
    <w:rsid w:val="003C1A5D"/>
    <w:rsid w:val="003C1CAD"/>
    <w:rsid w:val="003C1DB1"/>
    <w:rsid w:val="003C21FB"/>
    <w:rsid w:val="003C2209"/>
    <w:rsid w:val="003C25A6"/>
    <w:rsid w:val="003C2A9C"/>
    <w:rsid w:val="003C2CCC"/>
    <w:rsid w:val="003C3128"/>
    <w:rsid w:val="003C339E"/>
    <w:rsid w:val="003C39C1"/>
    <w:rsid w:val="003C39E7"/>
    <w:rsid w:val="003C3E6E"/>
    <w:rsid w:val="003C3F48"/>
    <w:rsid w:val="003C3F53"/>
    <w:rsid w:val="003C414E"/>
    <w:rsid w:val="003C4432"/>
    <w:rsid w:val="003C44F3"/>
    <w:rsid w:val="003C4536"/>
    <w:rsid w:val="003C46EC"/>
    <w:rsid w:val="003C4F45"/>
    <w:rsid w:val="003C5331"/>
    <w:rsid w:val="003C5334"/>
    <w:rsid w:val="003C549A"/>
    <w:rsid w:val="003C585F"/>
    <w:rsid w:val="003C5A56"/>
    <w:rsid w:val="003C5EED"/>
    <w:rsid w:val="003C6155"/>
    <w:rsid w:val="003C6374"/>
    <w:rsid w:val="003C655D"/>
    <w:rsid w:val="003C66AC"/>
    <w:rsid w:val="003C70AC"/>
    <w:rsid w:val="003C70D0"/>
    <w:rsid w:val="003C70F0"/>
    <w:rsid w:val="003C7157"/>
    <w:rsid w:val="003C71FE"/>
    <w:rsid w:val="003C73EA"/>
    <w:rsid w:val="003C74E4"/>
    <w:rsid w:val="003C77D7"/>
    <w:rsid w:val="003C7830"/>
    <w:rsid w:val="003C7C67"/>
    <w:rsid w:val="003C7C76"/>
    <w:rsid w:val="003C7E54"/>
    <w:rsid w:val="003C7E65"/>
    <w:rsid w:val="003C7FF6"/>
    <w:rsid w:val="003D01A6"/>
    <w:rsid w:val="003D0822"/>
    <w:rsid w:val="003D0841"/>
    <w:rsid w:val="003D0C51"/>
    <w:rsid w:val="003D0C87"/>
    <w:rsid w:val="003D0EAF"/>
    <w:rsid w:val="003D0F85"/>
    <w:rsid w:val="003D11E3"/>
    <w:rsid w:val="003D1240"/>
    <w:rsid w:val="003D12A6"/>
    <w:rsid w:val="003D1374"/>
    <w:rsid w:val="003D157A"/>
    <w:rsid w:val="003D15DF"/>
    <w:rsid w:val="003D1604"/>
    <w:rsid w:val="003D1744"/>
    <w:rsid w:val="003D177D"/>
    <w:rsid w:val="003D180B"/>
    <w:rsid w:val="003D1A19"/>
    <w:rsid w:val="003D1B70"/>
    <w:rsid w:val="003D1BB6"/>
    <w:rsid w:val="003D1C26"/>
    <w:rsid w:val="003D2103"/>
    <w:rsid w:val="003D2D31"/>
    <w:rsid w:val="003D313D"/>
    <w:rsid w:val="003D3761"/>
    <w:rsid w:val="003D3861"/>
    <w:rsid w:val="003D3AC9"/>
    <w:rsid w:val="003D3C85"/>
    <w:rsid w:val="003D3CDE"/>
    <w:rsid w:val="003D40B4"/>
    <w:rsid w:val="003D432D"/>
    <w:rsid w:val="003D477C"/>
    <w:rsid w:val="003D47B5"/>
    <w:rsid w:val="003D47C2"/>
    <w:rsid w:val="003D49CF"/>
    <w:rsid w:val="003D4A08"/>
    <w:rsid w:val="003D4BA3"/>
    <w:rsid w:val="003D54A1"/>
    <w:rsid w:val="003D58FA"/>
    <w:rsid w:val="003D5C52"/>
    <w:rsid w:val="003D6005"/>
    <w:rsid w:val="003D616E"/>
    <w:rsid w:val="003D61A2"/>
    <w:rsid w:val="003D61BA"/>
    <w:rsid w:val="003D620E"/>
    <w:rsid w:val="003D634E"/>
    <w:rsid w:val="003D65A1"/>
    <w:rsid w:val="003D65DC"/>
    <w:rsid w:val="003D67AC"/>
    <w:rsid w:val="003D67ED"/>
    <w:rsid w:val="003D6AC7"/>
    <w:rsid w:val="003D6D4D"/>
    <w:rsid w:val="003D6E22"/>
    <w:rsid w:val="003D7021"/>
    <w:rsid w:val="003D70B1"/>
    <w:rsid w:val="003D7204"/>
    <w:rsid w:val="003D73C2"/>
    <w:rsid w:val="003D7424"/>
    <w:rsid w:val="003D7529"/>
    <w:rsid w:val="003D76E2"/>
    <w:rsid w:val="003D7738"/>
    <w:rsid w:val="003D77E8"/>
    <w:rsid w:val="003D7A04"/>
    <w:rsid w:val="003D7FE7"/>
    <w:rsid w:val="003E007D"/>
    <w:rsid w:val="003E00FD"/>
    <w:rsid w:val="003E01A8"/>
    <w:rsid w:val="003E0568"/>
    <w:rsid w:val="003E05F8"/>
    <w:rsid w:val="003E0639"/>
    <w:rsid w:val="003E07DB"/>
    <w:rsid w:val="003E07E3"/>
    <w:rsid w:val="003E0B72"/>
    <w:rsid w:val="003E0FAE"/>
    <w:rsid w:val="003E1620"/>
    <w:rsid w:val="003E173A"/>
    <w:rsid w:val="003E18A5"/>
    <w:rsid w:val="003E1983"/>
    <w:rsid w:val="003E1B29"/>
    <w:rsid w:val="003E1B36"/>
    <w:rsid w:val="003E1B87"/>
    <w:rsid w:val="003E21A5"/>
    <w:rsid w:val="003E2476"/>
    <w:rsid w:val="003E2484"/>
    <w:rsid w:val="003E24AB"/>
    <w:rsid w:val="003E2508"/>
    <w:rsid w:val="003E25A5"/>
    <w:rsid w:val="003E277D"/>
    <w:rsid w:val="003E2891"/>
    <w:rsid w:val="003E29F6"/>
    <w:rsid w:val="003E2CB4"/>
    <w:rsid w:val="003E2E78"/>
    <w:rsid w:val="003E3518"/>
    <w:rsid w:val="003E3519"/>
    <w:rsid w:val="003E368E"/>
    <w:rsid w:val="003E3828"/>
    <w:rsid w:val="003E3956"/>
    <w:rsid w:val="003E398E"/>
    <w:rsid w:val="003E3992"/>
    <w:rsid w:val="003E3E17"/>
    <w:rsid w:val="003E3FDA"/>
    <w:rsid w:val="003E4093"/>
    <w:rsid w:val="003E436D"/>
    <w:rsid w:val="003E4946"/>
    <w:rsid w:val="003E49EE"/>
    <w:rsid w:val="003E4D1A"/>
    <w:rsid w:val="003E4D4A"/>
    <w:rsid w:val="003E4FDD"/>
    <w:rsid w:val="003E5075"/>
    <w:rsid w:val="003E518F"/>
    <w:rsid w:val="003E58B0"/>
    <w:rsid w:val="003E59E3"/>
    <w:rsid w:val="003E5A3E"/>
    <w:rsid w:val="003E5D3B"/>
    <w:rsid w:val="003E5DDE"/>
    <w:rsid w:val="003E6081"/>
    <w:rsid w:val="003E6144"/>
    <w:rsid w:val="003E64D1"/>
    <w:rsid w:val="003E680F"/>
    <w:rsid w:val="003E6A9B"/>
    <w:rsid w:val="003E6CF0"/>
    <w:rsid w:val="003E6F9A"/>
    <w:rsid w:val="003E7000"/>
    <w:rsid w:val="003E724C"/>
    <w:rsid w:val="003E7465"/>
    <w:rsid w:val="003E746D"/>
    <w:rsid w:val="003E747E"/>
    <w:rsid w:val="003E74E4"/>
    <w:rsid w:val="003E76B4"/>
    <w:rsid w:val="003E76E4"/>
    <w:rsid w:val="003E7989"/>
    <w:rsid w:val="003E7A38"/>
    <w:rsid w:val="003E7ABE"/>
    <w:rsid w:val="003E7ACD"/>
    <w:rsid w:val="003E7B49"/>
    <w:rsid w:val="003E7DD4"/>
    <w:rsid w:val="003E7E1F"/>
    <w:rsid w:val="003E7F72"/>
    <w:rsid w:val="003E7F75"/>
    <w:rsid w:val="003F021F"/>
    <w:rsid w:val="003F053F"/>
    <w:rsid w:val="003F05AD"/>
    <w:rsid w:val="003F0793"/>
    <w:rsid w:val="003F0829"/>
    <w:rsid w:val="003F08BB"/>
    <w:rsid w:val="003F08BC"/>
    <w:rsid w:val="003F0929"/>
    <w:rsid w:val="003F0AAB"/>
    <w:rsid w:val="003F0AAF"/>
    <w:rsid w:val="003F0AEF"/>
    <w:rsid w:val="003F0B82"/>
    <w:rsid w:val="003F0D02"/>
    <w:rsid w:val="003F1012"/>
    <w:rsid w:val="003F1013"/>
    <w:rsid w:val="003F1242"/>
    <w:rsid w:val="003F12DB"/>
    <w:rsid w:val="003F1410"/>
    <w:rsid w:val="003F19D3"/>
    <w:rsid w:val="003F1A9B"/>
    <w:rsid w:val="003F1BF3"/>
    <w:rsid w:val="003F1DDA"/>
    <w:rsid w:val="003F26A5"/>
    <w:rsid w:val="003F29B1"/>
    <w:rsid w:val="003F2FB0"/>
    <w:rsid w:val="003F300F"/>
    <w:rsid w:val="003F30F0"/>
    <w:rsid w:val="003F32CA"/>
    <w:rsid w:val="003F3735"/>
    <w:rsid w:val="003F39E5"/>
    <w:rsid w:val="003F3DA0"/>
    <w:rsid w:val="003F3DCA"/>
    <w:rsid w:val="003F3DD0"/>
    <w:rsid w:val="003F3F1B"/>
    <w:rsid w:val="003F414D"/>
    <w:rsid w:val="003F433A"/>
    <w:rsid w:val="003F4A76"/>
    <w:rsid w:val="003F4AB1"/>
    <w:rsid w:val="003F4B8C"/>
    <w:rsid w:val="003F4DFE"/>
    <w:rsid w:val="003F4FE2"/>
    <w:rsid w:val="003F503B"/>
    <w:rsid w:val="003F537B"/>
    <w:rsid w:val="003F537E"/>
    <w:rsid w:val="003F5666"/>
    <w:rsid w:val="003F5A05"/>
    <w:rsid w:val="003F5A5F"/>
    <w:rsid w:val="003F5CF7"/>
    <w:rsid w:val="003F5EFB"/>
    <w:rsid w:val="003F6589"/>
    <w:rsid w:val="003F68EA"/>
    <w:rsid w:val="003F6C4A"/>
    <w:rsid w:val="003F6E30"/>
    <w:rsid w:val="003F6EC4"/>
    <w:rsid w:val="003F709E"/>
    <w:rsid w:val="003F729A"/>
    <w:rsid w:val="003F733D"/>
    <w:rsid w:val="003F7472"/>
    <w:rsid w:val="003F75FC"/>
    <w:rsid w:val="003F787B"/>
    <w:rsid w:val="003F79C1"/>
    <w:rsid w:val="00400205"/>
    <w:rsid w:val="00400682"/>
    <w:rsid w:val="00400A9F"/>
    <w:rsid w:val="00400B0F"/>
    <w:rsid w:val="00400BBC"/>
    <w:rsid w:val="00400D15"/>
    <w:rsid w:val="00400D2D"/>
    <w:rsid w:val="00401313"/>
    <w:rsid w:val="004015B7"/>
    <w:rsid w:val="004016C8"/>
    <w:rsid w:val="0040195C"/>
    <w:rsid w:val="00401A92"/>
    <w:rsid w:val="00401AB6"/>
    <w:rsid w:val="00401AD2"/>
    <w:rsid w:val="00401CD8"/>
    <w:rsid w:val="00401DF8"/>
    <w:rsid w:val="00401E88"/>
    <w:rsid w:val="00401F62"/>
    <w:rsid w:val="0040211F"/>
    <w:rsid w:val="00402172"/>
    <w:rsid w:val="004022D9"/>
    <w:rsid w:val="00402736"/>
    <w:rsid w:val="004029AA"/>
    <w:rsid w:val="004029B8"/>
    <w:rsid w:val="00402B05"/>
    <w:rsid w:val="00402E3D"/>
    <w:rsid w:val="00402E76"/>
    <w:rsid w:val="00402E78"/>
    <w:rsid w:val="00402F4D"/>
    <w:rsid w:val="00402F56"/>
    <w:rsid w:val="00402F7B"/>
    <w:rsid w:val="00403084"/>
    <w:rsid w:val="00403253"/>
    <w:rsid w:val="0040327C"/>
    <w:rsid w:val="004033E2"/>
    <w:rsid w:val="00403AE5"/>
    <w:rsid w:val="004044C2"/>
    <w:rsid w:val="00404A07"/>
    <w:rsid w:val="00404B55"/>
    <w:rsid w:val="00404EB7"/>
    <w:rsid w:val="004050C4"/>
    <w:rsid w:val="004052A4"/>
    <w:rsid w:val="004053EA"/>
    <w:rsid w:val="0040541D"/>
    <w:rsid w:val="004055F5"/>
    <w:rsid w:val="004057C9"/>
    <w:rsid w:val="004059D3"/>
    <w:rsid w:val="00405CC0"/>
    <w:rsid w:val="004063E8"/>
    <w:rsid w:val="00406633"/>
    <w:rsid w:val="0040698B"/>
    <w:rsid w:val="00406B55"/>
    <w:rsid w:val="00406D42"/>
    <w:rsid w:val="00406E30"/>
    <w:rsid w:val="0040715C"/>
    <w:rsid w:val="004073B8"/>
    <w:rsid w:val="004075BE"/>
    <w:rsid w:val="00407606"/>
    <w:rsid w:val="0041050F"/>
    <w:rsid w:val="00410DA4"/>
    <w:rsid w:val="004110AC"/>
    <w:rsid w:val="00411473"/>
    <w:rsid w:val="004114D6"/>
    <w:rsid w:val="004115B1"/>
    <w:rsid w:val="00411C52"/>
    <w:rsid w:val="004121FB"/>
    <w:rsid w:val="00412312"/>
    <w:rsid w:val="0041233F"/>
    <w:rsid w:val="00412383"/>
    <w:rsid w:val="00412557"/>
    <w:rsid w:val="00412711"/>
    <w:rsid w:val="00412931"/>
    <w:rsid w:val="00412CCC"/>
    <w:rsid w:val="0041346D"/>
    <w:rsid w:val="00413610"/>
    <w:rsid w:val="00413671"/>
    <w:rsid w:val="004138A9"/>
    <w:rsid w:val="00413B4B"/>
    <w:rsid w:val="00413B83"/>
    <w:rsid w:val="00413BE1"/>
    <w:rsid w:val="00413BE5"/>
    <w:rsid w:val="00413DA5"/>
    <w:rsid w:val="00413E8F"/>
    <w:rsid w:val="00413F7C"/>
    <w:rsid w:val="00413FD3"/>
    <w:rsid w:val="0041417C"/>
    <w:rsid w:val="004142A2"/>
    <w:rsid w:val="004142CC"/>
    <w:rsid w:val="00414620"/>
    <w:rsid w:val="004146B4"/>
    <w:rsid w:val="004146E9"/>
    <w:rsid w:val="0041497E"/>
    <w:rsid w:val="00414AA1"/>
    <w:rsid w:val="00414B06"/>
    <w:rsid w:val="00414B9E"/>
    <w:rsid w:val="00414C69"/>
    <w:rsid w:val="00414E72"/>
    <w:rsid w:val="00414F3F"/>
    <w:rsid w:val="00414FFF"/>
    <w:rsid w:val="004151C2"/>
    <w:rsid w:val="004151F5"/>
    <w:rsid w:val="00415385"/>
    <w:rsid w:val="004155F9"/>
    <w:rsid w:val="00415703"/>
    <w:rsid w:val="0041589F"/>
    <w:rsid w:val="00415B03"/>
    <w:rsid w:val="00415EAF"/>
    <w:rsid w:val="004160F9"/>
    <w:rsid w:val="00416336"/>
    <w:rsid w:val="0041658C"/>
    <w:rsid w:val="00416687"/>
    <w:rsid w:val="00416733"/>
    <w:rsid w:val="00416A57"/>
    <w:rsid w:val="00416BB3"/>
    <w:rsid w:val="00416DD4"/>
    <w:rsid w:val="0041711B"/>
    <w:rsid w:val="00417143"/>
    <w:rsid w:val="00417197"/>
    <w:rsid w:val="00417669"/>
    <w:rsid w:val="00417759"/>
    <w:rsid w:val="0041779A"/>
    <w:rsid w:val="00417BB1"/>
    <w:rsid w:val="00417DED"/>
    <w:rsid w:val="00417E64"/>
    <w:rsid w:val="00417F75"/>
    <w:rsid w:val="00420499"/>
    <w:rsid w:val="004205E5"/>
    <w:rsid w:val="00420673"/>
    <w:rsid w:val="00420D1A"/>
    <w:rsid w:val="004214E2"/>
    <w:rsid w:val="00421F71"/>
    <w:rsid w:val="004220DD"/>
    <w:rsid w:val="0042217B"/>
    <w:rsid w:val="00422206"/>
    <w:rsid w:val="0042261C"/>
    <w:rsid w:val="0042274F"/>
    <w:rsid w:val="00422F3E"/>
    <w:rsid w:val="00423139"/>
    <w:rsid w:val="0042325A"/>
    <w:rsid w:val="004236A7"/>
    <w:rsid w:val="00423739"/>
    <w:rsid w:val="00423786"/>
    <w:rsid w:val="00423795"/>
    <w:rsid w:val="004238F2"/>
    <w:rsid w:val="00423A00"/>
    <w:rsid w:val="00423B18"/>
    <w:rsid w:val="0042424C"/>
    <w:rsid w:val="004243ED"/>
    <w:rsid w:val="0042446A"/>
    <w:rsid w:val="004244EF"/>
    <w:rsid w:val="00424682"/>
    <w:rsid w:val="00424728"/>
    <w:rsid w:val="004248DA"/>
    <w:rsid w:val="00424ECF"/>
    <w:rsid w:val="004250AB"/>
    <w:rsid w:val="0042511E"/>
    <w:rsid w:val="0042551B"/>
    <w:rsid w:val="0042559D"/>
    <w:rsid w:val="00425977"/>
    <w:rsid w:val="00425BA4"/>
    <w:rsid w:val="00425ED8"/>
    <w:rsid w:val="00425EF1"/>
    <w:rsid w:val="00425FD8"/>
    <w:rsid w:val="004260FA"/>
    <w:rsid w:val="0042648E"/>
    <w:rsid w:val="00426605"/>
    <w:rsid w:val="00426614"/>
    <w:rsid w:val="004267EC"/>
    <w:rsid w:val="00426894"/>
    <w:rsid w:val="00426BC9"/>
    <w:rsid w:val="00426D06"/>
    <w:rsid w:val="00426E42"/>
    <w:rsid w:val="0042713F"/>
    <w:rsid w:val="0042768F"/>
    <w:rsid w:val="004276BF"/>
    <w:rsid w:val="0042798D"/>
    <w:rsid w:val="00427A65"/>
    <w:rsid w:val="00427ABB"/>
    <w:rsid w:val="00427C20"/>
    <w:rsid w:val="00427D9D"/>
    <w:rsid w:val="00427ECF"/>
    <w:rsid w:val="00430A26"/>
    <w:rsid w:val="00430EA5"/>
    <w:rsid w:val="004311DB"/>
    <w:rsid w:val="004312E7"/>
    <w:rsid w:val="0043152B"/>
    <w:rsid w:val="004315B6"/>
    <w:rsid w:val="0043174C"/>
    <w:rsid w:val="0043194A"/>
    <w:rsid w:val="00431B7A"/>
    <w:rsid w:val="00431EC6"/>
    <w:rsid w:val="00432039"/>
    <w:rsid w:val="00432044"/>
    <w:rsid w:val="004325DC"/>
    <w:rsid w:val="00432740"/>
    <w:rsid w:val="004328F5"/>
    <w:rsid w:val="004329C8"/>
    <w:rsid w:val="00432BB5"/>
    <w:rsid w:val="00432DB1"/>
    <w:rsid w:val="00432DD9"/>
    <w:rsid w:val="00433348"/>
    <w:rsid w:val="00433466"/>
    <w:rsid w:val="004334A3"/>
    <w:rsid w:val="00433513"/>
    <w:rsid w:val="0043376A"/>
    <w:rsid w:val="00433A0E"/>
    <w:rsid w:val="00433D60"/>
    <w:rsid w:val="00433E2C"/>
    <w:rsid w:val="00433F76"/>
    <w:rsid w:val="00434243"/>
    <w:rsid w:val="0043442D"/>
    <w:rsid w:val="004344FE"/>
    <w:rsid w:val="00434703"/>
    <w:rsid w:val="00434ECD"/>
    <w:rsid w:val="004351F4"/>
    <w:rsid w:val="00435369"/>
    <w:rsid w:val="00435381"/>
    <w:rsid w:val="004353F3"/>
    <w:rsid w:val="0043542A"/>
    <w:rsid w:val="0043593A"/>
    <w:rsid w:val="00435BB3"/>
    <w:rsid w:val="00435C65"/>
    <w:rsid w:val="00435CEB"/>
    <w:rsid w:val="00435D3D"/>
    <w:rsid w:val="00435D7D"/>
    <w:rsid w:val="00435F80"/>
    <w:rsid w:val="004362C1"/>
    <w:rsid w:val="00436638"/>
    <w:rsid w:val="0043672F"/>
    <w:rsid w:val="0043681D"/>
    <w:rsid w:val="00436C6D"/>
    <w:rsid w:val="00436DA7"/>
    <w:rsid w:val="00436E8B"/>
    <w:rsid w:val="004372CF"/>
    <w:rsid w:val="00437406"/>
    <w:rsid w:val="004375D0"/>
    <w:rsid w:val="00437631"/>
    <w:rsid w:val="00437874"/>
    <w:rsid w:val="00437C1E"/>
    <w:rsid w:val="004401F4"/>
    <w:rsid w:val="00440352"/>
    <w:rsid w:val="00440382"/>
    <w:rsid w:val="00440442"/>
    <w:rsid w:val="00440499"/>
    <w:rsid w:val="00440760"/>
    <w:rsid w:val="004407FF"/>
    <w:rsid w:val="00440886"/>
    <w:rsid w:val="00440928"/>
    <w:rsid w:val="00440BDE"/>
    <w:rsid w:val="00440ED2"/>
    <w:rsid w:val="00440F1D"/>
    <w:rsid w:val="004410D7"/>
    <w:rsid w:val="0044123F"/>
    <w:rsid w:val="004414B0"/>
    <w:rsid w:val="004416D1"/>
    <w:rsid w:val="0044175C"/>
    <w:rsid w:val="00441A04"/>
    <w:rsid w:val="00441A2B"/>
    <w:rsid w:val="00441AF8"/>
    <w:rsid w:val="004420BB"/>
    <w:rsid w:val="004420E0"/>
    <w:rsid w:val="00442356"/>
    <w:rsid w:val="004424BE"/>
    <w:rsid w:val="00442A73"/>
    <w:rsid w:val="00442C6A"/>
    <w:rsid w:val="00442CBC"/>
    <w:rsid w:val="004433DC"/>
    <w:rsid w:val="004437E0"/>
    <w:rsid w:val="00443A43"/>
    <w:rsid w:val="00443A50"/>
    <w:rsid w:val="00443B5A"/>
    <w:rsid w:val="00443B8C"/>
    <w:rsid w:val="00443CA5"/>
    <w:rsid w:val="00443EC0"/>
    <w:rsid w:val="00443F9F"/>
    <w:rsid w:val="00444026"/>
    <w:rsid w:val="0044416A"/>
    <w:rsid w:val="00444475"/>
    <w:rsid w:val="004446FD"/>
    <w:rsid w:val="00444966"/>
    <w:rsid w:val="00444D53"/>
    <w:rsid w:val="00444F4A"/>
    <w:rsid w:val="00444FCA"/>
    <w:rsid w:val="0044512B"/>
    <w:rsid w:val="0044561E"/>
    <w:rsid w:val="0044579D"/>
    <w:rsid w:val="00445842"/>
    <w:rsid w:val="00445A27"/>
    <w:rsid w:val="00445BF5"/>
    <w:rsid w:val="00445DE2"/>
    <w:rsid w:val="00445F0F"/>
    <w:rsid w:val="00445F6C"/>
    <w:rsid w:val="00445FC0"/>
    <w:rsid w:val="00445FC8"/>
    <w:rsid w:val="004460FA"/>
    <w:rsid w:val="004463A7"/>
    <w:rsid w:val="004463D5"/>
    <w:rsid w:val="0044681E"/>
    <w:rsid w:val="004469E2"/>
    <w:rsid w:val="00446A20"/>
    <w:rsid w:val="00446AAF"/>
    <w:rsid w:val="00446ABD"/>
    <w:rsid w:val="00446DC3"/>
    <w:rsid w:val="00446E3F"/>
    <w:rsid w:val="00446FDB"/>
    <w:rsid w:val="004476D5"/>
    <w:rsid w:val="00447D1B"/>
    <w:rsid w:val="00447EA6"/>
    <w:rsid w:val="00447F90"/>
    <w:rsid w:val="004500AD"/>
    <w:rsid w:val="00450201"/>
    <w:rsid w:val="00450510"/>
    <w:rsid w:val="004505F5"/>
    <w:rsid w:val="00450656"/>
    <w:rsid w:val="00450663"/>
    <w:rsid w:val="004506C2"/>
    <w:rsid w:val="0045080D"/>
    <w:rsid w:val="004508A1"/>
    <w:rsid w:val="00450DAF"/>
    <w:rsid w:val="00450F41"/>
    <w:rsid w:val="00450FF1"/>
    <w:rsid w:val="004511CB"/>
    <w:rsid w:val="0045135D"/>
    <w:rsid w:val="00451574"/>
    <w:rsid w:val="0045163B"/>
    <w:rsid w:val="00451651"/>
    <w:rsid w:val="00451961"/>
    <w:rsid w:val="00451C23"/>
    <w:rsid w:val="00451C7C"/>
    <w:rsid w:val="00451D7F"/>
    <w:rsid w:val="00452176"/>
    <w:rsid w:val="00452391"/>
    <w:rsid w:val="00452503"/>
    <w:rsid w:val="00452907"/>
    <w:rsid w:val="0045296A"/>
    <w:rsid w:val="00452984"/>
    <w:rsid w:val="004529E5"/>
    <w:rsid w:val="004529EC"/>
    <w:rsid w:val="00452D46"/>
    <w:rsid w:val="00452DAD"/>
    <w:rsid w:val="00452FC7"/>
    <w:rsid w:val="00453005"/>
    <w:rsid w:val="004530A7"/>
    <w:rsid w:val="004537C0"/>
    <w:rsid w:val="0045405C"/>
    <w:rsid w:val="004543E0"/>
    <w:rsid w:val="004544F3"/>
    <w:rsid w:val="00454645"/>
    <w:rsid w:val="004546BA"/>
    <w:rsid w:val="00454857"/>
    <w:rsid w:val="00454C0A"/>
    <w:rsid w:val="00454E6E"/>
    <w:rsid w:val="00454F99"/>
    <w:rsid w:val="004550B6"/>
    <w:rsid w:val="00455681"/>
    <w:rsid w:val="00455842"/>
    <w:rsid w:val="00455D05"/>
    <w:rsid w:val="00455E5A"/>
    <w:rsid w:val="00456142"/>
    <w:rsid w:val="0045649E"/>
    <w:rsid w:val="00456534"/>
    <w:rsid w:val="0045674D"/>
    <w:rsid w:val="00456BE3"/>
    <w:rsid w:val="00456D15"/>
    <w:rsid w:val="00456D8A"/>
    <w:rsid w:val="00457260"/>
    <w:rsid w:val="0045734B"/>
    <w:rsid w:val="0045741F"/>
    <w:rsid w:val="00457516"/>
    <w:rsid w:val="004578DA"/>
    <w:rsid w:val="00457982"/>
    <w:rsid w:val="00457CF3"/>
    <w:rsid w:val="00457E73"/>
    <w:rsid w:val="00457F8B"/>
    <w:rsid w:val="00460090"/>
    <w:rsid w:val="00460173"/>
    <w:rsid w:val="0046037D"/>
    <w:rsid w:val="00460398"/>
    <w:rsid w:val="00460422"/>
    <w:rsid w:val="0046052A"/>
    <w:rsid w:val="00460778"/>
    <w:rsid w:val="0046093B"/>
    <w:rsid w:val="004609CA"/>
    <w:rsid w:val="00460ADD"/>
    <w:rsid w:val="00460B84"/>
    <w:rsid w:val="00460DF3"/>
    <w:rsid w:val="00460E60"/>
    <w:rsid w:val="00460E7E"/>
    <w:rsid w:val="00460EEE"/>
    <w:rsid w:val="004611F5"/>
    <w:rsid w:val="00461351"/>
    <w:rsid w:val="00461573"/>
    <w:rsid w:val="00461834"/>
    <w:rsid w:val="00461AD2"/>
    <w:rsid w:val="00461D10"/>
    <w:rsid w:val="00461D42"/>
    <w:rsid w:val="00461E21"/>
    <w:rsid w:val="00461F2A"/>
    <w:rsid w:val="0046258C"/>
    <w:rsid w:val="00462815"/>
    <w:rsid w:val="004628D1"/>
    <w:rsid w:val="00462D0C"/>
    <w:rsid w:val="00462E98"/>
    <w:rsid w:val="00462F20"/>
    <w:rsid w:val="00462FA3"/>
    <w:rsid w:val="00462FE1"/>
    <w:rsid w:val="00463313"/>
    <w:rsid w:val="004635F0"/>
    <w:rsid w:val="00463BAF"/>
    <w:rsid w:val="00463DC1"/>
    <w:rsid w:val="00463F22"/>
    <w:rsid w:val="00464261"/>
    <w:rsid w:val="0046463A"/>
    <w:rsid w:val="00464B98"/>
    <w:rsid w:val="00465119"/>
    <w:rsid w:val="00465216"/>
    <w:rsid w:val="004653F9"/>
    <w:rsid w:val="004655BE"/>
    <w:rsid w:val="004656D1"/>
    <w:rsid w:val="00465A10"/>
    <w:rsid w:val="00465B89"/>
    <w:rsid w:val="00465D44"/>
    <w:rsid w:val="0046614F"/>
    <w:rsid w:val="0046639C"/>
    <w:rsid w:val="00466753"/>
    <w:rsid w:val="00466AF9"/>
    <w:rsid w:val="00466C11"/>
    <w:rsid w:val="00466C71"/>
    <w:rsid w:val="00466C9D"/>
    <w:rsid w:val="00467279"/>
    <w:rsid w:val="00467458"/>
    <w:rsid w:val="00467536"/>
    <w:rsid w:val="004675F0"/>
    <w:rsid w:val="004676FF"/>
    <w:rsid w:val="00467888"/>
    <w:rsid w:val="00467B6B"/>
    <w:rsid w:val="00467C07"/>
    <w:rsid w:val="00467C27"/>
    <w:rsid w:val="00467C35"/>
    <w:rsid w:val="00467D6D"/>
    <w:rsid w:val="0047014B"/>
    <w:rsid w:val="004701C0"/>
    <w:rsid w:val="0047030C"/>
    <w:rsid w:val="004703D4"/>
    <w:rsid w:val="004704BA"/>
    <w:rsid w:val="00470889"/>
    <w:rsid w:val="0047094D"/>
    <w:rsid w:val="00470B9E"/>
    <w:rsid w:val="00470E28"/>
    <w:rsid w:val="00470EDD"/>
    <w:rsid w:val="00471828"/>
    <w:rsid w:val="00471933"/>
    <w:rsid w:val="00471C06"/>
    <w:rsid w:val="00471D77"/>
    <w:rsid w:val="00472389"/>
    <w:rsid w:val="00472401"/>
    <w:rsid w:val="00472AA0"/>
    <w:rsid w:val="00472AE2"/>
    <w:rsid w:val="00472AE4"/>
    <w:rsid w:val="00472AF6"/>
    <w:rsid w:val="00472BC6"/>
    <w:rsid w:val="00472DF5"/>
    <w:rsid w:val="0047301B"/>
    <w:rsid w:val="004730D3"/>
    <w:rsid w:val="004734B9"/>
    <w:rsid w:val="004735FC"/>
    <w:rsid w:val="00473735"/>
    <w:rsid w:val="00473827"/>
    <w:rsid w:val="00473A18"/>
    <w:rsid w:val="0047414A"/>
    <w:rsid w:val="004742BD"/>
    <w:rsid w:val="00474467"/>
    <w:rsid w:val="0047448E"/>
    <w:rsid w:val="0047479B"/>
    <w:rsid w:val="00474A56"/>
    <w:rsid w:val="00474D53"/>
    <w:rsid w:val="00474FE3"/>
    <w:rsid w:val="00475019"/>
    <w:rsid w:val="00475024"/>
    <w:rsid w:val="004754D5"/>
    <w:rsid w:val="00475663"/>
    <w:rsid w:val="00475926"/>
    <w:rsid w:val="00475A40"/>
    <w:rsid w:val="00475DFB"/>
    <w:rsid w:val="00475F97"/>
    <w:rsid w:val="00476085"/>
    <w:rsid w:val="00476201"/>
    <w:rsid w:val="00476326"/>
    <w:rsid w:val="0047655C"/>
    <w:rsid w:val="00476568"/>
    <w:rsid w:val="004765EA"/>
    <w:rsid w:val="0047676D"/>
    <w:rsid w:val="0047676F"/>
    <w:rsid w:val="00476A9E"/>
    <w:rsid w:val="00476B97"/>
    <w:rsid w:val="004771B2"/>
    <w:rsid w:val="0047737B"/>
    <w:rsid w:val="00477B86"/>
    <w:rsid w:val="00480043"/>
    <w:rsid w:val="0048016D"/>
    <w:rsid w:val="0048017A"/>
    <w:rsid w:val="00480254"/>
    <w:rsid w:val="004802FA"/>
    <w:rsid w:val="0048038F"/>
    <w:rsid w:val="004804A8"/>
    <w:rsid w:val="004805D1"/>
    <w:rsid w:val="004805D5"/>
    <w:rsid w:val="004806C8"/>
    <w:rsid w:val="004808B8"/>
    <w:rsid w:val="004809B6"/>
    <w:rsid w:val="00480C77"/>
    <w:rsid w:val="00480E85"/>
    <w:rsid w:val="00480EB4"/>
    <w:rsid w:val="00480F16"/>
    <w:rsid w:val="00481063"/>
    <w:rsid w:val="00481196"/>
    <w:rsid w:val="00481553"/>
    <w:rsid w:val="00481730"/>
    <w:rsid w:val="00481A92"/>
    <w:rsid w:val="00481A97"/>
    <w:rsid w:val="00481CEF"/>
    <w:rsid w:val="00481D84"/>
    <w:rsid w:val="00481FF3"/>
    <w:rsid w:val="004823AC"/>
    <w:rsid w:val="0048266E"/>
    <w:rsid w:val="00482815"/>
    <w:rsid w:val="00483364"/>
    <w:rsid w:val="004834B1"/>
    <w:rsid w:val="00483618"/>
    <w:rsid w:val="00483690"/>
    <w:rsid w:val="0048380C"/>
    <w:rsid w:val="00483BE4"/>
    <w:rsid w:val="00484175"/>
    <w:rsid w:val="004842BA"/>
    <w:rsid w:val="0048431C"/>
    <w:rsid w:val="004844F5"/>
    <w:rsid w:val="00484554"/>
    <w:rsid w:val="00484668"/>
    <w:rsid w:val="00484858"/>
    <w:rsid w:val="004849AD"/>
    <w:rsid w:val="00484A7D"/>
    <w:rsid w:val="00484DE3"/>
    <w:rsid w:val="00484F93"/>
    <w:rsid w:val="00485003"/>
    <w:rsid w:val="00485137"/>
    <w:rsid w:val="004851E8"/>
    <w:rsid w:val="00485297"/>
    <w:rsid w:val="0048546B"/>
    <w:rsid w:val="004854D3"/>
    <w:rsid w:val="00485585"/>
    <w:rsid w:val="004856CF"/>
    <w:rsid w:val="004858A9"/>
    <w:rsid w:val="004858D9"/>
    <w:rsid w:val="0048593A"/>
    <w:rsid w:val="004859D0"/>
    <w:rsid w:val="00485A28"/>
    <w:rsid w:val="00485AA5"/>
    <w:rsid w:val="00485B96"/>
    <w:rsid w:val="00485C87"/>
    <w:rsid w:val="004860BF"/>
    <w:rsid w:val="00486240"/>
    <w:rsid w:val="004863FE"/>
    <w:rsid w:val="0048644F"/>
    <w:rsid w:val="004865D2"/>
    <w:rsid w:val="00486632"/>
    <w:rsid w:val="00486A8F"/>
    <w:rsid w:val="00486B37"/>
    <w:rsid w:val="00486C30"/>
    <w:rsid w:val="00486CB2"/>
    <w:rsid w:val="00486E02"/>
    <w:rsid w:val="00487123"/>
    <w:rsid w:val="004871E0"/>
    <w:rsid w:val="00487242"/>
    <w:rsid w:val="00487329"/>
    <w:rsid w:val="0048752A"/>
    <w:rsid w:val="0048758A"/>
    <w:rsid w:val="0048759E"/>
    <w:rsid w:val="0048793C"/>
    <w:rsid w:val="004901D3"/>
    <w:rsid w:val="004902E1"/>
    <w:rsid w:val="0049039F"/>
    <w:rsid w:val="004906A9"/>
    <w:rsid w:val="004906B6"/>
    <w:rsid w:val="004906BC"/>
    <w:rsid w:val="00490900"/>
    <w:rsid w:val="00490920"/>
    <w:rsid w:val="00490A40"/>
    <w:rsid w:val="00490A68"/>
    <w:rsid w:val="00490B87"/>
    <w:rsid w:val="00490B8C"/>
    <w:rsid w:val="00490EA7"/>
    <w:rsid w:val="00490EDD"/>
    <w:rsid w:val="0049102C"/>
    <w:rsid w:val="00491514"/>
    <w:rsid w:val="004917B9"/>
    <w:rsid w:val="0049184A"/>
    <w:rsid w:val="0049192D"/>
    <w:rsid w:val="004919E5"/>
    <w:rsid w:val="00491AE2"/>
    <w:rsid w:val="00491B51"/>
    <w:rsid w:val="00491CC9"/>
    <w:rsid w:val="0049202A"/>
    <w:rsid w:val="0049209E"/>
    <w:rsid w:val="0049213B"/>
    <w:rsid w:val="004922BB"/>
    <w:rsid w:val="00492927"/>
    <w:rsid w:val="00492940"/>
    <w:rsid w:val="004929DE"/>
    <w:rsid w:val="00492CA5"/>
    <w:rsid w:val="00492F2B"/>
    <w:rsid w:val="004933D4"/>
    <w:rsid w:val="004933EF"/>
    <w:rsid w:val="004936D2"/>
    <w:rsid w:val="00494184"/>
    <w:rsid w:val="00494338"/>
    <w:rsid w:val="00494415"/>
    <w:rsid w:val="0049452B"/>
    <w:rsid w:val="0049455C"/>
    <w:rsid w:val="004947AA"/>
    <w:rsid w:val="00494AE4"/>
    <w:rsid w:val="00494C52"/>
    <w:rsid w:val="00494DDF"/>
    <w:rsid w:val="00494F1B"/>
    <w:rsid w:val="00495412"/>
    <w:rsid w:val="0049597E"/>
    <w:rsid w:val="00495B9D"/>
    <w:rsid w:val="00495E94"/>
    <w:rsid w:val="00495F4B"/>
    <w:rsid w:val="0049623C"/>
    <w:rsid w:val="004963A2"/>
    <w:rsid w:val="0049647B"/>
    <w:rsid w:val="004969B5"/>
    <w:rsid w:val="00496A0E"/>
    <w:rsid w:val="0049715C"/>
    <w:rsid w:val="004971E9"/>
    <w:rsid w:val="004971F4"/>
    <w:rsid w:val="00497509"/>
    <w:rsid w:val="00497680"/>
    <w:rsid w:val="004978AD"/>
    <w:rsid w:val="004979D0"/>
    <w:rsid w:val="00497BAB"/>
    <w:rsid w:val="00497D0D"/>
    <w:rsid w:val="00497F7C"/>
    <w:rsid w:val="004A00C7"/>
    <w:rsid w:val="004A02E3"/>
    <w:rsid w:val="004A0421"/>
    <w:rsid w:val="004A047A"/>
    <w:rsid w:val="004A06B1"/>
    <w:rsid w:val="004A072B"/>
    <w:rsid w:val="004A087F"/>
    <w:rsid w:val="004A0A88"/>
    <w:rsid w:val="004A0BB1"/>
    <w:rsid w:val="004A0D21"/>
    <w:rsid w:val="004A112C"/>
    <w:rsid w:val="004A1223"/>
    <w:rsid w:val="004A1273"/>
    <w:rsid w:val="004A1385"/>
    <w:rsid w:val="004A13DE"/>
    <w:rsid w:val="004A1436"/>
    <w:rsid w:val="004A16A8"/>
    <w:rsid w:val="004A1A63"/>
    <w:rsid w:val="004A1E9A"/>
    <w:rsid w:val="004A214E"/>
    <w:rsid w:val="004A244C"/>
    <w:rsid w:val="004A2628"/>
    <w:rsid w:val="004A263F"/>
    <w:rsid w:val="004A26D5"/>
    <w:rsid w:val="004A2A9C"/>
    <w:rsid w:val="004A2BF7"/>
    <w:rsid w:val="004A2CC7"/>
    <w:rsid w:val="004A2D75"/>
    <w:rsid w:val="004A31C1"/>
    <w:rsid w:val="004A330E"/>
    <w:rsid w:val="004A33FC"/>
    <w:rsid w:val="004A36B9"/>
    <w:rsid w:val="004A378E"/>
    <w:rsid w:val="004A3843"/>
    <w:rsid w:val="004A38A6"/>
    <w:rsid w:val="004A39F2"/>
    <w:rsid w:val="004A3B1A"/>
    <w:rsid w:val="004A3C33"/>
    <w:rsid w:val="004A3CFB"/>
    <w:rsid w:val="004A42E2"/>
    <w:rsid w:val="004A4C1A"/>
    <w:rsid w:val="004A4CA2"/>
    <w:rsid w:val="004A4CF6"/>
    <w:rsid w:val="004A4DFE"/>
    <w:rsid w:val="004A4FC9"/>
    <w:rsid w:val="004A549C"/>
    <w:rsid w:val="004A5588"/>
    <w:rsid w:val="004A569E"/>
    <w:rsid w:val="004A58A7"/>
    <w:rsid w:val="004A5A45"/>
    <w:rsid w:val="004A5AA9"/>
    <w:rsid w:val="004A5D5F"/>
    <w:rsid w:val="004A61CE"/>
    <w:rsid w:val="004A6254"/>
    <w:rsid w:val="004A643E"/>
    <w:rsid w:val="004A6465"/>
    <w:rsid w:val="004A6535"/>
    <w:rsid w:val="004A66AB"/>
    <w:rsid w:val="004A6884"/>
    <w:rsid w:val="004A69C3"/>
    <w:rsid w:val="004A6BC6"/>
    <w:rsid w:val="004A713F"/>
    <w:rsid w:val="004A74D7"/>
    <w:rsid w:val="004A74DE"/>
    <w:rsid w:val="004A75CA"/>
    <w:rsid w:val="004A76DF"/>
    <w:rsid w:val="004A78B1"/>
    <w:rsid w:val="004A79BA"/>
    <w:rsid w:val="004A7D27"/>
    <w:rsid w:val="004A7D89"/>
    <w:rsid w:val="004B0074"/>
    <w:rsid w:val="004B00AE"/>
    <w:rsid w:val="004B02A8"/>
    <w:rsid w:val="004B0383"/>
    <w:rsid w:val="004B0690"/>
    <w:rsid w:val="004B0695"/>
    <w:rsid w:val="004B06E1"/>
    <w:rsid w:val="004B0779"/>
    <w:rsid w:val="004B077E"/>
    <w:rsid w:val="004B07DE"/>
    <w:rsid w:val="004B0A7B"/>
    <w:rsid w:val="004B0AFF"/>
    <w:rsid w:val="004B0B93"/>
    <w:rsid w:val="004B0D14"/>
    <w:rsid w:val="004B0E65"/>
    <w:rsid w:val="004B0F50"/>
    <w:rsid w:val="004B1113"/>
    <w:rsid w:val="004B1245"/>
    <w:rsid w:val="004B1255"/>
    <w:rsid w:val="004B1787"/>
    <w:rsid w:val="004B1865"/>
    <w:rsid w:val="004B21D8"/>
    <w:rsid w:val="004B25D3"/>
    <w:rsid w:val="004B2979"/>
    <w:rsid w:val="004B3087"/>
    <w:rsid w:val="004B31E9"/>
    <w:rsid w:val="004B32EA"/>
    <w:rsid w:val="004B3761"/>
    <w:rsid w:val="004B3AB6"/>
    <w:rsid w:val="004B3CA5"/>
    <w:rsid w:val="004B3F96"/>
    <w:rsid w:val="004B414E"/>
    <w:rsid w:val="004B4269"/>
    <w:rsid w:val="004B4641"/>
    <w:rsid w:val="004B46A5"/>
    <w:rsid w:val="004B4B63"/>
    <w:rsid w:val="004B4C98"/>
    <w:rsid w:val="004B4DCB"/>
    <w:rsid w:val="004B4E1F"/>
    <w:rsid w:val="004B5192"/>
    <w:rsid w:val="004B5325"/>
    <w:rsid w:val="004B5432"/>
    <w:rsid w:val="004B5460"/>
    <w:rsid w:val="004B56A8"/>
    <w:rsid w:val="004B5945"/>
    <w:rsid w:val="004B599E"/>
    <w:rsid w:val="004B5A31"/>
    <w:rsid w:val="004B5A9E"/>
    <w:rsid w:val="004B5B2B"/>
    <w:rsid w:val="004B5BA3"/>
    <w:rsid w:val="004B5C74"/>
    <w:rsid w:val="004B5CA7"/>
    <w:rsid w:val="004B5E13"/>
    <w:rsid w:val="004B5EBB"/>
    <w:rsid w:val="004B642F"/>
    <w:rsid w:val="004B6465"/>
    <w:rsid w:val="004B652E"/>
    <w:rsid w:val="004B6A44"/>
    <w:rsid w:val="004B6C17"/>
    <w:rsid w:val="004B6C3F"/>
    <w:rsid w:val="004B6C99"/>
    <w:rsid w:val="004B6FC1"/>
    <w:rsid w:val="004B701C"/>
    <w:rsid w:val="004B7253"/>
    <w:rsid w:val="004B73B5"/>
    <w:rsid w:val="004B7485"/>
    <w:rsid w:val="004B7651"/>
    <w:rsid w:val="004B798E"/>
    <w:rsid w:val="004B7A15"/>
    <w:rsid w:val="004B7B2D"/>
    <w:rsid w:val="004B7B98"/>
    <w:rsid w:val="004B7DF0"/>
    <w:rsid w:val="004B7FB0"/>
    <w:rsid w:val="004C000A"/>
    <w:rsid w:val="004C01BD"/>
    <w:rsid w:val="004C0252"/>
    <w:rsid w:val="004C0762"/>
    <w:rsid w:val="004C0923"/>
    <w:rsid w:val="004C0A5B"/>
    <w:rsid w:val="004C0B7E"/>
    <w:rsid w:val="004C0C9E"/>
    <w:rsid w:val="004C0FAF"/>
    <w:rsid w:val="004C105B"/>
    <w:rsid w:val="004C117A"/>
    <w:rsid w:val="004C1262"/>
    <w:rsid w:val="004C1268"/>
    <w:rsid w:val="004C13C5"/>
    <w:rsid w:val="004C1479"/>
    <w:rsid w:val="004C168F"/>
    <w:rsid w:val="004C16EB"/>
    <w:rsid w:val="004C1BB9"/>
    <w:rsid w:val="004C1D5C"/>
    <w:rsid w:val="004C25B2"/>
    <w:rsid w:val="004C2953"/>
    <w:rsid w:val="004C2C57"/>
    <w:rsid w:val="004C303B"/>
    <w:rsid w:val="004C3310"/>
    <w:rsid w:val="004C3B98"/>
    <w:rsid w:val="004C3DA3"/>
    <w:rsid w:val="004C420E"/>
    <w:rsid w:val="004C43AF"/>
    <w:rsid w:val="004C445D"/>
    <w:rsid w:val="004C484B"/>
    <w:rsid w:val="004C4B9B"/>
    <w:rsid w:val="004C511E"/>
    <w:rsid w:val="004C512C"/>
    <w:rsid w:val="004C526A"/>
    <w:rsid w:val="004C573F"/>
    <w:rsid w:val="004C5A81"/>
    <w:rsid w:val="004C5A93"/>
    <w:rsid w:val="004C5AF9"/>
    <w:rsid w:val="004C5C3B"/>
    <w:rsid w:val="004C5D05"/>
    <w:rsid w:val="004C5D0F"/>
    <w:rsid w:val="004C5E4E"/>
    <w:rsid w:val="004C5E82"/>
    <w:rsid w:val="004C641B"/>
    <w:rsid w:val="004C67F8"/>
    <w:rsid w:val="004C6811"/>
    <w:rsid w:val="004C6933"/>
    <w:rsid w:val="004C6AA3"/>
    <w:rsid w:val="004C6B76"/>
    <w:rsid w:val="004C6E2B"/>
    <w:rsid w:val="004C6E56"/>
    <w:rsid w:val="004C7352"/>
    <w:rsid w:val="004C7383"/>
    <w:rsid w:val="004C74C3"/>
    <w:rsid w:val="004C74ED"/>
    <w:rsid w:val="004C7837"/>
    <w:rsid w:val="004C79E9"/>
    <w:rsid w:val="004C7C72"/>
    <w:rsid w:val="004C7D19"/>
    <w:rsid w:val="004C7E85"/>
    <w:rsid w:val="004C7EA2"/>
    <w:rsid w:val="004C7EE8"/>
    <w:rsid w:val="004D00AD"/>
    <w:rsid w:val="004D0490"/>
    <w:rsid w:val="004D084C"/>
    <w:rsid w:val="004D0A5A"/>
    <w:rsid w:val="004D0AD6"/>
    <w:rsid w:val="004D0B0F"/>
    <w:rsid w:val="004D0B31"/>
    <w:rsid w:val="004D145E"/>
    <w:rsid w:val="004D148B"/>
    <w:rsid w:val="004D1552"/>
    <w:rsid w:val="004D17DB"/>
    <w:rsid w:val="004D1B99"/>
    <w:rsid w:val="004D1CD3"/>
    <w:rsid w:val="004D1F19"/>
    <w:rsid w:val="004D23F7"/>
    <w:rsid w:val="004D244E"/>
    <w:rsid w:val="004D25CF"/>
    <w:rsid w:val="004D26DA"/>
    <w:rsid w:val="004D27D4"/>
    <w:rsid w:val="004D2A7B"/>
    <w:rsid w:val="004D2BFE"/>
    <w:rsid w:val="004D2D02"/>
    <w:rsid w:val="004D2F1D"/>
    <w:rsid w:val="004D3001"/>
    <w:rsid w:val="004D3002"/>
    <w:rsid w:val="004D307A"/>
    <w:rsid w:val="004D3185"/>
    <w:rsid w:val="004D320D"/>
    <w:rsid w:val="004D350F"/>
    <w:rsid w:val="004D3589"/>
    <w:rsid w:val="004D3620"/>
    <w:rsid w:val="004D36D9"/>
    <w:rsid w:val="004D36F4"/>
    <w:rsid w:val="004D397E"/>
    <w:rsid w:val="004D3B8C"/>
    <w:rsid w:val="004D3C52"/>
    <w:rsid w:val="004D3FF7"/>
    <w:rsid w:val="004D41DB"/>
    <w:rsid w:val="004D43C8"/>
    <w:rsid w:val="004D43ED"/>
    <w:rsid w:val="004D493B"/>
    <w:rsid w:val="004D4E30"/>
    <w:rsid w:val="004D4E43"/>
    <w:rsid w:val="004D50BC"/>
    <w:rsid w:val="004D52C0"/>
    <w:rsid w:val="004D543E"/>
    <w:rsid w:val="004D550F"/>
    <w:rsid w:val="004D562E"/>
    <w:rsid w:val="004D584B"/>
    <w:rsid w:val="004D58FC"/>
    <w:rsid w:val="004D599A"/>
    <w:rsid w:val="004D5A2B"/>
    <w:rsid w:val="004D5B6B"/>
    <w:rsid w:val="004D5E3E"/>
    <w:rsid w:val="004D5FA6"/>
    <w:rsid w:val="004D66DE"/>
    <w:rsid w:val="004D6A09"/>
    <w:rsid w:val="004D6D10"/>
    <w:rsid w:val="004D7682"/>
    <w:rsid w:val="004D7787"/>
    <w:rsid w:val="004D788E"/>
    <w:rsid w:val="004D7A4C"/>
    <w:rsid w:val="004D7BE7"/>
    <w:rsid w:val="004D7FB8"/>
    <w:rsid w:val="004D7FFD"/>
    <w:rsid w:val="004E0295"/>
    <w:rsid w:val="004E04AE"/>
    <w:rsid w:val="004E0801"/>
    <w:rsid w:val="004E0A95"/>
    <w:rsid w:val="004E0C0D"/>
    <w:rsid w:val="004E0C46"/>
    <w:rsid w:val="004E0EBC"/>
    <w:rsid w:val="004E1282"/>
    <w:rsid w:val="004E141E"/>
    <w:rsid w:val="004E16B5"/>
    <w:rsid w:val="004E1790"/>
    <w:rsid w:val="004E1865"/>
    <w:rsid w:val="004E1A4A"/>
    <w:rsid w:val="004E1B6D"/>
    <w:rsid w:val="004E1BD1"/>
    <w:rsid w:val="004E1E3C"/>
    <w:rsid w:val="004E1E4B"/>
    <w:rsid w:val="004E1E9C"/>
    <w:rsid w:val="004E205A"/>
    <w:rsid w:val="004E20D1"/>
    <w:rsid w:val="004E20D9"/>
    <w:rsid w:val="004E2134"/>
    <w:rsid w:val="004E24A7"/>
    <w:rsid w:val="004E2809"/>
    <w:rsid w:val="004E28B0"/>
    <w:rsid w:val="004E28D9"/>
    <w:rsid w:val="004E2AC5"/>
    <w:rsid w:val="004E2C3A"/>
    <w:rsid w:val="004E2F2B"/>
    <w:rsid w:val="004E2FD1"/>
    <w:rsid w:val="004E314F"/>
    <w:rsid w:val="004E31BE"/>
    <w:rsid w:val="004E326D"/>
    <w:rsid w:val="004E335B"/>
    <w:rsid w:val="004E3671"/>
    <w:rsid w:val="004E38EB"/>
    <w:rsid w:val="004E3B6F"/>
    <w:rsid w:val="004E3BBD"/>
    <w:rsid w:val="004E3DCD"/>
    <w:rsid w:val="004E42AA"/>
    <w:rsid w:val="004E434F"/>
    <w:rsid w:val="004E43CA"/>
    <w:rsid w:val="004E4A1E"/>
    <w:rsid w:val="004E4B34"/>
    <w:rsid w:val="004E4BBD"/>
    <w:rsid w:val="004E4DC6"/>
    <w:rsid w:val="004E4FA2"/>
    <w:rsid w:val="004E5513"/>
    <w:rsid w:val="004E5870"/>
    <w:rsid w:val="004E5929"/>
    <w:rsid w:val="004E5987"/>
    <w:rsid w:val="004E599F"/>
    <w:rsid w:val="004E59F7"/>
    <w:rsid w:val="004E5A31"/>
    <w:rsid w:val="004E5B93"/>
    <w:rsid w:val="004E60F3"/>
    <w:rsid w:val="004E65DE"/>
    <w:rsid w:val="004E66E4"/>
    <w:rsid w:val="004E6843"/>
    <w:rsid w:val="004E6881"/>
    <w:rsid w:val="004E690D"/>
    <w:rsid w:val="004E6C79"/>
    <w:rsid w:val="004E6EF1"/>
    <w:rsid w:val="004E6FF3"/>
    <w:rsid w:val="004E716D"/>
    <w:rsid w:val="004E71EE"/>
    <w:rsid w:val="004E72A9"/>
    <w:rsid w:val="004E7330"/>
    <w:rsid w:val="004E7345"/>
    <w:rsid w:val="004E7986"/>
    <w:rsid w:val="004E79A5"/>
    <w:rsid w:val="004E7B67"/>
    <w:rsid w:val="004E7D5B"/>
    <w:rsid w:val="004F0195"/>
    <w:rsid w:val="004F03AA"/>
    <w:rsid w:val="004F0620"/>
    <w:rsid w:val="004F06AB"/>
    <w:rsid w:val="004F0F5F"/>
    <w:rsid w:val="004F0FA9"/>
    <w:rsid w:val="004F15D6"/>
    <w:rsid w:val="004F1E65"/>
    <w:rsid w:val="004F208B"/>
    <w:rsid w:val="004F2300"/>
    <w:rsid w:val="004F2E11"/>
    <w:rsid w:val="004F2E32"/>
    <w:rsid w:val="004F3088"/>
    <w:rsid w:val="004F32D3"/>
    <w:rsid w:val="004F384F"/>
    <w:rsid w:val="004F38B7"/>
    <w:rsid w:val="004F3949"/>
    <w:rsid w:val="004F3992"/>
    <w:rsid w:val="004F39C1"/>
    <w:rsid w:val="004F39FA"/>
    <w:rsid w:val="004F3C03"/>
    <w:rsid w:val="004F3CD5"/>
    <w:rsid w:val="004F3E67"/>
    <w:rsid w:val="004F3F78"/>
    <w:rsid w:val="004F4252"/>
    <w:rsid w:val="004F4322"/>
    <w:rsid w:val="004F458A"/>
    <w:rsid w:val="004F4650"/>
    <w:rsid w:val="004F4693"/>
    <w:rsid w:val="004F47A3"/>
    <w:rsid w:val="004F4A12"/>
    <w:rsid w:val="004F4EB3"/>
    <w:rsid w:val="004F4F2F"/>
    <w:rsid w:val="004F549E"/>
    <w:rsid w:val="004F59BD"/>
    <w:rsid w:val="004F5F15"/>
    <w:rsid w:val="004F5F61"/>
    <w:rsid w:val="004F652A"/>
    <w:rsid w:val="004F66E0"/>
    <w:rsid w:val="004F6706"/>
    <w:rsid w:val="004F6832"/>
    <w:rsid w:val="004F6868"/>
    <w:rsid w:val="004F6A36"/>
    <w:rsid w:val="004F6B47"/>
    <w:rsid w:val="004F6BF8"/>
    <w:rsid w:val="004F6C57"/>
    <w:rsid w:val="004F6E1A"/>
    <w:rsid w:val="004F6E61"/>
    <w:rsid w:val="004F7503"/>
    <w:rsid w:val="004F76F9"/>
    <w:rsid w:val="004F7BCF"/>
    <w:rsid w:val="00500457"/>
    <w:rsid w:val="00500486"/>
    <w:rsid w:val="005004E3"/>
    <w:rsid w:val="005007C4"/>
    <w:rsid w:val="00500919"/>
    <w:rsid w:val="00500C01"/>
    <w:rsid w:val="00501228"/>
    <w:rsid w:val="0050136A"/>
    <w:rsid w:val="00501A07"/>
    <w:rsid w:val="00501E18"/>
    <w:rsid w:val="0050220A"/>
    <w:rsid w:val="005022F4"/>
    <w:rsid w:val="00502341"/>
    <w:rsid w:val="00502379"/>
    <w:rsid w:val="005024CA"/>
    <w:rsid w:val="005024FF"/>
    <w:rsid w:val="0050257E"/>
    <w:rsid w:val="0050270D"/>
    <w:rsid w:val="00502E92"/>
    <w:rsid w:val="00502F66"/>
    <w:rsid w:val="00502FD1"/>
    <w:rsid w:val="0050332C"/>
    <w:rsid w:val="00503526"/>
    <w:rsid w:val="00503808"/>
    <w:rsid w:val="0050390F"/>
    <w:rsid w:val="00503951"/>
    <w:rsid w:val="005039EB"/>
    <w:rsid w:val="00503B6F"/>
    <w:rsid w:val="00503CCC"/>
    <w:rsid w:val="00503D90"/>
    <w:rsid w:val="00503E6E"/>
    <w:rsid w:val="00503EE5"/>
    <w:rsid w:val="0050400B"/>
    <w:rsid w:val="00504149"/>
    <w:rsid w:val="005047E5"/>
    <w:rsid w:val="005048AB"/>
    <w:rsid w:val="005049BB"/>
    <w:rsid w:val="00504BE6"/>
    <w:rsid w:val="00505084"/>
    <w:rsid w:val="0050511F"/>
    <w:rsid w:val="005053E1"/>
    <w:rsid w:val="0050542C"/>
    <w:rsid w:val="005056C2"/>
    <w:rsid w:val="00505AA5"/>
    <w:rsid w:val="005061CB"/>
    <w:rsid w:val="0050645B"/>
    <w:rsid w:val="005064B6"/>
    <w:rsid w:val="005064E2"/>
    <w:rsid w:val="0050674A"/>
    <w:rsid w:val="0050686D"/>
    <w:rsid w:val="00506A07"/>
    <w:rsid w:val="00506B93"/>
    <w:rsid w:val="00506EA2"/>
    <w:rsid w:val="005070BB"/>
    <w:rsid w:val="0050721B"/>
    <w:rsid w:val="00507540"/>
    <w:rsid w:val="005079BC"/>
    <w:rsid w:val="00510096"/>
    <w:rsid w:val="00510141"/>
    <w:rsid w:val="005102AA"/>
    <w:rsid w:val="005102F1"/>
    <w:rsid w:val="00510353"/>
    <w:rsid w:val="00510405"/>
    <w:rsid w:val="005105EA"/>
    <w:rsid w:val="0051068C"/>
    <w:rsid w:val="00510B4C"/>
    <w:rsid w:val="00510F28"/>
    <w:rsid w:val="00510F52"/>
    <w:rsid w:val="005115D0"/>
    <w:rsid w:val="005116CE"/>
    <w:rsid w:val="005117E2"/>
    <w:rsid w:val="00511C16"/>
    <w:rsid w:val="00511D43"/>
    <w:rsid w:val="00511E40"/>
    <w:rsid w:val="00511ED6"/>
    <w:rsid w:val="005121B6"/>
    <w:rsid w:val="0051221E"/>
    <w:rsid w:val="0051224C"/>
    <w:rsid w:val="005122EC"/>
    <w:rsid w:val="005124E9"/>
    <w:rsid w:val="005126CD"/>
    <w:rsid w:val="00512F23"/>
    <w:rsid w:val="005131F1"/>
    <w:rsid w:val="005135EF"/>
    <w:rsid w:val="0051364A"/>
    <w:rsid w:val="00513866"/>
    <w:rsid w:val="00513870"/>
    <w:rsid w:val="00513EDF"/>
    <w:rsid w:val="0051410A"/>
    <w:rsid w:val="00514781"/>
    <w:rsid w:val="005148BA"/>
    <w:rsid w:val="00514A6F"/>
    <w:rsid w:val="00514CF3"/>
    <w:rsid w:val="00514DB8"/>
    <w:rsid w:val="00514E77"/>
    <w:rsid w:val="00514EB0"/>
    <w:rsid w:val="00515109"/>
    <w:rsid w:val="00515275"/>
    <w:rsid w:val="005152E6"/>
    <w:rsid w:val="00515362"/>
    <w:rsid w:val="0051554E"/>
    <w:rsid w:val="00515843"/>
    <w:rsid w:val="00515A2C"/>
    <w:rsid w:val="00515E50"/>
    <w:rsid w:val="00515E95"/>
    <w:rsid w:val="00515EDE"/>
    <w:rsid w:val="0051634B"/>
    <w:rsid w:val="0051660E"/>
    <w:rsid w:val="005166B6"/>
    <w:rsid w:val="00516A56"/>
    <w:rsid w:val="00516BD9"/>
    <w:rsid w:val="00516C57"/>
    <w:rsid w:val="00516EAE"/>
    <w:rsid w:val="005173E1"/>
    <w:rsid w:val="005174B4"/>
    <w:rsid w:val="00517A1C"/>
    <w:rsid w:val="00517A5C"/>
    <w:rsid w:val="00517AA4"/>
    <w:rsid w:val="00520022"/>
    <w:rsid w:val="00520326"/>
    <w:rsid w:val="00520578"/>
    <w:rsid w:val="005208C0"/>
    <w:rsid w:val="005208C7"/>
    <w:rsid w:val="00520A13"/>
    <w:rsid w:val="00520C7B"/>
    <w:rsid w:val="00521030"/>
    <w:rsid w:val="00521512"/>
    <w:rsid w:val="00521A79"/>
    <w:rsid w:val="00521A97"/>
    <w:rsid w:val="00521E29"/>
    <w:rsid w:val="00522088"/>
    <w:rsid w:val="00522089"/>
    <w:rsid w:val="00522215"/>
    <w:rsid w:val="00522276"/>
    <w:rsid w:val="00522345"/>
    <w:rsid w:val="0052246F"/>
    <w:rsid w:val="00522A44"/>
    <w:rsid w:val="00522BBA"/>
    <w:rsid w:val="005230D4"/>
    <w:rsid w:val="00523255"/>
    <w:rsid w:val="005233C2"/>
    <w:rsid w:val="00523578"/>
    <w:rsid w:val="0052365C"/>
    <w:rsid w:val="005236EC"/>
    <w:rsid w:val="00523ECD"/>
    <w:rsid w:val="00523F5B"/>
    <w:rsid w:val="0052412B"/>
    <w:rsid w:val="00524150"/>
    <w:rsid w:val="00524221"/>
    <w:rsid w:val="005242CD"/>
    <w:rsid w:val="005243E0"/>
    <w:rsid w:val="0052442B"/>
    <w:rsid w:val="00524454"/>
    <w:rsid w:val="005244E8"/>
    <w:rsid w:val="00524657"/>
    <w:rsid w:val="00524732"/>
    <w:rsid w:val="00524808"/>
    <w:rsid w:val="00524830"/>
    <w:rsid w:val="0052499E"/>
    <w:rsid w:val="00524A83"/>
    <w:rsid w:val="00524B86"/>
    <w:rsid w:val="00524B96"/>
    <w:rsid w:val="00524DFF"/>
    <w:rsid w:val="00524EE6"/>
    <w:rsid w:val="00525237"/>
    <w:rsid w:val="0052547A"/>
    <w:rsid w:val="0052580A"/>
    <w:rsid w:val="00525971"/>
    <w:rsid w:val="005259A3"/>
    <w:rsid w:val="00525A88"/>
    <w:rsid w:val="00525AFA"/>
    <w:rsid w:val="00525BFB"/>
    <w:rsid w:val="00525CD9"/>
    <w:rsid w:val="00525CE3"/>
    <w:rsid w:val="00525D70"/>
    <w:rsid w:val="00525DF9"/>
    <w:rsid w:val="00525E7B"/>
    <w:rsid w:val="00526150"/>
    <w:rsid w:val="0052620D"/>
    <w:rsid w:val="005262A4"/>
    <w:rsid w:val="0052639E"/>
    <w:rsid w:val="00526822"/>
    <w:rsid w:val="00526EF7"/>
    <w:rsid w:val="00526F48"/>
    <w:rsid w:val="00527530"/>
    <w:rsid w:val="0052769A"/>
    <w:rsid w:val="0052777F"/>
    <w:rsid w:val="005277A3"/>
    <w:rsid w:val="0052794B"/>
    <w:rsid w:val="0052798E"/>
    <w:rsid w:val="0053018B"/>
    <w:rsid w:val="00530258"/>
    <w:rsid w:val="0053031C"/>
    <w:rsid w:val="005303CA"/>
    <w:rsid w:val="0053040D"/>
    <w:rsid w:val="00530A17"/>
    <w:rsid w:val="00530B34"/>
    <w:rsid w:val="00530EC8"/>
    <w:rsid w:val="00530F08"/>
    <w:rsid w:val="00530FB0"/>
    <w:rsid w:val="005312AA"/>
    <w:rsid w:val="005317B6"/>
    <w:rsid w:val="005317EC"/>
    <w:rsid w:val="0053199A"/>
    <w:rsid w:val="00531A52"/>
    <w:rsid w:val="00531D22"/>
    <w:rsid w:val="00531EC4"/>
    <w:rsid w:val="0053207C"/>
    <w:rsid w:val="00532092"/>
    <w:rsid w:val="005322D2"/>
    <w:rsid w:val="00532516"/>
    <w:rsid w:val="0053259D"/>
    <w:rsid w:val="00532B1F"/>
    <w:rsid w:val="00532B85"/>
    <w:rsid w:val="00532CAA"/>
    <w:rsid w:val="00532E3B"/>
    <w:rsid w:val="00532ED6"/>
    <w:rsid w:val="00533096"/>
    <w:rsid w:val="00533459"/>
    <w:rsid w:val="005339AE"/>
    <w:rsid w:val="00533A42"/>
    <w:rsid w:val="00533C58"/>
    <w:rsid w:val="00533C9F"/>
    <w:rsid w:val="00533D0A"/>
    <w:rsid w:val="00533E70"/>
    <w:rsid w:val="005343AA"/>
    <w:rsid w:val="0053447A"/>
    <w:rsid w:val="00534507"/>
    <w:rsid w:val="005347AF"/>
    <w:rsid w:val="005348EF"/>
    <w:rsid w:val="00534AC8"/>
    <w:rsid w:val="00534D2D"/>
    <w:rsid w:val="00534E0D"/>
    <w:rsid w:val="00534F0A"/>
    <w:rsid w:val="00534F87"/>
    <w:rsid w:val="0053534E"/>
    <w:rsid w:val="0053544C"/>
    <w:rsid w:val="005354DA"/>
    <w:rsid w:val="00535587"/>
    <w:rsid w:val="005356BB"/>
    <w:rsid w:val="00535C71"/>
    <w:rsid w:val="00535CBC"/>
    <w:rsid w:val="00535CC7"/>
    <w:rsid w:val="00535D17"/>
    <w:rsid w:val="005361F7"/>
    <w:rsid w:val="005365F9"/>
    <w:rsid w:val="00536613"/>
    <w:rsid w:val="0053661E"/>
    <w:rsid w:val="00536A10"/>
    <w:rsid w:val="00536B51"/>
    <w:rsid w:val="00536BC6"/>
    <w:rsid w:val="00536C02"/>
    <w:rsid w:val="00536F3D"/>
    <w:rsid w:val="0053717C"/>
    <w:rsid w:val="005372C1"/>
    <w:rsid w:val="0053730F"/>
    <w:rsid w:val="00537342"/>
    <w:rsid w:val="005376AF"/>
    <w:rsid w:val="00537713"/>
    <w:rsid w:val="00537BE1"/>
    <w:rsid w:val="00537C2A"/>
    <w:rsid w:val="00537D49"/>
    <w:rsid w:val="00540155"/>
    <w:rsid w:val="00540585"/>
    <w:rsid w:val="005405B3"/>
    <w:rsid w:val="0054089B"/>
    <w:rsid w:val="00540A31"/>
    <w:rsid w:val="00540AD1"/>
    <w:rsid w:val="00540FB7"/>
    <w:rsid w:val="00541279"/>
    <w:rsid w:val="00541298"/>
    <w:rsid w:val="00541358"/>
    <w:rsid w:val="005414F6"/>
    <w:rsid w:val="00541D9D"/>
    <w:rsid w:val="00541DDE"/>
    <w:rsid w:val="00542193"/>
    <w:rsid w:val="00542352"/>
    <w:rsid w:val="00542A76"/>
    <w:rsid w:val="00542C3F"/>
    <w:rsid w:val="00542EF2"/>
    <w:rsid w:val="00542F4F"/>
    <w:rsid w:val="005431EF"/>
    <w:rsid w:val="0054325B"/>
    <w:rsid w:val="005434B6"/>
    <w:rsid w:val="005438B0"/>
    <w:rsid w:val="00543B11"/>
    <w:rsid w:val="00543B22"/>
    <w:rsid w:val="00543B92"/>
    <w:rsid w:val="00543BD5"/>
    <w:rsid w:val="00543BDD"/>
    <w:rsid w:val="00543D28"/>
    <w:rsid w:val="00543D44"/>
    <w:rsid w:val="00544007"/>
    <w:rsid w:val="005440AD"/>
    <w:rsid w:val="005444FC"/>
    <w:rsid w:val="00544A28"/>
    <w:rsid w:val="00544B61"/>
    <w:rsid w:val="00544E34"/>
    <w:rsid w:val="005450E1"/>
    <w:rsid w:val="0054526D"/>
    <w:rsid w:val="00545646"/>
    <w:rsid w:val="00545653"/>
    <w:rsid w:val="005456CD"/>
    <w:rsid w:val="0054580C"/>
    <w:rsid w:val="005459B4"/>
    <w:rsid w:val="00545BCD"/>
    <w:rsid w:val="00545BCF"/>
    <w:rsid w:val="00545D01"/>
    <w:rsid w:val="00545D28"/>
    <w:rsid w:val="00546175"/>
    <w:rsid w:val="00546392"/>
    <w:rsid w:val="005463E1"/>
    <w:rsid w:val="0054668E"/>
    <w:rsid w:val="005468C6"/>
    <w:rsid w:val="00546AAA"/>
    <w:rsid w:val="00546E6F"/>
    <w:rsid w:val="00547081"/>
    <w:rsid w:val="005475EB"/>
    <w:rsid w:val="00547725"/>
    <w:rsid w:val="00547946"/>
    <w:rsid w:val="00547FE2"/>
    <w:rsid w:val="00550585"/>
    <w:rsid w:val="00550711"/>
    <w:rsid w:val="00550919"/>
    <w:rsid w:val="00550D6C"/>
    <w:rsid w:val="00551039"/>
    <w:rsid w:val="005512B2"/>
    <w:rsid w:val="00551313"/>
    <w:rsid w:val="005514D8"/>
    <w:rsid w:val="005516AF"/>
    <w:rsid w:val="00551AD1"/>
    <w:rsid w:val="00551AF9"/>
    <w:rsid w:val="00551F5E"/>
    <w:rsid w:val="00552016"/>
    <w:rsid w:val="005525BC"/>
    <w:rsid w:val="005526DD"/>
    <w:rsid w:val="005528E8"/>
    <w:rsid w:val="00552B38"/>
    <w:rsid w:val="00552C46"/>
    <w:rsid w:val="00552E36"/>
    <w:rsid w:val="00552E40"/>
    <w:rsid w:val="00553204"/>
    <w:rsid w:val="005533A8"/>
    <w:rsid w:val="0055344C"/>
    <w:rsid w:val="00553661"/>
    <w:rsid w:val="0055366D"/>
    <w:rsid w:val="00553AF4"/>
    <w:rsid w:val="00553BBD"/>
    <w:rsid w:val="00553C0B"/>
    <w:rsid w:val="00553C76"/>
    <w:rsid w:val="00553CC4"/>
    <w:rsid w:val="00553DB5"/>
    <w:rsid w:val="00554140"/>
    <w:rsid w:val="0055419B"/>
    <w:rsid w:val="00554373"/>
    <w:rsid w:val="005543CA"/>
    <w:rsid w:val="0055496D"/>
    <w:rsid w:val="00554CE9"/>
    <w:rsid w:val="00554E07"/>
    <w:rsid w:val="00554E69"/>
    <w:rsid w:val="00554EB7"/>
    <w:rsid w:val="00554FE4"/>
    <w:rsid w:val="00555058"/>
    <w:rsid w:val="00555059"/>
    <w:rsid w:val="005553AE"/>
    <w:rsid w:val="00555404"/>
    <w:rsid w:val="005557B8"/>
    <w:rsid w:val="00555BE1"/>
    <w:rsid w:val="00555F8A"/>
    <w:rsid w:val="00556716"/>
    <w:rsid w:val="00556914"/>
    <w:rsid w:val="00556A28"/>
    <w:rsid w:val="00556BA5"/>
    <w:rsid w:val="00556ED6"/>
    <w:rsid w:val="005572C9"/>
    <w:rsid w:val="0055731F"/>
    <w:rsid w:val="005574E1"/>
    <w:rsid w:val="0055757C"/>
    <w:rsid w:val="0055761E"/>
    <w:rsid w:val="00557709"/>
    <w:rsid w:val="005577B6"/>
    <w:rsid w:val="0055782A"/>
    <w:rsid w:val="00557942"/>
    <w:rsid w:val="00557A37"/>
    <w:rsid w:val="00557BBC"/>
    <w:rsid w:val="00557CA1"/>
    <w:rsid w:val="00557CAA"/>
    <w:rsid w:val="00557CC7"/>
    <w:rsid w:val="00560024"/>
    <w:rsid w:val="00560276"/>
    <w:rsid w:val="0056056D"/>
    <w:rsid w:val="005605E5"/>
    <w:rsid w:val="00560C5C"/>
    <w:rsid w:val="00560EDB"/>
    <w:rsid w:val="00560FF6"/>
    <w:rsid w:val="005612CE"/>
    <w:rsid w:val="005612F3"/>
    <w:rsid w:val="005615AA"/>
    <w:rsid w:val="005615E9"/>
    <w:rsid w:val="00561A27"/>
    <w:rsid w:val="00561D08"/>
    <w:rsid w:val="00561FBF"/>
    <w:rsid w:val="005624AE"/>
    <w:rsid w:val="005624C5"/>
    <w:rsid w:val="005625B3"/>
    <w:rsid w:val="00562E0B"/>
    <w:rsid w:val="00563592"/>
    <w:rsid w:val="005637BE"/>
    <w:rsid w:val="00563BCC"/>
    <w:rsid w:val="00563C08"/>
    <w:rsid w:val="00563E64"/>
    <w:rsid w:val="00563EFA"/>
    <w:rsid w:val="00563F71"/>
    <w:rsid w:val="0056445C"/>
    <w:rsid w:val="0056467C"/>
    <w:rsid w:val="00564700"/>
    <w:rsid w:val="00564993"/>
    <w:rsid w:val="00564A27"/>
    <w:rsid w:val="00564AEB"/>
    <w:rsid w:val="00564F10"/>
    <w:rsid w:val="005656FE"/>
    <w:rsid w:val="00565819"/>
    <w:rsid w:val="00565D4B"/>
    <w:rsid w:val="00565F1E"/>
    <w:rsid w:val="005660BC"/>
    <w:rsid w:val="005664DB"/>
    <w:rsid w:val="0056650A"/>
    <w:rsid w:val="00566612"/>
    <w:rsid w:val="00566676"/>
    <w:rsid w:val="0056694B"/>
    <w:rsid w:val="00566B1E"/>
    <w:rsid w:val="00566D0B"/>
    <w:rsid w:val="00567410"/>
    <w:rsid w:val="00567759"/>
    <w:rsid w:val="00567B1A"/>
    <w:rsid w:val="00570100"/>
    <w:rsid w:val="005701CE"/>
    <w:rsid w:val="005701E2"/>
    <w:rsid w:val="00570245"/>
    <w:rsid w:val="005702F9"/>
    <w:rsid w:val="00570359"/>
    <w:rsid w:val="005703A4"/>
    <w:rsid w:val="005703B5"/>
    <w:rsid w:val="005707D1"/>
    <w:rsid w:val="0057084F"/>
    <w:rsid w:val="00570C13"/>
    <w:rsid w:val="00570CEA"/>
    <w:rsid w:val="00570EBE"/>
    <w:rsid w:val="005710C2"/>
    <w:rsid w:val="0057113E"/>
    <w:rsid w:val="00571452"/>
    <w:rsid w:val="0057154C"/>
    <w:rsid w:val="0057181B"/>
    <w:rsid w:val="0057194A"/>
    <w:rsid w:val="00571D24"/>
    <w:rsid w:val="00571DCD"/>
    <w:rsid w:val="0057226B"/>
    <w:rsid w:val="00572489"/>
    <w:rsid w:val="0057270A"/>
    <w:rsid w:val="00572726"/>
    <w:rsid w:val="00572793"/>
    <w:rsid w:val="005728A1"/>
    <w:rsid w:val="005729FE"/>
    <w:rsid w:val="00572AA4"/>
    <w:rsid w:val="00572F1F"/>
    <w:rsid w:val="005730D8"/>
    <w:rsid w:val="00573165"/>
    <w:rsid w:val="005731D9"/>
    <w:rsid w:val="0057321D"/>
    <w:rsid w:val="00573947"/>
    <w:rsid w:val="00573A42"/>
    <w:rsid w:val="00573BC9"/>
    <w:rsid w:val="00573D9C"/>
    <w:rsid w:val="00573DD2"/>
    <w:rsid w:val="00574406"/>
    <w:rsid w:val="005745AB"/>
    <w:rsid w:val="00574913"/>
    <w:rsid w:val="0057496E"/>
    <w:rsid w:val="00574B14"/>
    <w:rsid w:val="00574D3F"/>
    <w:rsid w:val="00574F82"/>
    <w:rsid w:val="0057515F"/>
    <w:rsid w:val="00575222"/>
    <w:rsid w:val="005752AE"/>
    <w:rsid w:val="005752C8"/>
    <w:rsid w:val="005759AD"/>
    <w:rsid w:val="005762B9"/>
    <w:rsid w:val="005762DD"/>
    <w:rsid w:val="0057642B"/>
    <w:rsid w:val="0057645A"/>
    <w:rsid w:val="005766CF"/>
    <w:rsid w:val="005768DF"/>
    <w:rsid w:val="00576916"/>
    <w:rsid w:val="00576D60"/>
    <w:rsid w:val="00576E85"/>
    <w:rsid w:val="00576FE2"/>
    <w:rsid w:val="00577011"/>
    <w:rsid w:val="00577597"/>
    <w:rsid w:val="005776B1"/>
    <w:rsid w:val="005776E4"/>
    <w:rsid w:val="005778D4"/>
    <w:rsid w:val="00577D2F"/>
    <w:rsid w:val="00580031"/>
    <w:rsid w:val="00580455"/>
    <w:rsid w:val="0058079A"/>
    <w:rsid w:val="005807B3"/>
    <w:rsid w:val="005808C9"/>
    <w:rsid w:val="00580BDC"/>
    <w:rsid w:val="00580CCF"/>
    <w:rsid w:val="00580CE0"/>
    <w:rsid w:val="00580CFB"/>
    <w:rsid w:val="00580ED0"/>
    <w:rsid w:val="00580F31"/>
    <w:rsid w:val="00581241"/>
    <w:rsid w:val="0058128B"/>
    <w:rsid w:val="005815BC"/>
    <w:rsid w:val="005818E9"/>
    <w:rsid w:val="00581953"/>
    <w:rsid w:val="00581B1B"/>
    <w:rsid w:val="00581E92"/>
    <w:rsid w:val="005820CB"/>
    <w:rsid w:val="005820DF"/>
    <w:rsid w:val="005821D1"/>
    <w:rsid w:val="005822A2"/>
    <w:rsid w:val="005824B8"/>
    <w:rsid w:val="005825D7"/>
    <w:rsid w:val="00582CCC"/>
    <w:rsid w:val="00582EE1"/>
    <w:rsid w:val="00583228"/>
    <w:rsid w:val="005833B8"/>
    <w:rsid w:val="005836D7"/>
    <w:rsid w:val="00583737"/>
    <w:rsid w:val="005839AE"/>
    <w:rsid w:val="005839B8"/>
    <w:rsid w:val="005839CA"/>
    <w:rsid w:val="00583C9A"/>
    <w:rsid w:val="00583D33"/>
    <w:rsid w:val="00584159"/>
    <w:rsid w:val="0058421C"/>
    <w:rsid w:val="0058424A"/>
    <w:rsid w:val="00584294"/>
    <w:rsid w:val="00584321"/>
    <w:rsid w:val="0058475D"/>
    <w:rsid w:val="00584972"/>
    <w:rsid w:val="00584E58"/>
    <w:rsid w:val="00584F7A"/>
    <w:rsid w:val="00585023"/>
    <w:rsid w:val="0058513E"/>
    <w:rsid w:val="00585167"/>
    <w:rsid w:val="005851A2"/>
    <w:rsid w:val="005852DE"/>
    <w:rsid w:val="00585385"/>
    <w:rsid w:val="0058575D"/>
    <w:rsid w:val="00585827"/>
    <w:rsid w:val="00585BAF"/>
    <w:rsid w:val="00585C0F"/>
    <w:rsid w:val="00585FC6"/>
    <w:rsid w:val="00586009"/>
    <w:rsid w:val="0058607F"/>
    <w:rsid w:val="00586151"/>
    <w:rsid w:val="0058646D"/>
    <w:rsid w:val="00586489"/>
    <w:rsid w:val="00586661"/>
    <w:rsid w:val="00586695"/>
    <w:rsid w:val="00586785"/>
    <w:rsid w:val="0058687E"/>
    <w:rsid w:val="005868AF"/>
    <w:rsid w:val="00586C3F"/>
    <w:rsid w:val="00586D37"/>
    <w:rsid w:val="00586E2A"/>
    <w:rsid w:val="00586F10"/>
    <w:rsid w:val="005873D7"/>
    <w:rsid w:val="005874AD"/>
    <w:rsid w:val="00587524"/>
    <w:rsid w:val="0058754A"/>
    <w:rsid w:val="005875BA"/>
    <w:rsid w:val="0058764C"/>
    <w:rsid w:val="00587A16"/>
    <w:rsid w:val="00587A7D"/>
    <w:rsid w:val="00587AF4"/>
    <w:rsid w:val="00587E77"/>
    <w:rsid w:val="005900C3"/>
    <w:rsid w:val="0059021B"/>
    <w:rsid w:val="005903AF"/>
    <w:rsid w:val="005904F5"/>
    <w:rsid w:val="00590827"/>
    <w:rsid w:val="00590DA0"/>
    <w:rsid w:val="00590EBE"/>
    <w:rsid w:val="00591008"/>
    <w:rsid w:val="00591CC5"/>
    <w:rsid w:val="00592015"/>
    <w:rsid w:val="0059205D"/>
    <w:rsid w:val="005922E5"/>
    <w:rsid w:val="005927FB"/>
    <w:rsid w:val="0059281C"/>
    <w:rsid w:val="00592960"/>
    <w:rsid w:val="00592B38"/>
    <w:rsid w:val="00592E19"/>
    <w:rsid w:val="0059301E"/>
    <w:rsid w:val="0059316D"/>
    <w:rsid w:val="00593428"/>
    <w:rsid w:val="0059353B"/>
    <w:rsid w:val="00593CC3"/>
    <w:rsid w:val="00593D6A"/>
    <w:rsid w:val="00593D95"/>
    <w:rsid w:val="00594943"/>
    <w:rsid w:val="00594EAD"/>
    <w:rsid w:val="005952D6"/>
    <w:rsid w:val="00595436"/>
    <w:rsid w:val="0059560B"/>
    <w:rsid w:val="00595716"/>
    <w:rsid w:val="005957A2"/>
    <w:rsid w:val="005957DD"/>
    <w:rsid w:val="00595974"/>
    <w:rsid w:val="005959C3"/>
    <w:rsid w:val="00595A5B"/>
    <w:rsid w:val="00595B93"/>
    <w:rsid w:val="00595D34"/>
    <w:rsid w:val="00595F58"/>
    <w:rsid w:val="00596263"/>
    <w:rsid w:val="00596319"/>
    <w:rsid w:val="0059637E"/>
    <w:rsid w:val="005963C3"/>
    <w:rsid w:val="005966BB"/>
    <w:rsid w:val="0059687E"/>
    <w:rsid w:val="00596A26"/>
    <w:rsid w:val="00596C6B"/>
    <w:rsid w:val="00597245"/>
    <w:rsid w:val="00597347"/>
    <w:rsid w:val="0059738A"/>
    <w:rsid w:val="00597415"/>
    <w:rsid w:val="0059745A"/>
    <w:rsid w:val="0059746D"/>
    <w:rsid w:val="0059790B"/>
    <w:rsid w:val="0059795F"/>
    <w:rsid w:val="0059799F"/>
    <w:rsid w:val="00597A58"/>
    <w:rsid w:val="00597B3D"/>
    <w:rsid w:val="00597C88"/>
    <w:rsid w:val="00597CBA"/>
    <w:rsid w:val="00597FB3"/>
    <w:rsid w:val="005A0045"/>
    <w:rsid w:val="005A02B5"/>
    <w:rsid w:val="005A074A"/>
    <w:rsid w:val="005A0831"/>
    <w:rsid w:val="005A0B8D"/>
    <w:rsid w:val="005A0BDE"/>
    <w:rsid w:val="005A0FAB"/>
    <w:rsid w:val="005A0FF3"/>
    <w:rsid w:val="005A16B4"/>
    <w:rsid w:val="005A16EC"/>
    <w:rsid w:val="005A1744"/>
    <w:rsid w:val="005A18CF"/>
    <w:rsid w:val="005A1978"/>
    <w:rsid w:val="005A1CAE"/>
    <w:rsid w:val="005A1E55"/>
    <w:rsid w:val="005A1E7F"/>
    <w:rsid w:val="005A209A"/>
    <w:rsid w:val="005A21EE"/>
    <w:rsid w:val="005A224D"/>
    <w:rsid w:val="005A25D4"/>
    <w:rsid w:val="005A2AEA"/>
    <w:rsid w:val="005A2B34"/>
    <w:rsid w:val="005A2B57"/>
    <w:rsid w:val="005A2EC9"/>
    <w:rsid w:val="005A2F13"/>
    <w:rsid w:val="005A3036"/>
    <w:rsid w:val="005A3158"/>
    <w:rsid w:val="005A32AE"/>
    <w:rsid w:val="005A336B"/>
    <w:rsid w:val="005A36B5"/>
    <w:rsid w:val="005A3738"/>
    <w:rsid w:val="005A3764"/>
    <w:rsid w:val="005A390F"/>
    <w:rsid w:val="005A3C02"/>
    <w:rsid w:val="005A42E4"/>
    <w:rsid w:val="005A4A5A"/>
    <w:rsid w:val="005A4B0D"/>
    <w:rsid w:val="005A4C63"/>
    <w:rsid w:val="005A4F8E"/>
    <w:rsid w:val="005A50FD"/>
    <w:rsid w:val="005A516D"/>
    <w:rsid w:val="005A53FE"/>
    <w:rsid w:val="005A59E1"/>
    <w:rsid w:val="005A5A0D"/>
    <w:rsid w:val="005A5C81"/>
    <w:rsid w:val="005A5CA8"/>
    <w:rsid w:val="005A5CB7"/>
    <w:rsid w:val="005A60A4"/>
    <w:rsid w:val="005A632D"/>
    <w:rsid w:val="005A64B8"/>
    <w:rsid w:val="005A64DE"/>
    <w:rsid w:val="005A6841"/>
    <w:rsid w:val="005A6B21"/>
    <w:rsid w:val="005A6B5B"/>
    <w:rsid w:val="005A7048"/>
    <w:rsid w:val="005A71DA"/>
    <w:rsid w:val="005A73EC"/>
    <w:rsid w:val="005A75CE"/>
    <w:rsid w:val="005A7650"/>
    <w:rsid w:val="005A7986"/>
    <w:rsid w:val="005A7AB4"/>
    <w:rsid w:val="005A7CE0"/>
    <w:rsid w:val="005A7FE4"/>
    <w:rsid w:val="005B0042"/>
    <w:rsid w:val="005B0230"/>
    <w:rsid w:val="005B02A6"/>
    <w:rsid w:val="005B02CF"/>
    <w:rsid w:val="005B0371"/>
    <w:rsid w:val="005B09EB"/>
    <w:rsid w:val="005B0B10"/>
    <w:rsid w:val="005B0C2B"/>
    <w:rsid w:val="005B0E5D"/>
    <w:rsid w:val="005B102C"/>
    <w:rsid w:val="005B102F"/>
    <w:rsid w:val="005B11E5"/>
    <w:rsid w:val="005B12F9"/>
    <w:rsid w:val="005B155E"/>
    <w:rsid w:val="005B18F1"/>
    <w:rsid w:val="005B193C"/>
    <w:rsid w:val="005B19B3"/>
    <w:rsid w:val="005B1A62"/>
    <w:rsid w:val="005B1BE7"/>
    <w:rsid w:val="005B1C48"/>
    <w:rsid w:val="005B1DCC"/>
    <w:rsid w:val="005B1EB6"/>
    <w:rsid w:val="005B200E"/>
    <w:rsid w:val="005B237C"/>
    <w:rsid w:val="005B2992"/>
    <w:rsid w:val="005B2CC1"/>
    <w:rsid w:val="005B2FD5"/>
    <w:rsid w:val="005B301D"/>
    <w:rsid w:val="005B3282"/>
    <w:rsid w:val="005B36CF"/>
    <w:rsid w:val="005B3929"/>
    <w:rsid w:val="005B39F8"/>
    <w:rsid w:val="005B3B62"/>
    <w:rsid w:val="005B3B79"/>
    <w:rsid w:val="005B3C49"/>
    <w:rsid w:val="005B3F14"/>
    <w:rsid w:val="005B3F1A"/>
    <w:rsid w:val="005B3F23"/>
    <w:rsid w:val="005B3FE8"/>
    <w:rsid w:val="005B4045"/>
    <w:rsid w:val="005B432E"/>
    <w:rsid w:val="005B4BBF"/>
    <w:rsid w:val="005B4D9E"/>
    <w:rsid w:val="005B4E41"/>
    <w:rsid w:val="005B5165"/>
    <w:rsid w:val="005B5390"/>
    <w:rsid w:val="005B5597"/>
    <w:rsid w:val="005B58A4"/>
    <w:rsid w:val="005B58E3"/>
    <w:rsid w:val="005B5967"/>
    <w:rsid w:val="005B5A28"/>
    <w:rsid w:val="005B5B1C"/>
    <w:rsid w:val="005B5B5D"/>
    <w:rsid w:val="005B5D7F"/>
    <w:rsid w:val="005B6040"/>
    <w:rsid w:val="005B60A1"/>
    <w:rsid w:val="005B617C"/>
    <w:rsid w:val="005B6236"/>
    <w:rsid w:val="005B68B6"/>
    <w:rsid w:val="005B6CA0"/>
    <w:rsid w:val="005B6DA1"/>
    <w:rsid w:val="005B6DA6"/>
    <w:rsid w:val="005B6DD7"/>
    <w:rsid w:val="005B6F23"/>
    <w:rsid w:val="005B72AD"/>
    <w:rsid w:val="005B768E"/>
    <w:rsid w:val="005B782F"/>
    <w:rsid w:val="005B7885"/>
    <w:rsid w:val="005B79C2"/>
    <w:rsid w:val="005B7AC2"/>
    <w:rsid w:val="005B7BDE"/>
    <w:rsid w:val="005B7F0F"/>
    <w:rsid w:val="005C024A"/>
    <w:rsid w:val="005C03B8"/>
    <w:rsid w:val="005C0646"/>
    <w:rsid w:val="005C075E"/>
    <w:rsid w:val="005C0BD3"/>
    <w:rsid w:val="005C0E22"/>
    <w:rsid w:val="005C0E97"/>
    <w:rsid w:val="005C0F59"/>
    <w:rsid w:val="005C1217"/>
    <w:rsid w:val="005C128D"/>
    <w:rsid w:val="005C1496"/>
    <w:rsid w:val="005C184E"/>
    <w:rsid w:val="005C18EB"/>
    <w:rsid w:val="005C19D9"/>
    <w:rsid w:val="005C19E0"/>
    <w:rsid w:val="005C2218"/>
    <w:rsid w:val="005C2747"/>
    <w:rsid w:val="005C27EE"/>
    <w:rsid w:val="005C2804"/>
    <w:rsid w:val="005C2D07"/>
    <w:rsid w:val="005C2E6B"/>
    <w:rsid w:val="005C31FF"/>
    <w:rsid w:val="005C3262"/>
    <w:rsid w:val="005C364A"/>
    <w:rsid w:val="005C3C50"/>
    <w:rsid w:val="005C4007"/>
    <w:rsid w:val="005C42A0"/>
    <w:rsid w:val="005C4637"/>
    <w:rsid w:val="005C477C"/>
    <w:rsid w:val="005C49DF"/>
    <w:rsid w:val="005C4A13"/>
    <w:rsid w:val="005C4A85"/>
    <w:rsid w:val="005C4B49"/>
    <w:rsid w:val="005C4DA3"/>
    <w:rsid w:val="005C4DE6"/>
    <w:rsid w:val="005C4EF3"/>
    <w:rsid w:val="005C4FE5"/>
    <w:rsid w:val="005C508F"/>
    <w:rsid w:val="005C50FE"/>
    <w:rsid w:val="005C5138"/>
    <w:rsid w:val="005C5185"/>
    <w:rsid w:val="005C53BC"/>
    <w:rsid w:val="005C540D"/>
    <w:rsid w:val="005C5441"/>
    <w:rsid w:val="005C5573"/>
    <w:rsid w:val="005C559C"/>
    <w:rsid w:val="005C563D"/>
    <w:rsid w:val="005C57C7"/>
    <w:rsid w:val="005C5817"/>
    <w:rsid w:val="005C5869"/>
    <w:rsid w:val="005C5B2B"/>
    <w:rsid w:val="005C6020"/>
    <w:rsid w:val="005C60DB"/>
    <w:rsid w:val="005C6555"/>
    <w:rsid w:val="005C65CC"/>
    <w:rsid w:val="005C6827"/>
    <w:rsid w:val="005C68BB"/>
    <w:rsid w:val="005C6E1A"/>
    <w:rsid w:val="005C6E68"/>
    <w:rsid w:val="005C6EBE"/>
    <w:rsid w:val="005C7143"/>
    <w:rsid w:val="005C7435"/>
    <w:rsid w:val="005C7491"/>
    <w:rsid w:val="005C7571"/>
    <w:rsid w:val="005C7C15"/>
    <w:rsid w:val="005C7FAF"/>
    <w:rsid w:val="005C7FB0"/>
    <w:rsid w:val="005C7FF3"/>
    <w:rsid w:val="005D0083"/>
    <w:rsid w:val="005D00A0"/>
    <w:rsid w:val="005D00AF"/>
    <w:rsid w:val="005D0110"/>
    <w:rsid w:val="005D0173"/>
    <w:rsid w:val="005D02E6"/>
    <w:rsid w:val="005D04D9"/>
    <w:rsid w:val="005D082E"/>
    <w:rsid w:val="005D0A44"/>
    <w:rsid w:val="005D0A7B"/>
    <w:rsid w:val="005D0AA2"/>
    <w:rsid w:val="005D0AA6"/>
    <w:rsid w:val="005D0CD6"/>
    <w:rsid w:val="005D143C"/>
    <w:rsid w:val="005D1446"/>
    <w:rsid w:val="005D166F"/>
    <w:rsid w:val="005D1752"/>
    <w:rsid w:val="005D1766"/>
    <w:rsid w:val="005D18F8"/>
    <w:rsid w:val="005D1A4E"/>
    <w:rsid w:val="005D20F4"/>
    <w:rsid w:val="005D24FD"/>
    <w:rsid w:val="005D28A1"/>
    <w:rsid w:val="005D29B1"/>
    <w:rsid w:val="005D2B99"/>
    <w:rsid w:val="005D2CBB"/>
    <w:rsid w:val="005D2D6F"/>
    <w:rsid w:val="005D2EB3"/>
    <w:rsid w:val="005D31C0"/>
    <w:rsid w:val="005D377A"/>
    <w:rsid w:val="005D3DC2"/>
    <w:rsid w:val="005D3E08"/>
    <w:rsid w:val="005D4098"/>
    <w:rsid w:val="005D40F2"/>
    <w:rsid w:val="005D4256"/>
    <w:rsid w:val="005D42B1"/>
    <w:rsid w:val="005D42FF"/>
    <w:rsid w:val="005D45D3"/>
    <w:rsid w:val="005D46D2"/>
    <w:rsid w:val="005D4C7D"/>
    <w:rsid w:val="005D4EA1"/>
    <w:rsid w:val="005D4F6B"/>
    <w:rsid w:val="005D5376"/>
    <w:rsid w:val="005D5692"/>
    <w:rsid w:val="005D59A5"/>
    <w:rsid w:val="005D5B56"/>
    <w:rsid w:val="005D5D81"/>
    <w:rsid w:val="005D5FB0"/>
    <w:rsid w:val="005D6094"/>
    <w:rsid w:val="005D6319"/>
    <w:rsid w:val="005D67B5"/>
    <w:rsid w:val="005D682D"/>
    <w:rsid w:val="005D68E2"/>
    <w:rsid w:val="005D7050"/>
    <w:rsid w:val="005D72C5"/>
    <w:rsid w:val="005D738B"/>
    <w:rsid w:val="005D782C"/>
    <w:rsid w:val="005D7AAA"/>
    <w:rsid w:val="005D7D49"/>
    <w:rsid w:val="005D7E31"/>
    <w:rsid w:val="005D7FB9"/>
    <w:rsid w:val="005E0335"/>
    <w:rsid w:val="005E05D1"/>
    <w:rsid w:val="005E0AD2"/>
    <w:rsid w:val="005E1269"/>
    <w:rsid w:val="005E138A"/>
    <w:rsid w:val="005E16AF"/>
    <w:rsid w:val="005E175D"/>
    <w:rsid w:val="005E19A7"/>
    <w:rsid w:val="005E19DA"/>
    <w:rsid w:val="005E19F8"/>
    <w:rsid w:val="005E1B95"/>
    <w:rsid w:val="005E1D07"/>
    <w:rsid w:val="005E1FA5"/>
    <w:rsid w:val="005E200B"/>
    <w:rsid w:val="005E213F"/>
    <w:rsid w:val="005E2238"/>
    <w:rsid w:val="005E24BB"/>
    <w:rsid w:val="005E251B"/>
    <w:rsid w:val="005E2A57"/>
    <w:rsid w:val="005E2CD2"/>
    <w:rsid w:val="005E2E29"/>
    <w:rsid w:val="005E2FCF"/>
    <w:rsid w:val="005E349A"/>
    <w:rsid w:val="005E3703"/>
    <w:rsid w:val="005E398D"/>
    <w:rsid w:val="005E3A3D"/>
    <w:rsid w:val="005E3B33"/>
    <w:rsid w:val="005E3B3F"/>
    <w:rsid w:val="005E3CA0"/>
    <w:rsid w:val="005E3FC5"/>
    <w:rsid w:val="005E4235"/>
    <w:rsid w:val="005E4354"/>
    <w:rsid w:val="005E4827"/>
    <w:rsid w:val="005E4D68"/>
    <w:rsid w:val="005E4EEB"/>
    <w:rsid w:val="005E5460"/>
    <w:rsid w:val="005E55C1"/>
    <w:rsid w:val="005E5B05"/>
    <w:rsid w:val="005E5DE4"/>
    <w:rsid w:val="005E5F06"/>
    <w:rsid w:val="005E5FA7"/>
    <w:rsid w:val="005E61C1"/>
    <w:rsid w:val="005E6581"/>
    <w:rsid w:val="005E65B4"/>
    <w:rsid w:val="005E69E2"/>
    <w:rsid w:val="005E6DCE"/>
    <w:rsid w:val="005E6E58"/>
    <w:rsid w:val="005E6F76"/>
    <w:rsid w:val="005E6FF7"/>
    <w:rsid w:val="005E71C2"/>
    <w:rsid w:val="005E759C"/>
    <w:rsid w:val="005E77E9"/>
    <w:rsid w:val="005E7CEC"/>
    <w:rsid w:val="005E7D94"/>
    <w:rsid w:val="005E7DC2"/>
    <w:rsid w:val="005F0018"/>
    <w:rsid w:val="005F0041"/>
    <w:rsid w:val="005F012D"/>
    <w:rsid w:val="005F018A"/>
    <w:rsid w:val="005F03C8"/>
    <w:rsid w:val="005F049F"/>
    <w:rsid w:val="005F04BB"/>
    <w:rsid w:val="005F070D"/>
    <w:rsid w:val="005F0848"/>
    <w:rsid w:val="005F09BC"/>
    <w:rsid w:val="005F0A0B"/>
    <w:rsid w:val="005F0BED"/>
    <w:rsid w:val="005F0FB4"/>
    <w:rsid w:val="005F10B1"/>
    <w:rsid w:val="005F1634"/>
    <w:rsid w:val="005F18C2"/>
    <w:rsid w:val="005F1A89"/>
    <w:rsid w:val="005F1D63"/>
    <w:rsid w:val="005F1E8F"/>
    <w:rsid w:val="005F229C"/>
    <w:rsid w:val="005F24D2"/>
    <w:rsid w:val="005F2772"/>
    <w:rsid w:val="005F27BE"/>
    <w:rsid w:val="005F2F7A"/>
    <w:rsid w:val="005F2FEE"/>
    <w:rsid w:val="005F3649"/>
    <w:rsid w:val="005F3683"/>
    <w:rsid w:val="005F3A63"/>
    <w:rsid w:val="005F4AC4"/>
    <w:rsid w:val="005F4BBD"/>
    <w:rsid w:val="005F4F2A"/>
    <w:rsid w:val="005F50D5"/>
    <w:rsid w:val="005F5472"/>
    <w:rsid w:val="005F5529"/>
    <w:rsid w:val="005F58DE"/>
    <w:rsid w:val="005F5BFD"/>
    <w:rsid w:val="005F5C41"/>
    <w:rsid w:val="005F5D85"/>
    <w:rsid w:val="005F5FE5"/>
    <w:rsid w:val="005F6014"/>
    <w:rsid w:val="005F625A"/>
    <w:rsid w:val="005F633D"/>
    <w:rsid w:val="005F6440"/>
    <w:rsid w:val="005F6818"/>
    <w:rsid w:val="005F6C28"/>
    <w:rsid w:val="005F6EBE"/>
    <w:rsid w:val="005F73F8"/>
    <w:rsid w:val="005F76F4"/>
    <w:rsid w:val="005F7851"/>
    <w:rsid w:val="005F78CE"/>
    <w:rsid w:val="005F79E5"/>
    <w:rsid w:val="005F7A24"/>
    <w:rsid w:val="005F7A5C"/>
    <w:rsid w:val="005F7A75"/>
    <w:rsid w:val="005F7DEF"/>
    <w:rsid w:val="006000F0"/>
    <w:rsid w:val="00600289"/>
    <w:rsid w:val="006004E6"/>
    <w:rsid w:val="006007C8"/>
    <w:rsid w:val="006008FC"/>
    <w:rsid w:val="00600BF5"/>
    <w:rsid w:val="00600E4E"/>
    <w:rsid w:val="006015EF"/>
    <w:rsid w:val="006016AB"/>
    <w:rsid w:val="00601874"/>
    <w:rsid w:val="0060198B"/>
    <w:rsid w:val="00601D83"/>
    <w:rsid w:val="00601DF1"/>
    <w:rsid w:val="00601E69"/>
    <w:rsid w:val="00601F79"/>
    <w:rsid w:val="00602057"/>
    <w:rsid w:val="006020B3"/>
    <w:rsid w:val="006021AB"/>
    <w:rsid w:val="006021F0"/>
    <w:rsid w:val="006025EE"/>
    <w:rsid w:val="006029A8"/>
    <w:rsid w:val="006029E0"/>
    <w:rsid w:val="00602DC5"/>
    <w:rsid w:val="00602E21"/>
    <w:rsid w:val="006037B7"/>
    <w:rsid w:val="006037C1"/>
    <w:rsid w:val="006038B0"/>
    <w:rsid w:val="00603ECA"/>
    <w:rsid w:val="00604585"/>
    <w:rsid w:val="0060461E"/>
    <w:rsid w:val="00604751"/>
    <w:rsid w:val="00604978"/>
    <w:rsid w:val="006049CC"/>
    <w:rsid w:val="00604ADF"/>
    <w:rsid w:val="00604B01"/>
    <w:rsid w:val="00604D06"/>
    <w:rsid w:val="00604E03"/>
    <w:rsid w:val="00605076"/>
    <w:rsid w:val="006050FE"/>
    <w:rsid w:val="00605129"/>
    <w:rsid w:val="006053DF"/>
    <w:rsid w:val="00605430"/>
    <w:rsid w:val="00605531"/>
    <w:rsid w:val="006055F5"/>
    <w:rsid w:val="0060580E"/>
    <w:rsid w:val="00605876"/>
    <w:rsid w:val="00605943"/>
    <w:rsid w:val="00605AF1"/>
    <w:rsid w:val="00605BB3"/>
    <w:rsid w:val="00605D5D"/>
    <w:rsid w:val="00606209"/>
    <w:rsid w:val="006062DA"/>
    <w:rsid w:val="006063A8"/>
    <w:rsid w:val="00606560"/>
    <w:rsid w:val="00606665"/>
    <w:rsid w:val="0060677E"/>
    <w:rsid w:val="00606A65"/>
    <w:rsid w:val="00607010"/>
    <w:rsid w:val="0060704A"/>
    <w:rsid w:val="0060750F"/>
    <w:rsid w:val="006076ED"/>
    <w:rsid w:val="00607DD4"/>
    <w:rsid w:val="00607EB6"/>
    <w:rsid w:val="00607EE8"/>
    <w:rsid w:val="00610213"/>
    <w:rsid w:val="0061023B"/>
    <w:rsid w:val="006106A7"/>
    <w:rsid w:val="00610782"/>
    <w:rsid w:val="006107DC"/>
    <w:rsid w:val="0061088D"/>
    <w:rsid w:val="006108E9"/>
    <w:rsid w:val="006109FC"/>
    <w:rsid w:val="00610A41"/>
    <w:rsid w:val="00610BA3"/>
    <w:rsid w:val="00610CE5"/>
    <w:rsid w:val="00610E38"/>
    <w:rsid w:val="00610F7E"/>
    <w:rsid w:val="00611254"/>
    <w:rsid w:val="00611361"/>
    <w:rsid w:val="0061151F"/>
    <w:rsid w:val="00611524"/>
    <w:rsid w:val="00611893"/>
    <w:rsid w:val="00611B43"/>
    <w:rsid w:val="00611FB5"/>
    <w:rsid w:val="006120EA"/>
    <w:rsid w:val="00612144"/>
    <w:rsid w:val="006122A0"/>
    <w:rsid w:val="00612402"/>
    <w:rsid w:val="006125FE"/>
    <w:rsid w:val="006126D4"/>
    <w:rsid w:val="00612710"/>
    <w:rsid w:val="00612770"/>
    <w:rsid w:val="00612871"/>
    <w:rsid w:val="00612AA3"/>
    <w:rsid w:val="00612C0F"/>
    <w:rsid w:val="00612C2C"/>
    <w:rsid w:val="00612D50"/>
    <w:rsid w:val="00612EC7"/>
    <w:rsid w:val="00613294"/>
    <w:rsid w:val="006134B3"/>
    <w:rsid w:val="0061359B"/>
    <w:rsid w:val="00613A69"/>
    <w:rsid w:val="00613AFC"/>
    <w:rsid w:val="0061432B"/>
    <w:rsid w:val="0061436B"/>
    <w:rsid w:val="0061481F"/>
    <w:rsid w:val="00614841"/>
    <w:rsid w:val="00614A01"/>
    <w:rsid w:val="00614C95"/>
    <w:rsid w:val="00614F5F"/>
    <w:rsid w:val="0061540D"/>
    <w:rsid w:val="00615507"/>
    <w:rsid w:val="006156B0"/>
    <w:rsid w:val="00615827"/>
    <w:rsid w:val="00615C87"/>
    <w:rsid w:val="00615CC1"/>
    <w:rsid w:val="00615E32"/>
    <w:rsid w:val="006161FD"/>
    <w:rsid w:val="0061639F"/>
    <w:rsid w:val="006163A3"/>
    <w:rsid w:val="006163C5"/>
    <w:rsid w:val="00616832"/>
    <w:rsid w:val="00616AFD"/>
    <w:rsid w:val="00616BF3"/>
    <w:rsid w:val="006171C1"/>
    <w:rsid w:val="00617599"/>
    <w:rsid w:val="006175AA"/>
    <w:rsid w:val="0061762B"/>
    <w:rsid w:val="0061763C"/>
    <w:rsid w:val="00617C9F"/>
    <w:rsid w:val="00617F17"/>
    <w:rsid w:val="006201DD"/>
    <w:rsid w:val="0062033B"/>
    <w:rsid w:val="0062036F"/>
    <w:rsid w:val="00620472"/>
    <w:rsid w:val="00620770"/>
    <w:rsid w:val="0062084B"/>
    <w:rsid w:val="00620AEB"/>
    <w:rsid w:val="00620D49"/>
    <w:rsid w:val="00621417"/>
    <w:rsid w:val="00621602"/>
    <w:rsid w:val="006216DD"/>
    <w:rsid w:val="0062190C"/>
    <w:rsid w:val="0062194F"/>
    <w:rsid w:val="00621C0D"/>
    <w:rsid w:val="00621C48"/>
    <w:rsid w:val="00621CBF"/>
    <w:rsid w:val="00621E5B"/>
    <w:rsid w:val="00622328"/>
    <w:rsid w:val="006223C5"/>
    <w:rsid w:val="006224EA"/>
    <w:rsid w:val="0062276B"/>
    <w:rsid w:val="00622814"/>
    <w:rsid w:val="00622AA0"/>
    <w:rsid w:val="00622AF5"/>
    <w:rsid w:val="00622CDF"/>
    <w:rsid w:val="00622F7C"/>
    <w:rsid w:val="0062305F"/>
    <w:rsid w:val="00623688"/>
    <w:rsid w:val="006237CC"/>
    <w:rsid w:val="00623AEC"/>
    <w:rsid w:val="00623CCE"/>
    <w:rsid w:val="00623CF8"/>
    <w:rsid w:val="00623E46"/>
    <w:rsid w:val="00623EC9"/>
    <w:rsid w:val="006244CF"/>
    <w:rsid w:val="00624B27"/>
    <w:rsid w:val="00624CE9"/>
    <w:rsid w:val="00624ED9"/>
    <w:rsid w:val="0062503F"/>
    <w:rsid w:val="00625397"/>
    <w:rsid w:val="00625715"/>
    <w:rsid w:val="006257B3"/>
    <w:rsid w:val="00625869"/>
    <w:rsid w:val="00625A0F"/>
    <w:rsid w:val="00625E56"/>
    <w:rsid w:val="00625F11"/>
    <w:rsid w:val="00625F6C"/>
    <w:rsid w:val="0062620E"/>
    <w:rsid w:val="00626455"/>
    <w:rsid w:val="00626601"/>
    <w:rsid w:val="006268C7"/>
    <w:rsid w:val="00626EB6"/>
    <w:rsid w:val="00626F30"/>
    <w:rsid w:val="006276A4"/>
    <w:rsid w:val="006279DC"/>
    <w:rsid w:val="00627C4B"/>
    <w:rsid w:val="00627CCB"/>
    <w:rsid w:val="00627D14"/>
    <w:rsid w:val="00627FC6"/>
    <w:rsid w:val="006305A6"/>
    <w:rsid w:val="006306F4"/>
    <w:rsid w:val="0063082E"/>
    <w:rsid w:val="006308E6"/>
    <w:rsid w:val="006309B8"/>
    <w:rsid w:val="00630A6F"/>
    <w:rsid w:val="00630CF2"/>
    <w:rsid w:val="006310F5"/>
    <w:rsid w:val="006313B4"/>
    <w:rsid w:val="00631401"/>
    <w:rsid w:val="0063159B"/>
    <w:rsid w:val="0063162B"/>
    <w:rsid w:val="00631821"/>
    <w:rsid w:val="00631BA7"/>
    <w:rsid w:val="00631CB0"/>
    <w:rsid w:val="00631CF1"/>
    <w:rsid w:val="00631F3B"/>
    <w:rsid w:val="00632055"/>
    <w:rsid w:val="006321C8"/>
    <w:rsid w:val="0063248E"/>
    <w:rsid w:val="00632877"/>
    <w:rsid w:val="0063298A"/>
    <w:rsid w:val="00632B47"/>
    <w:rsid w:val="00632C4F"/>
    <w:rsid w:val="00632DE1"/>
    <w:rsid w:val="00632E96"/>
    <w:rsid w:val="00632EA7"/>
    <w:rsid w:val="00632EF8"/>
    <w:rsid w:val="006331C1"/>
    <w:rsid w:val="006331FD"/>
    <w:rsid w:val="00633320"/>
    <w:rsid w:val="0063349E"/>
    <w:rsid w:val="0063358E"/>
    <w:rsid w:val="006337D3"/>
    <w:rsid w:val="00633A36"/>
    <w:rsid w:val="00633A93"/>
    <w:rsid w:val="00633DB4"/>
    <w:rsid w:val="00633EB9"/>
    <w:rsid w:val="0063406B"/>
    <w:rsid w:val="006342ED"/>
    <w:rsid w:val="0063430E"/>
    <w:rsid w:val="00634321"/>
    <w:rsid w:val="0063446C"/>
    <w:rsid w:val="00634693"/>
    <w:rsid w:val="0063488B"/>
    <w:rsid w:val="00634979"/>
    <w:rsid w:val="00634CE0"/>
    <w:rsid w:val="00634D55"/>
    <w:rsid w:val="0063541D"/>
    <w:rsid w:val="0063553B"/>
    <w:rsid w:val="0063585A"/>
    <w:rsid w:val="0063588F"/>
    <w:rsid w:val="00635A54"/>
    <w:rsid w:val="00635CA4"/>
    <w:rsid w:val="00635D17"/>
    <w:rsid w:val="00635DF6"/>
    <w:rsid w:val="00636509"/>
    <w:rsid w:val="0063656A"/>
    <w:rsid w:val="006365A8"/>
    <w:rsid w:val="0063663A"/>
    <w:rsid w:val="006366A5"/>
    <w:rsid w:val="006367D8"/>
    <w:rsid w:val="00636821"/>
    <w:rsid w:val="0063690C"/>
    <w:rsid w:val="00636B42"/>
    <w:rsid w:val="00636C23"/>
    <w:rsid w:val="00636C3F"/>
    <w:rsid w:val="00636C55"/>
    <w:rsid w:val="0063729D"/>
    <w:rsid w:val="006372DD"/>
    <w:rsid w:val="0063749D"/>
    <w:rsid w:val="00637ED5"/>
    <w:rsid w:val="00637F20"/>
    <w:rsid w:val="00640334"/>
    <w:rsid w:val="00640387"/>
    <w:rsid w:val="00640427"/>
    <w:rsid w:val="00640625"/>
    <w:rsid w:val="0064070E"/>
    <w:rsid w:val="0064096E"/>
    <w:rsid w:val="00640ADC"/>
    <w:rsid w:val="00640CB0"/>
    <w:rsid w:val="00640E87"/>
    <w:rsid w:val="00640FF3"/>
    <w:rsid w:val="006412FA"/>
    <w:rsid w:val="006414B6"/>
    <w:rsid w:val="00641599"/>
    <w:rsid w:val="0064163B"/>
    <w:rsid w:val="00641681"/>
    <w:rsid w:val="0064169F"/>
    <w:rsid w:val="0064171D"/>
    <w:rsid w:val="00641924"/>
    <w:rsid w:val="00641A1B"/>
    <w:rsid w:val="00642265"/>
    <w:rsid w:val="006423FA"/>
    <w:rsid w:val="00642515"/>
    <w:rsid w:val="00642736"/>
    <w:rsid w:val="006427A4"/>
    <w:rsid w:val="00642A4F"/>
    <w:rsid w:val="00642C9E"/>
    <w:rsid w:val="0064304A"/>
    <w:rsid w:val="006430C8"/>
    <w:rsid w:val="00643173"/>
    <w:rsid w:val="00643196"/>
    <w:rsid w:val="006431B3"/>
    <w:rsid w:val="006431E3"/>
    <w:rsid w:val="0064348B"/>
    <w:rsid w:val="00643950"/>
    <w:rsid w:val="00643A79"/>
    <w:rsid w:val="006440BD"/>
    <w:rsid w:val="00644C28"/>
    <w:rsid w:val="00644C71"/>
    <w:rsid w:val="00644DFB"/>
    <w:rsid w:val="00644FA2"/>
    <w:rsid w:val="0064552A"/>
    <w:rsid w:val="0064592E"/>
    <w:rsid w:val="006459ED"/>
    <w:rsid w:val="00645B82"/>
    <w:rsid w:val="0064637A"/>
    <w:rsid w:val="00646490"/>
    <w:rsid w:val="006464CC"/>
    <w:rsid w:val="0064663F"/>
    <w:rsid w:val="0064664E"/>
    <w:rsid w:val="00646697"/>
    <w:rsid w:val="0064682D"/>
    <w:rsid w:val="00646BAD"/>
    <w:rsid w:val="00646BBB"/>
    <w:rsid w:val="00646C08"/>
    <w:rsid w:val="00646E9B"/>
    <w:rsid w:val="00646F9D"/>
    <w:rsid w:val="0064711C"/>
    <w:rsid w:val="0064725A"/>
    <w:rsid w:val="0064798F"/>
    <w:rsid w:val="00647C33"/>
    <w:rsid w:val="00647CE7"/>
    <w:rsid w:val="00650049"/>
    <w:rsid w:val="006502C1"/>
    <w:rsid w:val="00650762"/>
    <w:rsid w:val="00650852"/>
    <w:rsid w:val="0065091E"/>
    <w:rsid w:val="00650A82"/>
    <w:rsid w:val="00650BCF"/>
    <w:rsid w:val="00650FD8"/>
    <w:rsid w:val="006510D1"/>
    <w:rsid w:val="006510D3"/>
    <w:rsid w:val="006515AE"/>
    <w:rsid w:val="00651661"/>
    <w:rsid w:val="00651C14"/>
    <w:rsid w:val="00651D4B"/>
    <w:rsid w:val="00651EAC"/>
    <w:rsid w:val="00652029"/>
    <w:rsid w:val="00652204"/>
    <w:rsid w:val="006525D2"/>
    <w:rsid w:val="00652A34"/>
    <w:rsid w:val="00652C26"/>
    <w:rsid w:val="00652CEE"/>
    <w:rsid w:val="0065302F"/>
    <w:rsid w:val="006530A1"/>
    <w:rsid w:val="006533DF"/>
    <w:rsid w:val="00653531"/>
    <w:rsid w:val="00653812"/>
    <w:rsid w:val="006538A0"/>
    <w:rsid w:val="00653B03"/>
    <w:rsid w:val="00653CCC"/>
    <w:rsid w:val="00654130"/>
    <w:rsid w:val="006545C0"/>
    <w:rsid w:val="006545ED"/>
    <w:rsid w:val="00654A10"/>
    <w:rsid w:val="00654A70"/>
    <w:rsid w:val="00654C79"/>
    <w:rsid w:val="00654E0A"/>
    <w:rsid w:val="00654F6D"/>
    <w:rsid w:val="0065520D"/>
    <w:rsid w:val="0065522F"/>
    <w:rsid w:val="0065550F"/>
    <w:rsid w:val="00655735"/>
    <w:rsid w:val="006557BA"/>
    <w:rsid w:val="00655C30"/>
    <w:rsid w:val="00655E86"/>
    <w:rsid w:val="0065609C"/>
    <w:rsid w:val="006560F0"/>
    <w:rsid w:val="006562EE"/>
    <w:rsid w:val="0065637E"/>
    <w:rsid w:val="006563A0"/>
    <w:rsid w:val="00656480"/>
    <w:rsid w:val="00656630"/>
    <w:rsid w:val="006566E4"/>
    <w:rsid w:val="00656727"/>
    <w:rsid w:val="00656761"/>
    <w:rsid w:val="00656857"/>
    <w:rsid w:val="006568EE"/>
    <w:rsid w:val="00656CA2"/>
    <w:rsid w:val="00656D3F"/>
    <w:rsid w:val="006574C3"/>
    <w:rsid w:val="006577DD"/>
    <w:rsid w:val="006578EE"/>
    <w:rsid w:val="00657B1E"/>
    <w:rsid w:val="00657C62"/>
    <w:rsid w:val="00657E81"/>
    <w:rsid w:val="00660143"/>
    <w:rsid w:val="00660370"/>
    <w:rsid w:val="00660455"/>
    <w:rsid w:val="00660641"/>
    <w:rsid w:val="00660A53"/>
    <w:rsid w:val="00660BB4"/>
    <w:rsid w:val="00660C84"/>
    <w:rsid w:val="00660D87"/>
    <w:rsid w:val="0066130C"/>
    <w:rsid w:val="00661374"/>
    <w:rsid w:val="0066150C"/>
    <w:rsid w:val="006615BB"/>
    <w:rsid w:val="0066163A"/>
    <w:rsid w:val="0066185F"/>
    <w:rsid w:val="006618C7"/>
    <w:rsid w:val="00661B74"/>
    <w:rsid w:val="00661C08"/>
    <w:rsid w:val="00662059"/>
    <w:rsid w:val="006620A8"/>
    <w:rsid w:val="006620E4"/>
    <w:rsid w:val="0066235C"/>
    <w:rsid w:val="006625F8"/>
    <w:rsid w:val="00662696"/>
    <w:rsid w:val="00662A87"/>
    <w:rsid w:val="00662BEE"/>
    <w:rsid w:val="00662C7E"/>
    <w:rsid w:val="00662CFA"/>
    <w:rsid w:val="00662D61"/>
    <w:rsid w:val="006631FC"/>
    <w:rsid w:val="00663266"/>
    <w:rsid w:val="006634E6"/>
    <w:rsid w:val="0066359A"/>
    <w:rsid w:val="006635FF"/>
    <w:rsid w:val="006640D4"/>
    <w:rsid w:val="00664183"/>
    <w:rsid w:val="006647D5"/>
    <w:rsid w:val="006649AD"/>
    <w:rsid w:val="00664CA7"/>
    <w:rsid w:val="00664DAA"/>
    <w:rsid w:val="00665257"/>
    <w:rsid w:val="00665406"/>
    <w:rsid w:val="00665600"/>
    <w:rsid w:val="0066565C"/>
    <w:rsid w:val="006656D8"/>
    <w:rsid w:val="006656DB"/>
    <w:rsid w:val="00665801"/>
    <w:rsid w:val="00665938"/>
    <w:rsid w:val="00665A90"/>
    <w:rsid w:val="00665DAE"/>
    <w:rsid w:val="00665EF7"/>
    <w:rsid w:val="00666074"/>
    <w:rsid w:val="0066653C"/>
    <w:rsid w:val="006665B1"/>
    <w:rsid w:val="00666CB7"/>
    <w:rsid w:val="00666F45"/>
    <w:rsid w:val="00667025"/>
    <w:rsid w:val="0066709E"/>
    <w:rsid w:val="006671E5"/>
    <w:rsid w:val="00667254"/>
    <w:rsid w:val="006672F6"/>
    <w:rsid w:val="0066788C"/>
    <w:rsid w:val="006678CA"/>
    <w:rsid w:val="006679FD"/>
    <w:rsid w:val="00667BFF"/>
    <w:rsid w:val="00667DFE"/>
    <w:rsid w:val="00667E21"/>
    <w:rsid w:val="00667FAF"/>
    <w:rsid w:val="00670032"/>
    <w:rsid w:val="00670058"/>
    <w:rsid w:val="006702AB"/>
    <w:rsid w:val="00670352"/>
    <w:rsid w:val="0067094B"/>
    <w:rsid w:val="00670B06"/>
    <w:rsid w:val="00670BD3"/>
    <w:rsid w:val="00670C56"/>
    <w:rsid w:val="00671211"/>
    <w:rsid w:val="006712BE"/>
    <w:rsid w:val="006712E1"/>
    <w:rsid w:val="00671877"/>
    <w:rsid w:val="0067189F"/>
    <w:rsid w:val="00671B65"/>
    <w:rsid w:val="00671FD2"/>
    <w:rsid w:val="006720AC"/>
    <w:rsid w:val="00672279"/>
    <w:rsid w:val="00672380"/>
    <w:rsid w:val="00672A03"/>
    <w:rsid w:val="00672A44"/>
    <w:rsid w:val="00672BC7"/>
    <w:rsid w:val="00672C90"/>
    <w:rsid w:val="00672F4F"/>
    <w:rsid w:val="00672FCD"/>
    <w:rsid w:val="00673286"/>
    <w:rsid w:val="00673476"/>
    <w:rsid w:val="006736F8"/>
    <w:rsid w:val="00673814"/>
    <w:rsid w:val="00673940"/>
    <w:rsid w:val="00673B79"/>
    <w:rsid w:val="00673F5C"/>
    <w:rsid w:val="006740A5"/>
    <w:rsid w:val="006742EE"/>
    <w:rsid w:val="00674435"/>
    <w:rsid w:val="00674579"/>
    <w:rsid w:val="00674EAB"/>
    <w:rsid w:val="00675155"/>
    <w:rsid w:val="006752DD"/>
    <w:rsid w:val="00675791"/>
    <w:rsid w:val="00675A3A"/>
    <w:rsid w:val="00675B00"/>
    <w:rsid w:val="00675ECA"/>
    <w:rsid w:val="006760B1"/>
    <w:rsid w:val="006760EB"/>
    <w:rsid w:val="00676181"/>
    <w:rsid w:val="006763C3"/>
    <w:rsid w:val="00676458"/>
    <w:rsid w:val="0067655E"/>
    <w:rsid w:val="00676981"/>
    <w:rsid w:val="00677715"/>
    <w:rsid w:val="00677FF2"/>
    <w:rsid w:val="00680300"/>
    <w:rsid w:val="0068034A"/>
    <w:rsid w:val="006806D7"/>
    <w:rsid w:val="00680738"/>
    <w:rsid w:val="00680BD8"/>
    <w:rsid w:val="00680C9B"/>
    <w:rsid w:val="00680F44"/>
    <w:rsid w:val="00681003"/>
    <w:rsid w:val="00681247"/>
    <w:rsid w:val="00681740"/>
    <w:rsid w:val="0068174E"/>
    <w:rsid w:val="00681781"/>
    <w:rsid w:val="00681A0C"/>
    <w:rsid w:val="00681FA9"/>
    <w:rsid w:val="00682163"/>
    <w:rsid w:val="00682165"/>
    <w:rsid w:val="006821B9"/>
    <w:rsid w:val="0068253D"/>
    <w:rsid w:val="00682564"/>
    <w:rsid w:val="00682595"/>
    <w:rsid w:val="0068289B"/>
    <w:rsid w:val="00682B76"/>
    <w:rsid w:val="00682CA6"/>
    <w:rsid w:val="006830AF"/>
    <w:rsid w:val="00683133"/>
    <w:rsid w:val="0068328B"/>
    <w:rsid w:val="006833ED"/>
    <w:rsid w:val="00683460"/>
    <w:rsid w:val="006838A9"/>
    <w:rsid w:val="00683B41"/>
    <w:rsid w:val="00683D42"/>
    <w:rsid w:val="00683E81"/>
    <w:rsid w:val="00683EAD"/>
    <w:rsid w:val="00684027"/>
    <w:rsid w:val="00684121"/>
    <w:rsid w:val="00684170"/>
    <w:rsid w:val="006842B4"/>
    <w:rsid w:val="006849F7"/>
    <w:rsid w:val="00684A0C"/>
    <w:rsid w:val="00684AE2"/>
    <w:rsid w:val="00684C69"/>
    <w:rsid w:val="0068519A"/>
    <w:rsid w:val="006851D4"/>
    <w:rsid w:val="0068521B"/>
    <w:rsid w:val="0068544F"/>
    <w:rsid w:val="0068568D"/>
    <w:rsid w:val="006856BA"/>
    <w:rsid w:val="006859FE"/>
    <w:rsid w:val="00685B04"/>
    <w:rsid w:val="00685F9E"/>
    <w:rsid w:val="00686029"/>
    <w:rsid w:val="006867CD"/>
    <w:rsid w:val="00686C74"/>
    <w:rsid w:val="00686CBB"/>
    <w:rsid w:val="00686EC5"/>
    <w:rsid w:val="00686FD4"/>
    <w:rsid w:val="00687027"/>
    <w:rsid w:val="00687321"/>
    <w:rsid w:val="00687639"/>
    <w:rsid w:val="00687DDE"/>
    <w:rsid w:val="00687FE8"/>
    <w:rsid w:val="00687FF7"/>
    <w:rsid w:val="00690269"/>
    <w:rsid w:val="006904CB"/>
    <w:rsid w:val="0069057C"/>
    <w:rsid w:val="006906AC"/>
    <w:rsid w:val="006906B8"/>
    <w:rsid w:val="006906E8"/>
    <w:rsid w:val="00690805"/>
    <w:rsid w:val="00690A08"/>
    <w:rsid w:val="00690AF6"/>
    <w:rsid w:val="00691407"/>
    <w:rsid w:val="0069143A"/>
    <w:rsid w:val="006914E3"/>
    <w:rsid w:val="0069188D"/>
    <w:rsid w:val="006918D4"/>
    <w:rsid w:val="0069196F"/>
    <w:rsid w:val="00691B24"/>
    <w:rsid w:val="00691F2C"/>
    <w:rsid w:val="00691F88"/>
    <w:rsid w:val="006921D4"/>
    <w:rsid w:val="00692314"/>
    <w:rsid w:val="00692346"/>
    <w:rsid w:val="00693082"/>
    <w:rsid w:val="00693167"/>
    <w:rsid w:val="006932F0"/>
    <w:rsid w:val="006935D2"/>
    <w:rsid w:val="0069373D"/>
    <w:rsid w:val="00693C6E"/>
    <w:rsid w:val="00693D64"/>
    <w:rsid w:val="00693D93"/>
    <w:rsid w:val="00694031"/>
    <w:rsid w:val="006942A3"/>
    <w:rsid w:val="00694323"/>
    <w:rsid w:val="00694604"/>
    <w:rsid w:val="00694738"/>
    <w:rsid w:val="006949F2"/>
    <w:rsid w:val="0069508E"/>
    <w:rsid w:val="00695133"/>
    <w:rsid w:val="0069532B"/>
    <w:rsid w:val="00695455"/>
    <w:rsid w:val="00695515"/>
    <w:rsid w:val="0069569B"/>
    <w:rsid w:val="006958B0"/>
    <w:rsid w:val="00695ECF"/>
    <w:rsid w:val="00695FB9"/>
    <w:rsid w:val="0069602D"/>
    <w:rsid w:val="006963BE"/>
    <w:rsid w:val="00696475"/>
    <w:rsid w:val="006964C8"/>
    <w:rsid w:val="0069665E"/>
    <w:rsid w:val="006967BF"/>
    <w:rsid w:val="00696871"/>
    <w:rsid w:val="00696DEC"/>
    <w:rsid w:val="0069710E"/>
    <w:rsid w:val="006971C8"/>
    <w:rsid w:val="00697221"/>
    <w:rsid w:val="0069777F"/>
    <w:rsid w:val="0069779E"/>
    <w:rsid w:val="006977AD"/>
    <w:rsid w:val="00697B9C"/>
    <w:rsid w:val="00697E6E"/>
    <w:rsid w:val="00697E8B"/>
    <w:rsid w:val="00697EC9"/>
    <w:rsid w:val="006A027E"/>
    <w:rsid w:val="006A0581"/>
    <w:rsid w:val="006A0585"/>
    <w:rsid w:val="006A084C"/>
    <w:rsid w:val="006A08E0"/>
    <w:rsid w:val="006A0F44"/>
    <w:rsid w:val="006A0FFF"/>
    <w:rsid w:val="006A10C0"/>
    <w:rsid w:val="006A144D"/>
    <w:rsid w:val="006A14E8"/>
    <w:rsid w:val="006A1508"/>
    <w:rsid w:val="006A15EC"/>
    <w:rsid w:val="006A1D4F"/>
    <w:rsid w:val="006A1DC9"/>
    <w:rsid w:val="006A2897"/>
    <w:rsid w:val="006A2A46"/>
    <w:rsid w:val="006A2DF1"/>
    <w:rsid w:val="006A2F3E"/>
    <w:rsid w:val="006A31CE"/>
    <w:rsid w:val="006A31F3"/>
    <w:rsid w:val="006A3208"/>
    <w:rsid w:val="006A3338"/>
    <w:rsid w:val="006A3507"/>
    <w:rsid w:val="006A35FF"/>
    <w:rsid w:val="006A38BC"/>
    <w:rsid w:val="006A3B96"/>
    <w:rsid w:val="006A3B9C"/>
    <w:rsid w:val="006A401C"/>
    <w:rsid w:val="006A4179"/>
    <w:rsid w:val="006A419B"/>
    <w:rsid w:val="006A4356"/>
    <w:rsid w:val="006A445B"/>
    <w:rsid w:val="006A4665"/>
    <w:rsid w:val="006A4680"/>
    <w:rsid w:val="006A4739"/>
    <w:rsid w:val="006A490D"/>
    <w:rsid w:val="006A49F9"/>
    <w:rsid w:val="006A4CAB"/>
    <w:rsid w:val="006A4F00"/>
    <w:rsid w:val="006A5046"/>
    <w:rsid w:val="006A51D0"/>
    <w:rsid w:val="006A5293"/>
    <w:rsid w:val="006A538C"/>
    <w:rsid w:val="006A5520"/>
    <w:rsid w:val="006A58B2"/>
    <w:rsid w:val="006A59D4"/>
    <w:rsid w:val="006A5AA3"/>
    <w:rsid w:val="006A5BA6"/>
    <w:rsid w:val="006A5CFA"/>
    <w:rsid w:val="006A5D48"/>
    <w:rsid w:val="006A5D7B"/>
    <w:rsid w:val="006A61AE"/>
    <w:rsid w:val="006A6365"/>
    <w:rsid w:val="006A66C8"/>
    <w:rsid w:val="006A67B6"/>
    <w:rsid w:val="006A6899"/>
    <w:rsid w:val="006A6A41"/>
    <w:rsid w:val="006A6A59"/>
    <w:rsid w:val="006A6DCE"/>
    <w:rsid w:val="006A702D"/>
    <w:rsid w:val="006A70D4"/>
    <w:rsid w:val="006A7157"/>
    <w:rsid w:val="006A79DC"/>
    <w:rsid w:val="006A7A6F"/>
    <w:rsid w:val="006B0284"/>
    <w:rsid w:val="006B0459"/>
    <w:rsid w:val="006B0578"/>
    <w:rsid w:val="006B06BE"/>
    <w:rsid w:val="006B06F4"/>
    <w:rsid w:val="006B079A"/>
    <w:rsid w:val="006B084F"/>
    <w:rsid w:val="006B0DF8"/>
    <w:rsid w:val="006B0F02"/>
    <w:rsid w:val="006B0FBC"/>
    <w:rsid w:val="006B10C6"/>
    <w:rsid w:val="006B12CA"/>
    <w:rsid w:val="006B14AB"/>
    <w:rsid w:val="006B156E"/>
    <w:rsid w:val="006B15F4"/>
    <w:rsid w:val="006B1676"/>
    <w:rsid w:val="006B16FE"/>
    <w:rsid w:val="006B1995"/>
    <w:rsid w:val="006B1C02"/>
    <w:rsid w:val="006B1C5A"/>
    <w:rsid w:val="006B1ED6"/>
    <w:rsid w:val="006B230D"/>
    <w:rsid w:val="006B275F"/>
    <w:rsid w:val="006B2CF8"/>
    <w:rsid w:val="006B2E1B"/>
    <w:rsid w:val="006B2E37"/>
    <w:rsid w:val="006B2E8A"/>
    <w:rsid w:val="006B3260"/>
    <w:rsid w:val="006B3579"/>
    <w:rsid w:val="006B3658"/>
    <w:rsid w:val="006B37F9"/>
    <w:rsid w:val="006B3D2C"/>
    <w:rsid w:val="006B3DF2"/>
    <w:rsid w:val="006B4187"/>
    <w:rsid w:val="006B428E"/>
    <w:rsid w:val="006B4296"/>
    <w:rsid w:val="006B431D"/>
    <w:rsid w:val="006B45AA"/>
    <w:rsid w:val="006B4632"/>
    <w:rsid w:val="006B4719"/>
    <w:rsid w:val="006B48E3"/>
    <w:rsid w:val="006B4900"/>
    <w:rsid w:val="006B49D3"/>
    <w:rsid w:val="006B4AEB"/>
    <w:rsid w:val="006B4D70"/>
    <w:rsid w:val="006B4D71"/>
    <w:rsid w:val="006B4EDF"/>
    <w:rsid w:val="006B4F0A"/>
    <w:rsid w:val="006B4FC0"/>
    <w:rsid w:val="006B516D"/>
    <w:rsid w:val="006B547B"/>
    <w:rsid w:val="006B5637"/>
    <w:rsid w:val="006B5999"/>
    <w:rsid w:val="006B5EAE"/>
    <w:rsid w:val="006B62A8"/>
    <w:rsid w:val="006B64B2"/>
    <w:rsid w:val="006B659A"/>
    <w:rsid w:val="006B6651"/>
    <w:rsid w:val="006B695C"/>
    <w:rsid w:val="006B6A6C"/>
    <w:rsid w:val="006B6A9E"/>
    <w:rsid w:val="006B6D9D"/>
    <w:rsid w:val="006B6E3D"/>
    <w:rsid w:val="006B716F"/>
    <w:rsid w:val="006B75C6"/>
    <w:rsid w:val="006B76DC"/>
    <w:rsid w:val="006B7747"/>
    <w:rsid w:val="006B7781"/>
    <w:rsid w:val="006B79A1"/>
    <w:rsid w:val="006B79B4"/>
    <w:rsid w:val="006B7A86"/>
    <w:rsid w:val="006B7B55"/>
    <w:rsid w:val="006B7EFF"/>
    <w:rsid w:val="006C0130"/>
    <w:rsid w:val="006C0190"/>
    <w:rsid w:val="006C02BE"/>
    <w:rsid w:val="006C02D9"/>
    <w:rsid w:val="006C045A"/>
    <w:rsid w:val="006C0881"/>
    <w:rsid w:val="006C0D8C"/>
    <w:rsid w:val="006C10B1"/>
    <w:rsid w:val="006C128F"/>
    <w:rsid w:val="006C1591"/>
    <w:rsid w:val="006C15F3"/>
    <w:rsid w:val="006C1750"/>
    <w:rsid w:val="006C1944"/>
    <w:rsid w:val="006C1BDC"/>
    <w:rsid w:val="006C1D68"/>
    <w:rsid w:val="006C200C"/>
    <w:rsid w:val="006C2062"/>
    <w:rsid w:val="006C2117"/>
    <w:rsid w:val="006C223D"/>
    <w:rsid w:val="006C26B7"/>
    <w:rsid w:val="006C2A38"/>
    <w:rsid w:val="006C2AAB"/>
    <w:rsid w:val="006C2F61"/>
    <w:rsid w:val="006C2FA9"/>
    <w:rsid w:val="006C3154"/>
    <w:rsid w:val="006C329A"/>
    <w:rsid w:val="006C3518"/>
    <w:rsid w:val="006C35FF"/>
    <w:rsid w:val="006C3803"/>
    <w:rsid w:val="006C3B90"/>
    <w:rsid w:val="006C3F99"/>
    <w:rsid w:val="006C42DA"/>
    <w:rsid w:val="006C4C46"/>
    <w:rsid w:val="006C4CEE"/>
    <w:rsid w:val="006C4D9F"/>
    <w:rsid w:val="006C4E05"/>
    <w:rsid w:val="006C5081"/>
    <w:rsid w:val="006C530C"/>
    <w:rsid w:val="006C5EE4"/>
    <w:rsid w:val="006C6174"/>
    <w:rsid w:val="006C6236"/>
    <w:rsid w:val="006C635A"/>
    <w:rsid w:val="006C649B"/>
    <w:rsid w:val="006C658A"/>
    <w:rsid w:val="006C6694"/>
    <w:rsid w:val="006C6B03"/>
    <w:rsid w:val="006C6BFC"/>
    <w:rsid w:val="006C6DF9"/>
    <w:rsid w:val="006C6E41"/>
    <w:rsid w:val="006C6F78"/>
    <w:rsid w:val="006C6FA5"/>
    <w:rsid w:val="006C7057"/>
    <w:rsid w:val="006C71EB"/>
    <w:rsid w:val="006C727B"/>
    <w:rsid w:val="006C731C"/>
    <w:rsid w:val="006C746C"/>
    <w:rsid w:val="006C7620"/>
    <w:rsid w:val="006C7621"/>
    <w:rsid w:val="006C767D"/>
    <w:rsid w:val="006C7BCA"/>
    <w:rsid w:val="006C7BE8"/>
    <w:rsid w:val="006C7C81"/>
    <w:rsid w:val="006C7DBE"/>
    <w:rsid w:val="006C7FC1"/>
    <w:rsid w:val="006D0421"/>
    <w:rsid w:val="006D04EE"/>
    <w:rsid w:val="006D086D"/>
    <w:rsid w:val="006D08E1"/>
    <w:rsid w:val="006D0912"/>
    <w:rsid w:val="006D09D6"/>
    <w:rsid w:val="006D0A3E"/>
    <w:rsid w:val="006D0A97"/>
    <w:rsid w:val="006D0AB8"/>
    <w:rsid w:val="006D0ACF"/>
    <w:rsid w:val="006D0C5A"/>
    <w:rsid w:val="006D101C"/>
    <w:rsid w:val="006D10FE"/>
    <w:rsid w:val="006D1161"/>
    <w:rsid w:val="006D14D2"/>
    <w:rsid w:val="006D159E"/>
    <w:rsid w:val="006D1704"/>
    <w:rsid w:val="006D1B26"/>
    <w:rsid w:val="006D1CD2"/>
    <w:rsid w:val="006D1DA4"/>
    <w:rsid w:val="006D1DAD"/>
    <w:rsid w:val="006D2106"/>
    <w:rsid w:val="006D22B8"/>
    <w:rsid w:val="006D257C"/>
    <w:rsid w:val="006D276F"/>
    <w:rsid w:val="006D2962"/>
    <w:rsid w:val="006D2F3D"/>
    <w:rsid w:val="006D338A"/>
    <w:rsid w:val="006D33F3"/>
    <w:rsid w:val="006D3985"/>
    <w:rsid w:val="006D3C0C"/>
    <w:rsid w:val="006D3F11"/>
    <w:rsid w:val="006D4163"/>
    <w:rsid w:val="006D41CC"/>
    <w:rsid w:val="006D4467"/>
    <w:rsid w:val="006D45A0"/>
    <w:rsid w:val="006D462D"/>
    <w:rsid w:val="006D4A51"/>
    <w:rsid w:val="006D4C26"/>
    <w:rsid w:val="006D4DC5"/>
    <w:rsid w:val="006D4DEC"/>
    <w:rsid w:val="006D4E4D"/>
    <w:rsid w:val="006D4F01"/>
    <w:rsid w:val="006D4F66"/>
    <w:rsid w:val="006D5051"/>
    <w:rsid w:val="006D5231"/>
    <w:rsid w:val="006D5260"/>
    <w:rsid w:val="006D56D7"/>
    <w:rsid w:val="006D5843"/>
    <w:rsid w:val="006D5A9A"/>
    <w:rsid w:val="006D5C9A"/>
    <w:rsid w:val="006D5E16"/>
    <w:rsid w:val="006D604A"/>
    <w:rsid w:val="006D621B"/>
    <w:rsid w:val="006D65EF"/>
    <w:rsid w:val="006D691B"/>
    <w:rsid w:val="006D6E03"/>
    <w:rsid w:val="006D6F2E"/>
    <w:rsid w:val="006D70F1"/>
    <w:rsid w:val="006D73B6"/>
    <w:rsid w:val="006D76BB"/>
    <w:rsid w:val="006D7879"/>
    <w:rsid w:val="006D79CF"/>
    <w:rsid w:val="006D7A6C"/>
    <w:rsid w:val="006D7B61"/>
    <w:rsid w:val="006D7C9D"/>
    <w:rsid w:val="006D7D01"/>
    <w:rsid w:val="006D7F1C"/>
    <w:rsid w:val="006E0044"/>
    <w:rsid w:val="006E051A"/>
    <w:rsid w:val="006E094E"/>
    <w:rsid w:val="006E099A"/>
    <w:rsid w:val="006E0C01"/>
    <w:rsid w:val="006E0CCC"/>
    <w:rsid w:val="006E0D45"/>
    <w:rsid w:val="006E0D49"/>
    <w:rsid w:val="006E1254"/>
    <w:rsid w:val="006E1261"/>
    <w:rsid w:val="006E15F8"/>
    <w:rsid w:val="006E1B0D"/>
    <w:rsid w:val="006E1B87"/>
    <w:rsid w:val="006E1BB6"/>
    <w:rsid w:val="006E1CEB"/>
    <w:rsid w:val="006E232D"/>
    <w:rsid w:val="006E23C6"/>
    <w:rsid w:val="006E23FF"/>
    <w:rsid w:val="006E2656"/>
    <w:rsid w:val="006E28B6"/>
    <w:rsid w:val="006E2FAC"/>
    <w:rsid w:val="006E2FBE"/>
    <w:rsid w:val="006E3BF9"/>
    <w:rsid w:val="006E3E94"/>
    <w:rsid w:val="006E3F15"/>
    <w:rsid w:val="006E4084"/>
    <w:rsid w:val="006E4258"/>
    <w:rsid w:val="006E42D6"/>
    <w:rsid w:val="006E42DB"/>
    <w:rsid w:val="006E4303"/>
    <w:rsid w:val="006E434F"/>
    <w:rsid w:val="006E43DB"/>
    <w:rsid w:val="006E4432"/>
    <w:rsid w:val="006E487B"/>
    <w:rsid w:val="006E4920"/>
    <w:rsid w:val="006E49D8"/>
    <w:rsid w:val="006E4F87"/>
    <w:rsid w:val="006E53E3"/>
    <w:rsid w:val="006E5690"/>
    <w:rsid w:val="006E5778"/>
    <w:rsid w:val="006E58E4"/>
    <w:rsid w:val="006E5926"/>
    <w:rsid w:val="006E5C29"/>
    <w:rsid w:val="006E60A6"/>
    <w:rsid w:val="006E612E"/>
    <w:rsid w:val="006E61EB"/>
    <w:rsid w:val="006E698E"/>
    <w:rsid w:val="006E6A76"/>
    <w:rsid w:val="006E6C43"/>
    <w:rsid w:val="006E6CE3"/>
    <w:rsid w:val="006E6EF1"/>
    <w:rsid w:val="006E6FB1"/>
    <w:rsid w:val="006E6FD6"/>
    <w:rsid w:val="006E7130"/>
    <w:rsid w:val="006E71FA"/>
    <w:rsid w:val="006E7334"/>
    <w:rsid w:val="006E733D"/>
    <w:rsid w:val="006E748A"/>
    <w:rsid w:val="006E77EC"/>
    <w:rsid w:val="006E7810"/>
    <w:rsid w:val="006E79D1"/>
    <w:rsid w:val="006E7E77"/>
    <w:rsid w:val="006F053E"/>
    <w:rsid w:val="006F05F7"/>
    <w:rsid w:val="006F07DD"/>
    <w:rsid w:val="006F0886"/>
    <w:rsid w:val="006F0967"/>
    <w:rsid w:val="006F0BA4"/>
    <w:rsid w:val="006F1233"/>
    <w:rsid w:val="006F1257"/>
    <w:rsid w:val="006F12D3"/>
    <w:rsid w:val="006F12F9"/>
    <w:rsid w:val="006F145E"/>
    <w:rsid w:val="006F18FA"/>
    <w:rsid w:val="006F1C23"/>
    <w:rsid w:val="006F20F9"/>
    <w:rsid w:val="006F2141"/>
    <w:rsid w:val="006F2F3B"/>
    <w:rsid w:val="006F2FD7"/>
    <w:rsid w:val="006F30FB"/>
    <w:rsid w:val="006F3298"/>
    <w:rsid w:val="006F37AB"/>
    <w:rsid w:val="006F3B51"/>
    <w:rsid w:val="006F3B7D"/>
    <w:rsid w:val="006F3F83"/>
    <w:rsid w:val="006F4689"/>
    <w:rsid w:val="006F491D"/>
    <w:rsid w:val="006F4BE8"/>
    <w:rsid w:val="006F4C22"/>
    <w:rsid w:val="006F4F17"/>
    <w:rsid w:val="006F5150"/>
    <w:rsid w:val="006F527D"/>
    <w:rsid w:val="006F557D"/>
    <w:rsid w:val="006F561A"/>
    <w:rsid w:val="006F565E"/>
    <w:rsid w:val="006F56DC"/>
    <w:rsid w:val="006F5809"/>
    <w:rsid w:val="006F5C20"/>
    <w:rsid w:val="006F5D61"/>
    <w:rsid w:val="006F5D99"/>
    <w:rsid w:val="006F5F4E"/>
    <w:rsid w:val="006F5F5F"/>
    <w:rsid w:val="006F694C"/>
    <w:rsid w:val="006F6ACE"/>
    <w:rsid w:val="006F6D4B"/>
    <w:rsid w:val="006F704C"/>
    <w:rsid w:val="006F73E9"/>
    <w:rsid w:val="006F7585"/>
    <w:rsid w:val="006F7719"/>
    <w:rsid w:val="006F7783"/>
    <w:rsid w:val="006F77C9"/>
    <w:rsid w:val="006F77D0"/>
    <w:rsid w:val="006F7DB9"/>
    <w:rsid w:val="0070005B"/>
    <w:rsid w:val="0070019A"/>
    <w:rsid w:val="0070024C"/>
    <w:rsid w:val="0070027E"/>
    <w:rsid w:val="00700362"/>
    <w:rsid w:val="00700604"/>
    <w:rsid w:val="007006F8"/>
    <w:rsid w:val="007009A1"/>
    <w:rsid w:val="007009F7"/>
    <w:rsid w:val="00700D45"/>
    <w:rsid w:val="00701152"/>
    <w:rsid w:val="00701258"/>
    <w:rsid w:val="007012B9"/>
    <w:rsid w:val="00701347"/>
    <w:rsid w:val="007013DC"/>
    <w:rsid w:val="00701559"/>
    <w:rsid w:val="0070161A"/>
    <w:rsid w:val="00702226"/>
    <w:rsid w:val="00702556"/>
    <w:rsid w:val="007029D6"/>
    <w:rsid w:val="00702D69"/>
    <w:rsid w:val="007033A6"/>
    <w:rsid w:val="007033D2"/>
    <w:rsid w:val="0070377D"/>
    <w:rsid w:val="007038DE"/>
    <w:rsid w:val="00703B57"/>
    <w:rsid w:val="00703B95"/>
    <w:rsid w:val="00703C2B"/>
    <w:rsid w:val="00703D24"/>
    <w:rsid w:val="00704130"/>
    <w:rsid w:val="00704161"/>
    <w:rsid w:val="00704166"/>
    <w:rsid w:val="00704590"/>
    <w:rsid w:val="00704D15"/>
    <w:rsid w:val="00704D4B"/>
    <w:rsid w:val="007053AC"/>
    <w:rsid w:val="0070545C"/>
    <w:rsid w:val="007056A9"/>
    <w:rsid w:val="007056EB"/>
    <w:rsid w:val="0070595F"/>
    <w:rsid w:val="00705BD6"/>
    <w:rsid w:val="00705CAC"/>
    <w:rsid w:val="00705DD2"/>
    <w:rsid w:val="00706266"/>
    <w:rsid w:val="00706268"/>
    <w:rsid w:val="007062F8"/>
    <w:rsid w:val="00706378"/>
    <w:rsid w:val="007073C3"/>
    <w:rsid w:val="00707643"/>
    <w:rsid w:val="007078D1"/>
    <w:rsid w:val="0070797A"/>
    <w:rsid w:val="00707BD9"/>
    <w:rsid w:val="00710293"/>
    <w:rsid w:val="00710337"/>
    <w:rsid w:val="00710346"/>
    <w:rsid w:val="007104B1"/>
    <w:rsid w:val="0071064E"/>
    <w:rsid w:val="00710A8D"/>
    <w:rsid w:val="00710AC7"/>
    <w:rsid w:val="00710CC8"/>
    <w:rsid w:val="00710D98"/>
    <w:rsid w:val="00710F0A"/>
    <w:rsid w:val="00710FAC"/>
    <w:rsid w:val="00711284"/>
    <w:rsid w:val="007112B8"/>
    <w:rsid w:val="00711406"/>
    <w:rsid w:val="0071144F"/>
    <w:rsid w:val="00711813"/>
    <w:rsid w:val="007118D1"/>
    <w:rsid w:val="00711B4C"/>
    <w:rsid w:val="00711B55"/>
    <w:rsid w:val="00711B91"/>
    <w:rsid w:val="00711DB5"/>
    <w:rsid w:val="00711EAA"/>
    <w:rsid w:val="00711FC9"/>
    <w:rsid w:val="00711FD8"/>
    <w:rsid w:val="007120D7"/>
    <w:rsid w:val="007120E5"/>
    <w:rsid w:val="007121D4"/>
    <w:rsid w:val="00712275"/>
    <w:rsid w:val="007127F0"/>
    <w:rsid w:val="00712949"/>
    <w:rsid w:val="00712D81"/>
    <w:rsid w:val="00712DAE"/>
    <w:rsid w:val="00713010"/>
    <w:rsid w:val="0071349F"/>
    <w:rsid w:val="00713651"/>
    <w:rsid w:val="007136D0"/>
    <w:rsid w:val="007138D1"/>
    <w:rsid w:val="00713B8C"/>
    <w:rsid w:val="00714040"/>
    <w:rsid w:val="007140DE"/>
    <w:rsid w:val="00714110"/>
    <w:rsid w:val="00714349"/>
    <w:rsid w:val="007143A2"/>
    <w:rsid w:val="007143A3"/>
    <w:rsid w:val="00714630"/>
    <w:rsid w:val="00714658"/>
    <w:rsid w:val="00714719"/>
    <w:rsid w:val="007148AE"/>
    <w:rsid w:val="0071492B"/>
    <w:rsid w:val="00714E69"/>
    <w:rsid w:val="00715099"/>
    <w:rsid w:val="007150CF"/>
    <w:rsid w:val="00715274"/>
    <w:rsid w:val="0071536C"/>
    <w:rsid w:val="0071556A"/>
    <w:rsid w:val="00715850"/>
    <w:rsid w:val="0071590F"/>
    <w:rsid w:val="0071596D"/>
    <w:rsid w:val="00715B33"/>
    <w:rsid w:val="00716725"/>
    <w:rsid w:val="00716841"/>
    <w:rsid w:val="00716915"/>
    <w:rsid w:val="00716BF2"/>
    <w:rsid w:val="007171B2"/>
    <w:rsid w:val="007178D8"/>
    <w:rsid w:val="007179CC"/>
    <w:rsid w:val="007179FE"/>
    <w:rsid w:val="00717B14"/>
    <w:rsid w:val="00717B26"/>
    <w:rsid w:val="00717C6B"/>
    <w:rsid w:val="007201E1"/>
    <w:rsid w:val="007204E6"/>
    <w:rsid w:val="00720515"/>
    <w:rsid w:val="007206FC"/>
    <w:rsid w:val="007207E0"/>
    <w:rsid w:val="00720BCE"/>
    <w:rsid w:val="00720C4C"/>
    <w:rsid w:val="0072111B"/>
    <w:rsid w:val="007212E5"/>
    <w:rsid w:val="007212F6"/>
    <w:rsid w:val="007215F7"/>
    <w:rsid w:val="007217F7"/>
    <w:rsid w:val="00721D5C"/>
    <w:rsid w:val="00722082"/>
    <w:rsid w:val="007223BE"/>
    <w:rsid w:val="007223E0"/>
    <w:rsid w:val="00722521"/>
    <w:rsid w:val="007225FE"/>
    <w:rsid w:val="0072271A"/>
    <w:rsid w:val="00722924"/>
    <w:rsid w:val="0072295F"/>
    <w:rsid w:val="00722BDB"/>
    <w:rsid w:val="007231E4"/>
    <w:rsid w:val="007236A0"/>
    <w:rsid w:val="00723733"/>
    <w:rsid w:val="00723821"/>
    <w:rsid w:val="007238E0"/>
    <w:rsid w:val="007240C6"/>
    <w:rsid w:val="00724235"/>
    <w:rsid w:val="00724276"/>
    <w:rsid w:val="00724299"/>
    <w:rsid w:val="00724373"/>
    <w:rsid w:val="00724527"/>
    <w:rsid w:val="00724556"/>
    <w:rsid w:val="00724962"/>
    <w:rsid w:val="00724B3A"/>
    <w:rsid w:val="00724C49"/>
    <w:rsid w:val="00724D17"/>
    <w:rsid w:val="00724DE8"/>
    <w:rsid w:val="00724E8E"/>
    <w:rsid w:val="0072536D"/>
    <w:rsid w:val="0072549B"/>
    <w:rsid w:val="00725623"/>
    <w:rsid w:val="0072563C"/>
    <w:rsid w:val="00725983"/>
    <w:rsid w:val="00725BCE"/>
    <w:rsid w:val="00725C6E"/>
    <w:rsid w:val="00725EF4"/>
    <w:rsid w:val="00726008"/>
    <w:rsid w:val="007267A8"/>
    <w:rsid w:val="00726AEF"/>
    <w:rsid w:val="00726C0F"/>
    <w:rsid w:val="00726C69"/>
    <w:rsid w:val="00726E5E"/>
    <w:rsid w:val="00726EE4"/>
    <w:rsid w:val="00726FA8"/>
    <w:rsid w:val="007270B1"/>
    <w:rsid w:val="0072715A"/>
    <w:rsid w:val="007274F8"/>
    <w:rsid w:val="00727575"/>
    <w:rsid w:val="0072789D"/>
    <w:rsid w:val="00727C2D"/>
    <w:rsid w:val="00727C5C"/>
    <w:rsid w:val="00727D4C"/>
    <w:rsid w:val="00730241"/>
    <w:rsid w:val="007302D5"/>
    <w:rsid w:val="007304D1"/>
    <w:rsid w:val="00730624"/>
    <w:rsid w:val="007307C1"/>
    <w:rsid w:val="007308DF"/>
    <w:rsid w:val="00730DA3"/>
    <w:rsid w:val="00730DFB"/>
    <w:rsid w:val="00730F60"/>
    <w:rsid w:val="00731531"/>
    <w:rsid w:val="00731618"/>
    <w:rsid w:val="0073168B"/>
    <w:rsid w:val="007318D1"/>
    <w:rsid w:val="00731B5E"/>
    <w:rsid w:val="00731CC1"/>
    <w:rsid w:val="00731DE8"/>
    <w:rsid w:val="00731E4D"/>
    <w:rsid w:val="00731F54"/>
    <w:rsid w:val="00731F69"/>
    <w:rsid w:val="00732089"/>
    <w:rsid w:val="007320CD"/>
    <w:rsid w:val="00732415"/>
    <w:rsid w:val="00732779"/>
    <w:rsid w:val="00732878"/>
    <w:rsid w:val="00732895"/>
    <w:rsid w:val="007329DF"/>
    <w:rsid w:val="00732A4E"/>
    <w:rsid w:val="00732CE9"/>
    <w:rsid w:val="00732CEE"/>
    <w:rsid w:val="00733063"/>
    <w:rsid w:val="00733096"/>
    <w:rsid w:val="00733504"/>
    <w:rsid w:val="00733511"/>
    <w:rsid w:val="0073358C"/>
    <w:rsid w:val="007335C0"/>
    <w:rsid w:val="007336FB"/>
    <w:rsid w:val="007339D9"/>
    <w:rsid w:val="00733ACF"/>
    <w:rsid w:val="00733B07"/>
    <w:rsid w:val="00733C37"/>
    <w:rsid w:val="00733FD5"/>
    <w:rsid w:val="00734125"/>
    <w:rsid w:val="00734685"/>
    <w:rsid w:val="00734794"/>
    <w:rsid w:val="0073491A"/>
    <w:rsid w:val="007349FA"/>
    <w:rsid w:val="00734BFF"/>
    <w:rsid w:val="00734C39"/>
    <w:rsid w:val="00734CBA"/>
    <w:rsid w:val="00734EC4"/>
    <w:rsid w:val="00735076"/>
    <w:rsid w:val="007350C6"/>
    <w:rsid w:val="0073544E"/>
    <w:rsid w:val="0073578D"/>
    <w:rsid w:val="00735B7C"/>
    <w:rsid w:val="00735BC7"/>
    <w:rsid w:val="00735CBB"/>
    <w:rsid w:val="00735F0E"/>
    <w:rsid w:val="00735F59"/>
    <w:rsid w:val="00735FC7"/>
    <w:rsid w:val="0073601C"/>
    <w:rsid w:val="0073607B"/>
    <w:rsid w:val="007364CC"/>
    <w:rsid w:val="00736618"/>
    <w:rsid w:val="007366D4"/>
    <w:rsid w:val="00736763"/>
    <w:rsid w:val="00736AFF"/>
    <w:rsid w:val="00736BAF"/>
    <w:rsid w:val="00736BB4"/>
    <w:rsid w:val="00736D96"/>
    <w:rsid w:val="00736F92"/>
    <w:rsid w:val="007374B8"/>
    <w:rsid w:val="007374F2"/>
    <w:rsid w:val="0073750B"/>
    <w:rsid w:val="00737550"/>
    <w:rsid w:val="00737D31"/>
    <w:rsid w:val="00737E0F"/>
    <w:rsid w:val="0074014A"/>
    <w:rsid w:val="007401DB"/>
    <w:rsid w:val="00740481"/>
    <w:rsid w:val="00740587"/>
    <w:rsid w:val="0074081C"/>
    <w:rsid w:val="00740CDE"/>
    <w:rsid w:val="0074105C"/>
    <w:rsid w:val="007410C0"/>
    <w:rsid w:val="007411AE"/>
    <w:rsid w:val="007411F5"/>
    <w:rsid w:val="00741294"/>
    <w:rsid w:val="00741560"/>
    <w:rsid w:val="00741B5F"/>
    <w:rsid w:val="00741BF9"/>
    <w:rsid w:val="00741E02"/>
    <w:rsid w:val="00741F25"/>
    <w:rsid w:val="00741FEE"/>
    <w:rsid w:val="00742206"/>
    <w:rsid w:val="007422BC"/>
    <w:rsid w:val="00742841"/>
    <w:rsid w:val="00742A63"/>
    <w:rsid w:val="00742DE3"/>
    <w:rsid w:val="00742E7E"/>
    <w:rsid w:val="00742F98"/>
    <w:rsid w:val="00742FE7"/>
    <w:rsid w:val="0074309D"/>
    <w:rsid w:val="007431E1"/>
    <w:rsid w:val="0074343C"/>
    <w:rsid w:val="00743492"/>
    <w:rsid w:val="007434BF"/>
    <w:rsid w:val="00743528"/>
    <w:rsid w:val="007435ED"/>
    <w:rsid w:val="007439CC"/>
    <w:rsid w:val="00744131"/>
    <w:rsid w:val="007444BB"/>
    <w:rsid w:val="00744956"/>
    <w:rsid w:val="00744A5E"/>
    <w:rsid w:val="00744EA9"/>
    <w:rsid w:val="007451D2"/>
    <w:rsid w:val="00745336"/>
    <w:rsid w:val="00745776"/>
    <w:rsid w:val="00745A54"/>
    <w:rsid w:val="00745A63"/>
    <w:rsid w:val="00745B57"/>
    <w:rsid w:val="00746143"/>
    <w:rsid w:val="007461A2"/>
    <w:rsid w:val="00746809"/>
    <w:rsid w:val="00746A00"/>
    <w:rsid w:val="00746CCD"/>
    <w:rsid w:val="00746D2C"/>
    <w:rsid w:val="00746D4B"/>
    <w:rsid w:val="00746D79"/>
    <w:rsid w:val="00746D9F"/>
    <w:rsid w:val="00746E2C"/>
    <w:rsid w:val="00746E5A"/>
    <w:rsid w:val="00746EFD"/>
    <w:rsid w:val="00747059"/>
    <w:rsid w:val="007473D7"/>
    <w:rsid w:val="007476B4"/>
    <w:rsid w:val="007476FA"/>
    <w:rsid w:val="00747904"/>
    <w:rsid w:val="00747935"/>
    <w:rsid w:val="00747CB5"/>
    <w:rsid w:val="00747F08"/>
    <w:rsid w:val="00747F42"/>
    <w:rsid w:val="007500C0"/>
    <w:rsid w:val="007502B6"/>
    <w:rsid w:val="007504E4"/>
    <w:rsid w:val="00750566"/>
    <w:rsid w:val="00750960"/>
    <w:rsid w:val="00750A2B"/>
    <w:rsid w:val="00750C9C"/>
    <w:rsid w:val="00750E6B"/>
    <w:rsid w:val="007511E9"/>
    <w:rsid w:val="0075125C"/>
    <w:rsid w:val="007515D1"/>
    <w:rsid w:val="007515FA"/>
    <w:rsid w:val="00751703"/>
    <w:rsid w:val="00751882"/>
    <w:rsid w:val="00751BB8"/>
    <w:rsid w:val="00751C7A"/>
    <w:rsid w:val="00751ED2"/>
    <w:rsid w:val="00751F3A"/>
    <w:rsid w:val="00752132"/>
    <w:rsid w:val="007522E6"/>
    <w:rsid w:val="007523E9"/>
    <w:rsid w:val="00752870"/>
    <w:rsid w:val="00752CFE"/>
    <w:rsid w:val="00752F2E"/>
    <w:rsid w:val="00752FD0"/>
    <w:rsid w:val="00753001"/>
    <w:rsid w:val="00753129"/>
    <w:rsid w:val="00753245"/>
    <w:rsid w:val="00753403"/>
    <w:rsid w:val="007534F1"/>
    <w:rsid w:val="007535C8"/>
    <w:rsid w:val="00753AEA"/>
    <w:rsid w:val="00753DEA"/>
    <w:rsid w:val="00753E0E"/>
    <w:rsid w:val="0075486C"/>
    <w:rsid w:val="007548BD"/>
    <w:rsid w:val="00754B43"/>
    <w:rsid w:val="00754E03"/>
    <w:rsid w:val="0075522B"/>
    <w:rsid w:val="00755350"/>
    <w:rsid w:val="00755BF5"/>
    <w:rsid w:val="00755C64"/>
    <w:rsid w:val="00755D75"/>
    <w:rsid w:val="00755EB7"/>
    <w:rsid w:val="00756005"/>
    <w:rsid w:val="00756143"/>
    <w:rsid w:val="007561FB"/>
    <w:rsid w:val="007564A5"/>
    <w:rsid w:val="007566BB"/>
    <w:rsid w:val="00756850"/>
    <w:rsid w:val="00756890"/>
    <w:rsid w:val="007569FA"/>
    <w:rsid w:val="00756FFC"/>
    <w:rsid w:val="0075753D"/>
    <w:rsid w:val="00757617"/>
    <w:rsid w:val="00757638"/>
    <w:rsid w:val="0075792D"/>
    <w:rsid w:val="00757CDD"/>
    <w:rsid w:val="0076053D"/>
    <w:rsid w:val="007605D8"/>
    <w:rsid w:val="0076061C"/>
    <w:rsid w:val="0076080A"/>
    <w:rsid w:val="007609F5"/>
    <w:rsid w:val="00760A78"/>
    <w:rsid w:val="00760AC4"/>
    <w:rsid w:val="00760B91"/>
    <w:rsid w:val="00760BDB"/>
    <w:rsid w:val="00760E4A"/>
    <w:rsid w:val="00760F1C"/>
    <w:rsid w:val="0076109F"/>
    <w:rsid w:val="007611C2"/>
    <w:rsid w:val="00761494"/>
    <w:rsid w:val="0076164A"/>
    <w:rsid w:val="00761725"/>
    <w:rsid w:val="0076176A"/>
    <w:rsid w:val="00761BF1"/>
    <w:rsid w:val="00761E61"/>
    <w:rsid w:val="00761EF9"/>
    <w:rsid w:val="00762078"/>
    <w:rsid w:val="007621D0"/>
    <w:rsid w:val="007622CF"/>
    <w:rsid w:val="0076253B"/>
    <w:rsid w:val="00762625"/>
    <w:rsid w:val="007626AC"/>
    <w:rsid w:val="00762757"/>
    <w:rsid w:val="0076277D"/>
    <w:rsid w:val="007627DC"/>
    <w:rsid w:val="007628BF"/>
    <w:rsid w:val="007628EF"/>
    <w:rsid w:val="00762A05"/>
    <w:rsid w:val="00762D0B"/>
    <w:rsid w:val="00762E1A"/>
    <w:rsid w:val="00763852"/>
    <w:rsid w:val="00763862"/>
    <w:rsid w:val="00763D45"/>
    <w:rsid w:val="00764081"/>
    <w:rsid w:val="007641CD"/>
    <w:rsid w:val="0076444F"/>
    <w:rsid w:val="00764645"/>
    <w:rsid w:val="00764682"/>
    <w:rsid w:val="00764997"/>
    <w:rsid w:val="007649E2"/>
    <w:rsid w:val="00764A7A"/>
    <w:rsid w:val="00764B0D"/>
    <w:rsid w:val="00764D97"/>
    <w:rsid w:val="00764DF6"/>
    <w:rsid w:val="0076517F"/>
    <w:rsid w:val="0076555D"/>
    <w:rsid w:val="00765845"/>
    <w:rsid w:val="0076590F"/>
    <w:rsid w:val="00765A0F"/>
    <w:rsid w:val="00765B9D"/>
    <w:rsid w:val="00765BF3"/>
    <w:rsid w:val="00765F48"/>
    <w:rsid w:val="00765F65"/>
    <w:rsid w:val="007665A4"/>
    <w:rsid w:val="007666B6"/>
    <w:rsid w:val="00766707"/>
    <w:rsid w:val="00766A49"/>
    <w:rsid w:val="00766E34"/>
    <w:rsid w:val="00766F27"/>
    <w:rsid w:val="007674A5"/>
    <w:rsid w:val="0076759F"/>
    <w:rsid w:val="00767612"/>
    <w:rsid w:val="007679E5"/>
    <w:rsid w:val="00767AF4"/>
    <w:rsid w:val="00767B67"/>
    <w:rsid w:val="00767BF0"/>
    <w:rsid w:val="00767D8B"/>
    <w:rsid w:val="00767F99"/>
    <w:rsid w:val="0077012E"/>
    <w:rsid w:val="007701D4"/>
    <w:rsid w:val="0077026F"/>
    <w:rsid w:val="0077061C"/>
    <w:rsid w:val="00770898"/>
    <w:rsid w:val="00770B3D"/>
    <w:rsid w:val="00770C58"/>
    <w:rsid w:val="00770CC6"/>
    <w:rsid w:val="007712A4"/>
    <w:rsid w:val="007713D3"/>
    <w:rsid w:val="007714AC"/>
    <w:rsid w:val="007714CE"/>
    <w:rsid w:val="007715CC"/>
    <w:rsid w:val="007716AA"/>
    <w:rsid w:val="00771847"/>
    <w:rsid w:val="007721CB"/>
    <w:rsid w:val="0077234C"/>
    <w:rsid w:val="0077257E"/>
    <w:rsid w:val="0077291C"/>
    <w:rsid w:val="00772A32"/>
    <w:rsid w:val="00772BB7"/>
    <w:rsid w:val="00772F3A"/>
    <w:rsid w:val="0077300D"/>
    <w:rsid w:val="00773331"/>
    <w:rsid w:val="007739F8"/>
    <w:rsid w:val="00773AF1"/>
    <w:rsid w:val="00773C1B"/>
    <w:rsid w:val="00773E19"/>
    <w:rsid w:val="00773FB3"/>
    <w:rsid w:val="007741D5"/>
    <w:rsid w:val="0077431A"/>
    <w:rsid w:val="00774359"/>
    <w:rsid w:val="00774377"/>
    <w:rsid w:val="0077461D"/>
    <w:rsid w:val="00774981"/>
    <w:rsid w:val="007749A9"/>
    <w:rsid w:val="00774A39"/>
    <w:rsid w:val="00774EDC"/>
    <w:rsid w:val="007750D0"/>
    <w:rsid w:val="007751D9"/>
    <w:rsid w:val="0077529E"/>
    <w:rsid w:val="007753A6"/>
    <w:rsid w:val="00775514"/>
    <w:rsid w:val="00775967"/>
    <w:rsid w:val="00775BC9"/>
    <w:rsid w:val="00775D0B"/>
    <w:rsid w:val="00776346"/>
    <w:rsid w:val="007769B6"/>
    <w:rsid w:val="00776A52"/>
    <w:rsid w:val="0077709D"/>
    <w:rsid w:val="00777567"/>
    <w:rsid w:val="00777736"/>
    <w:rsid w:val="0077779D"/>
    <w:rsid w:val="0077799B"/>
    <w:rsid w:val="00777A4F"/>
    <w:rsid w:val="00777FB8"/>
    <w:rsid w:val="00780143"/>
    <w:rsid w:val="007803A0"/>
    <w:rsid w:val="0078046D"/>
    <w:rsid w:val="00780558"/>
    <w:rsid w:val="007806C1"/>
    <w:rsid w:val="00780875"/>
    <w:rsid w:val="00780B5B"/>
    <w:rsid w:val="00780BA3"/>
    <w:rsid w:val="00780CD4"/>
    <w:rsid w:val="00780E2E"/>
    <w:rsid w:val="0078122A"/>
    <w:rsid w:val="007813E0"/>
    <w:rsid w:val="00781412"/>
    <w:rsid w:val="00781434"/>
    <w:rsid w:val="007814B2"/>
    <w:rsid w:val="007816F3"/>
    <w:rsid w:val="00781835"/>
    <w:rsid w:val="00781A80"/>
    <w:rsid w:val="00781AED"/>
    <w:rsid w:val="00781C1C"/>
    <w:rsid w:val="00781D55"/>
    <w:rsid w:val="00781FA4"/>
    <w:rsid w:val="007820DF"/>
    <w:rsid w:val="00782294"/>
    <w:rsid w:val="0078247F"/>
    <w:rsid w:val="007825AC"/>
    <w:rsid w:val="00782B20"/>
    <w:rsid w:val="00782B2B"/>
    <w:rsid w:val="00782B80"/>
    <w:rsid w:val="00782C67"/>
    <w:rsid w:val="00783041"/>
    <w:rsid w:val="007830B5"/>
    <w:rsid w:val="007830FD"/>
    <w:rsid w:val="00783123"/>
    <w:rsid w:val="00783477"/>
    <w:rsid w:val="0078349E"/>
    <w:rsid w:val="007834E8"/>
    <w:rsid w:val="00783597"/>
    <w:rsid w:val="00783932"/>
    <w:rsid w:val="00783AA8"/>
    <w:rsid w:val="00783AFA"/>
    <w:rsid w:val="00783E97"/>
    <w:rsid w:val="0078441E"/>
    <w:rsid w:val="00784426"/>
    <w:rsid w:val="0078444D"/>
    <w:rsid w:val="00784487"/>
    <w:rsid w:val="007846AC"/>
    <w:rsid w:val="00784E58"/>
    <w:rsid w:val="007850A4"/>
    <w:rsid w:val="007852C4"/>
    <w:rsid w:val="00785381"/>
    <w:rsid w:val="007855CD"/>
    <w:rsid w:val="007856EC"/>
    <w:rsid w:val="00785769"/>
    <w:rsid w:val="0078589F"/>
    <w:rsid w:val="00785934"/>
    <w:rsid w:val="00785ED6"/>
    <w:rsid w:val="0078605F"/>
    <w:rsid w:val="007860FA"/>
    <w:rsid w:val="007862EE"/>
    <w:rsid w:val="007864CC"/>
    <w:rsid w:val="007867BF"/>
    <w:rsid w:val="007869B2"/>
    <w:rsid w:val="00786A8D"/>
    <w:rsid w:val="00786B91"/>
    <w:rsid w:val="00786BB7"/>
    <w:rsid w:val="00786C16"/>
    <w:rsid w:val="00786CD6"/>
    <w:rsid w:val="00786F1C"/>
    <w:rsid w:val="00786FF6"/>
    <w:rsid w:val="00787107"/>
    <w:rsid w:val="00787272"/>
    <w:rsid w:val="0078759F"/>
    <w:rsid w:val="007875AC"/>
    <w:rsid w:val="0078761D"/>
    <w:rsid w:val="00787744"/>
    <w:rsid w:val="0078778E"/>
    <w:rsid w:val="00787888"/>
    <w:rsid w:val="00787C4E"/>
    <w:rsid w:val="00790090"/>
    <w:rsid w:val="00790263"/>
    <w:rsid w:val="0079027B"/>
    <w:rsid w:val="00790388"/>
    <w:rsid w:val="007905B9"/>
    <w:rsid w:val="007905C7"/>
    <w:rsid w:val="0079066A"/>
    <w:rsid w:val="0079069F"/>
    <w:rsid w:val="00790778"/>
    <w:rsid w:val="007907D3"/>
    <w:rsid w:val="00790809"/>
    <w:rsid w:val="00790A16"/>
    <w:rsid w:val="00790C4A"/>
    <w:rsid w:val="007911F2"/>
    <w:rsid w:val="00791200"/>
    <w:rsid w:val="00791265"/>
    <w:rsid w:val="007913E6"/>
    <w:rsid w:val="00791646"/>
    <w:rsid w:val="00791798"/>
    <w:rsid w:val="007919B9"/>
    <w:rsid w:val="00791F87"/>
    <w:rsid w:val="007923EB"/>
    <w:rsid w:val="0079297F"/>
    <w:rsid w:val="00792A3B"/>
    <w:rsid w:val="00792A44"/>
    <w:rsid w:val="00792E19"/>
    <w:rsid w:val="00792E7C"/>
    <w:rsid w:val="00792FB4"/>
    <w:rsid w:val="00793103"/>
    <w:rsid w:val="00793111"/>
    <w:rsid w:val="007932DC"/>
    <w:rsid w:val="007932EF"/>
    <w:rsid w:val="00793909"/>
    <w:rsid w:val="00793DDE"/>
    <w:rsid w:val="00793EA4"/>
    <w:rsid w:val="00794270"/>
    <w:rsid w:val="00794331"/>
    <w:rsid w:val="007943E5"/>
    <w:rsid w:val="007945C6"/>
    <w:rsid w:val="00794618"/>
    <w:rsid w:val="0079506D"/>
    <w:rsid w:val="00795298"/>
    <w:rsid w:val="00795357"/>
    <w:rsid w:val="0079540D"/>
    <w:rsid w:val="0079541D"/>
    <w:rsid w:val="00795478"/>
    <w:rsid w:val="00795490"/>
    <w:rsid w:val="007954F3"/>
    <w:rsid w:val="0079574D"/>
    <w:rsid w:val="00795A34"/>
    <w:rsid w:val="00795ABF"/>
    <w:rsid w:val="007960DF"/>
    <w:rsid w:val="00796165"/>
    <w:rsid w:val="007963BA"/>
    <w:rsid w:val="007967E7"/>
    <w:rsid w:val="00796913"/>
    <w:rsid w:val="00796B29"/>
    <w:rsid w:val="00796DC2"/>
    <w:rsid w:val="00796DD5"/>
    <w:rsid w:val="0079705C"/>
    <w:rsid w:val="00797289"/>
    <w:rsid w:val="007976B3"/>
    <w:rsid w:val="007976D5"/>
    <w:rsid w:val="007977AC"/>
    <w:rsid w:val="00797903"/>
    <w:rsid w:val="007979C7"/>
    <w:rsid w:val="00797B1A"/>
    <w:rsid w:val="00797D11"/>
    <w:rsid w:val="00797ED9"/>
    <w:rsid w:val="007A00F6"/>
    <w:rsid w:val="007A02D7"/>
    <w:rsid w:val="007A02E8"/>
    <w:rsid w:val="007A036C"/>
    <w:rsid w:val="007A03EB"/>
    <w:rsid w:val="007A0466"/>
    <w:rsid w:val="007A04E5"/>
    <w:rsid w:val="007A04F0"/>
    <w:rsid w:val="007A0978"/>
    <w:rsid w:val="007A11DE"/>
    <w:rsid w:val="007A1347"/>
    <w:rsid w:val="007A15B7"/>
    <w:rsid w:val="007A1691"/>
    <w:rsid w:val="007A197C"/>
    <w:rsid w:val="007A1A2F"/>
    <w:rsid w:val="007A1D11"/>
    <w:rsid w:val="007A1FD5"/>
    <w:rsid w:val="007A20A5"/>
    <w:rsid w:val="007A226C"/>
    <w:rsid w:val="007A282C"/>
    <w:rsid w:val="007A2921"/>
    <w:rsid w:val="007A2AFE"/>
    <w:rsid w:val="007A2BBF"/>
    <w:rsid w:val="007A2CE6"/>
    <w:rsid w:val="007A31DD"/>
    <w:rsid w:val="007A3694"/>
    <w:rsid w:val="007A3948"/>
    <w:rsid w:val="007A3A1E"/>
    <w:rsid w:val="007A3A4C"/>
    <w:rsid w:val="007A4065"/>
    <w:rsid w:val="007A4084"/>
    <w:rsid w:val="007A438F"/>
    <w:rsid w:val="007A43B9"/>
    <w:rsid w:val="007A4516"/>
    <w:rsid w:val="007A45F7"/>
    <w:rsid w:val="007A4801"/>
    <w:rsid w:val="007A4A28"/>
    <w:rsid w:val="007A4BDD"/>
    <w:rsid w:val="007A4CBE"/>
    <w:rsid w:val="007A4E90"/>
    <w:rsid w:val="007A4F6F"/>
    <w:rsid w:val="007A5C66"/>
    <w:rsid w:val="007A5D02"/>
    <w:rsid w:val="007A5FDC"/>
    <w:rsid w:val="007A600C"/>
    <w:rsid w:val="007A6080"/>
    <w:rsid w:val="007A6166"/>
    <w:rsid w:val="007A6728"/>
    <w:rsid w:val="007A695B"/>
    <w:rsid w:val="007A6A0F"/>
    <w:rsid w:val="007A6C75"/>
    <w:rsid w:val="007A6D4F"/>
    <w:rsid w:val="007A6E23"/>
    <w:rsid w:val="007A6E88"/>
    <w:rsid w:val="007A7178"/>
    <w:rsid w:val="007A7321"/>
    <w:rsid w:val="007A7629"/>
    <w:rsid w:val="007A7790"/>
    <w:rsid w:val="007A77EC"/>
    <w:rsid w:val="007A791B"/>
    <w:rsid w:val="007B0510"/>
    <w:rsid w:val="007B087C"/>
    <w:rsid w:val="007B08CD"/>
    <w:rsid w:val="007B08E0"/>
    <w:rsid w:val="007B0922"/>
    <w:rsid w:val="007B0F07"/>
    <w:rsid w:val="007B1102"/>
    <w:rsid w:val="007B11DD"/>
    <w:rsid w:val="007B13A2"/>
    <w:rsid w:val="007B1401"/>
    <w:rsid w:val="007B1472"/>
    <w:rsid w:val="007B155F"/>
    <w:rsid w:val="007B1839"/>
    <w:rsid w:val="007B1893"/>
    <w:rsid w:val="007B1A35"/>
    <w:rsid w:val="007B1B77"/>
    <w:rsid w:val="007B1C47"/>
    <w:rsid w:val="007B1D17"/>
    <w:rsid w:val="007B1D3D"/>
    <w:rsid w:val="007B1E76"/>
    <w:rsid w:val="007B238D"/>
    <w:rsid w:val="007B2433"/>
    <w:rsid w:val="007B262E"/>
    <w:rsid w:val="007B2699"/>
    <w:rsid w:val="007B28FF"/>
    <w:rsid w:val="007B2AE5"/>
    <w:rsid w:val="007B2CFA"/>
    <w:rsid w:val="007B2F20"/>
    <w:rsid w:val="007B2F67"/>
    <w:rsid w:val="007B3115"/>
    <w:rsid w:val="007B32D6"/>
    <w:rsid w:val="007B33C6"/>
    <w:rsid w:val="007B3427"/>
    <w:rsid w:val="007B3451"/>
    <w:rsid w:val="007B3667"/>
    <w:rsid w:val="007B36E9"/>
    <w:rsid w:val="007B39E6"/>
    <w:rsid w:val="007B3B9E"/>
    <w:rsid w:val="007B3C28"/>
    <w:rsid w:val="007B3EAF"/>
    <w:rsid w:val="007B4328"/>
    <w:rsid w:val="007B4454"/>
    <w:rsid w:val="007B45E9"/>
    <w:rsid w:val="007B4802"/>
    <w:rsid w:val="007B48A7"/>
    <w:rsid w:val="007B491C"/>
    <w:rsid w:val="007B49FA"/>
    <w:rsid w:val="007B4F08"/>
    <w:rsid w:val="007B4F37"/>
    <w:rsid w:val="007B53B7"/>
    <w:rsid w:val="007B5745"/>
    <w:rsid w:val="007B5851"/>
    <w:rsid w:val="007B5882"/>
    <w:rsid w:val="007B592B"/>
    <w:rsid w:val="007B594A"/>
    <w:rsid w:val="007B5CC1"/>
    <w:rsid w:val="007B5D64"/>
    <w:rsid w:val="007B5E28"/>
    <w:rsid w:val="007B6499"/>
    <w:rsid w:val="007B667D"/>
    <w:rsid w:val="007B68C0"/>
    <w:rsid w:val="007B6BCB"/>
    <w:rsid w:val="007B6D1E"/>
    <w:rsid w:val="007B6E3F"/>
    <w:rsid w:val="007B7381"/>
    <w:rsid w:val="007B7644"/>
    <w:rsid w:val="007B7710"/>
    <w:rsid w:val="007B7A24"/>
    <w:rsid w:val="007B7CC3"/>
    <w:rsid w:val="007B7CE0"/>
    <w:rsid w:val="007B7F5E"/>
    <w:rsid w:val="007B7F7A"/>
    <w:rsid w:val="007C0233"/>
    <w:rsid w:val="007C0480"/>
    <w:rsid w:val="007C04A1"/>
    <w:rsid w:val="007C04A6"/>
    <w:rsid w:val="007C0635"/>
    <w:rsid w:val="007C0717"/>
    <w:rsid w:val="007C09F1"/>
    <w:rsid w:val="007C0ACF"/>
    <w:rsid w:val="007C0B89"/>
    <w:rsid w:val="007C0C92"/>
    <w:rsid w:val="007C0DF6"/>
    <w:rsid w:val="007C0EC7"/>
    <w:rsid w:val="007C0FB0"/>
    <w:rsid w:val="007C1248"/>
    <w:rsid w:val="007C1290"/>
    <w:rsid w:val="007C12CD"/>
    <w:rsid w:val="007C1340"/>
    <w:rsid w:val="007C13C3"/>
    <w:rsid w:val="007C13DB"/>
    <w:rsid w:val="007C17D4"/>
    <w:rsid w:val="007C19AE"/>
    <w:rsid w:val="007C1A74"/>
    <w:rsid w:val="007C225D"/>
    <w:rsid w:val="007C2514"/>
    <w:rsid w:val="007C2625"/>
    <w:rsid w:val="007C26C7"/>
    <w:rsid w:val="007C291C"/>
    <w:rsid w:val="007C2958"/>
    <w:rsid w:val="007C2A92"/>
    <w:rsid w:val="007C2AC4"/>
    <w:rsid w:val="007C2AED"/>
    <w:rsid w:val="007C2B2A"/>
    <w:rsid w:val="007C2C06"/>
    <w:rsid w:val="007C316F"/>
    <w:rsid w:val="007C3647"/>
    <w:rsid w:val="007C3678"/>
    <w:rsid w:val="007C3972"/>
    <w:rsid w:val="007C3B3B"/>
    <w:rsid w:val="007C3FCE"/>
    <w:rsid w:val="007C3FCF"/>
    <w:rsid w:val="007C4512"/>
    <w:rsid w:val="007C47E7"/>
    <w:rsid w:val="007C4CB1"/>
    <w:rsid w:val="007C4FC7"/>
    <w:rsid w:val="007C5079"/>
    <w:rsid w:val="007C5102"/>
    <w:rsid w:val="007C51BE"/>
    <w:rsid w:val="007C5614"/>
    <w:rsid w:val="007C57C0"/>
    <w:rsid w:val="007C57C6"/>
    <w:rsid w:val="007C5A2F"/>
    <w:rsid w:val="007C5B95"/>
    <w:rsid w:val="007C5BCC"/>
    <w:rsid w:val="007C5C53"/>
    <w:rsid w:val="007C5C59"/>
    <w:rsid w:val="007C5E91"/>
    <w:rsid w:val="007C6069"/>
    <w:rsid w:val="007C60AE"/>
    <w:rsid w:val="007C62A8"/>
    <w:rsid w:val="007C62D5"/>
    <w:rsid w:val="007C637A"/>
    <w:rsid w:val="007C64A2"/>
    <w:rsid w:val="007C65E3"/>
    <w:rsid w:val="007C6A53"/>
    <w:rsid w:val="007C6CAF"/>
    <w:rsid w:val="007C6CE6"/>
    <w:rsid w:val="007C6E54"/>
    <w:rsid w:val="007C6E85"/>
    <w:rsid w:val="007C6EA3"/>
    <w:rsid w:val="007C702D"/>
    <w:rsid w:val="007C71E9"/>
    <w:rsid w:val="007C7519"/>
    <w:rsid w:val="007C754C"/>
    <w:rsid w:val="007C7607"/>
    <w:rsid w:val="007C767C"/>
    <w:rsid w:val="007C7DC9"/>
    <w:rsid w:val="007D000C"/>
    <w:rsid w:val="007D0048"/>
    <w:rsid w:val="007D0539"/>
    <w:rsid w:val="007D06A5"/>
    <w:rsid w:val="007D071C"/>
    <w:rsid w:val="007D0773"/>
    <w:rsid w:val="007D07A6"/>
    <w:rsid w:val="007D0922"/>
    <w:rsid w:val="007D09AE"/>
    <w:rsid w:val="007D1241"/>
    <w:rsid w:val="007D1386"/>
    <w:rsid w:val="007D1596"/>
    <w:rsid w:val="007D1601"/>
    <w:rsid w:val="007D1656"/>
    <w:rsid w:val="007D180A"/>
    <w:rsid w:val="007D1938"/>
    <w:rsid w:val="007D1C65"/>
    <w:rsid w:val="007D1FEF"/>
    <w:rsid w:val="007D23E3"/>
    <w:rsid w:val="007D25A1"/>
    <w:rsid w:val="007D25C6"/>
    <w:rsid w:val="007D25DC"/>
    <w:rsid w:val="007D25DF"/>
    <w:rsid w:val="007D2800"/>
    <w:rsid w:val="007D299A"/>
    <w:rsid w:val="007D2B78"/>
    <w:rsid w:val="007D2C8C"/>
    <w:rsid w:val="007D2DAF"/>
    <w:rsid w:val="007D2F2A"/>
    <w:rsid w:val="007D2FD4"/>
    <w:rsid w:val="007D34E2"/>
    <w:rsid w:val="007D34FA"/>
    <w:rsid w:val="007D37FB"/>
    <w:rsid w:val="007D4509"/>
    <w:rsid w:val="007D47C2"/>
    <w:rsid w:val="007D4A04"/>
    <w:rsid w:val="007D4DA9"/>
    <w:rsid w:val="007D4E62"/>
    <w:rsid w:val="007D5085"/>
    <w:rsid w:val="007D523B"/>
    <w:rsid w:val="007D52BB"/>
    <w:rsid w:val="007D57E8"/>
    <w:rsid w:val="007D586D"/>
    <w:rsid w:val="007D58C9"/>
    <w:rsid w:val="007D5B07"/>
    <w:rsid w:val="007D5CCC"/>
    <w:rsid w:val="007D5CF0"/>
    <w:rsid w:val="007D61C7"/>
    <w:rsid w:val="007D62AC"/>
    <w:rsid w:val="007D6334"/>
    <w:rsid w:val="007D63A9"/>
    <w:rsid w:val="007D63EE"/>
    <w:rsid w:val="007D6664"/>
    <w:rsid w:val="007D6748"/>
    <w:rsid w:val="007D6890"/>
    <w:rsid w:val="007D6C96"/>
    <w:rsid w:val="007D6C9D"/>
    <w:rsid w:val="007D6CF2"/>
    <w:rsid w:val="007D6F85"/>
    <w:rsid w:val="007D73B8"/>
    <w:rsid w:val="007D762F"/>
    <w:rsid w:val="007D77C6"/>
    <w:rsid w:val="007D7825"/>
    <w:rsid w:val="007D7856"/>
    <w:rsid w:val="007D7981"/>
    <w:rsid w:val="007D7AF4"/>
    <w:rsid w:val="007D7B68"/>
    <w:rsid w:val="007D7CA4"/>
    <w:rsid w:val="007D7E4F"/>
    <w:rsid w:val="007D7E7A"/>
    <w:rsid w:val="007D7FD9"/>
    <w:rsid w:val="007E001A"/>
    <w:rsid w:val="007E0047"/>
    <w:rsid w:val="007E00A9"/>
    <w:rsid w:val="007E01B2"/>
    <w:rsid w:val="007E05B0"/>
    <w:rsid w:val="007E076C"/>
    <w:rsid w:val="007E0A33"/>
    <w:rsid w:val="007E14BC"/>
    <w:rsid w:val="007E1659"/>
    <w:rsid w:val="007E16F6"/>
    <w:rsid w:val="007E1876"/>
    <w:rsid w:val="007E1A5E"/>
    <w:rsid w:val="007E2304"/>
    <w:rsid w:val="007E2507"/>
    <w:rsid w:val="007E2842"/>
    <w:rsid w:val="007E29FD"/>
    <w:rsid w:val="007E2EF8"/>
    <w:rsid w:val="007E300D"/>
    <w:rsid w:val="007E326E"/>
    <w:rsid w:val="007E32F2"/>
    <w:rsid w:val="007E33B0"/>
    <w:rsid w:val="007E33FC"/>
    <w:rsid w:val="007E34C3"/>
    <w:rsid w:val="007E37B1"/>
    <w:rsid w:val="007E3836"/>
    <w:rsid w:val="007E3DCF"/>
    <w:rsid w:val="007E3E17"/>
    <w:rsid w:val="007E3E37"/>
    <w:rsid w:val="007E3F86"/>
    <w:rsid w:val="007E3F9B"/>
    <w:rsid w:val="007E40B5"/>
    <w:rsid w:val="007E4103"/>
    <w:rsid w:val="007E412F"/>
    <w:rsid w:val="007E42A0"/>
    <w:rsid w:val="007E4502"/>
    <w:rsid w:val="007E468D"/>
    <w:rsid w:val="007E4698"/>
    <w:rsid w:val="007E4B82"/>
    <w:rsid w:val="007E4CC4"/>
    <w:rsid w:val="007E4FD6"/>
    <w:rsid w:val="007E50E4"/>
    <w:rsid w:val="007E5352"/>
    <w:rsid w:val="007E55EB"/>
    <w:rsid w:val="007E59A9"/>
    <w:rsid w:val="007E5B45"/>
    <w:rsid w:val="007E5C1B"/>
    <w:rsid w:val="007E5EE1"/>
    <w:rsid w:val="007E601F"/>
    <w:rsid w:val="007E60ED"/>
    <w:rsid w:val="007E6143"/>
    <w:rsid w:val="007E64AD"/>
    <w:rsid w:val="007E6808"/>
    <w:rsid w:val="007E6A56"/>
    <w:rsid w:val="007E6CC6"/>
    <w:rsid w:val="007E6D35"/>
    <w:rsid w:val="007E72BD"/>
    <w:rsid w:val="007E778A"/>
    <w:rsid w:val="007E77FB"/>
    <w:rsid w:val="007E7830"/>
    <w:rsid w:val="007E7B49"/>
    <w:rsid w:val="007E7D82"/>
    <w:rsid w:val="007E7E12"/>
    <w:rsid w:val="007F09F2"/>
    <w:rsid w:val="007F0B03"/>
    <w:rsid w:val="007F0BA9"/>
    <w:rsid w:val="007F0C90"/>
    <w:rsid w:val="007F11BF"/>
    <w:rsid w:val="007F124D"/>
    <w:rsid w:val="007F12DC"/>
    <w:rsid w:val="007F1340"/>
    <w:rsid w:val="007F15C1"/>
    <w:rsid w:val="007F171E"/>
    <w:rsid w:val="007F17C6"/>
    <w:rsid w:val="007F193C"/>
    <w:rsid w:val="007F1999"/>
    <w:rsid w:val="007F1A9A"/>
    <w:rsid w:val="007F1B81"/>
    <w:rsid w:val="007F1BE3"/>
    <w:rsid w:val="007F1ED6"/>
    <w:rsid w:val="007F22B4"/>
    <w:rsid w:val="007F2523"/>
    <w:rsid w:val="007F257C"/>
    <w:rsid w:val="007F264F"/>
    <w:rsid w:val="007F28CD"/>
    <w:rsid w:val="007F2AB4"/>
    <w:rsid w:val="007F2B59"/>
    <w:rsid w:val="007F30A3"/>
    <w:rsid w:val="007F30A9"/>
    <w:rsid w:val="007F3976"/>
    <w:rsid w:val="007F3A66"/>
    <w:rsid w:val="007F3B83"/>
    <w:rsid w:val="007F3D53"/>
    <w:rsid w:val="007F3FD0"/>
    <w:rsid w:val="007F4083"/>
    <w:rsid w:val="007F4277"/>
    <w:rsid w:val="007F435E"/>
    <w:rsid w:val="007F4704"/>
    <w:rsid w:val="007F497B"/>
    <w:rsid w:val="007F4B83"/>
    <w:rsid w:val="007F4E0D"/>
    <w:rsid w:val="007F4E2A"/>
    <w:rsid w:val="007F52F0"/>
    <w:rsid w:val="007F548B"/>
    <w:rsid w:val="007F5798"/>
    <w:rsid w:val="007F5A9E"/>
    <w:rsid w:val="007F5BBE"/>
    <w:rsid w:val="007F5D32"/>
    <w:rsid w:val="007F5DAA"/>
    <w:rsid w:val="007F5E05"/>
    <w:rsid w:val="007F5E80"/>
    <w:rsid w:val="007F61F5"/>
    <w:rsid w:val="007F6383"/>
    <w:rsid w:val="007F6759"/>
    <w:rsid w:val="007F6D33"/>
    <w:rsid w:val="007F6EE7"/>
    <w:rsid w:val="007F722D"/>
    <w:rsid w:val="007F73E4"/>
    <w:rsid w:val="007F7796"/>
    <w:rsid w:val="007F7D60"/>
    <w:rsid w:val="007F7DC6"/>
    <w:rsid w:val="007F7FE6"/>
    <w:rsid w:val="008004F4"/>
    <w:rsid w:val="0080062E"/>
    <w:rsid w:val="00800A48"/>
    <w:rsid w:val="00800BEE"/>
    <w:rsid w:val="00800C34"/>
    <w:rsid w:val="00800E8E"/>
    <w:rsid w:val="00800F38"/>
    <w:rsid w:val="008010FA"/>
    <w:rsid w:val="008018F5"/>
    <w:rsid w:val="00801DC4"/>
    <w:rsid w:val="00801EA9"/>
    <w:rsid w:val="00801EBA"/>
    <w:rsid w:val="00801ED6"/>
    <w:rsid w:val="00801F3D"/>
    <w:rsid w:val="00801F7D"/>
    <w:rsid w:val="0080216E"/>
    <w:rsid w:val="0080230B"/>
    <w:rsid w:val="00802397"/>
    <w:rsid w:val="00802461"/>
    <w:rsid w:val="0080247A"/>
    <w:rsid w:val="00802703"/>
    <w:rsid w:val="00802939"/>
    <w:rsid w:val="00802C1E"/>
    <w:rsid w:val="00802E42"/>
    <w:rsid w:val="00802F0C"/>
    <w:rsid w:val="00802F47"/>
    <w:rsid w:val="00803112"/>
    <w:rsid w:val="008031F3"/>
    <w:rsid w:val="00803319"/>
    <w:rsid w:val="0080386A"/>
    <w:rsid w:val="0080393C"/>
    <w:rsid w:val="00803A13"/>
    <w:rsid w:val="00803C5F"/>
    <w:rsid w:val="00803CF2"/>
    <w:rsid w:val="00804262"/>
    <w:rsid w:val="00804386"/>
    <w:rsid w:val="008043D8"/>
    <w:rsid w:val="0080483E"/>
    <w:rsid w:val="0080491C"/>
    <w:rsid w:val="00804A22"/>
    <w:rsid w:val="00804A26"/>
    <w:rsid w:val="00804A29"/>
    <w:rsid w:val="00804C17"/>
    <w:rsid w:val="00804D50"/>
    <w:rsid w:val="0080510E"/>
    <w:rsid w:val="00805185"/>
    <w:rsid w:val="0080533E"/>
    <w:rsid w:val="008055AB"/>
    <w:rsid w:val="008055B8"/>
    <w:rsid w:val="0080585E"/>
    <w:rsid w:val="00805DF0"/>
    <w:rsid w:val="00805E72"/>
    <w:rsid w:val="0080602E"/>
    <w:rsid w:val="00806310"/>
    <w:rsid w:val="008067EF"/>
    <w:rsid w:val="0080698A"/>
    <w:rsid w:val="00806AB0"/>
    <w:rsid w:val="00806C3D"/>
    <w:rsid w:val="00806FFA"/>
    <w:rsid w:val="0080739B"/>
    <w:rsid w:val="00807407"/>
    <w:rsid w:val="008074A8"/>
    <w:rsid w:val="00807593"/>
    <w:rsid w:val="00807C33"/>
    <w:rsid w:val="00807C78"/>
    <w:rsid w:val="00807CD6"/>
    <w:rsid w:val="008100A9"/>
    <w:rsid w:val="00810439"/>
    <w:rsid w:val="00810548"/>
    <w:rsid w:val="0081064F"/>
    <w:rsid w:val="00810667"/>
    <w:rsid w:val="008107B6"/>
    <w:rsid w:val="00810857"/>
    <w:rsid w:val="00810892"/>
    <w:rsid w:val="00810895"/>
    <w:rsid w:val="008108AD"/>
    <w:rsid w:val="00810A85"/>
    <w:rsid w:val="00810DC6"/>
    <w:rsid w:val="00810E41"/>
    <w:rsid w:val="00810F01"/>
    <w:rsid w:val="00810FE0"/>
    <w:rsid w:val="00811072"/>
    <w:rsid w:val="008111D2"/>
    <w:rsid w:val="008111DC"/>
    <w:rsid w:val="0081185F"/>
    <w:rsid w:val="00811A28"/>
    <w:rsid w:val="00811A2F"/>
    <w:rsid w:val="00811CD5"/>
    <w:rsid w:val="00811E12"/>
    <w:rsid w:val="0081207C"/>
    <w:rsid w:val="0081213A"/>
    <w:rsid w:val="00812257"/>
    <w:rsid w:val="008124EA"/>
    <w:rsid w:val="00812BB0"/>
    <w:rsid w:val="00812D1D"/>
    <w:rsid w:val="00812D23"/>
    <w:rsid w:val="00812E61"/>
    <w:rsid w:val="0081343D"/>
    <w:rsid w:val="00813486"/>
    <w:rsid w:val="00813924"/>
    <w:rsid w:val="008139B3"/>
    <w:rsid w:val="00813AB6"/>
    <w:rsid w:val="00813CD7"/>
    <w:rsid w:val="008140EE"/>
    <w:rsid w:val="008142CA"/>
    <w:rsid w:val="0081432D"/>
    <w:rsid w:val="008144D5"/>
    <w:rsid w:val="00814555"/>
    <w:rsid w:val="00814644"/>
    <w:rsid w:val="0081494E"/>
    <w:rsid w:val="00814AF8"/>
    <w:rsid w:val="00814DB5"/>
    <w:rsid w:val="00814E36"/>
    <w:rsid w:val="00814F90"/>
    <w:rsid w:val="00815385"/>
    <w:rsid w:val="00815395"/>
    <w:rsid w:val="008154A2"/>
    <w:rsid w:val="00815664"/>
    <w:rsid w:val="008156F8"/>
    <w:rsid w:val="00815742"/>
    <w:rsid w:val="00815801"/>
    <w:rsid w:val="00815880"/>
    <w:rsid w:val="00815AC0"/>
    <w:rsid w:val="00815B0A"/>
    <w:rsid w:val="00815B67"/>
    <w:rsid w:val="00815DAD"/>
    <w:rsid w:val="00815DE4"/>
    <w:rsid w:val="00815FC4"/>
    <w:rsid w:val="00815FE9"/>
    <w:rsid w:val="00816009"/>
    <w:rsid w:val="008162AE"/>
    <w:rsid w:val="008162F2"/>
    <w:rsid w:val="008165B5"/>
    <w:rsid w:val="0081665D"/>
    <w:rsid w:val="0081671E"/>
    <w:rsid w:val="008169C5"/>
    <w:rsid w:val="00816A9E"/>
    <w:rsid w:val="00816CBC"/>
    <w:rsid w:val="00816E59"/>
    <w:rsid w:val="00817494"/>
    <w:rsid w:val="008177E2"/>
    <w:rsid w:val="00817A17"/>
    <w:rsid w:val="00817A4D"/>
    <w:rsid w:val="00817A7E"/>
    <w:rsid w:val="00817CE2"/>
    <w:rsid w:val="00817D19"/>
    <w:rsid w:val="00817D98"/>
    <w:rsid w:val="00817E03"/>
    <w:rsid w:val="00820136"/>
    <w:rsid w:val="00820174"/>
    <w:rsid w:val="008205FB"/>
    <w:rsid w:val="008206C4"/>
    <w:rsid w:val="00820795"/>
    <w:rsid w:val="0082092E"/>
    <w:rsid w:val="00820A48"/>
    <w:rsid w:val="00820A5B"/>
    <w:rsid w:val="00820D8E"/>
    <w:rsid w:val="00820DEA"/>
    <w:rsid w:val="00820EBF"/>
    <w:rsid w:val="00820F15"/>
    <w:rsid w:val="008213E2"/>
    <w:rsid w:val="008214C4"/>
    <w:rsid w:val="00821B6C"/>
    <w:rsid w:val="00821C9E"/>
    <w:rsid w:val="008227BE"/>
    <w:rsid w:val="008229EB"/>
    <w:rsid w:val="00822D67"/>
    <w:rsid w:val="0082303A"/>
    <w:rsid w:val="0082304F"/>
    <w:rsid w:val="008235C8"/>
    <w:rsid w:val="0082371A"/>
    <w:rsid w:val="0082392A"/>
    <w:rsid w:val="00823ACF"/>
    <w:rsid w:val="00823C2A"/>
    <w:rsid w:val="00823E38"/>
    <w:rsid w:val="00823E91"/>
    <w:rsid w:val="00824002"/>
    <w:rsid w:val="0082405A"/>
    <w:rsid w:val="0082415A"/>
    <w:rsid w:val="0082427D"/>
    <w:rsid w:val="00824314"/>
    <w:rsid w:val="008248E2"/>
    <w:rsid w:val="00824CED"/>
    <w:rsid w:val="00824F50"/>
    <w:rsid w:val="00824FE1"/>
    <w:rsid w:val="00825036"/>
    <w:rsid w:val="00825041"/>
    <w:rsid w:val="008255F4"/>
    <w:rsid w:val="008257E3"/>
    <w:rsid w:val="00825BC8"/>
    <w:rsid w:val="00826129"/>
    <w:rsid w:val="00826199"/>
    <w:rsid w:val="00826496"/>
    <w:rsid w:val="00826517"/>
    <w:rsid w:val="00826567"/>
    <w:rsid w:val="008266BE"/>
    <w:rsid w:val="008266E5"/>
    <w:rsid w:val="00826711"/>
    <w:rsid w:val="00826781"/>
    <w:rsid w:val="008269A1"/>
    <w:rsid w:val="008269F9"/>
    <w:rsid w:val="00826A4E"/>
    <w:rsid w:val="00826D9C"/>
    <w:rsid w:val="00827044"/>
    <w:rsid w:val="00827066"/>
    <w:rsid w:val="00827400"/>
    <w:rsid w:val="0082755F"/>
    <w:rsid w:val="0082776D"/>
    <w:rsid w:val="008277C0"/>
    <w:rsid w:val="00827844"/>
    <w:rsid w:val="00827ED2"/>
    <w:rsid w:val="00827EF4"/>
    <w:rsid w:val="008300FF"/>
    <w:rsid w:val="008302D6"/>
    <w:rsid w:val="0083030E"/>
    <w:rsid w:val="0083056E"/>
    <w:rsid w:val="008305AF"/>
    <w:rsid w:val="008309FD"/>
    <w:rsid w:val="008314C2"/>
    <w:rsid w:val="008316BB"/>
    <w:rsid w:val="008317BC"/>
    <w:rsid w:val="00831897"/>
    <w:rsid w:val="00831B37"/>
    <w:rsid w:val="00831B9B"/>
    <w:rsid w:val="00831D03"/>
    <w:rsid w:val="00831D8C"/>
    <w:rsid w:val="00831DD5"/>
    <w:rsid w:val="00831E74"/>
    <w:rsid w:val="00831FD8"/>
    <w:rsid w:val="008320F7"/>
    <w:rsid w:val="00832152"/>
    <w:rsid w:val="008321B1"/>
    <w:rsid w:val="0083247D"/>
    <w:rsid w:val="0083265F"/>
    <w:rsid w:val="008326E8"/>
    <w:rsid w:val="00832707"/>
    <w:rsid w:val="0083290A"/>
    <w:rsid w:val="00832BF3"/>
    <w:rsid w:val="00832C3F"/>
    <w:rsid w:val="00832D62"/>
    <w:rsid w:val="00832D80"/>
    <w:rsid w:val="0083318A"/>
    <w:rsid w:val="00833205"/>
    <w:rsid w:val="00833249"/>
    <w:rsid w:val="00833349"/>
    <w:rsid w:val="008337C0"/>
    <w:rsid w:val="0083387F"/>
    <w:rsid w:val="00833A81"/>
    <w:rsid w:val="00833B76"/>
    <w:rsid w:val="00833C20"/>
    <w:rsid w:val="00833CFB"/>
    <w:rsid w:val="0083406F"/>
    <w:rsid w:val="00834272"/>
    <w:rsid w:val="008344EE"/>
    <w:rsid w:val="00834737"/>
    <w:rsid w:val="0083473C"/>
    <w:rsid w:val="008349B6"/>
    <w:rsid w:val="00834A9B"/>
    <w:rsid w:val="00834B0F"/>
    <w:rsid w:val="00834B38"/>
    <w:rsid w:val="00834F85"/>
    <w:rsid w:val="00835020"/>
    <w:rsid w:val="00835529"/>
    <w:rsid w:val="008358B6"/>
    <w:rsid w:val="008358D0"/>
    <w:rsid w:val="00835B15"/>
    <w:rsid w:val="00835B9F"/>
    <w:rsid w:val="00835C1D"/>
    <w:rsid w:val="00835E4E"/>
    <w:rsid w:val="00835EC0"/>
    <w:rsid w:val="008362AF"/>
    <w:rsid w:val="00836328"/>
    <w:rsid w:val="008363D3"/>
    <w:rsid w:val="0083644E"/>
    <w:rsid w:val="00836752"/>
    <w:rsid w:val="00836827"/>
    <w:rsid w:val="00836B31"/>
    <w:rsid w:val="00836CCD"/>
    <w:rsid w:val="00836D65"/>
    <w:rsid w:val="00836D7E"/>
    <w:rsid w:val="00837392"/>
    <w:rsid w:val="0083797A"/>
    <w:rsid w:val="00837A37"/>
    <w:rsid w:val="00837A67"/>
    <w:rsid w:val="00837AD9"/>
    <w:rsid w:val="00837C9F"/>
    <w:rsid w:val="00837EA2"/>
    <w:rsid w:val="00840045"/>
    <w:rsid w:val="008400AC"/>
    <w:rsid w:val="0084053D"/>
    <w:rsid w:val="00840651"/>
    <w:rsid w:val="00840D82"/>
    <w:rsid w:val="00840D87"/>
    <w:rsid w:val="00840D9E"/>
    <w:rsid w:val="00840E3E"/>
    <w:rsid w:val="00841047"/>
    <w:rsid w:val="008410F3"/>
    <w:rsid w:val="008411B8"/>
    <w:rsid w:val="00841236"/>
    <w:rsid w:val="008413C4"/>
    <w:rsid w:val="008413E5"/>
    <w:rsid w:val="0084155D"/>
    <w:rsid w:val="00841975"/>
    <w:rsid w:val="00841A6F"/>
    <w:rsid w:val="00841A94"/>
    <w:rsid w:val="00841BCC"/>
    <w:rsid w:val="00841C08"/>
    <w:rsid w:val="00841E83"/>
    <w:rsid w:val="00841E9E"/>
    <w:rsid w:val="00841F51"/>
    <w:rsid w:val="00841FEB"/>
    <w:rsid w:val="008424B2"/>
    <w:rsid w:val="0084267D"/>
    <w:rsid w:val="0084274A"/>
    <w:rsid w:val="00842ACC"/>
    <w:rsid w:val="00842BE6"/>
    <w:rsid w:val="00842C76"/>
    <w:rsid w:val="00842F56"/>
    <w:rsid w:val="00843128"/>
    <w:rsid w:val="00843A73"/>
    <w:rsid w:val="00843BA4"/>
    <w:rsid w:val="00843E67"/>
    <w:rsid w:val="00843FF9"/>
    <w:rsid w:val="0084415F"/>
    <w:rsid w:val="008442E0"/>
    <w:rsid w:val="008445E8"/>
    <w:rsid w:val="0084464F"/>
    <w:rsid w:val="00844F0D"/>
    <w:rsid w:val="008452F0"/>
    <w:rsid w:val="0084545F"/>
    <w:rsid w:val="00845598"/>
    <w:rsid w:val="0084565F"/>
    <w:rsid w:val="00845855"/>
    <w:rsid w:val="008458A2"/>
    <w:rsid w:val="00845B78"/>
    <w:rsid w:val="00845E42"/>
    <w:rsid w:val="00845F68"/>
    <w:rsid w:val="0084615B"/>
    <w:rsid w:val="008461DB"/>
    <w:rsid w:val="00846298"/>
    <w:rsid w:val="008468A5"/>
    <w:rsid w:val="00846BD6"/>
    <w:rsid w:val="00846D66"/>
    <w:rsid w:val="00846E32"/>
    <w:rsid w:val="00846E57"/>
    <w:rsid w:val="00846EAB"/>
    <w:rsid w:val="00846F48"/>
    <w:rsid w:val="008471CD"/>
    <w:rsid w:val="008471E9"/>
    <w:rsid w:val="008472F4"/>
    <w:rsid w:val="00847386"/>
    <w:rsid w:val="00847587"/>
    <w:rsid w:val="0084784F"/>
    <w:rsid w:val="00847991"/>
    <w:rsid w:val="00847B41"/>
    <w:rsid w:val="00847CC7"/>
    <w:rsid w:val="00847D84"/>
    <w:rsid w:val="00847EBC"/>
    <w:rsid w:val="00850125"/>
    <w:rsid w:val="00850CFA"/>
    <w:rsid w:val="008510FF"/>
    <w:rsid w:val="00851369"/>
    <w:rsid w:val="0085139A"/>
    <w:rsid w:val="008513ED"/>
    <w:rsid w:val="008514FC"/>
    <w:rsid w:val="00851634"/>
    <w:rsid w:val="00851A48"/>
    <w:rsid w:val="00851DE9"/>
    <w:rsid w:val="00851F37"/>
    <w:rsid w:val="00851F7D"/>
    <w:rsid w:val="00852382"/>
    <w:rsid w:val="008523C7"/>
    <w:rsid w:val="0085259B"/>
    <w:rsid w:val="00852913"/>
    <w:rsid w:val="00852B2D"/>
    <w:rsid w:val="00852BB8"/>
    <w:rsid w:val="00852FD0"/>
    <w:rsid w:val="00853033"/>
    <w:rsid w:val="0085320B"/>
    <w:rsid w:val="008532A6"/>
    <w:rsid w:val="008533DD"/>
    <w:rsid w:val="0085367F"/>
    <w:rsid w:val="008537D1"/>
    <w:rsid w:val="008538F7"/>
    <w:rsid w:val="00853A2D"/>
    <w:rsid w:val="00853E6F"/>
    <w:rsid w:val="00853ED9"/>
    <w:rsid w:val="008540E7"/>
    <w:rsid w:val="00854205"/>
    <w:rsid w:val="0085434F"/>
    <w:rsid w:val="00854750"/>
    <w:rsid w:val="00854978"/>
    <w:rsid w:val="008551E6"/>
    <w:rsid w:val="0085542A"/>
    <w:rsid w:val="0085557A"/>
    <w:rsid w:val="008557F8"/>
    <w:rsid w:val="00855A79"/>
    <w:rsid w:val="00855CCB"/>
    <w:rsid w:val="00855EB0"/>
    <w:rsid w:val="00855F75"/>
    <w:rsid w:val="00855F91"/>
    <w:rsid w:val="008567F4"/>
    <w:rsid w:val="008568FE"/>
    <w:rsid w:val="00856A63"/>
    <w:rsid w:val="00856A7A"/>
    <w:rsid w:val="00856B71"/>
    <w:rsid w:val="00856C65"/>
    <w:rsid w:val="00857064"/>
    <w:rsid w:val="00857251"/>
    <w:rsid w:val="008573AD"/>
    <w:rsid w:val="00857540"/>
    <w:rsid w:val="00857625"/>
    <w:rsid w:val="008577F5"/>
    <w:rsid w:val="008579E8"/>
    <w:rsid w:val="00857AEA"/>
    <w:rsid w:val="00857C59"/>
    <w:rsid w:val="0086091D"/>
    <w:rsid w:val="00860D9D"/>
    <w:rsid w:val="00861002"/>
    <w:rsid w:val="008613BF"/>
    <w:rsid w:val="00861429"/>
    <w:rsid w:val="00861633"/>
    <w:rsid w:val="008618BD"/>
    <w:rsid w:val="00861B8C"/>
    <w:rsid w:val="00861CF9"/>
    <w:rsid w:val="00861F54"/>
    <w:rsid w:val="00862034"/>
    <w:rsid w:val="008622B3"/>
    <w:rsid w:val="00862415"/>
    <w:rsid w:val="00862641"/>
    <w:rsid w:val="008627E7"/>
    <w:rsid w:val="008629EB"/>
    <w:rsid w:val="00862F3B"/>
    <w:rsid w:val="00863007"/>
    <w:rsid w:val="0086317C"/>
    <w:rsid w:val="00863529"/>
    <w:rsid w:val="0086358C"/>
    <w:rsid w:val="008636B8"/>
    <w:rsid w:val="00863DF2"/>
    <w:rsid w:val="008641FB"/>
    <w:rsid w:val="00864327"/>
    <w:rsid w:val="008643A6"/>
    <w:rsid w:val="00864443"/>
    <w:rsid w:val="00865169"/>
    <w:rsid w:val="008657D8"/>
    <w:rsid w:val="0086589C"/>
    <w:rsid w:val="008658C8"/>
    <w:rsid w:val="00865953"/>
    <w:rsid w:val="00865A96"/>
    <w:rsid w:val="00865EFE"/>
    <w:rsid w:val="0086610F"/>
    <w:rsid w:val="0086617D"/>
    <w:rsid w:val="00866327"/>
    <w:rsid w:val="0086645F"/>
    <w:rsid w:val="008664FC"/>
    <w:rsid w:val="0086671A"/>
    <w:rsid w:val="00866792"/>
    <w:rsid w:val="008668DA"/>
    <w:rsid w:val="00866BFD"/>
    <w:rsid w:val="00866EB0"/>
    <w:rsid w:val="0086709D"/>
    <w:rsid w:val="00867348"/>
    <w:rsid w:val="008673EF"/>
    <w:rsid w:val="00867702"/>
    <w:rsid w:val="0086771A"/>
    <w:rsid w:val="0086784A"/>
    <w:rsid w:val="00867B89"/>
    <w:rsid w:val="00867BCC"/>
    <w:rsid w:val="00867D73"/>
    <w:rsid w:val="00870009"/>
    <w:rsid w:val="0087008A"/>
    <w:rsid w:val="008702B3"/>
    <w:rsid w:val="0087042E"/>
    <w:rsid w:val="0087090B"/>
    <w:rsid w:val="00870E37"/>
    <w:rsid w:val="00871376"/>
    <w:rsid w:val="00871400"/>
    <w:rsid w:val="008714BC"/>
    <w:rsid w:val="008714DC"/>
    <w:rsid w:val="008715F6"/>
    <w:rsid w:val="00871718"/>
    <w:rsid w:val="008719DE"/>
    <w:rsid w:val="00871A18"/>
    <w:rsid w:val="00871FFD"/>
    <w:rsid w:val="008721FE"/>
    <w:rsid w:val="00872224"/>
    <w:rsid w:val="00872294"/>
    <w:rsid w:val="008726B6"/>
    <w:rsid w:val="0087279F"/>
    <w:rsid w:val="008727D0"/>
    <w:rsid w:val="00872847"/>
    <w:rsid w:val="00872920"/>
    <w:rsid w:val="00872A1F"/>
    <w:rsid w:val="00872AF0"/>
    <w:rsid w:val="00872DC3"/>
    <w:rsid w:val="00873821"/>
    <w:rsid w:val="00873887"/>
    <w:rsid w:val="0087397E"/>
    <w:rsid w:val="00873990"/>
    <w:rsid w:val="00873B31"/>
    <w:rsid w:val="00874281"/>
    <w:rsid w:val="0087479E"/>
    <w:rsid w:val="00874A61"/>
    <w:rsid w:val="00874ACF"/>
    <w:rsid w:val="00874ADF"/>
    <w:rsid w:val="00874D22"/>
    <w:rsid w:val="0087506C"/>
    <w:rsid w:val="008750B4"/>
    <w:rsid w:val="00875131"/>
    <w:rsid w:val="008751B6"/>
    <w:rsid w:val="008756C4"/>
    <w:rsid w:val="0087576F"/>
    <w:rsid w:val="0087581C"/>
    <w:rsid w:val="00875978"/>
    <w:rsid w:val="00876265"/>
    <w:rsid w:val="00876290"/>
    <w:rsid w:val="008766A2"/>
    <w:rsid w:val="00876751"/>
    <w:rsid w:val="00876A79"/>
    <w:rsid w:val="00876CAE"/>
    <w:rsid w:val="00876DB1"/>
    <w:rsid w:val="00876E44"/>
    <w:rsid w:val="00877A64"/>
    <w:rsid w:val="00877BE7"/>
    <w:rsid w:val="0088023C"/>
    <w:rsid w:val="00880328"/>
    <w:rsid w:val="008807C2"/>
    <w:rsid w:val="008808AD"/>
    <w:rsid w:val="008809AB"/>
    <w:rsid w:val="00880A9D"/>
    <w:rsid w:val="00880BEA"/>
    <w:rsid w:val="00880C0F"/>
    <w:rsid w:val="00880E89"/>
    <w:rsid w:val="00880FCF"/>
    <w:rsid w:val="0088102C"/>
    <w:rsid w:val="0088113E"/>
    <w:rsid w:val="00881287"/>
    <w:rsid w:val="0088136F"/>
    <w:rsid w:val="008813F0"/>
    <w:rsid w:val="00881416"/>
    <w:rsid w:val="00881A84"/>
    <w:rsid w:val="00882157"/>
    <w:rsid w:val="008822DD"/>
    <w:rsid w:val="008823A3"/>
    <w:rsid w:val="0088252E"/>
    <w:rsid w:val="00882687"/>
    <w:rsid w:val="00882773"/>
    <w:rsid w:val="00882796"/>
    <w:rsid w:val="0088281E"/>
    <w:rsid w:val="00882BB4"/>
    <w:rsid w:val="00882F31"/>
    <w:rsid w:val="00882F85"/>
    <w:rsid w:val="0088300B"/>
    <w:rsid w:val="008831A4"/>
    <w:rsid w:val="008832BD"/>
    <w:rsid w:val="0088351A"/>
    <w:rsid w:val="008836A7"/>
    <w:rsid w:val="0088370C"/>
    <w:rsid w:val="00883770"/>
    <w:rsid w:val="00883801"/>
    <w:rsid w:val="00883E47"/>
    <w:rsid w:val="00883F9C"/>
    <w:rsid w:val="00884027"/>
    <w:rsid w:val="00884217"/>
    <w:rsid w:val="008844DB"/>
    <w:rsid w:val="008847DA"/>
    <w:rsid w:val="0088487B"/>
    <w:rsid w:val="00884CF8"/>
    <w:rsid w:val="008850E8"/>
    <w:rsid w:val="008850F9"/>
    <w:rsid w:val="00885343"/>
    <w:rsid w:val="008855BF"/>
    <w:rsid w:val="008855FE"/>
    <w:rsid w:val="00885854"/>
    <w:rsid w:val="00885A80"/>
    <w:rsid w:val="00885F53"/>
    <w:rsid w:val="00885FA0"/>
    <w:rsid w:val="00886045"/>
    <w:rsid w:val="00886287"/>
    <w:rsid w:val="008863B5"/>
    <w:rsid w:val="008868E4"/>
    <w:rsid w:val="008868F0"/>
    <w:rsid w:val="00886906"/>
    <w:rsid w:val="00886949"/>
    <w:rsid w:val="00886D1C"/>
    <w:rsid w:val="008871DD"/>
    <w:rsid w:val="00887314"/>
    <w:rsid w:val="008873C1"/>
    <w:rsid w:val="008875D0"/>
    <w:rsid w:val="00887A58"/>
    <w:rsid w:val="00887BFB"/>
    <w:rsid w:val="00887CA1"/>
    <w:rsid w:val="00887CB9"/>
    <w:rsid w:val="00887DDC"/>
    <w:rsid w:val="008902B2"/>
    <w:rsid w:val="008904C5"/>
    <w:rsid w:val="008905DB"/>
    <w:rsid w:val="0089065F"/>
    <w:rsid w:val="008907D2"/>
    <w:rsid w:val="00890BDB"/>
    <w:rsid w:val="00890D73"/>
    <w:rsid w:val="00890DB2"/>
    <w:rsid w:val="00890EF3"/>
    <w:rsid w:val="0089105F"/>
    <w:rsid w:val="00891724"/>
    <w:rsid w:val="008918B7"/>
    <w:rsid w:val="0089191C"/>
    <w:rsid w:val="00891A01"/>
    <w:rsid w:val="00891E62"/>
    <w:rsid w:val="00891F8B"/>
    <w:rsid w:val="008920A7"/>
    <w:rsid w:val="0089219E"/>
    <w:rsid w:val="008926DF"/>
    <w:rsid w:val="00892766"/>
    <w:rsid w:val="0089280F"/>
    <w:rsid w:val="00892B6D"/>
    <w:rsid w:val="00892C14"/>
    <w:rsid w:val="00892FB3"/>
    <w:rsid w:val="00892FBE"/>
    <w:rsid w:val="008930CE"/>
    <w:rsid w:val="00893325"/>
    <w:rsid w:val="0089355C"/>
    <w:rsid w:val="00893599"/>
    <w:rsid w:val="0089362F"/>
    <w:rsid w:val="008938AE"/>
    <w:rsid w:val="00893B95"/>
    <w:rsid w:val="00893C3A"/>
    <w:rsid w:val="00893F27"/>
    <w:rsid w:val="00894196"/>
    <w:rsid w:val="00894226"/>
    <w:rsid w:val="00894284"/>
    <w:rsid w:val="00894612"/>
    <w:rsid w:val="00894701"/>
    <w:rsid w:val="00894ABA"/>
    <w:rsid w:val="00894DDD"/>
    <w:rsid w:val="0089525F"/>
    <w:rsid w:val="008953C7"/>
    <w:rsid w:val="0089572A"/>
    <w:rsid w:val="008958F1"/>
    <w:rsid w:val="00896D5B"/>
    <w:rsid w:val="00897174"/>
    <w:rsid w:val="00897689"/>
    <w:rsid w:val="00897AB4"/>
    <w:rsid w:val="00897B5B"/>
    <w:rsid w:val="00897C30"/>
    <w:rsid w:val="00897E75"/>
    <w:rsid w:val="008A008C"/>
    <w:rsid w:val="008A013B"/>
    <w:rsid w:val="008A0590"/>
    <w:rsid w:val="008A06F4"/>
    <w:rsid w:val="008A0735"/>
    <w:rsid w:val="008A083F"/>
    <w:rsid w:val="008A0DBB"/>
    <w:rsid w:val="008A0E54"/>
    <w:rsid w:val="008A0EA0"/>
    <w:rsid w:val="008A0EA1"/>
    <w:rsid w:val="008A0F1C"/>
    <w:rsid w:val="008A1057"/>
    <w:rsid w:val="008A109C"/>
    <w:rsid w:val="008A13FC"/>
    <w:rsid w:val="008A1493"/>
    <w:rsid w:val="008A1511"/>
    <w:rsid w:val="008A167C"/>
    <w:rsid w:val="008A1BAD"/>
    <w:rsid w:val="008A1D7A"/>
    <w:rsid w:val="008A2118"/>
    <w:rsid w:val="008A22AC"/>
    <w:rsid w:val="008A23A7"/>
    <w:rsid w:val="008A23C8"/>
    <w:rsid w:val="008A24E0"/>
    <w:rsid w:val="008A2914"/>
    <w:rsid w:val="008A2B00"/>
    <w:rsid w:val="008A2C67"/>
    <w:rsid w:val="008A2CA3"/>
    <w:rsid w:val="008A2DC4"/>
    <w:rsid w:val="008A2F70"/>
    <w:rsid w:val="008A2FEB"/>
    <w:rsid w:val="008A347B"/>
    <w:rsid w:val="008A369B"/>
    <w:rsid w:val="008A3722"/>
    <w:rsid w:val="008A37D0"/>
    <w:rsid w:val="008A391F"/>
    <w:rsid w:val="008A3A59"/>
    <w:rsid w:val="008A3B37"/>
    <w:rsid w:val="008A3CB2"/>
    <w:rsid w:val="008A4370"/>
    <w:rsid w:val="008A454B"/>
    <w:rsid w:val="008A4664"/>
    <w:rsid w:val="008A47A0"/>
    <w:rsid w:val="008A47AF"/>
    <w:rsid w:val="008A4AA1"/>
    <w:rsid w:val="008A4EE7"/>
    <w:rsid w:val="008A53D8"/>
    <w:rsid w:val="008A5575"/>
    <w:rsid w:val="008A568D"/>
    <w:rsid w:val="008A5768"/>
    <w:rsid w:val="008A579B"/>
    <w:rsid w:val="008A5E5A"/>
    <w:rsid w:val="008A6079"/>
    <w:rsid w:val="008A62BE"/>
    <w:rsid w:val="008A6442"/>
    <w:rsid w:val="008A65C5"/>
    <w:rsid w:val="008A65DC"/>
    <w:rsid w:val="008A67B9"/>
    <w:rsid w:val="008A68EC"/>
    <w:rsid w:val="008A6939"/>
    <w:rsid w:val="008A6A66"/>
    <w:rsid w:val="008A6CBF"/>
    <w:rsid w:val="008A6F3D"/>
    <w:rsid w:val="008A6FF6"/>
    <w:rsid w:val="008A76D3"/>
    <w:rsid w:val="008A7899"/>
    <w:rsid w:val="008A7941"/>
    <w:rsid w:val="008A7F70"/>
    <w:rsid w:val="008B04B9"/>
    <w:rsid w:val="008B09D8"/>
    <w:rsid w:val="008B0C2A"/>
    <w:rsid w:val="008B0C5E"/>
    <w:rsid w:val="008B117C"/>
    <w:rsid w:val="008B12BF"/>
    <w:rsid w:val="008B13E3"/>
    <w:rsid w:val="008B17A8"/>
    <w:rsid w:val="008B1855"/>
    <w:rsid w:val="008B1A7F"/>
    <w:rsid w:val="008B1B04"/>
    <w:rsid w:val="008B1C1C"/>
    <w:rsid w:val="008B270C"/>
    <w:rsid w:val="008B29D9"/>
    <w:rsid w:val="008B2C51"/>
    <w:rsid w:val="008B2CB0"/>
    <w:rsid w:val="008B2CCD"/>
    <w:rsid w:val="008B2F24"/>
    <w:rsid w:val="008B2FD2"/>
    <w:rsid w:val="008B3246"/>
    <w:rsid w:val="008B33FF"/>
    <w:rsid w:val="008B353B"/>
    <w:rsid w:val="008B36FA"/>
    <w:rsid w:val="008B39DB"/>
    <w:rsid w:val="008B3D45"/>
    <w:rsid w:val="008B4072"/>
    <w:rsid w:val="008B409F"/>
    <w:rsid w:val="008B480C"/>
    <w:rsid w:val="008B4BD3"/>
    <w:rsid w:val="008B4C0C"/>
    <w:rsid w:val="008B4FA7"/>
    <w:rsid w:val="008B4FB9"/>
    <w:rsid w:val="008B53E3"/>
    <w:rsid w:val="008B545B"/>
    <w:rsid w:val="008B551B"/>
    <w:rsid w:val="008B573E"/>
    <w:rsid w:val="008B57D2"/>
    <w:rsid w:val="008B5864"/>
    <w:rsid w:val="008B5ED8"/>
    <w:rsid w:val="008B6599"/>
    <w:rsid w:val="008B6630"/>
    <w:rsid w:val="008B66D1"/>
    <w:rsid w:val="008B6AA0"/>
    <w:rsid w:val="008B6CBA"/>
    <w:rsid w:val="008B7092"/>
    <w:rsid w:val="008B72E5"/>
    <w:rsid w:val="008B76C6"/>
    <w:rsid w:val="008B785F"/>
    <w:rsid w:val="008B7A43"/>
    <w:rsid w:val="008B7A50"/>
    <w:rsid w:val="008B7C08"/>
    <w:rsid w:val="008B7CE6"/>
    <w:rsid w:val="008B7E01"/>
    <w:rsid w:val="008B7E0C"/>
    <w:rsid w:val="008B7ECF"/>
    <w:rsid w:val="008B7EED"/>
    <w:rsid w:val="008C0005"/>
    <w:rsid w:val="008C019C"/>
    <w:rsid w:val="008C0623"/>
    <w:rsid w:val="008C0915"/>
    <w:rsid w:val="008C0FE0"/>
    <w:rsid w:val="008C11CB"/>
    <w:rsid w:val="008C13AF"/>
    <w:rsid w:val="008C1577"/>
    <w:rsid w:val="008C17C4"/>
    <w:rsid w:val="008C17FE"/>
    <w:rsid w:val="008C1969"/>
    <w:rsid w:val="008C1A83"/>
    <w:rsid w:val="008C1B05"/>
    <w:rsid w:val="008C1B90"/>
    <w:rsid w:val="008C1CC0"/>
    <w:rsid w:val="008C1DB2"/>
    <w:rsid w:val="008C1DDA"/>
    <w:rsid w:val="008C2151"/>
    <w:rsid w:val="008C2260"/>
    <w:rsid w:val="008C228F"/>
    <w:rsid w:val="008C22FA"/>
    <w:rsid w:val="008C24F8"/>
    <w:rsid w:val="008C2549"/>
    <w:rsid w:val="008C275E"/>
    <w:rsid w:val="008C2851"/>
    <w:rsid w:val="008C292E"/>
    <w:rsid w:val="008C2A4D"/>
    <w:rsid w:val="008C2C78"/>
    <w:rsid w:val="008C2F15"/>
    <w:rsid w:val="008C3249"/>
    <w:rsid w:val="008C33E8"/>
    <w:rsid w:val="008C3447"/>
    <w:rsid w:val="008C3916"/>
    <w:rsid w:val="008C39DB"/>
    <w:rsid w:val="008C3CCD"/>
    <w:rsid w:val="008C3D2B"/>
    <w:rsid w:val="008C4176"/>
    <w:rsid w:val="008C4272"/>
    <w:rsid w:val="008C4421"/>
    <w:rsid w:val="008C4431"/>
    <w:rsid w:val="008C46FB"/>
    <w:rsid w:val="008C4979"/>
    <w:rsid w:val="008C49FD"/>
    <w:rsid w:val="008C4A62"/>
    <w:rsid w:val="008C4C5C"/>
    <w:rsid w:val="008C515E"/>
    <w:rsid w:val="008C520E"/>
    <w:rsid w:val="008C5387"/>
    <w:rsid w:val="008C5483"/>
    <w:rsid w:val="008C5753"/>
    <w:rsid w:val="008C5863"/>
    <w:rsid w:val="008C58CF"/>
    <w:rsid w:val="008C5B98"/>
    <w:rsid w:val="008C5CD0"/>
    <w:rsid w:val="008C5DC3"/>
    <w:rsid w:val="008C5F83"/>
    <w:rsid w:val="008C60B2"/>
    <w:rsid w:val="008C64CF"/>
    <w:rsid w:val="008C671C"/>
    <w:rsid w:val="008C6A0B"/>
    <w:rsid w:val="008C708C"/>
    <w:rsid w:val="008C71FB"/>
    <w:rsid w:val="008C724F"/>
    <w:rsid w:val="008C732B"/>
    <w:rsid w:val="008C7501"/>
    <w:rsid w:val="008C75C3"/>
    <w:rsid w:val="008C7A1F"/>
    <w:rsid w:val="008C7FBE"/>
    <w:rsid w:val="008D0053"/>
    <w:rsid w:val="008D059E"/>
    <w:rsid w:val="008D05D0"/>
    <w:rsid w:val="008D0702"/>
    <w:rsid w:val="008D07B1"/>
    <w:rsid w:val="008D07B9"/>
    <w:rsid w:val="008D0939"/>
    <w:rsid w:val="008D0B54"/>
    <w:rsid w:val="008D0BA6"/>
    <w:rsid w:val="008D10DA"/>
    <w:rsid w:val="008D1193"/>
    <w:rsid w:val="008D1248"/>
    <w:rsid w:val="008D1272"/>
    <w:rsid w:val="008D1440"/>
    <w:rsid w:val="008D14B7"/>
    <w:rsid w:val="008D1A73"/>
    <w:rsid w:val="008D1AAA"/>
    <w:rsid w:val="008D1C82"/>
    <w:rsid w:val="008D1DC5"/>
    <w:rsid w:val="008D1FA1"/>
    <w:rsid w:val="008D20C0"/>
    <w:rsid w:val="008D215C"/>
    <w:rsid w:val="008D26C1"/>
    <w:rsid w:val="008D28D1"/>
    <w:rsid w:val="008D2933"/>
    <w:rsid w:val="008D29EE"/>
    <w:rsid w:val="008D2A05"/>
    <w:rsid w:val="008D2D01"/>
    <w:rsid w:val="008D2E2F"/>
    <w:rsid w:val="008D2F25"/>
    <w:rsid w:val="008D318B"/>
    <w:rsid w:val="008D3496"/>
    <w:rsid w:val="008D3524"/>
    <w:rsid w:val="008D3633"/>
    <w:rsid w:val="008D37DF"/>
    <w:rsid w:val="008D399F"/>
    <w:rsid w:val="008D3B48"/>
    <w:rsid w:val="008D3B9A"/>
    <w:rsid w:val="008D3C44"/>
    <w:rsid w:val="008D3CC3"/>
    <w:rsid w:val="008D40DE"/>
    <w:rsid w:val="008D412A"/>
    <w:rsid w:val="008D4211"/>
    <w:rsid w:val="008D426A"/>
    <w:rsid w:val="008D43BA"/>
    <w:rsid w:val="008D43D0"/>
    <w:rsid w:val="008D4455"/>
    <w:rsid w:val="008D4511"/>
    <w:rsid w:val="008D45B6"/>
    <w:rsid w:val="008D45E5"/>
    <w:rsid w:val="008D4770"/>
    <w:rsid w:val="008D48EB"/>
    <w:rsid w:val="008D492A"/>
    <w:rsid w:val="008D4979"/>
    <w:rsid w:val="008D4A7F"/>
    <w:rsid w:val="008D4B73"/>
    <w:rsid w:val="008D4D0E"/>
    <w:rsid w:val="008D4EA7"/>
    <w:rsid w:val="008D4EE1"/>
    <w:rsid w:val="008D5C04"/>
    <w:rsid w:val="008D5F3E"/>
    <w:rsid w:val="008D628B"/>
    <w:rsid w:val="008D65D0"/>
    <w:rsid w:val="008D68B0"/>
    <w:rsid w:val="008D6943"/>
    <w:rsid w:val="008D6A51"/>
    <w:rsid w:val="008D6B43"/>
    <w:rsid w:val="008D6B7F"/>
    <w:rsid w:val="008D6C7F"/>
    <w:rsid w:val="008D7175"/>
    <w:rsid w:val="008D7214"/>
    <w:rsid w:val="008D7326"/>
    <w:rsid w:val="008D778C"/>
    <w:rsid w:val="008D77DF"/>
    <w:rsid w:val="008D7961"/>
    <w:rsid w:val="008D7A85"/>
    <w:rsid w:val="008D7AAB"/>
    <w:rsid w:val="008D7B25"/>
    <w:rsid w:val="008D7FB5"/>
    <w:rsid w:val="008E034F"/>
    <w:rsid w:val="008E09D4"/>
    <w:rsid w:val="008E0C5A"/>
    <w:rsid w:val="008E0D76"/>
    <w:rsid w:val="008E0F21"/>
    <w:rsid w:val="008E0F5F"/>
    <w:rsid w:val="008E111C"/>
    <w:rsid w:val="008E18D4"/>
    <w:rsid w:val="008E19CB"/>
    <w:rsid w:val="008E1A96"/>
    <w:rsid w:val="008E1AFE"/>
    <w:rsid w:val="008E1B11"/>
    <w:rsid w:val="008E1D3E"/>
    <w:rsid w:val="008E1DA4"/>
    <w:rsid w:val="008E1E4E"/>
    <w:rsid w:val="008E1E6A"/>
    <w:rsid w:val="008E1EB0"/>
    <w:rsid w:val="008E1F2A"/>
    <w:rsid w:val="008E22B2"/>
    <w:rsid w:val="008E3098"/>
    <w:rsid w:val="008E3615"/>
    <w:rsid w:val="008E3684"/>
    <w:rsid w:val="008E36DC"/>
    <w:rsid w:val="008E36EA"/>
    <w:rsid w:val="008E3992"/>
    <w:rsid w:val="008E3B9A"/>
    <w:rsid w:val="008E405D"/>
    <w:rsid w:val="008E4273"/>
    <w:rsid w:val="008E45DF"/>
    <w:rsid w:val="008E4A79"/>
    <w:rsid w:val="008E4AD0"/>
    <w:rsid w:val="008E4D8E"/>
    <w:rsid w:val="008E50DF"/>
    <w:rsid w:val="008E5137"/>
    <w:rsid w:val="008E523D"/>
    <w:rsid w:val="008E554F"/>
    <w:rsid w:val="008E5955"/>
    <w:rsid w:val="008E606E"/>
    <w:rsid w:val="008E6206"/>
    <w:rsid w:val="008E655B"/>
    <w:rsid w:val="008E6729"/>
    <w:rsid w:val="008E6902"/>
    <w:rsid w:val="008E6CA2"/>
    <w:rsid w:val="008E6DFB"/>
    <w:rsid w:val="008E6E1D"/>
    <w:rsid w:val="008E759A"/>
    <w:rsid w:val="008E75B5"/>
    <w:rsid w:val="008E7691"/>
    <w:rsid w:val="008E79AC"/>
    <w:rsid w:val="008E7E36"/>
    <w:rsid w:val="008E7F12"/>
    <w:rsid w:val="008F0192"/>
    <w:rsid w:val="008F01E9"/>
    <w:rsid w:val="008F029E"/>
    <w:rsid w:val="008F05D1"/>
    <w:rsid w:val="008F069F"/>
    <w:rsid w:val="008F075D"/>
    <w:rsid w:val="008F0912"/>
    <w:rsid w:val="008F0E65"/>
    <w:rsid w:val="008F119D"/>
    <w:rsid w:val="008F11F0"/>
    <w:rsid w:val="008F12FD"/>
    <w:rsid w:val="008F13B7"/>
    <w:rsid w:val="008F1B45"/>
    <w:rsid w:val="008F1C3A"/>
    <w:rsid w:val="008F1DAA"/>
    <w:rsid w:val="008F1E0F"/>
    <w:rsid w:val="008F1E75"/>
    <w:rsid w:val="008F21BF"/>
    <w:rsid w:val="008F21C7"/>
    <w:rsid w:val="008F2816"/>
    <w:rsid w:val="008F2C76"/>
    <w:rsid w:val="008F2D7A"/>
    <w:rsid w:val="008F2E68"/>
    <w:rsid w:val="008F3456"/>
    <w:rsid w:val="008F38A1"/>
    <w:rsid w:val="008F390A"/>
    <w:rsid w:val="008F3943"/>
    <w:rsid w:val="008F3C49"/>
    <w:rsid w:val="008F3DF8"/>
    <w:rsid w:val="008F4250"/>
    <w:rsid w:val="008F44C6"/>
    <w:rsid w:val="008F4A08"/>
    <w:rsid w:val="008F4B3E"/>
    <w:rsid w:val="008F4B5D"/>
    <w:rsid w:val="008F4BBD"/>
    <w:rsid w:val="008F4CDC"/>
    <w:rsid w:val="008F4E16"/>
    <w:rsid w:val="008F52E9"/>
    <w:rsid w:val="008F540F"/>
    <w:rsid w:val="008F566F"/>
    <w:rsid w:val="008F5B8A"/>
    <w:rsid w:val="008F5E65"/>
    <w:rsid w:val="008F6076"/>
    <w:rsid w:val="008F607D"/>
    <w:rsid w:val="008F60BE"/>
    <w:rsid w:val="008F634E"/>
    <w:rsid w:val="008F638A"/>
    <w:rsid w:val="008F65CC"/>
    <w:rsid w:val="008F6A0B"/>
    <w:rsid w:val="008F6A10"/>
    <w:rsid w:val="008F6E2B"/>
    <w:rsid w:val="008F72B6"/>
    <w:rsid w:val="008F772E"/>
    <w:rsid w:val="008F7928"/>
    <w:rsid w:val="008F7D49"/>
    <w:rsid w:val="008F7E7A"/>
    <w:rsid w:val="008F7F4F"/>
    <w:rsid w:val="009002F2"/>
    <w:rsid w:val="009003E6"/>
    <w:rsid w:val="00900499"/>
    <w:rsid w:val="009004AC"/>
    <w:rsid w:val="0090072F"/>
    <w:rsid w:val="00900912"/>
    <w:rsid w:val="009009DB"/>
    <w:rsid w:val="00900A56"/>
    <w:rsid w:val="00900E0C"/>
    <w:rsid w:val="00900E37"/>
    <w:rsid w:val="00900E9A"/>
    <w:rsid w:val="009010F8"/>
    <w:rsid w:val="009011E3"/>
    <w:rsid w:val="009012D0"/>
    <w:rsid w:val="0090132B"/>
    <w:rsid w:val="00901715"/>
    <w:rsid w:val="00901797"/>
    <w:rsid w:val="00901B47"/>
    <w:rsid w:val="00901DE1"/>
    <w:rsid w:val="00902083"/>
    <w:rsid w:val="009020AA"/>
    <w:rsid w:val="009026C7"/>
    <w:rsid w:val="00902777"/>
    <w:rsid w:val="00902AA0"/>
    <w:rsid w:val="00902C47"/>
    <w:rsid w:val="00902C88"/>
    <w:rsid w:val="00902D51"/>
    <w:rsid w:val="00902DA6"/>
    <w:rsid w:val="00902DD8"/>
    <w:rsid w:val="00902FEC"/>
    <w:rsid w:val="009032BB"/>
    <w:rsid w:val="009032E8"/>
    <w:rsid w:val="00903537"/>
    <w:rsid w:val="0090356C"/>
    <w:rsid w:val="00903574"/>
    <w:rsid w:val="00903596"/>
    <w:rsid w:val="009035A4"/>
    <w:rsid w:val="009038DD"/>
    <w:rsid w:val="0090398B"/>
    <w:rsid w:val="00903AC5"/>
    <w:rsid w:val="00903B32"/>
    <w:rsid w:val="00903F28"/>
    <w:rsid w:val="009042F8"/>
    <w:rsid w:val="00904348"/>
    <w:rsid w:val="009044D4"/>
    <w:rsid w:val="009046E2"/>
    <w:rsid w:val="00904935"/>
    <w:rsid w:val="00904948"/>
    <w:rsid w:val="00904E95"/>
    <w:rsid w:val="009054C3"/>
    <w:rsid w:val="009054DB"/>
    <w:rsid w:val="00905541"/>
    <w:rsid w:val="00905CAB"/>
    <w:rsid w:val="009062AD"/>
    <w:rsid w:val="00906361"/>
    <w:rsid w:val="00906493"/>
    <w:rsid w:val="009065EA"/>
    <w:rsid w:val="009066F7"/>
    <w:rsid w:val="00906764"/>
    <w:rsid w:val="009067CA"/>
    <w:rsid w:val="00906BDF"/>
    <w:rsid w:val="00906E4E"/>
    <w:rsid w:val="00906F74"/>
    <w:rsid w:val="00907273"/>
    <w:rsid w:val="00907342"/>
    <w:rsid w:val="00907393"/>
    <w:rsid w:val="009073AF"/>
    <w:rsid w:val="009073B1"/>
    <w:rsid w:val="009073D2"/>
    <w:rsid w:val="00907810"/>
    <w:rsid w:val="0090797C"/>
    <w:rsid w:val="009079F3"/>
    <w:rsid w:val="009079F9"/>
    <w:rsid w:val="00907B77"/>
    <w:rsid w:val="00910130"/>
    <w:rsid w:val="0091028B"/>
    <w:rsid w:val="009102FA"/>
    <w:rsid w:val="0091039E"/>
    <w:rsid w:val="00910493"/>
    <w:rsid w:val="0091099D"/>
    <w:rsid w:val="00910A63"/>
    <w:rsid w:val="00910B5D"/>
    <w:rsid w:val="00910F63"/>
    <w:rsid w:val="0091133F"/>
    <w:rsid w:val="009115C6"/>
    <w:rsid w:val="0091164F"/>
    <w:rsid w:val="00911B00"/>
    <w:rsid w:val="00911B53"/>
    <w:rsid w:val="00911B71"/>
    <w:rsid w:val="00911CDA"/>
    <w:rsid w:val="00911D16"/>
    <w:rsid w:val="00911DE9"/>
    <w:rsid w:val="00911DF4"/>
    <w:rsid w:val="0091201E"/>
    <w:rsid w:val="00912501"/>
    <w:rsid w:val="0091281C"/>
    <w:rsid w:val="00912BB1"/>
    <w:rsid w:val="00912CCC"/>
    <w:rsid w:val="00912E92"/>
    <w:rsid w:val="00912F51"/>
    <w:rsid w:val="00912FA0"/>
    <w:rsid w:val="00913065"/>
    <w:rsid w:val="009130AF"/>
    <w:rsid w:val="0091323C"/>
    <w:rsid w:val="009133AD"/>
    <w:rsid w:val="00913521"/>
    <w:rsid w:val="00913563"/>
    <w:rsid w:val="00913661"/>
    <w:rsid w:val="00913701"/>
    <w:rsid w:val="00913CB1"/>
    <w:rsid w:val="00914500"/>
    <w:rsid w:val="009147AD"/>
    <w:rsid w:val="00914834"/>
    <w:rsid w:val="00914837"/>
    <w:rsid w:val="00914B12"/>
    <w:rsid w:val="00914D56"/>
    <w:rsid w:val="00914F1C"/>
    <w:rsid w:val="00914FC3"/>
    <w:rsid w:val="009150E8"/>
    <w:rsid w:val="0091526B"/>
    <w:rsid w:val="009152C0"/>
    <w:rsid w:val="009153B7"/>
    <w:rsid w:val="00915746"/>
    <w:rsid w:val="00915747"/>
    <w:rsid w:val="0091574C"/>
    <w:rsid w:val="00915825"/>
    <w:rsid w:val="009159EA"/>
    <w:rsid w:val="00915B6D"/>
    <w:rsid w:val="00915B74"/>
    <w:rsid w:val="00915B83"/>
    <w:rsid w:val="00915BA4"/>
    <w:rsid w:val="00915CD9"/>
    <w:rsid w:val="00916022"/>
    <w:rsid w:val="0091646C"/>
    <w:rsid w:val="00916552"/>
    <w:rsid w:val="0091685F"/>
    <w:rsid w:val="009168CF"/>
    <w:rsid w:val="00916981"/>
    <w:rsid w:val="00916A7D"/>
    <w:rsid w:val="00916D14"/>
    <w:rsid w:val="00917062"/>
    <w:rsid w:val="00917076"/>
    <w:rsid w:val="009171F0"/>
    <w:rsid w:val="00917761"/>
    <w:rsid w:val="0091776F"/>
    <w:rsid w:val="009179CA"/>
    <w:rsid w:val="00920266"/>
    <w:rsid w:val="009208A4"/>
    <w:rsid w:val="009208C5"/>
    <w:rsid w:val="00920AEF"/>
    <w:rsid w:val="00920B7F"/>
    <w:rsid w:val="00920C92"/>
    <w:rsid w:val="00920CA7"/>
    <w:rsid w:val="00920DBE"/>
    <w:rsid w:val="0092112F"/>
    <w:rsid w:val="00921283"/>
    <w:rsid w:val="00921466"/>
    <w:rsid w:val="0092146D"/>
    <w:rsid w:val="00921576"/>
    <w:rsid w:val="00921621"/>
    <w:rsid w:val="009216F3"/>
    <w:rsid w:val="00921833"/>
    <w:rsid w:val="009218D9"/>
    <w:rsid w:val="00921992"/>
    <w:rsid w:val="00921BDD"/>
    <w:rsid w:val="00921F0E"/>
    <w:rsid w:val="00922050"/>
    <w:rsid w:val="009225D7"/>
    <w:rsid w:val="00922708"/>
    <w:rsid w:val="009227BF"/>
    <w:rsid w:val="00922827"/>
    <w:rsid w:val="00922852"/>
    <w:rsid w:val="0092297D"/>
    <w:rsid w:val="009229B5"/>
    <w:rsid w:val="00922AF1"/>
    <w:rsid w:val="00922F68"/>
    <w:rsid w:val="0092323E"/>
    <w:rsid w:val="00923471"/>
    <w:rsid w:val="0092348A"/>
    <w:rsid w:val="00923516"/>
    <w:rsid w:val="00923522"/>
    <w:rsid w:val="009236EA"/>
    <w:rsid w:val="009238E2"/>
    <w:rsid w:val="00923ABA"/>
    <w:rsid w:val="00923AD5"/>
    <w:rsid w:val="00923B23"/>
    <w:rsid w:val="00923B85"/>
    <w:rsid w:val="00923E8F"/>
    <w:rsid w:val="00923F47"/>
    <w:rsid w:val="00923FE1"/>
    <w:rsid w:val="0092407E"/>
    <w:rsid w:val="0092434A"/>
    <w:rsid w:val="009246C0"/>
    <w:rsid w:val="00924753"/>
    <w:rsid w:val="009247CE"/>
    <w:rsid w:val="00924C74"/>
    <w:rsid w:val="00924CEC"/>
    <w:rsid w:val="00924E7B"/>
    <w:rsid w:val="00925135"/>
    <w:rsid w:val="009252E1"/>
    <w:rsid w:val="009252F1"/>
    <w:rsid w:val="009253F4"/>
    <w:rsid w:val="00925786"/>
    <w:rsid w:val="0092595B"/>
    <w:rsid w:val="00925A8A"/>
    <w:rsid w:val="00925E5F"/>
    <w:rsid w:val="00926089"/>
    <w:rsid w:val="00926188"/>
    <w:rsid w:val="00926369"/>
    <w:rsid w:val="009264CD"/>
    <w:rsid w:val="009265FF"/>
    <w:rsid w:val="00926939"/>
    <w:rsid w:val="00926A0F"/>
    <w:rsid w:val="00926C44"/>
    <w:rsid w:val="00926DA2"/>
    <w:rsid w:val="00926E4E"/>
    <w:rsid w:val="009270B0"/>
    <w:rsid w:val="00927178"/>
    <w:rsid w:val="00927186"/>
    <w:rsid w:val="009276B6"/>
    <w:rsid w:val="009276D2"/>
    <w:rsid w:val="009276D4"/>
    <w:rsid w:val="00927B85"/>
    <w:rsid w:val="00927CE0"/>
    <w:rsid w:val="00927E1A"/>
    <w:rsid w:val="00927EDE"/>
    <w:rsid w:val="00927FAF"/>
    <w:rsid w:val="00927FBD"/>
    <w:rsid w:val="00927FCB"/>
    <w:rsid w:val="00930144"/>
    <w:rsid w:val="00930311"/>
    <w:rsid w:val="0093034B"/>
    <w:rsid w:val="009304EA"/>
    <w:rsid w:val="009304F4"/>
    <w:rsid w:val="00930751"/>
    <w:rsid w:val="00930772"/>
    <w:rsid w:val="00930779"/>
    <w:rsid w:val="009307C5"/>
    <w:rsid w:val="009307FD"/>
    <w:rsid w:val="009308FC"/>
    <w:rsid w:val="00930A3D"/>
    <w:rsid w:val="00930DD3"/>
    <w:rsid w:val="00930EBA"/>
    <w:rsid w:val="00931555"/>
    <w:rsid w:val="009315C1"/>
    <w:rsid w:val="009317A2"/>
    <w:rsid w:val="00931B64"/>
    <w:rsid w:val="00931B8F"/>
    <w:rsid w:val="00931FF6"/>
    <w:rsid w:val="00932337"/>
    <w:rsid w:val="0093235D"/>
    <w:rsid w:val="009323CA"/>
    <w:rsid w:val="00932475"/>
    <w:rsid w:val="00932548"/>
    <w:rsid w:val="00932959"/>
    <w:rsid w:val="00932986"/>
    <w:rsid w:val="00932AAD"/>
    <w:rsid w:val="00932CE3"/>
    <w:rsid w:val="00932D1D"/>
    <w:rsid w:val="00932E03"/>
    <w:rsid w:val="009330E0"/>
    <w:rsid w:val="009331E9"/>
    <w:rsid w:val="00933287"/>
    <w:rsid w:val="009332FE"/>
    <w:rsid w:val="009337FC"/>
    <w:rsid w:val="00933AE6"/>
    <w:rsid w:val="00933B67"/>
    <w:rsid w:val="009341D1"/>
    <w:rsid w:val="0093464E"/>
    <w:rsid w:val="00934653"/>
    <w:rsid w:val="00934C2C"/>
    <w:rsid w:val="00934C39"/>
    <w:rsid w:val="00934D88"/>
    <w:rsid w:val="00934DD0"/>
    <w:rsid w:val="00934E16"/>
    <w:rsid w:val="00934EE5"/>
    <w:rsid w:val="00935251"/>
    <w:rsid w:val="009352C7"/>
    <w:rsid w:val="00935500"/>
    <w:rsid w:val="00935673"/>
    <w:rsid w:val="00935821"/>
    <w:rsid w:val="00935AFB"/>
    <w:rsid w:val="00935E16"/>
    <w:rsid w:val="00935F5A"/>
    <w:rsid w:val="00936021"/>
    <w:rsid w:val="0093666E"/>
    <w:rsid w:val="009368E9"/>
    <w:rsid w:val="009368FC"/>
    <w:rsid w:val="00936DC8"/>
    <w:rsid w:val="00936EE3"/>
    <w:rsid w:val="0093707D"/>
    <w:rsid w:val="0093717B"/>
    <w:rsid w:val="009372B2"/>
    <w:rsid w:val="0093738B"/>
    <w:rsid w:val="009373C9"/>
    <w:rsid w:val="009375BF"/>
    <w:rsid w:val="009375C2"/>
    <w:rsid w:val="009377B5"/>
    <w:rsid w:val="009377E8"/>
    <w:rsid w:val="00940057"/>
    <w:rsid w:val="009402C3"/>
    <w:rsid w:val="0094035D"/>
    <w:rsid w:val="00940712"/>
    <w:rsid w:val="0094095F"/>
    <w:rsid w:val="009409BA"/>
    <w:rsid w:val="00940AB6"/>
    <w:rsid w:val="00940CD9"/>
    <w:rsid w:val="00940E6F"/>
    <w:rsid w:val="00941219"/>
    <w:rsid w:val="00941348"/>
    <w:rsid w:val="00941372"/>
    <w:rsid w:val="009413E5"/>
    <w:rsid w:val="00941C66"/>
    <w:rsid w:val="00941C7B"/>
    <w:rsid w:val="00941DB7"/>
    <w:rsid w:val="00941DDE"/>
    <w:rsid w:val="00941F1A"/>
    <w:rsid w:val="00942074"/>
    <w:rsid w:val="00942199"/>
    <w:rsid w:val="009423F8"/>
    <w:rsid w:val="00942690"/>
    <w:rsid w:val="00942765"/>
    <w:rsid w:val="00942851"/>
    <w:rsid w:val="009429B5"/>
    <w:rsid w:val="00942AE8"/>
    <w:rsid w:val="00942EB8"/>
    <w:rsid w:val="009430BD"/>
    <w:rsid w:val="0094341A"/>
    <w:rsid w:val="0094378E"/>
    <w:rsid w:val="009439B7"/>
    <w:rsid w:val="00943B02"/>
    <w:rsid w:val="00943DA4"/>
    <w:rsid w:val="00943E24"/>
    <w:rsid w:val="009441C1"/>
    <w:rsid w:val="0094427F"/>
    <w:rsid w:val="009445B0"/>
    <w:rsid w:val="009446B1"/>
    <w:rsid w:val="00944741"/>
    <w:rsid w:val="00944842"/>
    <w:rsid w:val="00944891"/>
    <w:rsid w:val="00944BE9"/>
    <w:rsid w:val="00944F4D"/>
    <w:rsid w:val="00945124"/>
    <w:rsid w:val="00945139"/>
    <w:rsid w:val="00945262"/>
    <w:rsid w:val="00945367"/>
    <w:rsid w:val="009453AC"/>
    <w:rsid w:val="0094543A"/>
    <w:rsid w:val="00945907"/>
    <w:rsid w:val="00945936"/>
    <w:rsid w:val="00945964"/>
    <w:rsid w:val="00945B56"/>
    <w:rsid w:val="00945DBC"/>
    <w:rsid w:val="00945DE8"/>
    <w:rsid w:val="00945F7E"/>
    <w:rsid w:val="0094613B"/>
    <w:rsid w:val="0094631E"/>
    <w:rsid w:val="009463C1"/>
    <w:rsid w:val="009465AF"/>
    <w:rsid w:val="009467C6"/>
    <w:rsid w:val="009468C3"/>
    <w:rsid w:val="009469A3"/>
    <w:rsid w:val="00946CE2"/>
    <w:rsid w:val="00946D88"/>
    <w:rsid w:val="00946EFC"/>
    <w:rsid w:val="00947055"/>
    <w:rsid w:val="00947082"/>
    <w:rsid w:val="0094712E"/>
    <w:rsid w:val="009477EE"/>
    <w:rsid w:val="00947C3A"/>
    <w:rsid w:val="00947FD4"/>
    <w:rsid w:val="0095053F"/>
    <w:rsid w:val="009505A5"/>
    <w:rsid w:val="009508D4"/>
    <w:rsid w:val="00951254"/>
    <w:rsid w:val="00951552"/>
    <w:rsid w:val="009516F0"/>
    <w:rsid w:val="009519F0"/>
    <w:rsid w:val="00951CF3"/>
    <w:rsid w:val="00951EA8"/>
    <w:rsid w:val="0095246B"/>
    <w:rsid w:val="009526F7"/>
    <w:rsid w:val="00952BAE"/>
    <w:rsid w:val="00952D11"/>
    <w:rsid w:val="00952FED"/>
    <w:rsid w:val="009536F4"/>
    <w:rsid w:val="009538B2"/>
    <w:rsid w:val="009539AE"/>
    <w:rsid w:val="00953A4D"/>
    <w:rsid w:val="00953AF8"/>
    <w:rsid w:val="00953DD7"/>
    <w:rsid w:val="00953EAD"/>
    <w:rsid w:val="00953EE9"/>
    <w:rsid w:val="00954122"/>
    <w:rsid w:val="0095436A"/>
    <w:rsid w:val="00954628"/>
    <w:rsid w:val="009547D7"/>
    <w:rsid w:val="00954D21"/>
    <w:rsid w:val="00954E00"/>
    <w:rsid w:val="00955056"/>
    <w:rsid w:val="0095520E"/>
    <w:rsid w:val="00955260"/>
    <w:rsid w:val="0095530B"/>
    <w:rsid w:val="0095530E"/>
    <w:rsid w:val="00955498"/>
    <w:rsid w:val="00955637"/>
    <w:rsid w:val="00955866"/>
    <w:rsid w:val="0095588B"/>
    <w:rsid w:val="00955F7A"/>
    <w:rsid w:val="0095605D"/>
    <w:rsid w:val="009560AA"/>
    <w:rsid w:val="00956397"/>
    <w:rsid w:val="009563C0"/>
    <w:rsid w:val="00956816"/>
    <w:rsid w:val="009568C4"/>
    <w:rsid w:val="00956CBA"/>
    <w:rsid w:val="00956E35"/>
    <w:rsid w:val="00956F9B"/>
    <w:rsid w:val="00957135"/>
    <w:rsid w:val="00957397"/>
    <w:rsid w:val="00957705"/>
    <w:rsid w:val="00957961"/>
    <w:rsid w:val="00957B70"/>
    <w:rsid w:val="009602A1"/>
    <w:rsid w:val="009602EC"/>
    <w:rsid w:val="00960488"/>
    <w:rsid w:val="00960524"/>
    <w:rsid w:val="0096087A"/>
    <w:rsid w:val="009608F0"/>
    <w:rsid w:val="00961269"/>
    <w:rsid w:val="009612B4"/>
    <w:rsid w:val="00961543"/>
    <w:rsid w:val="009615B9"/>
    <w:rsid w:val="009616BD"/>
    <w:rsid w:val="00961AD2"/>
    <w:rsid w:val="00961E5B"/>
    <w:rsid w:val="0096213A"/>
    <w:rsid w:val="00962327"/>
    <w:rsid w:val="00962408"/>
    <w:rsid w:val="009625FE"/>
    <w:rsid w:val="00962709"/>
    <w:rsid w:val="009629ED"/>
    <w:rsid w:val="00962A19"/>
    <w:rsid w:val="00962AC8"/>
    <w:rsid w:val="00962B44"/>
    <w:rsid w:val="00962E22"/>
    <w:rsid w:val="00962EFD"/>
    <w:rsid w:val="00962F70"/>
    <w:rsid w:val="00963154"/>
    <w:rsid w:val="00963161"/>
    <w:rsid w:val="00963371"/>
    <w:rsid w:val="00963433"/>
    <w:rsid w:val="00963530"/>
    <w:rsid w:val="00963ADA"/>
    <w:rsid w:val="00963C24"/>
    <w:rsid w:val="00963D17"/>
    <w:rsid w:val="00963D3C"/>
    <w:rsid w:val="00963E25"/>
    <w:rsid w:val="00963EF4"/>
    <w:rsid w:val="00963F16"/>
    <w:rsid w:val="0096402F"/>
    <w:rsid w:val="0096439D"/>
    <w:rsid w:val="00964527"/>
    <w:rsid w:val="0096494A"/>
    <w:rsid w:val="00964A16"/>
    <w:rsid w:val="0096502A"/>
    <w:rsid w:val="00965184"/>
    <w:rsid w:val="00965256"/>
    <w:rsid w:val="00965317"/>
    <w:rsid w:val="00965766"/>
    <w:rsid w:val="009659D2"/>
    <w:rsid w:val="00965A82"/>
    <w:rsid w:val="00965DF4"/>
    <w:rsid w:val="00965EDF"/>
    <w:rsid w:val="00965EEA"/>
    <w:rsid w:val="00965F8D"/>
    <w:rsid w:val="00966156"/>
    <w:rsid w:val="0096626B"/>
    <w:rsid w:val="0096645A"/>
    <w:rsid w:val="00966515"/>
    <w:rsid w:val="009666A2"/>
    <w:rsid w:val="009667C6"/>
    <w:rsid w:val="00966AF5"/>
    <w:rsid w:val="00966CF4"/>
    <w:rsid w:val="00966D59"/>
    <w:rsid w:val="00966FEC"/>
    <w:rsid w:val="00966FF1"/>
    <w:rsid w:val="00967171"/>
    <w:rsid w:val="00967255"/>
    <w:rsid w:val="00967372"/>
    <w:rsid w:val="009674D9"/>
    <w:rsid w:val="009675DB"/>
    <w:rsid w:val="009679A2"/>
    <w:rsid w:val="00967A12"/>
    <w:rsid w:val="00967E64"/>
    <w:rsid w:val="0097004B"/>
    <w:rsid w:val="009700A0"/>
    <w:rsid w:val="009702C7"/>
    <w:rsid w:val="00970433"/>
    <w:rsid w:val="00970693"/>
    <w:rsid w:val="0097074B"/>
    <w:rsid w:val="009709D7"/>
    <w:rsid w:val="00970BE3"/>
    <w:rsid w:val="00970BEF"/>
    <w:rsid w:val="00971175"/>
    <w:rsid w:val="0097119E"/>
    <w:rsid w:val="009713B2"/>
    <w:rsid w:val="009714C8"/>
    <w:rsid w:val="00971543"/>
    <w:rsid w:val="0097193C"/>
    <w:rsid w:val="00971E09"/>
    <w:rsid w:val="00972022"/>
    <w:rsid w:val="009720EA"/>
    <w:rsid w:val="009722D0"/>
    <w:rsid w:val="009723B7"/>
    <w:rsid w:val="009724F3"/>
    <w:rsid w:val="0097250D"/>
    <w:rsid w:val="00972A02"/>
    <w:rsid w:val="00973177"/>
    <w:rsid w:val="00973181"/>
    <w:rsid w:val="00973416"/>
    <w:rsid w:val="00973588"/>
    <w:rsid w:val="0097359D"/>
    <w:rsid w:val="00973AE2"/>
    <w:rsid w:val="00973CA3"/>
    <w:rsid w:val="00973E1C"/>
    <w:rsid w:val="00973EFB"/>
    <w:rsid w:val="00973F02"/>
    <w:rsid w:val="009743D0"/>
    <w:rsid w:val="0097447F"/>
    <w:rsid w:val="00974585"/>
    <w:rsid w:val="009745EA"/>
    <w:rsid w:val="00974A08"/>
    <w:rsid w:val="00974A1C"/>
    <w:rsid w:val="00974FD3"/>
    <w:rsid w:val="009755D6"/>
    <w:rsid w:val="009758A1"/>
    <w:rsid w:val="00975B36"/>
    <w:rsid w:val="00975BD8"/>
    <w:rsid w:val="009760E8"/>
    <w:rsid w:val="009761C1"/>
    <w:rsid w:val="0097653C"/>
    <w:rsid w:val="0097654D"/>
    <w:rsid w:val="00976813"/>
    <w:rsid w:val="00976B8A"/>
    <w:rsid w:val="00976DF4"/>
    <w:rsid w:val="00976FDF"/>
    <w:rsid w:val="0097726F"/>
    <w:rsid w:val="009772E1"/>
    <w:rsid w:val="009773C5"/>
    <w:rsid w:val="009776CC"/>
    <w:rsid w:val="00977A0C"/>
    <w:rsid w:val="00977FB3"/>
    <w:rsid w:val="009800D0"/>
    <w:rsid w:val="0098043B"/>
    <w:rsid w:val="009805AE"/>
    <w:rsid w:val="0098069D"/>
    <w:rsid w:val="00980701"/>
    <w:rsid w:val="009807CA"/>
    <w:rsid w:val="00981243"/>
    <w:rsid w:val="00981261"/>
    <w:rsid w:val="0098126E"/>
    <w:rsid w:val="00981368"/>
    <w:rsid w:val="0098153B"/>
    <w:rsid w:val="00981698"/>
    <w:rsid w:val="0098176F"/>
    <w:rsid w:val="009817B4"/>
    <w:rsid w:val="009817F5"/>
    <w:rsid w:val="00981B71"/>
    <w:rsid w:val="00981E02"/>
    <w:rsid w:val="00981FDA"/>
    <w:rsid w:val="009820E4"/>
    <w:rsid w:val="009821A0"/>
    <w:rsid w:val="00982397"/>
    <w:rsid w:val="009823D9"/>
    <w:rsid w:val="00982595"/>
    <w:rsid w:val="00982769"/>
    <w:rsid w:val="009827C8"/>
    <w:rsid w:val="00982A31"/>
    <w:rsid w:val="00982C5C"/>
    <w:rsid w:val="00982E27"/>
    <w:rsid w:val="0098303C"/>
    <w:rsid w:val="00983044"/>
    <w:rsid w:val="00983279"/>
    <w:rsid w:val="009833D9"/>
    <w:rsid w:val="00983B94"/>
    <w:rsid w:val="00983EC8"/>
    <w:rsid w:val="00983EDC"/>
    <w:rsid w:val="00983EEF"/>
    <w:rsid w:val="00983EF8"/>
    <w:rsid w:val="00984099"/>
    <w:rsid w:val="0098412E"/>
    <w:rsid w:val="009841E3"/>
    <w:rsid w:val="00984205"/>
    <w:rsid w:val="0098440D"/>
    <w:rsid w:val="00984797"/>
    <w:rsid w:val="00984878"/>
    <w:rsid w:val="00984952"/>
    <w:rsid w:val="00984AD2"/>
    <w:rsid w:val="009850BD"/>
    <w:rsid w:val="0098511A"/>
    <w:rsid w:val="00985245"/>
    <w:rsid w:val="00985498"/>
    <w:rsid w:val="0098551F"/>
    <w:rsid w:val="009855B0"/>
    <w:rsid w:val="00985656"/>
    <w:rsid w:val="0098567C"/>
    <w:rsid w:val="009856B8"/>
    <w:rsid w:val="009858E6"/>
    <w:rsid w:val="009858FD"/>
    <w:rsid w:val="0098591A"/>
    <w:rsid w:val="00985B3B"/>
    <w:rsid w:val="00985BE5"/>
    <w:rsid w:val="00985C23"/>
    <w:rsid w:val="00985D10"/>
    <w:rsid w:val="00985E46"/>
    <w:rsid w:val="00985EB5"/>
    <w:rsid w:val="00986098"/>
    <w:rsid w:val="009860A5"/>
    <w:rsid w:val="009863A1"/>
    <w:rsid w:val="00986C8D"/>
    <w:rsid w:val="00986D74"/>
    <w:rsid w:val="009870C6"/>
    <w:rsid w:val="00987211"/>
    <w:rsid w:val="00987518"/>
    <w:rsid w:val="00987578"/>
    <w:rsid w:val="00987639"/>
    <w:rsid w:val="009879BC"/>
    <w:rsid w:val="00987CCB"/>
    <w:rsid w:val="0099049B"/>
    <w:rsid w:val="009909FA"/>
    <w:rsid w:val="00990A3C"/>
    <w:rsid w:val="00990AC8"/>
    <w:rsid w:val="00991080"/>
    <w:rsid w:val="0099173E"/>
    <w:rsid w:val="009919C9"/>
    <w:rsid w:val="00991E9E"/>
    <w:rsid w:val="009920A5"/>
    <w:rsid w:val="009921E7"/>
    <w:rsid w:val="00992253"/>
    <w:rsid w:val="0099244B"/>
    <w:rsid w:val="009925D6"/>
    <w:rsid w:val="009926F5"/>
    <w:rsid w:val="00992791"/>
    <w:rsid w:val="00992AE0"/>
    <w:rsid w:val="00992D33"/>
    <w:rsid w:val="00992D3B"/>
    <w:rsid w:val="00992E28"/>
    <w:rsid w:val="00993221"/>
    <w:rsid w:val="00993283"/>
    <w:rsid w:val="009933B8"/>
    <w:rsid w:val="00993808"/>
    <w:rsid w:val="0099399E"/>
    <w:rsid w:val="00994398"/>
    <w:rsid w:val="00994969"/>
    <w:rsid w:val="009949F3"/>
    <w:rsid w:val="00994DAA"/>
    <w:rsid w:val="009950BB"/>
    <w:rsid w:val="009952F7"/>
    <w:rsid w:val="009954AD"/>
    <w:rsid w:val="009956AA"/>
    <w:rsid w:val="00995735"/>
    <w:rsid w:val="00995B58"/>
    <w:rsid w:val="00995BEF"/>
    <w:rsid w:val="00995CF7"/>
    <w:rsid w:val="00996117"/>
    <w:rsid w:val="0099628A"/>
    <w:rsid w:val="009963BF"/>
    <w:rsid w:val="009963CA"/>
    <w:rsid w:val="009965A3"/>
    <w:rsid w:val="00996849"/>
    <w:rsid w:val="00996ABE"/>
    <w:rsid w:val="00996C35"/>
    <w:rsid w:val="009971F4"/>
    <w:rsid w:val="009972CA"/>
    <w:rsid w:val="009972F6"/>
    <w:rsid w:val="009974BA"/>
    <w:rsid w:val="0099763A"/>
    <w:rsid w:val="0099783D"/>
    <w:rsid w:val="0099796D"/>
    <w:rsid w:val="00997ECB"/>
    <w:rsid w:val="00997ECF"/>
    <w:rsid w:val="009A0074"/>
    <w:rsid w:val="009A0452"/>
    <w:rsid w:val="009A06E9"/>
    <w:rsid w:val="009A081A"/>
    <w:rsid w:val="009A09B6"/>
    <w:rsid w:val="009A0E23"/>
    <w:rsid w:val="009A1094"/>
    <w:rsid w:val="009A13D2"/>
    <w:rsid w:val="009A145A"/>
    <w:rsid w:val="009A1666"/>
    <w:rsid w:val="009A1721"/>
    <w:rsid w:val="009A1951"/>
    <w:rsid w:val="009A19C1"/>
    <w:rsid w:val="009A1A09"/>
    <w:rsid w:val="009A1A7E"/>
    <w:rsid w:val="009A1EFD"/>
    <w:rsid w:val="009A2345"/>
    <w:rsid w:val="009A2761"/>
    <w:rsid w:val="009A2AA5"/>
    <w:rsid w:val="009A2C7C"/>
    <w:rsid w:val="009A2E65"/>
    <w:rsid w:val="009A313D"/>
    <w:rsid w:val="009A36A3"/>
    <w:rsid w:val="009A378F"/>
    <w:rsid w:val="009A3A1E"/>
    <w:rsid w:val="009A3A47"/>
    <w:rsid w:val="009A3AEE"/>
    <w:rsid w:val="009A3F6E"/>
    <w:rsid w:val="009A40E6"/>
    <w:rsid w:val="009A4218"/>
    <w:rsid w:val="009A465B"/>
    <w:rsid w:val="009A4AEF"/>
    <w:rsid w:val="009A4B02"/>
    <w:rsid w:val="009A4DD7"/>
    <w:rsid w:val="009A509A"/>
    <w:rsid w:val="009A5124"/>
    <w:rsid w:val="009A51D4"/>
    <w:rsid w:val="009A51D7"/>
    <w:rsid w:val="009A5585"/>
    <w:rsid w:val="009A59FE"/>
    <w:rsid w:val="009A5A62"/>
    <w:rsid w:val="009A5C34"/>
    <w:rsid w:val="009A5F8E"/>
    <w:rsid w:val="009A657E"/>
    <w:rsid w:val="009A683E"/>
    <w:rsid w:val="009A6A0A"/>
    <w:rsid w:val="009A6DA1"/>
    <w:rsid w:val="009A70BF"/>
    <w:rsid w:val="009A70D0"/>
    <w:rsid w:val="009A7283"/>
    <w:rsid w:val="009A7413"/>
    <w:rsid w:val="009A7546"/>
    <w:rsid w:val="009A79A3"/>
    <w:rsid w:val="009A7B5E"/>
    <w:rsid w:val="009A7E95"/>
    <w:rsid w:val="009A7EAE"/>
    <w:rsid w:val="009A7F64"/>
    <w:rsid w:val="009B00B2"/>
    <w:rsid w:val="009B01C1"/>
    <w:rsid w:val="009B02AC"/>
    <w:rsid w:val="009B03DC"/>
    <w:rsid w:val="009B03FE"/>
    <w:rsid w:val="009B045F"/>
    <w:rsid w:val="009B064B"/>
    <w:rsid w:val="009B0668"/>
    <w:rsid w:val="009B08F1"/>
    <w:rsid w:val="009B09B0"/>
    <w:rsid w:val="009B0ADC"/>
    <w:rsid w:val="009B0CD0"/>
    <w:rsid w:val="009B0D82"/>
    <w:rsid w:val="009B11A1"/>
    <w:rsid w:val="009B12EA"/>
    <w:rsid w:val="009B14FD"/>
    <w:rsid w:val="009B15B3"/>
    <w:rsid w:val="009B1729"/>
    <w:rsid w:val="009B18BC"/>
    <w:rsid w:val="009B1A8C"/>
    <w:rsid w:val="009B1AC3"/>
    <w:rsid w:val="009B1C92"/>
    <w:rsid w:val="009B24DB"/>
    <w:rsid w:val="009B2646"/>
    <w:rsid w:val="009B295B"/>
    <w:rsid w:val="009B2A16"/>
    <w:rsid w:val="009B2EC3"/>
    <w:rsid w:val="009B3149"/>
    <w:rsid w:val="009B319C"/>
    <w:rsid w:val="009B336A"/>
    <w:rsid w:val="009B33B0"/>
    <w:rsid w:val="009B3411"/>
    <w:rsid w:val="009B3458"/>
    <w:rsid w:val="009B34D2"/>
    <w:rsid w:val="009B34FA"/>
    <w:rsid w:val="009B3708"/>
    <w:rsid w:val="009B3898"/>
    <w:rsid w:val="009B3974"/>
    <w:rsid w:val="009B3A85"/>
    <w:rsid w:val="009B4047"/>
    <w:rsid w:val="009B43C0"/>
    <w:rsid w:val="009B446F"/>
    <w:rsid w:val="009B44E6"/>
    <w:rsid w:val="009B46B1"/>
    <w:rsid w:val="009B4B2D"/>
    <w:rsid w:val="009B4B9C"/>
    <w:rsid w:val="009B4E36"/>
    <w:rsid w:val="009B4F11"/>
    <w:rsid w:val="009B4FED"/>
    <w:rsid w:val="009B50FC"/>
    <w:rsid w:val="009B51CB"/>
    <w:rsid w:val="009B5203"/>
    <w:rsid w:val="009B53E0"/>
    <w:rsid w:val="009B5527"/>
    <w:rsid w:val="009B57CB"/>
    <w:rsid w:val="009B5A95"/>
    <w:rsid w:val="009B5AFD"/>
    <w:rsid w:val="009B5C79"/>
    <w:rsid w:val="009B5C7B"/>
    <w:rsid w:val="009B607F"/>
    <w:rsid w:val="009B629B"/>
    <w:rsid w:val="009B6368"/>
    <w:rsid w:val="009B6379"/>
    <w:rsid w:val="009B6A55"/>
    <w:rsid w:val="009B6F16"/>
    <w:rsid w:val="009B6F47"/>
    <w:rsid w:val="009B6F58"/>
    <w:rsid w:val="009B7041"/>
    <w:rsid w:val="009B70BE"/>
    <w:rsid w:val="009B73E3"/>
    <w:rsid w:val="009B7486"/>
    <w:rsid w:val="009B74FF"/>
    <w:rsid w:val="009B78C1"/>
    <w:rsid w:val="009B7A49"/>
    <w:rsid w:val="009B7B9E"/>
    <w:rsid w:val="009B7E76"/>
    <w:rsid w:val="009B7FA3"/>
    <w:rsid w:val="009B7FB0"/>
    <w:rsid w:val="009C0659"/>
    <w:rsid w:val="009C06D9"/>
    <w:rsid w:val="009C0877"/>
    <w:rsid w:val="009C0A29"/>
    <w:rsid w:val="009C0CBD"/>
    <w:rsid w:val="009C0DA7"/>
    <w:rsid w:val="009C0EE3"/>
    <w:rsid w:val="009C0F86"/>
    <w:rsid w:val="009C1543"/>
    <w:rsid w:val="009C15C0"/>
    <w:rsid w:val="009C1879"/>
    <w:rsid w:val="009C19C4"/>
    <w:rsid w:val="009C1C8D"/>
    <w:rsid w:val="009C1D24"/>
    <w:rsid w:val="009C1D2A"/>
    <w:rsid w:val="009C1D37"/>
    <w:rsid w:val="009C1F99"/>
    <w:rsid w:val="009C22A2"/>
    <w:rsid w:val="009C2494"/>
    <w:rsid w:val="009C26F4"/>
    <w:rsid w:val="009C2741"/>
    <w:rsid w:val="009C2C6F"/>
    <w:rsid w:val="009C2D06"/>
    <w:rsid w:val="009C2ED9"/>
    <w:rsid w:val="009C33A8"/>
    <w:rsid w:val="009C3447"/>
    <w:rsid w:val="009C3525"/>
    <w:rsid w:val="009C366A"/>
    <w:rsid w:val="009C3CAF"/>
    <w:rsid w:val="009C3CD7"/>
    <w:rsid w:val="009C3D04"/>
    <w:rsid w:val="009C3D10"/>
    <w:rsid w:val="009C3EB8"/>
    <w:rsid w:val="009C4297"/>
    <w:rsid w:val="009C42D9"/>
    <w:rsid w:val="009C445F"/>
    <w:rsid w:val="009C45A5"/>
    <w:rsid w:val="009C4DD9"/>
    <w:rsid w:val="009C4E61"/>
    <w:rsid w:val="009C5104"/>
    <w:rsid w:val="009C5181"/>
    <w:rsid w:val="009C51A8"/>
    <w:rsid w:val="009C5369"/>
    <w:rsid w:val="009C55E7"/>
    <w:rsid w:val="009C5A8F"/>
    <w:rsid w:val="009C5B83"/>
    <w:rsid w:val="009C5C1F"/>
    <w:rsid w:val="009C5DC9"/>
    <w:rsid w:val="009C5E6D"/>
    <w:rsid w:val="009C5FD5"/>
    <w:rsid w:val="009C61E4"/>
    <w:rsid w:val="009C652B"/>
    <w:rsid w:val="009C65EC"/>
    <w:rsid w:val="009C66A0"/>
    <w:rsid w:val="009C6B0F"/>
    <w:rsid w:val="009C6C2B"/>
    <w:rsid w:val="009C6C40"/>
    <w:rsid w:val="009C6F54"/>
    <w:rsid w:val="009C6FA6"/>
    <w:rsid w:val="009C753A"/>
    <w:rsid w:val="009C75A7"/>
    <w:rsid w:val="009C76CF"/>
    <w:rsid w:val="009C7B6A"/>
    <w:rsid w:val="009C7BCF"/>
    <w:rsid w:val="009D0031"/>
    <w:rsid w:val="009D0152"/>
    <w:rsid w:val="009D0449"/>
    <w:rsid w:val="009D058B"/>
    <w:rsid w:val="009D08AA"/>
    <w:rsid w:val="009D0A21"/>
    <w:rsid w:val="009D103F"/>
    <w:rsid w:val="009D11C5"/>
    <w:rsid w:val="009D171A"/>
    <w:rsid w:val="009D17DC"/>
    <w:rsid w:val="009D18D7"/>
    <w:rsid w:val="009D19DF"/>
    <w:rsid w:val="009D1D64"/>
    <w:rsid w:val="009D1FC0"/>
    <w:rsid w:val="009D2088"/>
    <w:rsid w:val="009D2206"/>
    <w:rsid w:val="009D2784"/>
    <w:rsid w:val="009D281F"/>
    <w:rsid w:val="009D2828"/>
    <w:rsid w:val="009D2ACE"/>
    <w:rsid w:val="009D2C87"/>
    <w:rsid w:val="009D2E71"/>
    <w:rsid w:val="009D327E"/>
    <w:rsid w:val="009D3321"/>
    <w:rsid w:val="009D34E0"/>
    <w:rsid w:val="009D36C9"/>
    <w:rsid w:val="009D3704"/>
    <w:rsid w:val="009D384E"/>
    <w:rsid w:val="009D3AEE"/>
    <w:rsid w:val="009D3E11"/>
    <w:rsid w:val="009D3F66"/>
    <w:rsid w:val="009D4005"/>
    <w:rsid w:val="009D4129"/>
    <w:rsid w:val="009D4371"/>
    <w:rsid w:val="009D444B"/>
    <w:rsid w:val="009D45E2"/>
    <w:rsid w:val="009D479B"/>
    <w:rsid w:val="009D4A5E"/>
    <w:rsid w:val="009D4F00"/>
    <w:rsid w:val="009D4F76"/>
    <w:rsid w:val="009D5047"/>
    <w:rsid w:val="009D5701"/>
    <w:rsid w:val="009D571A"/>
    <w:rsid w:val="009D57A2"/>
    <w:rsid w:val="009D57A5"/>
    <w:rsid w:val="009D5A80"/>
    <w:rsid w:val="009D5B65"/>
    <w:rsid w:val="009D5DD0"/>
    <w:rsid w:val="009D5F6A"/>
    <w:rsid w:val="009D6051"/>
    <w:rsid w:val="009D6318"/>
    <w:rsid w:val="009D6421"/>
    <w:rsid w:val="009D647D"/>
    <w:rsid w:val="009D6D12"/>
    <w:rsid w:val="009D6E05"/>
    <w:rsid w:val="009D7054"/>
    <w:rsid w:val="009D71CD"/>
    <w:rsid w:val="009D72E5"/>
    <w:rsid w:val="009D739F"/>
    <w:rsid w:val="009D7FCF"/>
    <w:rsid w:val="009E0111"/>
    <w:rsid w:val="009E0442"/>
    <w:rsid w:val="009E0451"/>
    <w:rsid w:val="009E0607"/>
    <w:rsid w:val="009E0669"/>
    <w:rsid w:val="009E068B"/>
    <w:rsid w:val="009E06D1"/>
    <w:rsid w:val="009E06F2"/>
    <w:rsid w:val="009E0A0B"/>
    <w:rsid w:val="009E0D73"/>
    <w:rsid w:val="009E1470"/>
    <w:rsid w:val="009E159C"/>
    <w:rsid w:val="009E16E2"/>
    <w:rsid w:val="009E1750"/>
    <w:rsid w:val="009E17B0"/>
    <w:rsid w:val="009E18F6"/>
    <w:rsid w:val="009E1F4F"/>
    <w:rsid w:val="009E2106"/>
    <w:rsid w:val="009E21A3"/>
    <w:rsid w:val="009E2428"/>
    <w:rsid w:val="009E2853"/>
    <w:rsid w:val="009E28B2"/>
    <w:rsid w:val="009E2A98"/>
    <w:rsid w:val="009E2B69"/>
    <w:rsid w:val="009E2FC4"/>
    <w:rsid w:val="009E32D6"/>
    <w:rsid w:val="009E3635"/>
    <w:rsid w:val="009E363D"/>
    <w:rsid w:val="009E3765"/>
    <w:rsid w:val="009E3AAB"/>
    <w:rsid w:val="009E3ACE"/>
    <w:rsid w:val="009E3C60"/>
    <w:rsid w:val="009E3D41"/>
    <w:rsid w:val="009E3F71"/>
    <w:rsid w:val="009E3FB1"/>
    <w:rsid w:val="009E404B"/>
    <w:rsid w:val="009E409E"/>
    <w:rsid w:val="009E41D5"/>
    <w:rsid w:val="009E4518"/>
    <w:rsid w:val="009E4653"/>
    <w:rsid w:val="009E47B4"/>
    <w:rsid w:val="009E485C"/>
    <w:rsid w:val="009E48BD"/>
    <w:rsid w:val="009E4BC2"/>
    <w:rsid w:val="009E4D72"/>
    <w:rsid w:val="009E4E7E"/>
    <w:rsid w:val="009E4EFD"/>
    <w:rsid w:val="009E4F8C"/>
    <w:rsid w:val="009E503C"/>
    <w:rsid w:val="009E51AD"/>
    <w:rsid w:val="009E5299"/>
    <w:rsid w:val="009E550B"/>
    <w:rsid w:val="009E5567"/>
    <w:rsid w:val="009E55DF"/>
    <w:rsid w:val="009E5823"/>
    <w:rsid w:val="009E5952"/>
    <w:rsid w:val="009E5A08"/>
    <w:rsid w:val="009E5A59"/>
    <w:rsid w:val="009E5E05"/>
    <w:rsid w:val="009E5E14"/>
    <w:rsid w:val="009E6292"/>
    <w:rsid w:val="009E6413"/>
    <w:rsid w:val="009E692F"/>
    <w:rsid w:val="009E6AE1"/>
    <w:rsid w:val="009E6B02"/>
    <w:rsid w:val="009E6C67"/>
    <w:rsid w:val="009E6C76"/>
    <w:rsid w:val="009E6FFB"/>
    <w:rsid w:val="009E70A8"/>
    <w:rsid w:val="009E738E"/>
    <w:rsid w:val="009E73CF"/>
    <w:rsid w:val="009E7447"/>
    <w:rsid w:val="009E76F6"/>
    <w:rsid w:val="009E77D1"/>
    <w:rsid w:val="009E79DB"/>
    <w:rsid w:val="009E7B62"/>
    <w:rsid w:val="009F018D"/>
    <w:rsid w:val="009F0287"/>
    <w:rsid w:val="009F04FA"/>
    <w:rsid w:val="009F088E"/>
    <w:rsid w:val="009F095F"/>
    <w:rsid w:val="009F099A"/>
    <w:rsid w:val="009F09C2"/>
    <w:rsid w:val="009F0A29"/>
    <w:rsid w:val="009F0C2A"/>
    <w:rsid w:val="009F0E1E"/>
    <w:rsid w:val="009F1185"/>
    <w:rsid w:val="009F136D"/>
    <w:rsid w:val="009F168A"/>
    <w:rsid w:val="009F16EE"/>
    <w:rsid w:val="009F1742"/>
    <w:rsid w:val="009F1926"/>
    <w:rsid w:val="009F1997"/>
    <w:rsid w:val="009F1F4F"/>
    <w:rsid w:val="009F1F6D"/>
    <w:rsid w:val="009F1FE8"/>
    <w:rsid w:val="009F2206"/>
    <w:rsid w:val="009F22C8"/>
    <w:rsid w:val="009F2610"/>
    <w:rsid w:val="009F2772"/>
    <w:rsid w:val="009F2C27"/>
    <w:rsid w:val="009F2F38"/>
    <w:rsid w:val="009F2F8D"/>
    <w:rsid w:val="009F303C"/>
    <w:rsid w:val="009F30D9"/>
    <w:rsid w:val="009F31D6"/>
    <w:rsid w:val="009F3388"/>
    <w:rsid w:val="009F33C6"/>
    <w:rsid w:val="009F3601"/>
    <w:rsid w:val="009F38BA"/>
    <w:rsid w:val="009F38D5"/>
    <w:rsid w:val="009F38EF"/>
    <w:rsid w:val="009F3AC9"/>
    <w:rsid w:val="009F3C89"/>
    <w:rsid w:val="009F3D78"/>
    <w:rsid w:val="009F3EFF"/>
    <w:rsid w:val="009F400A"/>
    <w:rsid w:val="009F403C"/>
    <w:rsid w:val="009F432F"/>
    <w:rsid w:val="009F44B0"/>
    <w:rsid w:val="009F4ADE"/>
    <w:rsid w:val="009F4CD0"/>
    <w:rsid w:val="009F4DB3"/>
    <w:rsid w:val="009F51D9"/>
    <w:rsid w:val="009F53FE"/>
    <w:rsid w:val="009F5C82"/>
    <w:rsid w:val="009F5DE1"/>
    <w:rsid w:val="009F5F11"/>
    <w:rsid w:val="009F5FAA"/>
    <w:rsid w:val="009F6087"/>
    <w:rsid w:val="009F612D"/>
    <w:rsid w:val="009F6148"/>
    <w:rsid w:val="009F6163"/>
    <w:rsid w:val="009F62F1"/>
    <w:rsid w:val="009F62FB"/>
    <w:rsid w:val="009F6357"/>
    <w:rsid w:val="009F63C2"/>
    <w:rsid w:val="009F6449"/>
    <w:rsid w:val="009F699C"/>
    <w:rsid w:val="009F69CA"/>
    <w:rsid w:val="009F6B1D"/>
    <w:rsid w:val="009F6B65"/>
    <w:rsid w:val="009F6B8B"/>
    <w:rsid w:val="009F70CC"/>
    <w:rsid w:val="009F7372"/>
    <w:rsid w:val="009F75AE"/>
    <w:rsid w:val="009F75EA"/>
    <w:rsid w:val="009F7606"/>
    <w:rsid w:val="009F7610"/>
    <w:rsid w:val="009F76E5"/>
    <w:rsid w:val="009F7AA1"/>
    <w:rsid w:val="009F7EB6"/>
    <w:rsid w:val="00A00310"/>
    <w:rsid w:val="00A0053B"/>
    <w:rsid w:val="00A00B10"/>
    <w:rsid w:val="00A00B74"/>
    <w:rsid w:val="00A00E98"/>
    <w:rsid w:val="00A010BA"/>
    <w:rsid w:val="00A0113D"/>
    <w:rsid w:val="00A013FB"/>
    <w:rsid w:val="00A0147C"/>
    <w:rsid w:val="00A0174F"/>
    <w:rsid w:val="00A017A8"/>
    <w:rsid w:val="00A018F9"/>
    <w:rsid w:val="00A01947"/>
    <w:rsid w:val="00A01F9F"/>
    <w:rsid w:val="00A020E5"/>
    <w:rsid w:val="00A021CF"/>
    <w:rsid w:val="00A02597"/>
    <w:rsid w:val="00A030C3"/>
    <w:rsid w:val="00A0329C"/>
    <w:rsid w:val="00A03388"/>
    <w:rsid w:val="00A034B1"/>
    <w:rsid w:val="00A03553"/>
    <w:rsid w:val="00A0367C"/>
    <w:rsid w:val="00A03747"/>
    <w:rsid w:val="00A03B47"/>
    <w:rsid w:val="00A03B91"/>
    <w:rsid w:val="00A03D7E"/>
    <w:rsid w:val="00A03E62"/>
    <w:rsid w:val="00A0434B"/>
    <w:rsid w:val="00A04417"/>
    <w:rsid w:val="00A0456C"/>
    <w:rsid w:val="00A045D5"/>
    <w:rsid w:val="00A047B9"/>
    <w:rsid w:val="00A0498E"/>
    <w:rsid w:val="00A04BAE"/>
    <w:rsid w:val="00A04C70"/>
    <w:rsid w:val="00A04CB9"/>
    <w:rsid w:val="00A04D90"/>
    <w:rsid w:val="00A04ED6"/>
    <w:rsid w:val="00A04F8A"/>
    <w:rsid w:val="00A04FF6"/>
    <w:rsid w:val="00A051D5"/>
    <w:rsid w:val="00A05278"/>
    <w:rsid w:val="00A05468"/>
    <w:rsid w:val="00A0556F"/>
    <w:rsid w:val="00A0558C"/>
    <w:rsid w:val="00A057AE"/>
    <w:rsid w:val="00A05942"/>
    <w:rsid w:val="00A05952"/>
    <w:rsid w:val="00A05B09"/>
    <w:rsid w:val="00A05B40"/>
    <w:rsid w:val="00A05D37"/>
    <w:rsid w:val="00A060E2"/>
    <w:rsid w:val="00A06431"/>
    <w:rsid w:val="00A06630"/>
    <w:rsid w:val="00A06789"/>
    <w:rsid w:val="00A067C8"/>
    <w:rsid w:val="00A0691A"/>
    <w:rsid w:val="00A069AA"/>
    <w:rsid w:val="00A06AEB"/>
    <w:rsid w:val="00A06B99"/>
    <w:rsid w:val="00A06E49"/>
    <w:rsid w:val="00A0710A"/>
    <w:rsid w:val="00A0718C"/>
    <w:rsid w:val="00A07493"/>
    <w:rsid w:val="00A07545"/>
    <w:rsid w:val="00A07828"/>
    <w:rsid w:val="00A07885"/>
    <w:rsid w:val="00A10018"/>
    <w:rsid w:val="00A1003B"/>
    <w:rsid w:val="00A10066"/>
    <w:rsid w:val="00A10557"/>
    <w:rsid w:val="00A10615"/>
    <w:rsid w:val="00A1089E"/>
    <w:rsid w:val="00A10A07"/>
    <w:rsid w:val="00A10D08"/>
    <w:rsid w:val="00A10D1E"/>
    <w:rsid w:val="00A1125F"/>
    <w:rsid w:val="00A112F9"/>
    <w:rsid w:val="00A11442"/>
    <w:rsid w:val="00A11518"/>
    <w:rsid w:val="00A116CF"/>
    <w:rsid w:val="00A11886"/>
    <w:rsid w:val="00A11BDF"/>
    <w:rsid w:val="00A11F25"/>
    <w:rsid w:val="00A122A0"/>
    <w:rsid w:val="00A12601"/>
    <w:rsid w:val="00A12742"/>
    <w:rsid w:val="00A12811"/>
    <w:rsid w:val="00A12AE4"/>
    <w:rsid w:val="00A12B34"/>
    <w:rsid w:val="00A12CE0"/>
    <w:rsid w:val="00A12FCF"/>
    <w:rsid w:val="00A12FD9"/>
    <w:rsid w:val="00A130AE"/>
    <w:rsid w:val="00A132BF"/>
    <w:rsid w:val="00A135F9"/>
    <w:rsid w:val="00A1396B"/>
    <w:rsid w:val="00A13BC4"/>
    <w:rsid w:val="00A13D32"/>
    <w:rsid w:val="00A13D48"/>
    <w:rsid w:val="00A13D81"/>
    <w:rsid w:val="00A13FA2"/>
    <w:rsid w:val="00A14016"/>
    <w:rsid w:val="00A140EE"/>
    <w:rsid w:val="00A1420E"/>
    <w:rsid w:val="00A146FD"/>
    <w:rsid w:val="00A14AC0"/>
    <w:rsid w:val="00A14D5D"/>
    <w:rsid w:val="00A15123"/>
    <w:rsid w:val="00A151D6"/>
    <w:rsid w:val="00A15255"/>
    <w:rsid w:val="00A15383"/>
    <w:rsid w:val="00A1543B"/>
    <w:rsid w:val="00A157E9"/>
    <w:rsid w:val="00A15AEE"/>
    <w:rsid w:val="00A15BBF"/>
    <w:rsid w:val="00A15C7E"/>
    <w:rsid w:val="00A15CD8"/>
    <w:rsid w:val="00A15DB4"/>
    <w:rsid w:val="00A16184"/>
    <w:rsid w:val="00A16200"/>
    <w:rsid w:val="00A1651E"/>
    <w:rsid w:val="00A16607"/>
    <w:rsid w:val="00A16674"/>
    <w:rsid w:val="00A16742"/>
    <w:rsid w:val="00A169BE"/>
    <w:rsid w:val="00A16BC0"/>
    <w:rsid w:val="00A16C9A"/>
    <w:rsid w:val="00A16D52"/>
    <w:rsid w:val="00A1757B"/>
    <w:rsid w:val="00A17810"/>
    <w:rsid w:val="00A179AA"/>
    <w:rsid w:val="00A17BEE"/>
    <w:rsid w:val="00A17EEC"/>
    <w:rsid w:val="00A20067"/>
    <w:rsid w:val="00A202B7"/>
    <w:rsid w:val="00A20646"/>
    <w:rsid w:val="00A20863"/>
    <w:rsid w:val="00A20C6B"/>
    <w:rsid w:val="00A20D11"/>
    <w:rsid w:val="00A20EE3"/>
    <w:rsid w:val="00A213DA"/>
    <w:rsid w:val="00A213DD"/>
    <w:rsid w:val="00A214ED"/>
    <w:rsid w:val="00A21687"/>
    <w:rsid w:val="00A21A14"/>
    <w:rsid w:val="00A21B3C"/>
    <w:rsid w:val="00A21DBF"/>
    <w:rsid w:val="00A21F22"/>
    <w:rsid w:val="00A21F23"/>
    <w:rsid w:val="00A21F84"/>
    <w:rsid w:val="00A220A4"/>
    <w:rsid w:val="00A220C6"/>
    <w:rsid w:val="00A2215B"/>
    <w:rsid w:val="00A22798"/>
    <w:rsid w:val="00A22980"/>
    <w:rsid w:val="00A229D6"/>
    <w:rsid w:val="00A22A08"/>
    <w:rsid w:val="00A22AD2"/>
    <w:rsid w:val="00A22C60"/>
    <w:rsid w:val="00A22DB8"/>
    <w:rsid w:val="00A22DBD"/>
    <w:rsid w:val="00A233EF"/>
    <w:rsid w:val="00A2394F"/>
    <w:rsid w:val="00A239DD"/>
    <w:rsid w:val="00A23F35"/>
    <w:rsid w:val="00A240DB"/>
    <w:rsid w:val="00A240F8"/>
    <w:rsid w:val="00A243A9"/>
    <w:rsid w:val="00A243CA"/>
    <w:rsid w:val="00A2455C"/>
    <w:rsid w:val="00A245EA"/>
    <w:rsid w:val="00A247F6"/>
    <w:rsid w:val="00A247F9"/>
    <w:rsid w:val="00A24D26"/>
    <w:rsid w:val="00A24D84"/>
    <w:rsid w:val="00A24E34"/>
    <w:rsid w:val="00A24F14"/>
    <w:rsid w:val="00A25114"/>
    <w:rsid w:val="00A258F1"/>
    <w:rsid w:val="00A259B3"/>
    <w:rsid w:val="00A25BBD"/>
    <w:rsid w:val="00A25C11"/>
    <w:rsid w:val="00A26028"/>
    <w:rsid w:val="00A2603E"/>
    <w:rsid w:val="00A26420"/>
    <w:rsid w:val="00A264A5"/>
    <w:rsid w:val="00A264B1"/>
    <w:rsid w:val="00A265C6"/>
    <w:rsid w:val="00A26707"/>
    <w:rsid w:val="00A26753"/>
    <w:rsid w:val="00A268E9"/>
    <w:rsid w:val="00A26A8A"/>
    <w:rsid w:val="00A26CF7"/>
    <w:rsid w:val="00A26DC6"/>
    <w:rsid w:val="00A26E48"/>
    <w:rsid w:val="00A26F9C"/>
    <w:rsid w:val="00A272F1"/>
    <w:rsid w:val="00A2736E"/>
    <w:rsid w:val="00A274B0"/>
    <w:rsid w:val="00A2752D"/>
    <w:rsid w:val="00A27BD5"/>
    <w:rsid w:val="00A27C3F"/>
    <w:rsid w:val="00A27D34"/>
    <w:rsid w:val="00A27E31"/>
    <w:rsid w:val="00A30358"/>
    <w:rsid w:val="00A303C1"/>
    <w:rsid w:val="00A307B7"/>
    <w:rsid w:val="00A30A3D"/>
    <w:rsid w:val="00A30E08"/>
    <w:rsid w:val="00A31344"/>
    <w:rsid w:val="00A313FD"/>
    <w:rsid w:val="00A316A9"/>
    <w:rsid w:val="00A31B58"/>
    <w:rsid w:val="00A31E5B"/>
    <w:rsid w:val="00A32223"/>
    <w:rsid w:val="00A32261"/>
    <w:rsid w:val="00A322AD"/>
    <w:rsid w:val="00A3265B"/>
    <w:rsid w:val="00A329DE"/>
    <w:rsid w:val="00A32AE5"/>
    <w:rsid w:val="00A32BBA"/>
    <w:rsid w:val="00A32EAE"/>
    <w:rsid w:val="00A3326A"/>
    <w:rsid w:val="00A337FA"/>
    <w:rsid w:val="00A33CF8"/>
    <w:rsid w:val="00A33D20"/>
    <w:rsid w:val="00A33D6C"/>
    <w:rsid w:val="00A33DD6"/>
    <w:rsid w:val="00A33DF0"/>
    <w:rsid w:val="00A33E2A"/>
    <w:rsid w:val="00A33F0C"/>
    <w:rsid w:val="00A34485"/>
    <w:rsid w:val="00A34497"/>
    <w:rsid w:val="00A34570"/>
    <w:rsid w:val="00A345D1"/>
    <w:rsid w:val="00A346B0"/>
    <w:rsid w:val="00A349EC"/>
    <w:rsid w:val="00A34A13"/>
    <w:rsid w:val="00A34A3E"/>
    <w:rsid w:val="00A34C61"/>
    <w:rsid w:val="00A34CC3"/>
    <w:rsid w:val="00A34CE3"/>
    <w:rsid w:val="00A34DBD"/>
    <w:rsid w:val="00A352B6"/>
    <w:rsid w:val="00A35509"/>
    <w:rsid w:val="00A35612"/>
    <w:rsid w:val="00A3578C"/>
    <w:rsid w:val="00A3584D"/>
    <w:rsid w:val="00A35B54"/>
    <w:rsid w:val="00A35C12"/>
    <w:rsid w:val="00A36251"/>
    <w:rsid w:val="00A36325"/>
    <w:rsid w:val="00A365FC"/>
    <w:rsid w:val="00A368B6"/>
    <w:rsid w:val="00A36AA2"/>
    <w:rsid w:val="00A36B46"/>
    <w:rsid w:val="00A36C0F"/>
    <w:rsid w:val="00A36D6D"/>
    <w:rsid w:val="00A36DA7"/>
    <w:rsid w:val="00A36EC9"/>
    <w:rsid w:val="00A371F8"/>
    <w:rsid w:val="00A376B0"/>
    <w:rsid w:val="00A37715"/>
    <w:rsid w:val="00A37740"/>
    <w:rsid w:val="00A37829"/>
    <w:rsid w:val="00A3785C"/>
    <w:rsid w:val="00A379F9"/>
    <w:rsid w:val="00A37E55"/>
    <w:rsid w:val="00A40A83"/>
    <w:rsid w:val="00A40B58"/>
    <w:rsid w:val="00A40EBC"/>
    <w:rsid w:val="00A40FEC"/>
    <w:rsid w:val="00A4117F"/>
    <w:rsid w:val="00A411E1"/>
    <w:rsid w:val="00A4166C"/>
    <w:rsid w:val="00A41A5B"/>
    <w:rsid w:val="00A41D4F"/>
    <w:rsid w:val="00A41D84"/>
    <w:rsid w:val="00A41DCA"/>
    <w:rsid w:val="00A4204A"/>
    <w:rsid w:val="00A424D7"/>
    <w:rsid w:val="00A42983"/>
    <w:rsid w:val="00A42AEF"/>
    <w:rsid w:val="00A42D27"/>
    <w:rsid w:val="00A42E93"/>
    <w:rsid w:val="00A42EB8"/>
    <w:rsid w:val="00A43575"/>
    <w:rsid w:val="00A435FC"/>
    <w:rsid w:val="00A437D7"/>
    <w:rsid w:val="00A437F8"/>
    <w:rsid w:val="00A43860"/>
    <w:rsid w:val="00A4386F"/>
    <w:rsid w:val="00A438FB"/>
    <w:rsid w:val="00A43C18"/>
    <w:rsid w:val="00A44092"/>
    <w:rsid w:val="00A4416D"/>
    <w:rsid w:val="00A4438C"/>
    <w:rsid w:val="00A449C0"/>
    <w:rsid w:val="00A44B2E"/>
    <w:rsid w:val="00A44D8D"/>
    <w:rsid w:val="00A44DDD"/>
    <w:rsid w:val="00A44E82"/>
    <w:rsid w:val="00A44F2D"/>
    <w:rsid w:val="00A44F30"/>
    <w:rsid w:val="00A45122"/>
    <w:rsid w:val="00A453E1"/>
    <w:rsid w:val="00A4547A"/>
    <w:rsid w:val="00A454E1"/>
    <w:rsid w:val="00A45864"/>
    <w:rsid w:val="00A4591F"/>
    <w:rsid w:val="00A45AEC"/>
    <w:rsid w:val="00A45BC7"/>
    <w:rsid w:val="00A45CE8"/>
    <w:rsid w:val="00A45D84"/>
    <w:rsid w:val="00A45DAA"/>
    <w:rsid w:val="00A460B9"/>
    <w:rsid w:val="00A46136"/>
    <w:rsid w:val="00A46195"/>
    <w:rsid w:val="00A4625E"/>
    <w:rsid w:val="00A4626D"/>
    <w:rsid w:val="00A46560"/>
    <w:rsid w:val="00A469BB"/>
    <w:rsid w:val="00A46A4E"/>
    <w:rsid w:val="00A46ACB"/>
    <w:rsid w:val="00A46CDD"/>
    <w:rsid w:val="00A46E5A"/>
    <w:rsid w:val="00A46F39"/>
    <w:rsid w:val="00A46F8A"/>
    <w:rsid w:val="00A47393"/>
    <w:rsid w:val="00A47441"/>
    <w:rsid w:val="00A4751C"/>
    <w:rsid w:val="00A477B4"/>
    <w:rsid w:val="00A47D58"/>
    <w:rsid w:val="00A47FD7"/>
    <w:rsid w:val="00A50201"/>
    <w:rsid w:val="00A50227"/>
    <w:rsid w:val="00A50242"/>
    <w:rsid w:val="00A5048E"/>
    <w:rsid w:val="00A504AB"/>
    <w:rsid w:val="00A50726"/>
    <w:rsid w:val="00A50802"/>
    <w:rsid w:val="00A50CC9"/>
    <w:rsid w:val="00A50CE1"/>
    <w:rsid w:val="00A50CE8"/>
    <w:rsid w:val="00A50F04"/>
    <w:rsid w:val="00A50F57"/>
    <w:rsid w:val="00A51264"/>
    <w:rsid w:val="00A51352"/>
    <w:rsid w:val="00A51401"/>
    <w:rsid w:val="00A5156F"/>
    <w:rsid w:val="00A517D9"/>
    <w:rsid w:val="00A51F7B"/>
    <w:rsid w:val="00A51F8A"/>
    <w:rsid w:val="00A521CC"/>
    <w:rsid w:val="00A521DA"/>
    <w:rsid w:val="00A52447"/>
    <w:rsid w:val="00A52454"/>
    <w:rsid w:val="00A526BF"/>
    <w:rsid w:val="00A52C15"/>
    <w:rsid w:val="00A53016"/>
    <w:rsid w:val="00A5321F"/>
    <w:rsid w:val="00A53446"/>
    <w:rsid w:val="00A535D2"/>
    <w:rsid w:val="00A536F5"/>
    <w:rsid w:val="00A53B8A"/>
    <w:rsid w:val="00A53D29"/>
    <w:rsid w:val="00A53D90"/>
    <w:rsid w:val="00A53DD9"/>
    <w:rsid w:val="00A53F17"/>
    <w:rsid w:val="00A53FCB"/>
    <w:rsid w:val="00A5403F"/>
    <w:rsid w:val="00A54355"/>
    <w:rsid w:val="00A544BB"/>
    <w:rsid w:val="00A5471E"/>
    <w:rsid w:val="00A54744"/>
    <w:rsid w:val="00A547F1"/>
    <w:rsid w:val="00A548BF"/>
    <w:rsid w:val="00A54A26"/>
    <w:rsid w:val="00A54A31"/>
    <w:rsid w:val="00A54BAB"/>
    <w:rsid w:val="00A54D46"/>
    <w:rsid w:val="00A54FA2"/>
    <w:rsid w:val="00A552E2"/>
    <w:rsid w:val="00A557A1"/>
    <w:rsid w:val="00A55987"/>
    <w:rsid w:val="00A55A52"/>
    <w:rsid w:val="00A55B22"/>
    <w:rsid w:val="00A55C50"/>
    <w:rsid w:val="00A5615C"/>
    <w:rsid w:val="00A56436"/>
    <w:rsid w:val="00A564F0"/>
    <w:rsid w:val="00A56661"/>
    <w:rsid w:val="00A566A1"/>
    <w:rsid w:val="00A56872"/>
    <w:rsid w:val="00A56999"/>
    <w:rsid w:val="00A56B5D"/>
    <w:rsid w:val="00A576AC"/>
    <w:rsid w:val="00A57DB2"/>
    <w:rsid w:val="00A600AE"/>
    <w:rsid w:val="00A60535"/>
    <w:rsid w:val="00A60654"/>
    <w:rsid w:val="00A606E6"/>
    <w:rsid w:val="00A60900"/>
    <w:rsid w:val="00A60A56"/>
    <w:rsid w:val="00A61141"/>
    <w:rsid w:val="00A61192"/>
    <w:rsid w:val="00A6143A"/>
    <w:rsid w:val="00A61466"/>
    <w:rsid w:val="00A61548"/>
    <w:rsid w:val="00A61558"/>
    <w:rsid w:val="00A616C2"/>
    <w:rsid w:val="00A61742"/>
    <w:rsid w:val="00A6177C"/>
    <w:rsid w:val="00A617CA"/>
    <w:rsid w:val="00A61CD0"/>
    <w:rsid w:val="00A61FA7"/>
    <w:rsid w:val="00A61FB0"/>
    <w:rsid w:val="00A61FCE"/>
    <w:rsid w:val="00A6204E"/>
    <w:rsid w:val="00A62345"/>
    <w:rsid w:val="00A6269F"/>
    <w:rsid w:val="00A627FD"/>
    <w:rsid w:val="00A628BA"/>
    <w:rsid w:val="00A6290F"/>
    <w:rsid w:val="00A62C11"/>
    <w:rsid w:val="00A6304A"/>
    <w:rsid w:val="00A630BB"/>
    <w:rsid w:val="00A630EF"/>
    <w:rsid w:val="00A632AE"/>
    <w:rsid w:val="00A6336E"/>
    <w:rsid w:val="00A6354C"/>
    <w:rsid w:val="00A6374E"/>
    <w:rsid w:val="00A637BE"/>
    <w:rsid w:val="00A63983"/>
    <w:rsid w:val="00A639FD"/>
    <w:rsid w:val="00A63AAB"/>
    <w:rsid w:val="00A63DEA"/>
    <w:rsid w:val="00A64163"/>
    <w:rsid w:val="00A64271"/>
    <w:rsid w:val="00A64381"/>
    <w:rsid w:val="00A64384"/>
    <w:rsid w:val="00A647A1"/>
    <w:rsid w:val="00A647F4"/>
    <w:rsid w:val="00A648EB"/>
    <w:rsid w:val="00A648F4"/>
    <w:rsid w:val="00A64920"/>
    <w:rsid w:val="00A64F09"/>
    <w:rsid w:val="00A64F3C"/>
    <w:rsid w:val="00A651BA"/>
    <w:rsid w:val="00A65264"/>
    <w:rsid w:val="00A652ED"/>
    <w:rsid w:val="00A654E9"/>
    <w:rsid w:val="00A65644"/>
    <w:rsid w:val="00A65A31"/>
    <w:rsid w:val="00A65DBC"/>
    <w:rsid w:val="00A65EAA"/>
    <w:rsid w:val="00A6602B"/>
    <w:rsid w:val="00A6636E"/>
    <w:rsid w:val="00A6639B"/>
    <w:rsid w:val="00A665D2"/>
    <w:rsid w:val="00A66663"/>
    <w:rsid w:val="00A66777"/>
    <w:rsid w:val="00A6695E"/>
    <w:rsid w:val="00A66B08"/>
    <w:rsid w:val="00A66B6A"/>
    <w:rsid w:val="00A66BEC"/>
    <w:rsid w:val="00A66E48"/>
    <w:rsid w:val="00A66E8C"/>
    <w:rsid w:val="00A66E90"/>
    <w:rsid w:val="00A6709C"/>
    <w:rsid w:val="00A671FF"/>
    <w:rsid w:val="00A6727C"/>
    <w:rsid w:val="00A672D7"/>
    <w:rsid w:val="00A6747C"/>
    <w:rsid w:val="00A6758D"/>
    <w:rsid w:val="00A675D8"/>
    <w:rsid w:val="00A678C1"/>
    <w:rsid w:val="00A67BDB"/>
    <w:rsid w:val="00A67CA9"/>
    <w:rsid w:val="00A7015E"/>
    <w:rsid w:val="00A705AB"/>
    <w:rsid w:val="00A7091F"/>
    <w:rsid w:val="00A70B8F"/>
    <w:rsid w:val="00A71015"/>
    <w:rsid w:val="00A712C6"/>
    <w:rsid w:val="00A713EE"/>
    <w:rsid w:val="00A7149A"/>
    <w:rsid w:val="00A716D3"/>
    <w:rsid w:val="00A722AA"/>
    <w:rsid w:val="00A722F8"/>
    <w:rsid w:val="00A72502"/>
    <w:rsid w:val="00A72E04"/>
    <w:rsid w:val="00A73814"/>
    <w:rsid w:val="00A73AD7"/>
    <w:rsid w:val="00A73B92"/>
    <w:rsid w:val="00A73C43"/>
    <w:rsid w:val="00A73D90"/>
    <w:rsid w:val="00A73F9D"/>
    <w:rsid w:val="00A74123"/>
    <w:rsid w:val="00A742B2"/>
    <w:rsid w:val="00A742CE"/>
    <w:rsid w:val="00A744B3"/>
    <w:rsid w:val="00A746C8"/>
    <w:rsid w:val="00A74CAA"/>
    <w:rsid w:val="00A74D21"/>
    <w:rsid w:val="00A74D5B"/>
    <w:rsid w:val="00A7526F"/>
    <w:rsid w:val="00A7528E"/>
    <w:rsid w:val="00A752BD"/>
    <w:rsid w:val="00A75959"/>
    <w:rsid w:val="00A75ACB"/>
    <w:rsid w:val="00A75B30"/>
    <w:rsid w:val="00A75B81"/>
    <w:rsid w:val="00A75C56"/>
    <w:rsid w:val="00A75CE0"/>
    <w:rsid w:val="00A75D21"/>
    <w:rsid w:val="00A7634B"/>
    <w:rsid w:val="00A76A85"/>
    <w:rsid w:val="00A76AAC"/>
    <w:rsid w:val="00A76E6F"/>
    <w:rsid w:val="00A77120"/>
    <w:rsid w:val="00A77313"/>
    <w:rsid w:val="00A778F5"/>
    <w:rsid w:val="00A77B8B"/>
    <w:rsid w:val="00A77E1B"/>
    <w:rsid w:val="00A77F0D"/>
    <w:rsid w:val="00A800BB"/>
    <w:rsid w:val="00A80174"/>
    <w:rsid w:val="00A80427"/>
    <w:rsid w:val="00A804E5"/>
    <w:rsid w:val="00A80835"/>
    <w:rsid w:val="00A80945"/>
    <w:rsid w:val="00A8097B"/>
    <w:rsid w:val="00A809EE"/>
    <w:rsid w:val="00A80C76"/>
    <w:rsid w:val="00A811DA"/>
    <w:rsid w:val="00A81570"/>
    <w:rsid w:val="00A819D7"/>
    <w:rsid w:val="00A819EF"/>
    <w:rsid w:val="00A81BE0"/>
    <w:rsid w:val="00A81CA1"/>
    <w:rsid w:val="00A81D36"/>
    <w:rsid w:val="00A81D91"/>
    <w:rsid w:val="00A81DA2"/>
    <w:rsid w:val="00A81E8C"/>
    <w:rsid w:val="00A8209F"/>
    <w:rsid w:val="00A82235"/>
    <w:rsid w:val="00A82615"/>
    <w:rsid w:val="00A826B0"/>
    <w:rsid w:val="00A82726"/>
    <w:rsid w:val="00A82E0C"/>
    <w:rsid w:val="00A8305D"/>
    <w:rsid w:val="00A835F7"/>
    <w:rsid w:val="00A83883"/>
    <w:rsid w:val="00A83DD9"/>
    <w:rsid w:val="00A8429D"/>
    <w:rsid w:val="00A842B2"/>
    <w:rsid w:val="00A84358"/>
    <w:rsid w:val="00A8463C"/>
    <w:rsid w:val="00A849BE"/>
    <w:rsid w:val="00A84A31"/>
    <w:rsid w:val="00A84D9B"/>
    <w:rsid w:val="00A84FBF"/>
    <w:rsid w:val="00A852DC"/>
    <w:rsid w:val="00A854F5"/>
    <w:rsid w:val="00A85695"/>
    <w:rsid w:val="00A85700"/>
    <w:rsid w:val="00A85968"/>
    <w:rsid w:val="00A85A9F"/>
    <w:rsid w:val="00A85B79"/>
    <w:rsid w:val="00A85CD9"/>
    <w:rsid w:val="00A85EB0"/>
    <w:rsid w:val="00A85F3A"/>
    <w:rsid w:val="00A86195"/>
    <w:rsid w:val="00A861B3"/>
    <w:rsid w:val="00A862B9"/>
    <w:rsid w:val="00A86656"/>
    <w:rsid w:val="00A8690B"/>
    <w:rsid w:val="00A86CD3"/>
    <w:rsid w:val="00A86D87"/>
    <w:rsid w:val="00A86F9B"/>
    <w:rsid w:val="00A86F9E"/>
    <w:rsid w:val="00A871F8"/>
    <w:rsid w:val="00A873AC"/>
    <w:rsid w:val="00A874C5"/>
    <w:rsid w:val="00A874FB"/>
    <w:rsid w:val="00A87831"/>
    <w:rsid w:val="00A87926"/>
    <w:rsid w:val="00A87AA9"/>
    <w:rsid w:val="00A87D64"/>
    <w:rsid w:val="00A87E19"/>
    <w:rsid w:val="00A87EE2"/>
    <w:rsid w:val="00A90235"/>
    <w:rsid w:val="00A903C6"/>
    <w:rsid w:val="00A904C4"/>
    <w:rsid w:val="00A907E1"/>
    <w:rsid w:val="00A90965"/>
    <w:rsid w:val="00A90BA0"/>
    <w:rsid w:val="00A90BB3"/>
    <w:rsid w:val="00A90C73"/>
    <w:rsid w:val="00A90C9B"/>
    <w:rsid w:val="00A91169"/>
    <w:rsid w:val="00A91247"/>
    <w:rsid w:val="00A9127E"/>
    <w:rsid w:val="00A9129D"/>
    <w:rsid w:val="00A9141A"/>
    <w:rsid w:val="00A91553"/>
    <w:rsid w:val="00A915D7"/>
    <w:rsid w:val="00A916D1"/>
    <w:rsid w:val="00A91850"/>
    <w:rsid w:val="00A91864"/>
    <w:rsid w:val="00A91AB3"/>
    <w:rsid w:val="00A91EC0"/>
    <w:rsid w:val="00A91F60"/>
    <w:rsid w:val="00A92291"/>
    <w:rsid w:val="00A92336"/>
    <w:rsid w:val="00A92724"/>
    <w:rsid w:val="00A9273D"/>
    <w:rsid w:val="00A92A53"/>
    <w:rsid w:val="00A933A4"/>
    <w:rsid w:val="00A93459"/>
    <w:rsid w:val="00A9376D"/>
    <w:rsid w:val="00A938C1"/>
    <w:rsid w:val="00A9393C"/>
    <w:rsid w:val="00A93998"/>
    <w:rsid w:val="00A939B9"/>
    <w:rsid w:val="00A93B72"/>
    <w:rsid w:val="00A93C25"/>
    <w:rsid w:val="00A93DE3"/>
    <w:rsid w:val="00A93DE4"/>
    <w:rsid w:val="00A93EBB"/>
    <w:rsid w:val="00A93FBD"/>
    <w:rsid w:val="00A940DD"/>
    <w:rsid w:val="00A94111"/>
    <w:rsid w:val="00A94309"/>
    <w:rsid w:val="00A9491A"/>
    <w:rsid w:val="00A9493C"/>
    <w:rsid w:val="00A94E2A"/>
    <w:rsid w:val="00A94EFE"/>
    <w:rsid w:val="00A950CE"/>
    <w:rsid w:val="00A950EB"/>
    <w:rsid w:val="00A952E1"/>
    <w:rsid w:val="00A95311"/>
    <w:rsid w:val="00A953C8"/>
    <w:rsid w:val="00A95709"/>
    <w:rsid w:val="00A9574B"/>
    <w:rsid w:val="00A9579B"/>
    <w:rsid w:val="00A95A75"/>
    <w:rsid w:val="00A95A8D"/>
    <w:rsid w:val="00A95B99"/>
    <w:rsid w:val="00A95C99"/>
    <w:rsid w:val="00A95F7C"/>
    <w:rsid w:val="00A95FA7"/>
    <w:rsid w:val="00A95FE6"/>
    <w:rsid w:val="00A960FE"/>
    <w:rsid w:val="00A96404"/>
    <w:rsid w:val="00A96767"/>
    <w:rsid w:val="00A96AEA"/>
    <w:rsid w:val="00A96DC6"/>
    <w:rsid w:val="00A96E21"/>
    <w:rsid w:val="00A97012"/>
    <w:rsid w:val="00A970EC"/>
    <w:rsid w:val="00A97645"/>
    <w:rsid w:val="00A97E49"/>
    <w:rsid w:val="00A97F09"/>
    <w:rsid w:val="00AA016D"/>
    <w:rsid w:val="00AA0251"/>
    <w:rsid w:val="00AA02BA"/>
    <w:rsid w:val="00AA0301"/>
    <w:rsid w:val="00AA0457"/>
    <w:rsid w:val="00AA08BE"/>
    <w:rsid w:val="00AA08DC"/>
    <w:rsid w:val="00AA0935"/>
    <w:rsid w:val="00AA0AA1"/>
    <w:rsid w:val="00AA0C02"/>
    <w:rsid w:val="00AA0CD4"/>
    <w:rsid w:val="00AA1135"/>
    <w:rsid w:val="00AA11B3"/>
    <w:rsid w:val="00AA125E"/>
    <w:rsid w:val="00AA1291"/>
    <w:rsid w:val="00AA1340"/>
    <w:rsid w:val="00AA14FD"/>
    <w:rsid w:val="00AA1850"/>
    <w:rsid w:val="00AA1858"/>
    <w:rsid w:val="00AA1B21"/>
    <w:rsid w:val="00AA2026"/>
    <w:rsid w:val="00AA214A"/>
    <w:rsid w:val="00AA23C6"/>
    <w:rsid w:val="00AA2509"/>
    <w:rsid w:val="00AA2651"/>
    <w:rsid w:val="00AA26AB"/>
    <w:rsid w:val="00AA2737"/>
    <w:rsid w:val="00AA27BE"/>
    <w:rsid w:val="00AA29F4"/>
    <w:rsid w:val="00AA2AC5"/>
    <w:rsid w:val="00AA2D29"/>
    <w:rsid w:val="00AA2DA5"/>
    <w:rsid w:val="00AA2DC3"/>
    <w:rsid w:val="00AA2E18"/>
    <w:rsid w:val="00AA2E2D"/>
    <w:rsid w:val="00AA2E5C"/>
    <w:rsid w:val="00AA349E"/>
    <w:rsid w:val="00AA357E"/>
    <w:rsid w:val="00AA3A4A"/>
    <w:rsid w:val="00AA3AFD"/>
    <w:rsid w:val="00AA3C28"/>
    <w:rsid w:val="00AA404E"/>
    <w:rsid w:val="00AA4153"/>
    <w:rsid w:val="00AA41CB"/>
    <w:rsid w:val="00AA42EC"/>
    <w:rsid w:val="00AA43E2"/>
    <w:rsid w:val="00AA4628"/>
    <w:rsid w:val="00AA4726"/>
    <w:rsid w:val="00AA47E3"/>
    <w:rsid w:val="00AA49CC"/>
    <w:rsid w:val="00AA4AF2"/>
    <w:rsid w:val="00AA4B85"/>
    <w:rsid w:val="00AA4C07"/>
    <w:rsid w:val="00AA4D37"/>
    <w:rsid w:val="00AA5037"/>
    <w:rsid w:val="00AA5111"/>
    <w:rsid w:val="00AA5235"/>
    <w:rsid w:val="00AA554D"/>
    <w:rsid w:val="00AA574A"/>
    <w:rsid w:val="00AA5A83"/>
    <w:rsid w:val="00AA5B36"/>
    <w:rsid w:val="00AA5FCC"/>
    <w:rsid w:val="00AA6114"/>
    <w:rsid w:val="00AA61A6"/>
    <w:rsid w:val="00AA62D6"/>
    <w:rsid w:val="00AA642C"/>
    <w:rsid w:val="00AA6521"/>
    <w:rsid w:val="00AA6641"/>
    <w:rsid w:val="00AA68FE"/>
    <w:rsid w:val="00AA6AC7"/>
    <w:rsid w:val="00AA6B7E"/>
    <w:rsid w:val="00AA6DCE"/>
    <w:rsid w:val="00AA6E3B"/>
    <w:rsid w:val="00AA6FD1"/>
    <w:rsid w:val="00AA71E9"/>
    <w:rsid w:val="00AA74E1"/>
    <w:rsid w:val="00AA7B00"/>
    <w:rsid w:val="00AA7BBF"/>
    <w:rsid w:val="00AA7F9B"/>
    <w:rsid w:val="00AB027F"/>
    <w:rsid w:val="00AB0973"/>
    <w:rsid w:val="00AB109F"/>
    <w:rsid w:val="00AB1125"/>
    <w:rsid w:val="00AB1191"/>
    <w:rsid w:val="00AB121D"/>
    <w:rsid w:val="00AB136C"/>
    <w:rsid w:val="00AB162B"/>
    <w:rsid w:val="00AB1645"/>
    <w:rsid w:val="00AB1709"/>
    <w:rsid w:val="00AB184A"/>
    <w:rsid w:val="00AB1972"/>
    <w:rsid w:val="00AB19D8"/>
    <w:rsid w:val="00AB1B3C"/>
    <w:rsid w:val="00AB1CB1"/>
    <w:rsid w:val="00AB1CD5"/>
    <w:rsid w:val="00AB1D17"/>
    <w:rsid w:val="00AB216A"/>
    <w:rsid w:val="00AB2288"/>
    <w:rsid w:val="00AB2328"/>
    <w:rsid w:val="00AB27BE"/>
    <w:rsid w:val="00AB27FE"/>
    <w:rsid w:val="00AB2A4E"/>
    <w:rsid w:val="00AB2AE1"/>
    <w:rsid w:val="00AB2B3C"/>
    <w:rsid w:val="00AB2E47"/>
    <w:rsid w:val="00AB2FC8"/>
    <w:rsid w:val="00AB31E3"/>
    <w:rsid w:val="00AB3507"/>
    <w:rsid w:val="00AB360C"/>
    <w:rsid w:val="00AB3B45"/>
    <w:rsid w:val="00AB3BB2"/>
    <w:rsid w:val="00AB4007"/>
    <w:rsid w:val="00AB4015"/>
    <w:rsid w:val="00AB408E"/>
    <w:rsid w:val="00AB40E9"/>
    <w:rsid w:val="00AB447B"/>
    <w:rsid w:val="00AB4D60"/>
    <w:rsid w:val="00AB4DD3"/>
    <w:rsid w:val="00AB4DEA"/>
    <w:rsid w:val="00AB4E65"/>
    <w:rsid w:val="00AB4E7F"/>
    <w:rsid w:val="00AB4F7C"/>
    <w:rsid w:val="00AB5045"/>
    <w:rsid w:val="00AB50E0"/>
    <w:rsid w:val="00AB51A4"/>
    <w:rsid w:val="00AB53B8"/>
    <w:rsid w:val="00AB53EC"/>
    <w:rsid w:val="00AB54C2"/>
    <w:rsid w:val="00AB5506"/>
    <w:rsid w:val="00AB5686"/>
    <w:rsid w:val="00AB56EE"/>
    <w:rsid w:val="00AB57D3"/>
    <w:rsid w:val="00AB5841"/>
    <w:rsid w:val="00AB5A10"/>
    <w:rsid w:val="00AB5D12"/>
    <w:rsid w:val="00AB6549"/>
    <w:rsid w:val="00AB670F"/>
    <w:rsid w:val="00AB68A8"/>
    <w:rsid w:val="00AB68F3"/>
    <w:rsid w:val="00AB6D8B"/>
    <w:rsid w:val="00AB6D9F"/>
    <w:rsid w:val="00AB6F34"/>
    <w:rsid w:val="00AB752E"/>
    <w:rsid w:val="00AB75C7"/>
    <w:rsid w:val="00AB7783"/>
    <w:rsid w:val="00AB7849"/>
    <w:rsid w:val="00AB7ADF"/>
    <w:rsid w:val="00AB7B8D"/>
    <w:rsid w:val="00AB7CBA"/>
    <w:rsid w:val="00AB7E3B"/>
    <w:rsid w:val="00AC0121"/>
    <w:rsid w:val="00AC018F"/>
    <w:rsid w:val="00AC0476"/>
    <w:rsid w:val="00AC05B9"/>
    <w:rsid w:val="00AC087F"/>
    <w:rsid w:val="00AC0B2D"/>
    <w:rsid w:val="00AC0B53"/>
    <w:rsid w:val="00AC0B55"/>
    <w:rsid w:val="00AC0BD9"/>
    <w:rsid w:val="00AC0EE4"/>
    <w:rsid w:val="00AC1026"/>
    <w:rsid w:val="00AC1351"/>
    <w:rsid w:val="00AC149A"/>
    <w:rsid w:val="00AC15A3"/>
    <w:rsid w:val="00AC1672"/>
    <w:rsid w:val="00AC1828"/>
    <w:rsid w:val="00AC1DED"/>
    <w:rsid w:val="00AC1EFF"/>
    <w:rsid w:val="00AC1FE0"/>
    <w:rsid w:val="00AC1FE3"/>
    <w:rsid w:val="00AC20FB"/>
    <w:rsid w:val="00AC224C"/>
    <w:rsid w:val="00AC29CA"/>
    <w:rsid w:val="00AC2E46"/>
    <w:rsid w:val="00AC3E93"/>
    <w:rsid w:val="00AC4002"/>
    <w:rsid w:val="00AC4049"/>
    <w:rsid w:val="00AC40C5"/>
    <w:rsid w:val="00AC4100"/>
    <w:rsid w:val="00AC4217"/>
    <w:rsid w:val="00AC42D6"/>
    <w:rsid w:val="00AC4691"/>
    <w:rsid w:val="00AC4748"/>
    <w:rsid w:val="00AC48F1"/>
    <w:rsid w:val="00AC4D56"/>
    <w:rsid w:val="00AC4E02"/>
    <w:rsid w:val="00AC4E67"/>
    <w:rsid w:val="00AC4F9F"/>
    <w:rsid w:val="00AC4FD2"/>
    <w:rsid w:val="00AC51AA"/>
    <w:rsid w:val="00AC5266"/>
    <w:rsid w:val="00AC5356"/>
    <w:rsid w:val="00AC53FD"/>
    <w:rsid w:val="00AC5424"/>
    <w:rsid w:val="00AC549D"/>
    <w:rsid w:val="00AC55E4"/>
    <w:rsid w:val="00AC5BE9"/>
    <w:rsid w:val="00AC5E57"/>
    <w:rsid w:val="00AC62CD"/>
    <w:rsid w:val="00AC6377"/>
    <w:rsid w:val="00AC6411"/>
    <w:rsid w:val="00AC673C"/>
    <w:rsid w:val="00AC68DB"/>
    <w:rsid w:val="00AC6C37"/>
    <w:rsid w:val="00AC6DAF"/>
    <w:rsid w:val="00AC6EAD"/>
    <w:rsid w:val="00AC7125"/>
    <w:rsid w:val="00AC713B"/>
    <w:rsid w:val="00AC739E"/>
    <w:rsid w:val="00AC7625"/>
    <w:rsid w:val="00AC798F"/>
    <w:rsid w:val="00AC7B72"/>
    <w:rsid w:val="00AC7BC8"/>
    <w:rsid w:val="00AC7CC1"/>
    <w:rsid w:val="00AC7D0E"/>
    <w:rsid w:val="00AC7E5E"/>
    <w:rsid w:val="00AD01AC"/>
    <w:rsid w:val="00AD0369"/>
    <w:rsid w:val="00AD05C8"/>
    <w:rsid w:val="00AD0613"/>
    <w:rsid w:val="00AD0A97"/>
    <w:rsid w:val="00AD0B0C"/>
    <w:rsid w:val="00AD0CBB"/>
    <w:rsid w:val="00AD0DBD"/>
    <w:rsid w:val="00AD0F26"/>
    <w:rsid w:val="00AD1056"/>
    <w:rsid w:val="00AD11BD"/>
    <w:rsid w:val="00AD11FF"/>
    <w:rsid w:val="00AD13AB"/>
    <w:rsid w:val="00AD142A"/>
    <w:rsid w:val="00AD1511"/>
    <w:rsid w:val="00AD19C7"/>
    <w:rsid w:val="00AD200F"/>
    <w:rsid w:val="00AD21C3"/>
    <w:rsid w:val="00AD24F9"/>
    <w:rsid w:val="00AD250A"/>
    <w:rsid w:val="00AD276B"/>
    <w:rsid w:val="00AD2CE2"/>
    <w:rsid w:val="00AD2D28"/>
    <w:rsid w:val="00AD2DEC"/>
    <w:rsid w:val="00AD3014"/>
    <w:rsid w:val="00AD32AA"/>
    <w:rsid w:val="00AD3668"/>
    <w:rsid w:val="00AD3857"/>
    <w:rsid w:val="00AD38A8"/>
    <w:rsid w:val="00AD38E7"/>
    <w:rsid w:val="00AD3A87"/>
    <w:rsid w:val="00AD3F00"/>
    <w:rsid w:val="00AD407E"/>
    <w:rsid w:val="00AD4232"/>
    <w:rsid w:val="00AD43B2"/>
    <w:rsid w:val="00AD4544"/>
    <w:rsid w:val="00AD4607"/>
    <w:rsid w:val="00AD4647"/>
    <w:rsid w:val="00AD486D"/>
    <w:rsid w:val="00AD4B69"/>
    <w:rsid w:val="00AD4C4E"/>
    <w:rsid w:val="00AD4DD8"/>
    <w:rsid w:val="00AD4E43"/>
    <w:rsid w:val="00AD55B5"/>
    <w:rsid w:val="00AD5665"/>
    <w:rsid w:val="00AD583C"/>
    <w:rsid w:val="00AD5BA1"/>
    <w:rsid w:val="00AD5BA5"/>
    <w:rsid w:val="00AD5BB2"/>
    <w:rsid w:val="00AD5E6A"/>
    <w:rsid w:val="00AD5F54"/>
    <w:rsid w:val="00AD5FEB"/>
    <w:rsid w:val="00AD5FF6"/>
    <w:rsid w:val="00AD6070"/>
    <w:rsid w:val="00AD60BE"/>
    <w:rsid w:val="00AD6106"/>
    <w:rsid w:val="00AD61ED"/>
    <w:rsid w:val="00AD6292"/>
    <w:rsid w:val="00AD683B"/>
    <w:rsid w:val="00AD6A49"/>
    <w:rsid w:val="00AD6AB6"/>
    <w:rsid w:val="00AD6DB0"/>
    <w:rsid w:val="00AD703E"/>
    <w:rsid w:val="00AD7293"/>
    <w:rsid w:val="00AD78DA"/>
    <w:rsid w:val="00AD7C23"/>
    <w:rsid w:val="00AD7D06"/>
    <w:rsid w:val="00AD7D5B"/>
    <w:rsid w:val="00AD7FDB"/>
    <w:rsid w:val="00AE034E"/>
    <w:rsid w:val="00AE08B7"/>
    <w:rsid w:val="00AE08BA"/>
    <w:rsid w:val="00AE097B"/>
    <w:rsid w:val="00AE09C5"/>
    <w:rsid w:val="00AE0DD5"/>
    <w:rsid w:val="00AE100F"/>
    <w:rsid w:val="00AE1031"/>
    <w:rsid w:val="00AE1541"/>
    <w:rsid w:val="00AE1563"/>
    <w:rsid w:val="00AE15AA"/>
    <w:rsid w:val="00AE16BC"/>
    <w:rsid w:val="00AE1791"/>
    <w:rsid w:val="00AE1956"/>
    <w:rsid w:val="00AE198C"/>
    <w:rsid w:val="00AE19CC"/>
    <w:rsid w:val="00AE1A99"/>
    <w:rsid w:val="00AE1B7F"/>
    <w:rsid w:val="00AE1DED"/>
    <w:rsid w:val="00AE1E8B"/>
    <w:rsid w:val="00AE209D"/>
    <w:rsid w:val="00AE2546"/>
    <w:rsid w:val="00AE261B"/>
    <w:rsid w:val="00AE2A19"/>
    <w:rsid w:val="00AE31A4"/>
    <w:rsid w:val="00AE34CB"/>
    <w:rsid w:val="00AE355A"/>
    <w:rsid w:val="00AE35DC"/>
    <w:rsid w:val="00AE374D"/>
    <w:rsid w:val="00AE3CCA"/>
    <w:rsid w:val="00AE3CEB"/>
    <w:rsid w:val="00AE3ED4"/>
    <w:rsid w:val="00AE3FF9"/>
    <w:rsid w:val="00AE434D"/>
    <w:rsid w:val="00AE44BD"/>
    <w:rsid w:val="00AE4769"/>
    <w:rsid w:val="00AE48F5"/>
    <w:rsid w:val="00AE4A38"/>
    <w:rsid w:val="00AE4B17"/>
    <w:rsid w:val="00AE4CD8"/>
    <w:rsid w:val="00AE4DC3"/>
    <w:rsid w:val="00AE5024"/>
    <w:rsid w:val="00AE5088"/>
    <w:rsid w:val="00AE5118"/>
    <w:rsid w:val="00AE5348"/>
    <w:rsid w:val="00AE538F"/>
    <w:rsid w:val="00AE56A2"/>
    <w:rsid w:val="00AE57E0"/>
    <w:rsid w:val="00AE582C"/>
    <w:rsid w:val="00AE5993"/>
    <w:rsid w:val="00AE5F63"/>
    <w:rsid w:val="00AE643E"/>
    <w:rsid w:val="00AE646E"/>
    <w:rsid w:val="00AE666D"/>
    <w:rsid w:val="00AE67D1"/>
    <w:rsid w:val="00AE6E83"/>
    <w:rsid w:val="00AE7109"/>
    <w:rsid w:val="00AE72BC"/>
    <w:rsid w:val="00AE76B5"/>
    <w:rsid w:val="00AE78C7"/>
    <w:rsid w:val="00AE7DF2"/>
    <w:rsid w:val="00AE7FDD"/>
    <w:rsid w:val="00AF01A0"/>
    <w:rsid w:val="00AF0668"/>
    <w:rsid w:val="00AF0861"/>
    <w:rsid w:val="00AF0880"/>
    <w:rsid w:val="00AF0A70"/>
    <w:rsid w:val="00AF0C46"/>
    <w:rsid w:val="00AF0E40"/>
    <w:rsid w:val="00AF1164"/>
    <w:rsid w:val="00AF14D2"/>
    <w:rsid w:val="00AF1503"/>
    <w:rsid w:val="00AF15C1"/>
    <w:rsid w:val="00AF18F4"/>
    <w:rsid w:val="00AF1901"/>
    <w:rsid w:val="00AF19DA"/>
    <w:rsid w:val="00AF1A49"/>
    <w:rsid w:val="00AF1DFD"/>
    <w:rsid w:val="00AF1E42"/>
    <w:rsid w:val="00AF1EDF"/>
    <w:rsid w:val="00AF25A9"/>
    <w:rsid w:val="00AF2608"/>
    <w:rsid w:val="00AF2659"/>
    <w:rsid w:val="00AF2B01"/>
    <w:rsid w:val="00AF2CD2"/>
    <w:rsid w:val="00AF2D93"/>
    <w:rsid w:val="00AF2F28"/>
    <w:rsid w:val="00AF30DE"/>
    <w:rsid w:val="00AF399C"/>
    <w:rsid w:val="00AF3B30"/>
    <w:rsid w:val="00AF3BE7"/>
    <w:rsid w:val="00AF4527"/>
    <w:rsid w:val="00AF457E"/>
    <w:rsid w:val="00AF45CA"/>
    <w:rsid w:val="00AF4772"/>
    <w:rsid w:val="00AF477F"/>
    <w:rsid w:val="00AF47CA"/>
    <w:rsid w:val="00AF4CAB"/>
    <w:rsid w:val="00AF4FEE"/>
    <w:rsid w:val="00AF50B2"/>
    <w:rsid w:val="00AF514A"/>
    <w:rsid w:val="00AF5266"/>
    <w:rsid w:val="00AF5550"/>
    <w:rsid w:val="00AF5BC2"/>
    <w:rsid w:val="00AF5BDF"/>
    <w:rsid w:val="00AF5DAA"/>
    <w:rsid w:val="00AF5E74"/>
    <w:rsid w:val="00AF5F7E"/>
    <w:rsid w:val="00AF6357"/>
    <w:rsid w:val="00AF636D"/>
    <w:rsid w:val="00AF6433"/>
    <w:rsid w:val="00AF646E"/>
    <w:rsid w:val="00AF654A"/>
    <w:rsid w:val="00AF6552"/>
    <w:rsid w:val="00AF6603"/>
    <w:rsid w:val="00AF6616"/>
    <w:rsid w:val="00AF66ED"/>
    <w:rsid w:val="00AF6709"/>
    <w:rsid w:val="00AF68A2"/>
    <w:rsid w:val="00AF694B"/>
    <w:rsid w:val="00AF6A8E"/>
    <w:rsid w:val="00AF6BF1"/>
    <w:rsid w:val="00AF70AC"/>
    <w:rsid w:val="00AF72A7"/>
    <w:rsid w:val="00AF72E8"/>
    <w:rsid w:val="00AF73AB"/>
    <w:rsid w:val="00AF7473"/>
    <w:rsid w:val="00AF7740"/>
    <w:rsid w:val="00AF7971"/>
    <w:rsid w:val="00AF7B71"/>
    <w:rsid w:val="00AF7CC0"/>
    <w:rsid w:val="00B000FF"/>
    <w:rsid w:val="00B00161"/>
    <w:rsid w:val="00B0017E"/>
    <w:rsid w:val="00B0019C"/>
    <w:rsid w:val="00B005AC"/>
    <w:rsid w:val="00B005DF"/>
    <w:rsid w:val="00B00A11"/>
    <w:rsid w:val="00B00A3A"/>
    <w:rsid w:val="00B00A9B"/>
    <w:rsid w:val="00B00C39"/>
    <w:rsid w:val="00B00FDA"/>
    <w:rsid w:val="00B01208"/>
    <w:rsid w:val="00B0155E"/>
    <w:rsid w:val="00B01623"/>
    <w:rsid w:val="00B01BEA"/>
    <w:rsid w:val="00B01DDC"/>
    <w:rsid w:val="00B01EE3"/>
    <w:rsid w:val="00B01FF4"/>
    <w:rsid w:val="00B02256"/>
    <w:rsid w:val="00B02266"/>
    <w:rsid w:val="00B022B8"/>
    <w:rsid w:val="00B023D7"/>
    <w:rsid w:val="00B02813"/>
    <w:rsid w:val="00B02B80"/>
    <w:rsid w:val="00B02F4D"/>
    <w:rsid w:val="00B03044"/>
    <w:rsid w:val="00B03050"/>
    <w:rsid w:val="00B03147"/>
    <w:rsid w:val="00B033A7"/>
    <w:rsid w:val="00B0361E"/>
    <w:rsid w:val="00B037B1"/>
    <w:rsid w:val="00B03840"/>
    <w:rsid w:val="00B0396D"/>
    <w:rsid w:val="00B039E9"/>
    <w:rsid w:val="00B045C6"/>
    <w:rsid w:val="00B04611"/>
    <w:rsid w:val="00B04BCB"/>
    <w:rsid w:val="00B04D14"/>
    <w:rsid w:val="00B05055"/>
    <w:rsid w:val="00B05157"/>
    <w:rsid w:val="00B0549A"/>
    <w:rsid w:val="00B054D6"/>
    <w:rsid w:val="00B059BA"/>
    <w:rsid w:val="00B05A78"/>
    <w:rsid w:val="00B05C09"/>
    <w:rsid w:val="00B05CE9"/>
    <w:rsid w:val="00B0643D"/>
    <w:rsid w:val="00B067ED"/>
    <w:rsid w:val="00B0684C"/>
    <w:rsid w:val="00B068E3"/>
    <w:rsid w:val="00B06CAA"/>
    <w:rsid w:val="00B06E03"/>
    <w:rsid w:val="00B06E86"/>
    <w:rsid w:val="00B06EDF"/>
    <w:rsid w:val="00B072F2"/>
    <w:rsid w:val="00B073E4"/>
    <w:rsid w:val="00B07534"/>
    <w:rsid w:val="00B0759E"/>
    <w:rsid w:val="00B10969"/>
    <w:rsid w:val="00B10988"/>
    <w:rsid w:val="00B10D01"/>
    <w:rsid w:val="00B10F7D"/>
    <w:rsid w:val="00B110D2"/>
    <w:rsid w:val="00B11167"/>
    <w:rsid w:val="00B1134B"/>
    <w:rsid w:val="00B11625"/>
    <w:rsid w:val="00B11A09"/>
    <w:rsid w:val="00B11EF7"/>
    <w:rsid w:val="00B11F2E"/>
    <w:rsid w:val="00B12492"/>
    <w:rsid w:val="00B126F6"/>
    <w:rsid w:val="00B12EE9"/>
    <w:rsid w:val="00B12F10"/>
    <w:rsid w:val="00B12F80"/>
    <w:rsid w:val="00B1307B"/>
    <w:rsid w:val="00B132FF"/>
    <w:rsid w:val="00B13315"/>
    <w:rsid w:val="00B134B4"/>
    <w:rsid w:val="00B134C3"/>
    <w:rsid w:val="00B13B22"/>
    <w:rsid w:val="00B13FEF"/>
    <w:rsid w:val="00B14396"/>
    <w:rsid w:val="00B14677"/>
    <w:rsid w:val="00B1470C"/>
    <w:rsid w:val="00B148A6"/>
    <w:rsid w:val="00B14F81"/>
    <w:rsid w:val="00B150AE"/>
    <w:rsid w:val="00B150FC"/>
    <w:rsid w:val="00B15705"/>
    <w:rsid w:val="00B1585E"/>
    <w:rsid w:val="00B15AD0"/>
    <w:rsid w:val="00B15B60"/>
    <w:rsid w:val="00B15BF7"/>
    <w:rsid w:val="00B15C4B"/>
    <w:rsid w:val="00B15DC9"/>
    <w:rsid w:val="00B15E94"/>
    <w:rsid w:val="00B16043"/>
    <w:rsid w:val="00B162F1"/>
    <w:rsid w:val="00B1687F"/>
    <w:rsid w:val="00B169E3"/>
    <w:rsid w:val="00B16A6A"/>
    <w:rsid w:val="00B16BD6"/>
    <w:rsid w:val="00B16C9E"/>
    <w:rsid w:val="00B1715A"/>
    <w:rsid w:val="00B173C4"/>
    <w:rsid w:val="00B177A7"/>
    <w:rsid w:val="00B17832"/>
    <w:rsid w:val="00B178AA"/>
    <w:rsid w:val="00B17920"/>
    <w:rsid w:val="00B17B48"/>
    <w:rsid w:val="00B17E30"/>
    <w:rsid w:val="00B17E46"/>
    <w:rsid w:val="00B20051"/>
    <w:rsid w:val="00B20061"/>
    <w:rsid w:val="00B20073"/>
    <w:rsid w:val="00B20271"/>
    <w:rsid w:val="00B2028A"/>
    <w:rsid w:val="00B2050A"/>
    <w:rsid w:val="00B2063A"/>
    <w:rsid w:val="00B207AA"/>
    <w:rsid w:val="00B20EA3"/>
    <w:rsid w:val="00B20F75"/>
    <w:rsid w:val="00B21165"/>
    <w:rsid w:val="00B213FC"/>
    <w:rsid w:val="00B214E4"/>
    <w:rsid w:val="00B21615"/>
    <w:rsid w:val="00B21948"/>
    <w:rsid w:val="00B21C3B"/>
    <w:rsid w:val="00B21C9F"/>
    <w:rsid w:val="00B21D89"/>
    <w:rsid w:val="00B21F93"/>
    <w:rsid w:val="00B2227A"/>
    <w:rsid w:val="00B223A4"/>
    <w:rsid w:val="00B225B1"/>
    <w:rsid w:val="00B2274D"/>
    <w:rsid w:val="00B227BD"/>
    <w:rsid w:val="00B2286A"/>
    <w:rsid w:val="00B22885"/>
    <w:rsid w:val="00B22B31"/>
    <w:rsid w:val="00B22C3C"/>
    <w:rsid w:val="00B22DEF"/>
    <w:rsid w:val="00B23330"/>
    <w:rsid w:val="00B2333F"/>
    <w:rsid w:val="00B23459"/>
    <w:rsid w:val="00B23DEB"/>
    <w:rsid w:val="00B242BA"/>
    <w:rsid w:val="00B24521"/>
    <w:rsid w:val="00B245C5"/>
    <w:rsid w:val="00B24807"/>
    <w:rsid w:val="00B248ED"/>
    <w:rsid w:val="00B24926"/>
    <w:rsid w:val="00B256B9"/>
    <w:rsid w:val="00B25798"/>
    <w:rsid w:val="00B257EF"/>
    <w:rsid w:val="00B2581E"/>
    <w:rsid w:val="00B25B10"/>
    <w:rsid w:val="00B25E8E"/>
    <w:rsid w:val="00B2658E"/>
    <w:rsid w:val="00B26898"/>
    <w:rsid w:val="00B26BC0"/>
    <w:rsid w:val="00B26BD1"/>
    <w:rsid w:val="00B26D84"/>
    <w:rsid w:val="00B26D9B"/>
    <w:rsid w:val="00B2714B"/>
    <w:rsid w:val="00B2730F"/>
    <w:rsid w:val="00B27403"/>
    <w:rsid w:val="00B27481"/>
    <w:rsid w:val="00B2788E"/>
    <w:rsid w:val="00B27B38"/>
    <w:rsid w:val="00B301B9"/>
    <w:rsid w:val="00B302A8"/>
    <w:rsid w:val="00B302CD"/>
    <w:rsid w:val="00B3040F"/>
    <w:rsid w:val="00B306FD"/>
    <w:rsid w:val="00B30820"/>
    <w:rsid w:val="00B30890"/>
    <w:rsid w:val="00B30AE0"/>
    <w:rsid w:val="00B30BDC"/>
    <w:rsid w:val="00B30C49"/>
    <w:rsid w:val="00B30D3F"/>
    <w:rsid w:val="00B30E9C"/>
    <w:rsid w:val="00B311B6"/>
    <w:rsid w:val="00B314B1"/>
    <w:rsid w:val="00B3163F"/>
    <w:rsid w:val="00B31A3B"/>
    <w:rsid w:val="00B31ED6"/>
    <w:rsid w:val="00B3218C"/>
    <w:rsid w:val="00B322FF"/>
    <w:rsid w:val="00B323C9"/>
    <w:rsid w:val="00B323FE"/>
    <w:rsid w:val="00B32464"/>
    <w:rsid w:val="00B326ED"/>
    <w:rsid w:val="00B32731"/>
    <w:rsid w:val="00B32873"/>
    <w:rsid w:val="00B3290B"/>
    <w:rsid w:val="00B3291B"/>
    <w:rsid w:val="00B3299D"/>
    <w:rsid w:val="00B32A74"/>
    <w:rsid w:val="00B32A92"/>
    <w:rsid w:val="00B32D9E"/>
    <w:rsid w:val="00B32EDF"/>
    <w:rsid w:val="00B32F42"/>
    <w:rsid w:val="00B331F1"/>
    <w:rsid w:val="00B33332"/>
    <w:rsid w:val="00B333CB"/>
    <w:rsid w:val="00B33430"/>
    <w:rsid w:val="00B33466"/>
    <w:rsid w:val="00B3350B"/>
    <w:rsid w:val="00B33742"/>
    <w:rsid w:val="00B33E2D"/>
    <w:rsid w:val="00B33E68"/>
    <w:rsid w:val="00B340AF"/>
    <w:rsid w:val="00B344EE"/>
    <w:rsid w:val="00B346FA"/>
    <w:rsid w:val="00B34A21"/>
    <w:rsid w:val="00B34AFD"/>
    <w:rsid w:val="00B34CC0"/>
    <w:rsid w:val="00B34CC8"/>
    <w:rsid w:val="00B34D6C"/>
    <w:rsid w:val="00B34DFD"/>
    <w:rsid w:val="00B352BE"/>
    <w:rsid w:val="00B353B0"/>
    <w:rsid w:val="00B353C4"/>
    <w:rsid w:val="00B353FD"/>
    <w:rsid w:val="00B35416"/>
    <w:rsid w:val="00B355DC"/>
    <w:rsid w:val="00B3576E"/>
    <w:rsid w:val="00B35BBF"/>
    <w:rsid w:val="00B35C18"/>
    <w:rsid w:val="00B35E4A"/>
    <w:rsid w:val="00B3602F"/>
    <w:rsid w:val="00B36040"/>
    <w:rsid w:val="00B3606E"/>
    <w:rsid w:val="00B36114"/>
    <w:rsid w:val="00B362A6"/>
    <w:rsid w:val="00B3694A"/>
    <w:rsid w:val="00B36BAA"/>
    <w:rsid w:val="00B36D20"/>
    <w:rsid w:val="00B36E07"/>
    <w:rsid w:val="00B3728D"/>
    <w:rsid w:val="00B3753F"/>
    <w:rsid w:val="00B375EC"/>
    <w:rsid w:val="00B37D2B"/>
    <w:rsid w:val="00B40495"/>
    <w:rsid w:val="00B408DB"/>
    <w:rsid w:val="00B40A50"/>
    <w:rsid w:val="00B40F78"/>
    <w:rsid w:val="00B410BC"/>
    <w:rsid w:val="00B41123"/>
    <w:rsid w:val="00B4178E"/>
    <w:rsid w:val="00B4197C"/>
    <w:rsid w:val="00B41CE8"/>
    <w:rsid w:val="00B41D5B"/>
    <w:rsid w:val="00B4274E"/>
    <w:rsid w:val="00B42881"/>
    <w:rsid w:val="00B428F3"/>
    <w:rsid w:val="00B429F3"/>
    <w:rsid w:val="00B42CC0"/>
    <w:rsid w:val="00B42E51"/>
    <w:rsid w:val="00B430ED"/>
    <w:rsid w:val="00B431C6"/>
    <w:rsid w:val="00B4329A"/>
    <w:rsid w:val="00B432BE"/>
    <w:rsid w:val="00B43412"/>
    <w:rsid w:val="00B4394D"/>
    <w:rsid w:val="00B43A3D"/>
    <w:rsid w:val="00B43B4E"/>
    <w:rsid w:val="00B43CE3"/>
    <w:rsid w:val="00B4475D"/>
    <w:rsid w:val="00B44C4C"/>
    <w:rsid w:val="00B44D72"/>
    <w:rsid w:val="00B44E44"/>
    <w:rsid w:val="00B44EC1"/>
    <w:rsid w:val="00B4501F"/>
    <w:rsid w:val="00B451B4"/>
    <w:rsid w:val="00B451BC"/>
    <w:rsid w:val="00B4579A"/>
    <w:rsid w:val="00B457EA"/>
    <w:rsid w:val="00B459DC"/>
    <w:rsid w:val="00B45D8E"/>
    <w:rsid w:val="00B45E12"/>
    <w:rsid w:val="00B45F31"/>
    <w:rsid w:val="00B45FB2"/>
    <w:rsid w:val="00B46321"/>
    <w:rsid w:val="00B464B5"/>
    <w:rsid w:val="00B46983"/>
    <w:rsid w:val="00B46D4C"/>
    <w:rsid w:val="00B46E03"/>
    <w:rsid w:val="00B46F11"/>
    <w:rsid w:val="00B46F18"/>
    <w:rsid w:val="00B4713B"/>
    <w:rsid w:val="00B47333"/>
    <w:rsid w:val="00B47475"/>
    <w:rsid w:val="00B474AC"/>
    <w:rsid w:val="00B475F8"/>
    <w:rsid w:val="00B47775"/>
    <w:rsid w:val="00B477A6"/>
    <w:rsid w:val="00B47877"/>
    <w:rsid w:val="00B47928"/>
    <w:rsid w:val="00B47AAE"/>
    <w:rsid w:val="00B47BEB"/>
    <w:rsid w:val="00B50084"/>
    <w:rsid w:val="00B50297"/>
    <w:rsid w:val="00B5041C"/>
    <w:rsid w:val="00B50B83"/>
    <w:rsid w:val="00B50BCE"/>
    <w:rsid w:val="00B510B2"/>
    <w:rsid w:val="00B51283"/>
    <w:rsid w:val="00B5152A"/>
    <w:rsid w:val="00B5197C"/>
    <w:rsid w:val="00B519BF"/>
    <w:rsid w:val="00B51AF8"/>
    <w:rsid w:val="00B51C15"/>
    <w:rsid w:val="00B51CCF"/>
    <w:rsid w:val="00B51CE8"/>
    <w:rsid w:val="00B51D7E"/>
    <w:rsid w:val="00B51DE7"/>
    <w:rsid w:val="00B52096"/>
    <w:rsid w:val="00B520F4"/>
    <w:rsid w:val="00B52884"/>
    <w:rsid w:val="00B52A4F"/>
    <w:rsid w:val="00B52B5C"/>
    <w:rsid w:val="00B52CAE"/>
    <w:rsid w:val="00B52CBC"/>
    <w:rsid w:val="00B5351E"/>
    <w:rsid w:val="00B53550"/>
    <w:rsid w:val="00B536A7"/>
    <w:rsid w:val="00B538C6"/>
    <w:rsid w:val="00B53975"/>
    <w:rsid w:val="00B53D04"/>
    <w:rsid w:val="00B53DAF"/>
    <w:rsid w:val="00B5424B"/>
    <w:rsid w:val="00B54461"/>
    <w:rsid w:val="00B54561"/>
    <w:rsid w:val="00B545B7"/>
    <w:rsid w:val="00B5460F"/>
    <w:rsid w:val="00B5473B"/>
    <w:rsid w:val="00B548B7"/>
    <w:rsid w:val="00B54A3D"/>
    <w:rsid w:val="00B54A4C"/>
    <w:rsid w:val="00B54A61"/>
    <w:rsid w:val="00B54D93"/>
    <w:rsid w:val="00B55137"/>
    <w:rsid w:val="00B5515A"/>
    <w:rsid w:val="00B55509"/>
    <w:rsid w:val="00B55705"/>
    <w:rsid w:val="00B55A84"/>
    <w:rsid w:val="00B55C9D"/>
    <w:rsid w:val="00B55D69"/>
    <w:rsid w:val="00B55EA0"/>
    <w:rsid w:val="00B56284"/>
    <w:rsid w:val="00B563CB"/>
    <w:rsid w:val="00B565D3"/>
    <w:rsid w:val="00B566C6"/>
    <w:rsid w:val="00B56B48"/>
    <w:rsid w:val="00B56C1B"/>
    <w:rsid w:val="00B56E36"/>
    <w:rsid w:val="00B56E84"/>
    <w:rsid w:val="00B5707D"/>
    <w:rsid w:val="00B57083"/>
    <w:rsid w:val="00B57434"/>
    <w:rsid w:val="00B5761A"/>
    <w:rsid w:val="00B578BF"/>
    <w:rsid w:val="00B57A3A"/>
    <w:rsid w:val="00B57D7B"/>
    <w:rsid w:val="00B57F56"/>
    <w:rsid w:val="00B57F6C"/>
    <w:rsid w:val="00B600E9"/>
    <w:rsid w:val="00B601C5"/>
    <w:rsid w:val="00B60216"/>
    <w:rsid w:val="00B6023A"/>
    <w:rsid w:val="00B6074F"/>
    <w:rsid w:val="00B6086F"/>
    <w:rsid w:val="00B60A11"/>
    <w:rsid w:val="00B60FF6"/>
    <w:rsid w:val="00B611BF"/>
    <w:rsid w:val="00B611DB"/>
    <w:rsid w:val="00B61772"/>
    <w:rsid w:val="00B61779"/>
    <w:rsid w:val="00B61A15"/>
    <w:rsid w:val="00B61BA9"/>
    <w:rsid w:val="00B61C37"/>
    <w:rsid w:val="00B61C73"/>
    <w:rsid w:val="00B61F70"/>
    <w:rsid w:val="00B62224"/>
    <w:rsid w:val="00B622CB"/>
    <w:rsid w:val="00B625D9"/>
    <w:rsid w:val="00B62680"/>
    <w:rsid w:val="00B6274C"/>
    <w:rsid w:val="00B62832"/>
    <w:rsid w:val="00B62AB0"/>
    <w:rsid w:val="00B62B79"/>
    <w:rsid w:val="00B62BEA"/>
    <w:rsid w:val="00B62C0C"/>
    <w:rsid w:val="00B62C10"/>
    <w:rsid w:val="00B62F37"/>
    <w:rsid w:val="00B630C9"/>
    <w:rsid w:val="00B630DD"/>
    <w:rsid w:val="00B6320C"/>
    <w:rsid w:val="00B6325B"/>
    <w:rsid w:val="00B63295"/>
    <w:rsid w:val="00B63A96"/>
    <w:rsid w:val="00B63D65"/>
    <w:rsid w:val="00B6426C"/>
    <w:rsid w:val="00B64351"/>
    <w:rsid w:val="00B644DD"/>
    <w:rsid w:val="00B645C5"/>
    <w:rsid w:val="00B646BA"/>
    <w:rsid w:val="00B64AF9"/>
    <w:rsid w:val="00B64B2C"/>
    <w:rsid w:val="00B65030"/>
    <w:rsid w:val="00B65054"/>
    <w:rsid w:val="00B65395"/>
    <w:rsid w:val="00B658D2"/>
    <w:rsid w:val="00B65C9D"/>
    <w:rsid w:val="00B65DDA"/>
    <w:rsid w:val="00B661A8"/>
    <w:rsid w:val="00B66402"/>
    <w:rsid w:val="00B66492"/>
    <w:rsid w:val="00B66929"/>
    <w:rsid w:val="00B669E2"/>
    <w:rsid w:val="00B66B63"/>
    <w:rsid w:val="00B66F1D"/>
    <w:rsid w:val="00B67174"/>
    <w:rsid w:val="00B6720C"/>
    <w:rsid w:val="00B6734A"/>
    <w:rsid w:val="00B673A5"/>
    <w:rsid w:val="00B67790"/>
    <w:rsid w:val="00B67C91"/>
    <w:rsid w:val="00B67F99"/>
    <w:rsid w:val="00B7004E"/>
    <w:rsid w:val="00B70537"/>
    <w:rsid w:val="00B7087F"/>
    <w:rsid w:val="00B70AC6"/>
    <w:rsid w:val="00B70BBB"/>
    <w:rsid w:val="00B70D86"/>
    <w:rsid w:val="00B70DB4"/>
    <w:rsid w:val="00B70F03"/>
    <w:rsid w:val="00B70F39"/>
    <w:rsid w:val="00B70F63"/>
    <w:rsid w:val="00B70FE9"/>
    <w:rsid w:val="00B71010"/>
    <w:rsid w:val="00B7122C"/>
    <w:rsid w:val="00B71636"/>
    <w:rsid w:val="00B719F7"/>
    <w:rsid w:val="00B71B97"/>
    <w:rsid w:val="00B71D05"/>
    <w:rsid w:val="00B71D59"/>
    <w:rsid w:val="00B71FDE"/>
    <w:rsid w:val="00B7218B"/>
    <w:rsid w:val="00B721B3"/>
    <w:rsid w:val="00B72324"/>
    <w:rsid w:val="00B72422"/>
    <w:rsid w:val="00B72525"/>
    <w:rsid w:val="00B7280C"/>
    <w:rsid w:val="00B72CCB"/>
    <w:rsid w:val="00B72D7D"/>
    <w:rsid w:val="00B73027"/>
    <w:rsid w:val="00B730B7"/>
    <w:rsid w:val="00B73339"/>
    <w:rsid w:val="00B733A1"/>
    <w:rsid w:val="00B73595"/>
    <w:rsid w:val="00B73616"/>
    <w:rsid w:val="00B73646"/>
    <w:rsid w:val="00B73866"/>
    <w:rsid w:val="00B73BCA"/>
    <w:rsid w:val="00B73CA5"/>
    <w:rsid w:val="00B73EC3"/>
    <w:rsid w:val="00B74020"/>
    <w:rsid w:val="00B745B6"/>
    <w:rsid w:val="00B7473D"/>
    <w:rsid w:val="00B74741"/>
    <w:rsid w:val="00B748E9"/>
    <w:rsid w:val="00B74C06"/>
    <w:rsid w:val="00B74F16"/>
    <w:rsid w:val="00B74F27"/>
    <w:rsid w:val="00B750F8"/>
    <w:rsid w:val="00B75124"/>
    <w:rsid w:val="00B75427"/>
    <w:rsid w:val="00B754D8"/>
    <w:rsid w:val="00B7553C"/>
    <w:rsid w:val="00B7559A"/>
    <w:rsid w:val="00B757B2"/>
    <w:rsid w:val="00B757C3"/>
    <w:rsid w:val="00B758F1"/>
    <w:rsid w:val="00B75934"/>
    <w:rsid w:val="00B75C30"/>
    <w:rsid w:val="00B75CAC"/>
    <w:rsid w:val="00B75F13"/>
    <w:rsid w:val="00B761B4"/>
    <w:rsid w:val="00B76227"/>
    <w:rsid w:val="00B7626D"/>
    <w:rsid w:val="00B7642F"/>
    <w:rsid w:val="00B7647A"/>
    <w:rsid w:val="00B76559"/>
    <w:rsid w:val="00B7660A"/>
    <w:rsid w:val="00B767C6"/>
    <w:rsid w:val="00B76993"/>
    <w:rsid w:val="00B76A2D"/>
    <w:rsid w:val="00B76B48"/>
    <w:rsid w:val="00B76BB2"/>
    <w:rsid w:val="00B76C09"/>
    <w:rsid w:val="00B76CDF"/>
    <w:rsid w:val="00B771B0"/>
    <w:rsid w:val="00B77245"/>
    <w:rsid w:val="00B77675"/>
    <w:rsid w:val="00B779F0"/>
    <w:rsid w:val="00B77AD7"/>
    <w:rsid w:val="00B77BF6"/>
    <w:rsid w:val="00B78F7B"/>
    <w:rsid w:val="00B80077"/>
    <w:rsid w:val="00B80189"/>
    <w:rsid w:val="00B803AB"/>
    <w:rsid w:val="00B80D50"/>
    <w:rsid w:val="00B80DCC"/>
    <w:rsid w:val="00B80E71"/>
    <w:rsid w:val="00B818B4"/>
    <w:rsid w:val="00B81991"/>
    <w:rsid w:val="00B819C6"/>
    <w:rsid w:val="00B81B65"/>
    <w:rsid w:val="00B81E3F"/>
    <w:rsid w:val="00B81FA7"/>
    <w:rsid w:val="00B8200B"/>
    <w:rsid w:val="00B8216A"/>
    <w:rsid w:val="00B821C6"/>
    <w:rsid w:val="00B8230E"/>
    <w:rsid w:val="00B8233C"/>
    <w:rsid w:val="00B823D8"/>
    <w:rsid w:val="00B82492"/>
    <w:rsid w:val="00B8277F"/>
    <w:rsid w:val="00B82E60"/>
    <w:rsid w:val="00B83264"/>
    <w:rsid w:val="00B832B7"/>
    <w:rsid w:val="00B83776"/>
    <w:rsid w:val="00B83958"/>
    <w:rsid w:val="00B83969"/>
    <w:rsid w:val="00B83A30"/>
    <w:rsid w:val="00B83C63"/>
    <w:rsid w:val="00B83FF9"/>
    <w:rsid w:val="00B84BA9"/>
    <w:rsid w:val="00B84C4D"/>
    <w:rsid w:val="00B84D83"/>
    <w:rsid w:val="00B84ECE"/>
    <w:rsid w:val="00B850A3"/>
    <w:rsid w:val="00B85448"/>
    <w:rsid w:val="00B854B5"/>
    <w:rsid w:val="00B857E0"/>
    <w:rsid w:val="00B857E2"/>
    <w:rsid w:val="00B85BA6"/>
    <w:rsid w:val="00B85F5B"/>
    <w:rsid w:val="00B85FB8"/>
    <w:rsid w:val="00B8613F"/>
    <w:rsid w:val="00B862E8"/>
    <w:rsid w:val="00B8641E"/>
    <w:rsid w:val="00B8643B"/>
    <w:rsid w:val="00B86489"/>
    <w:rsid w:val="00B86628"/>
    <w:rsid w:val="00B8695F"/>
    <w:rsid w:val="00B86997"/>
    <w:rsid w:val="00B86B47"/>
    <w:rsid w:val="00B86D90"/>
    <w:rsid w:val="00B871AC"/>
    <w:rsid w:val="00B872AB"/>
    <w:rsid w:val="00B875C6"/>
    <w:rsid w:val="00B875CF"/>
    <w:rsid w:val="00B87690"/>
    <w:rsid w:val="00B87838"/>
    <w:rsid w:val="00B87A36"/>
    <w:rsid w:val="00B87E02"/>
    <w:rsid w:val="00B87F55"/>
    <w:rsid w:val="00B90218"/>
    <w:rsid w:val="00B9028D"/>
    <w:rsid w:val="00B90A67"/>
    <w:rsid w:val="00B90AA9"/>
    <w:rsid w:val="00B9198C"/>
    <w:rsid w:val="00B91A99"/>
    <w:rsid w:val="00B91CE1"/>
    <w:rsid w:val="00B91ED1"/>
    <w:rsid w:val="00B92164"/>
    <w:rsid w:val="00B922CD"/>
    <w:rsid w:val="00B92335"/>
    <w:rsid w:val="00B925B0"/>
    <w:rsid w:val="00B9269C"/>
    <w:rsid w:val="00B92824"/>
    <w:rsid w:val="00B929D3"/>
    <w:rsid w:val="00B92ABD"/>
    <w:rsid w:val="00B92B07"/>
    <w:rsid w:val="00B92B1C"/>
    <w:rsid w:val="00B92C7A"/>
    <w:rsid w:val="00B92FBE"/>
    <w:rsid w:val="00B9301A"/>
    <w:rsid w:val="00B9303C"/>
    <w:rsid w:val="00B93042"/>
    <w:rsid w:val="00B9325A"/>
    <w:rsid w:val="00B933B7"/>
    <w:rsid w:val="00B933D9"/>
    <w:rsid w:val="00B9345A"/>
    <w:rsid w:val="00B9356E"/>
    <w:rsid w:val="00B93574"/>
    <w:rsid w:val="00B935EE"/>
    <w:rsid w:val="00B93807"/>
    <w:rsid w:val="00B93AAC"/>
    <w:rsid w:val="00B93B04"/>
    <w:rsid w:val="00B93E1B"/>
    <w:rsid w:val="00B943EB"/>
    <w:rsid w:val="00B946E2"/>
    <w:rsid w:val="00B947E7"/>
    <w:rsid w:val="00B94971"/>
    <w:rsid w:val="00B94A3D"/>
    <w:rsid w:val="00B94D21"/>
    <w:rsid w:val="00B94D45"/>
    <w:rsid w:val="00B94E79"/>
    <w:rsid w:val="00B951AE"/>
    <w:rsid w:val="00B95333"/>
    <w:rsid w:val="00B953AC"/>
    <w:rsid w:val="00B95818"/>
    <w:rsid w:val="00B958D9"/>
    <w:rsid w:val="00B95ACD"/>
    <w:rsid w:val="00B95DDB"/>
    <w:rsid w:val="00B95F16"/>
    <w:rsid w:val="00B96025"/>
    <w:rsid w:val="00B966AB"/>
    <w:rsid w:val="00B967A9"/>
    <w:rsid w:val="00B9683D"/>
    <w:rsid w:val="00B969A3"/>
    <w:rsid w:val="00B96AD6"/>
    <w:rsid w:val="00B96BC0"/>
    <w:rsid w:val="00B96E84"/>
    <w:rsid w:val="00B96FA0"/>
    <w:rsid w:val="00B970D9"/>
    <w:rsid w:val="00B97800"/>
    <w:rsid w:val="00B979CB"/>
    <w:rsid w:val="00B97A9F"/>
    <w:rsid w:val="00B97AFB"/>
    <w:rsid w:val="00B97EAA"/>
    <w:rsid w:val="00BA04CA"/>
    <w:rsid w:val="00BA073A"/>
    <w:rsid w:val="00BA0776"/>
    <w:rsid w:val="00BA0A62"/>
    <w:rsid w:val="00BA0ACC"/>
    <w:rsid w:val="00BA0C30"/>
    <w:rsid w:val="00BA0F24"/>
    <w:rsid w:val="00BA104F"/>
    <w:rsid w:val="00BA10B1"/>
    <w:rsid w:val="00BA14A3"/>
    <w:rsid w:val="00BA1762"/>
    <w:rsid w:val="00BA18E2"/>
    <w:rsid w:val="00BA1C53"/>
    <w:rsid w:val="00BA1C90"/>
    <w:rsid w:val="00BA1EA4"/>
    <w:rsid w:val="00BA200F"/>
    <w:rsid w:val="00BA22F9"/>
    <w:rsid w:val="00BA2366"/>
    <w:rsid w:val="00BA240D"/>
    <w:rsid w:val="00BA2500"/>
    <w:rsid w:val="00BA251A"/>
    <w:rsid w:val="00BA259F"/>
    <w:rsid w:val="00BA2817"/>
    <w:rsid w:val="00BA28D1"/>
    <w:rsid w:val="00BA2924"/>
    <w:rsid w:val="00BA2D45"/>
    <w:rsid w:val="00BA2F08"/>
    <w:rsid w:val="00BA34C8"/>
    <w:rsid w:val="00BA3A2A"/>
    <w:rsid w:val="00BA3A74"/>
    <w:rsid w:val="00BA3EC8"/>
    <w:rsid w:val="00BA3EFA"/>
    <w:rsid w:val="00BA4050"/>
    <w:rsid w:val="00BA4140"/>
    <w:rsid w:val="00BA43B6"/>
    <w:rsid w:val="00BA4572"/>
    <w:rsid w:val="00BA475F"/>
    <w:rsid w:val="00BA47B4"/>
    <w:rsid w:val="00BA48A7"/>
    <w:rsid w:val="00BA4EA6"/>
    <w:rsid w:val="00BA4F75"/>
    <w:rsid w:val="00BA4FC0"/>
    <w:rsid w:val="00BA5122"/>
    <w:rsid w:val="00BA51D7"/>
    <w:rsid w:val="00BA54A2"/>
    <w:rsid w:val="00BA579B"/>
    <w:rsid w:val="00BA5AD1"/>
    <w:rsid w:val="00BA5B52"/>
    <w:rsid w:val="00BA5DDC"/>
    <w:rsid w:val="00BA5E70"/>
    <w:rsid w:val="00BA614E"/>
    <w:rsid w:val="00BA61F3"/>
    <w:rsid w:val="00BA623C"/>
    <w:rsid w:val="00BA6584"/>
    <w:rsid w:val="00BA6704"/>
    <w:rsid w:val="00BA6839"/>
    <w:rsid w:val="00BA6E66"/>
    <w:rsid w:val="00BA718A"/>
    <w:rsid w:val="00BA71F2"/>
    <w:rsid w:val="00BA75B4"/>
    <w:rsid w:val="00BA75C5"/>
    <w:rsid w:val="00BA7645"/>
    <w:rsid w:val="00BA764C"/>
    <w:rsid w:val="00BA7781"/>
    <w:rsid w:val="00BA7899"/>
    <w:rsid w:val="00BA7A22"/>
    <w:rsid w:val="00BA7B62"/>
    <w:rsid w:val="00BA7C60"/>
    <w:rsid w:val="00BA7F45"/>
    <w:rsid w:val="00BB00A3"/>
    <w:rsid w:val="00BB0347"/>
    <w:rsid w:val="00BB03CB"/>
    <w:rsid w:val="00BB05B0"/>
    <w:rsid w:val="00BB0648"/>
    <w:rsid w:val="00BB0A7A"/>
    <w:rsid w:val="00BB0F94"/>
    <w:rsid w:val="00BB1088"/>
    <w:rsid w:val="00BB10EC"/>
    <w:rsid w:val="00BB1752"/>
    <w:rsid w:val="00BB18DF"/>
    <w:rsid w:val="00BB191A"/>
    <w:rsid w:val="00BB1DE2"/>
    <w:rsid w:val="00BB1FE9"/>
    <w:rsid w:val="00BB202F"/>
    <w:rsid w:val="00BB20B4"/>
    <w:rsid w:val="00BB20D5"/>
    <w:rsid w:val="00BB2325"/>
    <w:rsid w:val="00BB23AC"/>
    <w:rsid w:val="00BB23F3"/>
    <w:rsid w:val="00BB2529"/>
    <w:rsid w:val="00BB28D9"/>
    <w:rsid w:val="00BB2B0B"/>
    <w:rsid w:val="00BB3661"/>
    <w:rsid w:val="00BB38FA"/>
    <w:rsid w:val="00BB3F27"/>
    <w:rsid w:val="00BB40C0"/>
    <w:rsid w:val="00BB4230"/>
    <w:rsid w:val="00BB4376"/>
    <w:rsid w:val="00BB4668"/>
    <w:rsid w:val="00BB4863"/>
    <w:rsid w:val="00BB4A39"/>
    <w:rsid w:val="00BB4A44"/>
    <w:rsid w:val="00BB4B2B"/>
    <w:rsid w:val="00BB4C1E"/>
    <w:rsid w:val="00BB4C44"/>
    <w:rsid w:val="00BB4C5A"/>
    <w:rsid w:val="00BB4DDD"/>
    <w:rsid w:val="00BB50B9"/>
    <w:rsid w:val="00BB50DB"/>
    <w:rsid w:val="00BB50E1"/>
    <w:rsid w:val="00BB5159"/>
    <w:rsid w:val="00BB5194"/>
    <w:rsid w:val="00BB5275"/>
    <w:rsid w:val="00BB538A"/>
    <w:rsid w:val="00BB5512"/>
    <w:rsid w:val="00BB578E"/>
    <w:rsid w:val="00BB5B5F"/>
    <w:rsid w:val="00BB6182"/>
    <w:rsid w:val="00BB6702"/>
    <w:rsid w:val="00BB6898"/>
    <w:rsid w:val="00BB6A86"/>
    <w:rsid w:val="00BB6F11"/>
    <w:rsid w:val="00BB753A"/>
    <w:rsid w:val="00BB75FA"/>
    <w:rsid w:val="00BB760F"/>
    <w:rsid w:val="00BB7708"/>
    <w:rsid w:val="00BB796A"/>
    <w:rsid w:val="00BB7B14"/>
    <w:rsid w:val="00BB7BC8"/>
    <w:rsid w:val="00BB7C27"/>
    <w:rsid w:val="00BB7C60"/>
    <w:rsid w:val="00BB7DFD"/>
    <w:rsid w:val="00BC073E"/>
    <w:rsid w:val="00BC0AC7"/>
    <w:rsid w:val="00BC0B22"/>
    <w:rsid w:val="00BC0B60"/>
    <w:rsid w:val="00BC0BE2"/>
    <w:rsid w:val="00BC0FAD"/>
    <w:rsid w:val="00BC10BF"/>
    <w:rsid w:val="00BC13A4"/>
    <w:rsid w:val="00BC1B21"/>
    <w:rsid w:val="00BC1CED"/>
    <w:rsid w:val="00BC1DCE"/>
    <w:rsid w:val="00BC1E27"/>
    <w:rsid w:val="00BC1EE7"/>
    <w:rsid w:val="00BC1F94"/>
    <w:rsid w:val="00BC20BE"/>
    <w:rsid w:val="00BC24CD"/>
    <w:rsid w:val="00BC2952"/>
    <w:rsid w:val="00BC2B39"/>
    <w:rsid w:val="00BC2CE7"/>
    <w:rsid w:val="00BC2CF2"/>
    <w:rsid w:val="00BC2D3D"/>
    <w:rsid w:val="00BC2F70"/>
    <w:rsid w:val="00BC305C"/>
    <w:rsid w:val="00BC30DD"/>
    <w:rsid w:val="00BC315E"/>
    <w:rsid w:val="00BC340C"/>
    <w:rsid w:val="00BC342F"/>
    <w:rsid w:val="00BC343E"/>
    <w:rsid w:val="00BC3937"/>
    <w:rsid w:val="00BC398A"/>
    <w:rsid w:val="00BC3B53"/>
    <w:rsid w:val="00BC3C1D"/>
    <w:rsid w:val="00BC3F3C"/>
    <w:rsid w:val="00BC3FC6"/>
    <w:rsid w:val="00BC4078"/>
    <w:rsid w:val="00BC41A0"/>
    <w:rsid w:val="00BC44C9"/>
    <w:rsid w:val="00BC4590"/>
    <w:rsid w:val="00BC46F1"/>
    <w:rsid w:val="00BC493F"/>
    <w:rsid w:val="00BC4A05"/>
    <w:rsid w:val="00BC4B11"/>
    <w:rsid w:val="00BC4B64"/>
    <w:rsid w:val="00BC4BA8"/>
    <w:rsid w:val="00BC4CED"/>
    <w:rsid w:val="00BC4D5B"/>
    <w:rsid w:val="00BC514A"/>
    <w:rsid w:val="00BC519D"/>
    <w:rsid w:val="00BC5201"/>
    <w:rsid w:val="00BC52B9"/>
    <w:rsid w:val="00BC55D2"/>
    <w:rsid w:val="00BC5909"/>
    <w:rsid w:val="00BC5A99"/>
    <w:rsid w:val="00BC5DF4"/>
    <w:rsid w:val="00BC5E8F"/>
    <w:rsid w:val="00BC61AF"/>
    <w:rsid w:val="00BC681C"/>
    <w:rsid w:val="00BC6BF4"/>
    <w:rsid w:val="00BC6E73"/>
    <w:rsid w:val="00BC6EF6"/>
    <w:rsid w:val="00BC6FAB"/>
    <w:rsid w:val="00BC70EE"/>
    <w:rsid w:val="00BC7128"/>
    <w:rsid w:val="00BC7169"/>
    <w:rsid w:val="00BC7319"/>
    <w:rsid w:val="00BC762E"/>
    <w:rsid w:val="00BC7804"/>
    <w:rsid w:val="00BC7954"/>
    <w:rsid w:val="00BC7AF5"/>
    <w:rsid w:val="00BC7D80"/>
    <w:rsid w:val="00BD054D"/>
    <w:rsid w:val="00BD056E"/>
    <w:rsid w:val="00BD0575"/>
    <w:rsid w:val="00BD0655"/>
    <w:rsid w:val="00BD0680"/>
    <w:rsid w:val="00BD096D"/>
    <w:rsid w:val="00BD0D1C"/>
    <w:rsid w:val="00BD0DCE"/>
    <w:rsid w:val="00BD0F3E"/>
    <w:rsid w:val="00BD192C"/>
    <w:rsid w:val="00BD1AA6"/>
    <w:rsid w:val="00BD1B9B"/>
    <w:rsid w:val="00BD217B"/>
    <w:rsid w:val="00BD224A"/>
    <w:rsid w:val="00BD2393"/>
    <w:rsid w:val="00BD2400"/>
    <w:rsid w:val="00BD24DD"/>
    <w:rsid w:val="00BD26A1"/>
    <w:rsid w:val="00BD2769"/>
    <w:rsid w:val="00BD2917"/>
    <w:rsid w:val="00BD2AA5"/>
    <w:rsid w:val="00BD2CC4"/>
    <w:rsid w:val="00BD3020"/>
    <w:rsid w:val="00BD332D"/>
    <w:rsid w:val="00BD34BF"/>
    <w:rsid w:val="00BD3724"/>
    <w:rsid w:val="00BD3886"/>
    <w:rsid w:val="00BD3D0B"/>
    <w:rsid w:val="00BD407B"/>
    <w:rsid w:val="00BD42EF"/>
    <w:rsid w:val="00BD4320"/>
    <w:rsid w:val="00BD466D"/>
    <w:rsid w:val="00BD4821"/>
    <w:rsid w:val="00BD489F"/>
    <w:rsid w:val="00BD48E9"/>
    <w:rsid w:val="00BD4928"/>
    <w:rsid w:val="00BD4D36"/>
    <w:rsid w:val="00BD4D5E"/>
    <w:rsid w:val="00BD4F12"/>
    <w:rsid w:val="00BD5029"/>
    <w:rsid w:val="00BD5194"/>
    <w:rsid w:val="00BD51D5"/>
    <w:rsid w:val="00BD53BB"/>
    <w:rsid w:val="00BD5405"/>
    <w:rsid w:val="00BD5702"/>
    <w:rsid w:val="00BD585B"/>
    <w:rsid w:val="00BD5A0C"/>
    <w:rsid w:val="00BD5B28"/>
    <w:rsid w:val="00BD5B7D"/>
    <w:rsid w:val="00BD5D0A"/>
    <w:rsid w:val="00BD5EB9"/>
    <w:rsid w:val="00BD6139"/>
    <w:rsid w:val="00BD6368"/>
    <w:rsid w:val="00BD66C0"/>
    <w:rsid w:val="00BD685F"/>
    <w:rsid w:val="00BD6BC9"/>
    <w:rsid w:val="00BD6C38"/>
    <w:rsid w:val="00BD6CE2"/>
    <w:rsid w:val="00BD6EC6"/>
    <w:rsid w:val="00BD70E7"/>
    <w:rsid w:val="00BD7489"/>
    <w:rsid w:val="00BD755F"/>
    <w:rsid w:val="00BD7600"/>
    <w:rsid w:val="00BD770A"/>
    <w:rsid w:val="00BD7831"/>
    <w:rsid w:val="00BD7888"/>
    <w:rsid w:val="00BD789A"/>
    <w:rsid w:val="00BD7B27"/>
    <w:rsid w:val="00BD7E03"/>
    <w:rsid w:val="00BD7E65"/>
    <w:rsid w:val="00BD7EA9"/>
    <w:rsid w:val="00BD7FAE"/>
    <w:rsid w:val="00BE077A"/>
    <w:rsid w:val="00BE084E"/>
    <w:rsid w:val="00BE087F"/>
    <w:rsid w:val="00BE0C8E"/>
    <w:rsid w:val="00BE1695"/>
    <w:rsid w:val="00BE1764"/>
    <w:rsid w:val="00BE17C6"/>
    <w:rsid w:val="00BE17C7"/>
    <w:rsid w:val="00BE17EC"/>
    <w:rsid w:val="00BE211B"/>
    <w:rsid w:val="00BE233F"/>
    <w:rsid w:val="00BE255C"/>
    <w:rsid w:val="00BE2581"/>
    <w:rsid w:val="00BE288A"/>
    <w:rsid w:val="00BE28EA"/>
    <w:rsid w:val="00BE2916"/>
    <w:rsid w:val="00BE2942"/>
    <w:rsid w:val="00BE2C03"/>
    <w:rsid w:val="00BE2CB8"/>
    <w:rsid w:val="00BE2D84"/>
    <w:rsid w:val="00BE2F34"/>
    <w:rsid w:val="00BE3004"/>
    <w:rsid w:val="00BE3106"/>
    <w:rsid w:val="00BE358E"/>
    <w:rsid w:val="00BE36E0"/>
    <w:rsid w:val="00BE3723"/>
    <w:rsid w:val="00BE378E"/>
    <w:rsid w:val="00BE37A3"/>
    <w:rsid w:val="00BE3C24"/>
    <w:rsid w:val="00BE3E96"/>
    <w:rsid w:val="00BE419F"/>
    <w:rsid w:val="00BE434A"/>
    <w:rsid w:val="00BE461F"/>
    <w:rsid w:val="00BE4C74"/>
    <w:rsid w:val="00BE4D84"/>
    <w:rsid w:val="00BE4D8C"/>
    <w:rsid w:val="00BE4E9E"/>
    <w:rsid w:val="00BE4EB0"/>
    <w:rsid w:val="00BE4F23"/>
    <w:rsid w:val="00BE5562"/>
    <w:rsid w:val="00BE55B6"/>
    <w:rsid w:val="00BE5752"/>
    <w:rsid w:val="00BE5BCC"/>
    <w:rsid w:val="00BE5E6E"/>
    <w:rsid w:val="00BE5E74"/>
    <w:rsid w:val="00BE65B3"/>
    <w:rsid w:val="00BE6B6A"/>
    <w:rsid w:val="00BE712F"/>
    <w:rsid w:val="00BE71AD"/>
    <w:rsid w:val="00BE71EC"/>
    <w:rsid w:val="00BE7227"/>
    <w:rsid w:val="00BE73EF"/>
    <w:rsid w:val="00BE7446"/>
    <w:rsid w:val="00BE7556"/>
    <w:rsid w:val="00BE783D"/>
    <w:rsid w:val="00BE79E4"/>
    <w:rsid w:val="00BE7AB1"/>
    <w:rsid w:val="00BE7B35"/>
    <w:rsid w:val="00BF048E"/>
    <w:rsid w:val="00BF04D8"/>
    <w:rsid w:val="00BF0B91"/>
    <w:rsid w:val="00BF0C35"/>
    <w:rsid w:val="00BF0D52"/>
    <w:rsid w:val="00BF0F0D"/>
    <w:rsid w:val="00BF0FBB"/>
    <w:rsid w:val="00BF1092"/>
    <w:rsid w:val="00BF1190"/>
    <w:rsid w:val="00BF11DF"/>
    <w:rsid w:val="00BF1840"/>
    <w:rsid w:val="00BF1EA0"/>
    <w:rsid w:val="00BF213B"/>
    <w:rsid w:val="00BF2A2E"/>
    <w:rsid w:val="00BF2CC4"/>
    <w:rsid w:val="00BF2CD7"/>
    <w:rsid w:val="00BF2FE0"/>
    <w:rsid w:val="00BF303E"/>
    <w:rsid w:val="00BF3294"/>
    <w:rsid w:val="00BF3401"/>
    <w:rsid w:val="00BF34B5"/>
    <w:rsid w:val="00BF34CF"/>
    <w:rsid w:val="00BF35EC"/>
    <w:rsid w:val="00BF38A4"/>
    <w:rsid w:val="00BF39E8"/>
    <w:rsid w:val="00BF39EB"/>
    <w:rsid w:val="00BF3B71"/>
    <w:rsid w:val="00BF3CD2"/>
    <w:rsid w:val="00BF3E7E"/>
    <w:rsid w:val="00BF4165"/>
    <w:rsid w:val="00BF43A2"/>
    <w:rsid w:val="00BF45AB"/>
    <w:rsid w:val="00BF49FD"/>
    <w:rsid w:val="00BF50D7"/>
    <w:rsid w:val="00BF52AF"/>
    <w:rsid w:val="00BF53C0"/>
    <w:rsid w:val="00BF53DE"/>
    <w:rsid w:val="00BF544C"/>
    <w:rsid w:val="00BF556C"/>
    <w:rsid w:val="00BF571A"/>
    <w:rsid w:val="00BF5757"/>
    <w:rsid w:val="00BF5B64"/>
    <w:rsid w:val="00BF5B97"/>
    <w:rsid w:val="00BF5BB7"/>
    <w:rsid w:val="00BF5D14"/>
    <w:rsid w:val="00BF5F67"/>
    <w:rsid w:val="00BF5F75"/>
    <w:rsid w:val="00BF60DB"/>
    <w:rsid w:val="00BF61AF"/>
    <w:rsid w:val="00BF62B5"/>
    <w:rsid w:val="00BF6329"/>
    <w:rsid w:val="00BF63B4"/>
    <w:rsid w:val="00BF6435"/>
    <w:rsid w:val="00BF66B8"/>
    <w:rsid w:val="00BF6877"/>
    <w:rsid w:val="00BF69BE"/>
    <w:rsid w:val="00BF6A1D"/>
    <w:rsid w:val="00BF6BC2"/>
    <w:rsid w:val="00BF6C29"/>
    <w:rsid w:val="00BF6EA6"/>
    <w:rsid w:val="00BF6FF0"/>
    <w:rsid w:val="00BF7479"/>
    <w:rsid w:val="00BF76A4"/>
    <w:rsid w:val="00BF7753"/>
    <w:rsid w:val="00BF77C2"/>
    <w:rsid w:val="00BF7857"/>
    <w:rsid w:val="00BF7B19"/>
    <w:rsid w:val="00BF7F0C"/>
    <w:rsid w:val="00BF7FF4"/>
    <w:rsid w:val="00C00004"/>
    <w:rsid w:val="00C00022"/>
    <w:rsid w:val="00C000B2"/>
    <w:rsid w:val="00C000BD"/>
    <w:rsid w:val="00C000D1"/>
    <w:rsid w:val="00C001E9"/>
    <w:rsid w:val="00C004A4"/>
    <w:rsid w:val="00C0080B"/>
    <w:rsid w:val="00C00FE1"/>
    <w:rsid w:val="00C00FF2"/>
    <w:rsid w:val="00C01004"/>
    <w:rsid w:val="00C0116F"/>
    <w:rsid w:val="00C015B8"/>
    <w:rsid w:val="00C017D3"/>
    <w:rsid w:val="00C018AD"/>
    <w:rsid w:val="00C018EA"/>
    <w:rsid w:val="00C01C67"/>
    <w:rsid w:val="00C01E61"/>
    <w:rsid w:val="00C01FDA"/>
    <w:rsid w:val="00C02179"/>
    <w:rsid w:val="00C025E5"/>
    <w:rsid w:val="00C025F0"/>
    <w:rsid w:val="00C02907"/>
    <w:rsid w:val="00C02E24"/>
    <w:rsid w:val="00C02E70"/>
    <w:rsid w:val="00C02EB0"/>
    <w:rsid w:val="00C03157"/>
    <w:rsid w:val="00C03219"/>
    <w:rsid w:val="00C03280"/>
    <w:rsid w:val="00C034EC"/>
    <w:rsid w:val="00C03557"/>
    <w:rsid w:val="00C03823"/>
    <w:rsid w:val="00C0395E"/>
    <w:rsid w:val="00C03B47"/>
    <w:rsid w:val="00C03C87"/>
    <w:rsid w:val="00C04100"/>
    <w:rsid w:val="00C042E5"/>
    <w:rsid w:val="00C046D4"/>
    <w:rsid w:val="00C047A2"/>
    <w:rsid w:val="00C04CCC"/>
    <w:rsid w:val="00C04D32"/>
    <w:rsid w:val="00C04F03"/>
    <w:rsid w:val="00C05095"/>
    <w:rsid w:val="00C05211"/>
    <w:rsid w:val="00C052CD"/>
    <w:rsid w:val="00C05410"/>
    <w:rsid w:val="00C054B9"/>
    <w:rsid w:val="00C0557A"/>
    <w:rsid w:val="00C0570A"/>
    <w:rsid w:val="00C05ACC"/>
    <w:rsid w:val="00C06058"/>
    <w:rsid w:val="00C06466"/>
    <w:rsid w:val="00C066AD"/>
    <w:rsid w:val="00C0676A"/>
    <w:rsid w:val="00C068DB"/>
    <w:rsid w:val="00C06C46"/>
    <w:rsid w:val="00C06DAA"/>
    <w:rsid w:val="00C06E7C"/>
    <w:rsid w:val="00C06FBA"/>
    <w:rsid w:val="00C0713D"/>
    <w:rsid w:val="00C071AC"/>
    <w:rsid w:val="00C071C7"/>
    <w:rsid w:val="00C072AD"/>
    <w:rsid w:val="00C0749B"/>
    <w:rsid w:val="00C0798B"/>
    <w:rsid w:val="00C079A3"/>
    <w:rsid w:val="00C1001D"/>
    <w:rsid w:val="00C10020"/>
    <w:rsid w:val="00C1003A"/>
    <w:rsid w:val="00C100F2"/>
    <w:rsid w:val="00C10290"/>
    <w:rsid w:val="00C103E0"/>
    <w:rsid w:val="00C1040D"/>
    <w:rsid w:val="00C108BB"/>
    <w:rsid w:val="00C10B94"/>
    <w:rsid w:val="00C10D0A"/>
    <w:rsid w:val="00C10D12"/>
    <w:rsid w:val="00C10F79"/>
    <w:rsid w:val="00C113E2"/>
    <w:rsid w:val="00C11496"/>
    <w:rsid w:val="00C11BDD"/>
    <w:rsid w:val="00C11CAD"/>
    <w:rsid w:val="00C11D52"/>
    <w:rsid w:val="00C11E2F"/>
    <w:rsid w:val="00C11F3A"/>
    <w:rsid w:val="00C120AB"/>
    <w:rsid w:val="00C12301"/>
    <w:rsid w:val="00C123F4"/>
    <w:rsid w:val="00C12433"/>
    <w:rsid w:val="00C124DC"/>
    <w:rsid w:val="00C127B5"/>
    <w:rsid w:val="00C1284E"/>
    <w:rsid w:val="00C1286D"/>
    <w:rsid w:val="00C12A96"/>
    <w:rsid w:val="00C12C23"/>
    <w:rsid w:val="00C12E2A"/>
    <w:rsid w:val="00C12EAA"/>
    <w:rsid w:val="00C135C4"/>
    <w:rsid w:val="00C135DF"/>
    <w:rsid w:val="00C137B6"/>
    <w:rsid w:val="00C138B5"/>
    <w:rsid w:val="00C139B6"/>
    <w:rsid w:val="00C13A36"/>
    <w:rsid w:val="00C13A3C"/>
    <w:rsid w:val="00C13B1C"/>
    <w:rsid w:val="00C13C88"/>
    <w:rsid w:val="00C1473B"/>
    <w:rsid w:val="00C14755"/>
    <w:rsid w:val="00C1483A"/>
    <w:rsid w:val="00C148E2"/>
    <w:rsid w:val="00C1495E"/>
    <w:rsid w:val="00C14FB2"/>
    <w:rsid w:val="00C1510B"/>
    <w:rsid w:val="00C152BC"/>
    <w:rsid w:val="00C15347"/>
    <w:rsid w:val="00C153A3"/>
    <w:rsid w:val="00C15444"/>
    <w:rsid w:val="00C15858"/>
    <w:rsid w:val="00C15A84"/>
    <w:rsid w:val="00C15B7C"/>
    <w:rsid w:val="00C15BF0"/>
    <w:rsid w:val="00C15DD0"/>
    <w:rsid w:val="00C15E23"/>
    <w:rsid w:val="00C160B0"/>
    <w:rsid w:val="00C1626C"/>
    <w:rsid w:val="00C16426"/>
    <w:rsid w:val="00C166DC"/>
    <w:rsid w:val="00C16F61"/>
    <w:rsid w:val="00C1732A"/>
    <w:rsid w:val="00C17475"/>
    <w:rsid w:val="00C17811"/>
    <w:rsid w:val="00C179C3"/>
    <w:rsid w:val="00C17B5C"/>
    <w:rsid w:val="00C17C2F"/>
    <w:rsid w:val="00C17D7B"/>
    <w:rsid w:val="00C17E74"/>
    <w:rsid w:val="00C202A5"/>
    <w:rsid w:val="00C202C3"/>
    <w:rsid w:val="00C20372"/>
    <w:rsid w:val="00C204D6"/>
    <w:rsid w:val="00C204F6"/>
    <w:rsid w:val="00C20530"/>
    <w:rsid w:val="00C205EA"/>
    <w:rsid w:val="00C2063F"/>
    <w:rsid w:val="00C207CA"/>
    <w:rsid w:val="00C20801"/>
    <w:rsid w:val="00C209DE"/>
    <w:rsid w:val="00C20B5B"/>
    <w:rsid w:val="00C20B63"/>
    <w:rsid w:val="00C20B8D"/>
    <w:rsid w:val="00C20C8D"/>
    <w:rsid w:val="00C20CC9"/>
    <w:rsid w:val="00C2131B"/>
    <w:rsid w:val="00C213F4"/>
    <w:rsid w:val="00C21463"/>
    <w:rsid w:val="00C21810"/>
    <w:rsid w:val="00C21829"/>
    <w:rsid w:val="00C219EE"/>
    <w:rsid w:val="00C21C2B"/>
    <w:rsid w:val="00C21C84"/>
    <w:rsid w:val="00C21D6B"/>
    <w:rsid w:val="00C21E9B"/>
    <w:rsid w:val="00C21F1C"/>
    <w:rsid w:val="00C2240A"/>
    <w:rsid w:val="00C2257B"/>
    <w:rsid w:val="00C225AC"/>
    <w:rsid w:val="00C2286E"/>
    <w:rsid w:val="00C22977"/>
    <w:rsid w:val="00C22A02"/>
    <w:rsid w:val="00C22B36"/>
    <w:rsid w:val="00C22DEA"/>
    <w:rsid w:val="00C22F1A"/>
    <w:rsid w:val="00C231B4"/>
    <w:rsid w:val="00C23405"/>
    <w:rsid w:val="00C238D5"/>
    <w:rsid w:val="00C239D4"/>
    <w:rsid w:val="00C23A37"/>
    <w:rsid w:val="00C23DD6"/>
    <w:rsid w:val="00C23EB0"/>
    <w:rsid w:val="00C2410F"/>
    <w:rsid w:val="00C24531"/>
    <w:rsid w:val="00C24691"/>
    <w:rsid w:val="00C2486F"/>
    <w:rsid w:val="00C24A51"/>
    <w:rsid w:val="00C24CAA"/>
    <w:rsid w:val="00C24DD1"/>
    <w:rsid w:val="00C24F4B"/>
    <w:rsid w:val="00C2533A"/>
    <w:rsid w:val="00C253FB"/>
    <w:rsid w:val="00C25925"/>
    <w:rsid w:val="00C25A59"/>
    <w:rsid w:val="00C25B91"/>
    <w:rsid w:val="00C2613A"/>
    <w:rsid w:val="00C26148"/>
    <w:rsid w:val="00C26216"/>
    <w:rsid w:val="00C26509"/>
    <w:rsid w:val="00C26708"/>
    <w:rsid w:val="00C2674C"/>
    <w:rsid w:val="00C267F9"/>
    <w:rsid w:val="00C26A3E"/>
    <w:rsid w:val="00C26B47"/>
    <w:rsid w:val="00C26F6E"/>
    <w:rsid w:val="00C26FF0"/>
    <w:rsid w:val="00C27039"/>
    <w:rsid w:val="00C2707C"/>
    <w:rsid w:val="00C27093"/>
    <w:rsid w:val="00C27365"/>
    <w:rsid w:val="00C273CB"/>
    <w:rsid w:val="00C273D4"/>
    <w:rsid w:val="00C2750C"/>
    <w:rsid w:val="00C27873"/>
    <w:rsid w:val="00C27904"/>
    <w:rsid w:val="00C27A88"/>
    <w:rsid w:val="00C27C7D"/>
    <w:rsid w:val="00C27C99"/>
    <w:rsid w:val="00C27CC2"/>
    <w:rsid w:val="00C27F24"/>
    <w:rsid w:val="00C27F9F"/>
    <w:rsid w:val="00C27FED"/>
    <w:rsid w:val="00C30049"/>
    <w:rsid w:val="00C3056C"/>
    <w:rsid w:val="00C306A2"/>
    <w:rsid w:val="00C30773"/>
    <w:rsid w:val="00C30775"/>
    <w:rsid w:val="00C30886"/>
    <w:rsid w:val="00C3092C"/>
    <w:rsid w:val="00C30AAA"/>
    <w:rsid w:val="00C30B6E"/>
    <w:rsid w:val="00C30C8C"/>
    <w:rsid w:val="00C30CF2"/>
    <w:rsid w:val="00C31319"/>
    <w:rsid w:val="00C31458"/>
    <w:rsid w:val="00C31878"/>
    <w:rsid w:val="00C318C9"/>
    <w:rsid w:val="00C318E9"/>
    <w:rsid w:val="00C31C87"/>
    <w:rsid w:val="00C31D65"/>
    <w:rsid w:val="00C320BE"/>
    <w:rsid w:val="00C32507"/>
    <w:rsid w:val="00C326F6"/>
    <w:rsid w:val="00C32981"/>
    <w:rsid w:val="00C32A12"/>
    <w:rsid w:val="00C32CDC"/>
    <w:rsid w:val="00C32CF6"/>
    <w:rsid w:val="00C32DE3"/>
    <w:rsid w:val="00C330CE"/>
    <w:rsid w:val="00C33284"/>
    <w:rsid w:val="00C332D9"/>
    <w:rsid w:val="00C332EA"/>
    <w:rsid w:val="00C33334"/>
    <w:rsid w:val="00C33455"/>
    <w:rsid w:val="00C33619"/>
    <w:rsid w:val="00C336C1"/>
    <w:rsid w:val="00C33A07"/>
    <w:rsid w:val="00C33BB4"/>
    <w:rsid w:val="00C33E65"/>
    <w:rsid w:val="00C34232"/>
    <w:rsid w:val="00C34248"/>
    <w:rsid w:val="00C343FD"/>
    <w:rsid w:val="00C34638"/>
    <w:rsid w:val="00C346B5"/>
    <w:rsid w:val="00C34A5A"/>
    <w:rsid w:val="00C353EF"/>
    <w:rsid w:val="00C3542C"/>
    <w:rsid w:val="00C3557F"/>
    <w:rsid w:val="00C3568B"/>
    <w:rsid w:val="00C3580C"/>
    <w:rsid w:val="00C35BBF"/>
    <w:rsid w:val="00C35DA9"/>
    <w:rsid w:val="00C35E24"/>
    <w:rsid w:val="00C35E52"/>
    <w:rsid w:val="00C36165"/>
    <w:rsid w:val="00C362D6"/>
    <w:rsid w:val="00C36643"/>
    <w:rsid w:val="00C367C6"/>
    <w:rsid w:val="00C367C9"/>
    <w:rsid w:val="00C36827"/>
    <w:rsid w:val="00C36850"/>
    <w:rsid w:val="00C36997"/>
    <w:rsid w:val="00C36C02"/>
    <w:rsid w:val="00C36C64"/>
    <w:rsid w:val="00C36DC6"/>
    <w:rsid w:val="00C36FF4"/>
    <w:rsid w:val="00C37119"/>
    <w:rsid w:val="00C3720E"/>
    <w:rsid w:val="00C374E4"/>
    <w:rsid w:val="00C3765E"/>
    <w:rsid w:val="00C3791B"/>
    <w:rsid w:val="00C37A20"/>
    <w:rsid w:val="00C37A64"/>
    <w:rsid w:val="00C37E60"/>
    <w:rsid w:val="00C37FB8"/>
    <w:rsid w:val="00C4017C"/>
    <w:rsid w:val="00C401AD"/>
    <w:rsid w:val="00C40323"/>
    <w:rsid w:val="00C40729"/>
    <w:rsid w:val="00C40A1E"/>
    <w:rsid w:val="00C40BC7"/>
    <w:rsid w:val="00C40E1F"/>
    <w:rsid w:val="00C41407"/>
    <w:rsid w:val="00C4148A"/>
    <w:rsid w:val="00C414E1"/>
    <w:rsid w:val="00C415DE"/>
    <w:rsid w:val="00C41706"/>
    <w:rsid w:val="00C41D4E"/>
    <w:rsid w:val="00C41FB9"/>
    <w:rsid w:val="00C422AD"/>
    <w:rsid w:val="00C422E2"/>
    <w:rsid w:val="00C425C2"/>
    <w:rsid w:val="00C42651"/>
    <w:rsid w:val="00C4275E"/>
    <w:rsid w:val="00C429D2"/>
    <w:rsid w:val="00C42BB8"/>
    <w:rsid w:val="00C42E2D"/>
    <w:rsid w:val="00C42FCE"/>
    <w:rsid w:val="00C42FD4"/>
    <w:rsid w:val="00C430EE"/>
    <w:rsid w:val="00C43168"/>
    <w:rsid w:val="00C435C4"/>
    <w:rsid w:val="00C4367B"/>
    <w:rsid w:val="00C43D4E"/>
    <w:rsid w:val="00C43E7D"/>
    <w:rsid w:val="00C44242"/>
    <w:rsid w:val="00C44420"/>
    <w:rsid w:val="00C4451F"/>
    <w:rsid w:val="00C44756"/>
    <w:rsid w:val="00C44788"/>
    <w:rsid w:val="00C447C9"/>
    <w:rsid w:val="00C4482C"/>
    <w:rsid w:val="00C449DF"/>
    <w:rsid w:val="00C44A2E"/>
    <w:rsid w:val="00C44A4C"/>
    <w:rsid w:val="00C44D65"/>
    <w:rsid w:val="00C44F2E"/>
    <w:rsid w:val="00C44FE1"/>
    <w:rsid w:val="00C4556C"/>
    <w:rsid w:val="00C45926"/>
    <w:rsid w:val="00C45932"/>
    <w:rsid w:val="00C45E68"/>
    <w:rsid w:val="00C45F72"/>
    <w:rsid w:val="00C45F8E"/>
    <w:rsid w:val="00C46244"/>
    <w:rsid w:val="00C46263"/>
    <w:rsid w:val="00C46291"/>
    <w:rsid w:val="00C466D4"/>
    <w:rsid w:val="00C466DD"/>
    <w:rsid w:val="00C469FA"/>
    <w:rsid w:val="00C46CDB"/>
    <w:rsid w:val="00C46E9A"/>
    <w:rsid w:val="00C473DA"/>
    <w:rsid w:val="00C47850"/>
    <w:rsid w:val="00C47899"/>
    <w:rsid w:val="00C47A8A"/>
    <w:rsid w:val="00C47D06"/>
    <w:rsid w:val="00C47E0D"/>
    <w:rsid w:val="00C47EA7"/>
    <w:rsid w:val="00C5045F"/>
    <w:rsid w:val="00C504B5"/>
    <w:rsid w:val="00C50775"/>
    <w:rsid w:val="00C5086C"/>
    <w:rsid w:val="00C50B10"/>
    <w:rsid w:val="00C50B2B"/>
    <w:rsid w:val="00C50B6A"/>
    <w:rsid w:val="00C50BA4"/>
    <w:rsid w:val="00C50D96"/>
    <w:rsid w:val="00C50FC8"/>
    <w:rsid w:val="00C51013"/>
    <w:rsid w:val="00C51088"/>
    <w:rsid w:val="00C510A6"/>
    <w:rsid w:val="00C5128C"/>
    <w:rsid w:val="00C5130E"/>
    <w:rsid w:val="00C513B7"/>
    <w:rsid w:val="00C513C1"/>
    <w:rsid w:val="00C51646"/>
    <w:rsid w:val="00C5164A"/>
    <w:rsid w:val="00C518BD"/>
    <w:rsid w:val="00C51B54"/>
    <w:rsid w:val="00C51D2A"/>
    <w:rsid w:val="00C51D92"/>
    <w:rsid w:val="00C51EED"/>
    <w:rsid w:val="00C51F28"/>
    <w:rsid w:val="00C51FF6"/>
    <w:rsid w:val="00C521E0"/>
    <w:rsid w:val="00C52773"/>
    <w:rsid w:val="00C52AD4"/>
    <w:rsid w:val="00C52C7A"/>
    <w:rsid w:val="00C5321F"/>
    <w:rsid w:val="00C53662"/>
    <w:rsid w:val="00C5396F"/>
    <w:rsid w:val="00C53A9B"/>
    <w:rsid w:val="00C53B0D"/>
    <w:rsid w:val="00C5404B"/>
    <w:rsid w:val="00C540CC"/>
    <w:rsid w:val="00C54770"/>
    <w:rsid w:val="00C54A0F"/>
    <w:rsid w:val="00C54ACD"/>
    <w:rsid w:val="00C550C8"/>
    <w:rsid w:val="00C55496"/>
    <w:rsid w:val="00C55555"/>
    <w:rsid w:val="00C5555D"/>
    <w:rsid w:val="00C558EE"/>
    <w:rsid w:val="00C559D0"/>
    <w:rsid w:val="00C55ABF"/>
    <w:rsid w:val="00C55C4A"/>
    <w:rsid w:val="00C55DFA"/>
    <w:rsid w:val="00C55FD1"/>
    <w:rsid w:val="00C5613E"/>
    <w:rsid w:val="00C5624C"/>
    <w:rsid w:val="00C562B4"/>
    <w:rsid w:val="00C562CF"/>
    <w:rsid w:val="00C563B1"/>
    <w:rsid w:val="00C564EB"/>
    <w:rsid w:val="00C56942"/>
    <w:rsid w:val="00C5699B"/>
    <w:rsid w:val="00C56C09"/>
    <w:rsid w:val="00C56C2D"/>
    <w:rsid w:val="00C57390"/>
    <w:rsid w:val="00C57482"/>
    <w:rsid w:val="00C575F4"/>
    <w:rsid w:val="00C57AB3"/>
    <w:rsid w:val="00C57ABA"/>
    <w:rsid w:val="00C57FB9"/>
    <w:rsid w:val="00C60035"/>
    <w:rsid w:val="00C6022F"/>
    <w:rsid w:val="00C603DA"/>
    <w:rsid w:val="00C604BD"/>
    <w:rsid w:val="00C606AD"/>
    <w:rsid w:val="00C607DF"/>
    <w:rsid w:val="00C60825"/>
    <w:rsid w:val="00C60D43"/>
    <w:rsid w:val="00C60DC5"/>
    <w:rsid w:val="00C614B0"/>
    <w:rsid w:val="00C614EE"/>
    <w:rsid w:val="00C61767"/>
    <w:rsid w:val="00C61919"/>
    <w:rsid w:val="00C61D79"/>
    <w:rsid w:val="00C61DA0"/>
    <w:rsid w:val="00C61E42"/>
    <w:rsid w:val="00C61FBD"/>
    <w:rsid w:val="00C6213D"/>
    <w:rsid w:val="00C6222F"/>
    <w:rsid w:val="00C623CC"/>
    <w:rsid w:val="00C6246A"/>
    <w:rsid w:val="00C624AA"/>
    <w:rsid w:val="00C62937"/>
    <w:rsid w:val="00C62938"/>
    <w:rsid w:val="00C62B75"/>
    <w:rsid w:val="00C62E8D"/>
    <w:rsid w:val="00C63275"/>
    <w:rsid w:val="00C636EA"/>
    <w:rsid w:val="00C63A0A"/>
    <w:rsid w:val="00C63AB8"/>
    <w:rsid w:val="00C63E90"/>
    <w:rsid w:val="00C64087"/>
    <w:rsid w:val="00C64295"/>
    <w:rsid w:val="00C64481"/>
    <w:rsid w:val="00C64519"/>
    <w:rsid w:val="00C64BE6"/>
    <w:rsid w:val="00C64D83"/>
    <w:rsid w:val="00C64DA2"/>
    <w:rsid w:val="00C65031"/>
    <w:rsid w:val="00C653E2"/>
    <w:rsid w:val="00C65847"/>
    <w:rsid w:val="00C65C95"/>
    <w:rsid w:val="00C65ED7"/>
    <w:rsid w:val="00C65F2B"/>
    <w:rsid w:val="00C6631B"/>
    <w:rsid w:val="00C66357"/>
    <w:rsid w:val="00C665A2"/>
    <w:rsid w:val="00C6663B"/>
    <w:rsid w:val="00C66662"/>
    <w:rsid w:val="00C667CD"/>
    <w:rsid w:val="00C66917"/>
    <w:rsid w:val="00C66976"/>
    <w:rsid w:val="00C6698F"/>
    <w:rsid w:val="00C66D36"/>
    <w:rsid w:val="00C66EE5"/>
    <w:rsid w:val="00C67364"/>
    <w:rsid w:val="00C674AD"/>
    <w:rsid w:val="00C676B5"/>
    <w:rsid w:val="00C6774A"/>
    <w:rsid w:val="00C6792E"/>
    <w:rsid w:val="00C67A29"/>
    <w:rsid w:val="00C67CFC"/>
    <w:rsid w:val="00C67DE3"/>
    <w:rsid w:val="00C67EB6"/>
    <w:rsid w:val="00C67EE6"/>
    <w:rsid w:val="00C7028B"/>
    <w:rsid w:val="00C70395"/>
    <w:rsid w:val="00C70747"/>
    <w:rsid w:val="00C70A92"/>
    <w:rsid w:val="00C70E26"/>
    <w:rsid w:val="00C71403"/>
    <w:rsid w:val="00C715DA"/>
    <w:rsid w:val="00C71DDE"/>
    <w:rsid w:val="00C72021"/>
    <w:rsid w:val="00C720EC"/>
    <w:rsid w:val="00C723F5"/>
    <w:rsid w:val="00C7284B"/>
    <w:rsid w:val="00C72A78"/>
    <w:rsid w:val="00C72AD2"/>
    <w:rsid w:val="00C72B57"/>
    <w:rsid w:val="00C72EB6"/>
    <w:rsid w:val="00C72F4F"/>
    <w:rsid w:val="00C73029"/>
    <w:rsid w:val="00C73177"/>
    <w:rsid w:val="00C73341"/>
    <w:rsid w:val="00C733BC"/>
    <w:rsid w:val="00C73415"/>
    <w:rsid w:val="00C73786"/>
    <w:rsid w:val="00C73D0A"/>
    <w:rsid w:val="00C73F29"/>
    <w:rsid w:val="00C73F37"/>
    <w:rsid w:val="00C740DD"/>
    <w:rsid w:val="00C74CDF"/>
    <w:rsid w:val="00C74F84"/>
    <w:rsid w:val="00C75285"/>
    <w:rsid w:val="00C75377"/>
    <w:rsid w:val="00C757CD"/>
    <w:rsid w:val="00C75ACF"/>
    <w:rsid w:val="00C75CAD"/>
    <w:rsid w:val="00C75EB9"/>
    <w:rsid w:val="00C7623B"/>
    <w:rsid w:val="00C764C9"/>
    <w:rsid w:val="00C7665C"/>
    <w:rsid w:val="00C7678A"/>
    <w:rsid w:val="00C76958"/>
    <w:rsid w:val="00C76DC1"/>
    <w:rsid w:val="00C76EFB"/>
    <w:rsid w:val="00C77043"/>
    <w:rsid w:val="00C771EB"/>
    <w:rsid w:val="00C77305"/>
    <w:rsid w:val="00C77F1F"/>
    <w:rsid w:val="00C801B3"/>
    <w:rsid w:val="00C80200"/>
    <w:rsid w:val="00C80394"/>
    <w:rsid w:val="00C8044D"/>
    <w:rsid w:val="00C80468"/>
    <w:rsid w:val="00C804EC"/>
    <w:rsid w:val="00C80850"/>
    <w:rsid w:val="00C80BAF"/>
    <w:rsid w:val="00C80D07"/>
    <w:rsid w:val="00C80F39"/>
    <w:rsid w:val="00C814DF"/>
    <w:rsid w:val="00C817AD"/>
    <w:rsid w:val="00C81C64"/>
    <w:rsid w:val="00C81CB9"/>
    <w:rsid w:val="00C81FC1"/>
    <w:rsid w:val="00C81FD7"/>
    <w:rsid w:val="00C8228D"/>
    <w:rsid w:val="00C82329"/>
    <w:rsid w:val="00C8243D"/>
    <w:rsid w:val="00C8248A"/>
    <w:rsid w:val="00C8260B"/>
    <w:rsid w:val="00C8271E"/>
    <w:rsid w:val="00C82759"/>
    <w:rsid w:val="00C82828"/>
    <w:rsid w:val="00C82867"/>
    <w:rsid w:val="00C829F6"/>
    <w:rsid w:val="00C82AF0"/>
    <w:rsid w:val="00C82C14"/>
    <w:rsid w:val="00C82C54"/>
    <w:rsid w:val="00C82E71"/>
    <w:rsid w:val="00C83122"/>
    <w:rsid w:val="00C8322F"/>
    <w:rsid w:val="00C8347B"/>
    <w:rsid w:val="00C835EC"/>
    <w:rsid w:val="00C8372A"/>
    <w:rsid w:val="00C838B2"/>
    <w:rsid w:val="00C83ACA"/>
    <w:rsid w:val="00C83BA2"/>
    <w:rsid w:val="00C8410C"/>
    <w:rsid w:val="00C84565"/>
    <w:rsid w:val="00C846C8"/>
    <w:rsid w:val="00C849A3"/>
    <w:rsid w:val="00C84BF2"/>
    <w:rsid w:val="00C84C3E"/>
    <w:rsid w:val="00C84CFA"/>
    <w:rsid w:val="00C84DCA"/>
    <w:rsid w:val="00C85069"/>
    <w:rsid w:val="00C851C0"/>
    <w:rsid w:val="00C85421"/>
    <w:rsid w:val="00C85738"/>
    <w:rsid w:val="00C85CE0"/>
    <w:rsid w:val="00C85D7F"/>
    <w:rsid w:val="00C85E62"/>
    <w:rsid w:val="00C860DF"/>
    <w:rsid w:val="00C861AC"/>
    <w:rsid w:val="00C867B3"/>
    <w:rsid w:val="00C86A1A"/>
    <w:rsid w:val="00C86A5C"/>
    <w:rsid w:val="00C86B93"/>
    <w:rsid w:val="00C86BDF"/>
    <w:rsid w:val="00C86E40"/>
    <w:rsid w:val="00C872F1"/>
    <w:rsid w:val="00C8733A"/>
    <w:rsid w:val="00C87595"/>
    <w:rsid w:val="00C87978"/>
    <w:rsid w:val="00C87D2B"/>
    <w:rsid w:val="00C90577"/>
    <w:rsid w:val="00C90580"/>
    <w:rsid w:val="00C90844"/>
    <w:rsid w:val="00C90E37"/>
    <w:rsid w:val="00C90F36"/>
    <w:rsid w:val="00C91139"/>
    <w:rsid w:val="00C913B0"/>
    <w:rsid w:val="00C917C3"/>
    <w:rsid w:val="00C91A04"/>
    <w:rsid w:val="00C91B0D"/>
    <w:rsid w:val="00C91D0C"/>
    <w:rsid w:val="00C91ED8"/>
    <w:rsid w:val="00C92109"/>
    <w:rsid w:val="00C924CC"/>
    <w:rsid w:val="00C92532"/>
    <w:rsid w:val="00C925E4"/>
    <w:rsid w:val="00C9269A"/>
    <w:rsid w:val="00C92982"/>
    <w:rsid w:val="00C92B2D"/>
    <w:rsid w:val="00C92C8A"/>
    <w:rsid w:val="00C92CD5"/>
    <w:rsid w:val="00C92DA4"/>
    <w:rsid w:val="00C92DA7"/>
    <w:rsid w:val="00C92E85"/>
    <w:rsid w:val="00C93295"/>
    <w:rsid w:val="00C93574"/>
    <w:rsid w:val="00C9372C"/>
    <w:rsid w:val="00C939C9"/>
    <w:rsid w:val="00C93CFE"/>
    <w:rsid w:val="00C93EC1"/>
    <w:rsid w:val="00C94243"/>
    <w:rsid w:val="00C9428B"/>
    <w:rsid w:val="00C942BC"/>
    <w:rsid w:val="00C942F0"/>
    <w:rsid w:val="00C943CC"/>
    <w:rsid w:val="00C94683"/>
    <w:rsid w:val="00C94720"/>
    <w:rsid w:val="00C949D7"/>
    <w:rsid w:val="00C94B0E"/>
    <w:rsid w:val="00C94CEB"/>
    <w:rsid w:val="00C94F39"/>
    <w:rsid w:val="00C950DC"/>
    <w:rsid w:val="00C9514A"/>
    <w:rsid w:val="00C95194"/>
    <w:rsid w:val="00C95AB4"/>
    <w:rsid w:val="00C95B27"/>
    <w:rsid w:val="00C95C1C"/>
    <w:rsid w:val="00C95D00"/>
    <w:rsid w:val="00C9609C"/>
    <w:rsid w:val="00C9618C"/>
    <w:rsid w:val="00C96282"/>
    <w:rsid w:val="00C96330"/>
    <w:rsid w:val="00C9633B"/>
    <w:rsid w:val="00C9647F"/>
    <w:rsid w:val="00C96701"/>
    <w:rsid w:val="00C9682E"/>
    <w:rsid w:val="00C96A58"/>
    <w:rsid w:val="00C96C92"/>
    <w:rsid w:val="00C96E3F"/>
    <w:rsid w:val="00C96E45"/>
    <w:rsid w:val="00C96FDF"/>
    <w:rsid w:val="00C97059"/>
    <w:rsid w:val="00C9737D"/>
    <w:rsid w:val="00C975BF"/>
    <w:rsid w:val="00C9773A"/>
    <w:rsid w:val="00C97805"/>
    <w:rsid w:val="00C97B76"/>
    <w:rsid w:val="00C97DF5"/>
    <w:rsid w:val="00C97EB9"/>
    <w:rsid w:val="00C97EFA"/>
    <w:rsid w:val="00CA0206"/>
    <w:rsid w:val="00CA0478"/>
    <w:rsid w:val="00CA0555"/>
    <w:rsid w:val="00CA0806"/>
    <w:rsid w:val="00CA0963"/>
    <w:rsid w:val="00CA0CD7"/>
    <w:rsid w:val="00CA0CDA"/>
    <w:rsid w:val="00CA109F"/>
    <w:rsid w:val="00CA160F"/>
    <w:rsid w:val="00CA175A"/>
    <w:rsid w:val="00CA1877"/>
    <w:rsid w:val="00CA1940"/>
    <w:rsid w:val="00CA1BE7"/>
    <w:rsid w:val="00CA1C0E"/>
    <w:rsid w:val="00CA1CE4"/>
    <w:rsid w:val="00CA1F11"/>
    <w:rsid w:val="00CA2325"/>
    <w:rsid w:val="00CA286A"/>
    <w:rsid w:val="00CA29F6"/>
    <w:rsid w:val="00CA2C4D"/>
    <w:rsid w:val="00CA2C62"/>
    <w:rsid w:val="00CA2D20"/>
    <w:rsid w:val="00CA2E2A"/>
    <w:rsid w:val="00CA2F40"/>
    <w:rsid w:val="00CA345A"/>
    <w:rsid w:val="00CA36D6"/>
    <w:rsid w:val="00CA3766"/>
    <w:rsid w:val="00CA3806"/>
    <w:rsid w:val="00CA384F"/>
    <w:rsid w:val="00CA3A82"/>
    <w:rsid w:val="00CA3AEA"/>
    <w:rsid w:val="00CA42C5"/>
    <w:rsid w:val="00CA4589"/>
    <w:rsid w:val="00CA462C"/>
    <w:rsid w:val="00CA46D4"/>
    <w:rsid w:val="00CA470F"/>
    <w:rsid w:val="00CA4885"/>
    <w:rsid w:val="00CA492C"/>
    <w:rsid w:val="00CA4F2F"/>
    <w:rsid w:val="00CA519F"/>
    <w:rsid w:val="00CA51E3"/>
    <w:rsid w:val="00CA537B"/>
    <w:rsid w:val="00CA5628"/>
    <w:rsid w:val="00CA57D2"/>
    <w:rsid w:val="00CA5AC3"/>
    <w:rsid w:val="00CA5C69"/>
    <w:rsid w:val="00CA5CAA"/>
    <w:rsid w:val="00CA6240"/>
    <w:rsid w:val="00CA624E"/>
    <w:rsid w:val="00CA6377"/>
    <w:rsid w:val="00CA65DE"/>
    <w:rsid w:val="00CA662E"/>
    <w:rsid w:val="00CA6645"/>
    <w:rsid w:val="00CA6891"/>
    <w:rsid w:val="00CA6B04"/>
    <w:rsid w:val="00CA77C2"/>
    <w:rsid w:val="00CA7890"/>
    <w:rsid w:val="00CA79B4"/>
    <w:rsid w:val="00CA7A52"/>
    <w:rsid w:val="00CA7A8E"/>
    <w:rsid w:val="00CA7E21"/>
    <w:rsid w:val="00CA7EE9"/>
    <w:rsid w:val="00CA7F89"/>
    <w:rsid w:val="00CB0067"/>
    <w:rsid w:val="00CB00B5"/>
    <w:rsid w:val="00CB0159"/>
    <w:rsid w:val="00CB03AA"/>
    <w:rsid w:val="00CB03D4"/>
    <w:rsid w:val="00CB07AB"/>
    <w:rsid w:val="00CB08CB"/>
    <w:rsid w:val="00CB0B62"/>
    <w:rsid w:val="00CB1435"/>
    <w:rsid w:val="00CB16DD"/>
    <w:rsid w:val="00CB1894"/>
    <w:rsid w:val="00CB191B"/>
    <w:rsid w:val="00CB1BCB"/>
    <w:rsid w:val="00CB1CDB"/>
    <w:rsid w:val="00CB1D49"/>
    <w:rsid w:val="00CB1D92"/>
    <w:rsid w:val="00CB1FBD"/>
    <w:rsid w:val="00CB20C7"/>
    <w:rsid w:val="00CB2285"/>
    <w:rsid w:val="00CB23B2"/>
    <w:rsid w:val="00CB248E"/>
    <w:rsid w:val="00CB258B"/>
    <w:rsid w:val="00CB29F7"/>
    <w:rsid w:val="00CB2B4E"/>
    <w:rsid w:val="00CB2C8D"/>
    <w:rsid w:val="00CB2C9B"/>
    <w:rsid w:val="00CB2D89"/>
    <w:rsid w:val="00CB2FB5"/>
    <w:rsid w:val="00CB2FF9"/>
    <w:rsid w:val="00CB30E5"/>
    <w:rsid w:val="00CB3133"/>
    <w:rsid w:val="00CB31D1"/>
    <w:rsid w:val="00CB372B"/>
    <w:rsid w:val="00CB3BA6"/>
    <w:rsid w:val="00CB3BFC"/>
    <w:rsid w:val="00CB3C41"/>
    <w:rsid w:val="00CB3E25"/>
    <w:rsid w:val="00CB3F65"/>
    <w:rsid w:val="00CB4021"/>
    <w:rsid w:val="00CB427B"/>
    <w:rsid w:val="00CB4469"/>
    <w:rsid w:val="00CB464E"/>
    <w:rsid w:val="00CB472E"/>
    <w:rsid w:val="00CB4798"/>
    <w:rsid w:val="00CB489B"/>
    <w:rsid w:val="00CB49A3"/>
    <w:rsid w:val="00CB4E31"/>
    <w:rsid w:val="00CB4E3C"/>
    <w:rsid w:val="00CB4ED3"/>
    <w:rsid w:val="00CB55C7"/>
    <w:rsid w:val="00CB56B3"/>
    <w:rsid w:val="00CB5B76"/>
    <w:rsid w:val="00CB5C30"/>
    <w:rsid w:val="00CB5CE9"/>
    <w:rsid w:val="00CB5D0D"/>
    <w:rsid w:val="00CB5D3A"/>
    <w:rsid w:val="00CB5DBC"/>
    <w:rsid w:val="00CB5F59"/>
    <w:rsid w:val="00CB61FB"/>
    <w:rsid w:val="00CB6423"/>
    <w:rsid w:val="00CB6457"/>
    <w:rsid w:val="00CB647E"/>
    <w:rsid w:val="00CB6AC9"/>
    <w:rsid w:val="00CB6C93"/>
    <w:rsid w:val="00CB6D61"/>
    <w:rsid w:val="00CB6DAA"/>
    <w:rsid w:val="00CB6F2B"/>
    <w:rsid w:val="00CB6F54"/>
    <w:rsid w:val="00CB7184"/>
    <w:rsid w:val="00CB760F"/>
    <w:rsid w:val="00CB7738"/>
    <w:rsid w:val="00CB7866"/>
    <w:rsid w:val="00CB795E"/>
    <w:rsid w:val="00CB79D0"/>
    <w:rsid w:val="00CB7A41"/>
    <w:rsid w:val="00CB7C8C"/>
    <w:rsid w:val="00CB7F0A"/>
    <w:rsid w:val="00CB7F36"/>
    <w:rsid w:val="00CC0049"/>
    <w:rsid w:val="00CC05B0"/>
    <w:rsid w:val="00CC0A3A"/>
    <w:rsid w:val="00CC0DB2"/>
    <w:rsid w:val="00CC1380"/>
    <w:rsid w:val="00CC1567"/>
    <w:rsid w:val="00CC1697"/>
    <w:rsid w:val="00CC18DE"/>
    <w:rsid w:val="00CC1DA0"/>
    <w:rsid w:val="00CC200C"/>
    <w:rsid w:val="00CC2397"/>
    <w:rsid w:val="00CC24BD"/>
    <w:rsid w:val="00CC27B7"/>
    <w:rsid w:val="00CC2AE2"/>
    <w:rsid w:val="00CC2DF6"/>
    <w:rsid w:val="00CC3094"/>
    <w:rsid w:val="00CC3099"/>
    <w:rsid w:val="00CC3388"/>
    <w:rsid w:val="00CC3722"/>
    <w:rsid w:val="00CC39B4"/>
    <w:rsid w:val="00CC41A4"/>
    <w:rsid w:val="00CC470E"/>
    <w:rsid w:val="00CC47FA"/>
    <w:rsid w:val="00CC4BBE"/>
    <w:rsid w:val="00CC4F87"/>
    <w:rsid w:val="00CC535A"/>
    <w:rsid w:val="00CC54A4"/>
    <w:rsid w:val="00CC54F4"/>
    <w:rsid w:val="00CC591B"/>
    <w:rsid w:val="00CC5AAB"/>
    <w:rsid w:val="00CC61A0"/>
    <w:rsid w:val="00CC63FD"/>
    <w:rsid w:val="00CC66B7"/>
    <w:rsid w:val="00CC6E38"/>
    <w:rsid w:val="00CC714A"/>
    <w:rsid w:val="00CC71E3"/>
    <w:rsid w:val="00CC7333"/>
    <w:rsid w:val="00CC75E6"/>
    <w:rsid w:val="00CC7612"/>
    <w:rsid w:val="00CC7887"/>
    <w:rsid w:val="00CC78A7"/>
    <w:rsid w:val="00CD03A7"/>
    <w:rsid w:val="00CD041E"/>
    <w:rsid w:val="00CD06BE"/>
    <w:rsid w:val="00CD070C"/>
    <w:rsid w:val="00CD0B5C"/>
    <w:rsid w:val="00CD0BA8"/>
    <w:rsid w:val="00CD0D9A"/>
    <w:rsid w:val="00CD0F8E"/>
    <w:rsid w:val="00CD10D8"/>
    <w:rsid w:val="00CD125D"/>
    <w:rsid w:val="00CD174D"/>
    <w:rsid w:val="00CD1AB0"/>
    <w:rsid w:val="00CD211B"/>
    <w:rsid w:val="00CD2306"/>
    <w:rsid w:val="00CD25EA"/>
    <w:rsid w:val="00CD2882"/>
    <w:rsid w:val="00CD2B14"/>
    <w:rsid w:val="00CD2C95"/>
    <w:rsid w:val="00CD2DE8"/>
    <w:rsid w:val="00CD2F19"/>
    <w:rsid w:val="00CD3760"/>
    <w:rsid w:val="00CD3CA4"/>
    <w:rsid w:val="00CD4145"/>
    <w:rsid w:val="00CD438B"/>
    <w:rsid w:val="00CD47F4"/>
    <w:rsid w:val="00CD484D"/>
    <w:rsid w:val="00CD4D29"/>
    <w:rsid w:val="00CD5261"/>
    <w:rsid w:val="00CD532A"/>
    <w:rsid w:val="00CD558B"/>
    <w:rsid w:val="00CD56E6"/>
    <w:rsid w:val="00CD593C"/>
    <w:rsid w:val="00CD5979"/>
    <w:rsid w:val="00CD5AAD"/>
    <w:rsid w:val="00CD5EA0"/>
    <w:rsid w:val="00CD619D"/>
    <w:rsid w:val="00CD62A8"/>
    <w:rsid w:val="00CD62D0"/>
    <w:rsid w:val="00CD6B2C"/>
    <w:rsid w:val="00CD6BE7"/>
    <w:rsid w:val="00CD6E49"/>
    <w:rsid w:val="00CD6FEB"/>
    <w:rsid w:val="00CD7779"/>
    <w:rsid w:val="00CD7819"/>
    <w:rsid w:val="00CD7A50"/>
    <w:rsid w:val="00CD7AC4"/>
    <w:rsid w:val="00CD7B47"/>
    <w:rsid w:val="00CD7F8B"/>
    <w:rsid w:val="00CE011D"/>
    <w:rsid w:val="00CE022C"/>
    <w:rsid w:val="00CE0286"/>
    <w:rsid w:val="00CE040D"/>
    <w:rsid w:val="00CE0432"/>
    <w:rsid w:val="00CE054B"/>
    <w:rsid w:val="00CE06B9"/>
    <w:rsid w:val="00CE07C3"/>
    <w:rsid w:val="00CE07D2"/>
    <w:rsid w:val="00CE0850"/>
    <w:rsid w:val="00CE08AD"/>
    <w:rsid w:val="00CE09C6"/>
    <w:rsid w:val="00CE0D08"/>
    <w:rsid w:val="00CE0E46"/>
    <w:rsid w:val="00CE0EFD"/>
    <w:rsid w:val="00CE0F85"/>
    <w:rsid w:val="00CE13DB"/>
    <w:rsid w:val="00CE1644"/>
    <w:rsid w:val="00CE16BC"/>
    <w:rsid w:val="00CE1713"/>
    <w:rsid w:val="00CE176D"/>
    <w:rsid w:val="00CE17E7"/>
    <w:rsid w:val="00CE1960"/>
    <w:rsid w:val="00CE1F25"/>
    <w:rsid w:val="00CE201C"/>
    <w:rsid w:val="00CE211B"/>
    <w:rsid w:val="00CE2244"/>
    <w:rsid w:val="00CE244F"/>
    <w:rsid w:val="00CE265C"/>
    <w:rsid w:val="00CE299E"/>
    <w:rsid w:val="00CE2FB5"/>
    <w:rsid w:val="00CE3003"/>
    <w:rsid w:val="00CE3027"/>
    <w:rsid w:val="00CE3658"/>
    <w:rsid w:val="00CE38DE"/>
    <w:rsid w:val="00CE3B30"/>
    <w:rsid w:val="00CE3B5E"/>
    <w:rsid w:val="00CE3BC4"/>
    <w:rsid w:val="00CE3C1A"/>
    <w:rsid w:val="00CE3D4F"/>
    <w:rsid w:val="00CE3ECB"/>
    <w:rsid w:val="00CE3F76"/>
    <w:rsid w:val="00CE41B9"/>
    <w:rsid w:val="00CE41F4"/>
    <w:rsid w:val="00CE47B5"/>
    <w:rsid w:val="00CE51A7"/>
    <w:rsid w:val="00CE52F3"/>
    <w:rsid w:val="00CE54C6"/>
    <w:rsid w:val="00CE5A0B"/>
    <w:rsid w:val="00CE5A85"/>
    <w:rsid w:val="00CE5BB9"/>
    <w:rsid w:val="00CE5CC7"/>
    <w:rsid w:val="00CE5CFB"/>
    <w:rsid w:val="00CE5DDF"/>
    <w:rsid w:val="00CE5F27"/>
    <w:rsid w:val="00CE659A"/>
    <w:rsid w:val="00CE6614"/>
    <w:rsid w:val="00CE6D73"/>
    <w:rsid w:val="00CE6DCD"/>
    <w:rsid w:val="00CE6DF2"/>
    <w:rsid w:val="00CE6EEB"/>
    <w:rsid w:val="00CE6EF7"/>
    <w:rsid w:val="00CE6F00"/>
    <w:rsid w:val="00CE6F2E"/>
    <w:rsid w:val="00CE735C"/>
    <w:rsid w:val="00CE745B"/>
    <w:rsid w:val="00CE7705"/>
    <w:rsid w:val="00CE79EB"/>
    <w:rsid w:val="00CE7BB6"/>
    <w:rsid w:val="00CE7D0E"/>
    <w:rsid w:val="00CE7F8B"/>
    <w:rsid w:val="00CE7FAC"/>
    <w:rsid w:val="00CF01A7"/>
    <w:rsid w:val="00CF0266"/>
    <w:rsid w:val="00CF0C17"/>
    <w:rsid w:val="00CF0E82"/>
    <w:rsid w:val="00CF175E"/>
    <w:rsid w:val="00CF17F4"/>
    <w:rsid w:val="00CF1A0E"/>
    <w:rsid w:val="00CF1FCB"/>
    <w:rsid w:val="00CF214D"/>
    <w:rsid w:val="00CF2166"/>
    <w:rsid w:val="00CF238A"/>
    <w:rsid w:val="00CF243B"/>
    <w:rsid w:val="00CF25D2"/>
    <w:rsid w:val="00CF2723"/>
    <w:rsid w:val="00CF284B"/>
    <w:rsid w:val="00CF2870"/>
    <w:rsid w:val="00CF2B1B"/>
    <w:rsid w:val="00CF2F6F"/>
    <w:rsid w:val="00CF2F85"/>
    <w:rsid w:val="00CF2FAF"/>
    <w:rsid w:val="00CF2FBE"/>
    <w:rsid w:val="00CF2FF1"/>
    <w:rsid w:val="00CF3157"/>
    <w:rsid w:val="00CF33ED"/>
    <w:rsid w:val="00CF35E7"/>
    <w:rsid w:val="00CF373F"/>
    <w:rsid w:val="00CF374C"/>
    <w:rsid w:val="00CF3A08"/>
    <w:rsid w:val="00CF3C82"/>
    <w:rsid w:val="00CF4487"/>
    <w:rsid w:val="00CF44A2"/>
    <w:rsid w:val="00CF45C5"/>
    <w:rsid w:val="00CF463D"/>
    <w:rsid w:val="00CF46D2"/>
    <w:rsid w:val="00CF48AC"/>
    <w:rsid w:val="00CF4A66"/>
    <w:rsid w:val="00CF4D7A"/>
    <w:rsid w:val="00CF4EE6"/>
    <w:rsid w:val="00CF50EA"/>
    <w:rsid w:val="00CF515D"/>
    <w:rsid w:val="00CF516E"/>
    <w:rsid w:val="00CF54B0"/>
    <w:rsid w:val="00CF54F0"/>
    <w:rsid w:val="00CF55CB"/>
    <w:rsid w:val="00CF5943"/>
    <w:rsid w:val="00CF5AD0"/>
    <w:rsid w:val="00CF5FE0"/>
    <w:rsid w:val="00CF67AA"/>
    <w:rsid w:val="00CF6948"/>
    <w:rsid w:val="00CF696B"/>
    <w:rsid w:val="00CF6A43"/>
    <w:rsid w:val="00CF6AAD"/>
    <w:rsid w:val="00CF6B0B"/>
    <w:rsid w:val="00CF6E5A"/>
    <w:rsid w:val="00CF72A6"/>
    <w:rsid w:val="00CF77E3"/>
    <w:rsid w:val="00CF784A"/>
    <w:rsid w:val="00CF7AA2"/>
    <w:rsid w:val="00CF7ECE"/>
    <w:rsid w:val="00CF7EEC"/>
    <w:rsid w:val="00D00054"/>
    <w:rsid w:val="00D001BE"/>
    <w:rsid w:val="00D003CE"/>
    <w:rsid w:val="00D003D8"/>
    <w:rsid w:val="00D003E7"/>
    <w:rsid w:val="00D00981"/>
    <w:rsid w:val="00D00C82"/>
    <w:rsid w:val="00D00E16"/>
    <w:rsid w:val="00D00EAB"/>
    <w:rsid w:val="00D00EFF"/>
    <w:rsid w:val="00D01414"/>
    <w:rsid w:val="00D014F9"/>
    <w:rsid w:val="00D015A2"/>
    <w:rsid w:val="00D0193D"/>
    <w:rsid w:val="00D01A5E"/>
    <w:rsid w:val="00D020F5"/>
    <w:rsid w:val="00D021C3"/>
    <w:rsid w:val="00D024F6"/>
    <w:rsid w:val="00D02675"/>
    <w:rsid w:val="00D027E3"/>
    <w:rsid w:val="00D027F7"/>
    <w:rsid w:val="00D02879"/>
    <w:rsid w:val="00D02988"/>
    <w:rsid w:val="00D02B2F"/>
    <w:rsid w:val="00D02EE2"/>
    <w:rsid w:val="00D02FBA"/>
    <w:rsid w:val="00D0323F"/>
    <w:rsid w:val="00D03247"/>
    <w:rsid w:val="00D0336F"/>
    <w:rsid w:val="00D034AE"/>
    <w:rsid w:val="00D03B96"/>
    <w:rsid w:val="00D03C6A"/>
    <w:rsid w:val="00D03DED"/>
    <w:rsid w:val="00D04118"/>
    <w:rsid w:val="00D04146"/>
    <w:rsid w:val="00D0422E"/>
    <w:rsid w:val="00D045A5"/>
    <w:rsid w:val="00D04887"/>
    <w:rsid w:val="00D05379"/>
    <w:rsid w:val="00D05402"/>
    <w:rsid w:val="00D05476"/>
    <w:rsid w:val="00D05669"/>
    <w:rsid w:val="00D0567D"/>
    <w:rsid w:val="00D057CA"/>
    <w:rsid w:val="00D059F2"/>
    <w:rsid w:val="00D05ACD"/>
    <w:rsid w:val="00D05B73"/>
    <w:rsid w:val="00D05B79"/>
    <w:rsid w:val="00D05C6C"/>
    <w:rsid w:val="00D061E7"/>
    <w:rsid w:val="00D06226"/>
    <w:rsid w:val="00D06235"/>
    <w:rsid w:val="00D0627B"/>
    <w:rsid w:val="00D06590"/>
    <w:rsid w:val="00D0690F"/>
    <w:rsid w:val="00D06C63"/>
    <w:rsid w:val="00D06D3E"/>
    <w:rsid w:val="00D06DF8"/>
    <w:rsid w:val="00D07001"/>
    <w:rsid w:val="00D0700D"/>
    <w:rsid w:val="00D0723B"/>
    <w:rsid w:val="00D0745C"/>
    <w:rsid w:val="00D07718"/>
    <w:rsid w:val="00D07968"/>
    <w:rsid w:val="00D079E5"/>
    <w:rsid w:val="00D07AC7"/>
    <w:rsid w:val="00D07ADD"/>
    <w:rsid w:val="00D07B50"/>
    <w:rsid w:val="00D07C0F"/>
    <w:rsid w:val="00D07D12"/>
    <w:rsid w:val="00D07D9B"/>
    <w:rsid w:val="00D07E47"/>
    <w:rsid w:val="00D10278"/>
    <w:rsid w:val="00D10A9F"/>
    <w:rsid w:val="00D10B34"/>
    <w:rsid w:val="00D10B5A"/>
    <w:rsid w:val="00D10C88"/>
    <w:rsid w:val="00D10D03"/>
    <w:rsid w:val="00D11030"/>
    <w:rsid w:val="00D11134"/>
    <w:rsid w:val="00D1113E"/>
    <w:rsid w:val="00D1142C"/>
    <w:rsid w:val="00D115A0"/>
    <w:rsid w:val="00D11618"/>
    <w:rsid w:val="00D11B28"/>
    <w:rsid w:val="00D11C3A"/>
    <w:rsid w:val="00D11E19"/>
    <w:rsid w:val="00D11F5A"/>
    <w:rsid w:val="00D12037"/>
    <w:rsid w:val="00D12407"/>
    <w:rsid w:val="00D125FC"/>
    <w:rsid w:val="00D12629"/>
    <w:rsid w:val="00D12814"/>
    <w:rsid w:val="00D129FF"/>
    <w:rsid w:val="00D12B7B"/>
    <w:rsid w:val="00D12CEE"/>
    <w:rsid w:val="00D12DF4"/>
    <w:rsid w:val="00D130A1"/>
    <w:rsid w:val="00D131E1"/>
    <w:rsid w:val="00D13202"/>
    <w:rsid w:val="00D132BF"/>
    <w:rsid w:val="00D1331F"/>
    <w:rsid w:val="00D1343B"/>
    <w:rsid w:val="00D134A8"/>
    <w:rsid w:val="00D1394E"/>
    <w:rsid w:val="00D13B1A"/>
    <w:rsid w:val="00D13B78"/>
    <w:rsid w:val="00D13CC5"/>
    <w:rsid w:val="00D13D32"/>
    <w:rsid w:val="00D14052"/>
    <w:rsid w:val="00D140A1"/>
    <w:rsid w:val="00D140EA"/>
    <w:rsid w:val="00D14395"/>
    <w:rsid w:val="00D14406"/>
    <w:rsid w:val="00D1458E"/>
    <w:rsid w:val="00D14833"/>
    <w:rsid w:val="00D1488E"/>
    <w:rsid w:val="00D14BDA"/>
    <w:rsid w:val="00D14C22"/>
    <w:rsid w:val="00D14C2C"/>
    <w:rsid w:val="00D152F3"/>
    <w:rsid w:val="00D1541E"/>
    <w:rsid w:val="00D15B31"/>
    <w:rsid w:val="00D15B7F"/>
    <w:rsid w:val="00D15C4F"/>
    <w:rsid w:val="00D16068"/>
    <w:rsid w:val="00D161AE"/>
    <w:rsid w:val="00D161BD"/>
    <w:rsid w:val="00D163D0"/>
    <w:rsid w:val="00D165A7"/>
    <w:rsid w:val="00D16876"/>
    <w:rsid w:val="00D16AD6"/>
    <w:rsid w:val="00D16FF5"/>
    <w:rsid w:val="00D170DB"/>
    <w:rsid w:val="00D172CD"/>
    <w:rsid w:val="00D1732A"/>
    <w:rsid w:val="00D1745F"/>
    <w:rsid w:val="00D1770A"/>
    <w:rsid w:val="00D17D5F"/>
    <w:rsid w:val="00D17DB0"/>
    <w:rsid w:val="00D20186"/>
    <w:rsid w:val="00D20381"/>
    <w:rsid w:val="00D204A4"/>
    <w:rsid w:val="00D204DB"/>
    <w:rsid w:val="00D20581"/>
    <w:rsid w:val="00D207CB"/>
    <w:rsid w:val="00D20A4F"/>
    <w:rsid w:val="00D20A97"/>
    <w:rsid w:val="00D20D4B"/>
    <w:rsid w:val="00D20E8A"/>
    <w:rsid w:val="00D21093"/>
    <w:rsid w:val="00D21210"/>
    <w:rsid w:val="00D21225"/>
    <w:rsid w:val="00D21250"/>
    <w:rsid w:val="00D21281"/>
    <w:rsid w:val="00D21319"/>
    <w:rsid w:val="00D2170D"/>
    <w:rsid w:val="00D21742"/>
    <w:rsid w:val="00D21764"/>
    <w:rsid w:val="00D218C7"/>
    <w:rsid w:val="00D21A1F"/>
    <w:rsid w:val="00D21AEA"/>
    <w:rsid w:val="00D21BA1"/>
    <w:rsid w:val="00D21C79"/>
    <w:rsid w:val="00D21DB5"/>
    <w:rsid w:val="00D22108"/>
    <w:rsid w:val="00D2213F"/>
    <w:rsid w:val="00D2223C"/>
    <w:rsid w:val="00D222BF"/>
    <w:rsid w:val="00D2257B"/>
    <w:rsid w:val="00D225F6"/>
    <w:rsid w:val="00D22629"/>
    <w:rsid w:val="00D22643"/>
    <w:rsid w:val="00D22670"/>
    <w:rsid w:val="00D226D6"/>
    <w:rsid w:val="00D227F5"/>
    <w:rsid w:val="00D22862"/>
    <w:rsid w:val="00D22C29"/>
    <w:rsid w:val="00D2344B"/>
    <w:rsid w:val="00D23453"/>
    <w:rsid w:val="00D2382D"/>
    <w:rsid w:val="00D238B8"/>
    <w:rsid w:val="00D23EC9"/>
    <w:rsid w:val="00D23ECD"/>
    <w:rsid w:val="00D24396"/>
    <w:rsid w:val="00D24473"/>
    <w:rsid w:val="00D24581"/>
    <w:rsid w:val="00D2504C"/>
    <w:rsid w:val="00D25070"/>
    <w:rsid w:val="00D25241"/>
    <w:rsid w:val="00D258C7"/>
    <w:rsid w:val="00D259A2"/>
    <w:rsid w:val="00D25E05"/>
    <w:rsid w:val="00D25E49"/>
    <w:rsid w:val="00D25EE7"/>
    <w:rsid w:val="00D261FD"/>
    <w:rsid w:val="00D2620B"/>
    <w:rsid w:val="00D26790"/>
    <w:rsid w:val="00D2687A"/>
    <w:rsid w:val="00D269BE"/>
    <w:rsid w:val="00D26D7B"/>
    <w:rsid w:val="00D26DD7"/>
    <w:rsid w:val="00D26E86"/>
    <w:rsid w:val="00D26EB7"/>
    <w:rsid w:val="00D2715A"/>
    <w:rsid w:val="00D271D6"/>
    <w:rsid w:val="00D27699"/>
    <w:rsid w:val="00D276BF"/>
    <w:rsid w:val="00D278A1"/>
    <w:rsid w:val="00D27CFA"/>
    <w:rsid w:val="00D27D47"/>
    <w:rsid w:val="00D300C9"/>
    <w:rsid w:val="00D30260"/>
    <w:rsid w:val="00D30623"/>
    <w:rsid w:val="00D3073B"/>
    <w:rsid w:val="00D30935"/>
    <w:rsid w:val="00D30D5C"/>
    <w:rsid w:val="00D30EC1"/>
    <w:rsid w:val="00D30EC6"/>
    <w:rsid w:val="00D30F75"/>
    <w:rsid w:val="00D314CA"/>
    <w:rsid w:val="00D31679"/>
    <w:rsid w:val="00D316D8"/>
    <w:rsid w:val="00D31857"/>
    <w:rsid w:val="00D31E14"/>
    <w:rsid w:val="00D32A48"/>
    <w:rsid w:val="00D32B0B"/>
    <w:rsid w:val="00D32D13"/>
    <w:rsid w:val="00D32D81"/>
    <w:rsid w:val="00D3335A"/>
    <w:rsid w:val="00D333E6"/>
    <w:rsid w:val="00D336CB"/>
    <w:rsid w:val="00D339B6"/>
    <w:rsid w:val="00D33C1E"/>
    <w:rsid w:val="00D33F2A"/>
    <w:rsid w:val="00D34123"/>
    <w:rsid w:val="00D348CB"/>
    <w:rsid w:val="00D34AEA"/>
    <w:rsid w:val="00D34BA2"/>
    <w:rsid w:val="00D34BE5"/>
    <w:rsid w:val="00D34D53"/>
    <w:rsid w:val="00D350EE"/>
    <w:rsid w:val="00D35295"/>
    <w:rsid w:val="00D3535A"/>
    <w:rsid w:val="00D357A3"/>
    <w:rsid w:val="00D359C0"/>
    <w:rsid w:val="00D359F1"/>
    <w:rsid w:val="00D35A92"/>
    <w:rsid w:val="00D35CE9"/>
    <w:rsid w:val="00D35D13"/>
    <w:rsid w:val="00D35E23"/>
    <w:rsid w:val="00D362B2"/>
    <w:rsid w:val="00D3631C"/>
    <w:rsid w:val="00D366B7"/>
    <w:rsid w:val="00D36B72"/>
    <w:rsid w:val="00D36BBC"/>
    <w:rsid w:val="00D36BCF"/>
    <w:rsid w:val="00D36E97"/>
    <w:rsid w:val="00D37175"/>
    <w:rsid w:val="00D37476"/>
    <w:rsid w:val="00D3779F"/>
    <w:rsid w:val="00D37AAD"/>
    <w:rsid w:val="00D37ABA"/>
    <w:rsid w:val="00D37B50"/>
    <w:rsid w:val="00D37D33"/>
    <w:rsid w:val="00D37DA5"/>
    <w:rsid w:val="00D400E7"/>
    <w:rsid w:val="00D40691"/>
    <w:rsid w:val="00D408AC"/>
    <w:rsid w:val="00D409D0"/>
    <w:rsid w:val="00D40D9D"/>
    <w:rsid w:val="00D40F9D"/>
    <w:rsid w:val="00D4111F"/>
    <w:rsid w:val="00D412EA"/>
    <w:rsid w:val="00D41986"/>
    <w:rsid w:val="00D41A5D"/>
    <w:rsid w:val="00D41AA7"/>
    <w:rsid w:val="00D41C8A"/>
    <w:rsid w:val="00D41CE5"/>
    <w:rsid w:val="00D4215A"/>
    <w:rsid w:val="00D4246D"/>
    <w:rsid w:val="00D42482"/>
    <w:rsid w:val="00D42516"/>
    <w:rsid w:val="00D4275C"/>
    <w:rsid w:val="00D428FE"/>
    <w:rsid w:val="00D42CB3"/>
    <w:rsid w:val="00D42CEE"/>
    <w:rsid w:val="00D42D6C"/>
    <w:rsid w:val="00D42DD8"/>
    <w:rsid w:val="00D4318B"/>
    <w:rsid w:val="00D43506"/>
    <w:rsid w:val="00D43910"/>
    <w:rsid w:val="00D43941"/>
    <w:rsid w:val="00D43D64"/>
    <w:rsid w:val="00D43F22"/>
    <w:rsid w:val="00D43F2A"/>
    <w:rsid w:val="00D44010"/>
    <w:rsid w:val="00D44085"/>
    <w:rsid w:val="00D44150"/>
    <w:rsid w:val="00D44490"/>
    <w:rsid w:val="00D444F9"/>
    <w:rsid w:val="00D446E8"/>
    <w:rsid w:val="00D44E05"/>
    <w:rsid w:val="00D44F10"/>
    <w:rsid w:val="00D44F24"/>
    <w:rsid w:val="00D45083"/>
    <w:rsid w:val="00D450DF"/>
    <w:rsid w:val="00D452AD"/>
    <w:rsid w:val="00D458A2"/>
    <w:rsid w:val="00D45B1A"/>
    <w:rsid w:val="00D45C41"/>
    <w:rsid w:val="00D45CB9"/>
    <w:rsid w:val="00D463B4"/>
    <w:rsid w:val="00D4664F"/>
    <w:rsid w:val="00D468D0"/>
    <w:rsid w:val="00D4692C"/>
    <w:rsid w:val="00D4695C"/>
    <w:rsid w:val="00D46E77"/>
    <w:rsid w:val="00D47465"/>
    <w:rsid w:val="00D47468"/>
    <w:rsid w:val="00D474C1"/>
    <w:rsid w:val="00D4750E"/>
    <w:rsid w:val="00D4764E"/>
    <w:rsid w:val="00D4773B"/>
    <w:rsid w:val="00D47B26"/>
    <w:rsid w:val="00D47B4C"/>
    <w:rsid w:val="00D47D9F"/>
    <w:rsid w:val="00D50D49"/>
    <w:rsid w:val="00D51599"/>
    <w:rsid w:val="00D5197F"/>
    <w:rsid w:val="00D51AB5"/>
    <w:rsid w:val="00D51B85"/>
    <w:rsid w:val="00D51C89"/>
    <w:rsid w:val="00D51DF4"/>
    <w:rsid w:val="00D51E7A"/>
    <w:rsid w:val="00D51E86"/>
    <w:rsid w:val="00D51F5D"/>
    <w:rsid w:val="00D52213"/>
    <w:rsid w:val="00D52326"/>
    <w:rsid w:val="00D52643"/>
    <w:rsid w:val="00D5290B"/>
    <w:rsid w:val="00D52968"/>
    <w:rsid w:val="00D529E7"/>
    <w:rsid w:val="00D52B3D"/>
    <w:rsid w:val="00D52D7A"/>
    <w:rsid w:val="00D52DFE"/>
    <w:rsid w:val="00D53148"/>
    <w:rsid w:val="00D5321C"/>
    <w:rsid w:val="00D5332D"/>
    <w:rsid w:val="00D5370D"/>
    <w:rsid w:val="00D537E5"/>
    <w:rsid w:val="00D53CA6"/>
    <w:rsid w:val="00D53D0C"/>
    <w:rsid w:val="00D54151"/>
    <w:rsid w:val="00D541B5"/>
    <w:rsid w:val="00D54944"/>
    <w:rsid w:val="00D54A97"/>
    <w:rsid w:val="00D54EAB"/>
    <w:rsid w:val="00D5500D"/>
    <w:rsid w:val="00D551D5"/>
    <w:rsid w:val="00D557AB"/>
    <w:rsid w:val="00D55853"/>
    <w:rsid w:val="00D558A9"/>
    <w:rsid w:val="00D5592B"/>
    <w:rsid w:val="00D55B87"/>
    <w:rsid w:val="00D5610F"/>
    <w:rsid w:val="00D561B4"/>
    <w:rsid w:val="00D56360"/>
    <w:rsid w:val="00D56453"/>
    <w:rsid w:val="00D56954"/>
    <w:rsid w:val="00D56A1A"/>
    <w:rsid w:val="00D56B05"/>
    <w:rsid w:val="00D56B52"/>
    <w:rsid w:val="00D56F85"/>
    <w:rsid w:val="00D56FBF"/>
    <w:rsid w:val="00D57777"/>
    <w:rsid w:val="00D57811"/>
    <w:rsid w:val="00D578D3"/>
    <w:rsid w:val="00D5791A"/>
    <w:rsid w:val="00D57A6E"/>
    <w:rsid w:val="00D57ABA"/>
    <w:rsid w:val="00D57CDD"/>
    <w:rsid w:val="00D57F54"/>
    <w:rsid w:val="00D603C5"/>
    <w:rsid w:val="00D6079B"/>
    <w:rsid w:val="00D60E4B"/>
    <w:rsid w:val="00D6118E"/>
    <w:rsid w:val="00D6137D"/>
    <w:rsid w:val="00D6139E"/>
    <w:rsid w:val="00D613EE"/>
    <w:rsid w:val="00D61413"/>
    <w:rsid w:val="00D6162E"/>
    <w:rsid w:val="00D616D3"/>
    <w:rsid w:val="00D618EA"/>
    <w:rsid w:val="00D62047"/>
    <w:rsid w:val="00D620A9"/>
    <w:rsid w:val="00D620FB"/>
    <w:rsid w:val="00D62127"/>
    <w:rsid w:val="00D622AB"/>
    <w:rsid w:val="00D624AE"/>
    <w:rsid w:val="00D62592"/>
    <w:rsid w:val="00D625E8"/>
    <w:rsid w:val="00D626B7"/>
    <w:rsid w:val="00D62A3F"/>
    <w:rsid w:val="00D63100"/>
    <w:rsid w:val="00D63328"/>
    <w:rsid w:val="00D63B4A"/>
    <w:rsid w:val="00D63B9C"/>
    <w:rsid w:val="00D63FE7"/>
    <w:rsid w:val="00D641CC"/>
    <w:rsid w:val="00D64559"/>
    <w:rsid w:val="00D6465F"/>
    <w:rsid w:val="00D647DB"/>
    <w:rsid w:val="00D648DC"/>
    <w:rsid w:val="00D64EA7"/>
    <w:rsid w:val="00D6502F"/>
    <w:rsid w:val="00D651B2"/>
    <w:rsid w:val="00D651BC"/>
    <w:rsid w:val="00D651BE"/>
    <w:rsid w:val="00D652D8"/>
    <w:rsid w:val="00D6590A"/>
    <w:rsid w:val="00D6598F"/>
    <w:rsid w:val="00D65A91"/>
    <w:rsid w:val="00D65E7E"/>
    <w:rsid w:val="00D65F35"/>
    <w:rsid w:val="00D6667B"/>
    <w:rsid w:val="00D6669B"/>
    <w:rsid w:val="00D666E9"/>
    <w:rsid w:val="00D6684A"/>
    <w:rsid w:val="00D66D7E"/>
    <w:rsid w:val="00D66F16"/>
    <w:rsid w:val="00D67375"/>
    <w:rsid w:val="00D673A7"/>
    <w:rsid w:val="00D6755C"/>
    <w:rsid w:val="00D6776A"/>
    <w:rsid w:val="00D677E6"/>
    <w:rsid w:val="00D677EE"/>
    <w:rsid w:val="00D67932"/>
    <w:rsid w:val="00D679E3"/>
    <w:rsid w:val="00D67D5F"/>
    <w:rsid w:val="00D67E9A"/>
    <w:rsid w:val="00D701C4"/>
    <w:rsid w:val="00D70B88"/>
    <w:rsid w:val="00D7102A"/>
    <w:rsid w:val="00D710CD"/>
    <w:rsid w:val="00D710F7"/>
    <w:rsid w:val="00D711D3"/>
    <w:rsid w:val="00D71864"/>
    <w:rsid w:val="00D7187A"/>
    <w:rsid w:val="00D718DC"/>
    <w:rsid w:val="00D71C0D"/>
    <w:rsid w:val="00D71C5D"/>
    <w:rsid w:val="00D71CA5"/>
    <w:rsid w:val="00D71CAA"/>
    <w:rsid w:val="00D71D34"/>
    <w:rsid w:val="00D72177"/>
    <w:rsid w:val="00D72260"/>
    <w:rsid w:val="00D72533"/>
    <w:rsid w:val="00D72725"/>
    <w:rsid w:val="00D72A79"/>
    <w:rsid w:val="00D72C0B"/>
    <w:rsid w:val="00D72D1D"/>
    <w:rsid w:val="00D730D7"/>
    <w:rsid w:val="00D737C7"/>
    <w:rsid w:val="00D73824"/>
    <w:rsid w:val="00D73BE9"/>
    <w:rsid w:val="00D7404B"/>
    <w:rsid w:val="00D742A9"/>
    <w:rsid w:val="00D7492B"/>
    <w:rsid w:val="00D749D1"/>
    <w:rsid w:val="00D74AA8"/>
    <w:rsid w:val="00D74D03"/>
    <w:rsid w:val="00D74D44"/>
    <w:rsid w:val="00D75372"/>
    <w:rsid w:val="00D75667"/>
    <w:rsid w:val="00D75A1B"/>
    <w:rsid w:val="00D75D45"/>
    <w:rsid w:val="00D75E71"/>
    <w:rsid w:val="00D76015"/>
    <w:rsid w:val="00D7622F"/>
    <w:rsid w:val="00D763E0"/>
    <w:rsid w:val="00D766A7"/>
    <w:rsid w:val="00D76885"/>
    <w:rsid w:val="00D76B99"/>
    <w:rsid w:val="00D76C26"/>
    <w:rsid w:val="00D76C4B"/>
    <w:rsid w:val="00D76E74"/>
    <w:rsid w:val="00D77452"/>
    <w:rsid w:val="00D779EB"/>
    <w:rsid w:val="00D77B8B"/>
    <w:rsid w:val="00D77C09"/>
    <w:rsid w:val="00D8003F"/>
    <w:rsid w:val="00D8011A"/>
    <w:rsid w:val="00D803A6"/>
    <w:rsid w:val="00D80745"/>
    <w:rsid w:val="00D80840"/>
    <w:rsid w:val="00D80925"/>
    <w:rsid w:val="00D80AA9"/>
    <w:rsid w:val="00D80B66"/>
    <w:rsid w:val="00D80FD6"/>
    <w:rsid w:val="00D814B3"/>
    <w:rsid w:val="00D81684"/>
    <w:rsid w:val="00D81791"/>
    <w:rsid w:val="00D81892"/>
    <w:rsid w:val="00D81B82"/>
    <w:rsid w:val="00D81C6D"/>
    <w:rsid w:val="00D81D72"/>
    <w:rsid w:val="00D81FDC"/>
    <w:rsid w:val="00D820ED"/>
    <w:rsid w:val="00D82200"/>
    <w:rsid w:val="00D82EFD"/>
    <w:rsid w:val="00D83185"/>
    <w:rsid w:val="00D83253"/>
    <w:rsid w:val="00D83627"/>
    <w:rsid w:val="00D83640"/>
    <w:rsid w:val="00D8372E"/>
    <w:rsid w:val="00D837EC"/>
    <w:rsid w:val="00D838B2"/>
    <w:rsid w:val="00D83B04"/>
    <w:rsid w:val="00D83B34"/>
    <w:rsid w:val="00D83EB3"/>
    <w:rsid w:val="00D8419E"/>
    <w:rsid w:val="00D844CA"/>
    <w:rsid w:val="00D8450D"/>
    <w:rsid w:val="00D846FA"/>
    <w:rsid w:val="00D84791"/>
    <w:rsid w:val="00D84A58"/>
    <w:rsid w:val="00D84A5F"/>
    <w:rsid w:val="00D84DE9"/>
    <w:rsid w:val="00D84F70"/>
    <w:rsid w:val="00D84FCE"/>
    <w:rsid w:val="00D854CC"/>
    <w:rsid w:val="00D856CC"/>
    <w:rsid w:val="00D856FB"/>
    <w:rsid w:val="00D85727"/>
    <w:rsid w:val="00D859C0"/>
    <w:rsid w:val="00D85BE0"/>
    <w:rsid w:val="00D86215"/>
    <w:rsid w:val="00D868DE"/>
    <w:rsid w:val="00D86B34"/>
    <w:rsid w:val="00D86B49"/>
    <w:rsid w:val="00D86BBB"/>
    <w:rsid w:val="00D86C8B"/>
    <w:rsid w:val="00D87023"/>
    <w:rsid w:val="00D87227"/>
    <w:rsid w:val="00D87412"/>
    <w:rsid w:val="00D87585"/>
    <w:rsid w:val="00D875CC"/>
    <w:rsid w:val="00D8787B"/>
    <w:rsid w:val="00D879C4"/>
    <w:rsid w:val="00D87A19"/>
    <w:rsid w:val="00D87A96"/>
    <w:rsid w:val="00D87BA9"/>
    <w:rsid w:val="00D87C2A"/>
    <w:rsid w:val="00D87E6F"/>
    <w:rsid w:val="00D90022"/>
    <w:rsid w:val="00D9051D"/>
    <w:rsid w:val="00D9055C"/>
    <w:rsid w:val="00D9067F"/>
    <w:rsid w:val="00D906FC"/>
    <w:rsid w:val="00D907D1"/>
    <w:rsid w:val="00D907EC"/>
    <w:rsid w:val="00D90BF5"/>
    <w:rsid w:val="00D90C28"/>
    <w:rsid w:val="00D90DE5"/>
    <w:rsid w:val="00D90F18"/>
    <w:rsid w:val="00D90FF8"/>
    <w:rsid w:val="00D9144C"/>
    <w:rsid w:val="00D914E7"/>
    <w:rsid w:val="00D91988"/>
    <w:rsid w:val="00D91C07"/>
    <w:rsid w:val="00D91D78"/>
    <w:rsid w:val="00D91F12"/>
    <w:rsid w:val="00D91FE8"/>
    <w:rsid w:val="00D921BD"/>
    <w:rsid w:val="00D924C2"/>
    <w:rsid w:val="00D9273C"/>
    <w:rsid w:val="00D92DD2"/>
    <w:rsid w:val="00D931BD"/>
    <w:rsid w:val="00D931DC"/>
    <w:rsid w:val="00D936B1"/>
    <w:rsid w:val="00D93AFE"/>
    <w:rsid w:val="00D93CEC"/>
    <w:rsid w:val="00D93D56"/>
    <w:rsid w:val="00D93E44"/>
    <w:rsid w:val="00D93FA8"/>
    <w:rsid w:val="00D94000"/>
    <w:rsid w:val="00D94148"/>
    <w:rsid w:val="00D941C0"/>
    <w:rsid w:val="00D946B0"/>
    <w:rsid w:val="00D9497E"/>
    <w:rsid w:val="00D94DC4"/>
    <w:rsid w:val="00D94E22"/>
    <w:rsid w:val="00D94EBF"/>
    <w:rsid w:val="00D95477"/>
    <w:rsid w:val="00D95788"/>
    <w:rsid w:val="00D957C7"/>
    <w:rsid w:val="00D95821"/>
    <w:rsid w:val="00D95A88"/>
    <w:rsid w:val="00D95B7D"/>
    <w:rsid w:val="00D95B98"/>
    <w:rsid w:val="00D96037"/>
    <w:rsid w:val="00D960F5"/>
    <w:rsid w:val="00D96191"/>
    <w:rsid w:val="00D968A2"/>
    <w:rsid w:val="00D96ABA"/>
    <w:rsid w:val="00D96D01"/>
    <w:rsid w:val="00D96EAF"/>
    <w:rsid w:val="00D971B9"/>
    <w:rsid w:val="00D97447"/>
    <w:rsid w:val="00D974E5"/>
    <w:rsid w:val="00D9769D"/>
    <w:rsid w:val="00D97D3F"/>
    <w:rsid w:val="00DA0127"/>
    <w:rsid w:val="00DA0291"/>
    <w:rsid w:val="00DA0947"/>
    <w:rsid w:val="00DA09E2"/>
    <w:rsid w:val="00DA0C37"/>
    <w:rsid w:val="00DA0D2D"/>
    <w:rsid w:val="00DA0D90"/>
    <w:rsid w:val="00DA0DB6"/>
    <w:rsid w:val="00DA10C0"/>
    <w:rsid w:val="00DA11D3"/>
    <w:rsid w:val="00DA136D"/>
    <w:rsid w:val="00DA149C"/>
    <w:rsid w:val="00DA1633"/>
    <w:rsid w:val="00DA1639"/>
    <w:rsid w:val="00DA16AD"/>
    <w:rsid w:val="00DA18CF"/>
    <w:rsid w:val="00DA1AD4"/>
    <w:rsid w:val="00DA1CC8"/>
    <w:rsid w:val="00DA1EFB"/>
    <w:rsid w:val="00DA1F7E"/>
    <w:rsid w:val="00DA1F93"/>
    <w:rsid w:val="00DA2262"/>
    <w:rsid w:val="00DA25F9"/>
    <w:rsid w:val="00DA2A41"/>
    <w:rsid w:val="00DA2D3C"/>
    <w:rsid w:val="00DA2FF2"/>
    <w:rsid w:val="00DA309D"/>
    <w:rsid w:val="00DA3286"/>
    <w:rsid w:val="00DA37E5"/>
    <w:rsid w:val="00DA38B8"/>
    <w:rsid w:val="00DA3BEB"/>
    <w:rsid w:val="00DA3C26"/>
    <w:rsid w:val="00DA3C35"/>
    <w:rsid w:val="00DA3D26"/>
    <w:rsid w:val="00DA3E23"/>
    <w:rsid w:val="00DA3FB1"/>
    <w:rsid w:val="00DA3FE0"/>
    <w:rsid w:val="00DA404A"/>
    <w:rsid w:val="00DA42AE"/>
    <w:rsid w:val="00DA4375"/>
    <w:rsid w:val="00DA44CF"/>
    <w:rsid w:val="00DA4686"/>
    <w:rsid w:val="00DA47CA"/>
    <w:rsid w:val="00DA4D41"/>
    <w:rsid w:val="00DA4EB0"/>
    <w:rsid w:val="00DA4FDA"/>
    <w:rsid w:val="00DA56A2"/>
    <w:rsid w:val="00DA56B5"/>
    <w:rsid w:val="00DA56FC"/>
    <w:rsid w:val="00DA5914"/>
    <w:rsid w:val="00DA5AEC"/>
    <w:rsid w:val="00DA5E70"/>
    <w:rsid w:val="00DA5FEC"/>
    <w:rsid w:val="00DA60EA"/>
    <w:rsid w:val="00DA64C6"/>
    <w:rsid w:val="00DA6540"/>
    <w:rsid w:val="00DA6D6E"/>
    <w:rsid w:val="00DA734A"/>
    <w:rsid w:val="00DA75CE"/>
    <w:rsid w:val="00DA75E3"/>
    <w:rsid w:val="00DA773B"/>
    <w:rsid w:val="00DA795C"/>
    <w:rsid w:val="00DA7EF8"/>
    <w:rsid w:val="00DB0189"/>
    <w:rsid w:val="00DB043B"/>
    <w:rsid w:val="00DB062B"/>
    <w:rsid w:val="00DB0BE1"/>
    <w:rsid w:val="00DB0F4E"/>
    <w:rsid w:val="00DB0FF6"/>
    <w:rsid w:val="00DB1003"/>
    <w:rsid w:val="00DB14CF"/>
    <w:rsid w:val="00DB15E7"/>
    <w:rsid w:val="00DB181E"/>
    <w:rsid w:val="00DB1920"/>
    <w:rsid w:val="00DB1956"/>
    <w:rsid w:val="00DB1C15"/>
    <w:rsid w:val="00DB1C25"/>
    <w:rsid w:val="00DB1E78"/>
    <w:rsid w:val="00DB1F4C"/>
    <w:rsid w:val="00DB21B5"/>
    <w:rsid w:val="00DB2299"/>
    <w:rsid w:val="00DB2453"/>
    <w:rsid w:val="00DB2553"/>
    <w:rsid w:val="00DB268D"/>
    <w:rsid w:val="00DB26A0"/>
    <w:rsid w:val="00DB27E8"/>
    <w:rsid w:val="00DB293B"/>
    <w:rsid w:val="00DB29AF"/>
    <w:rsid w:val="00DB2A32"/>
    <w:rsid w:val="00DB2B7B"/>
    <w:rsid w:val="00DB2C66"/>
    <w:rsid w:val="00DB2EB1"/>
    <w:rsid w:val="00DB3809"/>
    <w:rsid w:val="00DB3D09"/>
    <w:rsid w:val="00DB3ED1"/>
    <w:rsid w:val="00DB3F2E"/>
    <w:rsid w:val="00DB3FD2"/>
    <w:rsid w:val="00DB41FC"/>
    <w:rsid w:val="00DB46A9"/>
    <w:rsid w:val="00DB47E6"/>
    <w:rsid w:val="00DB4811"/>
    <w:rsid w:val="00DB4821"/>
    <w:rsid w:val="00DB49A5"/>
    <w:rsid w:val="00DB4A16"/>
    <w:rsid w:val="00DB4C58"/>
    <w:rsid w:val="00DB4F1D"/>
    <w:rsid w:val="00DB4FD9"/>
    <w:rsid w:val="00DB4FEB"/>
    <w:rsid w:val="00DB5031"/>
    <w:rsid w:val="00DB5101"/>
    <w:rsid w:val="00DB550C"/>
    <w:rsid w:val="00DB565D"/>
    <w:rsid w:val="00DB575D"/>
    <w:rsid w:val="00DB5836"/>
    <w:rsid w:val="00DB58B4"/>
    <w:rsid w:val="00DB58D1"/>
    <w:rsid w:val="00DB5951"/>
    <w:rsid w:val="00DB6211"/>
    <w:rsid w:val="00DB631B"/>
    <w:rsid w:val="00DB65E6"/>
    <w:rsid w:val="00DB6717"/>
    <w:rsid w:val="00DB6EC6"/>
    <w:rsid w:val="00DB6FAD"/>
    <w:rsid w:val="00DB712B"/>
    <w:rsid w:val="00DB7349"/>
    <w:rsid w:val="00DB73C5"/>
    <w:rsid w:val="00DB770B"/>
    <w:rsid w:val="00DB771A"/>
    <w:rsid w:val="00DB7947"/>
    <w:rsid w:val="00DB7AB7"/>
    <w:rsid w:val="00DB7B03"/>
    <w:rsid w:val="00DB7B5B"/>
    <w:rsid w:val="00DB7B80"/>
    <w:rsid w:val="00DC02B1"/>
    <w:rsid w:val="00DC02E7"/>
    <w:rsid w:val="00DC0617"/>
    <w:rsid w:val="00DC064F"/>
    <w:rsid w:val="00DC0A1B"/>
    <w:rsid w:val="00DC0C62"/>
    <w:rsid w:val="00DC0D29"/>
    <w:rsid w:val="00DC0F06"/>
    <w:rsid w:val="00DC16C3"/>
    <w:rsid w:val="00DC17D7"/>
    <w:rsid w:val="00DC18CD"/>
    <w:rsid w:val="00DC1A67"/>
    <w:rsid w:val="00DC1B61"/>
    <w:rsid w:val="00DC1EEB"/>
    <w:rsid w:val="00DC1F34"/>
    <w:rsid w:val="00DC1FF4"/>
    <w:rsid w:val="00DC20C1"/>
    <w:rsid w:val="00DC222D"/>
    <w:rsid w:val="00DC2756"/>
    <w:rsid w:val="00DC2A28"/>
    <w:rsid w:val="00DC2AE8"/>
    <w:rsid w:val="00DC2BEE"/>
    <w:rsid w:val="00DC2C11"/>
    <w:rsid w:val="00DC2C25"/>
    <w:rsid w:val="00DC2C4F"/>
    <w:rsid w:val="00DC2FDE"/>
    <w:rsid w:val="00DC31A1"/>
    <w:rsid w:val="00DC32ED"/>
    <w:rsid w:val="00DC3419"/>
    <w:rsid w:val="00DC3737"/>
    <w:rsid w:val="00DC3BAB"/>
    <w:rsid w:val="00DC3F82"/>
    <w:rsid w:val="00DC42C4"/>
    <w:rsid w:val="00DC43E3"/>
    <w:rsid w:val="00DC4653"/>
    <w:rsid w:val="00DC469F"/>
    <w:rsid w:val="00DC485B"/>
    <w:rsid w:val="00DC4881"/>
    <w:rsid w:val="00DC48C3"/>
    <w:rsid w:val="00DC4A9B"/>
    <w:rsid w:val="00DC4AD8"/>
    <w:rsid w:val="00DC4BA5"/>
    <w:rsid w:val="00DC4E8A"/>
    <w:rsid w:val="00DC4F38"/>
    <w:rsid w:val="00DC4FD5"/>
    <w:rsid w:val="00DC4FD7"/>
    <w:rsid w:val="00DC515B"/>
    <w:rsid w:val="00DC523C"/>
    <w:rsid w:val="00DC525A"/>
    <w:rsid w:val="00DC535B"/>
    <w:rsid w:val="00DC56F3"/>
    <w:rsid w:val="00DC578A"/>
    <w:rsid w:val="00DC57C8"/>
    <w:rsid w:val="00DC59A5"/>
    <w:rsid w:val="00DC5CB0"/>
    <w:rsid w:val="00DC5D5A"/>
    <w:rsid w:val="00DC5E16"/>
    <w:rsid w:val="00DC6256"/>
    <w:rsid w:val="00DC632D"/>
    <w:rsid w:val="00DC657A"/>
    <w:rsid w:val="00DC6585"/>
    <w:rsid w:val="00DC6696"/>
    <w:rsid w:val="00DC675A"/>
    <w:rsid w:val="00DC6838"/>
    <w:rsid w:val="00DC6E78"/>
    <w:rsid w:val="00DC7026"/>
    <w:rsid w:val="00DC70F5"/>
    <w:rsid w:val="00DC73F0"/>
    <w:rsid w:val="00DC74A1"/>
    <w:rsid w:val="00DC74C3"/>
    <w:rsid w:val="00DC7926"/>
    <w:rsid w:val="00DC7ABB"/>
    <w:rsid w:val="00DD01B4"/>
    <w:rsid w:val="00DD01EA"/>
    <w:rsid w:val="00DD06D5"/>
    <w:rsid w:val="00DD0A6E"/>
    <w:rsid w:val="00DD0C8D"/>
    <w:rsid w:val="00DD0DE2"/>
    <w:rsid w:val="00DD1018"/>
    <w:rsid w:val="00DD1157"/>
    <w:rsid w:val="00DD132A"/>
    <w:rsid w:val="00DD13E3"/>
    <w:rsid w:val="00DD1BF2"/>
    <w:rsid w:val="00DD1C58"/>
    <w:rsid w:val="00DD1D26"/>
    <w:rsid w:val="00DD1D5F"/>
    <w:rsid w:val="00DD2129"/>
    <w:rsid w:val="00DD2240"/>
    <w:rsid w:val="00DD226F"/>
    <w:rsid w:val="00DD2731"/>
    <w:rsid w:val="00DD2BA5"/>
    <w:rsid w:val="00DD2BF6"/>
    <w:rsid w:val="00DD2C11"/>
    <w:rsid w:val="00DD3117"/>
    <w:rsid w:val="00DD3258"/>
    <w:rsid w:val="00DD3374"/>
    <w:rsid w:val="00DD343F"/>
    <w:rsid w:val="00DD3525"/>
    <w:rsid w:val="00DD3C49"/>
    <w:rsid w:val="00DD3CEA"/>
    <w:rsid w:val="00DD3CFF"/>
    <w:rsid w:val="00DD3D34"/>
    <w:rsid w:val="00DD3F13"/>
    <w:rsid w:val="00DD4005"/>
    <w:rsid w:val="00DD413E"/>
    <w:rsid w:val="00DD45FE"/>
    <w:rsid w:val="00DD46D8"/>
    <w:rsid w:val="00DD4913"/>
    <w:rsid w:val="00DD4B13"/>
    <w:rsid w:val="00DD4E05"/>
    <w:rsid w:val="00DD4E6C"/>
    <w:rsid w:val="00DD4F74"/>
    <w:rsid w:val="00DD52F8"/>
    <w:rsid w:val="00DD53D4"/>
    <w:rsid w:val="00DD53FC"/>
    <w:rsid w:val="00DD548E"/>
    <w:rsid w:val="00DD5648"/>
    <w:rsid w:val="00DD5825"/>
    <w:rsid w:val="00DD5943"/>
    <w:rsid w:val="00DD5990"/>
    <w:rsid w:val="00DD5AA3"/>
    <w:rsid w:val="00DD5D4D"/>
    <w:rsid w:val="00DD5E6F"/>
    <w:rsid w:val="00DD5ED9"/>
    <w:rsid w:val="00DD6092"/>
    <w:rsid w:val="00DD63A4"/>
    <w:rsid w:val="00DD652A"/>
    <w:rsid w:val="00DD6614"/>
    <w:rsid w:val="00DD6860"/>
    <w:rsid w:val="00DD6894"/>
    <w:rsid w:val="00DD68FA"/>
    <w:rsid w:val="00DD69E2"/>
    <w:rsid w:val="00DD6C3D"/>
    <w:rsid w:val="00DD6DC4"/>
    <w:rsid w:val="00DD6E1B"/>
    <w:rsid w:val="00DD709D"/>
    <w:rsid w:val="00DD7382"/>
    <w:rsid w:val="00DD73AE"/>
    <w:rsid w:val="00DD744E"/>
    <w:rsid w:val="00DD75F5"/>
    <w:rsid w:val="00DD7679"/>
    <w:rsid w:val="00DD7A21"/>
    <w:rsid w:val="00DD7E3D"/>
    <w:rsid w:val="00DE002C"/>
    <w:rsid w:val="00DE015D"/>
    <w:rsid w:val="00DE0163"/>
    <w:rsid w:val="00DE021F"/>
    <w:rsid w:val="00DE0656"/>
    <w:rsid w:val="00DE073E"/>
    <w:rsid w:val="00DE0772"/>
    <w:rsid w:val="00DE07DA"/>
    <w:rsid w:val="00DE0999"/>
    <w:rsid w:val="00DE0B0E"/>
    <w:rsid w:val="00DE0B73"/>
    <w:rsid w:val="00DE0BAA"/>
    <w:rsid w:val="00DE0BE1"/>
    <w:rsid w:val="00DE1094"/>
    <w:rsid w:val="00DE133F"/>
    <w:rsid w:val="00DE135E"/>
    <w:rsid w:val="00DE14D6"/>
    <w:rsid w:val="00DE16FA"/>
    <w:rsid w:val="00DE172A"/>
    <w:rsid w:val="00DE17EA"/>
    <w:rsid w:val="00DE1929"/>
    <w:rsid w:val="00DE1AFE"/>
    <w:rsid w:val="00DE1D8D"/>
    <w:rsid w:val="00DE21D5"/>
    <w:rsid w:val="00DE223E"/>
    <w:rsid w:val="00DE2546"/>
    <w:rsid w:val="00DE28D5"/>
    <w:rsid w:val="00DE2C08"/>
    <w:rsid w:val="00DE2FD2"/>
    <w:rsid w:val="00DE3027"/>
    <w:rsid w:val="00DE3367"/>
    <w:rsid w:val="00DE3806"/>
    <w:rsid w:val="00DE397D"/>
    <w:rsid w:val="00DE39C0"/>
    <w:rsid w:val="00DE3A9F"/>
    <w:rsid w:val="00DE3C61"/>
    <w:rsid w:val="00DE3E8F"/>
    <w:rsid w:val="00DE3F1A"/>
    <w:rsid w:val="00DE3F63"/>
    <w:rsid w:val="00DE463A"/>
    <w:rsid w:val="00DE4749"/>
    <w:rsid w:val="00DE478E"/>
    <w:rsid w:val="00DE481A"/>
    <w:rsid w:val="00DE4889"/>
    <w:rsid w:val="00DE4AC5"/>
    <w:rsid w:val="00DE4C27"/>
    <w:rsid w:val="00DE4DEF"/>
    <w:rsid w:val="00DE4EBD"/>
    <w:rsid w:val="00DE4EDE"/>
    <w:rsid w:val="00DE4F53"/>
    <w:rsid w:val="00DE5001"/>
    <w:rsid w:val="00DE50D3"/>
    <w:rsid w:val="00DE540F"/>
    <w:rsid w:val="00DE5468"/>
    <w:rsid w:val="00DE55F1"/>
    <w:rsid w:val="00DE5ACC"/>
    <w:rsid w:val="00DE6049"/>
    <w:rsid w:val="00DE60AB"/>
    <w:rsid w:val="00DE61AD"/>
    <w:rsid w:val="00DE62B1"/>
    <w:rsid w:val="00DE63D6"/>
    <w:rsid w:val="00DE65B8"/>
    <w:rsid w:val="00DE69AC"/>
    <w:rsid w:val="00DE6B43"/>
    <w:rsid w:val="00DE6C02"/>
    <w:rsid w:val="00DE6C06"/>
    <w:rsid w:val="00DE6DD9"/>
    <w:rsid w:val="00DE6F45"/>
    <w:rsid w:val="00DE7008"/>
    <w:rsid w:val="00DE7090"/>
    <w:rsid w:val="00DE7407"/>
    <w:rsid w:val="00DE748B"/>
    <w:rsid w:val="00DE74DD"/>
    <w:rsid w:val="00DE7BCB"/>
    <w:rsid w:val="00DE7E5E"/>
    <w:rsid w:val="00DF005D"/>
    <w:rsid w:val="00DF02AF"/>
    <w:rsid w:val="00DF034C"/>
    <w:rsid w:val="00DF051B"/>
    <w:rsid w:val="00DF06B2"/>
    <w:rsid w:val="00DF0C78"/>
    <w:rsid w:val="00DF0ED8"/>
    <w:rsid w:val="00DF1028"/>
    <w:rsid w:val="00DF115F"/>
    <w:rsid w:val="00DF15B1"/>
    <w:rsid w:val="00DF167C"/>
    <w:rsid w:val="00DF1745"/>
    <w:rsid w:val="00DF18D7"/>
    <w:rsid w:val="00DF1CB8"/>
    <w:rsid w:val="00DF1E98"/>
    <w:rsid w:val="00DF1EFE"/>
    <w:rsid w:val="00DF21A0"/>
    <w:rsid w:val="00DF21C4"/>
    <w:rsid w:val="00DF222D"/>
    <w:rsid w:val="00DF246F"/>
    <w:rsid w:val="00DF269D"/>
    <w:rsid w:val="00DF26B5"/>
    <w:rsid w:val="00DF2D5A"/>
    <w:rsid w:val="00DF2EAB"/>
    <w:rsid w:val="00DF2FA1"/>
    <w:rsid w:val="00DF311B"/>
    <w:rsid w:val="00DF3243"/>
    <w:rsid w:val="00DF33E8"/>
    <w:rsid w:val="00DF35A2"/>
    <w:rsid w:val="00DF3662"/>
    <w:rsid w:val="00DF39E4"/>
    <w:rsid w:val="00DF3D3B"/>
    <w:rsid w:val="00DF3D48"/>
    <w:rsid w:val="00DF3D4C"/>
    <w:rsid w:val="00DF3E2B"/>
    <w:rsid w:val="00DF3E7F"/>
    <w:rsid w:val="00DF3F59"/>
    <w:rsid w:val="00DF402A"/>
    <w:rsid w:val="00DF4038"/>
    <w:rsid w:val="00DF4140"/>
    <w:rsid w:val="00DF4366"/>
    <w:rsid w:val="00DF4594"/>
    <w:rsid w:val="00DF460D"/>
    <w:rsid w:val="00DF471F"/>
    <w:rsid w:val="00DF5015"/>
    <w:rsid w:val="00DF5142"/>
    <w:rsid w:val="00DF51DA"/>
    <w:rsid w:val="00DF5787"/>
    <w:rsid w:val="00DF5867"/>
    <w:rsid w:val="00DF5C83"/>
    <w:rsid w:val="00DF6062"/>
    <w:rsid w:val="00DF63D6"/>
    <w:rsid w:val="00DF66AD"/>
    <w:rsid w:val="00DF6846"/>
    <w:rsid w:val="00DF6941"/>
    <w:rsid w:val="00DF694F"/>
    <w:rsid w:val="00DF6A14"/>
    <w:rsid w:val="00DF6AF6"/>
    <w:rsid w:val="00DF6C29"/>
    <w:rsid w:val="00DF6F7E"/>
    <w:rsid w:val="00DF7173"/>
    <w:rsid w:val="00DF7B88"/>
    <w:rsid w:val="00DF7BC1"/>
    <w:rsid w:val="00DF7DCB"/>
    <w:rsid w:val="00DF7FFC"/>
    <w:rsid w:val="00E001AC"/>
    <w:rsid w:val="00E001F2"/>
    <w:rsid w:val="00E00298"/>
    <w:rsid w:val="00E003CD"/>
    <w:rsid w:val="00E005A6"/>
    <w:rsid w:val="00E00D5C"/>
    <w:rsid w:val="00E00DB1"/>
    <w:rsid w:val="00E00DFE"/>
    <w:rsid w:val="00E00E75"/>
    <w:rsid w:val="00E016B3"/>
    <w:rsid w:val="00E01711"/>
    <w:rsid w:val="00E01E11"/>
    <w:rsid w:val="00E01E61"/>
    <w:rsid w:val="00E025DE"/>
    <w:rsid w:val="00E027F6"/>
    <w:rsid w:val="00E02AFD"/>
    <w:rsid w:val="00E02B7A"/>
    <w:rsid w:val="00E0307D"/>
    <w:rsid w:val="00E03161"/>
    <w:rsid w:val="00E0326D"/>
    <w:rsid w:val="00E03296"/>
    <w:rsid w:val="00E03499"/>
    <w:rsid w:val="00E0383D"/>
    <w:rsid w:val="00E03B0D"/>
    <w:rsid w:val="00E03C63"/>
    <w:rsid w:val="00E03D05"/>
    <w:rsid w:val="00E03FF8"/>
    <w:rsid w:val="00E04382"/>
    <w:rsid w:val="00E04456"/>
    <w:rsid w:val="00E049B2"/>
    <w:rsid w:val="00E049EC"/>
    <w:rsid w:val="00E04CC1"/>
    <w:rsid w:val="00E04DCA"/>
    <w:rsid w:val="00E04E2E"/>
    <w:rsid w:val="00E04F6C"/>
    <w:rsid w:val="00E050E1"/>
    <w:rsid w:val="00E05427"/>
    <w:rsid w:val="00E05560"/>
    <w:rsid w:val="00E05594"/>
    <w:rsid w:val="00E05919"/>
    <w:rsid w:val="00E061C8"/>
    <w:rsid w:val="00E063C0"/>
    <w:rsid w:val="00E0671C"/>
    <w:rsid w:val="00E067E3"/>
    <w:rsid w:val="00E068B0"/>
    <w:rsid w:val="00E06F3F"/>
    <w:rsid w:val="00E0700C"/>
    <w:rsid w:val="00E0711A"/>
    <w:rsid w:val="00E07338"/>
    <w:rsid w:val="00E0750F"/>
    <w:rsid w:val="00E076A2"/>
    <w:rsid w:val="00E076BF"/>
    <w:rsid w:val="00E077BF"/>
    <w:rsid w:val="00E07987"/>
    <w:rsid w:val="00E07BB6"/>
    <w:rsid w:val="00E07E8F"/>
    <w:rsid w:val="00E07EC5"/>
    <w:rsid w:val="00E1013D"/>
    <w:rsid w:val="00E109DE"/>
    <w:rsid w:val="00E10D23"/>
    <w:rsid w:val="00E1103E"/>
    <w:rsid w:val="00E1103F"/>
    <w:rsid w:val="00E118E3"/>
    <w:rsid w:val="00E118F8"/>
    <w:rsid w:val="00E11A49"/>
    <w:rsid w:val="00E11B76"/>
    <w:rsid w:val="00E11CB2"/>
    <w:rsid w:val="00E11D05"/>
    <w:rsid w:val="00E11DC6"/>
    <w:rsid w:val="00E11FAE"/>
    <w:rsid w:val="00E12085"/>
    <w:rsid w:val="00E1223D"/>
    <w:rsid w:val="00E12321"/>
    <w:rsid w:val="00E1242F"/>
    <w:rsid w:val="00E12687"/>
    <w:rsid w:val="00E127CC"/>
    <w:rsid w:val="00E12BF9"/>
    <w:rsid w:val="00E12E07"/>
    <w:rsid w:val="00E12F68"/>
    <w:rsid w:val="00E12FB8"/>
    <w:rsid w:val="00E13188"/>
    <w:rsid w:val="00E1359C"/>
    <w:rsid w:val="00E135B1"/>
    <w:rsid w:val="00E13718"/>
    <w:rsid w:val="00E1377B"/>
    <w:rsid w:val="00E1391D"/>
    <w:rsid w:val="00E13B14"/>
    <w:rsid w:val="00E13D3C"/>
    <w:rsid w:val="00E14095"/>
    <w:rsid w:val="00E14129"/>
    <w:rsid w:val="00E141D7"/>
    <w:rsid w:val="00E1428E"/>
    <w:rsid w:val="00E1448C"/>
    <w:rsid w:val="00E147ED"/>
    <w:rsid w:val="00E148C7"/>
    <w:rsid w:val="00E14917"/>
    <w:rsid w:val="00E149E5"/>
    <w:rsid w:val="00E14A34"/>
    <w:rsid w:val="00E14BB4"/>
    <w:rsid w:val="00E14DE4"/>
    <w:rsid w:val="00E14E53"/>
    <w:rsid w:val="00E14FCA"/>
    <w:rsid w:val="00E15051"/>
    <w:rsid w:val="00E15445"/>
    <w:rsid w:val="00E154BC"/>
    <w:rsid w:val="00E15F3C"/>
    <w:rsid w:val="00E162D2"/>
    <w:rsid w:val="00E166EB"/>
    <w:rsid w:val="00E16726"/>
    <w:rsid w:val="00E1682B"/>
    <w:rsid w:val="00E16952"/>
    <w:rsid w:val="00E16B29"/>
    <w:rsid w:val="00E16DCC"/>
    <w:rsid w:val="00E16EBB"/>
    <w:rsid w:val="00E16ED8"/>
    <w:rsid w:val="00E16FCB"/>
    <w:rsid w:val="00E172E7"/>
    <w:rsid w:val="00E173D6"/>
    <w:rsid w:val="00E17498"/>
    <w:rsid w:val="00E174F0"/>
    <w:rsid w:val="00E17627"/>
    <w:rsid w:val="00E17A88"/>
    <w:rsid w:val="00E17B88"/>
    <w:rsid w:val="00E17BFE"/>
    <w:rsid w:val="00E17C67"/>
    <w:rsid w:val="00E17CD0"/>
    <w:rsid w:val="00E17D11"/>
    <w:rsid w:val="00E17D4D"/>
    <w:rsid w:val="00E17F21"/>
    <w:rsid w:val="00E17F34"/>
    <w:rsid w:val="00E200EF"/>
    <w:rsid w:val="00E20306"/>
    <w:rsid w:val="00E204DF"/>
    <w:rsid w:val="00E206D2"/>
    <w:rsid w:val="00E20731"/>
    <w:rsid w:val="00E20813"/>
    <w:rsid w:val="00E20919"/>
    <w:rsid w:val="00E20B59"/>
    <w:rsid w:val="00E20C34"/>
    <w:rsid w:val="00E20C3F"/>
    <w:rsid w:val="00E20CC7"/>
    <w:rsid w:val="00E20DC8"/>
    <w:rsid w:val="00E20E22"/>
    <w:rsid w:val="00E20E7B"/>
    <w:rsid w:val="00E20F27"/>
    <w:rsid w:val="00E20FA0"/>
    <w:rsid w:val="00E20FA9"/>
    <w:rsid w:val="00E21316"/>
    <w:rsid w:val="00E213EB"/>
    <w:rsid w:val="00E2170F"/>
    <w:rsid w:val="00E21B4E"/>
    <w:rsid w:val="00E21EAE"/>
    <w:rsid w:val="00E22135"/>
    <w:rsid w:val="00E22452"/>
    <w:rsid w:val="00E225CB"/>
    <w:rsid w:val="00E22665"/>
    <w:rsid w:val="00E22686"/>
    <w:rsid w:val="00E2272D"/>
    <w:rsid w:val="00E2279B"/>
    <w:rsid w:val="00E22D4E"/>
    <w:rsid w:val="00E22D80"/>
    <w:rsid w:val="00E22D99"/>
    <w:rsid w:val="00E22EC8"/>
    <w:rsid w:val="00E22FE0"/>
    <w:rsid w:val="00E23172"/>
    <w:rsid w:val="00E233D2"/>
    <w:rsid w:val="00E233E7"/>
    <w:rsid w:val="00E23541"/>
    <w:rsid w:val="00E23744"/>
    <w:rsid w:val="00E23B97"/>
    <w:rsid w:val="00E23BE2"/>
    <w:rsid w:val="00E23C92"/>
    <w:rsid w:val="00E23E64"/>
    <w:rsid w:val="00E2436B"/>
    <w:rsid w:val="00E2452B"/>
    <w:rsid w:val="00E245DD"/>
    <w:rsid w:val="00E246EC"/>
    <w:rsid w:val="00E246F8"/>
    <w:rsid w:val="00E24922"/>
    <w:rsid w:val="00E24D49"/>
    <w:rsid w:val="00E24E75"/>
    <w:rsid w:val="00E25445"/>
    <w:rsid w:val="00E2544E"/>
    <w:rsid w:val="00E2580F"/>
    <w:rsid w:val="00E2581B"/>
    <w:rsid w:val="00E2593C"/>
    <w:rsid w:val="00E25AE7"/>
    <w:rsid w:val="00E25C59"/>
    <w:rsid w:val="00E25E57"/>
    <w:rsid w:val="00E25EEF"/>
    <w:rsid w:val="00E25FA6"/>
    <w:rsid w:val="00E2608F"/>
    <w:rsid w:val="00E2612A"/>
    <w:rsid w:val="00E26166"/>
    <w:rsid w:val="00E264E8"/>
    <w:rsid w:val="00E26591"/>
    <w:rsid w:val="00E265EF"/>
    <w:rsid w:val="00E2666E"/>
    <w:rsid w:val="00E26B43"/>
    <w:rsid w:val="00E26B4A"/>
    <w:rsid w:val="00E26BE6"/>
    <w:rsid w:val="00E26C54"/>
    <w:rsid w:val="00E26CCE"/>
    <w:rsid w:val="00E26D25"/>
    <w:rsid w:val="00E2743F"/>
    <w:rsid w:val="00E27445"/>
    <w:rsid w:val="00E27EC6"/>
    <w:rsid w:val="00E30465"/>
    <w:rsid w:val="00E3057D"/>
    <w:rsid w:val="00E30E68"/>
    <w:rsid w:val="00E30EF7"/>
    <w:rsid w:val="00E30F14"/>
    <w:rsid w:val="00E31149"/>
    <w:rsid w:val="00E3114B"/>
    <w:rsid w:val="00E31438"/>
    <w:rsid w:val="00E3156D"/>
    <w:rsid w:val="00E31626"/>
    <w:rsid w:val="00E31660"/>
    <w:rsid w:val="00E3187B"/>
    <w:rsid w:val="00E31A44"/>
    <w:rsid w:val="00E31CDF"/>
    <w:rsid w:val="00E31DDE"/>
    <w:rsid w:val="00E31E23"/>
    <w:rsid w:val="00E321D7"/>
    <w:rsid w:val="00E3241A"/>
    <w:rsid w:val="00E32453"/>
    <w:rsid w:val="00E32611"/>
    <w:rsid w:val="00E32751"/>
    <w:rsid w:val="00E32B78"/>
    <w:rsid w:val="00E32BB3"/>
    <w:rsid w:val="00E32BBD"/>
    <w:rsid w:val="00E32BC3"/>
    <w:rsid w:val="00E32BE1"/>
    <w:rsid w:val="00E32CD6"/>
    <w:rsid w:val="00E3308A"/>
    <w:rsid w:val="00E3315E"/>
    <w:rsid w:val="00E33242"/>
    <w:rsid w:val="00E33453"/>
    <w:rsid w:val="00E339F8"/>
    <w:rsid w:val="00E33AAB"/>
    <w:rsid w:val="00E33BF3"/>
    <w:rsid w:val="00E33D4D"/>
    <w:rsid w:val="00E33E9E"/>
    <w:rsid w:val="00E340B0"/>
    <w:rsid w:val="00E342C2"/>
    <w:rsid w:val="00E3433B"/>
    <w:rsid w:val="00E34895"/>
    <w:rsid w:val="00E34CFE"/>
    <w:rsid w:val="00E34E29"/>
    <w:rsid w:val="00E3552B"/>
    <w:rsid w:val="00E35574"/>
    <w:rsid w:val="00E35656"/>
    <w:rsid w:val="00E356DC"/>
    <w:rsid w:val="00E35AD7"/>
    <w:rsid w:val="00E35C47"/>
    <w:rsid w:val="00E35D51"/>
    <w:rsid w:val="00E35E75"/>
    <w:rsid w:val="00E3614A"/>
    <w:rsid w:val="00E361D2"/>
    <w:rsid w:val="00E36383"/>
    <w:rsid w:val="00E364E3"/>
    <w:rsid w:val="00E364FF"/>
    <w:rsid w:val="00E36D50"/>
    <w:rsid w:val="00E36E60"/>
    <w:rsid w:val="00E3737E"/>
    <w:rsid w:val="00E374F1"/>
    <w:rsid w:val="00E37503"/>
    <w:rsid w:val="00E3775C"/>
    <w:rsid w:val="00E377CD"/>
    <w:rsid w:val="00E3795C"/>
    <w:rsid w:val="00E379C2"/>
    <w:rsid w:val="00E37A59"/>
    <w:rsid w:val="00E37B2B"/>
    <w:rsid w:val="00E37BCD"/>
    <w:rsid w:val="00E37F2E"/>
    <w:rsid w:val="00E3E347"/>
    <w:rsid w:val="00E4035C"/>
    <w:rsid w:val="00E403C6"/>
    <w:rsid w:val="00E403FF"/>
    <w:rsid w:val="00E4042F"/>
    <w:rsid w:val="00E4051E"/>
    <w:rsid w:val="00E4058E"/>
    <w:rsid w:val="00E40612"/>
    <w:rsid w:val="00E408AF"/>
    <w:rsid w:val="00E40996"/>
    <w:rsid w:val="00E40ACD"/>
    <w:rsid w:val="00E40B0D"/>
    <w:rsid w:val="00E40B13"/>
    <w:rsid w:val="00E40EEE"/>
    <w:rsid w:val="00E40F07"/>
    <w:rsid w:val="00E40F27"/>
    <w:rsid w:val="00E40F40"/>
    <w:rsid w:val="00E40FAD"/>
    <w:rsid w:val="00E41221"/>
    <w:rsid w:val="00E41509"/>
    <w:rsid w:val="00E41560"/>
    <w:rsid w:val="00E417F2"/>
    <w:rsid w:val="00E41A92"/>
    <w:rsid w:val="00E41F1B"/>
    <w:rsid w:val="00E42111"/>
    <w:rsid w:val="00E421C4"/>
    <w:rsid w:val="00E42272"/>
    <w:rsid w:val="00E425CB"/>
    <w:rsid w:val="00E42689"/>
    <w:rsid w:val="00E42B19"/>
    <w:rsid w:val="00E42B7D"/>
    <w:rsid w:val="00E42F53"/>
    <w:rsid w:val="00E42FC7"/>
    <w:rsid w:val="00E42FDC"/>
    <w:rsid w:val="00E4312A"/>
    <w:rsid w:val="00E43138"/>
    <w:rsid w:val="00E4329E"/>
    <w:rsid w:val="00E43312"/>
    <w:rsid w:val="00E43318"/>
    <w:rsid w:val="00E435FE"/>
    <w:rsid w:val="00E43A25"/>
    <w:rsid w:val="00E43CC7"/>
    <w:rsid w:val="00E43CE4"/>
    <w:rsid w:val="00E43D3D"/>
    <w:rsid w:val="00E43EEA"/>
    <w:rsid w:val="00E43F43"/>
    <w:rsid w:val="00E44681"/>
    <w:rsid w:val="00E4476E"/>
    <w:rsid w:val="00E44AFB"/>
    <w:rsid w:val="00E44BD8"/>
    <w:rsid w:val="00E44CA7"/>
    <w:rsid w:val="00E44D40"/>
    <w:rsid w:val="00E4506A"/>
    <w:rsid w:val="00E4567E"/>
    <w:rsid w:val="00E456D2"/>
    <w:rsid w:val="00E45773"/>
    <w:rsid w:val="00E457F4"/>
    <w:rsid w:val="00E45A96"/>
    <w:rsid w:val="00E45C2F"/>
    <w:rsid w:val="00E45CB2"/>
    <w:rsid w:val="00E45D2F"/>
    <w:rsid w:val="00E45EA6"/>
    <w:rsid w:val="00E45F96"/>
    <w:rsid w:val="00E462A8"/>
    <w:rsid w:val="00E46312"/>
    <w:rsid w:val="00E4680C"/>
    <w:rsid w:val="00E469EE"/>
    <w:rsid w:val="00E46B48"/>
    <w:rsid w:val="00E46B89"/>
    <w:rsid w:val="00E46BA3"/>
    <w:rsid w:val="00E46ED9"/>
    <w:rsid w:val="00E4702D"/>
    <w:rsid w:val="00E47315"/>
    <w:rsid w:val="00E475B7"/>
    <w:rsid w:val="00E476E9"/>
    <w:rsid w:val="00E477D6"/>
    <w:rsid w:val="00E4781E"/>
    <w:rsid w:val="00E479A9"/>
    <w:rsid w:val="00E47A34"/>
    <w:rsid w:val="00E47A8E"/>
    <w:rsid w:val="00E47BEB"/>
    <w:rsid w:val="00E47D0E"/>
    <w:rsid w:val="00E50147"/>
    <w:rsid w:val="00E50240"/>
    <w:rsid w:val="00E50428"/>
    <w:rsid w:val="00E5066A"/>
    <w:rsid w:val="00E50827"/>
    <w:rsid w:val="00E5084D"/>
    <w:rsid w:val="00E5085D"/>
    <w:rsid w:val="00E509C3"/>
    <w:rsid w:val="00E50A44"/>
    <w:rsid w:val="00E50AF3"/>
    <w:rsid w:val="00E50D81"/>
    <w:rsid w:val="00E50E7F"/>
    <w:rsid w:val="00E50F22"/>
    <w:rsid w:val="00E50F46"/>
    <w:rsid w:val="00E511F2"/>
    <w:rsid w:val="00E513AF"/>
    <w:rsid w:val="00E5183E"/>
    <w:rsid w:val="00E51A79"/>
    <w:rsid w:val="00E51E21"/>
    <w:rsid w:val="00E52026"/>
    <w:rsid w:val="00E5234C"/>
    <w:rsid w:val="00E52423"/>
    <w:rsid w:val="00E5243B"/>
    <w:rsid w:val="00E5259D"/>
    <w:rsid w:val="00E5283F"/>
    <w:rsid w:val="00E52A37"/>
    <w:rsid w:val="00E52EBD"/>
    <w:rsid w:val="00E52F3A"/>
    <w:rsid w:val="00E53318"/>
    <w:rsid w:val="00E53361"/>
    <w:rsid w:val="00E53588"/>
    <w:rsid w:val="00E535E4"/>
    <w:rsid w:val="00E536E6"/>
    <w:rsid w:val="00E53E17"/>
    <w:rsid w:val="00E54041"/>
    <w:rsid w:val="00E541EB"/>
    <w:rsid w:val="00E542EC"/>
    <w:rsid w:val="00E5437E"/>
    <w:rsid w:val="00E543AA"/>
    <w:rsid w:val="00E545ED"/>
    <w:rsid w:val="00E5481D"/>
    <w:rsid w:val="00E54A2F"/>
    <w:rsid w:val="00E54BB7"/>
    <w:rsid w:val="00E54CAF"/>
    <w:rsid w:val="00E54E8A"/>
    <w:rsid w:val="00E54F0A"/>
    <w:rsid w:val="00E5517E"/>
    <w:rsid w:val="00E552ED"/>
    <w:rsid w:val="00E55323"/>
    <w:rsid w:val="00E5534E"/>
    <w:rsid w:val="00E55417"/>
    <w:rsid w:val="00E55575"/>
    <w:rsid w:val="00E55A3E"/>
    <w:rsid w:val="00E55C6A"/>
    <w:rsid w:val="00E567A3"/>
    <w:rsid w:val="00E56847"/>
    <w:rsid w:val="00E57117"/>
    <w:rsid w:val="00E5725E"/>
    <w:rsid w:val="00E57537"/>
    <w:rsid w:val="00E57BCE"/>
    <w:rsid w:val="00E57C75"/>
    <w:rsid w:val="00E57D5A"/>
    <w:rsid w:val="00E601A4"/>
    <w:rsid w:val="00E60226"/>
    <w:rsid w:val="00E606CC"/>
    <w:rsid w:val="00E60BCB"/>
    <w:rsid w:val="00E60C7E"/>
    <w:rsid w:val="00E60F1D"/>
    <w:rsid w:val="00E60F28"/>
    <w:rsid w:val="00E60FE5"/>
    <w:rsid w:val="00E610EB"/>
    <w:rsid w:val="00E6140E"/>
    <w:rsid w:val="00E6142A"/>
    <w:rsid w:val="00E615A6"/>
    <w:rsid w:val="00E6165F"/>
    <w:rsid w:val="00E6182E"/>
    <w:rsid w:val="00E618F1"/>
    <w:rsid w:val="00E61A06"/>
    <w:rsid w:val="00E61D34"/>
    <w:rsid w:val="00E61DC8"/>
    <w:rsid w:val="00E61ECE"/>
    <w:rsid w:val="00E6223E"/>
    <w:rsid w:val="00E628AF"/>
    <w:rsid w:val="00E62A0A"/>
    <w:rsid w:val="00E62A4C"/>
    <w:rsid w:val="00E62AA6"/>
    <w:rsid w:val="00E62AAA"/>
    <w:rsid w:val="00E62B43"/>
    <w:rsid w:val="00E62D36"/>
    <w:rsid w:val="00E63026"/>
    <w:rsid w:val="00E63080"/>
    <w:rsid w:val="00E630E6"/>
    <w:rsid w:val="00E6310D"/>
    <w:rsid w:val="00E63456"/>
    <w:rsid w:val="00E63541"/>
    <w:rsid w:val="00E636D0"/>
    <w:rsid w:val="00E637B4"/>
    <w:rsid w:val="00E63B01"/>
    <w:rsid w:val="00E63B61"/>
    <w:rsid w:val="00E63CDB"/>
    <w:rsid w:val="00E63F0C"/>
    <w:rsid w:val="00E6449B"/>
    <w:rsid w:val="00E64733"/>
    <w:rsid w:val="00E64B83"/>
    <w:rsid w:val="00E64CBA"/>
    <w:rsid w:val="00E64E07"/>
    <w:rsid w:val="00E65033"/>
    <w:rsid w:val="00E651C4"/>
    <w:rsid w:val="00E6529D"/>
    <w:rsid w:val="00E654FF"/>
    <w:rsid w:val="00E65796"/>
    <w:rsid w:val="00E6587C"/>
    <w:rsid w:val="00E65BE4"/>
    <w:rsid w:val="00E66ACC"/>
    <w:rsid w:val="00E66C10"/>
    <w:rsid w:val="00E66ED0"/>
    <w:rsid w:val="00E672BB"/>
    <w:rsid w:val="00E6791B"/>
    <w:rsid w:val="00E6799D"/>
    <w:rsid w:val="00E679AB"/>
    <w:rsid w:val="00E67B6B"/>
    <w:rsid w:val="00E67CC2"/>
    <w:rsid w:val="00E70181"/>
    <w:rsid w:val="00E70191"/>
    <w:rsid w:val="00E70205"/>
    <w:rsid w:val="00E703C0"/>
    <w:rsid w:val="00E70673"/>
    <w:rsid w:val="00E70778"/>
    <w:rsid w:val="00E70958"/>
    <w:rsid w:val="00E70B65"/>
    <w:rsid w:val="00E70CC6"/>
    <w:rsid w:val="00E70D3C"/>
    <w:rsid w:val="00E70FA0"/>
    <w:rsid w:val="00E70FAD"/>
    <w:rsid w:val="00E70FC1"/>
    <w:rsid w:val="00E710DB"/>
    <w:rsid w:val="00E71521"/>
    <w:rsid w:val="00E7171C"/>
    <w:rsid w:val="00E71A36"/>
    <w:rsid w:val="00E71AA3"/>
    <w:rsid w:val="00E7222B"/>
    <w:rsid w:val="00E72416"/>
    <w:rsid w:val="00E725F2"/>
    <w:rsid w:val="00E7270E"/>
    <w:rsid w:val="00E7280A"/>
    <w:rsid w:val="00E72A3F"/>
    <w:rsid w:val="00E72AF6"/>
    <w:rsid w:val="00E731CF"/>
    <w:rsid w:val="00E73220"/>
    <w:rsid w:val="00E732FF"/>
    <w:rsid w:val="00E73396"/>
    <w:rsid w:val="00E73486"/>
    <w:rsid w:val="00E73A92"/>
    <w:rsid w:val="00E7400D"/>
    <w:rsid w:val="00E7474D"/>
    <w:rsid w:val="00E7485C"/>
    <w:rsid w:val="00E74912"/>
    <w:rsid w:val="00E74A5A"/>
    <w:rsid w:val="00E74B8E"/>
    <w:rsid w:val="00E7502E"/>
    <w:rsid w:val="00E753B1"/>
    <w:rsid w:val="00E75465"/>
    <w:rsid w:val="00E75504"/>
    <w:rsid w:val="00E75682"/>
    <w:rsid w:val="00E7572B"/>
    <w:rsid w:val="00E75AA8"/>
    <w:rsid w:val="00E75BAE"/>
    <w:rsid w:val="00E75C67"/>
    <w:rsid w:val="00E75E25"/>
    <w:rsid w:val="00E75ED1"/>
    <w:rsid w:val="00E76282"/>
    <w:rsid w:val="00E762A3"/>
    <w:rsid w:val="00E76709"/>
    <w:rsid w:val="00E769CD"/>
    <w:rsid w:val="00E76CA1"/>
    <w:rsid w:val="00E76CCE"/>
    <w:rsid w:val="00E76FBE"/>
    <w:rsid w:val="00E77099"/>
    <w:rsid w:val="00E77238"/>
    <w:rsid w:val="00E772F4"/>
    <w:rsid w:val="00E7761B"/>
    <w:rsid w:val="00E778D4"/>
    <w:rsid w:val="00E77AC0"/>
    <w:rsid w:val="00E77B50"/>
    <w:rsid w:val="00E80941"/>
    <w:rsid w:val="00E809E5"/>
    <w:rsid w:val="00E80AE1"/>
    <w:rsid w:val="00E80CEF"/>
    <w:rsid w:val="00E80E7F"/>
    <w:rsid w:val="00E8126B"/>
    <w:rsid w:val="00E814A3"/>
    <w:rsid w:val="00E81791"/>
    <w:rsid w:val="00E81B22"/>
    <w:rsid w:val="00E81ED1"/>
    <w:rsid w:val="00E81F33"/>
    <w:rsid w:val="00E820ED"/>
    <w:rsid w:val="00E822CD"/>
    <w:rsid w:val="00E822DE"/>
    <w:rsid w:val="00E82359"/>
    <w:rsid w:val="00E825DC"/>
    <w:rsid w:val="00E82637"/>
    <w:rsid w:val="00E82982"/>
    <w:rsid w:val="00E829C4"/>
    <w:rsid w:val="00E829DD"/>
    <w:rsid w:val="00E82E7E"/>
    <w:rsid w:val="00E82F5A"/>
    <w:rsid w:val="00E830D5"/>
    <w:rsid w:val="00E83246"/>
    <w:rsid w:val="00E832EB"/>
    <w:rsid w:val="00E839C7"/>
    <w:rsid w:val="00E839ED"/>
    <w:rsid w:val="00E83BFA"/>
    <w:rsid w:val="00E83E78"/>
    <w:rsid w:val="00E83EF7"/>
    <w:rsid w:val="00E841F9"/>
    <w:rsid w:val="00E849F4"/>
    <w:rsid w:val="00E84BC0"/>
    <w:rsid w:val="00E84EBF"/>
    <w:rsid w:val="00E84F97"/>
    <w:rsid w:val="00E8513E"/>
    <w:rsid w:val="00E852AF"/>
    <w:rsid w:val="00E85531"/>
    <w:rsid w:val="00E85762"/>
    <w:rsid w:val="00E858D3"/>
    <w:rsid w:val="00E85928"/>
    <w:rsid w:val="00E85C80"/>
    <w:rsid w:val="00E86296"/>
    <w:rsid w:val="00E86583"/>
    <w:rsid w:val="00E866EF"/>
    <w:rsid w:val="00E86996"/>
    <w:rsid w:val="00E869EB"/>
    <w:rsid w:val="00E86A83"/>
    <w:rsid w:val="00E8719B"/>
    <w:rsid w:val="00E871F8"/>
    <w:rsid w:val="00E872F8"/>
    <w:rsid w:val="00E876CA"/>
    <w:rsid w:val="00E8785D"/>
    <w:rsid w:val="00E87C8A"/>
    <w:rsid w:val="00E87F0E"/>
    <w:rsid w:val="00E9008B"/>
    <w:rsid w:val="00E900EA"/>
    <w:rsid w:val="00E90120"/>
    <w:rsid w:val="00E903BE"/>
    <w:rsid w:val="00E90456"/>
    <w:rsid w:val="00E9052E"/>
    <w:rsid w:val="00E9079D"/>
    <w:rsid w:val="00E90A43"/>
    <w:rsid w:val="00E90C07"/>
    <w:rsid w:val="00E91044"/>
    <w:rsid w:val="00E91070"/>
    <w:rsid w:val="00E91204"/>
    <w:rsid w:val="00E91361"/>
    <w:rsid w:val="00E914BD"/>
    <w:rsid w:val="00E915B3"/>
    <w:rsid w:val="00E9183D"/>
    <w:rsid w:val="00E919CF"/>
    <w:rsid w:val="00E91E4D"/>
    <w:rsid w:val="00E91EF4"/>
    <w:rsid w:val="00E92246"/>
    <w:rsid w:val="00E924B4"/>
    <w:rsid w:val="00E92817"/>
    <w:rsid w:val="00E92BBE"/>
    <w:rsid w:val="00E92D0D"/>
    <w:rsid w:val="00E92F19"/>
    <w:rsid w:val="00E930D0"/>
    <w:rsid w:val="00E93132"/>
    <w:rsid w:val="00E93783"/>
    <w:rsid w:val="00E93A89"/>
    <w:rsid w:val="00E93D5B"/>
    <w:rsid w:val="00E93F3B"/>
    <w:rsid w:val="00E94005"/>
    <w:rsid w:val="00E942C3"/>
    <w:rsid w:val="00E94322"/>
    <w:rsid w:val="00E944BD"/>
    <w:rsid w:val="00E944E1"/>
    <w:rsid w:val="00E94527"/>
    <w:rsid w:val="00E9473F"/>
    <w:rsid w:val="00E94B4F"/>
    <w:rsid w:val="00E94FBF"/>
    <w:rsid w:val="00E952F5"/>
    <w:rsid w:val="00E954EE"/>
    <w:rsid w:val="00E95588"/>
    <w:rsid w:val="00E95BC0"/>
    <w:rsid w:val="00E95CF5"/>
    <w:rsid w:val="00E95FD3"/>
    <w:rsid w:val="00E963AA"/>
    <w:rsid w:val="00E9692A"/>
    <w:rsid w:val="00E9694C"/>
    <w:rsid w:val="00E96A5B"/>
    <w:rsid w:val="00E96D01"/>
    <w:rsid w:val="00E96E41"/>
    <w:rsid w:val="00E9705D"/>
    <w:rsid w:val="00E97206"/>
    <w:rsid w:val="00E97262"/>
    <w:rsid w:val="00E978ED"/>
    <w:rsid w:val="00E97A07"/>
    <w:rsid w:val="00EA0076"/>
    <w:rsid w:val="00EA009E"/>
    <w:rsid w:val="00EA013C"/>
    <w:rsid w:val="00EA0296"/>
    <w:rsid w:val="00EA02F6"/>
    <w:rsid w:val="00EA0615"/>
    <w:rsid w:val="00EA0D35"/>
    <w:rsid w:val="00EA1576"/>
    <w:rsid w:val="00EA15CD"/>
    <w:rsid w:val="00EA16BD"/>
    <w:rsid w:val="00EA1B06"/>
    <w:rsid w:val="00EA1CAC"/>
    <w:rsid w:val="00EA1D1D"/>
    <w:rsid w:val="00EA1DD9"/>
    <w:rsid w:val="00EA2BF2"/>
    <w:rsid w:val="00EA2C02"/>
    <w:rsid w:val="00EA2EC6"/>
    <w:rsid w:val="00EA3257"/>
    <w:rsid w:val="00EA32B3"/>
    <w:rsid w:val="00EA3338"/>
    <w:rsid w:val="00EA34A1"/>
    <w:rsid w:val="00EA3677"/>
    <w:rsid w:val="00EA37EB"/>
    <w:rsid w:val="00EA38F8"/>
    <w:rsid w:val="00EA396F"/>
    <w:rsid w:val="00EA3AA9"/>
    <w:rsid w:val="00EA3AC3"/>
    <w:rsid w:val="00EA3C12"/>
    <w:rsid w:val="00EA3D84"/>
    <w:rsid w:val="00EA420E"/>
    <w:rsid w:val="00EA42F4"/>
    <w:rsid w:val="00EA439F"/>
    <w:rsid w:val="00EA46D1"/>
    <w:rsid w:val="00EA46E4"/>
    <w:rsid w:val="00EA46EF"/>
    <w:rsid w:val="00EA48D5"/>
    <w:rsid w:val="00EA4A8A"/>
    <w:rsid w:val="00EA4C6C"/>
    <w:rsid w:val="00EA4DC9"/>
    <w:rsid w:val="00EA567F"/>
    <w:rsid w:val="00EA5714"/>
    <w:rsid w:val="00EA5881"/>
    <w:rsid w:val="00EA5BA5"/>
    <w:rsid w:val="00EA6292"/>
    <w:rsid w:val="00EA6620"/>
    <w:rsid w:val="00EA6855"/>
    <w:rsid w:val="00EA6A6D"/>
    <w:rsid w:val="00EA6A96"/>
    <w:rsid w:val="00EA6AB0"/>
    <w:rsid w:val="00EA6B08"/>
    <w:rsid w:val="00EA6B4F"/>
    <w:rsid w:val="00EA6D77"/>
    <w:rsid w:val="00EA6FB6"/>
    <w:rsid w:val="00EA711E"/>
    <w:rsid w:val="00EA71A8"/>
    <w:rsid w:val="00EA737A"/>
    <w:rsid w:val="00EA7410"/>
    <w:rsid w:val="00EA7990"/>
    <w:rsid w:val="00EA7A2D"/>
    <w:rsid w:val="00EA7A79"/>
    <w:rsid w:val="00EA7C3E"/>
    <w:rsid w:val="00EB0090"/>
    <w:rsid w:val="00EB01DD"/>
    <w:rsid w:val="00EB02E7"/>
    <w:rsid w:val="00EB032D"/>
    <w:rsid w:val="00EB0537"/>
    <w:rsid w:val="00EB06E2"/>
    <w:rsid w:val="00EB0914"/>
    <w:rsid w:val="00EB0921"/>
    <w:rsid w:val="00EB0980"/>
    <w:rsid w:val="00EB0AB8"/>
    <w:rsid w:val="00EB0D65"/>
    <w:rsid w:val="00EB1096"/>
    <w:rsid w:val="00EB1492"/>
    <w:rsid w:val="00EB14BE"/>
    <w:rsid w:val="00EB1773"/>
    <w:rsid w:val="00EB1821"/>
    <w:rsid w:val="00EB1A03"/>
    <w:rsid w:val="00EB1A45"/>
    <w:rsid w:val="00EB23CC"/>
    <w:rsid w:val="00EB27DA"/>
    <w:rsid w:val="00EB27DE"/>
    <w:rsid w:val="00EB2865"/>
    <w:rsid w:val="00EB2CAA"/>
    <w:rsid w:val="00EB2E01"/>
    <w:rsid w:val="00EB2EE1"/>
    <w:rsid w:val="00EB3105"/>
    <w:rsid w:val="00EB321D"/>
    <w:rsid w:val="00EB33C1"/>
    <w:rsid w:val="00EB34ED"/>
    <w:rsid w:val="00EB3757"/>
    <w:rsid w:val="00EB3946"/>
    <w:rsid w:val="00EB3BC2"/>
    <w:rsid w:val="00EB410B"/>
    <w:rsid w:val="00EB41A0"/>
    <w:rsid w:val="00EB4264"/>
    <w:rsid w:val="00EB44C6"/>
    <w:rsid w:val="00EB4B1A"/>
    <w:rsid w:val="00EB4B50"/>
    <w:rsid w:val="00EB4BE3"/>
    <w:rsid w:val="00EB4DAA"/>
    <w:rsid w:val="00EB4DDB"/>
    <w:rsid w:val="00EB4FBC"/>
    <w:rsid w:val="00EB51F9"/>
    <w:rsid w:val="00EB53B9"/>
    <w:rsid w:val="00EB5413"/>
    <w:rsid w:val="00EB55ED"/>
    <w:rsid w:val="00EB5B41"/>
    <w:rsid w:val="00EB5CDC"/>
    <w:rsid w:val="00EB5E57"/>
    <w:rsid w:val="00EB5F8F"/>
    <w:rsid w:val="00EB6129"/>
    <w:rsid w:val="00EB6454"/>
    <w:rsid w:val="00EB64CB"/>
    <w:rsid w:val="00EB669A"/>
    <w:rsid w:val="00EB675D"/>
    <w:rsid w:val="00EB68AC"/>
    <w:rsid w:val="00EB6B2E"/>
    <w:rsid w:val="00EB6B48"/>
    <w:rsid w:val="00EB6E34"/>
    <w:rsid w:val="00EB6E39"/>
    <w:rsid w:val="00EB717C"/>
    <w:rsid w:val="00EB71D8"/>
    <w:rsid w:val="00EB7251"/>
    <w:rsid w:val="00EB73BE"/>
    <w:rsid w:val="00EB7400"/>
    <w:rsid w:val="00EB7486"/>
    <w:rsid w:val="00EB7639"/>
    <w:rsid w:val="00EB76E9"/>
    <w:rsid w:val="00EB7785"/>
    <w:rsid w:val="00EB77AD"/>
    <w:rsid w:val="00EB78EF"/>
    <w:rsid w:val="00EB79E1"/>
    <w:rsid w:val="00EB7E9A"/>
    <w:rsid w:val="00EB7F65"/>
    <w:rsid w:val="00EC03CF"/>
    <w:rsid w:val="00EC0577"/>
    <w:rsid w:val="00EC0798"/>
    <w:rsid w:val="00EC0D08"/>
    <w:rsid w:val="00EC0F78"/>
    <w:rsid w:val="00EC1427"/>
    <w:rsid w:val="00EC1544"/>
    <w:rsid w:val="00EC1780"/>
    <w:rsid w:val="00EC1853"/>
    <w:rsid w:val="00EC18BE"/>
    <w:rsid w:val="00EC190A"/>
    <w:rsid w:val="00EC1D2E"/>
    <w:rsid w:val="00EC26AD"/>
    <w:rsid w:val="00EC2735"/>
    <w:rsid w:val="00EC2865"/>
    <w:rsid w:val="00EC2AA6"/>
    <w:rsid w:val="00EC2B46"/>
    <w:rsid w:val="00EC2CE5"/>
    <w:rsid w:val="00EC2D47"/>
    <w:rsid w:val="00EC305A"/>
    <w:rsid w:val="00EC3A6B"/>
    <w:rsid w:val="00EC3E26"/>
    <w:rsid w:val="00EC3FB6"/>
    <w:rsid w:val="00EC4076"/>
    <w:rsid w:val="00EC4450"/>
    <w:rsid w:val="00EC4881"/>
    <w:rsid w:val="00EC4A1E"/>
    <w:rsid w:val="00EC4C4E"/>
    <w:rsid w:val="00EC4C54"/>
    <w:rsid w:val="00EC4F04"/>
    <w:rsid w:val="00EC4F78"/>
    <w:rsid w:val="00EC4FAB"/>
    <w:rsid w:val="00EC5039"/>
    <w:rsid w:val="00EC5053"/>
    <w:rsid w:val="00EC545C"/>
    <w:rsid w:val="00EC546D"/>
    <w:rsid w:val="00EC54CB"/>
    <w:rsid w:val="00EC5589"/>
    <w:rsid w:val="00EC56F1"/>
    <w:rsid w:val="00EC574E"/>
    <w:rsid w:val="00EC5776"/>
    <w:rsid w:val="00EC57D9"/>
    <w:rsid w:val="00EC59CC"/>
    <w:rsid w:val="00EC5C27"/>
    <w:rsid w:val="00EC5C83"/>
    <w:rsid w:val="00EC5E0B"/>
    <w:rsid w:val="00EC5E0E"/>
    <w:rsid w:val="00EC5F2F"/>
    <w:rsid w:val="00EC5F32"/>
    <w:rsid w:val="00EC60D3"/>
    <w:rsid w:val="00EC63FC"/>
    <w:rsid w:val="00EC67A3"/>
    <w:rsid w:val="00EC695A"/>
    <w:rsid w:val="00EC7814"/>
    <w:rsid w:val="00EC781B"/>
    <w:rsid w:val="00EC7E29"/>
    <w:rsid w:val="00ED0135"/>
    <w:rsid w:val="00ED01D0"/>
    <w:rsid w:val="00ED0207"/>
    <w:rsid w:val="00ED03BF"/>
    <w:rsid w:val="00ED03D2"/>
    <w:rsid w:val="00ED040F"/>
    <w:rsid w:val="00ED0545"/>
    <w:rsid w:val="00ED091D"/>
    <w:rsid w:val="00ED0FFF"/>
    <w:rsid w:val="00ED1230"/>
    <w:rsid w:val="00ED1492"/>
    <w:rsid w:val="00ED14E0"/>
    <w:rsid w:val="00ED161B"/>
    <w:rsid w:val="00ED164C"/>
    <w:rsid w:val="00ED16DB"/>
    <w:rsid w:val="00ED179B"/>
    <w:rsid w:val="00ED17FB"/>
    <w:rsid w:val="00ED1857"/>
    <w:rsid w:val="00ED185D"/>
    <w:rsid w:val="00ED1AE8"/>
    <w:rsid w:val="00ED1B8D"/>
    <w:rsid w:val="00ED1B9B"/>
    <w:rsid w:val="00ED1BBF"/>
    <w:rsid w:val="00ED1CDD"/>
    <w:rsid w:val="00ED20BA"/>
    <w:rsid w:val="00ED219A"/>
    <w:rsid w:val="00ED23CE"/>
    <w:rsid w:val="00ED2477"/>
    <w:rsid w:val="00ED25CB"/>
    <w:rsid w:val="00ED2745"/>
    <w:rsid w:val="00ED2804"/>
    <w:rsid w:val="00ED2ADB"/>
    <w:rsid w:val="00ED2CDF"/>
    <w:rsid w:val="00ED2D6B"/>
    <w:rsid w:val="00ED2D83"/>
    <w:rsid w:val="00ED2E0A"/>
    <w:rsid w:val="00ED2F70"/>
    <w:rsid w:val="00ED304E"/>
    <w:rsid w:val="00ED323E"/>
    <w:rsid w:val="00ED3808"/>
    <w:rsid w:val="00ED3A8E"/>
    <w:rsid w:val="00ED3B17"/>
    <w:rsid w:val="00ED3CD4"/>
    <w:rsid w:val="00ED3EEB"/>
    <w:rsid w:val="00ED410F"/>
    <w:rsid w:val="00ED4350"/>
    <w:rsid w:val="00ED44E8"/>
    <w:rsid w:val="00ED45A7"/>
    <w:rsid w:val="00ED4790"/>
    <w:rsid w:val="00ED47BE"/>
    <w:rsid w:val="00ED488B"/>
    <w:rsid w:val="00ED4AAE"/>
    <w:rsid w:val="00ED4CD8"/>
    <w:rsid w:val="00ED51CE"/>
    <w:rsid w:val="00ED5334"/>
    <w:rsid w:val="00ED5ABF"/>
    <w:rsid w:val="00ED5BEB"/>
    <w:rsid w:val="00ED60C2"/>
    <w:rsid w:val="00ED6750"/>
    <w:rsid w:val="00ED6869"/>
    <w:rsid w:val="00ED6B2F"/>
    <w:rsid w:val="00ED6B8D"/>
    <w:rsid w:val="00ED6D44"/>
    <w:rsid w:val="00ED6F9F"/>
    <w:rsid w:val="00ED6FCF"/>
    <w:rsid w:val="00ED70A1"/>
    <w:rsid w:val="00ED7148"/>
    <w:rsid w:val="00ED714E"/>
    <w:rsid w:val="00ED7664"/>
    <w:rsid w:val="00ED767C"/>
    <w:rsid w:val="00ED7A9D"/>
    <w:rsid w:val="00ED7E64"/>
    <w:rsid w:val="00ED7EBC"/>
    <w:rsid w:val="00ED7EE2"/>
    <w:rsid w:val="00EE0031"/>
    <w:rsid w:val="00EE010C"/>
    <w:rsid w:val="00EE0144"/>
    <w:rsid w:val="00EE03C8"/>
    <w:rsid w:val="00EE04BD"/>
    <w:rsid w:val="00EE07F4"/>
    <w:rsid w:val="00EE0901"/>
    <w:rsid w:val="00EE0B7D"/>
    <w:rsid w:val="00EE0BD3"/>
    <w:rsid w:val="00EE0C4F"/>
    <w:rsid w:val="00EE0DBC"/>
    <w:rsid w:val="00EE1252"/>
    <w:rsid w:val="00EE131C"/>
    <w:rsid w:val="00EE1E25"/>
    <w:rsid w:val="00EE1FC8"/>
    <w:rsid w:val="00EE220D"/>
    <w:rsid w:val="00EE2269"/>
    <w:rsid w:val="00EE24A3"/>
    <w:rsid w:val="00EE24EA"/>
    <w:rsid w:val="00EE2538"/>
    <w:rsid w:val="00EE2703"/>
    <w:rsid w:val="00EE2878"/>
    <w:rsid w:val="00EE2978"/>
    <w:rsid w:val="00EE2E03"/>
    <w:rsid w:val="00EE3160"/>
    <w:rsid w:val="00EE31BF"/>
    <w:rsid w:val="00EE35CE"/>
    <w:rsid w:val="00EE3726"/>
    <w:rsid w:val="00EE3955"/>
    <w:rsid w:val="00EE40AA"/>
    <w:rsid w:val="00EE45A9"/>
    <w:rsid w:val="00EE4755"/>
    <w:rsid w:val="00EE4793"/>
    <w:rsid w:val="00EE488B"/>
    <w:rsid w:val="00EE4E38"/>
    <w:rsid w:val="00EE503E"/>
    <w:rsid w:val="00EE50FA"/>
    <w:rsid w:val="00EE52A6"/>
    <w:rsid w:val="00EE54F9"/>
    <w:rsid w:val="00EE56AF"/>
    <w:rsid w:val="00EE5957"/>
    <w:rsid w:val="00EE5A4F"/>
    <w:rsid w:val="00EE5C7C"/>
    <w:rsid w:val="00EE5D5E"/>
    <w:rsid w:val="00EE5DA7"/>
    <w:rsid w:val="00EE6192"/>
    <w:rsid w:val="00EE6360"/>
    <w:rsid w:val="00EE68FD"/>
    <w:rsid w:val="00EE69DF"/>
    <w:rsid w:val="00EE6AE1"/>
    <w:rsid w:val="00EE7348"/>
    <w:rsid w:val="00EE7465"/>
    <w:rsid w:val="00EE7A48"/>
    <w:rsid w:val="00EE7AF0"/>
    <w:rsid w:val="00EE7E4D"/>
    <w:rsid w:val="00EE7F5D"/>
    <w:rsid w:val="00EF0324"/>
    <w:rsid w:val="00EF05AA"/>
    <w:rsid w:val="00EF0AC2"/>
    <w:rsid w:val="00EF0BEA"/>
    <w:rsid w:val="00EF0C34"/>
    <w:rsid w:val="00EF0FF4"/>
    <w:rsid w:val="00EF1067"/>
    <w:rsid w:val="00EF1221"/>
    <w:rsid w:val="00EF12DF"/>
    <w:rsid w:val="00EF1486"/>
    <w:rsid w:val="00EF1781"/>
    <w:rsid w:val="00EF17CC"/>
    <w:rsid w:val="00EF196B"/>
    <w:rsid w:val="00EF1986"/>
    <w:rsid w:val="00EF1F93"/>
    <w:rsid w:val="00EF2004"/>
    <w:rsid w:val="00EF24D4"/>
    <w:rsid w:val="00EF251F"/>
    <w:rsid w:val="00EF2548"/>
    <w:rsid w:val="00EF2A43"/>
    <w:rsid w:val="00EF2A77"/>
    <w:rsid w:val="00EF2C3A"/>
    <w:rsid w:val="00EF2C41"/>
    <w:rsid w:val="00EF2CB8"/>
    <w:rsid w:val="00EF2DCC"/>
    <w:rsid w:val="00EF3067"/>
    <w:rsid w:val="00EF3255"/>
    <w:rsid w:val="00EF32B0"/>
    <w:rsid w:val="00EF346E"/>
    <w:rsid w:val="00EF35C1"/>
    <w:rsid w:val="00EF36F8"/>
    <w:rsid w:val="00EF38B8"/>
    <w:rsid w:val="00EF3D58"/>
    <w:rsid w:val="00EF400F"/>
    <w:rsid w:val="00EF4217"/>
    <w:rsid w:val="00EF45BC"/>
    <w:rsid w:val="00EF47A9"/>
    <w:rsid w:val="00EF47DE"/>
    <w:rsid w:val="00EF49FC"/>
    <w:rsid w:val="00EF4B1D"/>
    <w:rsid w:val="00EF4D82"/>
    <w:rsid w:val="00EF4EBD"/>
    <w:rsid w:val="00EF4F14"/>
    <w:rsid w:val="00EF50C6"/>
    <w:rsid w:val="00EF5113"/>
    <w:rsid w:val="00EF521B"/>
    <w:rsid w:val="00EF5551"/>
    <w:rsid w:val="00EF558F"/>
    <w:rsid w:val="00EF56A1"/>
    <w:rsid w:val="00EF5BAC"/>
    <w:rsid w:val="00EF5D38"/>
    <w:rsid w:val="00EF5E8C"/>
    <w:rsid w:val="00EF5EA1"/>
    <w:rsid w:val="00EF6137"/>
    <w:rsid w:val="00EF62C8"/>
    <w:rsid w:val="00EF639C"/>
    <w:rsid w:val="00EF6455"/>
    <w:rsid w:val="00EF6709"/>
    <w:rsid w:val="00EF681C"/>
    <w:rsid w:val="00EF6A2A"/>
    <w:rsid w:val="00EF6F3F"/>
    <w:rsid w:val="00EF709F"/>
    <w:rsid w:val="00EF7169"/>
    <w:rsid w:val="00EF7174"/>
    <w:rsid w:val="00EF717C"/>
    <w:rsid w:val="00EF7312"/>
    <w:rsid w:val="00EF7382"/>
    <w:rsid w:val="00EF75CC"/>
    <w:rsid w:val="00EF769F"/>
    <w:rsid w:val="00EF7885"/>
    <w:rsid w:val="00EF78CB"/>
    <w:rsid w:val="00EF7C8D"/>
    <w:rsid w:val="00EF7F19"/>
    <w:rsid w:val="00F00C02"/>
    <w:rsid w:val="00F00DA3"/>
    <w:rsid w:val="00F00F33"/>
    <w:rsid w:val="00F014D3"/>
    <w:rsid w:val="00F01537"/>
    <w:rsid w:val="00F01567"/>
    <w:rsid w:val="00F0177B"/>
    <w:rsid w:val="00F01A47"/>
    <w:rsid w:val="00F01B76"/>
    <w:rsid w:val="00F01C44"/>
    <w:rsid w:val="00F01DD1"/>
    <w:rsid w:val="00F01DE1"/>
    <w:rsid w:val="00F01FA4"/>
    <w:rsid w:val="00F0207A"/>
    <w:rsid w:val="00F020A1"/>
    <w:rsid w:val="00F02120"/>
    <w:rsid w:val="00F021D3"/>
    <w:rsid w:val="00F0250A"/>
    <w:rsid w:val="00F02666"/>
    <w:rsid w:val="00F028DF"/>
    <w:rsid w:val="00F02C09"/>
    <w:rsid w:val="00F02C36"/>
    <w:rsid w:val="00F02D43"/>
    <w:rsid w:val="00F02E59"/>
    <w:rsid w:val="00F03181"/>
    <w:rsid w:val="00F03FED"/>
    <w:rsid w:val="00F0419A"/>
    <w:rsid w:val="00F046A8"/>
    <w:rsid w:val="00F0480C"/>
    <w:rsid w:val="00F04C3D"/>
    <w:rsid w:val="00F04D42"/>
    <w:rsid w:val="00F04E08"/>
    <w:rsid w:val="00F04EB9"/>
    <w:rsid w:val="00F050B1"/>
    <w:rsid w:val="00F05182"/>
    <w:rsid w:val="00F053B8"/>
    <w:rsid w:val="00F054F1"/>
    <w:rsid w:val="00F05505"/>
    <w:rsid w:val="00F055A4"/>
    <w:rsid w:val="00F05978"/>
    <w:rsid w:val="00F05B4B"/>
    <w:rsid w:val="00F05EA3"/>
    <w:rsid w:val="00F05F6C"/>
    <w:rsid w:val="00F05FEB"/>
    <w:rsid w:val="00F061FC"/>
    <w:rsid w:val="00F06246"/>
    <w:rsid w:val="00F064D0"/>
    <w:rsid w:val="00F065E6"/>
    <w:rsid w:val="00F067DE"/>
    <w:rsid w:val="00F06989"/>
    <w:rsid w:val="00F06D1C"/>
    <w:rsid w:val="00F06F6E"/>
    <w:rsid w:val="00F0770B"/>
    <w:rsid w:val="00F078C7"/>
    <w:rsid w:val="00F0794D"/>
    <w:rsid w:val="00F07B0C"/>
    <w:rsid w:val="00F07C8A"/>
    <w:rsid w:val="00F07CBC"/>
    <w:rsid w:val="00F07CE6"/>
    <w:rsid w:val="00F07F12"/>
    <w:rsid w:val="00F07F5C"/>
    <w:rsid w:val="00F10A0D"/>
    <w:rsid w:val="00F10CA0"/>
    <w:rsid w:val="00F10DF9"/>
    <w:rsid w:val="00F10F1E"/>
    <w:rsid w:val="00F10FD3"/>
    <w:rsid w:val="00F113CC"/>
    <w:rsid w:val="00F11556"/>
    <w:rsid w:val="00F11740"/>
    <w:rsid w:val="00F11793"/>
    <w:rsid w:val="00F118CA"/>
    <w:rsid w:val="00F118D6"/>
    <w:rsid w:val="00F1191E"/>
    <w:rsid w:val="00F11ABE"/>
    <w:rsid w:val="00F11BD0"/>
    <w:rsid w:val="00F11CD2"/>
    <w:rsid w:val="00F11DBB"/>
    <w:rsid w:val="00F11E00"/>
    <w:rsid w:val="00F120A9"/>
    <w:rsid w:val="00F12336"/>
    <w:rsid w:val="00F124F0"/>
    <w:rsid w:val="00F12694"/>
    <w:rsid w:val="00F127A5"/>
    <w:rsid w:val="00F129CF"/>
    <w:rsid w:val="00F12CCF"/>
    <w:rsid w:val="00F12D0D"/>
    <w:rsid w:val="00F12E6A"/>
    <w:rsid w:val="00F1308E"/>
    <w:rsid w:val="00F13AF5"/>
    <w:rsid w:val="00F13B64"/>
    <w:rsid w:val="00F13E12"/>
    <w:rsid w:val="00F13E30"/>
    <w:rsid w:val="00F13FF0"/>
    <w:rsid w:val="00F14265"/>
    <w:rsid w:val="00F14507"/>
    <w:rsid w:val="00F14684"/>
    <w:rsid w:val="00F1473E"/>
    <w:rsid w:val="00F14B89"/>
    <w:rsid w:val="00F14E98"/>
    <w:rsid w:val="00F14E9E"/>
    <w:rsid w:val="00F1511C"/>
    <w:rsid w:val="00F15865"/>
    <w:rsid w:val="00F159AE"/>
    <w:rsid w:val="00F159F6"/>
    <w:rsid w:val="00F1619D"/>
    <w:rsid w:val="00F161F1"/>
    <w:rsid w:val="00F163A6"/>
    <w:rsid w:val="00F16731"/>
    <w:rsid w:val="00F16823"/>
    <w:rsid w:val="00F16A5E"/>
    <w:rsid w:val="00F16B93"/>
    <w:rsid w:val="00F16B9B"/>
    <w:rsid w:val="00F16F37"/>
    <w:rsid w:val="00F16FD4"/>
    <w:rsid w:val="00F1722F"/>
    <w:rsid w:val="00F173ED"/>
    <w:rsid w:val="00F17498"/>
    <w:rsid w:val="00F176CB"/>
    <w:rsid w:val="00F17A7F"/>
    <w:rsid w:val="00F17C3D"/>
    <w:rsid w:val="00F17DED"/>
    <w:rsid w:val="00F17E91"/>
    <w:rsid w:val="00F200D3"/>
    <w:rsid w:val="00F202C2"/>
    <w:rsid w:val="00F2034F"/>
    <w:rsid w:val="00F20536"/>
    <w:rsid w:val="00F20610"/>
    <w:rsid w:val="00F20715"/>
    <w:rsid w:val="00F20957"/>
    <w:rsid w:val="00F20AF4"/>
    <w:rsid w:val="00F20C71"/>
    <w:rsid w:val="00F20DC3"/>
    <w:rsid w:val="00F20EFC"/>
    <w:rsid w:val="00F20FAE"/>
    <w:rsid w:val="00F21AFC"/>
    <w:rsid w:val="00F22073"/>
    <w:rsid w:val="00F2233D"/>
    <w:rsid w:val="00F223BE"/>
    <w:rsid w:val="00F22C3F"/>
    <w:rsid w:val="00F231FE"/>
    <w:rsid w:val="00F23289"/>
    <w:rsid w:val="00F2341F"/>
    <w:rsid w:val="00F23611"/>
    <w:rsid w:val="00F2384C"/>
    <w:rsid w:val="00F23CA6"/>
    <w:rsid w:val="00F23D20"/>
    <w:rsid w:val="00F23E3B"/>
    <w:rsid w:val="00F24174"/>
    <w:rsid w:val="00F242C0"/>
    <w:rsid w:val="00F24303"/>
    <w:rsid w:val="00F243CD"/>
    <w:rsid w:val="00F24812"/>
    <w:rsid w:val="00F24B86"/>
    <w:rsid w:val="00F254EF"/>
    <w:rsid w:val="00F257D1"/>
    <w:rsid w:val="00F258AC"/>
    <w:rsid w:val="00F25C49"/>
    <w:rsid w:val="00F25C70"/>
    <w:rsid w:val="00F25C80"/>
    <w:rsid w:val="00F261A8"/>
    <w:rsid w:val="00F261F6"/>
    <w:rsid w:val="00F262F0"/>
    <w:rsid w:val="00F2655A"/>
    <w:rsid w:val="00F265AB"/>
    <w:rsid w:val="00F267EF"/>
    <w:rsid w:val="00F26B18"/>
    <w:rsid w:val="00F26CF7"/>
    <w:rsid w:val="00F26F3A"/>
    <w:rsid w:val="00F27023"/>
    <w:rsid w:val="00F2733E"/>
    <w:rsid w:val="00F2762F"/>
    <w:rsid w:val="00F276C6"/>
    <w:rsid w:val="00F27BC2"/>
    <w:rsid w:val="00F27FA2"/>
    <w:rsid w:val="00F303DD"/>
    <w:rsid w:val="00F305E8"/>
    <w:rsid w:val="00F3085F"/>
    <w:rsid w:val="00F30ACC"/>
    <w:rsid w:val="00F311EF"/>
    <w:rsid w:val="00F31392"/>
    <w:rsid w:val="00F3165D"/>
    <w:rsid w:val="00F31E8A"/>
    <w:rsid w:val="00F31FF4"/>
    <w:rsid w:val="00F31FFC"/>
    <w:rsid w:val="00F323C8"/>
    <w:rsid w:val="00F3312E"/>
    <w:rsid w:val="00F332A8"/>
    <w:rsid w:val="00F33358"/>
    <w:rsid w:val="00F33362"/>
    <w:rsid w:val="00F33413"/>
    <w:rsid w:val="00F334AD"/>
    <w:rsid w:val="00F33532"/>
    <w:rsid w:val="00F33A00"/>
    <w:rsid w:val="00F33BE5"/>
    <w:rsid w:val="00F33CB7"/>
    <w:rsid w:val="00F33D9D"/>
    <w:rsid w:val="00F33E3A"/>
    <w:rsid w:val="00F33FEA"/>
    <w:rsid w:val="00F34592"/>
    <w:rsid w:val="00F345C1"/>
    <w:rsid w:val="00F345D8"/>
    <w:rsid w:val="00F346AE"/>
    <w:rsid w:val="00F347FA"/>
    <w:rsid w:val="00F34D26"/>
    <w:rsid w:val="00F34DC8"/>
    <w:rsid w:val="00F3535C"/>
    <w:rsid w:val="00F3550A"/>
    <w:rsid w:val="00F355D5"/>
    <w:rsid w:val="00F356EE"/>
    <w:rsid w:val="00F35ACF"/>
    <w:rsid w:val="00F35ECC"/>
    <w:rsid w:val="00F3622D"/>
    <w:rsid w:val="00F36AB1"/>
    <w:rsid w:val="00F36F77"/>
    <w:rsid w:val="00F370FA"/>
    <w:rsid w:val="00F37264"/>
    <w:rsid w:val="00F3750D"/>
    <w:rsid w:val="00F37739"/>
    <w:rsid w:val="00F37795"/>
    <w:rsid w:val="00F379AB"/>
    <w:rsid w:val="00F37E46"/>
    <w:rsid w:val="00F40482"/>
    <w:rsid w:val="00F40560"/>
    <w:rsid w:val="00F4069A"/>
    <w:rsid w:val="00F40726"/>
    <w:rsid w:val="00F408FF"/>
    <w:rsid w:val="00F409E2"/>
    <w:rsid w:val="00F40D79"/>
    <w:rsid w:val="00F4144E"/>
    <w:rsid w:val="00F41543"/>
    <w:rsid w:val="00F4174F"/>
    <w:rsid w:val="00F419E3"/>
    <w:rsid w:val="00F41DED"/>
    <w:rsid w:val="00F41E81"/>
    <w:rsid w:val="00F42070"/>
    <w:rsid w:val="00F421CD"/>
    <w:rsid w:val="00F4237D"/>
    <w:rsid w:val="00F423C5"/>
    <w:rsid w:val="00F42493"/>
    <w:rsid w:val="00F426B8"/>
    <w:rsid w:val="00F42E88"/>
    <w:rsid w:val="00F42F97"/>
    <w:rsid w:val="00F430E7"/>
    <w:rsid w:val="00F43106"/>
    <w:rsid w:val="00F43186"/>
    <w:rsid w:val="00F4333C"/>
    <w:rsid w:val="00F43373"/>
    <w:rsid w:val="00F4348F"/>
    <w:rsid w:val="00F434D6"/>
    <w:rsid w:val="00F4357A"/>
    <w:rsid w:val="00F43797"/>
    <w:rsid w:val="00F43A58"/>
    <w:rsid w:val="00F43B0D"/>
    <w:rsid w:val="00F43B92"/>
    <w:rsid w:val="00F43FB9"/>
    <w:rsid w:val="00F43FC1"/>
    <w:rsid w:val="00F4410E"/>
    <w:rsid w:val="00F4447B"/>
    <w:rsid w:val="00F44B95"/>
    <w:rsid w:val="00F44E00"/>
    <w:rsid w:val="00F44FFF"/>
    <w:rsid w:val="00F450C8"/>
    <w:rsid w:val="00F45250"/>
    <w:rsid w:val="00F452AA"/>
    <w:rsid w:val="00F4542E"/>
    <w:rsid w:val="00F458C4"/>
    <w:rsid w:val="00F459DD"/>
    <w:rsid w:val="00F459F7"/>
    <w:rsid w:val="00F45DB8"/>
    <w:rsid w:val="00F45F1A"/>
    <w:rsid w:val="00F45F2D"/>
    <w:rsid w:val="00F45F8A"/>
    <w:rsid w:val="00F46100"/>
    <w:rsid w:val="00F46325"/>
    <w:rsid w:val="00F4632A"/>
    <w:rsid w:val="00F46350"/>
    <w:rsid w:val="00F464E5"/>
    <w:rsid w:val="00F465FC"/>
    <w:rsid w:val="00F4672D"/>
    <w:rsid w:val="00F46A35"/>
    <w:rsid w:val="00F46DCF"/>
    <w:rsid w:val="00F4701F"/>
    <w:rsid w:val="00F47366"/>
    <w:rsid w:val="00F47780"/>
    <w:rsid w:val="00F477BF"/>
    <w:rsid w:val="00F47B05"/>
    <w:rsid w:val="00F47C0A"/>
    <w:rsid w:val="00F47EE7"/>
    <w:rsid w:val="00F50035"/>
    <w:rsid w:val="00F506BC"/>
    <w:rsid w:val="00F506E2"/>
    <w:rsid w:val="00F50746"/>
    <w:rsid w:val="00F513DD"/>
    <w:rsid w:val="00F5172C"/>
    <w:rsid w:val="00F517ED"/>
    <w:rsid w:val="00F51800"/>
    <w:rsid w:val="00F51956"/>
    <w:rsid w:val="00F51E3E"/>
    <w:rsid w:val="00F520E1"/>
    <w:rsid w:val="00F522BF"/>
    <w:rsid w:val="00F523C9"/>
    <w:rsid w:val="00F52AFC"/>
    <w:rsid w:val="00F52BFC"/>
    <w:rsid w:val="00F5301C"/>
    <w:rsid w:val="00F5356B"/>
    <w:rsid w:val="00F536B5"/>
    <w:rsid w:val="00F53716"/>
    <w:rsid w:val="00F537D8"/>
    <w:rsid w:val="00F537DC"/>
    <w:rsid w:val="00F538CC"/>
    <w:rsid w:val="00F5411A"/>
    <w:rsid w:val="00F54399"/>
    <w:rsid w:val="00F543C8"/>
    <w:rsid w:val="00F5484A"/>
    <w:rsid w:val="00F548A9"/>
    <w:rsid w:val="00F54B54"/>
    <w:rsid w:val="00F54CB6"/>
    <w:rsid w:val="00F54D6E"/>
    <w:rsid w:val="00F54E80"/>
    <w:rsid w:val="00F54F44"/>
    <w:rsid w:val="00F55005"/>
    <w:rsid w:val="00F55078"/>
    <w:rsid w:val="00F55A37"/>
    <w:rsid w:val="00F55C82"/>
    <w:rsid w:val="00F55DD7"/>
    <w:rsid w:val="00F55EB3"/>
    <w:rsid w:val="00F56119"/>
    <w:rsid w:val="00F561AC"/>
    <w:rsid w:val="00F5626C"/>
    <w:rsid w:val="00F562A9"/>
    <w:rsid w:val="00F56705"/>
    <w:rsid w:val="00F56973"/>
    <w:rsid w:val="00F56B4F"/>
    <w:rsid w:val="00F5720D"/>
    <w:rsid w:val="00F572AD"/>
    <w:rsid w:val="00F572CD"/>
    <w:rsid w:val="00F573A8"/>
    <w:rsid w:val="00F57756"/>
    <w:rsid w:val="00F5793D"/>
    <w:rsid w:val="00F57AB0"/>
    <w:rsid w:val="00F57ADF"/>
    <w:rsid w:val="00F57AE2"/>
    <w:rsid w:val="00F57B1A"/>
    <w:rsid w:val="00F57EE6"/>
    <w:rsid w:val="00F601E9"/>
    <w:rsid w:val="00F60756"/>
    <w:rsid w:val="00F60929"/>
    <w:rsid w:val="00F60971"/>
    <w:rsid w:val="00F60A8B"/>
    <w:rsid w:val="00F60A8C"/>
    <w:rsid w:val="00F60C11"/>
    <w:rsid w:val="00F60C41"/>
    <w:rsid w:val="00F61212"/>
    <w:rsid w:val="00F61294"/>
    <w:rsid w:val="00F61352"/>
    <w:rsid w:val="00F615A3"/>
    <w:rsid w:val="00F6160F"/>
    <w:rsid w:val="00F616E5"/>
    <w:rsid w:val="00F61C07"/>
    <w:rsid w:val="00F61CE0"/>
    <w:rsid w:val="00F6224C"/>
    <w:rsid w:val="00F6280B"/>
    <w:rsid w:val="00F6291B"/>
    <w:rsid w:val="00F63067"/>
    <w:rsid w:val="00F63069"/>
    <w:rsid w:val="00F63490"/>
    <w:rsid w:val="00F639C3"/>
    <w:rsid w:val="00F63CD2"/>
    <w:rsid w:val="00F63D8B"/>
    <w:rsid w:val="00F63E18"/>
    <w:rsid w:val="00F63EB1"/>
    <w:rsid w:val="00F64142"/>
    <w:rsid w:val="00F64353"/>
    <w:rsid w:val="00F646E2"/>
    <w:rsid w:val="00F647B7"/>
    <w:rsid w:val="00F64B74"/>
    <w:rsid w:val="00F652A9"/>
    <w:rsid w:val="00F652B6"/>
    <w:rsid w:val="00F653CF"/>
    <w:rsid w:val="00F6574A"/>
    <w:rsid w:val="00F65904"/>
    <w:rsid w:val="00F65C23"/>
    <w:rsid w:val="00F65F1E"/>
    <w:rsid w:val="00F663B0"/>
    <w:rsid w:val="00F664AA"/>
    <w:rsid w:val="00F66601"/>
    <w:rsid w:val="00F66634"/>
    <w:rsid w:val="00F66872"/>
    <w:rsid w:val="00F66981"/>
    <w:rsid w:val="00F66C82"/>
    <w:rsid w:val="00F66DCD"/>
    <w:rsid w:val="00F66E9D"/>
    <w:rsid w:val="00F67418"/>
    <w:rsid w:val="00F67522"/>
    <w:rsid w:val="00F67958"/>
    <w:rsid w:val="00F67B7E"/>
    <w:rsid w:val="00F67F4C"/>
    <w:rsid w:val="00F70210"/>
    <w:rsid w:val="00F7028A"/>
    <w:rsid w:val="00F703B9"/>
    <w:rsid w:val="00F708B8"/>
    <w:rsid w:val="00F70ADD"/>
    <w:rsid w:val="00F70B1C"/>
    <w:rsid w:val="00F70F9E"/>
    <w:rsid w:val="00F71124"/>
    <w:rsid w:val="00F71C85"/>
    <w:rsid w:val="00F71F49"/>
    <w:rsid w:val="00F721E8"/>
    <w:rsid w:val="00F723B9"/>
    <w:rsid w:val="00F72466"/>
    <w:rsid w:val="00F7261B"/>
    <w:rsid w:val="00F727C4"/>
    <w:rsid w:val="00F72806"/>
    <w:rsid w:val="00F728A9"/>
    <w:rsid w:val="00F72901"/>
    <w:rsid w:val="00F72AF9"/>
    <w:rsid w:val="00F72C53"/>
    <w:rsid w:val="00F72D39"/>
    <w:rsid w:val="00F72F00"/>
    <w:rsid w:val="00F73572"/>
    <w:rsid w:val="00F7363F"/>
    <w:rsid w:val="00F7364A"/>
    <w:rsid w:val="00F73694"/>
    <w:rsid w:val="00F736D8"/>
    <w:rsid w:val="00F73919"/>
    <w:rsid w:val="00F73C58"/>
    <w:rsid w:val="00F73D2B"/>
    <w:rsid w:val="00F73ED6"/>
    <w:rsid w:val="00F7401D"/>
    <w:rsid w:val="00F740A0"/>
    <w:rsid w:val="00F74105"/>
    <w:rsid w:val="00F74175"/>
    <w:rsid w:val="00F743D5"/>
    <w:rsid w:val="00F74567"/>
    <w:rsid w:val="00F74768"/>
    <w:rsid w:val="00F74BF9"/>
    <w:rsid w:val="00F74D28"/>
    <w:rsid w:val="00F74DAF"/>
    <w:rsid w:val="00F74DF5"/>
    <w:rsid w:val="00F74E40"/>
    <w:rsid w:val="00F75B5C"/>
    <w:rsid w:val="00F75C6D"/>
    <w:rsid w:val="00F75EA1"/>
    <w:rsid w:val="00F76245"/>
    <w:rsid w:val="00F7665F"/>
    <w:rsid w:val="00F76A25"/>
    <w:rsid w:val="00F76CB4"/>
    <w:rsid w:val="00F76D92"/>
    <w:rsid w:val="00F76EDB"/>
    <w:rsid w:val="00F76FE8"/>
    <w:rsid w:val="00F770B2"/>
    <w:rsid w:val="00F77341"/>
    <w:rsid w:val="00F77514"/>
    <w:rsid w:val="00F77579"/>
    <w:rsid w:val="00F7760B"/>
    <w:rsid w:val="00F77A48"/>
    <w:rsid w:val="00F77F91"/>
    <w:rsid w:val="00F80174"/>
    <w:rsid w:val="00F80343"/>
    <w:rsid w:val="00F81249"/>
    <w:rsid w:val="00F81558"/>
    <w:rsid w:val="00F8187F"/>
    <w:rsid w:val="00F81A35"/>
    <w:rsid w:val="00F81BB3"/>
    <w:rsid w:val="00F81CDC"/>
    <w:rsid w:val="00F81CFC"/>
    <w:rsid w:val="00F81EC3"/>
    <w:rsid w:val="00F8207F"/>
    <w:rsid w:val="00F82249"/>
    <w:rsid w:val="00F822B8"/>
    <w:rsid w:val="00F82324"/>
    <w:rsid w:val="00F82508"/>
    <w:rsid w:val="00F82A6A"/>
    <w:rsid w:val="00F82D28"/>
    <w:rsid w:val="00F82ECC"/>
    <w:rsid w:val="00F831A0"/>
    <w:rsid w:val="00F83288"/>
    <w:rsid w:val="00F833FA"/>
    <w:rsid w:val="00F83C05"/>
    <w:rsid w:val="00F841F3"/>
    <w:rsid w:val="00F8485A"/>
    <w:rsid w:val="00F84D74"/>
    <w:rsid w:val="00F8516B"/>
    <w:rsid w:val="00F85194"/>
    <w:rsid w:val="00F85436"/>
    <w:rsid w:val="00F85875"/>
    <w:rsid w:val="00F85882"/>
    <w:rsid w:val="00F85994"/>
    <w:rsid w:val="00F85A0C"/>
    <w:rsid w:val="00F85D03"/>
    <w:rsid w:val="00F85E3E"/>
    <w:rsid w:val="00F86200"/>
    <w:rsid w:val="00F86297"/>
    <w:rsid w:val="00F867D3"/>
    <w:rsid w:val="00F86803"/>
    <w:rsid w:val="00F86B11"/>
    <w:rsid w:val="00F86B57"/>
    <w:rsid w:val="00F86C15"/>
    <w:rsid w:val="00F86C2E"/>
    <w:rsid w:val="00F86F0A"/>
    <w:rsid w:val="00F86F5D"/>
    <w:rsid w:val="00F8719D"/>
    <w:rsid w:val="00F871AA"/>
    <w:rsid w:val="00F875A8"/>
    <w:rsid w:val="00F8771F"/>
    <w:rsid w:val="00F87CEC"/>
    <w:rsid w:val="00F87D28"/>
    <w:rsid w:val="00F87D83"/>
    <w:rsid w:val="00F87E27"/>
    <w:rsid w:val="00F900A0"/>
    <w:rsid w:val="00F9012A"/>
    <w:rsid w:val="00F90A04"/>
    <w:rsid w:val="00F90AC4"/>
    <w:rsid w:val="00F90ACC"/>
    <w:rsid w:val="00F90B72"/>
    <w:rsid w:val="00F91124"/>
    <w:rsid w:val="00F91328"/>
    <w:rsid w:val="00F9166E"/>
    <w:rsid w:val="00F91CFF"/>
    <w:rsid w:val="00F91DCA"/>
    <w:rsid w:val="00F921C7"/>
    <w:rsid w:val="00F92212"/>
    <w:rsid w:val="00F9240B"/>
    <w:rsid w:val="00F92546"/>
    <w:rsid w:val="00F92569"/>
    <w:rsid w:val="00F92619"/>
    <w:rsid w:val="00F92638"/>
    <w:rsid w:val="00F92819"/>
    <w:rsid w:val="00F92855"/>
    <w:rsid w:val="00F92B01"/>
    <w:rsid w:val="00F92B83"/>
    <w:rsid w:val="00F92C20"/>
    <w:rsid w:val="00F92E58"/>
    <w:rsid w:val="00F92FB7"/>
    <w:rsid w:val="00F92FB8"/>
    <w:rsid w:val="00F9317D"/>
    <w:rsid w:val="00F931A8"/>
    <w:rsid w:val="00F931EA"/>
    <w:rsid w:val="00F9356C"/>
    <w:rsid w:val="00F93570"/>
    <w:rsid w:val="00F93580"/>
    <w:rsid w:val="00F93AC0"/>
    <w:rsid w:val="00F93C1A"/>
    <w:rsid w:val="00F93C42"/>
    <w:rsid w:val="00F93E55"/>
    <w:rsid w:val="00F943EF"/>
    <w:rsid w:val="00F946B2"/>
    <w:rsid w:val="00F9478A"/>
    <w:rsid w:val="00F94887"/>
    <w:rsid w:val="00F94A24"/>
    <w:rsid w:val="00F94B2B"/>
    <w:rsid w:val="00F94D0B"/>
    <w:rsid w:val="00F94DFC"/>
    <w:rsid w:val="00F94EE7"/>
    <w:rsid w:val="00F94FFD"/>
    <w:rsid w:val="00F95006"/>
    <w:rsid w:val="00F95131"/>
    <w:rsid w:val="00F952A4"/>
    <w:rsid w:val="00F95486"/>
    <w:rsid w:val="00F9551B"/>
    <w:rsid w:val="00F95659"/>
    <w:rsid w:val="00F95880"/>
    <w:rsid w:val="00F9591C"/>
    <w:rsid w:val="00F96BD7"/>
    <w:rsid w:val="00F96F5B"/>
    <w:rsid w:val="00F96F73"/>
    <w:rsid w:val="00F97189"/>
    <w:rsid w:val="00F975E7"/>
    <w:rsid w:val="00F977D9"/>
    <w:rsid w:val="00F978CB"/>
    <w:rsid w:val="00F97BE7"/>
    <w:rsid w:val="00F97CB6"/>
    <w:rsid w:val="00FA0180"/>
    <w:rsid w:val="00FA052A"/>
    <w:rsid w:val="00FA092A"/>
    <w:rsid w:val="00FA092B"/>
    <w:rsid w:val="00FA09DC"/>
    <w:rsid w:val="00FA0E65"/>
    <w:rsid w:val="00FA11ED"/>
    <w:rsid w:val="00FA11F1"/>
    <w:rsid w:val="00FA1220"/>
    <w:rsid w:val="00FA128A"/>
    <w:rsid w:val="00FA13B8"/>
    <w:rsid w:val="00FA15D8"/>
    <w:rsid w:val="00FA19D3"/>
    <w:rsid w:val="00FA1B0C"/>
    <w:rsid w:val="00FA1D6A"/>
    <w:rsid w:val="00FA1F06"/>
    <w:rsid w:val="00FA1FF0"/>
    <w:rsid w:val="00FA245F"/>
    <w:rsid w:val="00FA24BB"/>
    <w:rsid w:val="00FA2F0B"/>
    <w:rsid w:val="00FA2F37"/>
    <w:rsid w:val="00FA306E"/>
    <w:rsid w:val="00FA3253"/>
    <w:rsid w:val="00FA3881"/>
    <w:rsid w:val="00FA3906"/>
    <w:rsid w:val="00FA3AEB"/>
    <w:rsid w:val="00FA3C48"/>
    <w:rsid w:val="00FA40A6"/>
    <w:rsid w:val="00FA43D1"/>
    <w:rsid w:val="00FA45C0"/>
    <w:rsid w:val="00FA496C"/>
    <w:rsid w:val="00FA498C"/>
    <w:rsid w:val="00FA4DA0"/>
    <w:rsid w:val="00FA4FDE"/>
    <w:rsid w:val="00FA4FF4"/>
    <w:rsid w:val="00FA50D8"/>
    <w:rsid w:val="00FA50EA"/>
    <w:rsid w:val="00FA529C"/>
    <w:rsid w:val="00FA5379"/>
    <w:rsid w:val="00FA54F9"/>
    <w:rsid w:val="00FA6282"/>
    <w:rsid w:val="00FA634E"/>
    <w:rsid w:val="00FA63F6"/>
    <w:rsid w:val="00FA67C2"/>
    <w:rsid w:val="00FA6820"/>
    <w:rsid w:val="00FA6945"/>
    <w:rsid w:val="00FA6969"/>
    <w:rsid w:val="00FA6A36"/>
    <w:rsid w:val="00FA6AAC"/>
    <w:rsid w:val="00FA6E94"/>
    <w:rsid w:val="00FA6FCB"/>
    <w:rsid w:val="00FA7005"/>
    <w:rsid w:val="00FA72AD"/>
    <w:rsid w:val="00FA72B0"/>
    <w:rsid w:val="00FA72F1"/>
    <w:rsid w:val="00FA76A5"/>
    <w:rsid w:val="00FA7981"/>
    <w:rsid w:val="00FA7C95"/>
    <w:rsid w:val="00FA7D86"/>
    <w:rsid w:val="00FA7DB1"/>
    <w:rsid w:val="00FB00FD"/>
    <w:rsid w:val="00FB01C1"/>
    <w:rsid w:val="00FB0585"/>
    <w:rsid w:val="00FB08C6"/>
    <w:rsid w:val="00FB10EF"/>
    <w:rsid w:val="00FB11DF"/>
    <w:rsid w:val="00FB126C"/>
    <w:rsid w:val="00FB13D1"/>
    <w:rsid w:val="00FB1893"/>
    <w:rsid w:val="00FB18DF"/>
    <w:rsid w:val="00FB1D61"/>
    <w:rsid w:val="00FB2127"/>
    <w:rsid w:val="00FB26AC"/>
    <w:rsid w:val="00FB26F4"/>
    <w:rsid w:val="00FB27F0"/>
    <w:rsid w:val="00FB2887"/>
    <w:rsid w:val="00FB29F6"/>
    <w:rsid w:val="00FB2B70"/>
    <w:rsid w:val="00FB2BC6"/>
    <w:rsid w:val="00FB2D17"/>
    <w:rsid w:val="00FB2FF1"/>
    <w:rsid w:val="00FB31E3"/>
    <w:rsid w:val="00FB32DC"/>
    <w:rsid w:val="00FB33FB"/>
    <w:rsid w:val="00FB3514"/>
    <w:rsid w:val="00FB3A1C"/>
    <w:rsid w:val="00FB3C6E"/>
    <w:rsid w:val="00FB3DFE"/>
    <w:rsid w:val="00FB3F6F"/>
    <w:rsid w:val="00FB3F94"/>
    <w:rsid w:val="00FB42DF"/>
    <w:rsid w:val="00FB4429"/>
    <w:rsid w:val="00FB4C77"/>
    <w:rsid w:val="00FB4EF2"/>
    <w:rsid w:val="00FB4EF3"/>
    <w:rsid w:val="00FB5309"/>
    <w:rsid w:val="00FB535F"/>
    <w:rsid w:val="00FB549B"/>
    <w:rsid w:val="00FB54C0"/>
    <w:rsid w:val="00FB54D1"/>
    <w:rsid w:val="00FB5524"/>
    <w:rsid w:val="00FB5AEE"/>
    <w:rsid w:val="00FB5B25"/>
    <w:rsid w:val="00FB6085"/>
    <w:rsid w:val="00FB60C5"/>
    <w:rsid w:val="00FB6141"/>
    <w:rsid w:val="00FB617A"/>
    <w:rsid w:val="00FB61B6"/>
    <w:rsid w:val="00FB63E9"/>
    <w:rsid w:val="00FB6AB8"/>
    <w:rsid w:val="00FB6D8B"/>
    <w:rsid w:val="00FB6FC9"/>
    <w:rsid w:val="00FB714F"/>
    <w:rsid w:val="00FB71CF"/>
    <w:rsid w:val="00FB73CC"/>
    <w:rsid w:val="00FB7401"/>
    <w:rsid w:val="00FB756C"/>
    <w:rsid w:val="00FB7C61"/>
    <w:rsid w:val="00FB7D17"/>
    <w:rsid w:val="00FB7F2C"/>
    <w:rsid w:val="00FB7FA4"/>
    <w:rsid w:val="00FC0097"/>
    <w:rsid w:val="00FC00C9"/>
    <w:rsid w:val="00FC0194"/>
    <w:rsid w:val="00FC034B"/>
    <w:rsid w:val="00FC0373"/>
    <w:rsid w:val="00FC05F9"/>
    <w:rsid w:val="00FC064C"/>
    <w:rsid w:val="00FC06F1"/>
    <w:rsid w:val="00FC08F2"/>
    <w:rsid w:val="00FC0ADA"/>
    <w:rsid w:val="00FC0CFE"/>
    <w:rsid w:val="00FC10C6"/>
    <w:rsid w:val="00FC12EC"/>
    <w:rsid w:val="00FC13CE"/>
    <w:rsid w:val="00FC1558"/>
    <w:rsid w:val="00FC1947"/>
    <w:rsid w:val="00FC19C2"/>
    <w:rsid w:val="00FC1AE7"/>
    <w:rsid w:val="00FC1CCB"/>
    <w:rsid w:val="00FC1DC4"/>
    <w:rsid w:val="00FC208D"/>
    <w:rsid w:val="00FC20E2"/>
    <w:rsid w:val="00FC2290"/>
    <w:rsid w:val="00FC24A4"/>
    <w:rsid w:val="00FC24C2"/>
    <w:rsid w:val="00FC251F"/>
    <w:rsid w:val="00FC263D"/>
    <w:rsid w:val="00FC26DF"/>
    <w:rsid w:val="00FC2997"/>
    <w:rsid w:val="00FC2F54"/>
    <w:rsid w:val="00FC36C6"/>
    <w:rsid w:val="00FC38F8"/>
    <w:rsid w:val="00FC3940"/>
    <w:rsid w:val="00FC3D5B"/>
    <w:rsid w:val="00FC3D76"/>
    <w:rsid w:val="00FC3EC1"/>
    <w:rsid w:val="00FC404D"/>
    <w:rsid w:val="00FC443F"/>
    <w:rsid w:val="00FC4489"/>
    <w:rsid w:val="00FC4519"/>
    <w:rsid w:val="00FC4560"/>
    <w:rsid w:val="00FC4633"/>
    <w:rsid w:val="00FC46DB"/>
    <w:rsid w:val="00FC46DF"/>
    <w:rsid w:val="00FC4B90"/>
    <w:rsid w:val="00FC4C95"/>
    <w:rsid w:val="00FC4CB4"/>
    <w:rsid w:val="00FC4E4B"/>
    <w:rsid w:val="00FC4F41"/>
    <w:rsid w:val="00FC50DF"/>
    <w:rsid w:val="00FC5100"/>
    <w:rsid w:val="00FC519C"/>
    <w:rsid w:val="00FC520E"/>
    <w:rsid w:val="00FC560B"/>
    <w:rsid w:val="00FC59E1"/>
    <w:rsid w:val="00FC59FB"/>
    <w:rsid w:val="00FC5D93"/>
    <w:rsid w:val="00FC5EBF"/>
    <w:rsid w:val="00FC5FA6"/>
    <w:rsid w:val="00FC5FD5"/>
    <w:rsid w:val="00FC64FF"/>
    <w:rsid w:val="00FC6637"/>
    <w:rsid w:val="00FC67A8"/>
    <w:rsid w:val="00FC68AE"/>
    <w:rsid w:val="00FC6C2C"/>
    <w:rsid w:val="00FC706B"/>
    <w:rsid w:val="00FC718B"/>
    <w:rsid w:val="00FC7348"/>
    <w:rsid w:val="00FC7617"/>
    <w:rsid w:val="00FC769C"/>
    <w:rsid w:val="00FC76D6"/>
    <w:rsid w:val="00FC779E"/>
    <w:rsid w:val="00FC7822"/>
    <w:rsid w:val="00FC791D"/>
    <w:rsid w:val="00FC7A6B"/>
    <w:rsid w:val="00FC7BE0"/>
    <w:rsid w:val="00FC7C3E"/>
    <w:rsid w:val="00FC7D01"/>
    <w:rsid w:val="00FC7D08"/>
    <w:rsid w:val="00FC7F47"/>
    <w:rsid w:val="00FD0065"/>
    <w:rsid w:val="00FD0250"/>
    <w:rsid w:val="00FD0272"/>
    <w:rsid w:val="00FD0301"/>
    <w:rsid w:val="00FD03A1"/>
    <w:rsid w:val="00FD042C"/>
    <w:rsid w:val="00FD06CC"/>
    <w:rsid w:val="00FD09A7"/>
    <w:rsid w:val="00FD0BC4"/>
    <w:rsid w:val="00FD0D12"/>
    <w:rsid w:val="00FD0FA2"/>
    <w:rsid w:val="00FD12BA"/>
    <w:rsid w:val="00FD13D9"/>
    <w:rsid w:val="00FD160D"/>
    <w:rsid w:val="00FD16DD"/>
    <w:rsid w:val="00FD171A"/>
    <w:rsid w:val="00FD18E8"/>
    <w:rsid w:val="00FD1AA1"/>
    <w:rsid w:val="00FD1DB4"/>
    <w:rsid w:val="00FD21CA"/>
    <w:rsid w:val="00FD2543"/>
    <w:rsid w:val="00FD2720"/>
    <w:rsid w:val="00FD2740"/>
    <w:rsid w:val="00FD2BE7"/>
    <w:rsid w:val="00FD2BEE"/>
    <w:rsid w:val="00FD2D8E"/>
    <w:rsid w:val="00FD3034"/>
    <w:rsid w:val="00FD31EE"/>
    <w:rsid w:val="00FD3383"/>
    <w:rsid w:val="00FD3559"/>
    <w:rsid w:val="00FD37E3"/>
    <w:rsid w:val="00FD3BFF"/>
    <w:rsid w:val="00FD428C"/>
    <w:rsid w:val="00FD4395"/>
    <w:rsid w:val="00FD4617"/>
    <w:rsid w:val="00FD47C5"/>
    <w:rsid w:val="00FD4B0B"/>
    <w:rsid w:val="00FD5011"/>
    <w:rsid w:val="00FD507B"/>
    <w:rsid w:val="00FD520D"/>
    <w:rsid w:val="00FD5369"/>
    <w:rsid w:val="00FD5381"/>
    <w:rsid w:val="00FD544B"/>
    <w:rsid w:val="00FD55B6"/>
    <w:rsid w:val="00FD573E"/>
    <w:rsid w:val="00FD5940"/>
    <w:rsid w:val="00FD5BA4"/>
    <w:rsid w:val="00FD60B7"/>
    <w:rsid w:val="00FD615E"/>
    <w:rsid w:val="00FD6292"/>
    <w:rsid w:val="00FD62B1"/>
    <w:rsid w:val="00FD6696"/>
    <w:rsid w:val="00FD6707"/>
    <w:rsid w:val="00FD6D39"/>
    <w:rsid w:val="00FD6D4D"/>
    <w:rsid w:val="00FD6E1B"/>
    <w:rsid w:val="00FD6F7F"/>
    <w:rsid w:val="00FD705C"/>
    <w:rsid w:val="00FD7089"/>
    <w:rsid w:val="00FD7375"/>
    <w:rsid w:val="00FD7441"/>
    <w:rsid w:val="00FD7461"/>
    <w:rsid w:val="00FD76E5"/>
    <w:rsid w:val="00FD7A09"/>
    <w:rsid w:val="00FD7DB0"/>
    <w:rsid w:val="00FD7E84"/>
    <w:rsid w:val="00FE0164"/>
    <w:rsid w:val="00FE0324"/>
    <w:rsid w:val="00FE0417"/>
    <w:rsid w:val="00FE04D1"/>
    <w:rsid w:val="00FE0533"/>
    <w:rsid w:val="00FE064A"/>
    <w:rsid w:val="00FE065F"/>
    <w:rsid w:val="00FE06C0"/>
    <w:rsid w:val="00FE0711"/>
    <w:rsid w:val="00FE0790"/>
    <w:rsid w:val="00FE0851"/>
    <w:rsid w:val="00FE0B06"/>
    <w:rsid w:val="00FE0CAB"/>
    <w:rsid w:val="00FE0DE2"/>
    <w:rsid w:val="00FE10EE"/>
    <w:rsid w:val="00FE1210"/>
    <w:rsid w:val="00FE127C"/>
    <w:rsid w:val="00FE14ED"/>
    <w:rsid w:val="00FE1635"/>
    <w:rsid w:val="00FE1931"/>
    <w:rsid w:val="00FE1E4A"/>
    <w:rsid w:val="00FE2075"/>
    <w:rsid w:val="00FE2896"/>
    <w:rsid w:val="00FE28AF"/>
    <w:rsid w:val="00FE2969"/>
    <w:rsid w:val="00FE29A1"/>
    <w:rsid w:val="00FE2B26"/>
    <w:rsid w:val="00FE2E9C"/>
    <w:rsid w:val="00FE31F7"/>
    <w:rsid w:val="00FE33CA"/>
    <w:rsid w:val="00FE356F"/>
    <w:rsid w:val="00FE3A0B"/>
    <w:rsid w:val="00FE3B0F"/>
    <w:rsid w:val="00FE3CF1"/>
    <w:rsid w:val="00FE3ECF"/>
    <w:rsid w:val="00FE41C9"/>
    <w:rsid w:val="00FE439A"/>
    <w:rsid w:val="00FE43AB"/>
    <w:rsid w:val="00FE4531"/>
    <w:rsid w:val="00FE4564"/>
    <w:rsid w:val="00FE4635"/>
    <w:rsid w:val="00FE4851"/>
    <w:rsid w:val="00FE4A36"/>
    <w:rsid w:val="00FE4B82"/>
    <w:rsid w:val="00FE4E19"/>
    <w:rsid w:val="00FE51F0"/>
    <w:rsid w:val="00FE5388"/>
    <w:rsid w:val="00FE5528"/>
    <w:rsid w:val="00FE56AA"/>
    <w:rsid w:val="00FE56D9"/>
    <w:rsid w:val="00FE56E3"/>
    <w:rsid w:val="00FE5731"/>
    <w:rsid w:val="00FE5A12"/>
    <w:rsid w:val="00FE5A9F"/>
    <w:rsid w:val="00FE5BBD"/>
    <w:rsid w:val="00FE6076"/>
    <w:rsid w:val="00FE6097"/>
    <w:rsid w:val="00FE619A"/>
    <w:rsid w:val="00FE628A"/>
    <w:rsid w:val="00FE6361"/>
    <w:rsid w:val="00FE64B3"/>
    <w:rsid w:val="00FE6510"/>
    <w:rsid w:val="00FE6535"/>
    <w:rsid w:val="00FE659F"/>
    <w:rsid w:val="00FE6A96"/>
    <w:rsid w:val="00FE6AFA"/>
    <w:rsid w:val="00FE6D35"/>
    <w:rsid w:val="00FE6EFC"/>
    <w:rsid w:val="00FE6F36"/>
    <w:rsid w:val="00FE7028"/>
    <w:rsid w:val="00FE702C"/>
    <w:rsid w:val="00FE738B"/>
    <w:rsid w:val="00FE739A"/>
    <w:rsid w:val="00FE7924"/>
    <w:rsid w:val="00FE7A89"/>
    <w:rsid w:val="00FF004B"/>
    <w:rsid w:val="00FF0684"/>
    <w:rsid w:val="00FF0AEF"/>
    <w:rsid w:val="00FF0B2F"/>
    <w:rsid w:val="00FF0CC5"/>
    <w:rsid w:val="00FF0E7F"/>
    <w:rsid w:val="00FF1118"/>
    <w:rsid w:val="00FF12E4"/>
    <w:rsid w:val="00FF1437"/>
    <w:rsid w:val="00FF162B"/>
    <w:rsid w:val="00FF186F"/>
    <w:rsid w:val="00FF1891"/>
    <w:rsid w:val="00FF1A03"/>
    <w:rsid w:val="00FF1A31"/>
    <w:rsid w:val="00FF1C53"/>
    <w:rsid w:val="00FF1CA6"/>
    <w:rsid w:val="00FF1D3D"/>
    <w:rsid w:val="00FF1E7A"/>
    <w:rsid w:val="00FF1FC8"/>
    <w:rsid w:val="00FF2096"/>
    <w:rsid w:val="00FF2116"/>
    <w:rsid w:val="00FF21A5"/>
    <w:rsid w:val="00FF2254"/>
    <w:rsid w:val="00FF24D1"/>
    <w:rsid w:val="00FF275E"/>
    <w:rsid w:val="00FF2934"/>
    <w:rsid w:val="00FF2990"/>
    <w:rsid w:val="00FF2A03"/>
    <w:rsid w:val="00FF2BFF"/>
    <w:rsid w:val="00FF318E"/>
    <w:rsid w:val="00FF31AF"/>
    <w:rsid w:val="00FF3421"/>
    <w:rsid w:val="00FF3893"/>
    <w:rsid w:val="00FF38DC"/>
    <w:rsid w:val="00FF3A3A"/>
    <w:rsid w:val="00FF3B8B"/>
    <w:rsid w:val="00FF3F0B"/>
    <w:rsid w:val="00FF3F70"/>
    <w:rsid w:val="00FF430D"/>
    <w:rsid w:val="00FF49A5"/>
    <w:rsid w:val="00FF4ACF"/>
    <w:rsid w:val="00FF549F"/>
    <w:rsid w:val="00FF55FC"/>
    <w:rsid w:val="00FF5D78"/>
    <w:rsid w:val="00FF5E9C"/>
    <w:rsid w:val="00FF6028"/>
    <w:rsid w:val="00FF6549"/>
    <w:rsid w:val="00FF65A5"/>
    <w:rsid w:val="00FF6D57"/>
    <w:rsid w:val="00FF6E8C"/>
    <w:rsid w:val="00FF6F46"/>
    <w:rsid w:val="00FF706E"/>
    <w:rsid w:val="00FF718D"/>
    <w:rsid w:val="00FF71AC"/>
    <w:rsid w:val="00FF7361"/>
    <w:rsid w:val="00FF748B"/>
    <w:rsid w:val="00FF754D"/>
    <w:rsid w:val="00FF778E"/>
    <w:rsid w:val="00FF77EE"/>
    <w:rsid w:val="00FF7837"/>
    <w:rsid w:val="00FF7EB6"/>
    <w:rsid w:val="00FF7FF5"/>
    <w:rsid w:val="016FE5FE"/>
    <w:rsid w:val="024C5008"/>
    <w:rsid w:val="028EA64B"/>
    <w:rsid w:val="02BE5DEB"/>
    <w:rsid w:val="02D8516F"/>
    <w:rsid w:val="031E3F2B"/>
    <w:rsid w:val="03B679C1"/>
    <w:rsid w:val="03B76CCE"/>
    <w:rsid w:val="03DD3645"/>
    <w:rsid w:val="040B27D9"/>
    <w:rsid w:val="040E90FE"/>
    <w:rsid w:val="0452A1A6"/>
    <w:rsid w:val="047D6C21"/>
    <w:rsid w:val="04CE47C5"/>
    <w:rsid w:val="04FDACBE"/>
    <w:rsid w:val="05952682"/>
    <w:rsid w:val="059920C5"/>
    <w:rsid w:val="05FF5DEB"/>
    <w:rsid w:val="068559B7"/>
    <w:rsid w:val="06AB7DCB"/>
    <w:rsid w:val="06CDDFEE"/>
    <w:rsid w:val="06DBDB7B"/>
    <w:rsid w:val="07AF9B43"/>
    <w:rsid w:val="07B8C224"/>
    <w:rsid w:val="0842F72E"/>
    <w:rsid w:val="089C17E7"/>
    <w:rsid w:val="08B5677C"/>
    <w:rsid w:val="08CFA7DD"/>
    <w:rsid w:val="0908CDCB"/>
    <w:rsid w:val="093F22A5"/>
    <w:rsid w:val="09A31662"/>
    <w:rsid w:val="09D3792F"/>
    <w:rsid w:val="09DB7AC4"/>
    <w:rsid w:val="0A2B8FE2"/>
    <w:rsid w:val="0A8509CD"/>
    <w:rsid w:val="0A8D4252"/>
    <w:rsid w:val="0AF3A9BB"/>
    <w:rsid w:val="0B0AB362"/>
    <w:rsid w:val="0B0DE4A2"/>
    <w:rsid w:val="0B38EC73"/>
    <w:rsid w:val="0B3F10A2"/>
    <w:rsid w:val="0B85F4E6"/>
    <w:rsid w:val="0B9D6707"/>
    <w:rsid w:val="0BFBF36E"/>
    <w:rsid w:val="0BFCFF6C"/>
    <w:rsid w:val="0C65FEC9"/>
    <w:rsid w:val="0C71F54A"/>
    <w:rsid w:val="0CA77A50"/>
    <w:rsid w:val="0CEC9CC2"/>
    <w:rsid w:val="0D3B48CA"/>
    <w:rsid w:val="0D4058A1"/>
    <w:rsid w:val="0D427B8E"/>
    <w:rsid w:val="0D5BDF4F"/>
    <w:rsid w:val="0D73AA16"/>
    <w:rsid w:val="0DA5252A"/>
    <w:rsid w:val="0DA8C58E"/>
    <w:rsid w:val="0DC92D75"/>
    <w:rsid w:val="0E273E9C"/>
    <w:rsid w:val="0E6C0CDA"/>
    <w:rsid w:val="0E83937D"/>
    <w:rsid w:val="0ECB0FEA"/>
    <w:rsid w:val="0F3A7388"/>
    <w:rsid w:val="0F4C7F10"/>
    <w:rsid w:val="0FC1B8C7"/>
    <w:rsid w:val="0FE52685"/>
    <w:rsid w:val="1058D469"/>
    <w:rsid w:val="10810841"/>
    <w:rsid w:val="10845211"/>
    <w:rsid w:val="10E1D1B3"/>
    <w:rsid w:val="10EE7B23"/>
    <w:rsid w:val="113049E3"/>
    <w:rsid w:val="1195C94B"/>
    <w:rsid w:val="119FFC82"/>
    <w:rsid w:val="11DFDF0B"/>
    <w:rsid w:val="1201F185"/>
    <w:rsid w:val="12114F11"/>
    <w:rsid w:val="1225ADAC"/>
    <w:rsid w:val="1263D8CE"/>
    <w:rsid w:val="126674C3"/>
    <w:rsid w:val="12A053A1"/>
    <w:rsid w:val="12D0EA8C"/>
    <w:rsid w:val="1326ADF3"/>
    <w:rsid w:val="1445DCE2"/>
    <w:rsid w:val="145FC58E"/>
    <w:rsid w:val="148FA1C1"/>
    <w:rsid w:val="14B32342"/>
    <w:rsid w:val="154AEC12"/>
    <w:rsid w:val="155757F8"/>
    <w:rsid w:val="1571D3BC"/>
    <w:rsid w:val="15801AC4"/>
    <w:rsid w:val="15895A4F"/>
    <w:rsid w:val="15A9D920"/>
    <w:rsid w:val="15DC13E3"/>
    <w:rsid w:val="1666F92C"/>
    <w:rsid w:val="168C4B0A"/>
    <w:rsid w:val="16ED0658"/>
    <w:rsid w:val="16F8027F"/>
    <w:rsid w:val="16F99438"/>
    <w:rsid w:val="171DE281"/>
    <w:rsid w:val="1793BA6D"/>
    <w:rsid w:val="180235FA"/>
    <w:rsid w:val="180661D3"/>
    <w:rsid w:val="182F4A5D"/>
    <w:rsid w:val="195203D0"/>
    <w:rsid w:val="199F78AE"/>
    <w:rsid w:val="19B6EEA1"/>
    <w:rsid w:val="19D5245E"/>
    <w:rsid w:val="1A0C8370"/>
    <w:rsid w:val="1A51F789"/>
    <w:rsid w:val="1AB29E1C"/>
    <w:rsid w:val="1AB2F3EC"/>
    <w:rsid w:val="1B31AF1A"/>
    <w:rsid w:val="1BD7CC0B"/>
    <w:rsid w:val="1C1B18D9"/>
    <w:rsid w:val="1C572FD2"/>
    <w:rsid w:val="1C5D4845"/>
    <w:rsid w:val="1C89EAEA"/>
    <w:rsid w:val="1C9475A9"/>
    <w:rsid w:val="1CC53EDE"/>
    <w:rsid w:val="1CD06D86"/>
    <w:rsid w:val="1D06EFA2"/>
    <w:rsid w:val="1D310590"/>
    <w:rsid w:val="1D3A4C2F"/>
    <w:rsid w:val="1D8EB7FD"/>
    <w:rsid w:val="1E34AFF1"/>
    <w:rsid w:val="1E954565"/>
    <w:rsid w:val="1EB3C742"/>
    <w:rsid w:val="1ECD7312"/>
    <w:rsid w:val="1F0A092B"/>
    <w:rsid w:val="1F21EE3A"/>
    <w:rsid w:val="1F5EB924"/>
    <w:rsid w:val="1FF8A4BB"/>
    <w:rsid w:val="207E1DA8"/>
    <w:rsid w:val="20B1D01B"/>
    <w:rsid w:val="20ED4217"/>
    <w:rsid w:val="21083B89"/>
    <w:rsid w:val="2195AB77"/>
    <w:rsid w:val="223760DF"/>
    <w:rsid w:val="223BCE16"/>
    <w:rsid w:val="225E476B"/>
    <w:rsid w:val="227CE4CA"/>
    <w:rsid w:val="228C8AAD"/>
    <w:rsid w:val="22C135ED"/>
    <w:rsid w:val="2389C45C"/>
    <w:rsid w:val="240A9E94"/>
    <w:rsid w:val="244023DC"/>
    <w:rsid w:val="2451AFA3"/>
    <w:rsid w:val="24704263"/>
    <w:rsid w:val="255C1044"/>
    <w:rsid w:val="2684F773"/>
    <w:rsid w:val="26E17DAA"/>
    <w:rsid w:val="27490419"/>
    <w:rsid w:val="279A9AFA"/>
    <w:rsid w:val="27C2F464"/>
    <w:rsid w:val="27DBB5D2"/>
    <w:rsid w:val="27E1DB18"/>
    <w:rsid w:val="281A93FB"/>
    <w:rsid w:val="28D73EF9"/>
    <w:rsid w:val="293D6C38"/>
    <w:rsid w:val="29AFD04C"/>
    <w:rsid w:val="29C80E2F"/>
    <w:rsid w:val="29E6CCCA"/>
    <w:rsid w:val="2A35D4BE"/>
    <w:rsid w:val="2AC4C9AB"/>
    <w:rsid w:val="2AC813DF"/>
    <w:rsid w:val="2AD81844"/>
    <w:rsid w:val="2B178405"/>
    <w:rsid w:val="2B49688B"/>
    <w:rsid w:val="2B5FE584"/>
    <w:rsid w:val="2BFEF76E"/>
    <w:rsid w:val="2C1393EB"/>
    <w:rsid w:val="2C20CA7E"/>
    <w:rsid w:val="2C41A76B"/>
    <w:rsid w:val="2C4ABB4E"/>
    <w:rsid w:val="2C759FB1"/>
    <w:rsid w:val="2C84A71E"/>
    <w:rsid w:val="2C94DCF1"/>
    <w:rsid w:val="2C988F22"/>
    <w:rsid w:val="2CD89BCE"/>
    <w:rsid w:val="2CE8ADA6"/>
    <w:rsid w:val="2D41B0FE"/>
    <w:rsid w:val="2D59830A"/>
    <w:rsid w:val="2DAEAAD9"/>
    <w:rsid w:val="2E025CA7"/>
    <w:rsid w:val="2E10EA5A"/>
    <w:rsid w:val="2E210C98"/>
    <w:rsid w:val="2E68E9B2"/>
    <w:rsid w:val="2EE5776B"/>
    <w:rsid w:val="2F43FBDB"/>
    <w:rsid w:val="2F780D7E"/>
    <w:rsid w:val="2F9D0C56"/>
    <w:rsid w:val="2FCD0F03"/>
    <w:rsid w:val="2FDD096B"/>
    <w:rsid w:val="2FFB16E7"/>
    <w:rsid w:val="30739C8B"/>
    <w:rsid w:val="3088F02A"/>
    <w:rsid w:val="3135E16D"/>
    <w:rsid w:val="3137B557"/>
    <w:rsid w:val="31637640"/>
    <w:rsid w:val="31B5D148"/>
    <w:rsid w:val="31D36427"/>
    <w:rsid w:val="31D7D722"/>
    <w:rsid w:val="32CF8B1E"/>
    <w:rsid w:val="32E41312"/>
    <w:rsid w:val="32E432BE"/>
    <w:rsid w:val="331C5F03"/>
    <w:rsid w:val="332EDA8C"/>
    <w:rsid w:val="33897066"/>
    <w:rsid w:val="33A74714"/>
    <w:rsid w:val="33AED15E"/>
    <w:rsid w:val="33FB2D4A"/>
    <w:rsid w:val="34498BA6"/>
    <w:rsid w:val="358D6421"/>
    <w:rsid w:val="35A7B7B1"/>
    <w:rsid w:val="35B204EC"/>
    <w:rsid w:val="35C46E07"/>
    <w:rsid w:val="361C1512"/>
    <w:rsid w:val="36458DD8"/>
    <w:rsid w:val="36AF05F5"/>
    <w:rsid w:val="37164629"/>
    <w:rsid w:val="37836D2F"/>
    <w:rsid w:val="37CCA645"/>
    <w:rsid w:val="37CF422F"/>
    <w:rsid w:val="393B106E"/>
    <w:rsid w:val="396605F4"/>
    <w:rsid w:val="39E527CF"/>
    <w:rsid w:val="3A446D52"/>
    <w:rsid w:val="3A5B2AEC"/>
    <w:rsid w:val="3A6DAFFE"/>
    <w:rsid w:val="3AD774D9"/>
    <w:rsid w:val="3B135131"/>
    <w:rsid w:val="3B2910AB"/>
    <w:rsid w:val="3B54DA5A"/>
    <w:rsid w:val="3B912E20"/>
    <w:rsid w:val="3B94B057"/>
    <w:rsid w:val="3BB19868"/>
    <w:rsid w:val="3C276EB8"/>
    <w:rsid w:val="3C9FB234"/>
    <w:rsid w:val="3CFBCB39"/>
    <w:rsid w:val="3D11584C"/>
    <w:rsid w:val="3EBA3143"/>
    <w:rsid w:val="3EC513F4"/>
    <w:rsid w:val="3ED37450"/>
    <w:rsid w:val="3F2910F3"/>
    <w:rsid w:val="3F5F9F1A"/>
    <w:rsid w:val="3F61BBD6"/>
    <w:rsid w:val="3FA2C816"/>
    <w:rsid w:val="3FEE196C"/>
    <w:rsid w:val="4003C218"/>
    <w:rsid w:val="400A0875"/>
    <w:rsid w:val="400C417E"/>
    <w:rsid w:val="402E7B46"/>
    <w:rsid w:val="40CA634F"/>
    <w:rsid w:val="4122A025"/>
    <w:rsid w:val="413DAD79"/>
    <w:rsid w:val="41508CC6"/>
    <w:rsid w:val="415DBAC6"/>
    <w:rsid w:val="41CF466A"/>
    <w:rsid w:val="4207692B"/>
    <w:rsid w:val="4212492A"/>
    <w:rsid w:val="423F917B"/>
    <w:rsid w:val="4301E496"/>
    <w:rsid w:val="43603455"/>
    <w:rsid w:val="4379F50F"/>
    <w:rsid w:val="4384ECB8"/>
    <w:rsid w:val="4386AEF9"/>
    <w:rsid w:val="43BB9A39"/>
    <w:rsid w:val="440B8231"/>
    <w:rsid w:val="440F9CA0"/>
    <w:rsid w:val="45501C40"/>
    <w:rsid w:val="45555D64"/>
    <w:rsid w:val="4561A99E"/>
    <w:rsid w:val="45878065"/>
    <w:rsid w:val="458D5CFB"/>
    <w:rsid w:val="45969F92"/>
    <w:rsid w:val="45CB2D41"/>
    <w:rsid w:val="45F3F890"/>
    <w:rsid w:val="46DEA3B8"/>
    <w:rsid w:val="46FA78A3"/>
    <w:rsid w:val="47290DFE"/>
    <w:rsid w:val="472D67F5"/>
    <w:rsid w:val="47BECC00"/>
    <w:rsid w:val="4823DFF1"/>
    <w:rsid w:val="48B36A20"/>
    <w:rsid w:val="48CE03A1"/>
    <w:rsid w:val="498A1AB2"/>
    <w:rsid w:val="49B8B7E3"/>
    <w:rsid w:val="49F4BFAF"/>
    <w:rsid w:val="49FFB9C9"/>
    <w:rsid w:val="4A1337B7"/>
    <w:rsid w:val="4A546CEE"/>
    <w:rsid w:val="4A68010E"/>
    <w:rsid w:val="4A9BC1ED"/>
    <w:rsid w:val="4AE180CE"/>
    <w:rsid w:val="4B99B3EA"/>
    <w:rsid w:val="4BAB2AD7"/>
    <w:rsid w:val="4C16EEE8"/>
    <w:rsid w:val="4C39D76E"/>
    <w:rsid w:val="4C45D601"/>
    <w:rsid w:val="4C6908B5"/>
    <w:rsid w:val="4C6D920F"/>
    <w:rsid w:val="4CAA5B07"/>
    <w:rsid w:val="4D57A7E1"/>
    <w:rsid w:val="4DF5FD49"/>
    <w:rsid w:val="4DFB9D54"/>
    <w:rsid w:val="4DFD526B"/>
    <w:rsid w:val="4E366BE3"/>
    <w:rsid w:val="4E3C48D7"/>
    <w:rsid w:val="4E3C530F"/>
    <w:rsid w:val="4E69AA36"/>
    <w:rsid w:val="4ECFD647"/>
    <w:rsid w:val="4EF22D85"/>
    <w:rsid w:val="4FC1D0D5"/>
    <w:rsid w:val="50322C24"/>
    <w:rsid w:val="5065A200"/>
    <w:rsid w:val="50C5EDBA"/>
    <w:rsid w:val="511B6D27"/>
    <w:rsid w:val="513D6475"/>
    <w:rsid w:val="5175F5D2"/>
    <w:rsid w:val="51BBABAD"/>
    <w:rsid w:val="51D4D899"/>
    <w:rsid w:val="52205FDE"/>
    <w:rsid w:val="524FCDCE"/>
    <w:rsid w:val="527BE8AE"/>
    <w:rsid w:val="5299F5B4"/>
    <w:rsid w:val="52C3C8EB"/>
    <w:rsid w:val="52DB1FCD"/>
    <w:rsid w:val="531BA9B1"/>
    <w:rsid w:val="5330FE05"/>
    <w:rsid w:val="538F2E3D"/>
    <w:rsid w:val="53AAA9C4"/>
    <w:rsid w:val="53B8CF54"/>
    <w:rsid w:val="541571E4"/>
    <w:rsid w:val="547FE37D"/>
    <w:rsid w:val="54F63F6F"/>
    <w:rsid w:val="550FEC16"/>
    <w:rsid w:val="55898E45"/>
    <w:rsid w:val="558C7AA1"/>
    <w:rsid w:val="55E4869C"/>
    <w:rsid w:val="55EE41EB"/>
    <w:rsid w:val="564B1EC0"/>
    <w:rsid w:val="568607A7"/>
    <w:rsid w:val="56F90EFE"/>
    <w:rsid w:val="58393999"/>
    <w:rsid w:val="583E8920"/>
    <w:rsid w:val="584879A3"/>
    <w:rsid w:val="58A7DFEA"/>
    <w:rsid w:val="58BF5673"/>
    <w:rsid w:val="58C9EE8F"/>
    <w:rsid w:val="5966BE31"/>
    <w:rsid w:val="59E56F60"/>
    <w:rsid w:val="5A26B34D"/>
    <w:rsid w:val="5A285A3F"/>
    <w:rsid w:val="5A4DDC7E"/>
    <w:rsid w:val="5A4FB084"/>
    <w:rsid w:val="5A5F62A1"/>
    <w:rsid w:val="5AA50547"/>
    <w:rsid w:val="5AA7EDD0"/>
    <w:rsid w:val="5B224169"/>
    <w:rsid w:val="5BBF6449"/>
    <w:rsid w:val="5C0FF7E3"/>
    <w:rsid w:val="5C2A44E7"/>
    <w:rsid w:val="5C8B2ED2"/>
    <w:rsid w:val="5CB21E9C"/>
    <w:rsid w:val="5CC4B6F1"/>
    <w:rsid w:val="5CE3326A"/>
    <w:rsid w:val="5E31D1E7"/>
    <w:rsid w:val="5E4897BF"/>
    <w:rsid w:val="5EBAE177"/>
    <w:rsid w:val="5EF19434"/>
    <w:rsid w:val="5F4A6AA7"/>
    <w:rsid w:val="5F618C1D"/>
    <w:rsid w:val="6010ECFE"/>
    <w:rsid w:val="60153636"/>
    <w:rsid w:val="609D31C9"/>
    <w:rsid w:val="60AD7449"/>
    <w:rsid w:val="60CA8EE3"/>
    <w:rsid w:val="6156D783"/>
    <w:rsid w:val="615C23D7"/>
    <w:rsid w:val="61B71C4F"/>
    <w:rsid w:val="6323FC51"/>
    <w:rsid w:val="638A5676"/>
    <w:rsid w:val="6412D8F5"/>
    <w:rsid w:val="641FE827"/>
    <w:rsid w:val="646E15DD"/>
    <w:rsid w:val="6488679F"/>
    <w:rsid w:val="64F60958"/>
    <w:rsid w:val="64FC432E"/>
    <w:rsid w:val="65205139"/>
    <w:rsid w:val="65257E7D"/>
    <w:rsid w:val="65BA68BF"/>
    <w:rsid w:val="65D9D1BA"/>
    <w:rsid w:val="660A962D"/>
    <w:rsid w:val="6661E9EE"/>
    <w:rsid w:val="6682931B"/>
    <w:rsid w:val="6693782E"/>
    <w:rsid w:val="66D38307"/>
    <w:rsid w:val="66EDBA1E"/>
    <w:rsid w:val="67780DFD"/>
    <w:rsid w:val="678BF11E"/>
    <w:rsid w:val="67E37111"/>
    <w:rsid w:val="6836E0D2"/>
    <w:rsid w:val="689C14E0"/>
    <w:rsid w:val="68F2B5A9"/>
    <w:rsid w:val="68FE4DDB"/>
    <w:rsid w:val="69D601E6"/>
    <w:rsid w:val="69FA1015"/>
    <w:rsid w:val="6A3753A9"/>
    <w:rsid w:val="6A776820"/>
    <w:rsid w:val="6B31E418"/>
    <w:rsid w:val="6B78FA6E"/>
    <w:rsid w:val="6C11C2F5"/>
    <w:rsid w:val="6C386AD0"/>
    <w:rsid w:val="6C893E87"/>
    <w:rsid w:val="6C8FFA46"/>
    <w:rsid w:val="6D4AC832"/>
    <w:rsid w:val="6DF70E81"/>
    <w:rsid w:val="6DF821EE"/>
    <w:rsid w:val="6E27418B"/>
    <w:rsid w:val="6EA3B439"/>
    <w:rsid w:val="6F7DC4F6"/>
    <w:rsid w:val="6F8DAB74"/>
    <w:rsid w:val="6FB12902"/>
    <w:rsid w:val="6FF50A26"/>
    <w:rsid w:val="70121685"/>
    <w:rsid w:val="7016D086"/>
    <w:rsid w:val="703B823F"/>
    <w:rsid w:val="703DA716"/>
    <w:rsid w:val="70814014"/>
    <w:rsid w:val="70EEE112"/>
    <w:rsid w:val="71097C13"/>
    <w:rsid w:val="71196043"/>
    <w:rsid w:val="711F3AEA"/>
    <w:rsid w:val="712ECB1F"/>
    <w:rsid w:val="721B85A8"/>
    <w:rsid w:val="72CE5628"/>
    <w:rsid w:val="72D07260"/>
    <w:rsid w:val="72DE48E3"/>
    <w:rsid w:val="73968EE6"/>
    <w:rsid w:val="73E6273D"/>
    <w:rsid w:val="7401BC99"/>
    <w:rsid w:val="74109C7A"/>
    <w:rsid w:val="74AA79F0"/>
    <w:rsid w:val="74B5D9D6"/>
    <w:rsid w:val="74B7BD98"/>
    <w:rsid w:val="74CD7DBD"/>
    <w:rsid w:val="74DE3425"/>
    <w:rsid w:val="74F69A30"/>
    <w:rsid w:val="75A0787F"/>
    <w:rsid w:val="75F6A9B9"/>
    <w:rsid w:val="763A6197"/>
    <w:rsid w:val="763BCA4E"/>
    <w:rsid w:val="766F58C0"/>
    <w:rsid w:val="76C099F2"/>
    <w:rsid w:val="771A571D"/>
    <w:rsid w:val="772319F6"/>
    <w:rsid w:val="7728776A"/>
    <w:rsid w:val="772F0BF1"/>
    <w:rsid w:val="781E8ABD"/>
    <w:rsid w:val="786E9BC9"/>
    <w:rsid w:val="78D68CAA"/>
    <w:rsid w:val="7953247C"/>
    <w:rsid w:val="79A79F56"/>
    <w:rsid w:val="79F4BF06"/>
    <w:rsid w:val="7A3433FA"/>
    <w:rsid w:val="7A48B32A"/>
    <w:rsid w:val="7A7DFB45"/>
    <w:rsid w:val="7AE217A1"/>
    <w:rsid w:val="7AF76AFD"/>
    <w:rsid w:val="7AFF3FBA"/>
    <w:rsid w:val="7C28BB84"/>
    <w:rsid w:val="7C3A70B4"/>
    <w:rsid w:val="7C3CF57B"/>
    <w:rsid w:val="7C4890B8"/>
    <w:rsid w:val="7C4E9AE4"/>
    <w:rsid w:val="7CE8431D"/>
    <w:rsid w:val="7D1B94F7"/>
    <w:rsid w:val="7DE7AA47"/>
    <w:rsid w:val="7E09EE12"/>
    <w:rsid w:val="7EF10B73"/>
    <w:rsid w:val="7F1AD81E"/>
    <w:rsid w:val="7F28F07B"/>
    <w:rsid w:val="7FB92255"/>
    <w:rsid w:val="7FF8B2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31"/>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31"/>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31"/>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31"/>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31"/>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31"/>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31"/>
      </w:numPr>
      <w:outlineLvl w:val="6"/>
    </w:pPr>
    <w:rPr>
      <w:rFonts w:eastAsiaTheme="majorEastAsia"/>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4">
    <w:name w:val="List Bullet 4"/>
    <w:basedOn w:val="Normalny"/>
    <w:rsid w:val="00D0690F"/>
    <w:pPr>
      <w:numPr>
        <w:numId w:val="2"/>
      </w:numPr>
      <w:tabs>
        <w:tab w:val="num" w:pos="360"/>
      </w:tabs>
      <w:ind w:left="0" w:firstLine="0"/>
    </w:pPr>
    <w:rPr>
      <w:rFonts w:eastAsia="Times New Roman"/>
      <w:lang w:eastAsia="de-DE"/>
    </w:rPr>
  </w:style>
  <w:style w:type="paragraph" w:styleId="Listanumerowana">
    <w:name w:val="List Number"/>
    <w:basedOn w:val="Normalny"/>
    <w:rsid w:val="00D0690F"/>
    <w:pPr>
      <w:numPr>
        <w:numId w:val="6"/>
      </w:numPr>
    </w:pPr>
    <w:rPr>
      <w:rFonts w:eastAsia="Times New Roman"/>
      <w:lang w:eastAsia="de-DE"/>
    </w:rPr>
  </w:style>
  <w:style w:type="paragraph" w:customStyle="1" w:styleId="ListBullet1">
    <w:name w:val="List Bullet 1"/>
    <w:basedOn w:val="Normalny"/>
    <w:rsid w:val="00D0690F"/>
    <w:pPr>
      <w:numPr>
        <w:numId w:val="1"/>
      </w:numPr>
    </w:pPr>
    <w:rPr>
      <w:rFonts w:eastAsia="Times New Roman"/>
      <w:lang w:eastAsia="de-DE"/>
    </w:rPr>
  </w:style>
  <w:style w:type="paragraph" w:customStyle="1" w:styleId="ListDash">
    <w:name w:val="List Dash"/>
    <w:basedOn w:val="Normalny"/>
    <w:rsid w:val="00D0690F"/>
    <w:pPr>
      <w:numPr>
        <w:numId w:val="3"/>
      </w:numPr>
    </w:pPr>
    <w:rPr>
      <w:rFonts w:eastAsia="Times New Roman"/>
      <w:lang w:eastAsia="de-DE"/>
    </w:rPr>
  </w:style>
  <w:style w:type="paragraph" w:customStyle="1" w:styleId="ListDash1">
    <w:name w:val="List Dash 1"/>
    <w:basedOn w:val="Normalny"/>
    <w:rsid w:val="00D0690F"/>
    <w:pPr>
      <w:numPr>
        <w:numId w:val="4"/>
      </w:numPr>
    </w:pPr>
    <w:rPr>
      <w:rFonts w:eastAsia="Times New Roman"/>
      <w:lang w:eastAsia="de-DE"/>
    </w:rPr>
  </w:style>
  <w:style w:type="paragraph" w:customStyle="1" w:styleId="ListDash2">
    <w:name w:val="List Dash 2"/>
    <w:basedOn w:val="Normalny"/>
    <w:rsid w:val="00D0690F"/>
    <w:pPr>
      <w:numPr>
        <w:numId w:val="5"/>
      </w:numPr>
    </w:pPr>
    <w:rPr>
      <w:rFonts w:eastAsia="Times New Roman"/>
      <w:lang w:eastAsia="de-DE"/>
    </w:rPr>
  </w:style>
  <w:style w:type="paragraph" w:customStyle="1" w:styleId="ListNumberLevel2">
    <w:name w:val="List Number (Level 2)"/>
    <w:basedOn w:val="Normalny"/>
    <w:rsid w:val="00D0690F"/>
    <w:pPr>
      <w:numPr>
        <w:ilvl w:val="1"/>
        <w:numId w:val="6"/>
      </w:numPr>
    </w:pPr>
    <w:rPr>
      <w:rFonts w:eastAsia="Times New Roman"/>
      <w:lang w:eastAsia="de-DE"/>
    </w:rPr>
  </w:style>
  <w:style w:type="paragraph" w:customStyle="1" w:styleId="ListNumberLevel3">
    <w:name w:val="List Number (Level 3)"/>
    <w:basedOn w:val="Normalny"/>
    <w:rsid w:val="00D0690F"/>
    <w:pPr>
      <w:numPr>
        <w:ilvl w:val="2"/>
        <w:numId w:val="6"/>
      </w:numPr>
    </w:pPr>
    <w:rPr>
      <w:rFonts w:eastAsia="Times New Roman"/>
      <w:lang w:eastAsia="de-DE"/>
    </w:rPr>
  </w:style>
  <w:style w:type="paragraph" w:customStyle="1" w:styleId="ListNumberLevel4">
    <w:name w:val="List Number (Level 4)"/>
    <w:basedOn w:val="Normalny"/>
    <w:rsid w:val="00D0690F"/>
    <w:pPr>
      <w:numPr>
        <w:ilvl w:val="3"/>
        <w:numId w:val="6"/>
      </w:numPr>
    </w:pPr>
    <w:rPr>
      <w:rFonts w:eastAsia="Times New Roman"/>
      <w:lang w:eastAsia="de-DE"/>
    </w:rPr>
  </w:style>
  <w:style w:type="table" w:styleId="Tabela-Siatka">
    <w:name w:val="Table Grid"/>
    <w:basedOn w:val="Standardowy"/>
    <w:rsid w:val="00D0690F"/>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D0690F"/>
    <w:rPr>
      <w:color w:val="0000FF"/>
      <w:u w:val="single"/>
    </w:rPr>
  </w:style>
  <w:style w:type="paragraph" w:styleId="Listapunktowana">
    <w:name w:val="List Bullet"/>
    <w:basedOn w:val="Normalny"/>
    <w:rsid w:val="00D0690F"/>
    <w:pPr>
      <w:numPr>
        <w:numId w:val="7"/>
      </w:numPr>
    </w:pPr>
    <w:rPr>
      <w:rFonts w:eastAsia="Times New Roman"/>
      <w:lang w:eastAsia="en-GB"/>
    </w:rPr>
  </w:style>
  <w:style w:type="paragraph" w:styleId="Listapunktowana2">
    <w:name w:val="List Bullet 2"/>
    <w:basedOn w:val="Normalny"/>
    <w:rsid w:val="00D0690F"/>
    <w:pPr>
      <w:numPr>
        <w:numId w:val="8"/>
      </w:numPr>
    </w:pPr>
    <w:rPr>
      <w:rFonts w:eastAsia="Times New Roman"/>
      <w:lang w:eastAsia="en-GB"/>
    </w:rPr>
  </w:style>
  <w:style w:type="paragraph" w:styleId="Listapunktowana3">
    <w:name w:val="List Bullet 3"/>
    <w:basedOn w:val="Normalny"/>
    <w:rsid w:val="00D0690F"/>
    <w:pPr>
      <w:numPr>
        <w:numId w:val="9"/>
      </w:numPr>
    </w:pPr>
    <w:rPr>
      <w:rFonts w:eastAsia="Times New Roman"/>
      <w:lang w:eastAsia="en-GB"/>
    </w:rPr>
  </w:style>
  <w:style w:type="paragraph" w:styleId="Listanumerowana2">
    <w:name w:val="List Number 2"/>
    <w:basedOn w:val="Normalny"/>
    <w:rsid w:val="00D0690F"/>
    <w:pPr>
      <w:numPr>
        <w:numId w:val="13"/>
      </w:numPr>
    </w:pPr>
    <w:rPr>
      <w:rFonts w:eastAsia="Times New Roman"/>
      <w:lang w:eastAsia="en-GB"/>
    </w:rPr>
  </w:style>
  <w:style w:type="paragraph" w:styleId="Listanumerowana3">
    <w:name w:val="List Number 3"/>
    <w:basedOn w:val="Normalny"/>
    <w:rsid w:val="00D0690F"/>
    <w:pPr>
      <w:numPr>
        <w:numId w:val="14"/>
      </w:numPr>
    </w:pPr>
    <w:rPr>
      <w:rFonts w:eastAsia="Times New Roman"/>
      <w:lang w:eastAsia="en-GB"/>
    </w:rPr>
  </w:style>
  <w:style w:type="paragraph" w:styleId="Listanumerowana4">
    <w:name w:val="List Number 4"/>
    <w:basedOn w:val="Normalny"/>
    <w:rsid w:val="00D0690F"/>
    <w:pPr>
      <w:numPr>
        <w:numId w:val="15"/>
      </w:numPr>
    </w:pPr>
    <w:rPr>
      <w:rFonts w:eastAsia="Times New Roman"/>
      <w:lang w:eastAsia="en-GB"/>
    </w:rPr>
  </w:style>
  <w:style w:type="paragraph" w:customStyle="1" w:styleId="ListDash3">
    <w:name w:val="List Dash 3"/>
    <w:basedOn w:val="Normalny"/>
    <w:rsid w:val="00D0690F"/>
    <w:pPr>
      <w:numPr>
        <w:numId w:val="10"/>
      </w:numPr>
    </w:pPr>
    <w:rPr>
      <w:rFonts w:eastAsia="Times New Roman"/>
      <w:lang w:eastAsia="en-GB"/>
    </w:rPr>
  </w:style>
  <w:style w:type="paragraph" w:customStyle="1" w:styleId="ListDash4">
    <w:name w:val="List Dash 4"/>
    <w:basedOn w:val="Normalny"/>
    <w:rsid w:val="00D0690F"/>
    <w:pPr>
      <w:numPr>
        <w:numId w:val="11"/>
      </w:numPr>
    </w:pPr>
    <w:rPr>
      <w:rFonts w:eastAsia="Times New Roman"/>
      <w:lang w:eastAsia="en-GB"/>
    </w:rPr>
  </w:style>
  <w:style w:type="paragraph" w:customStyle="1" w:styleId="ListNumber1">
    <w:name w:val="List Number 1"/>
    <w:basedOn w:val="Text1"/>
    <w:rsid w:val="00D0690F"/>
    <w:pPr>
      <w:numPr>
        <w:numId w:val="12"/>
      </w:numPr>
    </w:pPr>
    <w:rPr>
      <w:rFonts w:eastAsia="Times New Roman"/>
      <w:lang w:eastAsia="en-GB"/>
    </w:rPr>
  </w:style>
  <w:style w:type="paragraph" w:customStyle="1" w:styleId="ListNumber1Level2">
    <w:name w:val="List Number 1 (Level 2)"/>
    <w:basedOn w:val="Text1"/>
    <w:rsid w:val="00D0690F"/>
    <w:pPr>
      <w:numPr>
        <w:ilvl w:val="1"/>
        <w:numId w:val="12"/>
      </w:numPr>
    </w:pPr>
    <w:rPr>
      <w:rFonts w:eastAsia="Times New Roman"/>
      <w:lang w:eastAsia="en-GB"/>
    </w:rPr>
  </w:style>
  <w:style w:type="paragraph" w:customStyle="1" w:styleId="ListNumber2Level2">
    <w:name w:val="List Number 2 (Level 2)"/>
    <w:basedOn w:val="Text2"/>
    <w:rsid w:val="00D0690F"/>
    <w:pPr>
      <w:numPr>
        <w:ilvl w:val="1"/>
        <w:numId w:val="13"/>
      </w:numPr>
    </w:pPr>
    <w:rPr>
      <w:rFonts w:eastAsia="Times New Roman"/>
      <w:lang w:eastAsia="en-GB"/>
    </w:rPr>
  </w:style>
  <w:style w:type="paragraph" w:customStyle="1" w:styleId="ListNumber3Level2">
    <w:name w:val="List Number 3 (Level 2)"/>
    <w:basedOn w:val="Text3"/>
    <w:rsid w:val="00D0690F"/>
    <w:pPr>
      <w:numPr>
        <w:ilvl w:val="1"/>
        <w:numId w:val="14"/>
      </w:numPr>
    </w:pPr>
    <w:rPr>
      <w:rFonts w:eastAsia="Times New Roman"/>
      <w:lang w:eastAsia="en-GB"/>
    </w:rPr>
  </w:style>
  <w:style w:type="paragraph" w:customStyle="1" w:styleId="ListNumber4Level2">
    <w:name w:val="List Number 4 (Level 2)"/>
    <w:basedOn w:val="Text4"/>
    <w:rsid w:val="00D0690F"/>
    <w:pPr>
      <w:numPr>
        <w:ilvl w:val="1"/>
        <w:numId w:val="15"/>
      </w:numPr>
    </w:pPr>
    <w:rPr>
      <w:rFonts w:eastAsia="Times New Roman"/>
      <w:lang w:eastAsia="en-GB"/>
    </w:rPr>
  </w:style>
  <w:style w:type="paragraph" w:customStyle="1" w:styleId="ListNumber1Level3">
    <w:name w:val="List Number 1 (Level 3)"/>
    <w:basedOn w:val="Text1"/>
    <w:rsid w:val="00D0690F"/>
    <w:pPr>
      <w:numPr>
        <w:ilvl w:val="2"/>
        <w:numId w:val="12"/>
      </w:numPr>
    </w:pPr>
    <w:rPr>
      <w:rFonts w:eastAsia="Times New Roman"/>
      <w:lang w:eastAsia="en-GB"/>
    </w:rPr>
  </w:style>
  <w:style w:type="paragraph" w:customStyle="1" w:styleId="ListNumber2Level3">
    <w:name w:val="List Number 2 (Level 3)"/>
    <w:basedOn w:val="Text2"/>
    <w:rsid w:val="00D0690F"/>
    <w:pPr>
      <w:numPr>
        <w:ilvl w:val="2"/>
        <w:numId w:val="13"/>
      </w:numPr>
    </w:pPr>
    <w:rPr>
      <w:rFonts w:eastAsia="Times New Roman"/>
      <w:lang w:eastAsia="en-GB"/>
    </w:rPr>
  </w:style>
  <w:style w:type="paragraph" w:customStyle="1" w:styleId="ListNumber3Level3">
    <w:name w:val="List Number 3 (Level 3)"/>
    <w:basedOn w:val="Text3"/>
    <w:rsid w:val="00D0690F"/>
    <w:pPr>
      <w:numPr>
        <w:ilvl w:val="2"/>
        <w:numId w:val="14"/>
      </w:numPr>
    </w:pPr>
    <w:rPr>
      <w:rFonts w:eastAsia="Times New Roman"/>
      <w:lang w:eastAsia="en-GB"/>
    </w:rPr>
  </w:style>
  <w:style w:type="paragraph" w:customStyle="1" w:styleId="ListNumber4Level3">
    <w:name w:val="List Number 4 (Level 3)"/>
    <w:basedOn w:val="Text4"/>
    <w:rsid w:val="00D0690F"/>
    <w:pPr>
      <w:numPr>
        <w:ilvl w:val="2"/>
        <w:numId w:val="15"/>
      </w:numPr>
    </w:pPr>
    <w:rPr>
      <w:rFonts w:eastAsia="Times New Roman"/>
      <w:lang w:eastAsia="en-GB"/>
    </w:rPr>
  </w:style>
  <w:style w:type="paragraph" w:customStyle="1" w:styleId="ListNumber1Level4">
    <w:name w:val="List Number 1 (Level 4)"/>
    <w:basedOn w:val="Text1"/>
    <w:rsid w:val="00D0690F"/>
    <w:pPr>
      <w:numPr>
        <w:ilvl w:val="3"/>
        <w:numId w:val="12"/>
      </w:numPr>
    </w:pPr>
    <w:rPr>
      <w:rFonts w:eastAsia="Times New Roman"/>
      <w:lang w:eastAsia="en-GB"/>
    </w:rPr>
  </w:style>
  <w:style w:type="paragraph" w:customStyle="1" w:styleId="ListNumber2Level4">
    <w:name w:val="List Number 2 (Level 4)"/>
    <w:basedOn w:val="Text2"/>
    <w:rsid w:val="00D0690F"/>
    <w:pPr>
      <w:numPr>
        <w:ilvl w:val="3"/>
        <w:numId w:val="13"/>
      </w:numPr>
    </w:pPr>
    <w:rPr>
      <w:rFonts w:eastAsia="Times New Roman"/>
      <w:lang w:eastAsia="en-GB"/>
    </w:rPr>
  </w:style>
  <w:style w:type="paragraph" w:customStyle="1" w:styleId="ListNumber3Level4">
    <w:name w:val="List Number 3 (Level 4)"/>
    <w:basedOn w:val="Text3"/>
    <w:rsid w:val="00D0690F"/>
    <w:pPr>
      <w:numPr>
        <w:ilvl w:val="3"/>
        <w:numId w:val="14"/>
      </w:numPr>
    </w:pPr>
    <w:rPr>
      <w:rFonts w:eastAsia="Times New Roman"/>
      <w:lang w:eastAsia="en-GB"/>
    </w:rPr>
  </w:style>
  <w:style w:type="paragraph" w:customStyle="1" w:styleId="ListNumber4Level4">
    <w:name w:val="List Number 4 (Level 4)"/>
    <w:basedOn w:val="Text4"/>
    <w:rsid w:val="00D0690F"/>
    <w:pPr>
      <w:numPr>
        <w:ilvl w:val="3"/>
        <w:numId w:val="15"/>
      </w:numPr>
    </w:pPr>
    <w:rPr>
      <w:rFonts w:eastAsia="Times New Roman"/>
      <w:lang w:eastAsia="en-GB"/>
    </w:rPr>
  </w:style>
  <w:style w:type="paragraph" w:customStyle="1" w:styleId="Annexetitreacte">
    <w:name w:val="Annexe titre (acte)"/>
    <w:basedOn w:val="Normalny"/>
    <w:next w:val="Normalny"/>
    <w:rsid w:val="00D0690F"/>
    <w:pPr>
      <w:jc w:val="center"/>
    </w:pPr>
    <w:rPr>
      <w:rFonts w:eastAsia="Times New Roman"/>
      <w:b/>
      <w:u w:val="single"/>
      <w:lang w:eastAsia="en-GB"/>
    </w:rPr>
  </w:style>
  <w:style w:type="paragraph" w:customStyle="1" w:styleId="Annexetitreexposglobal">
    <w:name w:val="Annexe titre (exposé global)"/>
    <w:basedOn w:val="Normalny"/>
    <w:next w:val="Normalny"/>
    <w:rsid w:val="00D0690F"/>
    <w:pPr>
      <w:jc w:val="center"/>
    </w:pPr>
    <w:rPr>
      <w:rFonts w:eastAsia="Times New Roman"/>
      <w:b/>
      <w:u w:val="single"/>
      <w:lang w:eastAsia="en-GB"/>
    </w:rPr>
  </w:style>
  <w:style w:type="paragraph" w:customStyle="1" w:styleId="Annexetitrefichefinacte">
    <w:name w:val="Annexe titre (fiche fin. acte)"/>
    <w:basedOn w:val="Normalny"/>
    <w:next w:val="Normalny"/>
    <w:rsid w:val="00D0690F"/>
    <w:pPr>
      <w:jc w:val="center"/>
    </w:pPr>
    <w:rPr>
      <w:rFonts w:eastAsia="Times New Roman"/>
      <w:b/>
      <w:u w:val="single"/>
      <w:lang w:eastAsia="en-GB"/>
    </w:rPr>
  </w:style>
  <w:style w:type="paragraph" w:customStyle="1" w:styleId="Annexetitrefichefinglobale">
    <w:name w:val="Annexe titre (fiche fin. globale)"/>
    <w:basedOn w:val="Normalny"/>
    <w:next w:val="Normalny"/>
    <w:rsid w:val="00D0690F"/>
    <w:pPr>
      <w:jc w:val="center"/>
    </w:pPr>
    <w:rPr>
      <w:rFonts w:eastAsia="Times New Roman"/>
      <w:b/>
      <w:u w:val="single"/>
      <w:lang w:eastAsia="en-GB"/>
    </w:rPr>
  </w:style>
  <w:style w:type="paragraph" w:customStyle="1" w:styleId="Annexetitreglobale">
    <w:name w:val="Annexe titre (globale)"/>
    <w:basedOn w:val="Normalny"/>
    <w:next w:val="Normalny"/>
    <w:rsid w:val="00D0690F"/>
    <w:pPr>
      <w:jc w:val="center"/>
    </w:pPr>
    <w:rPr>
      <w:rFonts w:eastAsia="Times New Roman"/>
      <w:b/>
      <w:u w:val="single"/>
      <w:lang w:eastAsia="en-GB"/>
    </w:rPr>
  </w:style>
  <w:style w:type="paragraph" w:customStyle="1" w:styleId="Exposdesmotifstitreglobal">
    <w:name w:val="Exposé des motifs titre (global)"/>
    <w:basedOn w:val="Normalny"/>
    <w:next w:val="Normalny"/>
    <w:rsid w:val="00D0690F"/>
    <w:pPr>
      <w:jc w:val="center"/>
    </w:pPr>
    <w:rPr>
      <w:rFonts w:eastAsia="Times New Roman"/>
      <w:b/>
      <w:u w:val="single"/>
      <w:lang w:eastAsia="en-GB"/>
    </w:rPr>
  </w:style>
  <w:style w:type="paragraph" w:customStyle="1" w:styleId="Langueoriginale">
    <w:name w:val="Langue originale"/>
    <w:basedOn w:val="Normalny"/>
    <w:rsid w:val="00D0690F"/>
    <w:pPr>
      <w:spacing w:before="360"/>
      <w:jc w:val="center"/>
    </w:pPr>
    <w:rPr>
      <w:rFonts w:eastAsia="Times New Roman"/>
      <w:caps/>
      <w:lang w:eastAsia="en-GB"/>
    </w:rPr>
  </w:style>
  <w:style w:type="paragraph" w:customStyle="1" w:styleId="Phrasefinale">
    <w:name w:val="Phrase finale"/>
    <w:basedOn w:val="Normalny"/>
    <w:next w:val="Normalny"/>
    <w:rsid w:val="00D0690F"/>
    <w:pPr>
      <w:spacing w:before="360" w:after="0"/>
      <w:jc w:val="center"/>
    </w:pPr>
    <w:rPr>
      <w:rFonts w:eastAsia="Times New Roman"/>
      <w:lang w:eastAsia="en-GB"/>
    </w:rPr>
  </w:style>
  <w:style w:type="paragraph" w:customStyle="1" w:styleId="Prliminairetitre">
    <w:name w:val="Préliminaire titre"/>
    <w:basedOn w:val="Normalny"/>
    <w:next w:val="Normalny"/>
    <w:rsid w:val="00D0690F"/>
    <w:pPr>
      <w:spacing w:before="360" w:after="360"/>
      <w:jc w:val="center"/>
    </w:pPr>
    <w:rPr>
      <w:rFonts w:eastAsia="Times New Roman"/>
      <w:b/>
      <w:lang w:eastAsia="en-GB"/>
    </w:rPr>
  </w:style>
  <w:style w:type="paragraph" w:customStyle="1" w:styleId="Prliminairetype">
    <w:name w:val="Préliminaire type"/>
    <w:basedOn w:val="Normalny"/>
    <w:next w:val="Normalny"/>
    <w:rsid w:val="00D0690F"/>
    <w:pPr>
      <w:spacing w:before="360" w:after="0"/>
      <w:jc w:val="center"/>
    </w:pPr>
    <w:rPr>
      <w:rFonts w:eastAsia="Times New Roman"/>
      <w:b/>
      <w:lang w:eastAsia="en-GB"/>
    </w:rPr>
  </w:style>
  <w:style w:type="paragraph" w:customStyle="1" w:styleId="Rfrenceinstitutionelle">
    <w:name w:val="Référence institutionelle"/>
    <w:basedOn w:val="Normalny"/>
    <w:next w:val="Statut"/>
    <w:rsid w:val="00D0690F"/>
    <w:pPr>
      <w:spacing w:before="0" w:after="240"/>
      <w:ind w:left="5103"/>
      <w:jc w:val="left"/>
    </w:pPr>
    <w:rPr>
      <w:rFonts w:eastAsia="Times New Roman"/>
      <w:lang w:eastAsia="en-GB"/>
    </w:rPr>
  </w:style>
  <w:style w:type="paragraph" w:customStyle="1" w:styleId="Rfrenceinterinstitutionelle">
    <w:name w:val="Référence interinstitutionelle"/>
    <w:basedOn w:val="Normalny"/>
    <w:next w:val="Statut"/>
    <w:rsid w:val="00D0690F"/>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ny"/>
    <w:next w:val="Normalny"/>
    <w:rsid w:val="00D0690F"/>
    <w:pPr>
      <w:spacing w:before="0" w:after="0"/>
      <w:ind w:left="5103"/>
      <w:jc w:val="left"/>
    </w:pPr>
    <w:rPr>
      <w:rFonts w:eastAsia="Times New Roman"/>
      <w:lang w:eastAsia="en-GB"/>
    </w:rPr>
  </w:style>
  <w:style w:type="paragraph" w:customStyle="1" w:styleId="Sous-titreobjetprliminaire">
    <w:name w:val="Sous-titre objet (préliminaire)"/>
    <w:basedOn w:val="Normalny"/>
    <w:rsid w:val="00D0690F"/>
    <w:pPr>
      <w:spacing w:before="0" w:after="0"/>
      <w:jc w:val="center"/>
    </w:pPr>
    <w:rPr>
      <w:rFonts w:eastAsia="Times New Roman"/>
      <w:b/>
      <w:lang w:eastAsia="en-GB"/>
    </w:rPr>
  </w:style>
  <w:style w:type="paragraph" w:customStyle="1" w:styleId="Statutprliminaire">
    <w:name w:val="Statut (préliminaire)"/>
    <w:basedOn w:val="Normalny"/>
    <w:next w:val="Normalny"/>
    <w:rsid w:val="00D0690F"/>
    <w:pPr>
      <w:spacing w:before="360" w:after="0"/>
      <w:jc w:val="center"/>
    </w:pPr>
    <w:rPr>
      <w:rFonts w:eastAsia="Times New Roman"/>
      <w:lang w:eastAsia="en-GB"/>
    </w:rPr>
  </w:style>
  <w:style w:type="paragraph" w:customStyle="1" w:styleId="Titreobjetprliminaire">
    <w:name w:val="Titre objet (préliminaire)"/>
    <w:basedOn w:val="Normalny"/>
    <w:next w:val="Normalny"/>
    <w:rsid w:val="00D0690F"/>
    <w:pPr>
      <w:spacing w:before="360" w:after="360"/>
      <w:jc w:val="center"/>
    </w:pPr>
    <w:rPr>
      <w:rFonts w:eastAsia="Times New Roman"/>
      <w:b/>
      <w:lang w:eastAsia="en-GB"/>
    </w:rPr>
  </w:style>
  <w:style w:type="paragraph" w:customStyle="1" w:styleId="Typedudocumentprliminaire">
    <w:name w:val="Type du document (préliminaire)"/>
    <w:basedOn w:val="Normalny"/>
    <w:next w:val="Normalny"/>
    <w:rsid w:val="00D0690F"/>
    <w:pPr>
      <w:spacing w:before="360" w:after="0"/>
      <w:jc w:val="center"/>
    </w:pPr>
    <w:rPr>
      <w:rFonts w:eastAsia="Times New Roman"/>
      <w:b/>
      <w:lang w:eastAsia="en-GB"/>
    </w:rPr>
  </w:style>
  <w:style w:type="paragraph" w:customStyle="1" w:styleId="Fichefinancirestandardtitre">
    <w:name w:val="Fiche financière (standard) titre"/>
    <w:basedOn w:val="Normalny"/>
    <w:next w:val="Normalny"/>
    <w:rsid w:val="00D0690F"/>
    <w:pPr>
      <w:jc w:val="center"/>
    </w:pPr>
    <w:rPr>
      <w:rFonts w:eastAsia="Times New Roman"/>
      <w:b/>
      <w:u w:val="single"/>
      <w:lang w:eastAsia="en-GB"/>
    </w:rPr>
  </w:style>
  <w:style w:type="paragraph" w:customStyle="1" w:styleId="Fichefinancirestandardtitreacte">
    <w:name w:val="Fiche financière (standard) titre (acte)"/>
    <w:basedOn w:val="Normalny"/>
    <w:next w:val="Normalny"/>
    <w:rsid w:val="00D0690F"/>
    <w:pPr>
      <w:jc w:val="center"/>
    </w:pPr>
    <w:rPr>
      <w:rFonts w:eastAsia="Times New Roman"/>
      <w:b/>
      <w:u w:val="single"/>
      <w:lang w:eastAsia="en-GB"/>
    </w:rPr>
  </w:style>
  <w:style w:type="paragraph" w:customStyle="1" w:styleId="Fichefinanciretravailtitre">
    <w:name w:val="Fiche financière (travail) titre"/>
    <w:basedOn w:val="Normalny"/>
    <w:next w:val="Normalny"/>
    <w:rsid w:val="00D0690F"/>
    <w:pPr>
      <w:jc w:val="center"/>
    </w:pPr>
    <w:rPr>
      <w:rFonts w:eastAsia="Times New Roman"/>
      <w:b/>
      <w:u w:val="single"/>
      <w:lang w:eastAsia="en-GB"/>
    </w:rPr>
  </w:style>
  <w:style w:type="paragraph" w:customStyle="1" w:styleId="Fichefinanciretravailtitreacte">
    <w:name w:val="Fiche financière (travail) titre (acte)"/>
    <w:basedOn w:val="Normalny"/>
    <w:next w:val="Normalny"/>
    <w:rsid w:val="00D0690F"/>
    <w:pPr>
      <w:jc w:val="center"/>
    </w:pPr>
    <w:rPr>
      <w:rFonts w:eastAsia="Times New Roman"/>
      <w:b/>
      <w:u w:val="single"/>
      <w:lang w:eastAsia="en-GB"/>
    </w:rPr>
  </w:style>
  <w:style w:type="paragraph" w:customStyle="1" w:styleId="Fichefinancireattributiontitre">
    <w:name w:val="Fiche financière (attribution) titre"/>
    <w:basedOn w:val="Normalny"/>
    <w:next w:val="Normalny"/>
    <w:rsid w:val="00D0690F"/>
    <w:pPr>
      <w:jc w:val="center"/>
    </w:pPr>
    <w:rPr>
      <w:rFonts w:eastAsia="Times New Roman"/>
      <w:b/>
      <w:u w:val="single"/>
      <w:lang w:eastAsia="en-GB"/>
    </w:rPr>
  </w:style>
  <w:style w:type="paragraph" w:customStyle="1" w:styleId="Fichefinancireattributiontitreacte">
    <w:name w:val="Fiche financière (attribution) titre (acte)"/>
    <w:basedOn w:val="Normalny"/>
    <w:next w:val="Normalny"/>
    <w:rsid w:val="00D0690F"/>
    <w:pPr>
      <w:jc w:val="center"/>
    </w:pPr>
    <w:rPr>
      <w:rFonts w:eastAsia="Times New Roman"/>
      <w:b/>
      <w:u w:val="single"/>
      <w:lang w:eastAsia="en-GB"/>
    </w:rPr>
  </w:style>
  <w:style w:type="character" w:styleId="Odwoaniedokomentarza">
    <w:name w:val="annotation reference"/>
    <w:uiPriority w:val="99"/>
    <w:rsid w:val="00D0690F"/>
    <w:rPr>
      <w:rFonts w:cs="Times New Roman"/>
      <w:sz w:val="16"/>
      <w:szCs w:val="16"/>
    </w:rPr>
  </w:style>
  <w:style w:type="paragraph" w:styleId="Tekstkomentarza">
    <w:name w:val="annotation text"/>
    <w:basedOn w:val="Normalny"/>
    <w:link w:val="TekstkomentarzaZnak"/>
    <w:rsid w:val="00D0690F"/>
    <w:rPr>
      <w:rFonts w:eastAsia="Times New Roman"/>
      <w:sz w:val="20"/>
      <w:szCs w:val="20"/>
      <w:lang w:eastAsia="en-GB"/>
    </w:rPr>
  </w:style>
  <w:style w:type="character" w:customStyle="1" w:styleId="TekstkomentarzaZnak">
    <w:name w:val="Tekst komentarza Znak"/>
    <w:basedOn w:val="Domylnaczcionkaakapitu"/>
    <w:link w:val="Tekstkomentarza"/>
    <w:rsid w:val="00D0690F"/>
    <w:rPr>
      <w:rFonts w:ascii="Times New Roman" w:eastAsia="Times New Roman" w:hAnsi="Times New Roman" w:cs="Times New Roman"/>
      <w:sz w:val="20"/>
      <w:szCs w:val="20"/>
      <w:lang w:val="pl-PL" w:eastAsia="en-GB"/>
    </w:rPr>
  </w:style>
  <w:style w:type="paragraph" w:styleId="Tematkomentarza">
    <w:name w:val="annotation subject"/>
    <w:basedOn w:val="Tekstkomentarza"/>
    <w:next w:val="Tekstkomentarza"/>
    <w:link w:val="TematkomentarzaZnak"/>
    <w:rsid w:val="00D0690F"/>
    <w:rPr>
      <w:b/>
      <w:bCs/>
    </w:rPr>
  </w:style>
  <w:style w:type="character" w:customStyle="1" w:styleId="TematkomentarzaZnak">
    <w:name w:val="Temat komentarza Znak"/>
    <w:basedOn w:val="TekstkomentarzaZnak"/>
    <w:link w:val="Tematkomentarza"/>
    <w:rsid w:val="00D0690F"/>
    <w:rPr>
      <w:rFonts w:ascii="Times New Roman" w:eastAsia="Times New Roman" w:hAnsi="Times New Roman" w:cs="Times New Roman"/>
      <w:b/>
      <w:bCs/>
      <w:sz w:val="20"/>
      <w:szCs w:val="20"/>
      <w:lang w:val="pl-PL" w:eastAsia="en-GB"/>
    </w:rPr>
  </w:style>
  <w:style w:type="paragraph" w:styleId="Tekstdymka">
    <w:name w:val="Balloon Text"/>
    <w:basedOn w:val="Normalny"/>
    <w:link w:val="TekstdymkaZnak"/>
    <w:rsid w:val="00D0690F"/>
    <w:rPr>
      <w:rFonts w:ascii="Tahoma" w:eastAsia="Times New Roman" w:hAnsi="Tahoma" w:cs="Tahoma"/>
      <w:sz w:val="16"/>
      <w:szCs w:val="16"/>
      <w:lang w:eastAsia="en-GB"/>
    </w:rPr>
  </w:style>
  <w:style w:type="character" w:customStyle="1" w:styleId="TekstdymkaZnak">
    <w:name w:val="Tekst dymka Znak"/>
    <w:basedOn w:val="Domylnaczcionkaakapitu"/>
    <w:link w:val="Tekstdymka"/>
    <w:rsid w:val="00D0690F"/>
    <w:rPr>
      <w:rFonts w:ascii="Tahoma" w:eastAsia="Times New Roman" w:hAnsi="Tahoma" w:cs="Tahoma"/>
      <w:sz w:val="16"/>
      <w:szCs w:val="16"/>
      <w:lang w:val="pl-PL" w:eastAsia="en-GB"/>
    </w:rPr>
  </w:style>
  <w:style w:type="paragraph" w:styleId="Legenda">
    <w:name w:val="caption"/>
    <w:basedOn w:val="Normalny"/>
    <w:next w:val="Normalny"/>
    <w:qFormat/>
    <w:rsid w:val="00D0690F"/>
    <w:rPr>
      <w:rFonts w:eastAsia="Times New Roman"/>
      <w:b/>
      <w:bCs/>
      <w:sz w:val="20"/>
      <w:szCs w:val="20"/>
      <w:lang w:eastAsia="en-GB"/>
    </w:rPr>
  </w:style>
  <w:style w:type="paragraph" w:styleId="Spisilustracji">
    <w:name w:val="table of figures"/>
    <w:basedOn w:val="Normalny"/>
    <w:next w:val="Normalny"/>
    <w:rsid w:val="00D0690F"/>
    <w:rPr>
      <w:rFonts w:eastAsia="Times New Roman"/>
      <w:lang w:eastAsia="en-GB"/>
    </w:rPr>
  </w:style>
  <w:style w:type="character" w:styleId="Numerstrony">
    <w:name w:val="page number"/>
    <w:rsid w:val="00D0690F"/>
  </w:style>
  <w:style w:type="character" w:customStyle="1" w:styleId="tw4winMark">
    <w:name w:val="tw4winMark"/>
    <w:rsid w:val="00D0690F"/>
    <w:rPr>
      <w:vanish/>
      <w:color w:val="800080"/>
      <w:vertAlign w:val="subscript"/>
    </w:rPr>
  </w:style>
  <w:style w:type="character" w:styleId="UyteHipercze">
    <w:name w:val="FollowedHyperlink"/>
    <w:rsid w:val="00D0690F"/>
    <w:rPr>
      <w:color w:val="800080"/>
      <w:u w:val="single"/>
    </w:rPr>
  </w:style>
  <w:style w:type="paragraph" w:customStyle="1" w:styleId="Sous-titreobjet">
    <w:name w:val="Sous-titre objet"/>
    <w:basedOn w:val="Normalny"/>
    <w:rsid w:val="00D0690F"/>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0690F"/>
  </w:style>
  <w:style w:type="paragraph" w:styleId="Poprawka">
    <w:name w:val="Revision"/>
    <w:hidden/>
    <w:uiPriority w:val="99"/>
    <w:semiHidden/>
    <w:rsid w:val="00D0690F"/>
    <w:rPr>
      <w:rFonts w:ascii="Calibri" w:eastAsia="Calibri" w:hAnsi="Calibri" w:cs="Times New Roman"/>
      <w:sz w:val="24"/>
      <w:lang w:eastAsia="en-GB"/>
    </w:rPr>
  </w:style>
  <w:style w:type="paragraph" w:customStyle="1" w:styleId="FooterCoverPage">
    <w:name w:val="Footer Cover Page"/>
    <w:basedOn w:val="Normalny"/>
    <w:link w:val="FooterCoverPageChar"/>
    <w:rsid w:val="00D0690F"/>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D0690F"/>
    <w:rPr>
      <w:rFonts w:ascii="Times New Roman" w:hAnsi="Times New Roman" w:cs="Times New Roman"/>
      <w:b/>
      <w:sz w:val="28"/>
      <w:lang w:val="pl-PL"/>
    </w:rPr>
  </w:style>
  <w:style w:type="character" w:customStyle="1" w:styleId="FooterCoverPageChar">
    <w:name w:val="Footer Cover Page Char"/>
    <w:link w:val="FooterCoverPage"/>
    <w:rsid w:val="00D0690F"/>
    <w:rPr>
      <w:rFonts w:ascii="Times New Roman" w:eastAsia="Calibri" w:hAnsi="Times New Roman" w:cs="Times New Roman"/>
      <w:sz w:val="24"/>
      <w:lang w:val="pl-PL" w:eastAsia="en-GB"/>
    </w:rPr>
  </w:style>
  <w:style w:type="paragraph" w:customStyle="1" w:styleId="HeaderCoverPage">
    <w:name w:val="Header Cover Page"/>
    <w:basedOn w:val="Normalny"/>
    <w:link w:val="HeaderCoverPageChar"/>
    <w:rsid w:val="00D0690F"/>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0690F"/>
    <w:rPr>
      <w:rFonts w:ascii="Times New Roman" w:eastAsia="Calibri" w:hAnsi="Times New Roman" w:cs="Times New Roman"/>
      <w:sz w:val="24"/>
      <w:lang w:val="pl-PL" w:eastAsia="en-GB"/>
    </w:rPr>
  </w:style>
  <w:style w:type="character" w:customStyle="1" w:styleId="FooterSensitivityChar">
    <w:name w:val="Footer Sensitivity Char"/>
    <w:rsid w:val="00D0690F"/>
    <w:rPr>
      <w:rFonts w:ascii="Times New Roman" w:hAnsi="Times New Roman" w:cs="Times New Roman"/>
      <w:b/>
      <w:sz w:val="32"/>
      <w:lang w:val="pl-PL"/>
    </w:rPr>
  </w:style>
  <w:style w:type="character" w:customStyle="1" w:styleId="HeaderSensitivityChar">
    <w:name w:val="Header Sensitivity Char"/>
    <w:rsid w:val="00D0690F"/>
    <w:rPr>
      <w:rFonts w:ascii="Times New Roman" w:hAnsi="Times New Roman" w:cs="Times New Roman"/>
      <w:b/>
      <w:sz w:val="32"/>
      <w:lang w:val="pl-PL"/>
    </w:rPr>
  </w:style>
  <w:style w:type="character" w:customStyle="1" w:styleId="HeaderSensitivityRightChar">
    <w:name w:val="Header Sensitivity Right Char"/>
    <w:rsid w:val="00D0690F"/>
    <w:rPr>
      <w:rFonts w:ascii="Times New Roman" w:hAnsi="Times New Roman" w:cs="Times New Roman"/>
      <w:sz w:val="28"/>
      <w:lang w:val="pl-PL"/>
    </w:rPr>
  </w:style>
  <w:style w:type="paragraph" w:customStyle="1" w:styleId="LegalNumPar">
    <w:name w:val="LegalNumPar"/>
    <w:basedOn w:val="Normalny"/>
    <w:rsid w:val="00D0690F"/>
    <w:pPr>
      <w:numPr>
        <w:numId w:val="16"/>
      </w:numPr>
      <w:spacing w:line="360" w:lineRule="auto"/>
    </w:pPr>
    <w:rPr>
      <w:rFonts w:eastAsia="Times New Roman"/>
      <w:lang w:eastAsia="en-GB"/>
    </w:rPr>
  </w:style>
  <w:style w:type="paragraph" w:customStyle="1" w:styleId="LegalNumPar2">
    <w:name w:val="LegalNumPar2"/>
    <w:basedOn w:val="Normalny"/>
    <w:rsid w:val="00D0690F"/>
    <w:pPr>
      <w:numPr>
        <w:ilvl w:val="1"/>
        <w:numId w:val="16"/>
      </w:numPr>
      <w:spacing w:line="360" w:lineRule="auto"/>
    </w:pPr>
    <w:rPr>
      <w:rFonts w:eastAsia="Times New Roman"/>
      <w:lang w:eastAsia="en-GB"/>
    </w:rPr>
  </w:style>
  <w:style w:type="paragraph" w:customStyle="1" w:styleId="LegalNumPar3">
    <w:name w:val="LegalNumPar3"/>
    <w:basedOn w:val="Normalny"/>
    <w:rsid w:val="00D0690F"/>
    <w:pPr>
      <w:numPr>
        <w:ilvl w:val="2"/>
        <w:numId w:val="16"/>
      </w:numPr>
      <w:spacing w:line="360" w:lineRule="auto"/>
    </w:pPr>
    <w:rPr>
      <w:rFonts w:eastAsia="Times New Roman"/>
      <w:lang w:eastAsia="en-GB"/>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EC"/>
    <w:basedOn w:val="Normalny"/>
    <w:link w:val="AkapitzlistZnak"/>
    <w:uiPriority w:val="34"/>
    <w:qFormat/>
    <w:rsid w:val="00D0690F"/>
    <w:pPr>
      <w:ind w:left="720"/>
      <w:contextualSpacing/>
    </w:pPr>
    <w:rPr>
      <w:rFonts w:eastAsia="Times New Roman"/>
      <w:lang w:eastAsia="en-GB"/>
    </w:rPr>
  </w:style>
  <w:style w:type="character" w:customStyle="1" w:styleId="UnresolvedMention1">
    <w:name w:val="Unresolved Mention1"/>
    <w:basedOn w:val="Domylnaczcionkaakapitu"/>
    <w:uiPriority w:val="99"/>
    <w:semiHidden/>
    <w:unhideWhenUsed/>
    <w:rsid w:val="00D0690F"/>
    <w:rPr>
      <w:color w:val="605E5C"/>
      <w:shd w:val="clear" w:color="auto" w:fill="E1DFDD"/>
    </w:rPr>
  </w:style>
  <w:style w:type="character" w:styleId="Pogrubienie">
    <w:name w:val="Strong"/>
    <w:basedOn w:val="Domylnaczcionkaakapitu"/>
    <w:qFormat/>
    <w:rsid w:val="00D0690F"/>
    <w:rPr>
      <w:b/>
      <w:bCs/>
    </w:rPr>
  </w:style>
  <w:style w:type="character" w:styleId="Uwydatnienie">
    <w:name w:val="Emphasis"/>
    <w:basedOn w:val="Domylnaczcionkaakapitu"/>
    <w:qFormat/>
    <w:rsid w:val="00D0690F"/>
    <w:rPr>
      <w:i/>
      <w:iCs/>
    </w:rPr>
  </w:style>
  <w:style w:type="character" w:customStyle="1" w:styleId="Mention1">
    <w:name w:val="Mention1"/>
    <w:basedOn w:val="Domylnaczcionkaakapitu"/>
    <w:uiPriority w:val="99"/>
    <w:unhideWhenUsed/>
    <w:rsid w:val="00D0690F"/>
    <w:rPr>
      <w:color w:val="2B579A"/>
      <w:shd w:val="clear" w:color="auto" w:fill="E1DFDD"/>
    </w:rPr>
  </w:style>
  <w:style w:type="character" w:customStyle="1" w:styleId="normaltextrun">
    <w:name w:val="normaltextrun"/>
    <w:basedOn w:val="Domylnaczcionkaakapitu"/>
    <w:rsid w:val="00D0690F"/>
  </w:style>
  <w:style w:type="character" w:customStyle="1" w:styleId="eop">
    <w:name w:val="eop"/>
    <w:basedOn w:val="Domylnaczcionkaakapitu"/>
    <w:rsid w:val="00D0690F"/>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ny"/>
    <w:link w:val="Odwoanieprzypisudolnego"/>
    <w:rsid w:val="0041050F"/>
    <w:pPr>
      <w:keepLines/>
      <w:spacing w:before="0" w:after="160" w:line="240" w:lineRule="exact"/>
    </w:pPr>
    <w:rPr>
      <w:rFonts w:asciiTheme="minorHAnsi" w:hAnsiTheme="minorHAnsi" w:cstheme="minorBidi"/>
      <w:sz w:val="22"/>
      <w:vertAlign w:val="superscript"/>
    </w:rPr>
  </w:style>
  <w:style w:type="paragraph" w:customStyle="1" w:styleId="Consid">
    <w:name w:val="Consid"/>
    <w:basedOn w:val="Normalny"/>
    <w:rsid w:val="00AF5F7E"/>
    <w:pPr>
      <w:spacing w:line="360" w:lineRule="auto"/>
      <w:ind w:left="10" w:right="18" w:hanging="10"/>
    </w:pPr>
    <w:rPr>
      <w:rFonts w:eastAsia="Times New Roman"/>
      <w:b/>
      <w:bCs/>
      <w:color w:val="000000"/>
      <w:kern w:val="2"/>
      <w:szCs w:val="24"/>
      <w:u w:val="single"/>
      <w:lang w:eastAsia="en"/>
      <w14:ligatures w14:val="standardContextual"/>
    </w:rPr>
  </w:style>
  <w:style w:type="paragraph" w:customStyle="1" w:styleId="CharCharChar1">
    <w:name w:val="Char Char Char1"/>
    <w:basedOn w:val="Normalny"/>
    <w:uiPriority w:val="99"/>
    <w:rsid w:val="004656D1"/>
    <w:pPr>
      <w:spacing w:before="0" w:line="240" w:lineRule="exact"/>
    </w:pPr>
    <w:rPr>
      <w:rFonts w:asciiTheme="minorHAnsi" w:hAnsiTheme="minorHAnsi" w:cstheme="minorBidi"/>
      <w:sz w:val="22"/>
      <w:vertAlign w:val="superscript"/>
    </w:rPr>
  </w:style>
  <w:style w:type="table" w:customStyle="1" w:styleId="CV12">
    <w:name w:val="CV12"/>
    <w:basedOn w:val="Standardowy"/>
    <w:next w:val="Tabela-Siatka"/>
    <w:uiPriority w:val="39"/>
    <w:rsid w:val="008F38A1"/>
    <w:pPr>
      <w:spacing w:after="0" w:line="240" w:lineRule="auto"/>
    </w:pPr>
    <w:rPr>
      <w:rFonts w:ascii="Times New Roman" w:eastAsia="Times New Roman" w:hAnsi="Times New Roman" w:cs="Times New Roman"/>
      <w:sz w:val="20"/>
      <w:szCs w:val="20"/>
      <w:lang w:eastAsia="en-GB"/>
    </w:rPr>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8F38A1"/>
    <w:rPr>
      <w:rFonts w:ascii="Times New Roman" w:eastAsia="Times New Roman" w:hAnsi="Times New Roman" w:cs="Times New Roman"/>
      <w:sz w:val="24"/>
      <w:lang w:val="pl-PL" w:eastAsia="en-GB"/>
    </w:rPr>
  </w:style>
  <w:style w:type="paragraph" w:customStyle="1" w:styleId="Considerant">
    <w:name w:val="Considerant"/>
    <w:basedOn w:val="Normalny"/>
    <w:rsid w:val="00393C64"/>
  </w:style>
  <w:style w:type="character" w:customStyle="1" w:styleId="NagwekZnak">
    <w:name w:val="Nagłówek Znak"/>
    <w:basedOn w:val="Domylnaczcionkaakapitu"/>
    <w:link w:val="Nagwek"/>
    <w:uiPriority w:val="99"/>
    <w:rsid w:val="009A1A09"/>
    <w:rPr>
      <w:rFonts w:ascii="Times New Roman" w:hAnsi="Times New Roman" w:cs="Times New Roman"/>
      <w:sz w:val="24"/>
      <w:lang w:val="pl-PL"/>
    </w:rPr>
  </w:style>
  <w:style w:type="character" w:customStyle="1" w:styleId="StopkaZnak">
    <w:name w:val="Stopka Znak"/>
    <w:basedOn w:val="Domylnaczcionkaakapitu"/>
    <w:link w:val="Stopka"/>
    <w:uiPriority w:val="99"/>
    <w:rsid w:val="009A1A09"/>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pl-PL"/>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pl-PL"/>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pl-PL"/>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pl-PL"/>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lang w:val="pl-PL"/>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lang w:val="pl-PL"/>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lang w:val="pl-PL"/>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character" w:styleId="Odwoanieprzypisudolnego">
    <w:name w:val="footnote reference"/>
    <w:basedOn w:val="Domylnaczcionkaakapitu"/>
    <w:link w:val="FootnoteReferenceCharCarCharCharCarCharCarCharCarCharCarCharCharCarCarCharCharCharCharCharCarCharCarCharCharCarCharCar"/>
    <w:uiPriority w:val="99"/>
    <w:semiHidden/>
    <w:unhideWhenUsed/>
    <w:rPr>
      <w:shd w:val="clear" w:color="auto" w:fill="auto"/>
      <w:vertAlign w:val="superscript"/>
    </w:rPr>
  </w:style>
  <w:style w:type="paragraph" w:customStyle="1" w:styleId="HeaderSensitivity">
    <w:name w:val="Header Sensitivity"/>
    <w:basedOn w:val="Normalny"/>
    <w:rsid w:val="009A1A0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9A1A09"/>
    <w:pPr>
      <w:spacing w:before="0"/>
      <w:jc w:val="right"/>
    </w:pPr>
    <w:rPr>
      <w:sz w:val="28"/>
    </w:rPr>
  </w:style>
  <w:style w:type="paragraph" w:customStyle="1" w:styleId="FooterSensitivity">
    <w:name w:val="Footer Sensitivity"/>
    <w:basedOn w:val="Normalny"/>
    <w:rsid w:val="009A1A0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30"/>
      </w:numPr>
    </w:pPr>
  </w:style>
  <w:style w:type="paragraph" w:customStyle="1" w:styleId="NumPar2">
    <w:name w:val="NumPar 2"/>
    <w:basedOn w:val="Normalny"/>
    <w:next w:val="Text1"/>
    <w:pPr>
      <w:numPr>
        <w:ilvl w:val="1"/>
        <w:numId w:val="30"/>
      </w:numPr>
    </w:pPr>
  </w:style>
  <w:style w:type="paragraph" w:customStyle="1" w:styleId="NumPar3">
    <w:name w:val="NumPar 3"/>
    <w:basedOn w:val="Normalny"/>
    <w:next w:val="Text1"/>
    <w:pPr>
      <w:numPr>
        <w:ilvl w:val="2"/>
        <w:numId w:val="30"/>
      </w:numPr>
    </w:pPr>
  </w:style>
  <w:style w:type="paragraph" w:customStyle="1" w:styleId="NumPar4">
    <w:name w:val="NumPar 4"/>
    <w:basedOn w:val="Normalny"/>
    <w:next w:val="Text1"/>
    <w:pPr>
      <w:numPr>
        <w:ilvl w:val="3"/>
        <w:numId w:val="30"/>
      </w:numPr>
    </w:pPr>
  </w:style>
  <w:style w:type="paragraph" w:customStyle="1" w:styleId="NumPar5">
    <w:name w:val="NumPar 5"/>
    <w:basedOn w:val="Normalny"/>
    <w:next w:val="Text2"/>
    <w:pPr>
      <w:numPr>
        <w:ilvl w:val="4"/>
        <w:numId w:val="30"/>
      </w:numPr>
    </w:pPr>
  </w:style>
  <w:style w:type="paragraph" w:customStyle="1" w:styleId="NumPar6">
    <w:name w:val="NumPar 6"/>
    <w:basedOn w:val="Normalny"/>
    <w:next w:val="Text2"/>
    <w:pPr>
      <w:numPr>
        <w:ilvl w:val="5"/>
        <w:numId w:val="30"/>
      </w:numPr>
    </w:pPr>
  </w:style>
  <w:style w:type="paragraph" w:customStyle="1" w:styleId="NumPar7">
    <w:name w:val="NumPar 7"/>
    <w:basedOn w:val="Normalny"/>
    <w:next w:val="Text2"/>
    <w:pPr>
      <w:numPr>
        <w:ilvl w:val="6"/>
        <w:numId w:val="30"/>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32"/>
      </w:numPr>
    </w:pPr>
  </w:style>
  <w:style w:type="paragraph" w:customStyle="1" w:styleId="Point1number">
    <w:name w:val="Point 1 (number)"/>
    <w:basedOn w:val="Normalny"/>
    <w:pPr>
      <w:numPr>
        <w:ilvl w:val="2"/>
        <w:numId w:val="32"/>
      </w:numPr>
    </w:pPr>
  </w:style>
  <w:style w:type="paragraph" w:customStyle="1" w:styleId="Point2number">
    <w:name w:val="Point 2 (number)"/>
    <w:basedOn w:val="Normalny"/>
    <w:pPr>
      <w:numPr>
        <w:ilvl w:val="4"/>
        <w:numId w:val="32"/>
      </w:numPr>
    </w:pPr>
  </w:style>
  <w:style w:type="paragraph" w:customStyle="1" w:styleId="Point3number">
    <w:name w:val="Point 3 (number)"/>
    <w:basedOn w:val="Normalny"/>
    <w:pPr>
      <w:numPr>
        <w:ilvl w:val="6"/>
        <w:numId w:val="32"/>
      </w:numPr>
    </w:pPr>
  </w:style>
  <w:style w:type="paragraph" w:customStyle="1" w:styleId="Point0letter">
    <w:name w:val="Point 0 (letter)"/>
    <w:basedOn w:val="Normalny"/>
    <w:pPr>
      <w:numPr>
        <w:ilvl w:val="1"/>
        <w:numId w:val="32"/>
      </w:numPr>
    </w:pPr>
  </w:style>
  <w:style w:type="paragraph" w:customStyle="1" w:styleId="Point1letter">
    <w:name w:val="Point 1 (letter)"/>
    <w:basedOn w:val="Normalny"/>
    <w:pPr>
      <w:numPr>
        <w:ilvl w:val="3"/>
        <w:numId w:val="32"/>
      </w:numPr>
    </w:pPr>
  </w:style>
  <w:style w:type="paragraph" w:customStyle="1" w:styleId="Point2letter">
    <w:name w:val="Point 2 (letter)"/>
    <w:basedOn w:val="Normalny"/>
    <w:pPr>
      <w:numPr>
        <w:ilvl w:val="5"/>
        <w:numId w:val="32"/>
      </w:numPr>
    </w:pPr>
  </w:style>
  <w:style w:type="paragraph" w:customStyle="1" w:styleId="Point3letter">
    <w:name w:val="Point 3 (letter)"/>
    <w:basedOn w:val="Normalny"/>
    <w:pPr>
      <w:numPr>
        <w:ilvl w:val="7"/>
        <w:numId w:val="32"/>
      </w:numPr>
    </w:pPr>
  </w:style>
  <w:style w:type="paragraph" w:customStyle="1" w:styleId="Point4letter">
    <w:name w:val="Point 4 (letter)"/>
    <w:basedOn w:val="Normalny"/>
    <w:pPr>
      <w:numPr>
        <w:ilvl w:val="8"/>
        <w:numId w:val="32"/>
      </w:numPr>
    </w:pPr>
  </w:style>
  <w:style w:type="paragraph" w:customStyle="1" w:styleId="Bullet0">
    <w:name w:val="Bullet 0"/>
    <w:basedOn w:val="Normalny"/>
    <w:pPr>
      <w:numPr>
        <w:numId w:val="33"/>
      </w:numPr>
    </w:pPr>
  </w:style>
  <w:style w:type="paragraph" w:customStyle="1" w:styleId="Bullet1">
    <w:name w:val="Bullet 1"/>
    <w:basedOn w:val="Normalny"/>
    <w:pPr>
      <w:numPr>
        <w:numId w:val="34"/>
      </w:numPr>
    </w:pPr>
  </w:style>
  <w:style w:type="paragraph" w:customStyle="1" w:styleId="Bullet2">
    <w:name w:val="Bullet 2"/>
    <w:basedOn w:val="Normalny"/>
    <w:pPr>
      <w:numPr>
        <w:numId w:val="35"/>
      </w:numPr>
    </w:pPr>
  </w:style>
  <w:style w:type="paragraph" w:customStyle="1" w:styleId="Bullet3">
    <w:name w:val="Bullet 3"/>
    <w:basedOn w:val="Normalny"/>
    <w:pPr>
      <w:numPr>
        <w:numId w:val="36"/>
      </w:numPr>
    </w:pPr>
  </w:style>
  <w:style w:type="paragraph" w:customStyle="1" w:styleId="Bullet4">
    <w:name w:val="Bullet 4"/>
    <w:basedOn w:val="Normalny"/>
    <w:pPr>
      <w:numPr>
        <w:numId w:val="37"/>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38"/>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rsid w:val="00E664ED"/>
    <w:pPr>
      <w:spacing w:before="360" w:after="24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rsid w:val="00E664ED"/>
    <w:pPr>
      <w:spacing w:after="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Normalny"/>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Rfrencecroise"/>
    <w:rsid w:val="00E664ED"/>
    <w:pPr>
      <w:spacing w:before="360" w:after="240"/>
      <w:jc w:val="center"/>
    </w:pPr>
  </w:style>
  <w:style w:type="paragraph" w:styleId="Nagwek">
    <w:name w:val="header"/>
    <w:basedOn w:val="Normalny"/>
    <w:link w:val="NagwekZnak"/>
    <w:uiPriority w:val="99"/>
    <w:unhideWhenUsed/>
    <w:rsid w:val="009A1A09"/>
    <w:pPr>
      <w:tabs>
        <w:tab w:val="center" w:pos="4535"/>
        <w:tab w:val="right" w:pos="9071"/>
      </w:tabs>
      <w:spacing w:before="0"/>
    </w:pPr>
  </w:style>
  <w:style w:type="paragraph" w:customStyle="1" w:styleId="HeaderLandscape">
    <w:name w:val="HeaderLandscape"/>
    <w:basedOn w:val="Normalny"/>
    <w:rsid w:val="009A1A09"/>
    <w:pPr>
      <w:tabs>
        <w:tab w:val="center" w:pos="7285"/>
        <w:tab w:val="right" w:pos="14003"/>
      </w:tabs>
      <w:spacing w:before="0"/>
    </w:pPr>
  </w:style>
  <w:style w:type="paragraph" w:styleId="Stopka">
    <w:name w:val="footer"/>
    <w:basedOn w:val="Normalny"/>
    <w:link w:val="StopkaZnak"/>
    <w:uiPriority w:val="99"/>
    <w:unhideWhenUsed/>
    <w:rsid w:val="009A1A09"/>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9A1A0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561">
      <w:bodyDiv w:val="1"/>
      <w:marLeft w:val="0"/>
      <w:marRight w:val="0"/>
      <w:marTop w:val="0"/>
      <w:marBottom w:val="0"/>
      <w:divBdr>
        <w:top w:val="none" w:sz="0" w:space="0" w:color="auto"/>
        <w:left w:val="none" w:sz="0" w:space="0" w:color="auto"/>
        <w:bottom w:val="none" w:sz="0" w:space="0" w:color="auto"/>
        <w:right w:val="none" w:sz="0" w:space="0" w:color="auto"/>
      </w:divBdr>
    </w:div>
    <w:div w:id="113208732">
      <w:bodyDiv w:val="1"/>
      <w:marLeft w:val="0"/>
      <w:marRight w:val="0"/>
      <w:marTop w:val="0"/>
      <w:marBottom w:val="0"/>
      <w:divBdr>
        <w:top w:val="none" w:sz="0" w:space="0" w:color="auto"/>
        <w:left w:val="none" w:sz="0" w:space="0" w:color="auto"/>
        <w:bottom w:val="none" w:sz="0" w:space="0" w:color="auto"/>
        <w:right w:val="none" w:sz="0" w:space="0" w:color="auto"/>
      </w:divBdr>
    </w:div>
    <w:div w:id="436952440">
      <w:bodyDiv w:val="1"/>
      <w:marLeft w:val="0"/>
      <w:marRight w:val="0"/>
      <w:marTop w:val="0"/>
      <w:marBottom w:val="0"/>
      <w:divBdr>
        <w:top w:val="none" w:sz="0" w:space="0" w:color="auto"/>
        <w:left w:val="none" w:sz="0" w:space="0" w:color="auto"/>
        <w:bottom w:val="none" w:sz="0" w:space="0" w:color="auto"/>
        <w:right w:val="none" w:sz="0" w:space="0" w:color="auto"/>
      </w:divBdr>
    </w:div>
    <w:div w:id="608511853">
      <w:bodyDiv w:val="1"/>
      <w:marLeft w:val="0"/>
      <w:marRight w:val="0"/>
      <w:marTop w:val="0"/>
      <w:marBottom w:val="0"/>
      <w:divBdr>
        <w:top w:val="none" w:sz="0" w:space="0" w:color="auto"/>
        <w:left w:val="none" w:sz="0" w:space="0" w:color="auto"/>
        <w:bottom w:val="none" w:sz="0" w:space="0" w:color="auto"/>
        <w:right w:val="none" w:sz="0" w:space="0" w:color="auto"/>
      </w:divBdr>
    </w:div>
    <w:div w:id="657344354">
      <w:bodyDiv w:val="1"/>
      <w:marLeft w:val="0"/>
      <w:marRight w:val="0"/>
      <w:marTop w:val="0"/>
      <w:marBottom w:val="0"/>
      <w:divBdr>
        <w:top w:val="none" w:sz="0" w:space="0" w:color="auto"/>
        <w:left w:val="none" w:sz="0" w:space="0" w:color="auto"/>
        <w:bottom w:val="none" w:sz="0" w:space="0" w:color="auto"/>
        <w:right w:val="none" w:sz="0" w:space="0" w:color="auto"/>
      </w:divBdr>
    </w:div>
    <w:div w:id="1000817375">
      <w:bodyDiv w:val="1"/>
      <w:marLeft w:val="0"/>
      <w:marRight w:val="0"/>
      <w:marTop w:val="0"/>
      <w:marBottom w:val="0"/>
      <w:divBdr>
        <w:top w:val="none" w:sz="0" w:space="0" w:color="auto"/>
        <w:left w:val="none" w:sz="0" w:space="0" w:color="auto"/>
        <w:bottom w:val="none" w:sz="0" w:space="0" w:color="auto"/>
        <w:right w:val="none" w:sz="0" w:space="0" w:color="auto"/>
      </w:divBdr>
    </w:div>
    <w:div w:id="1151482219">
      <w:bodyDiv w:val="1"/>
      <w:marLeft w:val="0"/>
      <w:marRight w:val="0"/>
      <w:marTop w:val="0"/>
      <w:marBottom w:val="0"/>
      <w:divBdr>
        <w:top w:val="none" w:sz="0" w:space="0" w:color="auto"/>
        <w:left w:val="none" w:sz="0" w:space="0" w:color="auto"/>
        <w:bottom w:val="none" w:sz="0" w:space="0" w:color="auto"/>
        <w:right w:val="none" w:sz="0" w:space="0" w:color="auto"/>
      </w:divBdr>
    </w:div>
    <w:div w:id="1154182044">
      <w:bodyDiv w:val="1"/>
      <w:marLeft w:val="0"/>
      <w:marRight w:val="0"/>
      <w:marTop w:val="0"/>
      <w:marBottom w:val="0"/>
      <w:divBdr>
        <w:top w:val="none" w:sz="0" w:space="0" w:color="auto"/>
        <w:left w:val="none" w:sz="0" w:space="0" w:color="auto"/>
        <w:bottom w:val="none" w:sz="0" w:space="0" w:color="auto"/>
        <w:right w:val="none" w:sz="0" w:space="0" w:color="auto"/>
      </w:divBdr>
    </w:div>
    <w:div w:id="1285120022">
      <w:bodyDiv w:val="1"/>
      <w:marLeft w:val="0"/>
      <w:marRight w:val="0"/>
      <w:marTop w:val="0"/>
      <w:marBottom w:val="0"/>
      <w:divBdr>
        <w:top w:val="none" w:sz="0" w:space="0" w:color="auto"/>
        <w:left w:val="none" w:sz="0" w:space="0" w:color="auto"/>
        <w:bottom w:val="none" w:sz="0" w:space="0" w:color="auto"/>
        <w:right w:val="none" w:sz="0" w:space="0" w:color="auto"/>
      </w:divBdr>
    </w:div>
    <w:div w:id="1453014153">
      <w:bodyDiv w:val="1"/>
      <w:marLeft w:val="0"/>
      <w:marRight w:val="0"/>
      <w:marTop w:val="0"/>
      <w:marBottom w:val="0"/>
      <w:divBdr>
        <w:top w:val="none" w:sz="0" w:space="0" w:color="auto"/>
        <w:left w:val="none" w:sz="0" w:space="0" w:color="auto"/>
        <w:bottom w:val="none" w:sz="0" w:space="0" w:color="auto"/>
        <w:right w:val="none" w:sz="0" w:space="0" w:color="auto"/>
      </w:divBdr>
    </w:div>
    <w:div w:id="1470587098">
      <w:bodyDiv w:val="1"/>
      <w:marLeft w:val="0"/>
      <w:marRight w:val="0"/>
      <w:marTop w:val="0"/>
      <w:marBottom w:val="0"/>
      <w:divBdr>
        <w:top w:val="none" w:sz="0" w:space="0" w:color="auto"/>
        <w:left w:val="none" w:sz="0" w:space="0" w:color="auto"/>
        <w:bottom w:val="none" w:sz="0" w:space="0" w:color="auto"/>
        <w:right w:val="none" w:sz="0" w:space="0" w:color="auto"/>
      </w:divBdr>
    </w:div>
    <w:div w:id="1778334205">
      <w:bodyDiv w:val="1"/>
      <w:marLeft w:val="0"/>
      <w:marRight w:val="0"/>
      <w:marTop w:val="0"/>
      <w:marBottom w:val="0"/>
      <w:divBdr>
        <w:top w:val="none" w:sz="0" w:space="0" w:color="auto"/>
        <w:left w:val="none" w:sz="0" w:space="0" w:color="auto"/>
        <w:bottom w:val="none" w:sz="0" w:space="0" w:color="auto"/>
        <w:right w:val="none" w:sz="0" w:space="0" w:color="auto"/>
      </w:divBdr>
    </w:div>
    <w:div w:id="21099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6.emf"/></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52025DC0085" TargetMode="External"/><Relationship Id="rId13" Type="http://schemas.openxmlformats.org/officeDocument/2006/relationships/hyperlink" Target="http://data.europa.eu/eli/reg/1987/2658/oj" TargetMode="External"/><Relationship Id="rId3" Type="http://schemas.openxmlformats.org/officeDocument/2006/relationships/hyperlink" Target="https://eur-lex.europa.eu/legal-content/pl/TXT/?uri=celex:52025DC0125" TargetMode="External"/><Relationship Id="rId7" Type="http://schemas.openxmlformats.org/officeDocument/2006/relationships/hyperlink" Target="https://eur-lex.europa.eu/legal-content/pl/TXT/?uri=celex:52025DC0125" TargetMode="External"/><Relationship Id="rId12" Type="http://schemas.openxmlformats.org/officeDocument/2006/relationships/hyperlink" Target="http://data.europa.eu/eli/reg/2015/1222/oj" TargetMode="External"/><Relationship Id="rId2" Type="http://schemas.openxmlformats.org/officeDocument/2006/relationships/hyperlink" Target="http://data.europa.eu/eli/dir/2003/87/oj" TargetMode="External"/><Relationship Id="rId1" Type="http://schemas.openxmlformats.org/officeDocument/2006/relationships/hyperlink" Target="http://data.europa.eu/eli/reg/2023/956/oj" TargetMode="External"/><Relationship Id="rId6" Type="http://schemas.openxmlformats.org/officeDocument/2006/relationships/hyperlink" Target="https://eur-lex.europa.eu/legal-content/pl/TXT/?uri=celex:52025DC0085" TargetMode="External"/><Relationship Id="rId11" Type="http://schemas.openxmlformats.org/officeDocument/2006/relationships/hyperlink" Target="http://data.europa.eu/eli/reg/2019/943/oj" TargetMode="External"/><Relationship Id="rId5" Type="http://schemas.openxmlformats.org/officeDocument/2006/relationships/hyperlink" Target="http://data.europa.eu/eli/reg/2025/2083/oj" TargetMode="External"/><Relationship Id="rId10" Type="http://schemas.openxmlformats.org/officeDocument/2006/relationships/hyperlink" Target="https://eur-lex.europa.eu/legal-content/pl/TXT/?uri=CELEX%3A52025JC0025&amp;qid=1760959837610" TargetMode="External"/><Relationship Id="rId4" Type="http://schemas.openxmlformats.org/officeDocument/2006/relationships/hyperlink" Target="http://data.europa.eu/eli/reg/2021/1119/oj" TargetMode="External"/><Relationship Id="rId9" Type="http://schemas.openxmlformats.org/officeDocument/2006/relationships/hyperlink" Target="https://eur-lex.europa.eu/legal-content/pl/TXT/?uri=CELEX:52019DC06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2B33C-122D-467A-AF52-A58904360317}">
  <ds:schemaRefs>
    <ds:schemaRef ds:uri="http://schemas.openxmlformats.org/officeDocument/2006/bibliography"/>
  </ds:schemaRefs>
</ds:datastoreItem>
</file>

<file path=docMetadata/LabelInfo.xml><?xml version="1.0" encoding="utf-8"?>
<clbl:labelList xmlns:clbl="http://schemas.microsoft.com/office/2020/mipLabelMetadata">
  <clbl:label id="{b24c8b06-522c-46fe-9080-70926f8dddb1}" enabled="0" method="" siteId="{b24c8b06-522c-46fe-9080-70926f8dddb1}" removed="1"/>
</clbl:labelList>
</file>

<file path=docProps/app.xml><?xml version="1.0" encoding="utf-8"?>
<Properties xmlns="http://schemas.openxmlformats.org/officeDocument/2006/extended-properties" xmlns:vt="http://schemas.openxmlformats.org/officeDocument/2006/docPropsVTypes">
  <Template>COM</Template>
  <TotalTime>0</TotalTime>
  <Pages>74</Pages>
  <Words>25403</Words>
  <Characters>152420</Characters>
  <Application>Microsoft Office Word</Application>
  <DocSecurity>0</DocSecurity>
  <Lines>1270</Lines>
  <Paragraphs>354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177469</CharactersWithSpaces>
  <SharedDoc>false</SharedDoc>
  <HLinks>
    <vt:vector size="78" baseType="variant">
      <vt:variant>
        <vt:i4>6357099</vt:i4>
      </vt:variant>
      <vt:variant>
        <vt:i4>36</vt:i4>
      </vt:variant>
      <vt:variant>
        <vt:i4>0</vt:i4>
      </vt:variant>
      <vt:variant>
        <vt:i4>5</vt:i4>
      </vt:variant>
      <vt:variant>
        <vt:lpwstr>http://data.europa.eu/eli/reg/1987/2658/oj</vt:lpwstr>
      </vt:variant>
      <vt:variant>
        <vt:lpwstr/>
      </vt:variant>
      <vt:variant>
        <vt:i4>7209071</vt:i4>
      </vt:variant>
      <vt:variant>
        <vt:i4>33</vt:i4>
      </vt:variant>
      <vt:variant>
        <vt:i4>0</vt:i4>
      </vt:variant>
      <vt:variant>
        <vt:i4>5</vt:i4>
      </vt:variant>
      <vt:variant>
        <vt:lpwstr>http://data.europa.eu/eli/reg/2015/1222/oj</vt:lpwstr>
      </vt:variant>
      <vt:variant>
        <vt:lpwstr/>
      </vt:variant>
      <vt:variant>
        <vt:i4>4259867</vt:i4>
      </vt:variant>
      <vt:variant>
        <vt:i4>30</vt:i4>
      </vt:variant>
      <vt:variant>
        <vt:i4>0</vt:i4>
      </vt:variant>
      <vt:variant>
        <vt:i4>5</vt:i4>
      </vt:variant>
      <vt:variant>
        <vt:lpwstr>http://data.europa.eu/eli/reg/2019/943/oj</vt:lpwstr>
      </vt:variant>
      <vt:variant>
        <vt:lpwstr/>
      </vt:variant>
      <vt:variant>
        <vt:i4>786432</vt:i4>
      </vt:variant>
      <vt:variant>
        <vt:i4>27</vt:i4>
      </vt:variant>
      <vt:variant>
        <vt:i4>0</vt:i4>
      </vt:variant>
      <vt:variant>
        <vt:i4>5</vt:i4>
      </vt:variant>
      <vt:variant>
        <vt:lpwstr>https://eur-lex.europa.eu/legal-content/EN/TXT/?uri=CELEX%3A52025JC0025&amp;qid=1760959837610</vt:lpwstr>
      </vt:variant>
      <vt:variant>
        <vt:lpwstr/>
      </vt:variant>
      <vt:variant>
        <vt:i4>458779</vt:i4>
      </vt:variant>
      <vt:variant>
        <vt:i4>24</vt:i4>
      </vt:variant>
      <vt:variant>
        <vt:i4>0</vt:i4>
      </vt:variant>
      <vt:variant>
        <vt:i4>5</vt:i4>
      </vt:variant>
      <vt:variant>
        <vt:lpwstr>https://eur-lex.europa.eu/legal-content/EN/TXT/?uri=CELEX:52019DC0640</vt:lpwstr>
      </vt:variant>
      <vt:variant>
        <vt:lpwstr/>
      </vt:variant>
      <vt:variant>
        <vt:i4>524305</vt:i4>
      </vt:variant>
      <vt:variant>
        <vt:i4>21</vt:i4>
      </vt:variant>
      <vt:variant>
        <vt:i4>0</vt:i4>
      </vt:variant>
      <vt:variant>
        <vt:i4>5</vt:i4>
      </vt:variant>
      <vt:variant>
        <vt:lpwstr>https://eur-lex.europa.eu/legal-content/EN/TXT/?uri=celex:52025DC0085</vt:lpwstr>
      </vt:variant>
      <vt:variant>
        <vt:lpwstr/>
      </vt:variant>
      <vt:variant>
        <vt:i4>131088</vt:i4>
      </vt:variant>
      <vt:variant>
        <vt:i4>18</vt:i4>
      </vt:variant>
      <vt:variant>
        <vt:i4>0</vt:i4>
      </vt:variant>
      <vt:variant>
        <vt:i4>5</vt:i4>
      </vt:variant>
      <vt:variant>
        <vt:lpwstr>https://eur-lex.europa.eu/legal-content/EN/TXT/?uri=celex:52025DC0125</vt:lpwstr>
      </vt:variant>
      <vt:variant>
        <vt:lpwstr/>
      </vt:variant>
      <vt:variant>
        <vt:i4>524305</vt:i4>
      </vt:variant>
      <vt:variant>
        <vt:i4>15</vt:i4>
      </vt:variant>
      <vt:variant>
        <vt:i4>0</vt:i4>
      </vt:variant>
      <vt:variant>
        <vt:i4>5</vt:i4>
      </vt:variant>
      <vt:variant>
        <vt:lpwstr>https://eur-lex.europa.eu/legal-content/EN/TXT/?uri=celex:52025DC0085</vt:lpwstr>
      </vt:variant>
      <vt:variant>
        <vt:lpwstr/>
      </vt:variant>
      <vt:variant>
        <vt:i4>6750319</vt:i4>
      </vt:variant>
      <vt:variant>
        <vt:i4>12</vt:i4>
      </vt:variant>
      <vt:variant>
        <vt:i4>0</vt:i4>
      </vt:variant>
      <vt:variant>
        <vt:i4>5</vt:i4>
      </vt:variant>
      <vt:variant>
        <vt:lpwstr>http://data.europa.eu/eli/reg/2025/2083/oj</vt:lpwstr>
      </vt:variant>
      <vt:variant>
        <vt:lpwstr/>
      </vt:variant>
      <vt:variant>
        <vt:i4>6881380</vt:i4>
      </vt:variant>
      <vt:variant>
        <vt:i4>9</vt:i4>
      </vt:variant>
      <vt:variant>
        <vt:i4>0</vt:i4>
      </vt:variant>
      <vt:variant>
        <vt:i4>5</vt:i4>
      </vt:variant>
      <vt:variant>
        <vt:lpwstr>http://data.europa.eu/eli/reg/2021/1119/oj</vt:lpwstr>
      </vt:variant>
      <vt:variant>
        <vt:lpwstr/>
      </vt:variant>
      <vt:variant>
        <vt:i4>131088</vt:i4>
      </vt:variant>
      <vt:variant>
        <vt:i4>6</vt:i4>
      </vt:variant>
      <vt:variant>
        <vt:i4>0</vt:i4>
      </vt:variant>
      <vt:variant>
        <vt:i4>5</vt:i4>
      </vt:variant>
      <vt:variant>
        <vt:lpwstr>https://eur-lex.europa.eu/legal-content/EN/TXT/?uri=celex:52025DC0125</vt:lpwstr>
      </vt:variant>
      <vt:variant>
        <vt:lpwstr/>
      </vt:variant>
      <vt:variant>
        <vt:i4>6226010</vt:i4>
      </vt:variant>
      <vt:variant>
        <vt:i4>3</vt:i4>
      </vt:variant>
      <vt:variant>
        <vt:i4>0</vt:i4>
      </vt:variant>
      <vt:variant>
        <vt:i4>5</vt:i4>
      </vt:variant>
      <vt:variant>
        <vt:lpwstr>http://data.europa.eu/eli/dir/2003/87/oj</vt:lpwstr>
      </vt:variant>
      <vt:variant>
        <vt:lpwstr/>
      </vt:variant>
      <vt:variant>
        <vt:i4>5111833</vt:i4>
      </vt:variant>
      <vt:variant>
        <vt:i4>0</vt:i4>
      </vt:variant>
      <vt:variant>
        <vt:i4>0</vt:i4>
      </vt:variant>
      <vt:variant>
        <vt:i4>5</vt:i4>
      </vt:variant>
      <vt:variant>
        <vt:lpwstr>http://data.europa.eu/eli/reg/2023/956/oj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2026-02-12T10:49:00Z</dcterms:created>
  <dcterms:modified xsi:type="dcterms:W3CDTF">2026-02-12T10:49:00Z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2025-12-15T15:02:49Z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4df85bad-e08b-44b8-a9a4-1fb7bc5851ec</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DQCStatus">
    <vt:lpwstr>Green (DQC version 03)</vt:lpwstr>
  </property>
</Properties>
</file>