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0008" w14:textId="3CBC7906" w:rsidR="00BE1E25" w:rsidRPr="00B55C72" w:rsidRDefault="005707F0" w:rsidP="00B55C72">
      <w:pPr>
        <w:pStyle w:val="NormalnyWeb"/>
        <w:spacing w:after="159" w:line="259" w:lineRule="auto"/>
      </w:pPr>
      <w:r>
        <w:t xml:space="preserve">TYMCZASOWE CELE OCHRONY DLA SIEDLISK PRZYRODNICZYCH ORAZ GATUNKÓW I ICH SIEDLISK, BĘDĄCYCH PRZEDMIOTAMI OCHRONY OBSZARU NATURA 2000 </w:t>
      </w:r>
      <w:r w:rsidRPr="00537074">
        <w:rPr>
          <w:rFonts w:ascii="Lato" w:hAnsi="Lato"/>
          <w:sz w:val="20"/>
          <w:szCs w:val="20"/>
        </w:rPr>
        <w:t>NARWIAŃSKIE BAGNA PLH200002</w:t>
      </w:r>
      <w:r>
        <w:t>, W CZĘŚCI OBJĘTEJ GRANICAMI NARWIAŃSKIEGO PARKU NARODOWEGO, WYNIKAJĄCE Z WARUNKÓW UTRZYMANIA LUB ODTWORZENIA WŁAŚCIWEGO STANU OCHRONY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A2117C" w:rsidRPr="005E515C" w14:paraId="0C3F60A0" w14:textId="77777777" w:rsidTr="003622DF">
        <w:tc>
          <w:tcPr>
            <w:tcW w:w="3498" w:type="dxa"/>
          </w:tcPr>
          <w:p w14:paraId="5139914C" w14:textId="1895799F" w:rsidR="003622DF" w:rsidRPr="00537074" w:rsidRDefault="003622DF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b/>
                <w:bCs/>
                <w:sz w:val="20"/>
                <w:szCs w:val="20"/>
              </w:rPr>
              <w:t>Siedlisko przyrodnicze lub gatunek</w:t>
            </w:r>
          </w:p>
        </w:tc>
        <w:tc>
          <w:tcPr>
            <w:tcW w:w="3498" w:type="dxa"/>
          </w:tcPr>
          <w:p w14:paraId="2887FF6E" w14:textId="7F9C7AA6" w:rsidR="003622DF" w:rsidRPr="00537074" w:rsidRDefault="003622DF">
            <w:pPr>
              <w:rPr>
                <w:rFonts w:ascii="Lato" w:hAnsi="Lato" w:cs="Times New Roman"/>
                <w:b/>
                <w:bCs/>
                <w:sz w:val="20"/>
                <w:szCs w:val="20"/>
                <w:vertAlign w:val="superscript"/>
              </w:rPr>
            </w:pPr>
            <w:r w:rsidRPr="00537074">
              <w:rPr>
                <w:rFonts w:ascii="Lato" w:hAnsi="Lato" w:cs="Times New Roman"/>
                <w:b/>
                <w:bCs/>
                <w:sz w:val="20"/>
                <w:szCs w:val="20"/>
              </w:rPr>
              <w:t>Parametr/wskaźnik stanu ochrony</w:t>
            </w:r>
            <w:r w:rsidRPr="00537074">
              <w:rPr>
                <w:rFonts w:ascii="Lato" w:hAnsi="Lato" w:cs="Times New Roman"/>
                <w:b/>
                <w:bCs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3499" w:type="dxa"/>
          </w:tcPr>
          <w:p w14:paraId="045EEB3E" w14:textId="4A07AEA5" w:rsidR="003622DF" w:rsidRPr="00537074" w:rsidRDefault="003622DF">
            <w:pPr>
              <w:rPr>
                <w:rFonts w:ascii="Lato" w:hAnsi="Lato" w:cs="Times New Roman"/>
                <w:b/>
                <w:bCs/>
                <w:sz w:val="20"/>
                <w:szCs w:val="20"/>
                <w:vertAlign w:val="superscript"/>
              </w:rPr>
            </w:pPr>
            <w:r w:rsidRPr="00537074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Cel ochrony </w:t>
            </w:r>
            <w:r w:rsidRPr="00537074">
              <w:rPr>
                <w:rFonts w:ascii="Lato" w:hAnsi="Lato" w:cs="Times New Roman"/>
                <w:b/>
                <w:bCs/>
                <w:sz w:val="20"/>
                <w:szCs w:val="20"/>
                <w:vertAlign w:val="superscript"/>
              </w:rPr>
              <w:t>ii</w:t>
            </w:r>
          </w:p>
        </w:tc>
        <w:tc>
          <w:tcPr>
            <w:tcW w:w="3499" w:type="dxa"/>
          </w:tcPr>
          <w:p w14:paraId="4873598D" w14:textId="67C77209" w:rsidR="003622DF" w:rsidRPr="00537074" w:rsidRDefault="003622DF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63764" w:rsidRPr="005E515C" w14:paraId="0A7C49CC" w14:textId="77777777" w:rsidTr="003622DF">
        <w:tc>
          <w:tcPr>
            <w:tcW w:w="3498" w:type="dxa"/>
            <w:vMerge w:val="restart"/>
          </w:tcPr>
          <w:p w14:paraId="766A8AE6" w14:textId="2CF75651" w:rsidR="00963764" w:rsidRPr="00537074" w:rsidRDefault="00963764">
            <w:pPr>
              <w:rPr>
                <w:rFonts w:ascii="Lato" w:hAnsi="Lato" w:cs="Times New Roman"/>
                <w:b/>
                <w:iCs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bCs/>
                <w:iCs/>
                <w:sz w:val="20"/>
                <w:szCs w:val="20"/>
              </w:rPr>
              <w:t>3150 Starorzecza i naturalne eutroficzne zbiorniki wodne ze zbiorowiskami z </w:t>
            </w:r>
            <w:r w:rsidRPr="00537074">
              <w:rPr>
                <w:rFonts w:ascii="Lato" w:hAnsi="Lato" w:cs="Times New Roman"/>
                <w:bCs/>
                <w:i/>
                <w:iCs/>
                <w:sz w:val="20"/>
                <w:szCs w:val="20"/>
              </w:rPr>
              <w:t>Nympheion</w:t>
            </w:r>
            <w:r w:rsidRPr="00537074">
              <w:rPr>
                <w:rFonts w:ascii="Lato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537074">
              <w:rPr>
                <w:rFonts w:ascii="Lato" w:hAnsi="Lato" w:cs="Times New Roman"/>
                <w:i/>
                <w:sz w:val="20"/>
                <w:szCs w:val="20"/>
              </w:rPr>
              <w:t>Potamion</w:t>
            </w:r>
          </w:p>
        </w:tc>
        <w:tc>
          <w:tcPr>
            <w:tcW w:w="3498" w:type="dxa"/>
          </w:tcPr>
          <w:p w14:paraId="705FA345" w14:textId="3E81493D" w:rsidR="00963764" w:rsidRPr="00537074" w:rsidRDefault="0096376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200788E0" w14:textId="6A26D524" w:rsidR="00963764" w:rsidRPr="00537074" w:rsidRDefault="00963764">
            <w:pPr>
              <w:rPr>
                <w:rFonts w:ascii="Lato" w:hAnsi="Lato" w:cs="Times New Roman"/>
                <w:color w:val="000000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 xml:space="preserve">Zachowanie płatów siedliska o łącznej powierzchni min. </w:t>
            </w:r>
            <w:smartTag w:uri="urn:schemas-microsoft-com:office:smarttags" w:element="metricconverter">
              <w:smartTagPr>
                <w:attr w:name="ProductID" w:val="118,3 ha"/>
              </w:smartTagPr>
              <w:r w:rsidRPr="00537074">
                <w:rPr>
                  <w:rFonts w:ascii="Lato" w:hAnsi="Lato" w:cs="Times New Roman"/>
                  <w:color w:val="000000"/>
                  <w:sz w:val="20"/>
                  <w:szCs w:val="20"/>
                </w:rPr>
                <w:t>118,3 ha</w:t>
              </w:r>
            </w:smartTag>
            <w:r w:rsidR="0003015B"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 xml:space="preserve">, </w:t>
            </w:r>
            <w:r w:rsidR="0003015B" w:rsidRPr="00537074">
              <w:rPr>
                <w:rFonts w:ascii="Lato" w:hAnsi="Lato"/>
                <w:color w:val="000000"/>
                <w:sz w:val="20"/>
                <w:szCs w:val="20"/>
              </w:rPr>
              <w:t xml:space="preserve">przy stanie specyficznej struktury i funkcji FV, </w:t>
            </w:r>
            <w:r w:rsidR="00665777" w:rsidRPr="00537074">
              <w:rPr>
                <w:rFonts w:ascii="Lato" w:hAnsi="Lato" w:cs="Times New Roman"/>
                <w:sz w:val="20"/>
                <w:szCs w:val="20"/>
              </w:rPr>
              <w:t>z uwzględnieniem naturalnych procesów</w:t>
            </w:r>
            <w:r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99" w:type="dxa"/>
          </w:tcPr>
          <w:p w14:paraId="6A4D15CC" w14:textId="4A826155" w:rsidR="00963764" w:rsidRPr="00537074" w:rsidRDefault="0096376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06DCE09C" w14:textId="6EC80BB4" w:rsidR="00963764" w:rsidRPr="00537074" w:rsidRDefault="00B527FD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iCs/>
                <w:sz w:val="20"/>
                <w:szCs w:val="20"/>
              </w:rPr>
              <w:t>Ocena ogólna stanu zachowania siedliska w ostoi jest dobra (FV), ze względu na dużą różnorodność form morfologicznych, zróżnicowania charakteru hydrologicznego, zachowany naturalny układ struktury i niemal brak gatunków inwazyjnych i obcych, istnieją zadowalające „perspektywy ochrony”.</w:t>
            </w:r>
          </w:p>
          <w:p w14:paraId="5C1AC820" w14:textId="5937E1D9" w:rsidR="00963764" w:rsidRPr="00537074" w:rsidRDefault="0096376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Ze względu na złożoność procesów zachodzących w siedlisku i związany z tym wydłużony czas reakcji na działania ochronne, osiągnięcie właściwego stanu ochrony w perspektywie 20 jest trudne do określenia.</w:t>
            </w:r>
            <w:r w:rsidR="0003015B" w:rsidRPr="00537074">
              <w:rPr>
                <w:rFonts w:ascii="Lato" w:hAnsi="Lato" w:cs="Times New Roman"/>
                <w:sz w:val="20"/>
                <w:szCs w:val="20"/>
              </w:rPr>
              <w:t xml:space="preserve"> W związku z powyższym autorzy dokumentacji projektu Planu Ochrony wskazali jako cel ochrony</w:t>
            </w:r>
            <w:r w:rsidR="0003015B"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 xml:space="preserve"> zachowanie płatów siedliska o łącznej powierzchni min. </w:t>
            </w:r>
            <w:smartTag w:uri="urn:schemas-microsoft-com:office:smarttags" w:element="metricconverter">
              <w:smartTagPr>
                <w:attr w:name="ProductID" w:val="118,3 ha"/>
              </w:smartTagPr>
              <w:r w:rsidR="0003015B" w:rsidRPr="00537074">
                <w:rPr>
                  <w:rFonts w:ascii="Lato" w:hAnsi="Lato" w:cs="Times New Roman"/>
                  <w:color w:val="000000"/>
                  <w:sz w:val="20"/>
                  <w:szCs w:val="20"/>
                </w:rPr>
                <w:t>118,3 ha</w:t>
              </w:r>
            </w:smartTag>
            <w:r w:rsidR="0003015B"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 xml:space="preserve">, </w:t>
            </w:r>
            <w:r w:rsidR="0003015B" w:rsidRPr="00537074">
              <w:rPr>
                <w:rFonts w:ascii="Lato" w:hAnsi="Lato"/>
                <w:color w:val="000000"/>
                <w:sz w:val="20"/>
                <w:szCs w:val="20"/>
              </w:rPr>
              <w:t>przy stanie specyficznej struktury i funkcji FV.</w:t>
            </w:r>
          </w:p>
        </w:tc>
      </w:tr>
      <w:tr w:rsidR="00963764" w:rsidRPr="005E515C" w14:paraId="5DA241E8" w14:textId="77777777" w:rsidTr="003622DF">
        <w:tc>
          <w:tcPr>
            <w:tcW w:w="3498" w:type="dxa"/>
            <w:vMerge/>
          </w:tcPr>
          <w:p w14:paraId="5D27C63D" w14:textId="051ECAB0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59ECF5AA" w14:textId="1055931B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eastAsia="Times New Roman" w:hAnsi="Lato" w:cs="Times New Roman"/>
                <w:sz w:val="20"/>
                <w:szCs w:val="20"/>
              </w:rPr>
              <w:t xml:space="preserve">Charakterystyczna kombinacja zbiorowisk w obrębie transektu </w:t>
            </w:r>
          </w:p>
        </w:tc>
        <w:tc>
          <w:tcPr>
            <w:tcW w:w="3499" w:type="dxa"/>
          </w:tcPr>
          <w:p w14:paraId="148D942F" w14:textId="671CC589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Występuje naturalna różnorodność fitocenotyczna zbiorowisk, obecne nymfeidy i elodeidy.  Udział pleustofitów w starorzeczach do 50 % (FV)</w:t>
            </w:r>
          </w:p>
          <w:p w14:paraId="737C5D93" w14:textId="77777777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72995CFC" w14:textId="167A78E3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lastRenderedPageBreak/>
              <w:t>Utrzymanie oceny FV wskaźnika w obrębie co najmniej 80 % powierzchni siedliska w obszarze</w:t>
            </w:r>
          </w:p>
        </w:tc>
        <w:tc>
          <w:tcPr>
            <w:tcW w:w="3499" w:type="dxa"/>
          </w:tcPr>
          <w:p w14:paraId="009134C6" w14:textId="47C5C0AF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3150 (2012)</w:t>
            </w:r>
          </w:p>
        </w:tc>
      </w:tr>
      <w:tr w:rsidR="00963764" w:rsidRPr="005E515C" w14:paraId="3F63712E" w14:textId="77777777" w:rsidTr="003622DF">
        <w:tc>
          <w:tcPr>
            <w:tcW w:w="3498" w:type="dxa"/>
            <w:vMerge/>
          </w:tcPr>
          <w:p w14:paraId="34C7410B" w14:textId="70953A46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5B17072E" w14:textId="1CB413DF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eastAsia="Times New Roman" w:hAnsi="Lato" w:cs="Times New Roman"/>
                <w:sz w:val="20"/>
                <w:szCs w:val="20"/>
              </w:rPr>
              <w:t>Gatunki wskazujące na degradację siedliska</w:t>
            </w:r>
          </w:p>
        </w:tc>
        <w:tc>
          <w:tcPr>
            <w:tcW w:w="3499" w:type="dxa"/>
          </w:tcPr>
          <w:p w14:paraId="468FA91A" w14:textId="7BD2442B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 xml:space="preserve">Brak gatunków obcych i inwazyjnych (dopuszcza się obecność moczarki kanadyjskiej </w:t>
            </w:r>
            <w:r w:rsidRPr="005707F0">
              <w:rPr>
                <w:rFonts w:ascii="Lato" w:hAnsi="Lato" w:cs="Times New Roman"/>
                <w:i/>
                <w:iCs/>
                <w:sz w:val="20"/>
                <w:szCs w:val="20"/>
              </w:rPr>
              <w:t>Elodea canadensis</w:t>
            </w:r>
            <w:r w:rsidRPr="005707F0">
              <w:rPr>
                <w:rFonts w:ascii="Lato" w:hAnsi="Lato" w:cs="Times New Roman"/>
                <w:sz w:val="20"/>
                <w:szCs w:val="20"/>
              </w:rPr>
              <w:t>).</w:t>
            </w:r>
          </w:p>
          <w:p w14:paraId="788E07E8" w14:textId="77777777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1D7B54CB" w14:textId="10571A06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oceny FV wskaźnika w obrębie co najmniej 80 % powierzchni siedliska w obszarze</w:t>
            </w:r>
          </w:p>
        </w:tc>
        <w:tc>
          <w:tcPr>
            <w:tcW w:w="3499" w:type="dxa"/>
          </w:tcPr>
          <w:p w14:paraId="1F70A47F" w14:textId="04EABCDC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3150 (2012)</w:t>
            </w:r>
          </w:p>
        </w:tc>
      </w:tr>
      <w:tr w:rsidR="00963764" w:rsidRPr="005E515C" w14:paraId="276F0B71" w14:textId="77777777" w:rsidTr="003622DF">
        <w:tc>
          <w:tcPr>
            <w:tcW w:w="3498" w:type="dxa"/>
            <w:vMerge/>
          </w:tcPr>
          <w:p w14:paraId="64F9D1C4" w14:textId="77777777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5EF14729" w14:textId="436B173F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eastAsia="Times New Roman" w:hAnsi="Lato" w:cs="Times New Roman"/>
                <w:sz w:val="20"/>
                <w:szCs w:val="20"/>
              </w:rPr>
              <w:t xml:space="preserve">Barwa wody </w:t>
            </w:r>
          </w:p>
        </w:tc>
        <w:tc>
          <w:tcPr>
            <w:tcW w:w="3499" w:type="dxa"/>
          </w:tcPr>
          <w:p w14:paraId="75009FE4" w14:textId="79242D2D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Barwa słabo zielona do zielonej, słabo przezroczysta, brązowo-przezroczysta (U1-FV)</w:t>
            </w:r>
          </w:p>
          <w:p w14:paraId="6FFC7471" w14:textId="7BE61A8B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6943CC81" w14:textId="3402F1A1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oceny FV wskaźnika w obrębie co najmniej 80 % powierzchni siedliska w obszarze</w:t>
            </w:r>
          </w:p>
        </w:tc>
        <w:tc>
          <w:tcPr>
            <w:tcW w:w="3499" w:type="dxa"/>
          </w:tcPr>
          <w:p w14:paraId="69095E2E" w14:textId="3368EA72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3150 (2012)</w:t>
            </w:r>
          </w:p>
        </w:tc>
      </w:tr>
      <w:tr w:rsidR="00963764" w:rsidRPr="005E515C" w14:paraId="3B04C772" w14:textId="77777777" w:rsidTr="003622DF">
        <w:tc>
          <w:tcPr>
            <w:tcW w:w="3498" w:type="dxa"/>
            <w:vMerge/>
          </w:tcPr>
          <w:p w14:paraId="6A16A3C6" w14:textId="77777777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0195C5D7" w14:textId="7E679F6E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eastAsia="Times New Roman" w:hAnsi="Lato" w:cs="Times New Roman"/>
                <w:sz w:val="20"/>
                <w:szCs w:val="20"/>
              </w:rPr>
              <w:t>Konduktywność (przewodnictwo elektrolityczne)</w:t>
            </w:r>
          </w:p>
        </w:tc>
        <w:tc>
          <w:tcPr>
            <w:tcW w:w="3499" w:type="dxa"/>
          </w:tcPr>
          <w:p w14:paraId="1DB60190" w14:textId="2338780F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Przewodność &lt; 600 µS/cm (FV)</w:t>
            </w:r>
          </w:p>
          <w:p w14:paraId="00BB14D1" w14:textId="48628FB8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69D37396" w14:textId="6A66B1AC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oceny FV wskaźnika w obrębie co najmniej 80 % powierzchni siedliska w obszarze</w:t>
            </w:r>
          </w:p>
        </w:tc>
        <w:tc>
          <w:tcPr>
            <w:tcW w:w="3499" w:type="dxa"/>
          </w:tcPr>
          <w:p w14:paraId="70064152" w14:textId="7243586D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3150 (2012)</w:t>
            </w:r>
          </w:p>
        </w:tc>
      </w:tr>
      <w:tr w:rsidR="00963764" w:rsidRPr="005E515C" w14:paraId="1641FD48" w14:textId="77777777" w:rsidTr="003622DF">
        <w:tc>
          <w:tcPr>
            <w:tcW w:w="3498" w:type="dxa"/>
            <w:vMerge/>
          </w:tcPr>
          <w:p w14:paraId="4164468B" w14:textId="77777777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3EF30C13" w14:textId="127DD48D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eastAsia="Times New Roman" w:hAnsi="Lato" w:cs="Times New Roman"/>
                <w:sz w:val="20"/>
                <w:szCs w:val="20"/>
              </w:rPr>
              <w:t>Przezroczystość wody</w:t>
            </w:r>
          </w:p>
        </w:tc>
        <w:tc>
          <w:tcPr>
            <w:tcW w:w="3499" w:type="dxa"/>
          </w:tcPr>
          <w:p w14:paraId="2FDD6E68" w14:textId="6044C367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Widzialność krążka Secchiego &gt; 1m (U1-FV)</w:t>
            </w:r>
          </w:p>
          <w:p w14:paraId="4EC7CDA4" w14:textId="49093024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0D231CFB" w14:textId="5CE16AB7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oceny FV wskaźnika w obrębie co najmniej 80 % powierzchni siedliska w obszarze</w:t>
            </w:r>
          </w:p>
        </w:tc>
        <w:tc>
          <w:tcPr>
            <w:tcW w:w="3499" w:type="dxa"/>
          </w:tcPr>
          <w:p w14:paraId="171B8820" w14:textId="4E26D7E0" w:rsidR="00963764" w:rsidRPr="005707F0" w:rsidRDefault="00963764" w:rsidP="0048439C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3150 (2012)</w:t>
            </w:r>
          </w:p>
        </w:tc>
      </w:tr>
      <w:tr w:rsidR="00665777" w:rsidRPr="005E515C" w14:paraId="3045C646" w14:textId="77777777" w:rsidTr="003622DF">
        <w:tc>
          <w:tcPr>
            <w:tcW w:w="3498" w:type="dxa"/>
            <w:vMerge w:val="restart"/>
          </w:tcPr>
          <w:p w14:paraId="7C9E7BD5" w14:textId="51EB8246" w:rsidR="00665777" w:rsidRPr="00537074" w:rsidRDefault="00665777">
            <w:pPr>
              <w:rPr>
                <w:rFonts w:ascii="Lato" w:hAnsi="Lato" w:cs="Times New Roman"/>
                <w:bCs/>
                <w:sz w:val="20"/>
                <w:szCs w:val="20"/>
              </w:rPr>
            </w:pPr>
            <w:bookmarkStart w:id="0" w:name="_Hlk86054542"/>
            <w:r w:rsidRPr="00537074">
              <w:rPr>
                <w:rFonts w:ascii="Lato" w:hAnsi="Lato" w:cs="Times New Roman"/>
                <w:bCs/>
                <w:sz w:val="20"/>
                <w:szCs w:val="20"/>
              </w:rPr>
              <w:t xml:space="preserve">3270 Zalewane muliste brzegi rzek z roślinnością </w:t>
            </w:r>
            <w:r w:rsidRPr="00537074">
              <w:rPr>
                <w:rFonts w:ascii="Lato" w:hAnsi="Lato" w:cs="Times New Roman"/>
                <w:bCs/>
                <w:i/>
                <w:sz w:val="20"/>
                <w:szCs w:val="20"/>
              </w:rPr>
              <w:t>Chenopodion rubri</w:t>
            </w:r>
            <w:r w:rsidRPr="00537074">
              <w:rPr>
                <w:rFonts w:ascii="Lato" w:hAnsi="Lato" w:cs="Times New Roman"/>
                <w:bCs/>
                <w:sz w:val="20"/>
                <w:szCs w:val="20"/>
              </w:rPr>
              <w:t xml:space="preserve"> p.p. i </w:t>
            </w:r>
            <w:r w:rsidRPr="00537074">
              <w:rPr>
                <w:rFonts w:ascii="Lato" w:hAnsi="Lato" w:cs="Times New Roman"/>
                <w:bCs/>
                <w:i/>
                <w:sz w:val="20"/>
                <w:szCs w:val="20"/>
              </w:rPr>
              <w:t>Bidention</w:t>
            </w:r>
            <w:r w:rsidRPr="00537074">
              <w:rPr>
                <w:rFonts w:ascii="Lato" w:hAnsi="Lato" w:cs="Times New Roman"/>
                <w:bCs/>
                <w:sz w:val="20"/>
                <w:szCs w:val="20"/>
              </w:rPr>
              <w:t xml:space="preserve"> p.p.</w:t>
            </w:r>
          </w:p>
        </w:tc>
        <w:tc>
          <w:tcPr>
            <w:tcW w:w="3498" w:type="dxa"/>
          </w:tcPr>
          <w:p w14:paraId="6701A1EC" w14:textId="2EBF5C9E" w:rsidR="00665777" w:rsidRPr="00537074" w:rsidRDefault="00665777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44ADCB34" w14:textId="597DD219" w:rsidR="00665777" w:rsidRPr="00537074" w:rsidRDefault="00665777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 xml:space="preserve">Zachowanie płatów siedliska o łącznej powierzchni min. </w:t>
            </w:r>
            <w:smartTag w:uri="urn:schemas-microsoft-com:office:smarttags" w:element="metricconverter">
              <w:smartTagPr>
                <w:attr w:name="ProductID" w:val="0,05 ha"/>
              </w:smartTagPr>
              <w:r w:rsidRPr="00537074">
                <w:rPr>
                  <w:rFonts w:ascii="Lato" w:hAnsi="Lato" w:cs="Times New Roman"/>
                  <w:color w:val="000000"/>
                  <w:sz w:val="20"/>
                  <w:szCs w:val="20"/>
                </w:rPr>
                <w:t>0,05 ha</w:t>
              </w:r>
            </w:smartTag>
            <w:r w:rsidRPr="00537074">
              <w:rPr>
                <w:rFonts w:ascii="Lato" w:hAnsi="Lato" w:cs="Times New Roman"/>
                <w:sz w:val="20"/>
                <w:szCs w:val="20"/>
              </w:rPr>
              <w:t xml:space="preserve"> z uwzględnieniem naturalnych procesów.</w:t>
            </w:r>
          </w:p>
        </w:tc>
        <w:tc>
          <w:tcPr>
            <w:tcW w:w="3499" w:type="dxa"/>
          </w:tcPr>
          <w:p w14:paraId="73230C9F" w14:textId="77777777" w:rsidR="00665777" w:rsidRPr="00537074" w:rsidRDefault="00665777" w:rsidP="00B527FD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5E43085D" w14:textId="77777777" w:rsidR="00B527FD" w:rsidRPr="00537074" w:rsidRDefault="00B527FD" w:rsidP="00B527FD">
            <w:pPr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37074">
              <w:rPr>
                <w:rFonts w:ascii="Lato" w:eastAsia="Times New Roman" w:hAnsi="Lato" w:cs="Times New Roman"/>
                <w:sz w:val="20"/>
                <w:szCs w:val="20"/>
              </w:rPr>
              <w:t xml:space="preserve">W latach 2012–2013 stwierdzono 7 drobnopowierzchnowych płatów siedliska, o łącznej powierzchni 0,05 arów (&lt;0,01% obszaru). </w:t>
            </w:r>
          </w:p>
          <w:p w14:paraId="5A595604" w14:textId="67448184" w:rsidR="00B527FD" w:rsidRPr="00537074" w:rsidRDefault="00B527FD" w:rsidP="00B527FD">
            <w:pPr>
              <w:jc w:val="both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37074">
              <w:rPr>
                <w:rFonts w:ascii="Lato" w:eastAsia="Times New Roman" w:hAnsi="Lato" w:cs="Times New Roman"/>
                <w:sz w:val="20"/>
                <w:szCs w:val="20"/>
              </w:rPr>
              <w:t>Stan zachowania w obszarze: zły (U2)</w:t>
            </w:r>
          </w:p>
        </w:tc>
      </w:tr>
      <w:bookmarkEnd w:id="0"/>
      <w:tr w:rsidR="00665777" w:rsidRPr="005E515C" w14:paraId="05BF5B08" w14:textId="77777777" w:rsidTr="003622DF">
        <w:tc>
          <w:tcPr>
            <w:tcW w:w="3498" w:type="dxa"/>
            <w:vMerge/>
          </w:tcPr>
          <w:p w14:paraId="19778681" w14:textId="77777777" w:rsidR="00665777" w:rsidRPr="005707F0" w:rsidRDefault="00665777" w:rsidP="00DA30A7">
            <w:pPr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</w:tcPr>
          <w:p w14:paraId="196FD0CB" w14:textId="52BDD111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Gatunki charakterystyczne</w:t>
            </w:r>
          </w:p>
        </w:tc>
        <w:tc>
          <w:tcPr>
            <w:tcW w:w="3499" w:type="dxa"/>
          </w:tcPr>
          <w:p w14:paraId="43C8E131" w14:textId="77777777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Na stanowisku występują mniej niż 3 gatunki charakterystyczne dla siedliska (U1-U2)</w:t>
            </w:r>
          </w:p>
          <w:p w14:paraId="55E4A344" w14:textId="77777777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71A9AB9F" w14:textId="2A6FDE40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siedliska.</w:t>
            </w:r>
          </w:p>
        </w:tc>
        <w:tc>
          <w:tcPr>
            <w:tcW w:w="3499" w:type="dxa"/>
          </w:tcPr>
          <w:p w14:paraId="1529F597" w14:textId="1913D04A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3270 (2010)</w:t>
            </w:r>
          </w:p>
        </w:tc>
      </w:tr>
      <w:tr w:rsidR="00665777" w:rsidRPr="005E515C" w14:paraId="53DD2B63" w14:textId="77777777" w:rsidTr="003622DF">
        <w:tc>
          <w:tcPr>
            <w:tcW w:w="3498" w:type="dxa"/>
            <w:vMerge/>
          </w:tcPr>
          <w:p w14:paraId="454A3D96" w14:textId="77777777" w:rsidR="00665777" w:rsidRPr="005707F0" w:rsidRDefault="00665777" w:rsidP="00DA30A7">
            <w:pPr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</w:tcPr>
          <w:p w14:paraId="4C297949" w14:textId="570A5A5B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 xml:space="preserve">Gatunki dominujące </w:t>
            </w:r>
          </w:p>
        </w:tc>
        <w:tc>
          <w:tcPr>
            <w:tcW w:w="3499" w:type="dxa"/>
          </w:tcPr>
          <w:p w14:paraId="315E628F" w14:textId="64E38848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Wśród dominantów obecne wyłącznie gatunki ekspansywne lub ekologicznie obce dla siedliska.</w:t>
            </w:r>
          </w:p>
          <w:p w14:paraId="07F0252D" w14:textId="77777777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6E1EBE88" w14:textId="13454E8F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siedliska.</w:t>
            </w:r>
          </w:p>
        </w:tc>
        <w:tc>
          <w:tcPr>
            <w:tcW w:w="3499" w:type="dxa"/>
          </w:tcPr>
          <w:p w14:paraId="2C805F85" w14:textId="6BF024A4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3270 (2010)</w:t>
            </w:r>
          </w:p>
        </w:tc>
      </w:tr>
      <w:tr w:rsidR="00665777" w:rsidRPr="005E515C" w14:paraId="22791DA3" w14:textId="77777777" w:rsidTr="003622DF">
        <w:tc>
          <w:tcPr>
            <w:tcW w:w="3498" w:type="dxa"/>
            <w:vMerge/>
          </w:tcPr>
          <w:p w14:paraId="583D18B4" w14:textId="77777777" w:rsidR="00665777" w:rsidRPr="005707F0" w:rsidRDefault="00665777" w:rsidP="00DA30A7">
            <w:pPr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</w:tcPr>
          <w:p w14:paraId="3AE99DAA" w14:textId="43394573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 xml:space="preserve">Obce gatunki inwazyjne </w:t>
            </w:r>
          </w:p>
        </w:tc>
        <w:tc>
          <w:tcPr>
            <w:tcW w:w="3499" w:type="dxa"/>
          </w:tcPr>
          <w:p w14:paraId="7CB8F3CF" w14:textId="7E93CE4E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Obecne na stanowisku gatunki inwazyjne zajmują więcej niż 50 % powierzchni siedlisk.</w:t>
            </w:r>
          </w:p>
          <w:p w14:paraId="0AA39CDC" w14:textId="77777777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2F52484B" w14:textId="41C56C74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siedliska.</w:t>
            </w:r>
          </w:p>
        </w:tc>
        <w:tc>
          <w:tcPr>
            <w:tcW w:w="3499" w:type="dxa"/>
          </w:tcPr>
          <w:p w14:paraId="02AC2E4E" w14:textId="1D4699A4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3270 (2010)</w:t>
            </w:r>
          </w:p>
        </w:tc>
      </w:tr>
      <w:tr w:rsidR="00665777" w:rsidRPr="005E515C" w14:paraId="495FF4C4" w14:textId="77777777" w:rsidTr="003622DF">
        <w:tc>
          <w:tcPr>
            <w:tcW w:w="3498" w:type="dxa"/>
            <w:vMerge/>
          </w:tcPr>
          <w:p w14:paraId="72B11D0B" w14:textId="77777777" w:rsidR="00665777" w:rsidRPr="005707F0" w:rsidRDefault="00665777" w:rsidP="00DA30A7">
            <w:pPr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</w:tcPr>
          <w:p w14:paraId="0FB41BB8" w14:textId="072A384E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 xml:space="preserve">Ekspansywne rodzime gatunki zielne </w:t>
            </w:r>
          </w:p>
        </w:tc>
        <w:tc>
          <w:tcPr>
            <w:tcW w:w="3499" w:type="dxa"/>
          </w:tcPr>
          <w:p w14:paraId="1715004E" w14:textId="5CAED9F9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Łączne pokrycie osobników gatunków ekspansywnych przekracza 25% powierzchni siedliska na stanowisku.</w:t>
            </w:r>
          </w:p>
          <w:p w14:paraId="3516D321" w14:textId="77777777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0B982AE7" w14:textId="1D9F79C9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siedliska.</w:t>
            </w:r>
          </w:p>
        </w:tc>
        <w:tc>
          <w:tcPr>
            <w:tcW w:w="3499" w:type="dxa"/>
          </w:tcPr>
          <w:p w14:paraId="67B29737" w14:textId="51A301A2" w:rsidR="00665777" w:rsidRPr="005707F0" w:rsidRDefault="00665777" w:rsidP="00DA30A7">
            <w:pPr>
              <w:rPr>
                <w:rFonts w:ascii="Lato" w:hAnsi="Lato" w:cs="Times New Roman"/>
                <w:sz w:val="20"/>
                <w:szCs w:val="20"/>
              </w:rPr>
            </w:pPr>
            <w:r w:rsidRPr="005707F0">
              <w:rPr>
                <w:rFonts w:ascii="Lato" w:hAnsi="Lato" w:cs="Times New Roman"/>
                <w:sz w:val="20"/>
                <w:szCs w:val="20"/>
              </w:rPr>
              <w:t>Zgodnie z opisem metodyki dla siedliska 3270 (2010)</w:t>
            </w:r>
          </w:p>
        </w:tc>
      </w:tr>
      <w:tr w:rsidR="00277604" w:rsidRPr="005E515C" w14:paraId="4DB1EB97" w14:textId="77777777" w:rsidTr="003622DF">
        <w:tc>
          <w:tcPr>
            <w:tcW w:w="3498" w:type="dxa"/>
            <w:vMerge w:val="restart"/>
          </w:tcPr>
          <w:p w14:paraId="211A0D1D" w14:textId="601AF081" w:rsidR="00277604" w:rsidRPr="00537074" w:rsidRDefault="00277604" w:rsidP="005A2761">
            <w:pPr>
              <w:rPr>
                <w:rFonts w:ascii="Lato" w:hAnsi="Lato" w:cs="Times New Roman"/>
                <w:bCs/>
                <w:sz w:val="20"/>
                <w:szCs w:val="20"/>
                <w:lang w:val="en-GB"/>
              </w:rPr>
            </w:pPr>
            <w:r w:rsidRPr="00537074">
              <w:rPr>
                <w:rFonts w:ascii="Lato" w:hAnsi="Lato" w:cs="Times New Roman"/>
                <w:bCs/>
                <w:sz w:val="20"/>
                <w:szCs w:val="20"/>
                <w:lang w:val="en-GB"/>
              </w:rPr>
              <w:t xml:space="preserve">4030 </w:t>
            </w:r>
            <w:r w:rsidRPr="00537074">
              <w:rPr>
                <w:rFonts w:ascii="Lato" w:eastAsia="Calibri" w:hAnsi="Lato" w:cs="Times New Roman"/>
                <w:bCs/>
                <w:sz w:val="20"/>
                <w:szCs w:val="20"/>
                <w:lang w:val="en-US"/>
              </w:rPr>
              <w:t>Suche wrzosowiska (</w:t>
            </w:r>
            <w:r w:rsidRPr="00537074">
              <w:rPr>
                <w:rFonts w:ascii="Lato" w:eastAsia="Calibri" w:hAnsi="Lato" w:cs="Times New Roman"/>
                <w:bCs/>
                <w:i/>
                <w:sz w:val="20"/>
                <w:szCs w:val="20"/>
                <w:lang w:val="en-US"/>
              </w:rPr>
              <w:t>Calluno-Genistion, Pohlio-Callunion, Calluno-Arctostaphylion</w:t>
            </w:r>
            <w:r w:rsidRPr="00537074">
              <w:rPr>
                <w:rFonts w:ascii="Lato" w:eastAsia="Calibri" w:hAnsi="Lato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498" w:type="dxa"/>
          </w:tcPr>
          <w:p w14:paraId="7F75C4B5" w14:textId="1E0694BE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64085647" w14:textId="6ECBA6E2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 xml:space="preserve">Zachowanie płatów siedliska o łącznej powierzchni min. 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>4,82 ha.</w:t>
            </w:r>
          </w:p>
        </w:tc>
        <w:tc>
          <w:tcPr>
            <w:tcW w:w="3499" w:type="dxa"/>
          </w:tcPr>
          <w:p w14:paraId="36D05CC3" w14:textId="669B5CBE" w:rsidR="007A787F" w:rsidRPr="00537074" w:rsidRDefault="00277604" w:rsidP="00B527FD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73687D6A" w14:textId="77777777" w:rsidR="00B527FD" w:rsidRPr="00537074" w:rsidRDefault="00B527FD" w:rsidP="00B527FD">
            <w:pPr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</w:pPr>
            <w:r w:rsidRPr="00537074"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  <w:t>Stwierdzono trzy płaty wrzosowisk o łącznej powierzchni 4,82 ha, co stanowi 0,07% obszaru.</w:t>
            </w:r>
          </w:p>
          <w:p w14:paraId="2EE2CBD1" w14:textId="49D48B89" w:rsidR="00B527FD" w:rsidRPr="00537074" w:rsidRDefault="00B527FD" w:rsidP="00B527FD">
            <w:pPr>
              <w:jc w:val="both"/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</w:pPr>
            <w:r w:rsidRPr="00537074">
              <w:rPr>
                <w:rFonts w:ascii="Lato" w:eastAsia="Times New Roman" w:hAnsi="Lato" w:cs="Times New Roman"/>
                <w:sz w:val="20"/>
                <w:szCs w:val="20"/>
              </w:rPr>
              <w:t>Stan zachowania w obszarze.</w:t>
            </w:r>
            <w:r w:rsidRPr="00537074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 Niezadowalający (U1), ze względu na </w:t>
            </w:r>
            <w:r w:rsidRPr="00537074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lastRenderedPageBreak/>
              <w:t>malejącą powierzchnię, zarastanie przez drzewa i ekspansję gatunków obcych.</w:t>
            </w:r>
            <w:r w:rsidR="007A787F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 Utrzymanie wskazanych parametrów uzależnione jest od sytuacji własnościowej – tj. pozyskanie w zarząd Skarbu Państwa całej powierzchni siedliska. </w:t>
            </w:r>
          </w:p>
        </w:tc>
      </w:tr>
      <w:tr w:rsidR="00277604" w:rsidRPr="005E515C" w14:paraId="0A6E7B23" w14:textId="77777777" w:rsidTr="0038144A">
        <w:tc>
          <w:tcPr>
            <w:tcW w:w="3498" w:type="dxa"/>
            <w:vMerge/>
          </w:tcPr>
          <w:p w14:paraId="56648F63" w14:textId="77777777" w:rsidR="00277604" w:rsidRPr="005707F0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ADDA952" w14:textId="4043BAB5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Pokrycie wrzosu</w:t>
            </w:r>
          </w:p>
        </w:tc>
        <w:tc>
          <w:tcPr>
            <w:tcW w:w="3499" w:type="dxa"/>
          </w:tcPr>
          <w:p w14:paraId="03857017" w14:textId="5FD031A8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Pokrycie wrzosu zwyczajnego Calluna vulgaris, (ewentualnie łączne wrzosu i mącznicy lekarskiej Arctostaphylos uva-ursi) &gt;50 %</w:t>
            </w:r>
            <w:r w:rsidR="00B527FD" w:rsidRPr="00537074">
              <w:rPr>
                <w:rFonts w:ascii="Lato" w:hAnsi="Lato" w:cs="Times New Roman"/>
                <w:sz w:val="20"/>
                <w:szCs w:val="20"/>
              </w:rPr>
              <w:t xml:space="preserve"> </w:t>
            </w:r>
          </w:p>
          <w:p w14:paraId="510DE9F9" w14:textId="77777777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54B59F41" w14:textId="1D29F7DB" w:rsidR="00277604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obecnej oceny FV wskaźnika w obrębie siedliska.</w:t>
            </w:r>
          </w:p>
        </w:tc>
        <w:tc>
          <w:tcPr>
            <w:tcW w:w="3499" w:type="dxa"/>
          </w:tcPr>
          <w:p w14:paraId="56AB732D" w14:textId="5A897653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4030</w:t>
            </w:r>
          </w:p>
        </w:tc>
      </w:tr>
      <w:tr w:rsidR="00277604" w:rsidRPr="005E515C" w14:paraId="4C72A7FD" w14:textId="77777777" w:rsidTr="0038144A">
        <w:tc>
          <w:tcPr>
            <w:tcW w:w="3498" w:type="dxa"/>
            <w:vMerge/>
          </w:tcPr>
          <w:p w14:paraId="4F63A8AD" w14:textId="77777777" w:rsidR="00277604" w:rsidRPr="005707F0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D4ADB93" w14:textId="015E90FE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Pokrycie traw</w:t>
            </w:r>
          </w:p>
        </w:tc>
        <w:tc>
          <w:tcPr>
            <w:tcW w:w="3499" w:type="dxa"/>
          </w:tcPr>
          <w:p w14:paraId="72CBB0AD" w14:textId="11A2D475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&lt; 10 % (FV)</w:t>
            </w:r>
          </w:p>
          <w:p w14:paraId="2EBD3EDB" w14:textId="77777777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7BD6715D" w14:textId="0B45D902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obecnej oceny FV wskaźnika w obrębie siedliska.</w:t>
            </w:r>
          </w:p>
        </w:tc>
        <w:tc>
          <w:tcPr>
            <w:tcW w:w="3499" w:type="dxa"/>
          </w:tcPr>
          <w:p w14:paraId="6CC7EA41" w14:textId="14C251A8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4030</w:t>
            </w:r>
          </w:p>
        </w:tc>
      </w:tr>
      <w:tr w:rsidR="00277604" w:rsidRPr="005E515C" w14:paraId="46AF964F" w14:textId="77777777" w:rsidTr="0038144A">
        <w:tc>
          <w:tcPr>
            <w:tcW w:w="3498" w:type="dxa"/>
            <w:vMerge/>
          </w:tcPr>
          <w:p w14:paraId="711CC09C" w14:textId="77777777" w:rsidR="00277604" w:rsidRPr="005707F0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7162584" w14:textId="23ED0E95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Zarośnięcie przez drzewa</w:t>
            </w:r>
          </w:p>
        </w:tc>
        <w:tc>
          <w:tcPr>
            <w:tcW w:w="3499" w:type="dxa"/>
          </w:tcPr>
          <w:p w14:paraId="0F06E929" w14:textId="5B23BDB8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10 – 30 % </w:t>
            </w:r>
          </w:p>
          <w:p w14:paraId="6416105A" w14:textId="77777777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27AA3B1B" w14:textId="2C17A1C1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siedliska.</w:t>
            </w:r>
          </w:p>
        </w:tc>
        <w:tc>
          <w:tcPr>
            <w:tcW w:w="3499" w:type="dxa"/>
          </w:tcPr>
          <w:p w14:paraId="48AA41EA" w14:textId="4FA5EFDD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4030</w:t>
            </w:r>
          </w:p>
        </w:tc>
      </w:tr>
      <w:tr w:rsidR="00277604" w:rsidRPr="005E515C" w14:paraId="7D478941" w14:textId="77777777" w:rsidTr="0038144A">
        <w:tc>
          <w:tcPr>
            <w:tcW w:w="3498" w:type="dxa"/>
            <w:vMerge/>
          </w:tcPr>
          <w:p w14:paraId="393685D8" w14:textId="77777777" w:rsidR="00277604" w:rsidRPr="005707F0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BB97A3E" w14:textId="58552758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Obce inwazyjne</w:t>
            </w:r>
          </w:p>
        </w:tc>
        <w:tc>
          <w:tcPr>
            <w:tcW w:w="3499" w:type="dxa"/>
          </w:tcPr>
          <w:p w14:paraId="6F5F5642" w14:textId="68425C3F" w:rsidR="00277604" w:rsidRPr="00537074" w:rsidRDefault="00277604" w:rsidP="005A2761">
            <w:pPr>
              <w:rPr>
                <w:rFonts w:ascii="Lato" w:hAnsi="Lato" w:cs="Times New Roman"/>
                <w:noProof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noProof/>
                <w:sz w:val="20"/>
                <w:szCs w:val="20"/>
              </w:rPr>
              <w:t>Pojedyńcze, &lt; 10 %</w:t>
            </w:r>
          </w:p>
          <w:p w14:paraId="6123502B" w14:textId="77777777" w:rsidR="00C762EE" w:rsidRPr="00537074" w:rsidRDefault="00C762EE" w:rsidP="005A2761">
            <w:pPr>
              <w:rPr>
                <w:rFonts w:ascii="Lato" w:hAnsi="Lato" w:cs="Times New Roman"/>
                <w:noProof/>
                <w:sz w:val="20"/>
                <w:szCs w:val="20"/>
              </w:rPr>
            </w:pPr>
          </w:p>
          <w:p w14:paraId="1593A75E" w14:textId="43B33C29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siedliska.</w:t>
            </w:r>
          </w:p>
        </w:tc>
        <w:tc>
          <w:tcPr>
            <w:tcW w:w="3499" w:type="dxa"/>
          </w:tcPr>
          <w:p w14:paraId="5C888AF4" w14:textId="08AA3755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4030</w:t>
            </w:r>
          </w:p>
        </w:tc>
      </w:tr>
      <w:tr w:rsidR="00277604" w:rsidRPr="005E515C" w14:paraId="516AB31B" w14:textId="77777777" w:rsidTr="0038144A">
        <w:tc>
          <w:tcPr>
            <w:tcW w:w="3498" w:type="dxa"/>
            <w:vMerge/>
          </w:tcPr>
          <w:p w14:paraId="747C6A19" w14:textId="77777777" w:rsidR="00277604" w:rsidRPr="005707F0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3FF40FC" w14:textId="55D34FAB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Ekspansywne zielne</w:t>
            </w:r>
          </w:p>
        </w:tc>
        <w:tc>
          <w:tcPr>
            <w:tcW w:w="3499" w:type="dxa"/>
          </w:tcPr>
          <w:p w14:paraId="27C291B1" w14:textId="77777777" w:rsidR="00277604" w:rsidRPr="00537074" w:rsidRDefault="00277604" w:rsidP="005A2761">
            <w:pPr>
              <w:rPr>
                <w:rFonts w:ascii="Lato" w:hAnsi="Lato" w:cs="Times New Roman"/>
                <w:noProof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noProof/>
                <w:sz w:val="20"/>
                <w:szCs w:val="20"/>
              </w:rPr>
              <w:t>Pojedyńcze, &lt; 10 %</w:t>
            </w:r>
          </w:p>
          <w:p w14:paraId="5A7146C5" w14:textId="77777777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526CDFC8" w14:textId="3D6EC568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siedliska.</w:t>
            </w:r>
          </w:p>
        </w:tc>
        <w:tc>
          <w:tcPr>
            <w:tcW w:w="3499" w:type="dxa"/>
          </w:tcPr>
          <w:p w14:paraId="35D1EC80" w14:textId="05197E2A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4030</w:t>
            </w:r>
          </w:p>
        </w:tc>
      </w:tr>
      <w:tr w:rsidR="00277604" w:rsidRPr="005E515C" w14:paraId="44B954BA" w14:textId="77777777" w:rsidTr="0038144A">
        <w:tc>
          <w:tcPr>
            <w:tcW w:w="3498" w:type="dxa"/>
            <w:vMerge/>
          </w:tcPr>
          <w:p w14:paraId="37507802" w14:textId="77777777" w:rsidR="00277604" w:rsidRPr="005707F0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2518BBB8" w14:textId="5B1C122A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Struktura populacji gatunków kluczowych</w:t>
            </w:r>
          </w:p>
        </w:tc>
        <w:tc>
          <w:tcPr>
            <w:tcW w:w="3499" w:type="dxa"/>
          </w:tcPr>
          <w:p w14:paraId="2CC3F545" w14:textId="5823FC03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Wszystkie fazy rozwojowe obecne, ale osobniki juwenilne skąpo reprezentowane</w:t>
            </w:r>
          </w:p>
          <w:p w14:paraId="7DF1A00C" w14:textId="77777777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40E65743" w14:textId="355A08F0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lastRenderedPageBreak/>
              <w:t>Utrzymanie co najmniej obecnej oceny U1 wskaźnika w obrębie siedliska.</w:t>
            </w:r>
          </w:p>
        </w:tc>
        <w:tc>
          <w:tcPr>
            <w:tcW w:w="3499" w:type="dxa"/>
          </w:tcPr>
          <w:p w14:paraId="5FAE81E0" w14:textId="475F0F46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4030</w:t>
            </w:r>
          </w:p>
        </w:tc>
      </w:tr>
      <w:tr w:rsidR="00277604" w:rsidRPr="005E515C" w14:paraId="6EDCE5D4" w14:textId="77777777" w:rsidTr="0038144A">
        <w:tc>
          <w:tcPr>
            <w:tcW w:w="3498" w:type="dxa"/>
            <w:vMerge/>
          </w:tcPr>
          <w:p w14:paraId="5506B92B" w14:textId="77777777" w:rsidR="00277604" w:rsidRPr="005707F0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DFA894C" w14:textId="05B0B046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Inne zniekształcenia</w:t>
            </w:r>
          </w:p>
        </w:tc>
        <w:tc>
          <w:tcPr>
            <w:tcW w:w="3499" w:type="dxa"/>
          </w:tcPr>
          <w:p w14:paraId="691D283F" w14:textId="29114B14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Występują lecz mało znaczące </w:t>
            </w:r>
          </w:p>
          <w:p w14:paraId="177A0740" w14:textId="77777777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0F723148" w14:textId="1E9DDC18" w:rsidR="00C762EE" w:rsidRPr="00537074" w:rsidRDefault="00C762EE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siedliska.</w:t>
            </w:r>
          </w:p>
        </w:tc>
        <w:tc>
          <w:tcPr>
            <w:tcW w:w="3499" w:type="dxa"/>
          </w:tcPr>
          <w:p w14:paraId="2AD9569F" w14:textId="7B72D879" w:rsidR="00277604" w:rsidRPr="00537074" w:rsidRDefault="00277604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4030</w:t>
            </w:r>
          </w:p>
        </w:tc>
      </w:tr>
      <w:tr w:rsidR="00030993" w:rsidRPr="005E515C" w14:paraId="0F762971" w14:textId="77777777" w:rsidTr="003622DF">
        <w:tc>
          <w:tcPr>
            <w:tcW w:w="3498" w:type="dxa"/>
            <w:vMerge w:val="restart"/>
          </w:tcPr>
          <w:p w14:paraId="361D5AFC" w14:textId="27BBD7FB" w:rsidR="00030993" w:rsidRPr="00537074" w:rsidRDefault="00030993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6230 Górskie i niżowe murawy bliźniczkowe (</w:t>
            </w:r>
            <w:r w:rsidRPr="00537074">
              <w:rPr>
                <w:rFonts w:ascii="Lato" w:hAnsi="Lato" w:cs="Times New Roman"/>
                <w:bCs/>
                <w:i/>
                <w:sz w:val="20"/>
                <w:szCs w:val="20"/>
              </w:rPr>
              <w:t xml:space="preserve">Nardion – </w:t>
            </w:r>
            <w:r w:rsidRPr="00537074">
              <w:rPr>
                <w:rFonts w:ascii="Lato" w:hAnsi="Lato" w:cs="Times New Roman"/>
                <w:bCs/>
                <w:sz w:val="20"/>
                <w:szCs w:val="20"/>
              </w:rPr>
              <w:t>płaty bogate florystycznie)</w:t>
            </w:r>
          </w:p>
        </w:tc>
        <w:tc>
          <w:tcPr>
            <w:tcW w:w="3498" w:type="dxa"/>
          </w:tcPr>
          <w:p w14:paraId="1F384CC4" w14:textId="0A7E0A6B" w:rsidR="00030993" w:rsidRPr="00537074" w:rsidRDefault="00030993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4DE5BF2A" w14:textId="267C3411" w:rsidR="00030993" w:rsidRPr="00537074" w:rsidRDefault="00030993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>Zachowanie płatów siedliska o łącznej powierzchni min. 7</w:t>
            </w:r>
            <w:r w:rsidR="00456EFC" w:rsidRPr="00537074">
              <w:rPr>
                <w:rFonts w:ascii="Lato" w:hAnsi="Lato" w:cs="Times New Roman"/>
                <w:color w:val="000000"/>
                <w:sz w:val="20"/>
                <w:szCs w:val="20"/>
              </w:rPr>
              <w:t>,</w:t>
            </w:r>
            <w:r w:rsidR="007A787F">
              <w:rPr>
                <w:rFonts w:ascii="Lato" w:hAnsi="Lato" w:cs="Times New Roman"/>
                <w:color w:val="000000"/>
                <w:sz w:val="20"/>
                <w:szCs w:val="20"/>
              </w:rPr>
              <w:t>48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ha </w:t>
            </w:r>
          </w:p>
        </w:tc>
        <w:tc>
          <w:tcPr>
            <w:tcW w:w="3499" w:type="dxa"/>
          </w:tcPr>
          <w:p w14:paraId="30378FCB" w14:textId="77777777" w:rsidR="00030993" w:rsidRPr="00537074" w:rsidRDefault="00030993" w:rsidP="005A2761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5C1BA622" w14:textId="22C0E7A3" w:rsidR="00C762EE" w:rsidRPr="00537074" w:rsidRDefault="00C762EE" w:rsidP="005A2761">
            <w:pPr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37074">
              <w:rPr>
                <w:rFonts w:ascii="Lato" w:eastAsia="Times New Roman" w:hAnsi="Lato" w:cs="Times New Roman"/>
                <w:sz w:val="20"/>
                <w:szCs w:val="20"/>
              </w:rPr>
              <w:t>W granicach obszaru stwierdzono 2</w:t>
            </w:r>
            <w:r w:rsidR="00456EFC" w:rsidRPr="00537074">
              <w:rPr>
                <w:rFonts w:ascii="Lato" w:eastAsia="Times New Roman" w:hAnsi="Lato" w:cs="Times New Roman"/>
                <w:sz w:val="20"/>
                <w:szCs w:val="20"/>
              </w:rPr>
              <w:t>4</w:t>
            </w:r>
            <w:r w:rsidRPr="00537074">
              <w:rPr>
                <w:rFonts w:ascii="Lato" w:eastAsia="Times New Roman" w:hAnsi="Lato" w:cs="Times New Roman"/>
                <w:sz w:val="20"/>
                <w:szCs w:val="20"/>
              </w:rPr>
              <w:t xml:space="preserve"> płat</w:t>
            </w:r>
            <w:r w:rsidR="00456EFC" w:rsidRPr="00537074">
              <w:rPr>
                <w:rFonts w:ascii="Lato" w:eastAsia="Times New Roman" w:hAnsi="Lato" w:cs="Times New Roman"/>
                <w:sz w:val="20"/>
                <w:szCs w:val="20"/>
              </w:rPr>
              <w:t>y</w:t>
            </w:r>
            <w:r w:rsidRPr="00537074">
              <w:rPr>
                <w:rFonts w:ascii="Lato" w:eastAsia="Times New Roman" w:hAnsi="Lato" w:cs="Times New Roman"/>
                <w:sz w:val="20"/>
                <w:szCs w:val="20"/>
              </w:rPr>
              <w:t xml:space="preserve"> muraw bliźniczkowych, o powierzchni od 0,02 do 1,22 ha, zajmujących łącznie 7,</w:t>
            </w:r>
            <w:r w:rsidR="007A787F">
              <w:rPr>
                <w:rFonts w:ascii="Lato" w:eastAsia="Times New Roman" w:hAnsi="Lato" w:cs="Times New Roman"/>
                <w:sz w:val="20"/>
                <w:szCs w:val="20"/>
              </w:rPr>
              <w:t>48</w:t>
            </w:r>
            <w:r w:rsidRPr="00537074">
              <w:rPr>
                <w:rFonts w:ascii="Lato" w:eastAsia="Times New Roman" w:hAnsi="Lato" w:cs="Times New Roman"/>
                <w:sz w:val="20"/>
                <w:szCs w:val="20"/>
              </w:rPr>
              <w:t xml:space="preserve"> ha, czyli 0,12% obszaru. </w:t>
            </w:r>
          </w:p>
          <w:p w14:paraId="66725076" w14:textId="77777777" w:rsidR="00940387" w:rsidRDefault="00940387" w:rsidP="005A2761">
            <w:pPr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</w:pPr>
            <w:r w:rsidRPr="00537074"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  <w:t>Murawy bliźniczkowe w granicach obszaru znajdują się w stanie niezadowalającym. Na taką ocenę wpłynęła zmniejszająca się powierzchnia siedliska (U1), niepewne perspektywy ochrony (U1), oraz stan takich wskaźników, jak ekspansywne gatunki zielne i drzewiaste.</w:t>
            </w:r>
          </w:p>
          <w:p w14:paraId="01E37E6F" w14:textId="29B0DA59" w:rsidR="007A787F" w:rsidRPr="00537074" w:rsidRDefault="007A787F" w:rsidP="005A2761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>Utrzymanie wskazanych parametrów uzależnione jest od sytuacji własnościowej – tj. pozyskanie w zarząd Skarbu Państwa całej powierzchni siedliska.</w:t>
            </w:r>
          </w:p>
        </w:tc>
      </w:tr>
      <w:tr w:rsidR="00030993" w:rsidRPr="005E515C" w14:paraId="0DEA5DB2" w14:textId="77777777" w:rsidTr="00DB5B85">
        <w:tc>
          <w:tcPr>
            <w:tcW w:w="3498" w:type="dxa"/>
            <w:vMerge/>
          </w:tcPr>
          <w:p w14:paraId="49ABFD03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61631A8" w14:textId="5074BDA3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Gatunki charakterystyczne</w:t>
            </w:r>
          </w:p>
        </w:tc>
        <w:tc>
          <w:tcPr>
            <w:tcW w:w="3499" w:type="dxa"/>
          </w:tcPr>
          <w:p w14:paraId="67C2127E" w14:textId="04EE589D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4 </w:t>
            </w:r>
            <w:r w:rsidR="00940387" w:rsidRPr="00537074">
              <w:rPr>
                <w:rFonts w:ascii="Lato" w:hAnsi="Lato" w:cs="Times New Roman"/>
                <w:sz w:val="20"/>
                <w:szCs w:val="20"/>
              </w:rPr>
              <w:t xml:space="preserve">– 6 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>gatunków charakterystycznych i wyróżniających</w:t>
            </w:r>
          </w:p>
          <w:p w14:paraId="5D24EF82" w14:textId="77777777" w:rsidR="00940387" w:rsidRPr="00537074" w:rsidRDefault="00940387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7C7BE480" w14:textId="07CEB231" w:rsidR="00940387" w:rsidRPr="00537074" w:rsidRDefault="00940387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Utrzymanie </w:t>
            </w:r>
            <w:r w:rsidR="00456EFC" w:rsidRPr="00537074">
              <w:rPr>
                <w:rFonts w:ascii="Lato" w:hAnsi="Lato" w:cs="Times New Roman"/>
                <w:sz w:val="20"/>
                <w:szCs w:val="20"/>
              </w:rPr>
              <w:t xml:space="preserve">oceny U1 wskaźnika w obrębie 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co najmniej </w:t>
            </w:r>
            <w:r w:rsidR="00456EFC" w:rsidRPr="00537074">
              <w:rPr>
                <w:rFonts w:ascii="Lato" w:hAnsi="Lato" w:cs="Times New Roman"/>
                <w:sz w:val="20"/>
                <w:szCs w:val="20"/>
              </w:rPr>
              <w:t>50 % stanowisk siedliska w obszarze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456EFC" w:rsidRPr="00537074">
              <w:rPr>
                <w:rFonts w:ascii="Lato" w:hAnsi="Lato" w:cs="Times New Roman"/>
                <w:sz w:val="20"/>
                <w:szCs w:val="20"/>
              </w:rPr>
              <w:t>(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>14 płatów</w:t>
            </w:r>
            <w:r w:rsidR="00456EFC" w:rsidRPr="00537074">
              <w:rPr>
                <w:rFonts w:ascii="Lato" w:hAnsi="Lato" w:cs="Times New Roman"/>
                <w:sz w:val="20"/>
                <w:szCs w:val="20"/>
              </w:rPr>
              <w:t>)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3499" w:type="dxa"/>
          </w:tcPr>
          <w:p w14:paraId="37FA06F9" w14:textId="67E2679E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030993" w:rsidRPr="005E515C" w14:paraId="40C32588" w14:textId="77777777" w:rsidTr="00DB5B85">
        <w:tc>
          <w:tcPr>
            <w:tcW w:w="3498" w:type="dxa"/>
            <w:vMerge/>
          </w:tcPr>
          <w:p w14:paraId="1EAA96CE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1682525" w14:textId="299BFE5E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Gatunki dominujące </w:t>
            </w:r>
          </w:p>
        </w:tc>
        <w:tc>
          <w:tcPr>
            <w:tcW w:w="3499" w:type="dxa"/>
          </w:tcPr>
          <w:p w14:paraId="1747A5BC" w14:textId="16ED9963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Procent pokrycia bliźniczki psiej trawki Nardus stricta w transekcie 30 – 50% obecne 1-2 gatunki o pokryciu &gt; 25%</w:t>
            </w:r>
          </w:p>
          <w:p w14:paraId="34222D47" w14:textId="77777777" w:rsidR="00940387" w:rsidRPr="00537074" w:rsidRDefault="00940387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6365BAC8" w14:textId="06596F69" w:rsidR="00940387" w:rsidRPr="00537074" w:rsidRDefault="00456EFC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oceny FV wskaźnika w obrębie co najmniej 90 % stanowisk siedliska w obszarze (23 płaty).</w:t>
            </w:r>
          </w:p>
        </w:tc>
        <w:tc>
          <w:tcPr>
            <w:tcW w:w="3499" w:type="dxa"/>
          </w:tcPr>
          <w:p w14:paraId="50BB694A" w14:textId="16E48350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030993" w:rsidRPr="005E515C" w14:paraId="51CEFD1E" w14:textId="77777777" w:rsidTr="00DB5B85">
        <w:tc>
          <w:tcPr>
            <w:tcW w:w="3498" w:type="dxa"/>
            <w:vMerge/>
          </w:tcPr>
          <w:p w14:paraId="7EF4F266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60441CC" w14:textId="607A220E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Bogactwo gatunkowe</w:t>
            </w:r>
          </w:p>
        </w:tc>
        <w:tc>
          <w:tcPr>
            <w:tcW w:w="3499" w:type="dxa"/>
          </w:tcPr>
          <w:p w14:paraId="2A6CA60B" w14:textId="4B627088" w:rsidR="00030993" w:rsidRPr="00537074" w:rsidRDefault="00E65584" w:rsidP="00277604">
            <w:pPr>
              <w:rPr>
                <w:rFonts w:ascii="Lato" w:hAnsi="Lato" w:cs="Times New Roman"/>
                <w:sz w:val="20"/>
                <w:szCs w:val="20"/>
                <w:vertAlign w:val="superscript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&gt;20 gatunków / 25 m </w:t>
            </w:r>
            <w:r w:rsidRPr="00537074">
              <w:rPr>
                <w:rFonts w:ascii="Lato" w:hAnsi="Lato" w:cs="Times New Roman"/>
                <w:sz w:val="20"/>
                <w:szCs w:val="20"/>
                <w:vertAlign w:val="superscript"/>
              </w:rPr>
              <w:t>2</w:t>
            </w:r>
          </w:p>
          <w:p w14:paraId="2A11BF20" w14:textId="77777777" w:rsidR="00940387" w:rsidRPr="00537074" w:rsidRDefault="00940387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3C5CE3A2" w14:textId="5448AD42" w:rsidR="00940387" w:rsidRPr="00537074" w:rsidRDefault="00456EFC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oceny FV wskaźnika w obrębie co najmniej 85 % stanowisk siedliska w obszarze (19 płatach).</w:t>
            </w:r>
          </w:p>
        </w:tc>
        <w:tc>
          <w:tcPr>
            <w:tcW w:w="3499" w:type="dxa"/>
          </w:tcPr>
          <w:p w14:paraId="5295A45A" w14:textId="7BDE73E7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030993" w:rsidRPr="005E515C" w14:paraId="2EB983FD" w14:textId="77777777" w:rsidTr="00DB5B85">
        <w:tc>
          <w:tcPr>
            <w:tcW w:w="3498" w:type="dxa"/>
            <w:vMerge/>
          </w:tcPr>
          <w:p w14:paraId="635682A2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08DE7CED" w14:textId="48795EFC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Obce inwazyjne </w:t>
            </w:r>
          </w:p>
        </w:tc>
        <w:tc>
          <w:tcPr>
            <w:tcW w:w="3499" w:type="dxa"/>
          </w:tcPr>
          <w:p w14:paraId="0C37B6A1" w14:textId="77777777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Brak </w:t>
            </w:r>
          </w:p>
          <w:p w14:paraId="71C9C4DB" w14:textId="77777777" w:rsidR="00E65584" w:rsidRPr="00537074" w:rsidRDefault="00E65584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5A6B52DC" w14:textId="649206E2" w:rsidR="00E65584" w:rsidRPr="00537074" w:rsidRDefault="00E65584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obecnej oceny FV wskaźnika w obrębie siedliska.</w:t>
            </w:r>
          </w:p>
        </w:tc>
        <w:tc>
          <w:tcPr>
            <w:tcW w:w="3499" w:type="dxa"/>
          </w:tcPr>
          <w:p w14:paraId="625695B1" w14:textId="201157C9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030993" w:rsidRPr="005E515C" w14:paraId="618C28C8" w14:textId="77777777" w:rsidTr="00DB5B85">
        <w:tc>
          <w:tcPr>
            <w:tcW w:w="3498" w:type="dxa"/>
            <w:vMerge/>
          </w:tcPr>
          <w:p w14:paraId="0394E1C8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01A66AA2" w14:textId="733DB299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Ekspansywne zielne </w:t>
            </w:r>
          </w:p>
        </w:tc>
        <w:tc>
          <w:tcPr>
            <w:tcW w:w="3499" w:type="dxa"/>
          </w:tcPr>
          <w:p w14:paraId="72EF2209" w14:textId="2E40CFF2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Obce gatunki ekspansywne o </w:t>
            </w:r>
            <w:r w:rsidR="00E706AA" w:rsidRPr="00537074">
              <w:rPr>
                <w:rFonts w:ascii="Lato" w:hAnsi="Lato" w:cs="Times New Roman"/>
                <w:sz w:val="20"/>
                <w:szCs w:val="20"/>
              </w:rPr>
              <w:t xml:space="preserve">&lt; 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>20</w:t>
            </w:r>
            <w:r w:rsidR="00E706AA" w:rsidRPr="00537074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% </w:t>
            </w:r>
          </w:p>
          <w:p w14:paraId="37D7412C" w14:textId="77777777" w:rsidR="00E65584" w:rsidRPr="00537074" w:rsidRDefault="00E65584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68558C6F" w14:textId="215E63E4" w:rsidR="00E65584" w:rsidRPr="00537074" w:rsidRDefault="00A4671F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oceny FV wskaźnika w obrębie co najmniej 20 % stanowisk siedliska w obszarze (11 płatach).</w:t>
            </w:r>
          </w:p>
        </w:tc>
        <w:tc>
          <w:tcPr>
            <w:tcW w:w="3499" w:type="dxa"/>
          </w:tcPr>
          <w:p w14:paraId="34F97862" w14:textId="21425BD8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030993" w:rsidRPr="005E515C" w14:paraId="6B250771" w14:textId="77777777" w:rsidTr="00DB5B85">
        <w:tc>
          <w:tcPr>
            <w:tcW w:w="3498" w:type="dxa"/>
            <w:vMerge/>
          </w:tcPr>
          <w:p w14:paraId="37998373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754AB6C" w14:textId="20F99B9C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 xml:space="preserve">Ekspansja drzewiastych </w:t>
            </w:r>
          </w:p>
        </w:tc>
        <w:tc>
          <w:tcPr>
            <w:tcW w:w="3499" w:type="dxa"/>
          </w:tcPr>
          <w:p w14:paraId="1C6947D3" w14:textId="30A2BF4C" w:rsidR="00030993" w:rsidRPr="00537074" w:rsidRDefault="00E706AA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Pokrycie warstwy B w transekcie &lt;10-25%</w:t>
            </w:r>
          </w:p>
          <w:p w14:paraId="0F45EE58" w14:textId="77777777" w:rsidR="00E706AA" w:rsidRPr="00537074" w:rsidRDefault="00E706AA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2640FD24" w14:textId="3D2AD947" w:rsidR="00E706AA" w:rsidRPr="00537074" w:rsidRDefault="00E92082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oceny FV wskaźnika w obrębie co najmniej 20 % stanowisk siedliska w obszarze (14 płatach).</w:t>
            </w:r>
          </w:p>
        </w:tc>
        <w:tc>
          <w:tcPr>
            <w:tcW w:w="3499" w:type="dxa"/>
          </w:tcPr>
          <w:p w14:paraId="263C1CAE" w14:textId="09CA3C72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030993" w:rsidRPr="005E515C" w14:paraId="28B5413A" w14:textId="77777777" w:rsidTr="00DB5B85">
        <w:tc>
          <w:tcPr>
            <w:tcW w:w="3498" w:type="dxa"/>
            <w:vMerge/>
          </w:tcPr>
          <w:p w14:paraId="2E5C973B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1227D97" w14:textId="22D3653F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Eutrofizacja</w:t>
            </w:r>
          </w:p>
        </w:tc>
        <w:tc>
          <w:tcPr>
            <w:tcW w:w="3499" w:type="dxa"/>
          </w:tcPr>
          <w:p w14:paraId="3AE88026" w14:textId="022C99CB" w:rsidR="00030993" w:rsidRPr="00537074" w:rsidRDefault="00E706AA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Brak oznak ewentualną przyczyną wzrostu żyzności siedliska jest wyłącznie naturalna sukcesja a pokrycie gatunków nitrofilnych nieznaczne.</w:t>
            </w:r>
          </w:p>
          <w:p w14:paraId="17AD8BD6" w14:textId="0414AF81" w:rsidR="00E706AA" w:rsidRPr="00537074" w:rsidRDefault="00E706AA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1338C474" w14:textId="2FDE3C28" w:rsidR="00E706AA" w:rsidRPr="00537074" w:rsidRDefault="00E92082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oceny FV wskaźnika w obrębie co najmniej 90 % stanowisk siedliska w obszarze (22 płatach).</w:t>
            </w:r>
          </w:p>
        </w:tc>
        <w:tc>
          <w:tcPr>
            <w:tcW w:w="3499" w:type="dxa"/>
          </w:tcPr>
          <w:p w14:paraId="03D54B45" w14:textId="2E7DA620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030993" w:rsidRPr="005E515C" w14:paraId="6D856CFA" w14:textId="77777777" w:rsidTr="00DB5B85">
        <w:tc>
          <w:tcPr>
            <w:tcW w:w="3498" w:type="dxa"/>
            <w:vMerge/>
          </w:tcPr>
          <w:p w14:paraId="12561C14" w14:textId="77777777" w:rsidR="00030993" w:rsidRPr="005707F0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0C7FD5C1" w14:textId="51451C6C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Struktura przestrzenna</w:t>
            </w:r>
          </w:p>
        </w:tc>
        <w:tc>
          <w:tcPr>
            <w:tcW w:w="3499" w:type="dxa"/>
          </w:tcPr>
          <w:p w14:paraId="5471EB34" w14:textId="5435EEA2" w:rsidR="00030993" w:rsidRPr="00537074" w:rsidRDefault="00C17134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Płaty siedliska zwarte i rozległe, ale siedlisko z natury drobnopowierzchniowe, lecz wtedy wielkość płatów stabilna.</w:t>
            </w:r>
          </w:p>
          <w:p w14:paraId="3C62AEE4" w14:textId="5D139B33" w:rsidR="00E706AA" w:rsidRPr="00537074" w:rsidRDefault="00E706AA" w:rsidP="00277604">
            <w:pPr>
              <w:rPr>
                <w:rFonts w:ascii="Lato" w:hAnsi="Lato" w:cs="Times New Roman"/>
                <w:sz w:val="20"/>
                <w:szCs w:val="20"/>
              </w:rPr>
            </w:pPr>
          </w:p>
          <w:p w14:paraId="1F380037" w14:textId="7BB68951" w:rsidR="00E706AA" w:rsidRPr="00537074" w:rsidRDefault="00E92082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Utrzymanie oceny FV wskaźnika w obrębie co najmniej 10 % stanowisk siedliska w obszarze (15 płatach).</w:t>
            </w:r>
          </w:p>
        </w:tc>
        <w:tc>
          <w:tcPr>
            <w:tcW w:w="3499" w:type="dxa"/>
          </w:tcPr>
          <w:p w14:paraId="426D132D" w14:textId="7ED752B3" w:rsidR="00030993" w:rsidRPr="00537074" w:rsidRDefault="00030993" w:rsidP="00277604">
            <w:pPr>
              <w:rPr>
                <w:rFonts w:ascii="Lato" w:hAnsi="Lato" w:cs="Times New Roman"/>
                <w:sz w:val="20"/>
                <w:szCs w:val="20"/>
              </w:rPr>
            </w:pPr>
            <w:r w:rsidRPr="00537074">
              <w:rPr>
                <w:rFonts w:ascii="Lato" w:hAnsi="Lato" w:cs="Times New Roman"/>
                <w:sz w:val="20"/>
                <w:szCs w:val="20"/>
              </w:rPr>
              <w:t>Zgodnie z opisem metodyki dla siedliska 6230 (2015)</w:t>
            </w:r>
          </w:p>
        </w:tc>
      </w:tr>
      <w:tr w:rsidR="00B44E01" w:rsidRPr="005E515C" w14:paraId="3B8A209F" w14:textId="77777777" w:rsidTr="006C3A10">
        <w:tc>
          <w:tcPr>
            <w:tcW w:w="3498" w:type="dxa"/>
            <w:vMerge w:val="restart"/>
          </w:tcPr>
          <w:p w14:paraId="407804E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  <w:lang w:val="en-GB"/>
              </w:rPr>
            </w:pPr>
            <w:r w:rsidRPr="005E515C">
              <w:rPr>
                <w:rFonts w:ascii="Lato" w:hAnsi="Lato" w:cs="Times New Roman"/>
                <w:sz w:val="20"/>
                <w:szCs w:val="20"/>
                <w:lang w:val="en-GB"/>
              </w:rPr>
              <w:t xml:space="preserve">6410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Zmiennowilgotne łąki trzęślicowe (</w:t>
            </w:r>
            <w:r w:rsidRPr="005E515C">
              <w:rPr>
                <w:rFonts w:ascii="Lato" w:hAnsi="Lato" w:cs="Times New Roman"/>
                <w:i/>
                <w:sz w:val="20"/>
                <w:szCs w:val="20"/>
              </w:rPr>
              <w:t>Molinion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)</w:t>
            </w:r>
          </w:p>
        </w:tc>
        <w:tc>
          <w:tcPr>
            <w:tcW w:w="3498" w:type="dxa"/>
          </w:tcPr>
          <w:p w14:paraId="5760E6B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3B80ABD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color w:val="000000"/>
                <w:sz w:val="20"/>
                <w:szCs w:val="20"/>
              </w:rPr>
              <w:t>Zachowanie płatów siedliska o łącznej powierzchni min. 4,39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ha </w:t>
            </w:r>
          </w:p>
        </w:tc>
        <w:tc>
          <w:tcPr>
            <w:tcW w:w="3499" w:type="dxa"/>
            <w:vAlign w:val="center"/>
          </w:tcPr>
          <w:p w14:paraId="524C2B85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4F2E68CE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 xml:space="preserve">Inwentaryzacja płatów siedliska na podst. prac wykonanych w VI 2012–IX 2013. </w:t>
            </w:r>
            <w:r w:rsidRPr="00B55C72"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  <w:t>Stwierdzono 10 płatów łka trzęślicowych o łącznej powierzchni 4,39 ha, co stanowi 0,06% obszaru.</w:t>
            </w:r>
          </w:p>
          <w:p w14:paraId="4277785C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7C512CDF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</w:pPr>
            <w:r w:rsidRPr="00B55C72"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  <w:t>Stan ogólny oceniono jako niezadowalający (U1), tak jak i większość cząstkowych parametrów i wskaźników.</w:t>
            </w:r>
          </w:p>
          <w:p w14:paraId="513363D7" w14:textId="7AF3060D" w:rsidR="007A787F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bCs/>
                <w:sz w:val="20"/>
                <w:szCs w:val="20"/>
                <w:shd w:val="clear" w:color="auto" w:fill="FFFFFF"/>
              </w:rPr>
            </w:pPr>
            <w:r w:rsidRPr="00B55C72">
              <w:rPr>
                <w:rFonts w:ascii="Lato" w:eastAsia="Times New Roman" w:hAnsi="Lato" w:cs="Times New Roman"/>
                <w:sz w:val="20"/>
                <w:szCs w:val="20"/>
              </w:rPr>
              <w:t xml:space="preserve">Główne zagrożenia to </w:t>
            </w:r>
            <w:r w:rsidRPr="00B55C72">
              <w:rPr>
                <w:rFonts w:ascii="Lato" w:hAnsi="Lato" w:cs="Times New Roman"/>
                <w:bCs/>
                <w:sz w:val="20"/>
                <w:szCs w:val="20"/>
                <w:shd w:val="clear" w:color="auto" w:fill="FFFFFF"/>
              </w:rPr>
              <w:t>sukcesja wtórna – ekspansja trzcinnika piaskowego, krzewów i drzew.</w:t>
            </w:r>
            <w:r w:rsidR="007A787F" w:rsidRPr="00B55C72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 Utrzymanie wskazanych parametrów uzależnione jest od sytuacji własnościowej – tj. pozyskanie w zarząd Skarbu Państwa całej powierzchni siedliska.</w:t>
            </w:r>
          </w:p>
        </w:tc>
      </w:tr>
      <w:tr w:rsidR="00B44E01" w:rsidRPr="005E515C" w14:paraId="75D00764" w14:textId="77777777" w:rsidTr="006C3A10">
        <w:tc>
          <w:tcPr>
            <w:tcW w:w="3498" w:type="dxa"/>
            <w:vMerge/>
          </w:tcPr>
          <w:p w14:paraId="3D1254B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0348F25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Procent powierzchni zajęty przez siedlisko w transekcie </w:t>
            </w:r>
          </w:p>
        </w:tc>
        <w:tc>
          <w:tcPr>
            <w:tcW w:w="3499" w:type="dxa"/>
          </w:tcPr>
          <w:p w14:paraId="2085786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80% i więcej </w:t>
            </w:r>
          </w:p>
          <w:p w14:paraId="3B68D2E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F6EA27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30% stanowisk siedliska w obszadzane (w 3 płatach)</w:t>
            </w:r>
          </w:p>
        </w:tc>
        <w:tc>
          <w:tcPr>
            <w:tcW w:w="3499" w:type="dxa"/>
          </w:tcPr>
          <w:p w14:paraId="125C30FD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Zgodnie z opisem metodyki dla siedliska 6410 (2012)</w:t>
            </w:r>
          </w:p>
        </w:tc>
      </w:tr>
      <w:tr w:rsidR="00B44E01" w:rsidRPr="005E515C" w14:paraId="0EBB682C" w14:textId="77777777" w:rsidTr="006C3A10">
        <w:tc>
          <w:tcPr>
            <w:tcW w:w="3498" w:type="dxa"/>
            <w:vMerge/>
          </w:tcPr>
          <w:p w14:paraId="48B86AF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5ED0F8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Struktura przestrzenna płatów siedliska </w:t>
            </w:r>
          </w:p>
        </w:tc>
        <w:tc>
          <w:tcPr>
            <w:tcW w:w="3499" w:type="dxa"/>
          </w:tcPr>
          <w:p w14:paraId="5278860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Brak fragmentacji lub fragmentacja nieznaczna; wyjątek stanowi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sytuacja, gdy łąki trzęślicowe w obrębie transektu zajmują niewielką powierzchnię i fragmentacja wynika z mozaikowości warunków edaficznych</w:t>
            </w:r>
          </w:p>
          <w:p w14:paraId="74BB97C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5BBAC58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739694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50% stanowisk siedliska w obszadzane (w 5 płatach)</w:t>
            </w:r>
          </w:p>
        </w:tc>
        <w:tc>
          <w:tcPr>
            <w:tcW w:w="3499" w:type="dxa"/>
          </w:tcPr>
          <w:p w14:paraId="60894F7D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6410 (2012)</w:t>
            </w:r>
          </w:p>
        </w:tc>
      </w:tr>
      <w:tr w:rsidR="00B44E01" w:rsidRPr="005E515C" w14:paraId="10F505CB" w14:textId="77777777" w:rsidTr="006C3A10">
        <w:tc>
          <w:tcPr>
            <w:tcW w:w="3498" w:type="dxa"/>
            <w:vMerge/>
          </w:tcPr>
          <w:p w14:paraId="469819D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5423BC8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typowe</w:t>
            </w:r>
          </w:p>
        </w:tc>
        <w:tc>
          <w:tcPr>
            <w:tcW w:w="3499" w:type="dxa"/>
          </w:tcPr>
          <w:p w14:paraId="7A051B3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i/>
                <w:iCs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Liczne gatunki charakterystyczne (≥5)i wyróżniające (≥3) dla związku </w:t>
            </w:r>
            <w:r w:rsidRPr="005E515C">
              <w:rPr>
                <w:rFonts w:ascii="Lato" w:hAnsi="Lato" w:cs="Times New Roman"/>
                <w:i/>
                <w:iCs/>
                <w:sz w:val="20"/>
                <w:szCs w:val="20"/>
              </w:rPr>
              <w:t>Molinion</w:t>
            </w:r>
          </w:p>
          <w:p w14:paraId="30F26E2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</w:t>
            </w:r>
          </w:p>
          <w:p w14:paraId="5F782E7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50% stanowisk siedliska w obszadzane (w 5 płatach)</w:t>
            </w:r>
          </w:p>
        </w:tc>
        <w:tc>
          <w:tcPr>
            <w:tcW w:w="3499" w:type="dxa"/>
          </w:tcPr>
          <w:p w14:paraId="209BB82B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Zgodnie z opisem metodyki dla siedliska 6410 (2012)</w:t>
            </w:r>
          </w:p>
        </w:tc>
      </w:tr>
      <w:tr w:rsidR="00B44E01" w:rsidRPr="005E515C" w14:paraId="68BE0289" w14:textId="77777777" w:rsidTr="006C3A10">
        <w:tc>
          <w:tcPr>
            <w:tcW w:w="3498" w:type="dxa"/>
            <w:vMerge/>
          </w:tcPr>
          <w:p w14:paraId="22EBEAC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F99B5D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dominujące</w:t>
            </w:r>
          </w:p>
        </w:tc>
        <w:tc>
          <w:tcPr>
            <w:tcW w:w="3499" w:type="dxa"/>
          </w:tcPr>
          <w:p w14:paraId="56E10C9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Brak gatunków o pokryciu powyżej 50%; współpanujące gatunki łąkowe, charakterystyczne dla klasy </w:t>
            </w:r>
            <w:r w:rsidRPr="005E515C">
              <w:rPr>
                <w:rFonts w:ascii="Lato" w:hAnsi="Lato" w:cs="Times New Roman"/>
                <w:i/>
                <w:iCs/>
                <w:sz w:val="20"/>
                <w:szCs w:val="20"/>
              </w:rPr>
              <w:t>Molinio-Arrhenatheretea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, w tym przede wszystkim gatunki typowe dla siedliska</w:t>
            </w:r>
          </w:p>
          <w:p w14:paraId="12AD95E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85CF24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50% stanowisk siedliska w obszadzane (w 5 płatach)</w:t>
            </w:r>
          </w:p>
        </w:tc>
        <w:tc>
          <w:tcPr>
            <w:tcW w:w="3499" w:type="dxa"/>
          </w:tcPr>
          <w:p w14:paraId="10C8219B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Zgodnie z opisem metodyki dla siedliska 6410 (2012)</w:t>
            </w:r>
          </w:p>
        </w:tc>
      </w:tr>
      <w:tr w:rsidR="00B44E01" w:rsidRPr="005E515C" w14:paraId="182DE7B9" w14:textId="77777777" w:rsidTr="006C3A10">
        <w:tc>
          <w:tcPr>
            <w:tcW w:w="3498" w:type="dxa"/>
            <w:vMerge/>
          </w:tcPr>
          <w:p w14:paraId="5C7429B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F70690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Obce gatunki inwazyjne </w:t>
            </w:r>
          </w:p>
        </w:tc>
        <w:tc>
          <w:tcPr>
            <w:tcW w:w="3499" w:type="dxa"/>
          </w:tcPr>
          <w:p w14:paraId="467A29C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Brak </w:t>
            </w:r>
          </w:p>
          <w:p w14:paraId="57A28BD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11DBA64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10 płatach)</w:t>
            </w:r>
          </w:p>
        </w:tc>
        <w:tc>
          <w:tcPr>
            <w:tcW w:w="3499" w:type="dxa"/>
          </w:tcPr>
          <w:p w14:paraId="3287A0BB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Zgodnie z opisem metodyki dla siedliska 6410 (2012)</w:t>
            </w:r>
          </w:p>
        </w:tc>
      </w:tr>
      <w:tr w:rsidR="00B44E01" w:rsidRPr="005E515C" w14:paraId="01FF4E35" w14:textId="77777777" w:rsidTr="006C3A10">
        <w:tc>
          <w:tcPr>
            <w:tcW w:w="3498" w:type="dxa"/>
            <w:vMerge/>
          </w:tcPr>
          <w:p w14:paraId="341F6A1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436C66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Gatunki ekspansywne roślin zielnych </w:t>
            </w:r>
          </w:p>
        </w:tc>
        <w:tc>
          <w:tcPr>
            <w:tcW w:w="3499" w:type="dxa"/>
          </w:tcPr>
          <w:p w14:paraId="3467596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ekspansywne o pokryciu do 30%</w:t>
            </w:r>
          </w:p>
          <w:p w14:paraId="7BDCBBE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5E21425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60% stanowisk siedliska w obszadzane (w 6 płatach)</w:t>
            </w:r>
          </w:p>
        </w:tc>
        <w:tc>
          <w:tcPr>
            <w:tcW w:w="3499" w:type="dxa"/>
          </w:tcPr>
          <w:p w14:paraId="3CFAF114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Zgodnie z opisem metodyki dla siedliska 6410 (2012)</w:t>
            </w:r>
          </w:p>
        </w:tc>
      </w:tr>
      <w:tr w:rsidR="00B44E01" w:rsidRPr="005E515C" w14:paraId="1F3FAE6F" w14:textId="77777777" w:rsidTr="006C3A10">
        <w:tc>
          <w:tcPr>
            <w:tcW w:w="3498" w:type="dxa"/>
            <w:vMerge/>
          </w:tcPr>
          <w:p w14:paraId="3A67F4B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124B3F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Ekspansja krzewów i podrostu drzew</w:t>
            </w:r>
          </w:p>
        </w:tc>
        <w:tc>
          <w:tcPr>
            <w:tcW w:w="3499" w:type="dxa"/>
          </w:tcPr>
          <w:p w14:paraId="3818787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Łączne pokrycie w transekcie &lt;5%</w:t>
            </w:r>
          </w:p>
          <w:p w14:paraId="1DD1A15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0E26ED4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40% stanowisk siedliska w obszadzane (4 płatach)</w:t>
            </w:r>
          </w:p>
        </w:tc>
        <w:tc>
          <w:tcPr>
            <w:tcW w:w="3499" w:type="dxa"/>
          </w:tcPr>
          <w:p w14:paraId="0669ADDD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Zgodnie z opisem metodyki dla siedliska 6410 (2012)</w:t>
            </w:r>
          </w:p>
        </w:tc>
      </w:tr>
      <w:tr w:rsidR="00B44E01" w:rsidRPr="005E515C" w14:paraId="0A5B75CA" w14:textId="77777777" w:rsidTr="006C3A10">
        <w:tc>
          <w:tcPr>
            <w:tcW w:w="3498" w:type="dxa"/>
            <w:vMerge/>
          </w:tcPr>
          <w:p w14:paraId="6913A62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1DADB9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Martwa materia organiczna</w:t>
            </w:r>
          </w:p>
        </w:tc>
        <w:tc>
          <w:tcPr>
            <w:tcW w:w="3499" w:type="dxa"/>
          </w:tcPr>
          <w:p w14:paraId="3428435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Średnia 2-5cm</w:t>
            </w:r>
          </w:p>
          <w:p w14:paraId="07AC65F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7BD10DF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50% stanowisk siedliska w obszadzane (w 5 płatach)</w:t>
            </w:r>
          </w:p>
        </w:tc>
        <w:tc>
          <w:tcPr>
            <w:tcW w:w="3499" w:type="dxa"/>
          </w:tcPr>
          <w:p w14:paraId="1E10ECDC" w14:textId="77777777" w:rsidR="00B44E01" w:rsidRPr="00B55C72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Zgodnie z opisem metodyki dla siedliska 6410 (2012)</w:t>
            </w:r>
          </w:p>
        </w:tc>
      </w:tr>
      <w:tr w:rsidR="00B44E01" w:rsidRPr="005E515C" w14:paraId="6B533767" w14:textId="77777777" w:rsidTr="006C3A10">
        <w:tc>
          <w:tcPr>
            <w:tcW w:w="3498" w:type="dxa"/>
            <w:vMerge w:val="restart"/>
          </w:tcPr>
          <w:p w14:paraId="71C26CE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6430 </w:t>
            </w:r>
            <w:r w:rsidRPr="005E515C">
              <w:rPr>
                <w:rFonts w:ascii="Lato" w:hAnsi="Lato"/>
                <w:sz w:val="20"/>
                <w:szCs w:val="20"/>
              </w:rPr>
              <w:t>Ziołorośla górskie (</w:t>
            </w:r>
            <w:r w:rsidRPr="005E515C">
              <w:rPr>
                <w:rFonts w:ascii="Lato" w:hAnsi="Lato"/>
                <w:i/>
                <w:sz w:val="20"/>
                <w:szCs w:val="20"/>
              </w:rPr>
              <w:t>Adenostylion alliariae</w:t>
            </w:r>
            <w:r w:rsidRPr="005E515C">
              <w:rPr>
                <w:rFonts w:ascii="Lato" w:hAnsi="Lato"/>
                <w:sz w:val="20"/>
                <w:szCs w:val="20"/>
              </w:rPr>
              <w:t>) i ziołorośla nadrzeczne (</w:t>
            </w:r>
            <w:r w:rsidRPr="005E515C">
              <w:rPr>
                <w:rFonts w:ascii="Lato" w:hAnsi="Lato"/>
                <w:i/>
                <w:sz w:val="20"/>
                <w:szCs w:val="20"/>
              </w:rPr>
              <w:t>Convolvuletalia sepium</w:t>
            </w:r>
            <w:r w:rsidRPr="005E515C">
              <w:rPr>
                <w:rFonts w:ascii="Lato" w:hAnsi="Lato"/>
                <w:sz w:val="20"/>
                <w:szCs w:val="20"/>
              </w:rPr>
              <w:t>)</w:t>
            </w:r>
          </w:p>
        </w:tc>
        <w:tc>
          <w:tcPr>
            <w:tcW w:w="3498" w:type="dxa"/>
            <w:vAlign w:val="center"/>
          </w:tcPr>
          <w:p w14:paraId="4AD874F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6D0C179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color w:val="000000"/>
                <w:sz w:val="20"/>
                <w:szCs w:val="20"/>
              </w:rPr>
              <w:t>Zachowanie płatów siedliska o łącznej powierzchni min. 4,8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ha </w:t>
            </w:r>
          </w:p>
        </w:tc>
        <w:tc>
          <w:tcPr>
            <w:tcW w:w="3499" w:type="dxa"/>
          </w:tcPr>
          <w:p w14:paraId="03F229B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7C362E5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/>
                <w:sz w:val="20"/>
                <w:szCs w:val="20"/>
              </w:rPr>
            </w:pPr>
            <w:r w:rsidRPr="005E515C">
              <w:rPr>
                <w:rFonts w:ascii="Lato" w:hAnsi="Lato"/>
                <w:sz w:val="20"/>
                <w:szCs w:val="20"/>
              </w:rPr>
              <w:t>Inwentaryzacja płatów siedliska na podst. prac wykonanych w VI 2012–IX 2013.</w:t>
            </w:r>
          </w:p>
          <w:p w14:paraId="459D6F1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</w:pP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  <w:t>W latach 2012–2013 stwierdzono 14 płatów ziołorośli kielisznikowych o łącznej powierzchni 4,8 ha, czyli 0,07% obszaru. Należy wziąć pod uwagę, że areał tego siedliska może ulegać znacznym fluktuacjom w związku z naturalnymi procesami rozwoju lasów łęgowych i innych zbiorowisk z ich kręgu dynamicznego.</w:t>
            </w:r>
          </w:p>
          <w:p w14:paraId="00AAFF10" w14:textId="77777777" w:rsidR="00B44E01" w:rsidRDefault="00B44E01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Stan zachowania siedliska w obszarze jest niezadowalający (U1), m.in. ze 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lastRenderedPageBreak/>
              <w:t xml:space="preserve">względu na obecność obcych gatunków inwazyjnych. </w:t>
            </w:r>
          </w:p>
          <w:p w14:paraId="43BAAB87" w14:textId="3B07C6B4" w:rsidR="007A787F" w:rsidRPr="005E515C" w:rsidRDefault="007A787F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>Utrzymanie wskazanych parametrów uzależnione jest od sytuacji własnościowej – tj. pozyskanie w zarząd Skarbu Państwa całej powierzchni siedliska.</w:t>
            </w:r>
          </w:p>
        </w:tc>
      </w:tr>
      <w:tr w:rsidR="00B44E01" w:rsidRPr="005E515C" w14:paraId="3386B328" w14:textId="77777777" w:rsidTr="006C3A10">
        <w:tc>
          <w:tcPr>
            <w:tcW w:w="3498" w:type="dxa"/>
            <w:vMerge/>
          </w:tcPr>
          <w:p w14:paraId="728150B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601944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charakterystyczne</w:t>
            </w:r>
          </w:p>
        </w:tc>
        <w:tc>
          <w:tcPr>
            <w:tcW w:w="3499" w:type="dxa"/>
          </w:tcPr>
          <w:p w14:paraId="65A1687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4 gatunki charakterystyczne i więcej</w:t>
            </w:r>
          </w:p>
          <w:p w14:paraId="7C326C4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571F7E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79% stanowisk siedliska w obszadzane (w 11 płatach)</w:t>
            </w:r>
          </w:p>
        </w:tc>
        <w:tc>
          <w:tcPr>
            <w:tcW w:w="3499" w:type="dxa"/>
          </w:tcPr>
          <w:p w14:paraId="7041283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6430 (2012)</w:t>
            </w:r>
          </w:p>
          <w:p w14:paraId="0EB0E67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7E29EDFD" w14:textId="77777777" w:rsidTr="006C3A10">
        <w:tc>
          <w:tcPr>
            <w:tcW w:w="3498" w:type="dxa"/>
            <w:vMerge/>
          </w:tcPr>
          <w:p w14:paraId="5193E16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13AADB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ekspansywne roślin zielnych</w:t>
            </w:r>
          </w:p>
        </w:tc>
        <w:tc>
          <w:tcPr>
            <w:tcW w:w="3499" w:type="dxa"/>
          </w:tcPr>
          <w:p w14:paraId="33263C8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ekspansywne pokrywają 10-25% badanej powierzchni</w:t>
            </w:r>
          </w:p>
          <w:p w14:paraId="5CEC45E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6F439B3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50% stanowisk siedliska w obszadzane (7 płatach)</w:t>
            </w:r>
          </w:p>
        </w:tc>
        <w:tc>
          <w:tcPr>
            <w:tcW w:w="3499" w:type="dxa"/>
          </w:tcPr>
          <w:p w14:paraId="0FA6926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6430 (2012)</w:t>
            </w:r>
          </w:p>
          <w:p w14:paraId="044C4CC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3D9B32D" w14:textId="77777777" w:rsidTr="006C3A10">
        <w:tc>
          <w:tcPr>
            <w:tcW w:w="3498" w:type="dxa"/>
            <w:vMerge/>
          </w:tcPr>
          <w:p w14:paraId="299C0D9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2C2AF2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Bogactwo gatunkowe</w:t>
            </w:r>
          </w:p>
        </w:tc>
        <w:tc>
          <w:tcPr>
            <w:tcW w:w="3499" w:type="dxa"/>
          </w:tcPr>
          <w:p w14:paraId="61C7303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Powyżej 20 gatunków w zdjęciu</w:t>
            </w:r>
          </w:p>
          <w:p w14:paraId="3191397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B559C3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79% stanowisk siedliska w obszadzane (w 11 płatach)</w:t>
            </w:r>
          </w:p>
        </w:tc>
        <w:tc>
          <w:tcPr>
            <w:tcW w:w="3499" w:type="dxa"/>
          </w:tcPr>
          <w:p w14:paraId="0E57912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6430 (2012)</w:t>
            </w:r>
          </w:p>
          <w:p w14:paraId="50673E9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450B4398" w14:textId="77777777" w:rsidTr="006C3A10">
        <w:tc>
          <w:tcPr>
            <w:tcW w:w="3498" w:type="dxa"/>
            <w:vMerge/>
          </w:tcPr>
          <w:p w14:paraId="71BB8A4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2B4CA3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Obce gatunki inwazyjne</w:t>
            </w:r>
          </w:p>
        </w:tc>
        <w:tc>
          <w:tcPr>
            <w:tcW w:w="3499" w:type="dxa"/>
          </w:tcPr>
          <w:p w14:paraId="2CBD922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</w:t>
            </w:r>
          </w:p>
          <w:p w14:paraId="7F9C4ED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A8946D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64% stanowisk siedliska w obszadzane (w 9 płatach)</w:t>
            </w:r>
          </w:p>
        </w:tc>
        <w:tc>
          <w:tcPr>
            <w:tcW w:w="3499" w:type="dxa"/>
          </w:tcPr>
          <w:p w14:paraId="6F6EF9D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6430 (2012)</w:t>
            </w:r>
          </w:p>
          <w:p w14:paraId="0F72E01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4479221A" w14:textId="77777777" w:rsidTr="006C3A10">
        <w:tc>
          <w:tcPr>
            <w:tcW w:w="3498" w:type="dxa"/>
            <w:vMerge/>
          </w:tcPr>
          <w:p w14:paraId="5C2D006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5743AC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Naturalność koryta rzecznego (brak regulacji)</w:t>
            </w:r>
          </w:p>
        </w:tc>
        <w:tc>
          <w:tcPr>
            <w:tcW w:w="3499" w:type="dxa"/>
          </w:tcPr>
          <w:p w14:paraId="16FF4D8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</w:t>
            </w:r>
          </w:p>
          <w:p w14:paraId="5B4D926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49F63DE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FV wskaźnika w obrębie 50%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stanowisk siedliska w obszadzane (w 7 płatach)</w:t>
            </w:r>
          </w:p>
        </w:tc>
        <w:tc>
          <w:tcPr>
            <w:tcW w:w="3499" w:type="dxa"/>
          </w:tcPr>
          <w:p w14:paraId="06B1A18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6430 (2012)</w:t>
            </w:r>
          </w:p>
          <w:p w14:paraId="678DC2D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F4EF4BF" w14:textId="77777777" w:rsidTr="006C3A10">
        <w:tc>
          <w:tcPr>
            <w:tcW w:w="3498" w:type="dxa"/>
            <w:vMerge/>
          </w:tcPr>
          <w:p w14:paraId="761E116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A8F04C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Naturalny kompleks siedlisk</w:t>
            </w:r>
          </w:p>
        </w:tc>
        <w:tc>
          <w:tcPr>
            <w:tcW w:w="3499" w:type="dxa"/>
          </w:tcPr>
          <w:p w14:paraId="5BB6DDB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W otoczeniu badanego stanowiska znajdują się zbiorowiska naturalne </w:t>
            </w:r>
          </w:p>
          <w:p w14:paraId="1165BCA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0704465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86% stanowisk siedliska w obszadzane (w 12 płatach)</w:t>
            </w:r>
          </w:p>
        </w:tc>
        <w:tc>
          <w:tcPr>
            <w:tcW w:w="3499" w:type="dxa"/>
          </w:tcPr>
          <w:p w14:paraId="4A0A428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6430 (2012)</w:t>
            </w:r>
          </w:p>
          <w:p w14:paraId="06A627B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10DFF8AC" w14:textId="77777777" w:rsidTr="006C3A10">
        <w:tc>
          <w:tcPr>
            <w:tcW w:w="3498" w:type="dxa"/>
            <w:vMerge w:val="restart"/>
          </w:tcPr>
          <w:p w14:paraId="031005A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7140 </w:t>
            </w: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Torfowiska przejściowe i trzęsawiska (przeważnie z roślinnością z </w:t>
            </w:r>
            <w:r w:rsidRPr="005E515C">
              <w:rPr>
                <w:rFonts w:ascii="Lato" w:eastAsia="Times New Roman" w:hAnsi="Lato" w:cs="Times New Roman"/>
                <w:bCs/>
                <w:i/>
                <w:sz w:val="20"/>
                <w:szCs w:val="20"/>
              </w:rPr>
              <w:t>Scheuchzerio-Caricetea</w:t>
            </w: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) </w:t>
            </w: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498" w:type="dxa"/>
            <w:vAlign w:val="center"/>
          </w:tcPr>
          <w:p w14:paraId="18B4947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62B105D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color w:val="000000"/>
                <w:sz w:val="20"/>
                <w:szCs w:val="20"/>
              </w:rPr>
              <w:t>Zachowanie płatów siedliska o łącznej powierzchni min. 0,95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ha </w:t>
            </w:r>
          </w:p>
        </w:tc>
        <w:tc>
          <w:tcPr>
            <w:tcW w:w="3499" w:type="dxa"/>
          </w:tcPr>
          <w:p w14:paraId="3C3A84D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2C07F81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/>
                <w:sz w:val="20"/>
                <w:szCs w:val="20"/>
              </w:rPr>
            </w:pPr>
            <w:r w:rsidRPr="005E515C">
              <w:rPr>
                <w:rFonts w:ascii="Lato" w:hAnsi="Lato"/>
                <w:sz w:val="20"/>
                <w:szCs w:val="20"/>
              </w:rPr>
              <w:t>Inwentaryzacja płatów siedliska na podst. prac wykonanych w VI 2012–IX 2013.</w:t>
            </w:r>
          </w:p>
          <w:p w14:paraId="48C6449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>Torfowisko przejściowe typu 7140 w obszarze występuje tylko w jednym miejscu, na terenie bezodpływowego zagłębienia w zakolu parabolicznej wydmy, znajdującej się w północno-zachodniej części uroczyska Rynki. Zajmuje powierzchnię 0,95ha czyli 0,01% obszaru</w:t>
            </w:r>
          </w:p>
          <w:p w14:paraId="4DA48CB2" w14:textId="0B70BEFC" w:rsidR="00B44E01" w:rsidRDefault="00B44E01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Stan zachowania w obszarze: </w:t>
            </w:r>
            <w:r w:rsidR="00AA0CFD">
              <w:rPr>
                <w:rFonts w:ascii="Lato" w:eastAsia="Times New Roman" w:hAnsi="Lato" w:cs="Times New Roman"/>
                <w:sz w:val="20"/>
                <w:szCs w:val="20"/>
              </w:rPr>
              <w:t>niezadawalający U1</w:t>
            </w:r>
          </w:p>
          <w:p w14:paraId="7942C080" w14:textId="3CB66B7F" w:rsidR="00394D69" w:rsidRPr="005E515C" w:rsidRDefault="00394D69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>Utrzymanie wskazanych parametrów uzależnione jest od sytuacji własnościowej – tj. pozyskanie w zarząd Skarbu Państwa całej powierzchni siedliska.</w:t>
            </w:r>
          </w:p>
        </w:tc>
      </w:tr>
      <w:tr w:rsidR="00B44E01" w:rsidRPr="005E515C" w14:paraId="3577B864" w14:textId="77777777" w:rsidTr="006C3A10">
        <w:tc>
          <w:tcPr>
            <w:tcW w:w="3498" w:type="dxa"/>
            <w:vMerge/>
          </w:tcPr>
          <w:p w14:paraId="7B538FD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FC2DFA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Procent powierzchni zajęty przez siedlisko na transekcie </w:t>
            </w:r>
          </w:p>
        </w:tc>
        <w:tc>
          <w:tcPr>
            <w:tcW w:w="3499" w:type="dxa"/>
          </w:tcPr>
          <w:p w14:paraId="020B303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80-100%</w:t>
            </w:r>
          </w:p>
          <w:p w14:paraId="02463F7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5BFDB7F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2F8823C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14D11DF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0FB3B17A" w14:textId="77777777" w:rsidTr="006C3A10">
        <w:tc>
          <w:tcPr>
            <w:tcW w:w="3498" w:type="dxa"/>
            <w:vMerge/>
          </w:tcPr>
          <w:p w14:paraId="4CE9B37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C97901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charakterystyczne</w:t>
            </w:r>
          </w:p>
        </w:tc>
        <w:tc>
          <w:tcPr>
            <w:tcW w:w="3499" w:type="dxa"/>
          </w:tcPr>
          <w:p w14:paraId="1D8069E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Powyżej 6 gatunków charakterystycznych lub mniej, lecz pokrycie gatunków charakterystycznych na transekcie powyżej 50%</w:t>
            </w:r>
          </w:p>
          <w:p w14:paraId="626A78D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9AA880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0E30552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6F40456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3314758" w14:textId="77777777" w:rsidTr="006C3A10">
        <w:tc>
          <w:tcPr>
            <w:tcW w:w="3498" w:type="dxa"/>
            <w:vMerge/>
          </w:tcPr>
          <w:p w14:paraId="7BAC512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CB37D4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Gatunki dominujące </w:t>
            </w:r>
          </w:p>
        </w:tc>
        <w:tc>
          <w:tcPr>
            <w:tcW w:w="3499" w:type="dxa"/>
          </w:tcPr>
          <w:p w14:paraId="2CDAA4F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Dominuję gatunki charakterystyczne dla siedliska lub brak dominanta, lecz przeważają gatunki charakterystyczne</w:t>
            </w:r>
          </w:p>
          <w:p w14:paraId="5AF6DE0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4BB0DE5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5B4F0FC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031DA43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1E85B407" w14:textId="77777777" w:rsidTr="006C3A10">
        <w:tc>
          <w:tcPr>
            <w:tcW w:w="3498" w:type="dxa"/>
            <w:vMerge/>
          </w:tcPr>
          <w:p w14:paraId="348AB66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883E66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Pokrycie i struktura gatunków mchów</w:t>
            </w:r>
          </w:p>
        </w:tc>
        <w:tc>
          <w:tcPr>
            <w:tcW w:w="3499" w:type="dxa"/>
          </w:tcPr>
          <w:p w14:paraId="0729FF1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Całkowite pokrycie mchów ponad 50% i mchy torfowce zajmują łącznie ponad 50% całkowitej powierzchni porośniętej przez wszystkie gatunki mchów</w:t>
            </w:r>
          </w:p>
          <w:p w14:paraId="712BE5C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C19F32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4A9126E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3D8E7E0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77E61C2C" w14:textId="77777777" w:rsidTr="006C3A10">
        <w:tc>
          <w:tcPr>
            <w:tcW w:w="3498" w:type="dxa"/>
            <w:vMerge/>
          </w:tcPr>
          <w:p w14:paraId="0A58301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43970A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Obce gatunki inwazyjne </w:t>
            </w:r>
          </w:p>
        </w:tc>
        <w:tc>
          <w:tcPr>
            <w:tcW w:w="3499" w:type="dxa"/>
          </w:tcPr>
          <w:p w14:paraId="5AA41E3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</w:t>
            </w:r>
          </w:p>
          <w:p w14:paraId="6527487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F14EBE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50ABE15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6CF1160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678AFF56" w14:textId="77777777" w:rsidTr="006C3A10">
        <w:tc>
          <w:tcPr>
            <w:tcW w:w="3498" w:type="dxa"/>
            <w:vMerge/>
          </w:tcPr>
          <w:p w14:paraId="51D3AEE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0E9DBE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Gatunki ekspansywne roślin zielnych </w:t>
            </w:r>
          </w:p>
        </w:tc>
        <w:tc>
          <w:tcPr>
            <w:tcW w:w="3499" w:type="dxa"/>
          </w:tcPr>
          <w:p w14:paraId="66A66D7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Brak lub pojedyncze </w:t>
            </w:r>
          </w:p>
          <w:p w14:paraId="19C300D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69042D4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604A736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7140 (2012)</w:t>
            </w:r>
          </w:p>
          <w:p w14:paraId="233947F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7998254B" w14:textId="77777777" w:rsidTr="006C3A10">
        <w:tc>
          <w:tcPr>
            <w:tcW w:w="3498" w:type="dxa"/>
            <w:vMerge/>
          </w:tcPr>
          <w:p w14:paraId="5A7264F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197AEE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Ekspansja gatunków drzewiastych</w:t>
            </w:r>
          </w:p>
        </w:tc>
        <w:tc>
          <w:tcPr>
            <w:tcW w:w="3499" w:type="dxa"/>
          </w:tcPr>
          <w:p w14:paraId="631D614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Udział mniejszy niż 15% </w:t>
            </w:r>
          </w:p>
          <w:p w14:paraId="7928E15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100% stanowisk siedliska w obszadzane (w 1 płacie)</w:t>
            </w:r>
          </w:p>
        </w:tc>
        <w:tc>
          <w:tcPr>
            <w:tcW w:w="3499" w:type="dxa"/>
          </w:tcPr>
          <w:p w14:paraId="0EBE4126" w14:textId="77777777" w:rsidR="00AA0CFD" w:rsidRPr="005E515C" w:rsidRDefault="00AA0CFD" w:rsidP="00AA0CF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3059A192" w14:textId="3551FCB6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6B91521C" w14:textId="77777777" w:rsidTr="006C3A10">
        <w:tc>
          <w:tcPr>
            <w:tcW w:w="3498" w:type="dxa"/>
            <w:vMerge/>
          </w:tcPr>
          <w:p w14:paraId="5CDBA47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141F4C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Stopień uwodnienia</w:t>
            </w:r>
          </w:p>
        </w:tc>
        <w:tc>
          <w:tcPr>
            <w:tcW w:w="3499" w:type="dxa"/>
          </w:tcPr>
          <w:p w14:paraId="0A59287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Poziom wody mierzony w piezometrze – powyżej, równo lub do 10cm poniżej powierzchnio torfowiska </w:t>
            </w:r>
          </w:p>
          <w:p w14:paraId="1971A4D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7CC7BA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3AB0A96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2660D32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9480855" w14:textId="77777777" w:rsidTr="006C3A10">
        <w:tc>
          <w:tcPr>
            <w:tcW w:w="3498" w:type="dxa"/>
            <w:vMerge/>
          </w:tcPr>
          <w:p w14:paraId="4107FF4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AD9DBA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Pozyskanie torfu</w:t>
            </w:r>
          </w:p>
        </w:tc>
        <w:tc>
          <w:tcPr>
            <w:tcW w:w="3499" w:type="dxa"/>
          </w:tcPr>
          <w:p w14:paraId="42CC75B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 pozyskania torfu</w:t>
            </w:r>
          </w:p>
          <w:p w14:paraId="38CD355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383289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 płacie)</w:t>
            </w:r>
          </w:p>
        </w:tc>
        <w:tc>
          <w:tcPr>
            <w:tcW w:w="3499" w:type="dxa"/>
          </w:tcPr>
          <w:p w14:paraId="49B9CDC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7140 (2012)</w:t>
            </w:r>
          </w:p>
          <w:p w14:paraId="781719D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5369FF27" w14:textId="77777777" w:rsidTr="006C3A10">
        <w:tc>
          <w:tcPr>
            <w:tcW w:w="3498" w:type="dxa"/>
            <w:vMerge/>
          </w:tcPr>
          <w:p w14:paraId="4B745EA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A5FE1D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Melioracje odwadniające</w:t>
            </w:r>
          </w:p>
        </w:tc>
        <w:tc>
          <w:tcPr>
            <w:tcW w:w="3499" w:type="dxa"/>
          </w:tcPr>
          <w:p w14:paraId="5B68DA2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 sieci rowów i kanałów melioracyjnych oraz innych elementów infrastruktury  melioracyjnej odwadniających torfowisko bądź infrastruktura melioracyjna  w znacznym stopniu „zneutralizowana”  na skutek podjętych działań ochronnych (zasypywanie rowów, budowa zastawek itp.)</w:t>
            </w:r>
          </w:p>
          <w:p w14:paraId="60855E6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7783B8F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FV wskaźnika w obrębie 100%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stanowisk siedliska w obszadzane (w 1 płacie)</w:t>
            </w:r>
          </w:p>
        </w:tc>
        <w:tc>
          <w:tcPr>
            <w:tcW w:w="3499" w:type="dxa"/>
          </w:tcPr>
          <w:p w14:paraId="135C896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7140 (2012)</w:t>
            </w:r>
          </w:p>
          <w:p w14:paraId="600FA64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15040ED" w14:textId="77777777" w:rsidTr="006C3A10">
        <w:tc>
          <w:tcPr>
            <w:tcW w:w="3498" w:type="dxa"/>
            <w:vMerge w:val="restart"/>
          </w:tcPr>
          <w:p w14:paraId="246E5875" w14:textId="77777777" w:rsidR="00B44E01" w:rsidRPr="00AA0CFD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AA0CFD">
              <w:rPr>
                <w:rFonts w:ascii="Lato" w:hAnsi="Lato" w:cs="Times New Roman"/>
                <w:sz w:val="20"/>
                <w:szCs w:val="20"/>
              </w:rPr>
              <w:t xml:space="preserve">7230 </w:t>
            </w:r>
            <w:r w:rsidRPr="00B55C72">
              <w:rPr>
                <w:rFonts w:ascii="Lato" w:hAnsi="Lato" w:cs="Times New Roman"/>
                <w:sz w:val="20"/>
                <w:szCs w:val="20"/>
              </w:rPr>
              <w:t xml:space="preserve">Górskie i nizinne torfowiska zasadowe o </w:t>
            </w:r>
            <w:r w:rsidRPr="00B55C72">
              <w:rPr>
                <w:rFonts w:ascii="Lato" w:hAnsi="Lato" w:cs="Times New Roman"/>
                <w:sz w:val="20"/>
                <w:szCs w:val="20"/>
                <w:shd w:val="clear" w:color="auto" w:fill="F2F2F2" w:themeFill="background1" w:themeFillShade="F2"/>
              </w:rPr>
              <w:t>charakterze młak, turzycowisk i mechowisk</w:t>
            </w:r>
          </w:p>
        </w:tc>
        <w:tc>
          <w:tcPr>
            <w:tcW w:w="3498" w:type="dxa"/>
            <w:vAlign w:val="center"/>
          </w:tcPr>
          <w:p w14:paraId="38443973" w14:textId="77777777" w:rsidR="00B44E01" w:rsidRPr="00AA0CFD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AA0CFD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2C5CCC6B" w14:textId="77777777" w:rsidR="00B44E01" w:rsidRPr="00AA0CFD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AA0CFD">
              <w:rPr>
                <w:rFonts w:ascii="Lato" w:hAnsi="Lato" w:cs="Times New Roman"/>
                <w:color w:val="000000"/>
                <w:sz w:val="20"/>
                <w:szCs w:val="20"/>
              </w:rPr>
              <w:t>Zachowanie płatów siedliska o łącznej powierzchni min. 88,22</w:t>
            </w:r>
            <w:r w:rsidRPr="00AA0CFD">
              <w:rPr>
                <w:rFonts w:ascii="Lato" w:hAnsi="Lato" w:cs="Times New Roman"/>
                <w:sz w:val="20"/>
                <w:szCs w:val="20"/>
              </w:rPr>
              <w:t>ha</w:t>
            </w:r>
          </w:p>
        </w:tc>
        <w:tc>
          <w:tcPr>
            <w:tcW w:w="3499" w:type="dxa"/>
          </w:tcPr>
          <w:p w14:paraId="7F1ADDF7" w14:textId="77777777" w:rsidR="00B44E01" w:rsidRPr="00AA0CFD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AA0CFD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44C2364E" w14:textId="77777777" w:rsidR="00B44E01" w:rsidRPr="00AA0CFD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/>
                <w:sz w:val="20"/>
                <w:szCs w:val="20"/>
              </w:rPr>
            </w:pPr>
            <w:r w:rsidRPr="00AA0CFD">
              <w:rPr>
                <w:rFonts w:ascii="Lato" w:hAnsi="Lato"/>
                <w:sz w:val="20"/>
                <w:szCs w:val="20"/>
              </w:rPr>
              <w:t>Inwentaryzacja płatów siedliska na podst. prac wykonanych w VI 2012–IX 2013</w:t>
            </w:r>
          </w:p>
          <w:p w14:paraId="69AA25A0" w14:textId="77777777" w:rsidR="00B44E01" w:rsidRPr="00AA0CFD" w:rsidRDefault="00B44E01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A0CFD"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  <w:t>Torfowiska typu 7230 występują w 33 płatach o powierzchni od 0,07 do 35,11 ha i łącznie zajmują 88,22 ha, czyli 1,33% obszaru.</w:t>
            </w:r>
          </w:p>
          <w:p w14:paraId="5C01C40A" w14:textId="77777777" w:rsidR="00B44E01" w:rsidRPr="00AA0CFD" w:rsidRDefault="00B44E01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</w:pPr>
            <w:r w:rsidRPr="00AA0CFD">
              <w:rPr>
                <w:rFonts w:ascii="Lato" w:eastAsia="Times New Roman" w:hAnsi="Lato" w:cs="Times New Roman"/>
                <w:sz w:val="20"/>
                <w:szCs w:val="20"/>
              </w:rPr>
              <w:t>Stan zachowania w obszarze.</w:t>
            </w:r>
            <w:r w:rsidRPr="00AA0CFD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 Stan zachowania jest zły (U2), m.in. ze względu na ekspansję drzew i krzewów, nieliczny udział gatunków charakterystycznych i mchów.</w:t>
            </w:r>
          </w:p>
          <w:p w14:paraId="3F725C6B" w14:textId="4ACA8874" w:rsidR="00394D69" w:rsidRPr="005E515C" w:rsidRDefault="00394D69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</w:pPr>
            <w:r w:rsidRPr="00AA0CFD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>Utrzymanie wskazanych parametrów uzależnione jest od sytuacji własnościowej – tj. pozyskanie w zarząd Skarbu Państwa całej powierzchni siedliska.</w:t>
            </w:r>
          </w:p>
        </w:tc>
      </w:tr>
      <w:tr w:rsidR="00B44E01" w:rsidRPr="005E515C" w14:paraId="0876AA17" w14:textId="77777777" w:rsidTr="006C3A10">
        <w:tc>
          <w:tcPr>
            <w:tcW w:w="3498" w:type="dxa"/>
            <w:vMerge/>
          </w:tcPr>
          <w:p w14:paraId="1ED7859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D2C9BE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Procent powierzchni zajęty przez siedlisko na transekcie </w:t>
            </w:r>
          </w:p>
        </w:tc>
        <w:tc>
          <w:tcPr>
            <w:tcW w:w="3499" w:type="dxa"/>
          </w:tcPr>
          <w:p w14:paraId="43654FD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50-80%</w:t>
            </w:r>
          </w:p>
          <w:p w14:paraId="20B4FF6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5AB664B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51% stanowisk siedliska w obszadzane (w 17 płatach)</w:t>
            </w:r>
          </w:p>
        </w:tc>
        <w:tc>
          <w:tcPr>
            <w:tcW w:w="3499" w:type="dxa"/>
          </w:tcPr>
          <w:p w14:paraId="22427B9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6B8C827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63F38CDF" w14:textId="77777777" w:rsidTr="006C3A10">
        <w:tc>
          <w:tcPr>
            <w:tcW w:w="3498" w:type="dxa"/>
            <w:vMerge/>
          </w:tcPr>
          <w:p w14:paraId="4B67DC2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A753C3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Gatunki charakterystyczne </w:t>
            </w:r>
          </w:p>
        </w:tc>
        <w:tc>
          <w:tcPr>
            <w:tcW w:w="3499" w:type="dxa"/>
          </w:tcPr>
          <w:p w14:paraId="2E944D2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4-8 gatunków charakterystycznych lub pokrycie na transekcie 20-50% </w:t>
            </w:r>
          </w:p>
          <w:p w14:paraId="0A614B2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518C090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54% stanowisk siedliska w obszadzane (w 18 płatach)</w:t>
            </w:r>
          </w:p>
        </w:tc>
        <w:tc>
          <w:tcPr>
            <w:tcW w:w="3499" w:type="dxa"/>
          </w:tcPr>
          <w:p w14:paraId="04433BC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2259A3F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0E618F00" w14:textId="77777777" w:rsidTr="006C3A10">
        <w:tc>
          <w:tcPr>
            <w:tcW w:w="3498" w:type="dxa"/>
            <w:vMerge/>
          </w:tcPr>
          <w:p w14:paraId="117040E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A77658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Gatunki dominujące </w:t>
            </w:r>
          </w:p>
        </w:tc>
        <w:tc>
          <w:tcPr>
            <w:tcW w:w="3499" w:type="dxa"/>
          </w:tcPr>
          <w:p w14:paraId="717E533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Brak wyraźnych dominatów, udział gatunków charakterystycznych dla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siedliska 7230 i innych mniej więcej równy</w:t>
            </w:r>
          </w:p>
          <w:p w14:paraId="164C46A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073EE89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70% stanowisk siedliska w obszadzane (w 23 płatach)</w:t>
            </w:r>
          </w:p>
        </w:tc>
        <w:tc>
          <w:tcPr>
            <w:tcW w:w="3499" w:type="dxa"/>
          </w:tcPr>
          <w:p w14:paraId="136E52C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7230 (2012)</w:t>
            </w:r>
          </w:p>
          <w:p w14:paraId="377B4061" w14:textId="77777777" w:rsidR="00B44E01" w:rsidRPr="005E515C" w:rsidRDefault="00B44E01" w:rsidP="00AA0CF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7B30EC79" w14:textId="77777777" w:rsidTr="006C3A10">
        <w:tc>
          <w:tcPr>
            <w:tcW w:w="3498" w:type="dxa"/>
            <w:vMerge/>
          </w:tcPr>
          <w:p w14:paraId="4FB7AA9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541880E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Pokrycie i struktura gatunkowa mchów</w:t>
            </w:r>
          </w:p>
        </w:tc>
        <w:tc>
          <w:tcPr>
            <w:tcW w:w="3499" w:type="dxa"/>
          </w:tcPr>
          <w:p w14:paraId="4B1514A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Całkowite pokrycie mchów – poniżej 20%, mchy brunatne nie występują lub zajmują co najwyżej łączna powierzchnię do 20% całkowitej powierzchni wszystkich gatunków mchów , zdecydowanie dominują torfowce</w:t>
            </w:r>
          </w:p>
          <w:p w14:paraId="02C6072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020C939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siedliska.</w:t>
            </w:r>
          </w:p>
        </w:tc>
        <w:tc>
          <w:tcPr>
            <w:tcW w:w="3499" w:type="dxa"/>
          </w:tcPr>
          <w:p w14:paraId="37870BC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52DCC9A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13B8B547" w14:textId="77777777" w:rsidTr="006C3A10">
        <w:tc>
          <w:tcPr>
            <w:tcW w:w="3498" w:type="dxa"/>
            <w:vMerge/>
          </w:tcPr>
          <w:p w14:paraId="1EECD1E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E3C31D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Obce gatunki inwazyjne</w:t>
            </w:r>
          </w:p>
        </w:tc>
        <w:tc>
          <w:tcPr>
            <w:tcW w:w="3499" w:type="dxa"/>
          </w:tcPr>
          <w:p w14:paraId="665149D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</w:t>
            </w:r>
          </w:p>
          <w:p w14:paraId="578BA33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300449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33 płatach)</w:t>
            </w:r>
          </w:p>
        </w:tc>
        <w:tc>
          <w:tcPr>
            <w:tcW w:w="3499" w:type="dxa"/>
          </w:tcPr>
          <w:p w14:paraId="5C548B7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3276D43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D7DD573" w14:textId="77777777" w:rsidTr="006C3A10">
        <w:tc>
          <w:tcPr>
            <w:tcW w:w="3498" w:type="dxa"/>
            <w:vMerge/>
          </w:tcPr>
          <w:p w14:paraId="300F101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CE98ED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ekspansywne roślin zielnych</w:t>
            </w:r>
          </w:p>
        </w:tc>
        <w:tc>
          <w:tcPr>
            <w:tcW w:w="3499" w:type="dxa"/>
          </w:tcPr>
          <w:p w14:paraId="371975F8" w14:textId="573C83A6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 lub pojedy</w:t>
            </w:r>
            <w:r w:rsidR="00537074">
              <w:rPr>
                <w:rFonts w:ascii="Lato" w:hAnsi="Lato" w:cs="Times New Roman"/>
                <w:sz w:val="20"/>
                <w:szCs w:val="20"/>
              </w:rPr>
              <w:t>n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cze</w:t>
            </w:r>
          </w:p>
          <w:p w14:paraId="66CF76D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400F2EC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45% stanowisk siedliska w obszadzane (w 15 płatach)</w:t>
            </w:r>
          </w:p>
        </w:tc>
        <w:tc>
          <w:tcPr>
            <w:tcW w:w="3499" w:type="dxa"/>
          </w:tcPr>
          <w:p w14:paraId="21839C1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5107A62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DC86903" w14:textId="77777777" w:rsidTr="006C3A10">
        <w:tc>
          <w:tcPr>
            <w:tcW w:w="3498" w:type="dxa"/>
            <w:vMerge/>
          </w:tcPr>
          <w:p w14:paraId="4F7267D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307168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Zakres pH</w:t>
            </w:r>
          </w:p>
        </w:tc>
        <w:tc>
          <w:tcPr>
            <w:tcW w:w="3499" w:type="dxa"/>
          </w:tcPr>
          <w:p w14:paraId="71F8D87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Powyżej 7</w:t>
            </w:r>
          </w:p>
          <w:p w14:paraId="729544B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12% stanowisk siedliska w obszadzane (w 4 płatach)</w:t>
            </w:r>
          </w:p>
        </w:tc>
        <w:tc>
          <w:tcPr>
            <w:tcW w:w="3499" w:type="dxa"/>
          </w:tcPr>
          <w:p w14:paraId="637AFC1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002530A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665EBBBA" w14:textId="77777777" w:rsidTr="006C3A10">
        <w:tc>
          <w:tcPr>
            <w:tcW w:w="3498" w:type="dxa"/>
            <w:vMerge/>
          </w:tcPr>
          <w:p w14:paraId="7C71529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227B0D9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Ekspansja krzewów i podrostu drzew</w:t>
            </w:r>
          </w:p>
        </w:tc>
        <w:tc>
          <w:tcPr>
            <w:tcW w:w="3499" w:type="dxa"/>
          </w:tcPr>
          <w:p w14:paraId="65C4B79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 lub pojedyncze</w:t>
            </w:r>
          </w:p>
          <w:p w14:paraId="46C4DB8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092592B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Utrzymanie co najmniej obecnej oceny FV wskaźnika w obrębie 58% stanowisk siedliska w obszadzane (w 19 płatach)</w:t>
            </w:r>
          </w:p>
        </w:tc>
        <w:tc>
          <w:tcPr>
            <w:tcW w:w="3499" w:type="dxa"/>
          </w:tcPr>
          <w:p w14:paraId="01797E4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7230 (2012)</w:t>
            </w:r>
          </w:p>
          <w:p w14:paraId="2CEEF5F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8F51608" w14:textId="77777777" w:rsidTr="006C3A10">
        <w:tc>
          <w:tcPr>
            <w:tcW w:w="3498" w:type="dxa"/>
            <w:vMerge/>
          </w:tcPr>
          <w:p w14:paraId="5B54C05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5D63FC8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Stopień uwodnienia</w:t>
            </w:r>
          </w:p>
        </w:tc>
        <w:tc>
          <w:tcPr>
            <w:tcW w:w="3499" w:type="dxa"/>
          </w:tcPr>
          <w:p w14:paraId="5FDBE45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Poziom wody mierzony w piezometrze –2-10cm poniżej, równo lub do 10cm poniżej powierzchni torfowiska</w:t>
            </w:r>
          </w:p>
          <w:p w14:paraId="11D2DB6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6136FDE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70% stanowisk siedliska w obszadzane (w 23 płatach)</w:t>
            </w:r>
          </w:p>
        </w:tc>
        <w:tc>
          <w:tcPr>
            <w:tcW w:w="3499" w:type="dxa"/>
          </w:tcPr>
          <w:p w14:paraId="15B7E68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4B12BD4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52825CC6" w14:textId="77777777" w:rsidTr="006C3A10">
        <w:tc>
          <w:tcPr>
            <w:tcW w:w="3498" w:type="dxa"/>
            <w:vMerge/>
          </w:tcPr>
          <w:p w14:paraId="5D5AE95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03B60CB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Pozyskanie torfu</w:t>
            </w:r>
          </w:p>
        </w:tc>
        <w:tc>
          <w:tcPr>
            <w:tcW w:w="3499" w:type="dxa"/>
          </w:tcPr>
          <w:p w14:paraId="7A13849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 pozyskania torfu</w:t>
            </w:r>
          </w:p>
          <w:p w14:paraId="59D2EEE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0C23B73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33 płatach)</w:t>
            </w:r>
          </w:p>
        </w:tc>
        <w:tc>
          <w:tcPr>
            <w:tcW w:w="3499" w:type="dxa"/>
          </w:tcPr>
          <w:p w14:paraId="51385B4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7A1353C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2037453B" w14:textId="77777777" w:rsidTr="006C3A10">
        <w:tc>
          <w:tcPr>
            <w:tcW w:w="3498" w:type="dxa"/>
            <w:vMerge/>
          </w:tcPr>
          <w:p w14:paraId="6E2E037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64745B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Melioracje odwadniające</w:t>
            </w:r>
          </w:p>
        </w:tc>
        <w:tc>
          <w:tcPr>
            <w:tcW w:w="3499" w:type="dxa"/>
          </w:tcPr>
          <w:p w14:paraId="274A6FE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 sieci rowów i kanałów melioracyjnych oraz innych elementów infrastruktury  melioracyjnej odwadniających torfowisko bądź infrastruktura melioracyjna  w znacznym stopniu „zneutralizowana”  na skutek podjętych działań ochronnych (zasypywanie rowów, budowa zastawek itp.)</w:t>
            </w:r>
          </w:p>
          <w:p w14:paraId="6DB38C1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1C13324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77C2CC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52% stanowisk siedliska w obszadzane (w 17 płatach)</w:t>
            </w:r>
          </w:p>
        </w:tc>
        <w:tc>
          <w:tcPr>
            <w:tcW w:w="3499" w:type="dxa"/>
          </w:tcPr>
          <w:p w14:paraId="61CD979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7230 (2012)</w:t>
            </w:r>
          </w:p>
          <w:p w14:paraId="273E686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1E512080" w14:textId="77777777" w:rsidTr="006C3A10">
        <w:tc>
          <w:tcPr>
            <w:tcW w:w="3498" w:type="dxa"/>
            <w:vMerge w:val="restart"/>
          </w:tcPr>
          <w:p w14:paraId="0367A2C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9170 Grąd środkowoeuropejski i subkontynentalny (</w:t>
            </w:r>
            <w:r w:rsidRPr="005E515C">
              <w:rPr>
                <w:rFonts w:ascii="Lato" w:hAnsi="Lato" w:cs="Times New Roman"/>
                <w:i/>
                <w:sz w:val="20"/>
                <w:szCs w:val="20"/>
              </w:rPr>
              <w:t>Galio-Carpinetum, Tilio-Carpinetum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)</w:t>
            </w:r>
          </w:p>
        </w:tc>
        <w:tc>
          <w:tcPr>
            <w:tcW w:w="3498" w:type="dxa"/>
            <w:vAlign w:val="center"/>
          </w:tcPr>
          <w:p w14:paraId="39DD7F6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Powierzchnia siedliska</w:t>
            </w:r>
          </w:p>
        </w:tc>
        <w:tc>
          <w:tcPr>
            <w:tcW w:w="3499" w:type="dxa"/>
          </w:tcPr>
          <w:p w14:paraId="016E09C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color w:val="000000"/>
                <w:sz w:val="20"/>
                <w:szCs w:val="20"/>
              </w:rPr>
              <w:t>Zachowanie płatów siedliska o łącznej powierzchni min. 9,98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ha</w:t>
            </w:r>
          </w:p>
        </w:tc>
        <w:tc>
          <w:tcPr>
            <w:tcW w:w="3499" w:type="dxa"/>
          </w:tcPr>
          <w:p w14:paraId="757921C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4312BCD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/>
                <w:sz w:val="20"/>
                <w:szCs w:val="20"/>
              </w:rPr>
            </w:pPr>
            <w:r w:rsidRPr="005E515C">
              <w:rPr>
                <w:rFonts w:ascii="Lato" w:hAnsi="Lato"/>
                <w:sz w:val="20"/>
                <w:szCs w:val="20"/>
              </w:rPr>
              <w:t>Inwentaryzacja płatów siedliska na podst. prac wykonanych w VI 2012–IX 2013</w:t>
            </w:r>
          </w:p>
          <w:p w14:paraId="40E47EB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</w:pP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  <w:t xml:space="preserve">Grądy </w:t>
            </w:r>
            <w:r w:rsidRPr="005E515C">
              <w:rPr>
                <w:rFonts w:ascii="Lato" w:eastAsia="Times New Roman" w:hAnsi="Lato" w:cs="Times New Roman"/>
                <w:bCs/>
                <w:i/>
                <w:sz w:val="20"/>
                <w:szCs w:val="20"/>
                <w:shd w:val="clear" w:color="auto" w:fill="FFFFFF"/>
              </w:rPr>
              <w:t>Tilio-Carpinetum</w:t>
            </w: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  <w:t xml:space="preserve"> występują w 16 płatach o łącznym areale 9,98 ha, co stanowi to 1,5% powierzchni siedlisk leśnych i 0,15% obszaru.</w:t>
            </w:r>
          </w:p>
          <w:p w14:paraId="27293F35" w14:textId="77777777" w:rsidR="00B44E01" w:rsidRDefault="00B44E01" w:rsidP="006C3A10">
            <w:pPr>
              <w:spacing w:before="100" w:beforeAutospacing="1" w:after="100" w:afterAutospacing="1"/>
              <w:contextualSpacing/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</w:pP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  <w:shd w:val="clear" w:color="auto" w:fill="FFFFFF"/>
              </w:rPr>
              <w:t>Stan zachowania grądów w obrębie obszaru został oceniony jako zły (U2), pomimo uznania parametrów powierzchni oraz perspektyw ochrony za właściwe (FV), ze względu na niską ocenę stanu struktury i funkcji siedliska (U2).</w:t>
            </w:r>
          </w:p>
          <w:p w14:paraId="18DE2C2B" w14:textId="746A8960" w:rsidR="00394D69" w:rsidRPr="005E515C" w:rsidRDefault="00394D6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>Utrzymanie wskazanych parametrów uzależnione jest od sytuacji własnościowej – tj. pozyskanie w zarząd Skarbu Państwa całej powierzchni siedliska.</w:t>
            </w:r>
          </w:p>
        </w:tc>
      </w:tr>
      <w:tr w:rsidR="00B44E01" w:rsidRPr="005E515C" w14:paraId="38C77EC4" w14:textId="77777777" w:rsidTr="006C3A10">
        <w:trPr>
          <w:trHeight w:val="2210"/>
        </w:trPr>
        <w:tc>
          <w:tcPr>
            <w:tcW w:w="3498" w:type="dxa"/>
            <w:vMerge/>
          </w:tcPr>
          <w:p w14:paraId="29588EC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56AAF6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Charakterystyczna kombinacja florystyczna</w:t>
            </w:r>
          </w:p>
        </w:tc>
        <w:tc>
          <w:tcPr>
            <w:tcW w:w="3499" w:type="dxa"/>
          </w:tcPr>
          <w:p w14:paraId="28D6E77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Zdominowana przez gatunki synantropijne lub obce</w:t>
            </w:r>
          </w:p>
          <w:p w14:paraId="577AA82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1791DDE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</w:t>
            </w:r>
          </w:p>
        </w:tc>
        <w:tc>
          <w:tcPr>
            <w:tcW w:w="3499" w:type="dxa"/>
          </w:tcPr>
          <w:p w14:paraId="51FA927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14D1341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00AFA29E" w14:textId="77777777" w:rsidTr="006C3A10">
        <w:tc>
          <w:tcPr>
            <w:tcW w:w="3498" w:type="dxa"/>
            <w:vMerge/>
          </w:tcPr>
          <w:p w14:paraId="5856F21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A91D10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Gatunki obce w drzewostanie</w:t>
            </w:r>
          </w:p>
        </w:tc>
        <w:tc>
          <w:tcPr>
            <w:tcW w:w="3499" w:type="dxa"/>
          </w:tcPr>
          <w:p w14:paraId="670D5C6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&lt;1% i nie odnawiają się</w:t>
            </w:r>
          </w:p>
          <w:p w14:paraId="069F9BB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42668D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16 płatach)</w:t>
            </w:r>
          </w:p>
        </w:tc>
        <w:tc>
          <w:tcPr>
            <w:tcW w:w="3499" w:type="dxa"/>
          </w:tcPr>
          <w:p w14:paraId="4090EF6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133C059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67D27EFE" w14:textId="77777777" w:rsidTr="006C3A10">
        <w:tc>
          <w:tcPr>
            <w:tcW w:w="3498" w:type="dxa"/>
            <w:vMerge/>
          </w:tcPr>
          <w:p w14:paraId="6CFE275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D3736C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Martwe drewno (łączne zasoby)</w:t>
            </w:r>
          </w:p>
        </w:tc>
        <w:tc>
          <w:tcPr>
            <w:tcW w:w="3499" w:type="dxa"/>
          </w:tcPr>
          <w:p w14:paraId="7A3E3CE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&lt;10m</w:t>
            </w:r>
            <w:r w:rsidRPr="005E515C">
              <w:rPr>
                <w:rFonts w:ascii="Lato" w:hAnsi="Lato" w:cs="Times New Roman"/>
                <w:sz w:val="20"/>
                <w:szCs w:val="20"/>
                <w:vertAlign w:val="superscript"/>
              </w:rPr>
              <w:t>3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/ha</w:t>
            </w:r>
          </w:p>
          <w:p w14:paraId="40B3291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43BE94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</w:t>
            </w:r>
          </w:p>
        </w:tc>
        <w:tc>
          <w:tcPr>
            <w:tcW w:w="3499" w:type="dxa"/>
          </w:tcPr>
          <w:p w14:paraId="797098F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6FAA001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0FFE4F4C" w14:textId="77777777" w:rsidTr="006C3A10">
        <w:tc>
          <w:tcPr>
            <w:tcW w:w="3498" w:type="dxa"/>
            <w:vMerge/>
          </w:tcPr>
          <w:p w14:paraId="115ED43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E009BD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Martwe drewno wielkowymiarowe</w:t>
            </w:r>
          </w:p>
        </w:tc>
        <w:tc>
          <w:tcPr>
            <w:tcW w:w="3499" w:type="dxa"/>
          </w:tcPr>
          <w:p w14:paraId="78689BF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&lt;3 szt/ha</w:t>
            </w:r>
          </w:p>
          <w:p w14:paraId="603355F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2C76212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</w:t>
            </w:r>
          </w:p>
        </w:tc>
        <w:tc>
          <w:tcPr>
            <w:tcW w:w="3499" w:type="dxa"/>
          </w:tcPr>
          <w:p w14:paraId="4AE38E8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16DF4F9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5E3E19FA" w14:textId="77777777" w:rsidTr="006C3A10">
        <w:tc>
          <w:tcPr>
            <w:tcW w:w="3498" w:type="dxa"/>
            <w:vMerge/>
          </w:tcPr>
          <w:p w14:paraId="2A34C37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53C8B0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Wiek drzewostanu (udział starodrzewu) </w:t>
            </w:r>
          </w:p>
        </w:tc>
        <w:tc>
          <w:tcPr>
            <w:tcW w:w="3499" w:type="dxa"/>
          </w:tcPr>
          <w:p w14:paraId="3EAF0FC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&lt; 10% udziału drzew starszych niż 100lat i &lt;50% udziału drzew starszych niż 50lat</w:t>
            </w:r>
          </w:p>
          <w:p w14:paraId="5CFCCC2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69321C2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</w:t>
            </w:r>
          </w:p>
        </w:tc>
        <w:tc>
          <w:tcPr>
            <w:tcW w:w="3499" w:type="dxa"/>
          </w:tcPr>
          <w:p w14:paraId="4270339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657896C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3A172A2D" w14:textId="77777777" w:rsidTr="006C3A10">
        <w:tc>
          <w:tcPr>
            <w:tcW w:w="3498" w:type="dxa"/>
            <w:vMerge/>
          </w:tcPr>
          <w:p w14:paraId="0F776E0E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3C5C79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Naturalne odnowienie drzewostanu</w:t>
            </w:r>
          </w:p>
        </w:tc>
        <w:tc>
          <w:tcPr>
            <w:tcW w:w="3499" w:type="dxa"/>
          </w:tcPr>
          <w:p w14:paraId="0586775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Pojedyncze nie reagujące na luki lub też w lukach lecz z licznymi śladami zgryzania przez zwierzynę płową</w:t>
            </w:r>
          </w:p>
          <w:p w14:paraId="129C56B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12B665D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100% stanowisk siedliska w obszadzane (w 16 płatach)</w:t>
            </w:r>
          </w:p>
        </w:tc>
        <w:tc>
          <w:tcPr>
            <w:tcW w:w="3499" w:type="dxa"/>
          </w:tcPr>
          <w:p w14:paraId="7A6EDDD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0A42A74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440B6CD0" w14:textId="77777777" w:rsidTr="006C3A10">
        <w:tc>
          <w:tcPr>
            <w:tcW w:w="3498" w:type="dxa"/>
            <w:vMerge/>
          </w:tcPr>
          <w:p w14:paraId="25B9D7B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595596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Struktura pionowa i przestrzenna roślinności</w:t>
            </w:r>
          </w:p>
        </w:tc>
        <w:tc>
          <w:tcPr>
            <w:tcW w:w="3499" w:type="dxa"/>
          </w:tcPr>
          <w:p w14:paraId="2D92A62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Jednolity stary drzewostan lub struktura zróżnicowana ze zwartym starym drzewostanem zajmującym 10-50% powierzchni </w:t>
            </w:r>
          </w:p>
          <w:p w14:paraId="6DFDA7D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71CFCB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w obrębie 100% stanowisk siedliska w obszadzane (w 16 płatach)</w:t>
            </w:r>
          </w:p>
        </w:tc>
        <w:tc>
          <w:tcPr>
            <w:tcW w:w="3499" w:type="dxa"/>
          </w:tcPr>
          <w:p w14:paraId="6E1793A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1989519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4E8512E2" w14:textId="77777777" w:rsidTr="006C3A10">
        <w:tc>
          <w:tcPr>
            <w:tcW w:w="3498" w:type="dxa"/>
            <w:vMerge/>
          </w:tcPr>
          <w:p w14:paraId="055A3D6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71F384F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Inwazyjne gatunki obce w runie i podszycie</w:t>
            </w:r>
          </w:p>
        </w:tc>
        <w:tc>
          <w:tcPr>
            <w:tcW w:w="3499" w:type="dxa"/>
          </w:tcPr>
          <w:p w14:paraId="2640058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</w:t>
            </w:r>
          </w:p>
          <w:p w14:paraId="01215FD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78678E3A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Utrzymanie co najmniej obecnej oceny FV wskaźnika w obrębie 94% stanowisk siedliska w obszadzane (w 15 płatach)</w:t>
            </w:r>
          </w:p>
        </w:tc>
        <w:tc>
          <w:tcPr>
            <w:tcW w:w="3499" w:type="dxa"/>
          </w:tcPr>
          <w:p w14:paraId="37C84B5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Zgodnie z opisem metodyki dla siedliska 9170 (2012)</w:t>
            </w:r>
          </w:p>
          <w:p w14:paraId="19FE5EB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1F5537A6" w14:textId="77777777" w:rsidTr="006C3A10">
        <w:tc>
          <w:tcPr>
            <w:tcW w:w="3498" w:type="dxa"/>
            <w:vMerge/>
          </w:tcPr>
          <w:p w14:paraId="623257F8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065A63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Ekspansywne gatunki rodzime w runie</w:t>
            </w:r>
          </w:p>
        </w:tc>
        <w:tc>
          <w:tcPr>
            <w:tcW w:w="3499" w:type="dxa"/>
          </w:tcPr>
          <w:p w14:paraId="16A5DBF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Liczne (ponad 5% pokrycia w transektu)</w:t>
            </w:r>
          </w:p>
          <w:p w14:paraId="73F3E8E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6F3B71E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siedliska</w:t>
            </w:r>
          </w:p>
        </w:tc>
        <w:tc>
          <w:tcPr>
            <w:tcW w:w="3499" w:type="dxa"/>
          </w:tcPr>
          <w:p w14:paraId="568ED3A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405BD623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1E32D65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44E01" w:rsidRPr="005E515C" w14:paraId="715C0295" w14:textId="77777777" w:rsidTr="006C3A10">
        <w:tc>
          <w:tcPr>
            <w:tcW w:w="3498" w:type="dxa"/>
            <w:vMerge/>
          </w:tcPr>
          <w:p w14:paraId="23449AB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9EF6BC5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Inne zniekształcenia w tym zniszczenia runa i gleby związane z pozyskaniem drewna</w:t>
            </w:r>
          </w:p>
        </w:tc>
        <w:tc>
          <w:tcPr>
            <w:tcW w:w="3499" w:type="dxa"/>
          </w:tcPr>
          <w:p w14:paraId="1106148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Brak</w:t>
            </w:r>
          </w:p>
          <w:p w14:paraId="314E15BF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1BA51BA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100% stanowisk siedliska w obszadzane (w 16 płatach)</w:t>
            </w:r>
          </w:p>
        </w:tc>
        <w:tc>
          <w:tcPr>
            <w:tcW w:w="3499" w:type="dxa"/>
          </w:tcPr>
          <w:p w14:paraId="28229249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siedliska 9170 (2012)</w:t>
            </w:r>
          </w:p>
          <w:p w14:paraId="5152D25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8119F" w:rsidRPr="005E515C" w14:paraId="25307EB7" w14:textId="77777777" w:rsidTr="009D4519">
        <w:trPr>
          <w:trHeight w:val="5330"/>
        </w:trPr>
        <w:tc>
          <w:tcPr>
            <w:tcW w:w="3498" w:type="dxa"/>
          </w:tcPr>
          <w:p w14:paraId="71DC0A0F" w14:textId="77777777" w:rsidR="0098119F" w:rsidRPr="0098119F" w:rsidRDefault="0098119F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  <w:highlight w:val="yellow"/>
              </w:rPr>
            </w:pPr>
            <w:r w:rsidRPr="0098119F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1060</w:t>
            </w:r>
            <w:r w:rsidRPr="0098119F">
              <w:rPr>
                <w:rFonts w:ascii="Lato" w:hAnsi="Lato"/>
                <w:sz w:val="20"/>
                <w:szCs w:val="20"/>
              </w:rPr>
              <w:t xml:space="preserve"> - Czerwończyk nieparek </w:t>
            </w:r>
            <w:r w:rsidRPr="0098119F">
              <w:rPr>
                <w:rFonts w:ascii="Lato" w:hAnsi="Lato"/>
                <w:i/>
                <w:iCs/>
                <w:sz w:val="20"/>
                <w:szCs w:val="20"/>
              </w:rPr>
              <w:t>Lycaena dispar</w:t>
            </w:r>
          </w:p>
        </w:tc>
        <w:tc>
          <w:tcPr>
            <w:tcW w:w="3498" w:type="dxa"/>
          </w:tcPr>
          <w:p w14:paraId="3A583581" w14:textId="77777777" w:rsidR="0098119F" w:rsidRPr="005E515C" w:rsidRDefault="0098119F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  <w:p w14:paraId="217ACC13" w14:textId="2F79CDEF" w:rsidR="0098119F" w:rsidRPr="005E515C" w:rsidRDefault="0098119F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7B27B96B" w14:textId="77777777" w:rsidR="0098119F" w:rsidRPr="005E515C" w:rsidRDefault="0098119F" w:rsidP="0098119F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Obecność gatunku w &gt;80% stanowisk monitoringowych (kwadratów 5x5km)</w:t>
            </w:r>
          </w:p>
          <w:p w14:paraId="3E013D8D" w14:textId="77777777" w:rsidR="0098119F" w:rsidRPr="005E515C" w:rsidRDefault="0098119F" w:rsidP="0098119F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006699D2" w14:textId="50A31FDD" w:rsidR="0098119F" w:rsidRDefault="0098119F" w:rsidP="0098119F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FV wskaźnika w obrębie 92% stanowisk gatunków (na 13 stanowiskach)</w:t>
            </w:r>
          </w:p>
          <w:p w14:paraId="7EF3BAA8" w14:textId="63B7A032" w:rsidR="0098119F" w:rsidRPr="005E515C" w:rsidRDefault="0098119F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674CC35A" w14:textId="77777777" w:rsidR="0098119F" w:rsidRPr="005E515C" w:rsidRDefault="0098119F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7C4C4F1E" w14:textId="4B1515E9" w:rsidR="0098119F" w:rsidRDefault="0098119F" w:rsidP="0098119F">
            <w:pPr>
              <w:spacing w:before="100" w:beforeAutospacing="1" w:after="100" w:afterAutospacing="1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została uznana jako zadowalająca FV </w:t>
            </w:r>
            <w:r w:rsidRPr="0098119F">
              <w:rPr>
                <w:rFonts w:ascii="Lato" w:eastAsia="Times New Roman" w:hAnsi="Lato" w:cs="Times New Roman"/>
                <w:sz w:val="20"/>
                <w:szCs w:val="20"/>
              </w:rPr>
              <w:t>ze względu na znaczną liczbę stanowisk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, szerokie </w:t>
            </w:r>
            <w:r w:rsidRPr="0098119F">
              <w:rPr>
                <w:rFonts w:ascii="Lato" w:eastAsia="Times New Roman" w:hAnsi="Lato" w:cs="Times New Roman"/>
                <w:sz w:val="20"/>
                <w:szCs w:val="20"/>
              </w:rPr>
              <w:t xml:space="preserve">rozprzestrzenienie potencjalnych roślin żywicielskich i obecności 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gatunku </w:t>
            </w:r>
            <w:r w:rsidRPr="0098119F">
              <w:rPr>
                <w:rFonts w:ascii="Lato" w:eastAsia="Times New Roman" w:hAnsi="Lato" w:cs="Times New Roman"/>
                <w:sz w:val="20"/>
                <w:szCs w:val="20"/>
              </w:rPr>
              <w:t>w różnego typu środowiskach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>.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</w:p>
          <w:p w14:paraId="06EF4B82" w14:textId="7EEBEA51" w:rsidR="0098119F" w:rsidRPr="005E515C" w:rsidRDefault="0098119F" w:rsidP="0098119F">
            <w:pPr>
              <w:spacing w:before="100" w:beforeAutospacing="1" w:after="100" w:afterAutospacing="1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gatunku 1060</w:t>
            </w:r>
            <w:r w:rsidR="00AA0CF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czerwończyk nieparek (2015)</w:t>
            </w:r>
          </w:p>
        </w:tc>
      </w:tr>
      <w:tr w:rsidR="00DB506A" w:rsidRPr="005E515C" w14:paraId="26E0CBC7" w14:textId="77777777" w:rsidTr="006C3A10">
        <w:tc>
          <w:tcPr>
            <w:tcW w:w="3498" w:type="dxa"/>
            <w:vMerge w:val="restart"/>
          </w:tcPr>
          <w:p w14:paraId="5079E6B4" w14:textId="77777777" w:rsidR="00DB506A" w:rsidRPr="005E515C" w:rsidRDefault="00DB506A" w:rsidP="006C3A10">
            <w:pPr>
              <w:spacing w:before="100" w:beforeAutospacing="1" w:after="100" w:afterAutospacing="1"/>
              <w:contextualSpacing/>
              <w:rPr>
                <w:rFonts w:ascii="Lato" w:hAnsi="Lato"/>
                <w:b/>
                <w:bCs/>
                <w:sz w:val="20"/>
                <w:szCs w:val="20"/>
              </w:rPr>
            </w:pPr>
            <w:r w:rsidRPr="00AD2E4C">
              <w:rPr>
                <w:rFonts w:ascii="Lato" w:hAnsi="Lato"/>
                <w:b/>
                <w:bCs/>
                <w:sz w:val="20"/>
                <w:szCs w:val="20"/>
              </w:rPr>
              <w:t>1071</w:t>
            </w:r>
            <w:r w:rsidRPr="00AD2E4C">
              <w:rPr>
                <w:rFonts w:ascii="Lato" w:hAnsi="Lato"/>
                <w:sz w:val="20"/>
                <w:szCs w:val="20"/>
              </w:rPr>
              <w:t xml:space="preserve"> - Strzępotek edypus </w:t>
            </w:r>
            <w:r w:rsidRPr="00AD2E4C">
              <w:rPr>
                <w:rFonts w:ascii="Lato" w:hAnsi="Lato"/>
                <w:i/>
                <w:iCs/>
                <w:sz w:val="20"/>
                <w:szCs w:val="20"/>
              </w:rPr>
              <w:t>Coenonympha oedippus</w:t>
            </w:r>
          </w:p>
        </w:tc>
        <w:tc>
          <w:tcPr>
            <w:tcW w:w="3498" w:type="dxa"/>
          </w:tcPr>
          <w:p w14:paraId="6F947861" w14:textId="77777777" w:rsidR="00DB506A" w:rsidRPr="005E515C" w:rsidRDefault="00DB506A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</w:tc>
        <w:tc>
          <w:tcPr>
            <w:tcW w:w="3499" w:type="dxa"/>
          </w:tcPr>
          <w:p w14:paraId="2DDB1E25" w14:textId="293DA62F" w:rsidR="00DB506A" w:rsidRPr="005E515C" w:rsidRDefault="00496853" w:rsidP="005B0E46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Utrzymanie co najmniej obecnej oceny U2 wskaźnika w obrębie siedliska </w:t>
            </w:r>
          </w:p>
        </w:tc>
        <w:tc>
          <w:tcPr>
            <w:tcW w:w="3499" w:type="dxa"/>
          </w:tcPr>
          <w:p w14:paraId="4A20437D" w14:textId="77777777" w:rsidR="00DB506A" w:rsidRPr="005E515C" w:rsidRDefault="00DB506A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30E35B90" w14:textId="65A047E1" w:rsidR="00DB506A" w:rsidRPr="00AD2E4C" w:rsidRDefault="00DB506A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hAnsi="Lato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została uznana jako </w:t>
            </w:r>
            <w:r w:rsidR="00496853">
              <w:rPr>
                <w:rFonts w:ascii="Lato" w:eastAsia="Times New Roman" w:hAnsi="Lato" w:cs="Times New Roman"/>
                <w:sz w:val="20"/>
                <w:szCs w:val="20"/>
              </w:rPr>
              <w:t>zła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 U</w:t>
            </w:r>
            <w:r w:rsidR="00496853">
              <w:rPr>
                <w:rFonts w:ascii="Lato" w:eastAsia="Times New Roman" w:hAnsi="Lato" w:cs="Times New Roman"/>
                <w:sz w:val="20"/>
                <w:szCs w:val="20"/>
              </w:rPr>
              <w:t>2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 co jest efektem oceny stanu populacji (izolacja i niewielkie zagęszczenia imagines), siedliska (zarastanie przez drzewa i krzewy) oraz perspektyw ochrony. </w:t>
            </w:r>
            <w:r w:rsidRPr="00AD2E4C">
              <w:rPr>
                <w:rFonts w:ascii="Lato" w:hAnsi="Lato"/>
                <w:sz w:val="20"/>
                <w:szCs w:val="20"/>
              </w:rPr>
              <w:t>Gatunek potencjalnie narażony na odłów przez kolekcjonerów</w:t>
            </w:r>
          </w:p>
          <w:p w14:paraId="52C9E847" w14:textId="11528E74" w:rsidR="00DB506A" w:rsidRPr="005E515C" w:rsidRDefault="00DB506A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gatunku 1071 strzępotek edypus (2012)</w:t>
            </w:r>
          </w:p>
        </w:tc>
      </w:tr>
      <w:tr w:rsidR="00DB506A" w:rsidRPr="005E515C" w14:paraId="13735250" w14:textId="77777777" w:rsidTr="006C3A10">
        <w:tc>
          <w:tcPr>
            <w:tcW w:w="3498" w:type="dxa"/>
            <w:vMerge/>
          </w:tcPr>
          <w:p w14:paraId="18F65EEC" w14:textId="77777777" w:rsidR="00DB506A" w:rsidRPr="005E515C" w:rsidRDefault="00DB506A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3EA43E1B" w14:textId="77777777" w:rsidR="00DB506A" w:rsidRPr="005E515C" w:rsidRDefault="00DB506A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siedliska  </w:t>
            </w:r>
          </w:p>
        </w:tc>
        <w:tc>
          <w:tcPr>
            <w:tcW w:w="3499" w:type="dxa"/>
          </w:tcPr>
          <w:p w14:paraId="0CD85893" w14:textId="2FE426A7" w:rsidR="00DB506A" w:rsidRPr="005E515C" w:rsidRDefault="00DB506A" w:rsidP="000533B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kern w:val="36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Zachowanie jednego stanowiska gatunku w obszarze poprzez ekstensywne użytkowanie warunkujące </w:t>
            </w:r>
            <w:r w:rsidRPr="005E515C">
              <w:rPr>
                <w:rFonts w:ascii="Lato" w:hAnsi="Lato" w:cs="Times New Roman"/>
                <w:kern w:val="36"/>
                <w:sz w:val="20"/>
                <w:szCs w:val="20"/>
              </w:rPr>
              <w:t>utrzymanie aktualnej powierzchni przestrzeni otwartych.</w:t>
            </w:r>
          </w:p>
          <w:p w14:paraId="1825B1EB" w14:textId="77777777" w:rsidR="00DB506A" w:rsidRPr="005E515C" w:rsidRDefault="00DB506A" w:rsidP="000533B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  <w:p w14:paraId="3DEF5864" w14:textId="400B981C" w:rsidR="00DB506A" w:rsidRPr="005E515C" w:rsidRDefault="00DB506A" w:rsidP="000533B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U1 wskaźnika w obrębie stanowiska (powierzchnia siedliska </w:t>
            </w:r>
            <w:r w:rsidR="00E11C7D" w:rsidRPr="005E515C">
              <w:rPr>
                <w:rFonts w:ascii="Lato" w:hAnsi="Lato" w:cs="Times New Roman"/>
                <w:sz w:val="20"/>
                <w:szCs w:val="20"/>
              </w:rPr>
              <w:t>&gt;1ha</w:t>
            </w:r>
            <w:r w:rsidR="005D05DA" w:rsidRPr="005E515C">
              <w:rPr>
                <w:rFonts w:ascii="Lato" w:hAnsi="Lato" w:cs="Times New Roman"/>
                <w:sz w:val="20"/>
                <w:szCs w:val="20"/>
              </w:rPr>
              <w:t>;</w:t>
            </w:r>
            <w:r w:rsidR="00E11C7D" w:rsidRPr="005E515C">
              <w:rPr>
                <w:rFonts w:ascii="Lato" w:hAnsi="Lato" w:cs="Times New Roman"/>
                <w:sz w:val="20"/>
                <w:szCs w:val="20"/>
              </w:rPr>
              <w:t xml:space="preserve"> zarastanie ekspansywnymi bylinami &lt;25%</w:t>
            </w:r>
            <w:r w:rsidR="005D05DA" w:rsidRPr="005E515C">
              <w:rPr>
                <w:rFonts w:ascii="Lato" w:hAnsi="Lato" w:cs="Times New Roman"/>
                <w:sz w:val="20"/>
                <w:szCs w:val="20"/>
              </w:rPr>
              <w:t>;</w:t>
            </w:r>
            <w:r w:rsidR="00E11C7D" w:rsidRPr="005E515C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5D05DA" w:rsidRPr="005E515C">
              <w:rPr>
                <w:rFonts w:ascii="Lato" w:hAnsi="Lato" w:cs="Times New Roman"/>
                <w:sz w:val="20"/>
                <w:szCs w:val="20"/>
              </w:rPr>
              <w:t>zarastanie przez drzewa/krzewy mozaika płatów otwartych oraz zakrzewień stanowisko umiarkowanie zarośnięte (10-50%)</w:t>
            </w:r>
          </w:p>
        </w:tc>
        <w:tc>
          <w:tcPr>
            <w:tcW w:w="3499" w:type="dxa"/>
          </w:tcPr>
          <w:p w14:paraId="221ED237" w14:textId="249814CE" w:rsidR="00DB506A" w:rsidRPr="005E515C" w:rsidRDefault="00633EB6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Zgodnie z opisem metodyki dla gatunku 1071 strzępotek edypus (2012)</w:t>
            </w:r>
          </w:p>
        </w:tc>
      </w:tr>
      <w:tr w:rsidR="00B44E01" w:rsidRPr="005E515C" w14:paraId="75E4D5C7" w14:textId="77777777" w:rsidTr="006C3A10">
        <w:tc>
          <w:tcPr>
            <w:tcW w:w="3498" w:type="dxa"/>
            <w:vMerge w:val="restart"/>
          </w:tcPr>
          <w:p w14:paraId="4A2981B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AD2E4C">
              <w:rPr>
                <w:rFonts w:ascii="Lato" w:hAnsi="Lato"/>
                <w:sz w:val="20"/>
                <w:szCs w:val="20"/>
              </w:rPr>
              <w:t>1</w:t>
            </w:r>
            <w:r w:rsidRPr="00AD2E4C">
              <w:rPr>
                <w:rFonts w:ascii="Lato" w:hAnsi="Lato"/>
                <w:b/>
                <w:bCs/>
                <w:sz w:val="20"/>
                <w:szCs w:val="20"/>
              </w:rPr>
              <w:t>037</w:t>
            </w:r>
            <w:r w:rsidRPr="00AD2E4C">
              <w:rPr>
                <w:rFonts w:ascii="Lato" w:hAnsi="Lato"/>
                <w:sz w:val="20"/>
                <w:szCs w:val="20"/>
              </w:rPr>
              <w:t xml:space="preserve"> </w:t>
            </w:r>
            <w:r w:rsidRPr="00AD2E4C">
              <w:rPr>
                <w:rFonts w:ascii="Lato" w:hAnsi="Lato"/>
                <w:b/>
                <w:bCs/>
                <w:iCs/>
                <w:sz w:val="20"/>
                <w:szCs w:val="20"/>
              </w:rPr>
              <w:t>-</w:t>
            </w:r>
            <w:r w:rsidRPr="00AD2E4C">
              <w:rPr>
                <w:rFonts w:ascii="Lato" w:hAnsi="Lato"/>
                <w:sz w:val="20"/>
                <w:szCs w:val="20"/>
              </w:rPr>
              <w:t xml:space="preserve"> Trzepla zielona </w:t>
            </w:r>
            <w:r w:rsidRPr="00AD2E4C">
              <w:rPr>
                <w:rFonts w:ascii="Lato" w:hAnsi="Lato"/>
                <w:i/>
                <w:iCs/>
                <w:sz w:val="20"/>
                <w:szCs w:val="20"/>
              </w:rPr>
              <w:t>Ophiogomphus cecilia</w:t>
            </w:r>
          </w:p>
        </w:tc>
        <w:tc>
          <w:tcPr>
            <w:tcW w:w="3498" w:type="dxa"/>
          </w:tcPr>
          <w:p w14:paraId="3562C56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</w:tc>
        <w:tc>
          <w:tcPr>
            <w:tcW w:w="3499" w:type="dxa"/>
          </w:tcPr>
          <w:p w14:paraId="293B5ABB" w14:textId="73D3A067" w:rsidR="00B44E01" w:rsidRPr="005E515C" w:rsidRDefault="00633ECF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U2 wskaźnika w obrębie stanowiska  </w:t>
            </w:r>
          </w:p>
        </w:tc>
        <w:tc>
          <w:tcPr>
            <w:tcW w:w="3499" w:type="dxa"/>
          </w:tcPr>
          <w:p w14:paraId="651483C2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0F2B71A4" w14:textId="73ADAEDC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została uznana jako </w:t>
            </w:r>
            <w:r w:rsidR="00394D69">
              <w:rPr>
                <w:rFonts w:ascii="Lato" w:eastAsia="Times New Roman" w:hAnsi="Lato" w:cs="Times New Roman"/>
                <w:sz w:val="20"/>
                <w:szCs w:val="20"/>
              </w:rPr>
              <w:t>zła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 U</w:t>
            </w:r>
            <w:r w:rsidR="00394D69">
              <w:rPr>
                <w:rFonts w:ascii="Lato" w:eastAsia="Times New Roman" w:hAnsi="Lato" w:cs="Times New Roman"/>
                <w:sz w:val="20"/>
                <w:szCs w:val="20"/>
              </w:rPr>
              <w:t>2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 jest efektem głównie niskiej oceny parametru stan populacji (niskie oceny wskaźników: „liczebność” i „zagęszczenie”).</w:t>
            </w:r>
          </w:p>
          <w:p w14:paraId="5F0FA2C9" w14:textId="2513FAA7" w:rsidR="00792620" w:rsidRPr="005E515C" w:rsidRDefault="00792620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Zgodnie z opisem metodyki dla gatunku </w:t>
            </w:r>
            <w:r w:rsidRPr="006C739A">
              <w:rPr>
                <w:rFonts w:ascii="Lato" w:hAnsi="Lato"/>
                <w:sz w:val="20"/>
                <w:szCs w:val="20"/>
              </w:rPr>
              <w:t>1037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 </w:t>
            </w:r>
            <w:r w:rsidRPr="005E515C">
              <w:rPr>
                <w:rFonts w:ascii="Lato" w:hAnsi="Lato"/>
                <w:b/>
                <w:bCs/>
                <w:iCs/>
                <w:sz w:val="20"/>
                <w:szCs w:val="20"/>
              </w:rPr>
              <w:t>-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 trzepla zielona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(201</w:t>
            </w:r>
            <w:r w:rsidR="00F068B9" w:rsidRPr="005E515C">
              <w:rPr>
                <w:rFonts w:ascii="Lato" w:hAnsi="Lato" w:cs="Times New Roman"/>
                <w:sz w:val="20"/>
                <w:szCs w:val="20"/>
              </w:rPr>
              <w:t>0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)</w:t>
            </w:r>
          </w:p>
        </w:tc>
      </w:tr>
      <w:tr w:rsidR="00B44E01" w:rsidRPr="005E515C" w14:paraId="45753C3B" w14:textId="77777777" w:rsidTr="006C3A10">
        <w:tc>
          <w:tcPr>
            <w:tcW w:w="3498" w:type="dxa"/>
            <w:vMerge/>
          </w:tcPr>
          <w:p w14:paraId="66EA2E8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4108A96B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siedliska  </w:t>
            </w:r>
          </w:p>
        </w:tc>
        <w:tc>
          <w:tcPr>
            <w:tcW w:w="3499" w:type="dxa"/>
          </w:tcPr>
          <w:p w14:paraId="045851AE" w14:textId="4ED9E80B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obecnego stanu wskaźnika </w:t>
            </w:r>
            <w:r w:rsidR="0066092C" w:rsidRPr="005E515C">
              <w:rPr>
                <w:rFonts w:ascii="Lato" w:hAnsi="Lato" w:cs="Times New Roman"/>
                <w:sz w:val="20"/>
                <w:szCs w:val="20"/>
              </w:rPr>
              <w:t xml:space="preserve">FV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odnośnie siedliska </w:t>
            </w:r>
            <w:r w:rsidR="0066092C" w:rsidRPr="005E515C">
              <w:rPr>
                <w:rFonts w:ascii="Lato" w:hAnsi="Lato" w:cs="Times New Roman"/>
                <w:sz w:val="20"/>
                <w:szCs w:val="20"/>
              </w:rPr>
              <w:t xml:space="preserve">tj. siedlisko potencjalne 80-100%; </w:t>
            </w:r>
            <w:r w:rsidR="00792620" w:rsidRPr="005E515C">
              <w:rPr>
                <w:rFonts w:ascii="Lato" w:hAnsi="Lato" w:cs="Times New Roman"/>
                <w:sz w:val="20"/>
                <w:szCs w:val="20"/>
              </w:rPr>
              <w:t>siedlisko zasiedlone 80-100%; klasa czystości wody I-III, naturalność koryta I lub/i II</w:t>
            </w:r>
          </w:p>
        </w:tc>
        <w:tc>
          <w:tcPr>
            <w:tcW w:w="3499" w:type="dxa"/>
          </w:tcPr>
          <w:p w14:paraId="4B423197" w14:textId="13790AF3" w:rsidR="00B44E01" w:rsidRPr="005E515C" w:rsidRDefault="00792620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Zgodnie z opisem metodyki dla gatunku </w:t>
            </w:r>
            <w:r w:rsidRPr="006C739A">
              <w:rPr>
                <w:rFonts w:ascii="Lato" w:hAnsi="Lato"/>
                <w:sz w:val="20"/>
                <w:szCs w:val="20"/>
              </w:rPr>
              <w:t xml:space="preserve">1037 </w:t>
            </w:r>
            <w:r w:rsidRPr="005E515C">
              <w:rPr>
                <w:rFonts w:ascii="Lato" w:hAnsi="Lato"/>
                <w:b/>
                <w:bCs/>
                <w:iCs/>
                <w:sz w:val="20"/>
                <w:szCs w:val="20"/>
              </w:rPr>
              <w:t>-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 trzepla zielona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(201</w:t>
            </w:r>
            <w:r w:rsidR="00F068B9" w:rsidRPr="005E515C">
              <w:rPr>
                <w:rFonts w:ascii="Lato" w:hAnsi="Lato" w:cs="Times New Roman"/>
                <w:sz w:val="20"/>
                <w:szCs w:val="20"/>
              </w:rPr>
              <w:t>0)</w:t>
            </w:r>
          </w:p>
        </w:tc>
      </w:tr>
      <w:tr w:rsidR="00B44E01" w:rsidRPr="005E515C" w14:paraId="469AD0FF" w14:textId="77777777" w:rsidTr="006C3A10">
        <w:tc>
          <w:tcPr>
            <w:tcW w:w="3498" w:type="dxa"/>
            <w:vMerge w:val="restart"/>
          </w:tcPr>
          <w:p w14:paraId="3D947D20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/>
                <w:b/>
                <w:bCs/>
                <w:sz w:val="20"/>
                <w:szCs w:val="20"/>
              </w:rPr>
              <w:t xml:space="preserve">1042 </w:t>
            </w:r>
            <w:r w:rsidRPr="005E515C">
              <w:rPr>
                <w:rFonts w:ascii="Lato" w:hAnsi="Lato"/>
                <w:b/>
                <w:bCs/>
                <w:iCs/>
                <w:sz w:val="20"/>
                <w:szCs w:val="20"/>
              </w:rPr>
              <w:t xml:space="preserve">- 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Zalotka większa </w:t>
            </w:r>
            <w:r w:rsidRPr="005E515C">
              <w:rPr>
                <w:rFonts w:ascii="Lato" w:hAnsi="Lato"/>
                <w:i/>
                <w:iCs/>
                <w:sz w:val="20"/>
                <w:szCs w:val="20"/>
              </w:rPr>
              <w:t>Leucorrhinia pectoralis</w:t>
            </w:r>
          </w:p>
        </w:tc>
        <w:tc>
          <w:tcPr>
            <w:tcW w:w="3498" w:type="dxa"/>
          </w:tcPr>
          <w:p w14:paraId="0490F85D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  <w:highlight w:val="cyan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</w:tc>
        <w:tc>
          <w:tcPr>
            <w:tcW w:w="3499" w:type="dxa"/>
          </w:tcPr>
          <w:p w14:paraId="4894C30E" w14:textId="32D7FC3C" w:rsidR="00B44E01" w:rsidRPr="005E515C" w:rsidRDefault="0070548B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U2 wskaźnika w obrębie stanowiska  </w:t>
            </w:r>
          </w:p>
        </w:tc>
        <w:tc>
          <w:tcPr>
            <w:tcW w:w="3499" w:type="dxa"/>
          </w:tcPr>
          <w:p w14:paraId="0E0BBD91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770D4979" w14:textId="01A05097" w:rsidR="00B44E01" w:rsidRPr="005E515C" w:rsidRDefault="00B44E01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  <w:shd w:val="clear" w:color="auto" w:fill="FFFFFF"/>
              </w:rPr>
              <w:lastRenderedPageBreak/>
              <w:t>Ocena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 ogólna stanu zachowania gatunku uznaną została jako </w:t>
            </w:r>
            <w:r w:rsidR="00394D69">
              <w:rPr>
                <w:rFonts w:ascii="Lato" w:eastAsia="Times New Roman" w:hAnsi="Lato" w:cs="Times New Roman"/>
                <w:sz w:val="20"/>
                <w:szCs w:val="20"/>
              </w:rPr>
              <w:t xml:space="preserve">zła 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>U</w:t>
            </w:r>
            <w:r w:rsidR="00394D69">
              <w:rPr>
                <w:rFonts w:ascii="Lato" w:eastAsia="Times New Roman" w:hAnsi="Lato" w:cs="Times New Roman"/>
                <w:sz w:val="20"/>
                <w:szCs w:val="20"/>
              </w:rPr>
              <w:t>2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 jest efektem niskiej oceny parametru stan populacji i/albo stanu siedliska, a dodatkowo również perspektyw ochrony.</w:t>
            </w:r>
          </w:p>
          <w:p w14:paraId="7374101B" w14:textId="12A3D60D" w:rsidR="00835E82" w:rsidRPr="005E515C" w:rsidRDefault="00835E82" w:rsidP="006C3A10">
            <w:pPr>
              <w:spacing w:before="100" w:beforeAutospacing="1" w:after="100" w:afterAutospacing="1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Zgodnie z opisem metodyki dla gatunku </w:t>
            </w:r>
            <w:r w:rsidRPr="006C739A">
              <w:rPr>
                <w:rFonts w:ascii="Lato" w:hAnsi="Lato"/>
                <w:sz w:val="20"/>
                <w:szCs w:val="20"/>
              </w:rPr>
              <w:t xml:space="preserve">1042 </w:t>
            </w:r>
            <w:r w:rsidRPr="005E515C">
              <w:rPr>
                <w:rFonts w:ascii="Lato" w:hAnsi="Lato"/>
                <w:b/>
                <w:bCs/>
                <w:iCs/>
                <w:sz w:val="20"/>
                <w:szCs w:val="20"/>
              </w:rPr>
              <w:t xml:space="preserve">- 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Zalotka większa </w:t>
            </w:r>
            <w:r w:rsidR="006A113B" w:rsidRPr="005E515C">
              <w:rPr>
                <w:rFonts w:ascii="Lato" w:hAnsi="Lato"/>
                <w:sz w:val="20"/>
                <w:szCs w:val="20"/>
              </w:rPr>
              <w:t>(2012)</w:t>
            </w:r>
          </w:p>
        </w:tc>
      </w:tr>
      <w:tr w:rsidR="00B44E01" w:rsidRPr="005E515C" w14:paraId="2EA04C68" w14:textId="77777777" w:rsidTr="006C3A10">
        <w:tc>
          <w:tcPr>
            <w:tcW w:w="3498" w:type="dxa"/>
            <w:vMerge/>
          </w:tcPr>
          <w:p w14:paraId="3C50A3C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14:paraId="7CA7B44C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  <w:highlight w:val="cyan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siedliska  </w:t>
            </w:r>
          </w:p>
        </w:tc>
        <w:tc>
          <w:tcPr>
            <w:tcW w:w="3499" w:type="dxa"/>
          </w:tcPr>
          <w:p w14:paraId="48BCD1DA" w14:textId="2399C361" w:rsidR="00B44E01" w:rsidRPr="005E515C" w:rsidRDefault="00D93A01" w:rsidP="00394D69">
            <w:pPr>
              <w:autoSpaceDE w:val="0"/>
              <w:autoSpaceDN w:val="0"/>
              <w:adjustRightInd w:val="0"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obecnego stanu wskaźnika FV odnośnie siedliska tj. występowanie odpowiednich gatunków roślin ≥2gatunki; udział roślinności dogodnej dla gatunku</w:t>
            </w:r>
            <w:r w:rsidR="00835E82" w:rsidRPr="005E515C">
              <w:rPr>
                <w:rFonts w:ascii="Lato" w:hAnsi="Lato" w:cs="Times New Roman"/>
                <w:sz w:val="20"/>
                <w:szCs w:val="20"/>
              </w:rPr>
              <w:t xml:space="preserve">; 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 xml:space="preserve">Siedlisko dogodne dla gatunku 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≥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75% d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ł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ugo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ś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ci (lub powierzchni) ro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ś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linno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ś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ci przybrze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ż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 xml:space="preserve">nej lub 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≥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50% ca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ł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ej powierzchni zbiornika (je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ż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eli jest on ca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ł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y lub w du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ż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ym stopniu poro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ś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ni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ę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ty ro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ś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linno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ś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ci</w:t>
            </w:r>
            <w:r w:rsidR="00835E82" w:rsidRPr="00394D69">
              <w:rPr>
                <w:rFonts w:ascii="Lato" w:eastAsia="Calibri+1" w:hAnsi="Lato" w:cs="Calibri+1"/>
                <w:color w:val="292526"/>
                <w:sz w:val="20"/>
                <w:szCs w:val="20"/>
              </w:rPr>
              <w:t>ą</w:t>
            </w:r>
            <w:r w:rsidR="00835E82" w:rsidRPr="00394D69">
              <w:rPr>
                <w:rFonts w:ascii="Lato" w:hAnsi="Lato" w:cs="Calibri"/>
                <w:color w:val="292526"/>
                <w:sz w:val="20"/>
                <w:szCs w:val="20"/>
              </w:rPr>
              <w:t>); jakość otoczenia 9antropopresja) I.</w:t>
            </w:r>
          </w:p>
        </w:tc>
        <w:tc>
          <w:tcPr>
            <w:tcW w:w="3499" w:type="dxa"/>
          </w:tcPr>
          <w:p w14:paraId="0ECB76FC" w14:textId="7EE368FC" w:rsidR="00B44E01" w:rsidRPr="005E515C" w:rsidRDefault="00835E82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Zgodnie z opisem metodyki dla gatunku </w:t>
            </w:r>
            <w:r w:rsidRPr="006C739A">
              <w:rPr>
                <w:rFonts w:ascii="Lato" w:hAnsi="Lato"/>
                <w:sz w:val="20"/>
                <w:szCs w:val="20"/>
              </w:rPr>
              <w:t xml:space="preserve">1042 </w:t>
            </w:r>
            <w:r w:rsidRPr="005E515C">
              <w:rPr>
                <w:rFonts w:ascii="Lato" w:hAnsi="Lato"/>
                <w:b/>
                <w:bCs/>
                <w:iCs/>
                <w:sz w:val="20"/>
                <w:szCs w:val="20"/>
              </w:rPr>
              <w:t xml:space="preserve">- 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Zalotka większa </w:t>
            </w:r>
            <w:r w:rsidR="006A113B" w:rsidRPr="005E515C">
              <w:rPr>
                <w:rFonts w:ascii="Lato" w:hAnsi="Lato"/>
                <w:sz w:val="20"/>
                <w:szCs w:val="20"/>
              </w:rPr>
              <w:t>(2012)</w:t>
            </w:r>
          </w:p>
        </w:tc>
      </w:tr>
      <w:tr w:rsidR="00465F89" w:rsidRPr="005E515C" w14:paraId="4E34DE23" w14:textId="77777777" w:rsidTr="00251C65">
        <w:trPr>
          <w:trHeight w:val="1220"/>
        </w:trPr>
        <w:tc>
          <w:tcPr>
            <w:tcW w:w="3498" w:type="dxa"/>
            <w:vMerge w:val="restart"/>
          </w:tcPr>
          <w:p w14:paraId="56A007B9" w14:textId="77777777" w:rsidR="00465F89" w:rsidRPr="00B55C72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  <w:lang w:val="en-GB"/>
              </w:rPr>
            </w:pPr>
            <w:r w:rsidRPr="00B55C72">
              <w:rPr>
                <w:rFonts w:ascii="Lato" w:hAnsi="Lato" w:cs="Times New Roman"/>
                <w:sz w:val="20"/>
                <w:szCs w:val="20"/>
                <w:lang w:val="en-GB"/>
              </w:rPr>
              <w:t xml:space="preserve">1130 </w:t>
            </w:r>
            <w:r w:rsidRPr="00B55C72">
              <w:rPr>
                <w:rFonts w:ascii="Lato" w:hAnsi="Lato" w:cs="Times New Roman"/>
                <w:sz w:val="20"/>
                <w:szCs w:val="20"/>
              </w:rPr>
              <w:t xml:space="preserve">Boleń </w:t>
            </w:r>
            <w:r w:rsidRPr="00B55C72">
              <w:rPr>
                <w:rFonts w:ascii="Lato" w:hAnsi="Lato" w:cs="Times New Roman"/>
                <w:i/>
                <w:iCs/>
                <w:sz w:val="20"/>
                <w:szCs w:val="20"/>
              </w:rPr>
              <w:t>Aspius aspius</w:t>
            </w:r>
          </w:p>
        </w:tc>
        <w:tc>
          <w:tcPr>
            <w:tcW w:w="3498" w:type="dxa"/>
            <w:vAlign w:val="center"/>
          </w:tcPr>
          <w:p w14:paraId="62658D66" w14:textId="1EE68574" w:rsidR="00465F89" w:rsidRPr="005E515C" w:rsidRDefault="00465F89" w:rsidP="0043364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Stan populacji</w:t>
            </w:r>
          </w:p>
        </w:tc>
        <w:tc>
          <w:tcPr>
            <w:tcW w:w="3499" w:type="dxa"/>
          </w:tcPr>
          <w:p w14:paraId="285BE425" w14:textId="77777777" w:rsidR="00465F89" w:rsidRPr="005E515C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U2 wskaźnika w obrębie populacji</w:t>
            </w:r>
          </w:p>
        </w:tc>
        <w:tc>
          <w:tcPr>
            <w:tcW w:w="3499" w:type="dxa"/>
            <w:vMerge w:val="restart"/>
          </w:tcPr>
          <w:p w14:paraId="684C329C" w14:textId="77777777" w:rsidR="00465F89" w:rsidRPr="005E515C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4E3E7C56" w14:textId="0A5D9EC6" w:rsidR="00465F89" w:rsidRPr="005E515C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została uznana jako zła U2. Wynika ona z oceny stanu populacji (izolacja poprzez jaz Rzędziany, bardzo rzadkie występowanie), siedliska (nieliczne fragmenty rzeki o żwirowo kamienistym dnie) oraz perspektyw ochrony. Występowanie gatunku zarejestrowano tylko w okolicach Kurowa na 3 stanowiskach w badaniach prowadzonych w latach 2004-2005. 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Poprawa stanu ochrony </w:t>
            </w:r>
            <w:r w:rsidRPr="005E515C">
              <w:rPr>
                <w:rFonts w:ascii="Lato" w:hAnsi="Lato"/>
                <w:sz w:val="20"/>
                <w:szCs w:val="20"/>
              </w:rPr>
              <w:lastRenderedPageBreak/>
              <w:t>gatunku poprzez wspieranie gatunku drogą zarybiania i zwiększonej ochrony.</w:t>
            </w:r>
          </w:p>
        </w:tc>
      </w:tr>
      <w:tr w:rsidR="00465F89" w:rsidRPr="005E515C" w14:paraId="6AB58BAF" w14:textId="77777777" w:rsidTr="006C3A10">
        <w:tc>
          <w:tcPr>
            <w:tcW w:w="3498" w:type="dxa"/>
            <w:vMerge/>
          </w:tcPr>
          <w:p w14:paraId="600EEE72" w14:textId="77777777" w:rsidR="00465F89" w:rsidRPr="005E515C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7DE7A62" w14:textId="77777777" w:rsidR="00465F89" w:rsidRPr="005E515C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Stan siedliska</w:t>
            </w:r>
          </w:p>
        </w:tc>
        <w:tc>
          <w:tcPr>
            <w:tcW w:w="3499" w:type="dxa"/>
          </w:tcPr>
          <w:p w14:paraId="4F435720" w14:textId="77777777" w:rsidR="00465F89" w:rsidRPr="005E515C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U1 wskaźnika odnośnie siedliska tj. właściwego stanu ekologicznego wód </w:t>
            </w:r>
          </w:p>
        </w:tc>
        <w:tc>
          <w:tcPr>
            <w:tcW w:w="3499" w:type="dxa"/>
            <w:vMerge/>
          </w:tcPr>
          <w:p w14:paraId="65723DB1" w14:textId="77777777" w:rsidR="00465F89" w:rsidRPr="005E515C" w:rsidRDefault="00465F89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13336D" w:rsidRPr="005E515C" w14:paraId="53C998D4" w14:textId="77777777" w:rsidTr="001A1801">
        <w:trPr>
          <w:trHeight w:val="1940"/>
        </w:trPr>
        <w:tc>
          <w:tcPr>
            <w:tcW w:w="3498" w:type="dxa"/>
            <w:vMerge w:val="restart"/>
          </w:tcPr>
          <w:p w14:paraId="51BCB75A" w14:textId="77777777" w:rsidR="0013336D" w:rsidRPr="005E515C" w:rsidRDefault="0013336D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  <w:lang w:val="en-GB"/>
              </w:rPr>
            </w:pPr>
            <w:r w:rsidRPr="005E515C">
              <w:rPr>
                <w:rFonts w:ascii="Lato" w:hAnsi="Lato" w:cs="Times New Roman"/>
                <w:sz w:val="20"/>
                <w:szCs w:val="20"/>
                <w:lang w:val="en-GB"/>
              </w:rPr>
              <w:t>5339 Różanka</w:t>
            </w:r>
          </w:p>
          <w:p w14:paraId="4FD2DE6C" w14:textId="77777777" w:rsidR="0013336D" w:rsidRPr="005E515C" w:rsidRDefault="0013336D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  <w:lang w:val="en-GB"/>
              </w:rPr>
            </w:pPr>
            <w:r w:rsidRPr="005E515C">
              <w:rPr>
                <w:rFonts w:ascii="Lato" w:eastAsia="Times New Roman" w:hAnsi="Lato" w:cs="Times New Roman"/>
                <w:bCs/>
                <w:i/>
                <w:sz w:val="20"/>
                <w:szCs w:val="20"/>
              </w:rPr>
              <w:t>Rhodeus sericeus</w:t>
            </w:r>
            <w:r w:rsidRPr="005E515C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</w:t>
            </w:r>
            <w:r w:rsidRPr="005E515C">
              <w:rPr>
                <w:rFonts w:ascii="Lato" w:eastAsia="Times New Roman" w:hAnsi="Lato" w:cs="Times New Roman"/>
                <w:bCs/>
                <w:i/>
                <w:iCs/>
                <w:sz w:val="20"/>
                <w:szCs w:val="20"/>
              </w:rPr>
              <w:t>amarus</w:t>
            </w:r>
          </w:p>
        </w:tc>
        <w:tc>
          <w:tcPr>
            <w:tcW w:w="3498" w:type="dxa"/>
            <w:vAlign w:val="center"/>
          </w:tcPr>
          <w:p w14:paraId="67ABB032" w14:textId="4A4A68D0" w:rsidR="0013336D" w:rsidRPr="005E515C" w:rsidRDefault="0013336D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  <w:p w14:paraId="40935BA2" w14:textId="77777777" w:rsidR="0013336D" w:rsidRPr="005E515C" w:rsidRDefault="0013336D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6E3B80D1" w14:textId="4DB5367E" w:rsidR="0013336D" w:rsidRPr="005E515C" w:rsidRDefault="0013336D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</w:t>
            </w:r>
            <w:r>
              <w:rPr>
                <w:rFonts w:ascii="Lato" w:hAnsi="Lato" w:cs="Times New Roman"/>
                <w:sz w:val="20"/>
                <w:szCs w:val="20"/>
              </w:rPr>
              <w:t>U1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wskaźnika w obrębie populacji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tj względna liczebność 0,005-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0,01</w:t>
            </w:r>
            <w:r>
              <w:rPr>
                <w:rFonts w:ascii="Lato" w:hAnsi="Lato" w:cs="Times New Roman"/>
                <w:sz w:val="20"/>
                <w:szCs w:val="20"/>
              </w:rPr>
              <w:t>; s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truktura wiekowa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5-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25%</w:t>
            </w:r>
            <w:r>
              <w:rPr>
                <w:rFonts w:ascii="Lato" w:hAnsi="Lato" w:cs="Times New Roman"/>
                <w:sz w:val="20"/>
                <w:szCs w:val="20"/>
              </w:rPr>
              <w:t>; u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dział gatunku w zespole ryb i minogów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-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0,5-20%</w:t>
            </w:r>
          </w:p>
        </w:tc>
        <w:tc>
          <w:tcPr>
            <w:tcW w:w="3499" w:type="dxa"/>
            <w:vMerge w:val="restart"/>
          </w:tcPr>
          <w:p w14:paraId="7BC9C90F" w14:textId="77777777" w:rsidR="0013336D" w:rsidRPr="005E515C" w:rsidRDefault="0013336D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07333D76" w14:textId="3D003C37" w:rsidR="0013336D" w:rsidRPr="005E515C" w:rsidRDefault="0013336D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została uznana jako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niezadowalająca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 U1. Wynika ona z oceny stanu populacji występowanie gatunku zarejestrowano na 9 stanowiskach w badaniach prowadzonych w latach 2004-2005. </w:t>
            </w:r>
            <w:r w:rsidRPr="005E515C">
              <w:rPr>
                <w:rFonts w:ascii="Lato" w:hAnsi="Lato"/>
                <w:sz w:val="20"/>
                <w:szCs w:val="20"/>
              </w:rPr>
              <w:t xml:space="preserve">Poprawa stanu ochrony gatunku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zależna od stanu populacji małży z rodziny skójkowatych.</w:t>
            </w:r>
            <w:r w:rsidRPr="005E515C">
              <w:rPr>
                <w:rFonts w:ascii="Lato" w:hAnsi="Lato"/>
                <w:sz w:val="20"/>
                <w:szCs w:val="20"/>
              </w:rPr>
              <w:t>).</w:t>
            </w:r>
          </w:p>
        </w:tc>
      </w:tr>
      <w:tr w:rsidR="00B44E01" w:rsidRPr="005E515C" w14:paraId="54872657" w14:textId="77777777" w:rsidTr="006C3A10">
        <w:tc>
          <w:tcPr>
            <w:tcW w:w="3498" w:type="dxa"/>
            <w:vMerge/>
          </w:tcPr>
          <w:p w14:paraId="76F4AD5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23AAAF56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siedliska </w:t>
            </w:r>
          </w:p>
        </w:tc>
        <w:tc>
          <w:tcPr>
            <w:tcW w:w="3499" w:type="dxa"/>
          </w:tcPr>
          <w:p w14:paraId="661529B7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odnośnie siedliska tj. właściwego stanu ekologicznego wód</w:t>
            </w:r>
          </w:p>
        </w:tc>
        <w:tc>
          <w:tcPr>
            <w:tcW w:w="3499" w:type="dxa"/>
            <w:vMerge/>
          </w:tcPr>
          <w:p w14:paraId="54EE4984" w14:textId="77777777" w:rsidR="00B44E01" w:rsidRPr="005E515C" w:rsidRDefault="00B44E01" w:rsidP="006C3A10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61ACD" w:rsidRPr="005E515C" w14:paraId="5897DA50" w14:textId="77777777" w:rsidTr="00461ACD">
        <w:trPr>
          <w:trHeight w:val="2099"/>
        </w:trPr>
        <w:tc>
          <w:tcPr>
            <w:tcW w:w="3498" w:type="dxa"/>
            <w:vMerge w:val="restart"/>
          </w:tcPr>
          <w:p w14:paraId="5FD6CC31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1145 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- Piskorz </w:t>
            </w:r>
            <w:r w:rsidRPr="005E515C">
              <w:rPr>
                <w:rFonts w:ascii="Lato" w:eastAsia="Times New Roman" w:hAnsi="Lato" w:cs="Times New Roman"/>
                <w:i/>
                <w:iCs/>
                <w:sz w:val="20"/>
                <w:szCs w:val="20"/>
              </w:rPr>
              <w:t>Misgurnus fossilis</w:t>
            </w:r>
          </w:p>
        </w:tc>
        <w:tc>
          <w:tcPr>
            <w:tcW w:w="3498" w:type="dxa"/>
            <w:vAlign w:val="center"/>
          </w:tcPr>
          <w:p w14:paraId="4A30F249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  <w:p w14:paraId="7CA6B458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45882104" w14:textId="1D85C7D9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U1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wskaźnika w obrębie populacji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tj  w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zględna liczebność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- 0,005-0,01; s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truktura wiekowa</w:t>
            </w:r>
            <w:r w:rsidRPr="005E515C">
              <w:rPr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sz w:val="20"/>
                <w:szCs w:val="20"/>
              </w:rPr>
              <w:t xml:space="preserve">- </w:t>
            </w:r>
            <w:r w:rsidRPr="005E515C">
              <w:rPr>
                <w:rFonts w:ascii="Lato" w:hAnsi="Lato" w:cs="Arial"/>
                <w:sz w:val="20"/>
                <w:szCs w:val="20"/>
              </w:rPr>
              <w:t>Brak przynajmniej jednej kategorii lub YOY+JUV=10-50%</w:t>
            </w:r>
            <w:r>
              <w:rPr>
                <w:rFonts w:ascii="Lato" w:hAnsi="Lato" w:cs="Arial"/>
                <w:sz w:val="20"/>
                <w:szCs w:val="20"/>
              </w:rPr>
              <w:t>, u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dział gatunku w zespole ryb i minogów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– 1-3%</w:t>
            </w:r>
          </w:p>
        </w:tc>
        <w:tc>
          <w:tcPr>
            <w:tcW w:w="3499" w:type="dxa"/>
            <w:vMerge w:val="restart"/>
          </w:tcPr>
          <w:p w14:paraId="12675D6A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22775F83" w14:textId="0E041FBC" w:rsidR="00461ACD" w:rsidRPr="005E515C" w:rsidRDefault="00461ACD" w:rsidP="00461ACD">
            <w:pPr>
              <w:spacing w:before="100" w:beforeAutospacing="1" w:after="100" w:afterAutospacing="1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została uznana jako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niezadowalająca U1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. Wynika ona z oceny stanu populacji piskorza, którego obecność stwierdzono na 20 stanowiskach spośród przebadanych 26 stanowisk. </w:t>
            </w:r>
          </w:p>
        </w:tc>
      </w:tr>
      <w:tr w:rsidR="00461ACD" w:rsidRPr="005E515C" w14:paraId="09D83E0F" w14:textId="77777777" w:rsidTr="006C3A10">
        <w:tc>
          <w:tcPr>
            <w:tcW w:w="3498" w:type="dxa"/>
            <w:vMerge/>
          </w:tcPr>
          <w:p w14:paraId="255EC869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03B36CA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Stan siedliska</w:t>
            </w:r>
          </w:p>
        </w:tc>
        <w:tc>
          <w:tcPr>
            <w:tcW w:w="3499" w:type="dxa"/>
          </w:tcPr>
          <w:p w14:paraId="3AB1CAA2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U1 wskaźnika odnośnie siedliska tj. właściwego stanu ekologicznego wód</w:t>
            </w:r>
          </w:p>
        </w:tc>
        <w:tc>
          <w:tcPr>
            <w:tcW w:w="3499" w:type="dxa"/>
            <w:vMerge/>
          </w:tcPr>
          <w:p w14:paraId="51B78E3B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85328D" w:rsidRPr="005E515C" w14:paraId="46F17361" w14:textId="77777777" w:rsidTr="00B70A49">
        <w:trPr>
          <w:trHeight w:val="1220"/>
        </w:trPr>
        <w:tc>
          <w:tcPr>
            <w:tcW w:w="3498" w:type="dxa"/>
            <w:vMerge w:val="restart"/>
          </w:tcPr>
          <w:p w14:paraId="47D18A02" w14:textId="77777777" w:rsidR="0085328D" w:rsidRPr="005E515C" w:rsidRDefault="0085328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1149 Koza </w:t>
            </w:r>
            <w:r w:rsidRPr="005E515C">
              <w:rPr>
                <w:rFonts w:ascii="Lato" w:hAnsi="Lato" w:cs="Times New Roman"/>
                <w:i/>
                <w:iCs/>
                <w:sz w:val="20"/>
                <w:szCs w:val="20"/>
                <w:shd w:val="clear" w:color="auto" w:fill="FFFFFF"/>
              </w:rPr>
              <w:t>Cobitis taenia</w:t>
            </w:r>
          </w:p>
        </w:tc>
        <w:tc>
          <w:tcPr>
            <w:tcW w:w="3498" w:type="dxa"/>
            <w:vAlign w:val="center"/>
          </w:tcPr>
          <w:p w14:paraId="6F874729" w14:textId="77777777" w:rsidR="0085328D" w:rsidRPr="005E515C" w:rsidRDefault="0085328D" w:rsidP="0085328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  <w:p w14:paraId="701CC706" w14:textId="77777777" w:rsidR="0085328D" w:rsidRPr="005E515C" w:rsidRDefault="0085328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08408B16" w14:textId="30F8F5C4" w:rsidR="0085328D" w:rsidRPr="005E515C" w:rsidRDefault="0085328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obecnej oceny U</w:t>
            </w:r>
            <w:r>
              <w:rPr>
                <w:rFonts w:ascii="Lato" w:hAnsi="Lato" w:cs="Times New Roman"/>
                <w:sz w:val="20"/>
                <w:szCs w:val="20"/>
              </w:rPr>
              <w:t>2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wskaźnika w obrębie populacji</w:t>
            </w:r>
          </w:p>
        </w:tc>
        <w:tc>
          <w:tcPr>
            <w:tcW w:w="3499" w:type="dxa"/>
            <w:vMerge w:val="restart"/>
          </w:tcPr>
          <w:p w14:paraId="2F248A9C" w14:textId="77777777" w:rsidR="0085328D" w:rsidRPr="005E515C" w:rsidRDefault="0085328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27E63E51" w14:textId="77777777" w:rsidR="0085328D" w:rsidRPr="005E515C" w:rsidRDefault="0085328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w SOO Narwiańskie Bagna została uznana jako zły – U2. Wynika ona z oceny stanu populacji kozy, której obecność stwierdzono na 3 </w:t>
            </w: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lastRenderedPageBreak/>
              <w:t>stanowiskach spośród przebadanych 26 stanowisk.</w:t>
            </w:r>
          </w:p>
        </w:tc>
      </w:tr>
      <w:tr w:rsidR="00461ACD" w:rsidRPr="005E515C" w14:paraId="1BA37D9B" w14:textId="77777777" w:rsidTr="006C3A10">
        <w:tc>
          <w:tcPr>
            <w:tcW w:w="3498" w:type="dxa"/>
            <w:vMerge/>
          </w:tcPr>
          <w:p w14:paraId="51068C12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033865D6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Stan siedliska</w:t>
            </w:r>
          </w:p>
        </w:tc>
        <w:tc>
          <w:tcPr>
            <w:tcW w:w="3499" w:type="dxa"/>
          </w:tcPr>
          <w:p w14:paraId="25A7674F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obecnej oceny U1 wskaźnika odnośnie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siedliska tj. właściwego stanu ekologicznego wód</w:t>
            </w:r>
          </w:p>
        </w:tc>
        <w:tc>
          <w:tcPr>
            <w:tcW w:w="3499" w:type="dxa"/>
            <w:vMerge/>
          </w:tcPr>
          <w:p w14:paraId="22330DC2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536AD" w:rsidRPr="005E515C" w14:paraId="51C92E71" w14:textId="77777777" w:rsidTr="00AD2E4C">
        <w:trPr>
          <w:trHeight w:val="3955"/>
        </w:trPr>
        <w:tc>
          <w:tcPr>
            <w:tcW w:w="3498" w:type="dxa"/>
          </w:tcPr>
          <w:p w14:paraId="6A166AA3" w14:textId="77777777" w:rsidR="000536AD" w:rsidRPr="00B55C72" w:rsidRDefault="000536A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  <w:r w:rsidRPr="00B55C72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1166 Traszka grzebieniasta</w:t>
            </w:r>
          </w:p>
          <w:p w14:paraId="7905EC6B" w14:textId="77777777" w:rsidR="000536AD" w:rsidRPr="00B55C72" w:rsidRDefault="000536A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/>
                <w:iCs/>
                <w:sz w:val="20"/>
                <w:szCs w:val="20"/>
              </w:rPr>
            </w:pPr>
            <w:r w:rsidRPr="00B55C72">
              <w:rPr>
                <w:rFonts w:ascii="Lato" w:eastAsia="Calibri" w:hAnsi="Lato" w:cs="Times New Roman"/>
                <w:bCs/>
                <w:i/>
                <w:iCs/>
                <w:sz w:val="20"/>
                <w:szCs w:val="20"/>
              </w:rPr>
              <w:t>Triturus cruistatus</w:t>
            </w:r>
          </w:p>
          <w:p w14:paraId="734BB2B7" w14:textId="77777777" w:rsidR="000536AD" w:rsidRPr="00B55C72" w:rsidRDefault="000536A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</w:p>
          <w:p w14:paraId="3A13FB69" w14:textId="77777777" w:rsidR="000536AD" w:rsidRPr="00B55C72" w:rsidRDefault="000536A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2BA0B866" w14:textId="7586BAC3" w:rsidR="000536AD" w:rsidRPr="005E515C" w:rsidRDefault="000536A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Parametry siedliska </w:t>
            </w:r>
          </w:p>
        </w:tc>
        <w:tc>
          <w:tcPr>
            <w:tcW w:w="3499" w:type="dxa"/>
          </w:tcPr>
          <w:p w14:paraId="4FCEDEF2" w14:textId="73F5FC80" w:rsidR="000536AD" w:rsidRPr="005E515C" w:rsidRDefault="000536AD" w:rsidP="00461ACD">
            <w:pPr>
              <w:autoSpaceDE w:val="0"/>
              <w:autoSpaceDN w:val="0"/>
              <w:adjustRightInd w:val="0"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obecnego stanu wskaźnika FV odnośnie siedliska tj.</w:t>
            </w:r>
            <w:r w:rsidRPr="00461ACD">
              <w:rPr>
                <w:rFonts w:ascii="Lato" w:hAnsi="Lato" w:cs="Ottawa"/>
                <w:sz w:val="20"/>
                <w:szCs w:val="20"/>
              </w:rPr>
              <w:t xml:space="preserve"> Region geograficzny A; Powierzchnia zbiornika (m</w:t>
            </w:r>
            <w:r w:rsidRPr="00461ACD">
              <w:rPr>
                <w:rFonts w:ascii="Lato" w:hAnsi="Lato" w:cs="Ottawa"/>
                <w:sz w:val="20"/>
                <w:szCs w:val="20"/>
                <w:vertAlign w:val="superscript"/>
              </w:rPr>
              <w:t>2</w:t>
            </w:r>
            <w:r w:rsidRPr="00461ACD">
              <w:rPr>
                <w:rFonts w:ascii="Lato" w:hAnsi="Lato" w:cs="Ottawa"/>
                <w:sz w:val="20"/>
                <w:szCs w:val="20"/>
              </w:rPr>
              <w:t>) 400-2000m</w:t>
            </w:r>
            <w:r w:rsidRPr="00461ACD">
              <w:rPr>
                <w:rFonts w:ascii="Lato" w:hAnsi="Lato" w:cs="Ottawa"/>
                <w:sz w:val="20"/>
                <w:szCs w:val="20"/>
                <w:vertAlign w:val="superscript"/>
              </w:rPr>
              <w:t>2</w:t>
            </w:r>
            <w:r w:rsidRPr="00461ACD">
              <w:rPr>
                <w:rFonts w:ascii="Lato" w:hAnsi="Lato" w:cs="Ottawa"/>
                <w:sz w:val="20"/>
                <w:szCs w:val="20"/>
              </w:rPr>
              <w:t>; Liczba lat, w których zbiornik wysycha w 10 latach 0-2; Jakość wody wysoka; Zacienienie zbiornika 0-60%zacienione; Wpływ ptaków wodnych 0–2 ptaki na 1000 m</w:t>
            </w:r>
            <w:r w:rsidRPr="00461ACD">
              <w:rPr>
                <w:rFonts w:ascii="Lato" w:hAnsi="Lato" w:cs="Ottawa"/>
                <w:sz w:val="20"/>
                <w:szCs w:val="20"/>
                <w:vertAlign w:val="superscript"/>
              </w:rPr>
              <w:t xml:space="preserve">2; </w:t>
            </w:r>
            <w:r w:rsidRPr="00461ACD">
              <w:rPr>
                <w:rFonts w:ascii="Lato" w:hAnsi="Lato" w:cs="Ottawa"/>
                <w:sz w:val="20"/>
                <w:szCs w:val="20"/>
              </w:rPr>
              <w:t xml:space="preserve">;wpływ ryb -brak; Liczba zbiorników w odległości </w:t>
            </w:r>
            <w:r w:rsidRPr="00461ACD">
              <w:rPr>
                <w:rFonts w:ascii="Lato" w:eastAsia="ArialMT" w:hAnsi="Lato" w:cs="Arial"/>
                <w:sz w:val="20"/>
                <w:szCs w:val="20"/>
              </w:rPr>
              <w:t>≤</w:t>
            </w:r>
            <w:r w:rsidRPr="00461ACD">
              <w:rPr>
                <w:rFonts w:ascii="Lato" w:eastAsia="ArialMT" w:hAnsi="Lato" w:cs="ArialMT"/>
                <w:sz w:val="20"/>
                <w:szCs w:val="20"/>
              </w:rPr>
              <w:t xml:space="preserve"> </w:t>
            </w:r>
            <w:r w:rsidRPr="00461ACD">
              <w:rPr>
                <w:rFonts w:ascii="Lato" w:hAnsi="Lato" w:cs="Ottawa"/>
                <w:sz w:val="20"/>
                <w:szCs w:val="20"/>
              </w:rPr>
              <w:t>500 m – 4 lub więcej; Ocena jakości środowiska lądowego – dobra; Stopień zarośnięcia lustra wody przez roślinność - 60–80% zarośnięte lustro wody</w:t>
            </w:r>
          </w:p>
        </w:tc>
        <w:tc>
          <w:tcPr>
            <w:tcW w:w="3499" w:type="dxa"/>
          </w:tcPr>
          <w:p w14:paraId="4E4BC51A" w14:textId="77777777" w:rsidR="000536AD" w:rsidRPr="005E515C" w:rsidRDefault="000536A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41EBC7D1" w14:textId="19F6235B" w:rsidR="000536AD" w:rsidRPr="006C739A" w:rsidRDefault="000536A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/>
                <w:iCs/>
                <w:sz w:val="20"/>
                <w:szCs w:val="20"/>
              </w:rPr>
            </w:pPr>
            <w:r w:rsidRPr="005E515C">
              <w:rPr>
                <w:rFonts w:ascii="Lato" w:eastAsia="Times New Roman" w:hAnsi="Lato" w:cs="Times New Roman"/>
                <w:sz w:val="20"/>
                <w:szCs w:val="20"/>
              </w:rPr>
              <w:t xml:space="preserve">Ocena ogólna stanu zachowania gatunku została uznana jako stan właściwy FV. </w:t>
            </w:r>
            <w:r w:rsidRPr="005E515C">
              <w:rPr>
                <w:rFonts w:ascii="Lato" w:eastAsia="Calibri" w:hAnsi="Lato" w:cs="Times New Roman"/>
                <w:sz w:val="20"/>
                <w:szCs w:val="20"/>
              </w:rPr>
              <w:t xml:space="preserve">W trakcie prac inwentaryzacyjnych potwierdzono występowanie tylko jednego stanowiska gatunku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Zgodnie z opisem metodyki dla gatunku </w:t>
            </w:r>
            <w:r w:rsidRPr="006C739A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1166 Traszka grzebieniasta</w:t>
            </w:r>
            <w:r w:rsidRPr="006C739A">
              <w:rPr>
                <w:rFonts w:ascii="Lato" w:eastAsia="Calibri" w:hAnsi="Lato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C739A">
              <w:rPr>
                <w:rFonts w:ascii="Lato" w:eastAsia="Calibri" w:hAnsi="Lato" w:cs="Times New Roman"/>
                <w:bCs/>
                <w:sz w:val="20"/>
                <w:szCs w:val="20"/>
              </w:rPr>
              <w:t>(2010)</w:t>
            </w:r>
          </w:p>
          <w:p w14:paraId="4BD55275" w14:textId="0D5D8322" w:rsidR="000536AD" w:rsidRPr="005E515C" w:rsidRDefault="000536A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536AD" w:rsidRPr="005E515C" w14:paraId="5331F2C1" w14:textId="77777777" w:rsidTr="006D7333">
        <w:trPr>
          <w:trHeight w:val="3370"/>
        </w:trPr>
        <w:tc>
          <w:tcPr>
            <w:tcW w:w="3498" w:type="dxa"/>
          </w:tcPr>
          <w:p w14:paraId="3A7F28F4" w14:textId="77777777" w:rsidR="000536AD" w:rsidRPr="00B55C72" w:rsidRDefault="000536A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bCs/>
                <w:sz w:val="20"/>
                <w:szCs w:val="20"/>
                <w:lang w:val="en-GB"/>
              </w:rPr>
              <w:t>1188</w:t>
            </w:r>
            <w:r w:rsidRPr="00B55C72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 xml:space="preserve"> Kumak nizinny</w:t>
            </w:r>
          </w:p>
          <w:p w14:paraId="3B52F0AF" w14:textId="77777777" w:rsidR="000536AD" w:rsidRPr="00B55C72" w:rsidRDefault="000536A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/>
                <w:iCs/>
                <w:sz w:val="20"/>
                <w:szCs w:val="20"/>
              </w:rPr>
            </w:pPr>
            <w:r w:rsidRPr="00B55C72">
              <w:rPr>
                <w:rFonts w:ascii="Lato" w:eastAsia="Calibri" w:hAnsi="Lato" w:cs="Times New Roman"/>
                <w:bCs/>
                <w:i/>
                <w:iCs/>
                <w:sz w:val="20"/>
                <w:szCs w:val="20"/>
              </w:rPr>
              <w:t>Bombina bombina</w:t>
            </w:r>
          </w:p>
          <w:p w14:paraId="77E82D75" w14:textId="77777777" w:rsidR="000536AD" w:rsidRPr="00B55C72" w:rsidRDefault="000536A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3498" w:type="dxa"/>
            <w:vAlign w:val="center"/>
          </w:tcPr>
          <w:p w14:paraId="2124D113" w14:textId="707E865F" w:rsidR="000536AD" w:rsidRPr="005E515C" w:rsidRDefault="000536A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Stan siedliska</w:t>
            </w:r>
          </w:p>
        </w:tc>
        <w:tc>
          <w:tcPr>
            <w:tcW w:w="3499" w:type="dxa"/>
          </w:tcPr>
          <w:p w14:paraId="1C758B37" w14:textId="60BECA26" w:rsidR="000536AD" w:rsidRPr="005E515C" w:rsidRDefault="000536AD" w:rsidP="000536A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Utrzymanie co najmniej obecnego stanu wskaźnika U1 odnośnie siedliska</w:t>
            </w:r>
            <w:r w:rsidRPr="00AD2E4C">
              <w:rPr>
                <w:rFonts w:ascii="Lato" w:eastAsia="Calibri" w:hAnsi="Lato" w:cs="Times New Roman"/>
                <w:color w:val="000000"/>
                <w:sz w:val="20"/>
                <w:szCs w:val="20"/>
                <w:lang w:eastAsia="pl-PL"/>
              </w:rPr>
              <w:t xml:space="preserve"> tj: udział szuwaru w powierzchni zbiornika; wysokość roślinności szuwarowej; roślinność zanurzona i pływająca, nachylenie brzegów zbiornika, zacienienie zbiornika, obecność płycizn, obecność ryb; bariery wokół brzegu zbiornika., zabudowa otoczenia zbiornika, inne zbiorniki wodne w promieniu 500m, droga asfaltowa</w:t>
            </w:r>
            <w:r>
              <w:rPr>
                <w:rFonts w:ascii="Lato" w:eastAsia="Calibri" w:hAnsi="Lato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499" w:type="dxa"/>
          </w:tcPr>
          <w:p w14:paraId="646A7121" w14:textId="77777777" w:rsidR="000536AD" w:rsidRPr="005E515C" w:rsidRDefault="000536A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</w:t>
            </w:r>
          </w:p>
          <w:p w14:paraId="6D6140B7" w14:textId="1C4307C4" w:rsidR="000536AD" w:rsidRDefault="000536AD" w:rsidP="00461ACD">
            <w:pPr>
              <w:autoSpaceDE w:val="0"/>
              <w:adjustRightInd w:val="0"/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5E515C">
              <w:rPr>
                <w:rFonts w:ascii="Lato" w:hAnsi="Lato"/>
                <w:sz w:val="20"/>
                <w:szCs w:val="20"/>
              </w:rPr>
              <w:t xml:space="preserve">Pełna inwentaryzacja rozmieszczenia gatunku w obszarze, ocena stanu parametrów i wskaźników na wykazanych stanowiskach gatunku. Prace prowadzono w okresie początek kwietnia –  koniec lipca w latach 2012-13. </w:t>
            </w:r>
            <w:r w:rsidR="009F71BC" w:rsidRPr="005E515C">
              <w:rPr>
                <w:rFonts w:ascii="Lato" w:eastAsia="Times New Roman" w:hAnsi="Lato" w:cs="Times New Roman"/>
                <w:sz w:val="20"/>
                <w:szCs w:val="20"/>
              </w:rPr>
              <w:t>Ocena ogólna stanu zachowania gatunku została uznana jako</w:t>
            </w:r>
            <w:r w:rsidR="009F71BC">
              <w:rPr>
                <w:rFonts w:ascii="Lato" w:eastAsia="Times New Roman" w:hAnsi="Lato" w:cs="Times New Roman"/>
                <w:sz w:val="20"/>
                <w:szCs w:val="20"/>
              </w:rPr>
              <w:t xml:space="preserve"> niezadowalająca</w:t>
            </w:r>
            <w:r w:rsidRPr="005E515C">
              <w:rPr>
                <w:rFonts w:ascii="Lato" w:eastAsia="Calibri" w:hAnsi="Lato" w:cs="Times New Roman"/>
                <w:sz w:val="20"/>
                <w:szCs w:val="20"/>
              </w:rPr>
              <w:t xml:space="preserve"> U1</w:t>
            </w:r>
            <w:r w:rsidR="009F71BC"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Pr="005E515C">
              <w:rPr>
                <w:rFonts w:ascii="Lato" w:eastAsia="Calibri" w:hAnsi="Lato" w:cs="Times New Roman"/>
                <w:sz w:val="20"/>
                <w:szCs w:val="20"/>
              </w:rPr>
              <w:t>.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</w:p>
          <w:p w14:paraId="6282E903" w14:textId="528DA446" w:rsidR="000536AD" w:rsidRPr="005E515C" w:rsidRDefault="000536AD" w:rsidP="00AD2E4C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Zgodnie z opisem metodyki dla gatunku  </w:t>
            </w:r>
            <w:r w:rsidRPr="00AD2E4C">
              <w:rPr>
                <w:rFonts w:ascii="Lato" w:hAnsi="Lato" w:cs="Times New Roman"/>
                <w:sz w:val="20"/>
                <w:szCs w:val="20"/>
              </w:rPr>
              <w:t>1188</w:t>
            </w:r>
            <w:r w:rsidRPr="005E515C">
              <w:rPr>
                <w:rFonts w:ascii="Lato" w:eastAsia="Calibri" w:hAnsi="Lato" w:cs="Times New Roman"/>
                <w:b/>
                <w:iCs/>
                <w:sz w:val="20"/>
                <w:szCs w:val="20"/>
              </w:rPr>
              <w:t xml:space="preserve"> </w:t>
            </w:r>
            <w:r w:rsidRPr="00781BC3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Kumak nizinny</w:t>
            </w:r>
            <w:r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 xml:space="preserve"> (2012)</w:t>
            </w:r>
          </w:p>
        </w:tc>
      </w:tr>
      <w:tr w:rsidR="00461ACD" w:rsidRPr="005E515C" w14:paraId="769863EA" w14:textId="77777777" w:rsidTr="006C3A10">
        <w:tc>
          <w:tcPr>
            <w:tcW w:w="3498" w:type="dxa"/>
            <w:vMerge w:val="restart"/>
          </w:tcPr>
          <w:p w14:paraId="06FEA662" w14:textId="77777777" w:rsidR="00461ACD" w:rsidRPr="00B55C72" w:rsidRDefault="00461AC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  <w:r w:rsidRPr="00B55C72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 xml:space="preserve">1337 </w:t>
            </w:r>
          </w:p>
          <w:p w14:paraId="5FAB817C" w14:textId="24BEF0DF" w:rsidR="00461ACD" w:rsidRPr="00B55C72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bCs/>
                <w:sz w:val="20"/>
                <w:szCs w:val="20"/>
              </w:rPr>
            </w:pPr>
            <w:r w:rsidRPr="00B55C72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Bóbr europejski</w:t>
            </w:r>
            <w:r w:rsidR="003264BB" w:rsidRPr="00B55C72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 xml:space="preserve"> </w:t>
            </w:r>
            <w:r w:rsidRPr="00B55C72">
              <w:rPr>
                <w:rFonts w:ascii="Lato" w:eastAsia="Calibri" w:hAnsi="Lato" w:cs="Times New Roman"/>
                <w:bCs/>
                <w:i/>
                <w:iCs/>
                <w:sz w:val="20"/>
                <w:szCs w:val="20"/>
              </w:rPr>
              <w:t>Castor fiber</w:t>
            </w:r>
          </w:p>
        </w:tc>
        <w:tc>
          <w:tcPr>
            <w:tcW w:w="3498" w:type="dxa"/>
            <w:vAlign w:val="center"/>
          </w:tcPr>
          <w:p w14:paraId="519359AC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</w:tc>
        <w:tc>
          <w:tcPr>
            <w:tcW w:w="3499" w:type="dxa"/>
          </w:tcPr>
          <w:p w14:paraId="2D2215EB" w14:textId="2F2B0641" w:rsidR="00461ACD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obecnego stanu wskaźnika 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FV tj: procent pozytywnych stwierdzeń gatunku &gt;40; indeks populacyjny &gt;60; roczny </w:t>
            </w:r>
            <w:r>
              <w:rPr>
                <w:rFonts w:ascii="Lato" w:hAnsi="Lato" w:cs="Times New Roman"/>
                <w:sz w:val="20"/>
                <w:szCs w:val="20"/>
              </w:rPr>
              <w:lastRenderedPageBreak/>
              <w:t>wskaźnik trendu populacji - r≥0; zagęszczenie rodzin &gt;3</w:t>
            </w:r>
          </w:p>
          <w:p w14:paraId="1CE3FD58" w14:textId="1588689D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717AD4FC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lastRenderedPageBreak/>
              <w:t>Źródło danych: projekt Planu Ochrony Narwiańskiego Parku Narodowego (2011 – 2014)</w:t>
            </w:r>
          </w:p>
          <w:p w14:paraId="3A45F15C" w14:textId="77777777" w:rsidR="00461ACD" w:rsidRDefault="00461AC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5E515C">
              <w:rPr>
                <w:rFonts w:ascii="Lato" w:hAnsi="Lato"/>
                <w:sz w:val="20"/>
                <w:szCs w:val="20"/>
              </w:rPr>
              <w:t xml:space="preserve">Pełna inwentaryzacja rozmieszczenia gatunku w obszarze, ocena stanu </w:t>
            </w:r>
            <w:r w:rsidRPr="005E515C">
              <w:rPr>
                <w:rFonts w:ascii="Lato" w:hAnsi="Lato"/>
                <w:sz w:val="20"/>
                <w:szCs w:val="20"/>
              </w:rPr>
              <w:lastRenderedPageBreak/>
              <w:t xml:space="preserve">parametrów i wskaźników na wytypowanych stanowiskach gatunku. Prace prowadzono w okresie październik –  kwiecień w latach 2012-13. </w:t>
            </w:r>
            <w:r w:rsidRPr="005E515C">
              <w:rPr>
                <w:rFonts w:ascii="Lato" w:eastAsia="Calibri" w:hAnsi="Lato" w:cs="Times New Roman"/>
                <w:sz w:val="20"/>
                <w:szCs w:val="20"/>
              </w:rPr>
              <w:t>Stan zachowania w obszarze: FV.</w:t>
            </w:r>
          </w:p>
          <w:p w14:paraId="1049B459" w14:textId="4BEEDDEC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Zgodnie z opisem metodyki dla gatunku  </w:t>
            </w:r>
            <w:r w:rsidRPr="00781BC3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1337 Bóbr europejski</w:t>
            </w:r>
            <w:r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 xml:space="preserve"> (2015)</w:t>
            </w:r>
          </w:p>
        </w:tc>
      </w:tr>
      <w:tr w:rsidR="00461ACD" w:rsidRPr="005E515C" w14:paraId="7CADC265" w14:textId="77777777" w:rsidTr="006C3A10">
        <w:tc>
          <w:tcPr>
            <w:tcW w:w="3498" w:type="dxa"/>
            <w:vMerge/>
          </w:tcPr>
          <w:p w14:paraId="4F3E00F1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8B6FDFC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Stan siedliska</w:t>
            </w:r>
          </w:p>
        </w:tc>
        <w:tc>
          <w:tcPr>
            <w:tcW w:w="3499" w:type="dxa"/>
          </w:tcPr>
          <w:p w14:paraId="3F3A7D9F" w14:textId="26E49F93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obecnego stanu wskaźnika </w:t>
            </w:r>
            <w:r>
              <w:rPr>
                <w:rFonts w:ascii="Lato" w:hAnsi="Lato" w:cs="Times New Roman"/>
                <w:sz w:val="20"/>
                <w:szCs w:val="20"/>
              </w:rPr>
              <w:t>FV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odnośnie siedliska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tj: baza pokarmowa .0,80; udział siedliska kluczowego dla gatunku &gt;0,65;charakterystyka strefy brzegowej &gt;0,80; stopień antropopresji &gt;0,75</w:t>
            </w:r>
          </w:p>
        </w:tc>
        <w:tc>
          <w:tcPr>
            <w:tcW w:w="3499" w:type="dxa"/>
          </w:tcPr>
          <w:p w14:paraId="5F42E6A7" w14:textId="77777777" w:rsidR="00461ACD" w:rsidRPr="00781BC3" w:rsidRDefault="00461AC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Zgodnie z opisem metodyki dla gatunku  </w:t>
            </w:r>
            <w:r w:rsidRPr="00781BC3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 xml:space="preserve">1337 </w:t>
            </w:r>
          </w:p>
          <w:p w14:paraId="24977B52" w14:textId="77777777" w:rsidR="00461ACD" w:rsidRPr="00781BC3" w:rsidRDefault="00461AC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  <w:r w:rsidRPr="00781BC3"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Bóbr europejski (2015)</w:t>
            </w:r>
          </w:p>
          <w:p w14:paraId="41F204C5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61ACD" w:rsidRPr="005E515C" w14:paraId="799974E0" w14:textId="77777777" w:rsidTr="006C3A10">
        <w:tc>
          <w:tcPr>
            <w:tcW w:w="3498" w:type="dxa"/>
            <w:vMerge w:val="restart"/>
          </w:tcPr>
          <w:p w14:paraId="31078BD0" w14:textId="77777777" w:rsidR="00461ACD" w:rsidRPr="00B55C72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hAnsi="Lato" w:cs="Times New Roman"/>
                <w:sz w:val="20"/>
                <w:szCs w:val="20"/>
              </w:rPr>
              <w:t>1355</w:t>
            </w:r>
          </w:p>
          <w:p w14:paraId="098B6C6E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B55C72">
              <w:rPr>
                <w:rFonts w:ascii="Lato" w:eastAsia="Calibri" w:hAnsi="Lato" w:cs="Times New Roman"/>
                <w:sz w:val="20"/>
                <w:szCs w:val="20"/>
              </w:rPr>
              <w:t>Wydra europejska</w:t>
            </w:r>
            <w:r w:rsidRPr="00B55C72">
              <w:rPr>
                <w:rFonts w:ascii="Lato" w:eastAsia="Calibri" w:hAnsi="Lato" w:cs="Times New Roman"/>
                <w:i/>
                <w:sz w:val="20"/>
                <w:szCs w:val="20"/>
              </w:rPr>
              <w:t xml:space="preserve"> </w:t>
            </w:r>
            <w:r w:rsidRPr="00B55C72">
              <w:rPr>
                <w:rFonts w:ascii="Lato" w:eastAsia="Calibri" w:hAnsi="Lato" w:cs="Times New Roman"/>
                <w:sz w:val="20"/>
                <w:szCs w:val="20"/>
              </w:rPr>
              <w:t xml:space="preserve">– </w:t>
            </w:r>
            <w:r w:rsidRPr="00B55C72">
              <w:rPr>
                <w:rFonts w:ascii="Lato" w:eastAsia="Calibri" w:hAnsi="Lato" w:cs="Times New Roman"/>
                <w:i/>
                <w:sz w:val="20"/>
                <w:szCs w:val="20"/>
              </w:rPr>
              <w:t>Lutra lutra</w:t>
            </w:r>
          </w:p>
        </w:tc>
        <w:tc>
          <w:tcPr>
            <w:tcW w:w="3498" w:type="dxa"/>
            <w:vAlign w:val="center"/>
          </w:tcPr>
          <w:p w14:paraId="44CB5E79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Stan populacji </w:t>
            </w:r>
          </w:p>
        </w:tc>
        <w:tc>
          <w:tcPr>
            <w:tcW w:w="3499" w:type="dxa"/>
          </w:tcPr>
          <w:p w14:paraId="2933F9FE" w14:textId="140C4647" w:rsidR="00461ACD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obecnego stanu wskaźnika </w:t>
            </w:r>
            <w:r>
              <w:rPr>
                <w:rFonts w:ascii="Lato" w:hAnsi="Lato" w:cs="Times New Roman"/>
                <w:sz w:val="20"/>
                <w:szCs w:val="20"/>
              </w:rPr>
              <w:t>FV tj:: procent pozytywnych stwierdzeń gatunku &gt;60; indeks populacyjny &gt;15; roczny wskaźnik trendu populacji - r≥0; zagęszczenie populacji ≥2/10km</w:t>
            </w:r>
          </w:p>
          <w:p w14:paraId="48F42FBC" w14:textId="50E8DBA0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5AD808BA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Źródło danych: projekt Planu Ochrony Narwiańskiego Parku Narodowego (2011 – 2014).</w:t>
            </w:r>
          </w:p>
          <w:p w14:paraId="2CD3A1B6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/>
                <w:sz w:val="20"/>
                <w:szCs w:val="20"/>
              </w:rPr>
            </w:pPr>
            <w:r w:rsidRPr="005E515C">
              <w:rPr>
                <w:rFonts w:ascii="Lato" w:hAnsi="Lato"/>
                <w:sz w:val="20"/>
                <w:szCs w:val="20"/>
              </w:rPr>
              <w:t xml:space="preserve">Pełna inwentaryzacja rozmieszczenia gatunku w obszarze, ocena stanu parametrów i wskaźników na odcinkach gdzie obserwowano ślady aktywności wydry. Prace prowadzono w okresie listopad – lipiec w latach 2012-13. </w:t>
            </w:r>
            <w:r w:rsidRPr="005E515C">
              <w:rPr>
                <w:rFonts w:ascii="Lato" w:eastAsia="Calibri" w:hAnsi="Lato" w:cs="Times New Roman"/>
                <w:sz w:val="20"/>
                <w:szCs w:val="20"/>
              </w:rPr>
              <w:t>Stan zachowania w obszarze: FV</w:t>
            </w:r>
          </w:p>
          <w:p w14:paraId="425367C4" w14:textId="77777777" w:rsidR="00461ACD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Możliwa konkurencja pokarmowa ze strony norki amerykańskiej</w:t>
            </w:r>
          </w:p>
          <w:p w14:paraId="4DEF8A4C" w14:textId="1495463F" w:rsidR="00461ACD" w:rsidRPr="005E515C" w:rsidRDefault="00461ACD" w:rsidP="009F71BC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Zgodnie z opisem metodyki dla gatunku 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1355</w:t>
            </w:r>
            <w:r w:rsidR="003264BB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</w:t>
            </w:r>
            <w:r w:rsidRPr="00781BC3">
              <w:rPr>
                <w:rFonts w:ascii="Lato" w:eastAsia="Calibri" w:hAnsi="Lato" w:cs="Times New Roman"/>
                <w:bCs/>
                <w:sz w:val="20"/>
                <w:szCs w:val="20"/>
              </w:rPr>
              <w:t>Wydra europejska</w:t>
            </w:r>
            <w:r w:rsidRPr="005E515C">
              <w:rPr>
                <w:rFonts w:ascii="Lato" w:eastAsia="Calibri" w:hAnsi="Lato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(2015)</w:t>
            </w:r>
          </w:p>
        </w:tc>
      </w:tr>
      <w:tr w:rsidR="00461ACD" w:rsidRPr="005E515C" w14:paraId="07DA85B7" w14:textId="77777777" w:rsidTr="006C3A10">
        <w:tc>
          <w:tcPr>
            <w:tcW w:w="3498" w:type="dxa"/>
            <w:vMerge/>
          </w:tcPr>
          <w:p w14:paraId="0F25AB77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32FB1E6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>Stan siedliska</w:t>
            </w:r>
          </w:p>
        </w:tc>
        <w:tc>
          <w:tcPr>
            <w:tcW w:w="3499" w:type="dxa"/>
          </w:tcPr>
          <w:p w14:paraId="47C88AD6" w14:textId="0CA1E3C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Utrzymanie co najmniej obecnego stanu wskaźnika </w:t>
            </w:r>
            <w:r>
              <w:rPr>
                <w:rFonts w:ascii="Lato" w:hAnsi="Lato" w:cs="Times New Roman"/>
                <w:sz w:val="20"/>
                <w:szCs w:val="20"/>
              </w:rPr>
              <w:t>FV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 xml:space="preserve"> odnośnie siedliska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tj: baza pokarmowa .0,80; udział siedliska kluczowego dla gatunku &gt;0,65;charakterystyka strefy </w:t>
            </w:r>
            <w:r>
              <w:rPr>
                <w:rFonts w:ascii="Lato" w:hAnsi="Lato" w:cs="Times New Roman"/>
                <w:sz w:val="20"/>
                <w:szCs w:val="20"/>
              </w:rPr>
              <w:lastRenderedPageBreak/>
              <w:t>brzegowej &gt;0,85; stopień antropopresji &gt;0,70</w:t>
            </w:r>
          </w:p>
        </w:tc>
        <w:tc>
          <w:tcPr>
            <w:tcW w:w="3499" w:type="dxa"/>
          </w:tcPr>
          <w:p w14:paraId="1020E0F6" w14:textId="34933771" w:rsidR="00461ACD" w:rsidRPr="0043302F" w:rsidRDefault="00461ACD" w:rsidP="00461ACD">
            <w:pPr>
              <w:spacing w:before="100" w:beforeAutospacing="1" w:after="100" w:afterAutospacing="1"/>
              <w:contextualSpacing/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 xml:space="preserve">Zgodnie z opisem metodyki dla gatunku  </w:t>
            </w:r>
            <w:r w:rsidRPr="005E515C">
              <w:rPr>
                <w:rFonts w:ascii="Lato" w:hAnsi="Lato" w:cs="Times New Roman"/>
                <w:sz w:val="20"/>
                <w:szCs w:val="20"/>
              </w:rPr>
              <w:t>1355</w:t>
            </w:r>
            <w:r w:rsidR="00781BC3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781BC3">
              <w:rPr>
                <w:rFonts w:ascii="Lato" w:eastAsia="Calibri" w:hAnsi="Lato" w:cs="Times New Roman"/>
                <w:bCs/>
                <w:sz w:val="20"/>
                <w:szCs w:val="20"/>
              </w:rPr>
              <w:t>Wydra europejska</w:t>
            </w:r>
            <w:r w:rsidRPr="005E515C">
              <w:rPr>
                <w:rFonts w:ascii="Lato" w:eastAsia="Calibri" w:hAnsi="Lato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Times New Roman"/>
                <w:bCs/>
                <w:iCs/>
                <w:sz w:val="20"/>
                <w:szCs w:val="20"/>
              </w:rPr>
              <w:t>(2015)</w:t>
            </w:r>
          </w:p>
          <w:p w14:paraId="73831C1D" w14:textId="77777777" w:rsidR="00461ACD" w:rsidRPr="005E515C" w:rsidRDefault="00461ACD" w:rsidP="00461ACD">
            <w:pPr>
              <w:spacing w:before="100" w:beforeAutospacing="1" w:after="100" w:afterAutospacing="1"/>
              <w:contextualSpacing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654876A6" w14:textId="77777777" w:rsidR="00B44E01" w:rsidRPr="005E515C" w:rsidRDefault="00B44E01" w:rsidP="00B44E01">
      <w:pPr>
        <w:spacing w:before="100" w:beforeAutospacing="1" w:after="100" w:afterAutospacing="1" w:line="240" w:lineRule="auto"/>
        <w:contextualSpacing/>
        <w:rPr>
          <w:rFonts w:ascii="Lato" w:hAnsi="Lato" w:cs="Times New Roman"/>
          <w:sz w:val="20"/>
          <w:szCs w:val="20"/>
        </w:rPr>
      </w:pPr>
    </w:p>
    <w:p w14:paraId="27FCAED9" w14:textId="77777777" w:rsidR="00B44E01" w:rsidRPr="005E515C" w:rsidRDefault="00B44E01" w:rsidP="00B44E01">
      <w:pPr>
        <w:spacing w:before="100" w:beforeAutospacing="1" w:after="100" w:afterAutospacing="1" w:line="240" w:lineRule="auto"/>
        <w:contextualSpacing/>
        <w:rPr>
          <w:rFonts w:ascii="Lato" w:hAnsi="Lato" w:cs="Times New Roman"/>
          <w:sz w:val="20"/>
          <w:szCs w:val="20"/>
        </w:rPr>
      </w:pPr>
    </w:p>
    <w:p w14:paraId="252FE5B2" w14:textId="3A184BBC" w:rsidR="00412D34" w:rsidRPr="00AA0CFD" w:rsidRDefault="00412D34" w:rsidP="00DA30A7">
      <w:pPr>
        <w:rPr>
          <w:rFonts w:ascii="Lato" w:hAnsi="Lato" w:cs="Times New Roman"/>
          <w:sz w:val="20"/>
          <w:szCs w:val="20"/>
        </w:rPr>
      </w:pPr>
    </w:p>
    <w:sectPr w:rsidR="00412D34" w:rsidRPr="00AA0CFD" w:rsidSect="00412D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+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34"/>
    <w:rsid w:val="0003015B"/>
    <w:rsid w:val="00030993"/>
    <w:rsid w:val="000533BD"/>
    <w:rsid w:val="000536AD"/>
    <w:rsid w:val="00055745"/>
    <w:rsid w:val="0009793D"/>
    <w:rsid w:val="00120617"/>
    <w:rsid w:val="0013336D"/>
    <w:rsid w:val="001B321E"/>
    <w:rsid w:val="001B6D5E"/>
    <w:rsid w:val="001D5FE2"/>
    <w:rsid w:val="001E615F"/>
    <w:rsid w:val="00222749"/>
    <w:rsid w:val="00225D70"/>
    <w:rsid w:val="0025714B"/>
    <w:rsid w:val="00277604"/>
    <w:rsid w:val="002F5F9F"/>
    <w:rsid w:val="0030654E"/>
    <w:rsid w:val="00316C7C"/>
    <w:rsid w:val="003264BB"/>
    <w:rsid w:val="003622DF"/>
    <w:rsid w:val="00394D69"/>
    <w:rsid w:val="003B3D70"/>
    <w:rsid w:val="003C154A"/>
    <w:rsid w:val="00412C9F"/>
    <w:rsid w:val="00412D34"/>
    <w:rsid w:val="00433640"/>
    <w:rsid w:val="00447DB5"/>
    <w:rsid w:val="00456EFC"/>
    <w:rsid w:val="00460B17"/>
    <w:rsid w:val="00461ACD"/>
    <w:rsid w:val="00465F89"/>
    <w:rsid w:val="0048439C"/>
    <w:rsid w:val="00496853"/>
    <w:rsid w:val="00532CD5"/>
    <w:rsid w:val="00537074"/>
    <w:rsid w:val="005707F0"/>
    <w:rsid w:val="005A2761"/>
    <w:rsid w:val="005B0E46"/>
    <w:rsid w:val="005D05DA"/>
    <w:rsid w:val="005E280B"/>
    <w:rsid w:val="005E515C"/>
    <w:rsid w:val="00630B43"/>
    <w:rsid w:val="00633EB6"/>
    <w:rsid w:val="00633ECF"/>
    <w:rsid w:val="0066092C"/>
    <w:rsid w:val="00663C42"/>
    <w:rsid w:val="00665777"/>
    <w:rsid w:val="0067011C"/>
    <w:rsid w:val="00671521"/>
    <w:rsid w:val="006848D1"/>
    <w:rsid w:val="0069411E"/>
    <w:rsid w:val="006A113B"/>
    <w:rsid w:val="006C739A"/>
    <w:rsid w:val="0070548B"/>
    <w:rsid w:val="00781BC3"/>
    <w:rsid w:val="00790B70"/>
    <w:rsid w:val="00792620"/>
    <w:rsid w:val="00792BBD"/>
    <w:rsid w:val="007A787F"/>
    <w:rsid w:val="007C5246"/>
    <w:rsid w:val="007D01D9"/>
    <w:rsid w:val="007D3D16"/>
    <w:rsid w:val="007E4980"/>
    <w:rsid w:val="00835E82"/>
    <w:rsid w:val="0085328D"/>
    <w:rsid w:val="00940387"/>
    <w:rsid w:val="00951BDA"/>
    <w:rsid w:val="00963764"/>
    <w:rsid w:val="0098119F"/>
    <w:rsid w:val="009E0664"/>
    <w:rsid w:val="009F71BC"/>
    <w:rsid w:val="00A106F6"/>
    <w:rsid w:val="00A2117C"/>
    <w:rsid w:val="00A4671F"/>
    <w:rsid w:val="00A54258"/>
    <w:rsid w:val="00A610EC"/>
    <w:rsid w:val="00A6247B"/>
    <w:rsid w:val="00A64B09"/>
    <w:rsid w:val="00A808E0"/>
    <w:rsid w:val="00AA0CFD"/>
    <w:rsid w:val="00AD2E4C"/>
    <w:rsid w:val="00AD67AD"/>
    <w:rsid w:val="00B44E01"/>
    <w:rsid w:val="00B500FD"/>
    <w:rsid w:val="00B527FD"/>
    <w:rsid w:val="00B55770"/>
    <w:rsid w:val="00B55C72"/>
    <w:rsid w:val="00B71001"/>
    <w:rsid w:val="00B72738"/>
    <w:rsid w:val="00B813A5"/>
    <w:rsid w:val="00B83E93"/>
    <w:rsid w:val="00B93619"/>
    <w:rsid w:val="00BA57EF"/>
    <w:rsid w:val="00BE1E25"/>
    <w:rsid w:val="00C1060B"/>
    <w:rsid w:val="00C17134"/>
    <w:rsid w:val="00C762EE"/>
    <w:rsid w:val="00C93D63"/>
    <w:rsid w:val="00CB1352"/>
    <w:rsid w:val="00CB608F"/>
    <w:rsid w:val="00CE57B1"/>
    <w:rsid w:val="00D25D5C"/>
    <w:rsid w:val="00D624CC"/>
    <w:rsid w:val="00D93A01"/>
    <w:rsid w:val="00DA30A7"/>
    <w:rsid w:val="00DB506A"/>
    <w:rsid w:val="00DB67FD"/>
    <w:rsid w:val="00E05948"/>
    <w:rsid w:val="00E11C7D"/>
    <w:rsid w:val="00E65584"/>
    <w:rsid w:val="00E706AA"/>
    <w:rsid w:val="00E92082"/>
    <w:rsid w:val="00F0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CE824A"/>
  <w15:chartTrackingRefBased/>
  <w15:docId w15:val="{F585D2A6-9F26-4FD4-93BD-84F63BE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4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E01"/>
    <w:rPr>
      <w:sz w:val="20"/>
      <w:szCs w:val="20"/>
    </w:rPr>
  </w:style>
  <w:style w:type="paragraph" w:customStyle="1" w:styleId="Default">
    <w:name w:val="Default"/>
    <w:rsid w:val="00B44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E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7074"/>
    <w:pPr>
      <w:spacing w:after="0" w:line="240" w:lineRule="auto"/>
    </w:pPr>
  </w:style>
  <w:style w:type="paragraph" w:styleId="NormalnyWeb">
    <w:name w:val="Normal (Web)"/>
    <w:basedOn w:val="Normalny"/>
    <w:rsid w:val="005707F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8B-A589-4DFD-98BD-C1D30229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26</Pages>
  <Words>4892</Words>
  <Characters>29356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Piekarski</dc:creator>
  <cp:keywords/>
  <dc:description/>
  <cp:lastModifiedBy>Grzegorz Piekarski</cp:lastModifiedBy>
  <cp:revision>13</cp:revision>
  <dcterms:created xsi:type="dcterms:W3CDTF">2021-10-28T05:44:00Z</dcterms:created>
  <dcterms:modified xsi:type="dcterms:W3CDTF">2021-10-28T09:21:00Z</dcterms:modified>
</cp:coreProperties>
</file>