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C5385A" w:rsidRDefault="00C5385A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C5385A" w:rsidRDefault="00C5385A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48"/>
          <w:szCs w:val="48"/>
        </w:rPr>
      </w:pPr>
    </w:p>
    <w:p w:rsidR="00481063" w:rsidRPr="00481063" w:rsidRDefault="00481063" w:rsidP="00C5385A">
      <w:pPr>
        <w:spacing w:after="80"/>
        <w:rPr>
          <w:rFonts w:asciiTheme="majorHAnsi" w:eastAsia="Calibri" w:hAnsiTheme="majorHAnsi" w:cs="Calibri"/>
          <w:b/>
          <w:sz w:val="48"/>
          <w:szCs w:val="48"/>
        </w:rPr>
      </w:pPr>
      <w:r w:rsidRPr="00481063">
        <w:rPr>
          <w:rFonts w:asciiTheme="majorHAnsi" w:eastAsia="Calibri" w:hAnsiTheme="majorHAnsi" w:cs="Calibri"/>
          <w:b/>
          <w:sz w:val="48"/>
          <w:szCs w:val="48"/>
        </w:rPr>
        <w:t>Instrukcja realizacji procesów w placówce Centrum Przedsiębiorcy Punktu Kontaktowego (CPPK) biznes.gov.pl</w:t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0" w:name="_fz66caouhhjd" w:colFirst="0" w:colLast="0"/>
      <w:bookmarkEnd w:id="0"/>
    </w:p>
    <w:p w:rsidR="00481063" w:rsidRDefault="00481063">
      <w:pPr>
        <w:rPr>
          <w:rFonts w:asciiTheme="majorHAnsi" w:eastAsia="Calibri" w:hAnsiTheme="majorHAnsi" w:cs="Calibri"/>
          <w:b/>
          <w:sz w:val="34"/>
          <w:szCs w:val="34"/>
          <w:lang w:val="pl" w:eastAsia="pl-PL"/>
        </w:rPr>
      </w:pPr>
      <w:bookmarkStart w:id="1" w:name="_bhigbqsqnuom" w:colFirst="0" w:colLast="0"/>
      <w:bookmarkEnd w:id="1"/>
      <w:r>
        <w:rPr>
          <w:rFonts w:asciiTheme="majorHAnsi" w:eastAsia="Calibri" w:hAnsiTheme="majorHAnsi" w:cs="Calibri"/>
          <w:sz w:val="34"/>
          <w:szCs w:val="34"/>
        </w:rPr>
        <w:br w:type="page"/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2" w:name="_erfv7hea4u24" w:colFirst="0" w:colLast="0"/>
      <w:bookmarkStart w:id="3" w:name="_gvtn17a4icpo" w:colFirst="0" w:colLast="0"/>
      <w:bookmarkStart w:id="4" w:name="_32fb4k19xrwd" w:colFirst="0" w:colLast="0"/>
      <w:bookmarkStart w:id="5" w:name="_1zz3e2wl748v" w:colFirst="0" w:colLast="0"/>
      <w:bookmarkStart w:id="6" w:name="_2lsdf1lq4my9" w:colFirst="0" w:colLast="0"/>
      <w:bookmarkStart w:id="7" w:name="_8jjugy2j5ba2" w:colFirst="0" w:colLast="0"/>
      <w:bookmarkStart w:id="8" w:name="_n2ma2xr2iyla" w:colFirst="0" w:colLast="0"/>
      <w:bookmarkStart w:id="9" w:name="_h3i4y9ky4m7x" w:colFirst="0" w:colLast="0"/>
      <w:bookmarkStart w:id="10" w:name="_kdtl4ajqk9g0" w:colFirst="0" w:colLast="0"/>
      <w:bookmarkStart w:id="11" w:name="_1z43npvyk9ql" w:colFirst="0" w:colLast="0"/>
      <w:bookmarkStart w:id="12" w:name="_26sp3qed90ts" w:colFirst="0" w:colLast="0"/>
      <w:bookmarkStart w:id="13" w:name="_ddmyj2f9zk4i" w:colFirst="0" w:colLast="0"/>
      <w:bookmarkStart w:id="14" w:name="_7xspdz1slt4i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81063">
        <w:rPr>
          <w:rFonts w:asciiTheme="majorHAnsi" w:eastAsia="Calibri" w:hAnsiTheme="majorHAnsi" w:cs="Calibri"/>
          <w:sz w:val="34"/>
          <w:szCs w:val="34"/>
        </w:rPr>
        <w:lastRenderedPageBreak/>
        <w:t>Założenia ogólne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CPPK umożliwia świadczenie przedsiębiorcom procedur administracyjnych, realizowanych drogą elektroniczną, za pośrednictwem fizycznej placówki. Świadczy na rzecz administracji ww. usługę w wymiarach informacyjnym, interakcyjnym i transakcyjnym. W jednym punkcie, udostępniane są informację na temat obowiązujących przepisów, procedur administracyjnych oraz usług dostępnych drogą elektroniczną, w połączeniu z możliwością bieżącego skonsultowania uzyskanych informacji z wyznaczonym konsultantem lub pracownikiem administracji.</w:t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15" w:name="_6zonyl29ksxu" w:colFirst="0" w:colLast="0"/>
      <w:bookmarkStart w:id="16" w:name="_ao47fo59dzo1" w:colFirst="0" w:colLast="0"/>
      <w:bookmarkEnd w:id="15"/>
      <w:bookmarkEnd w:id="16"/>
      <w:r w:rsidRPr="00481063">
        <w:rPr>
          <w:rFonts w:asciiTheme="majorHAnsi" w:eastAsia="Calibri" w:hAnsiTheme="majorHAnsi" w:cs="Calibri"/>
          <w:sz w:val="34"/>
          <w:szCs w:val="34"/>
        </w:rPr>
        <w:t>Zespół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Usługi CPPK realizowane są przez zespół ekspertów z różnych dziedzin (m.in. rejestracja działalności, prawo gospodarcze, ubezpieczenia społeczne, finanse, prawo pracy). Zespół ekspertów został zbudowany i wykształcony w trakcie realizacji działań rozwojowych portalu </w:t>
      </w:r>
      <w:r w:rsidR="00F03531">
        <w:rPr>
          <w:rFonts w:asciiTheme="majorHAnsi" w:eastAsia="Calibri" w:hAnsiTheme="majorHAnsi" w:cs="Calibri"/>
          <w:sz w:val="24"/>
          <w:szCs w:val="24"/>
        </w:rPr>
        <w:t>B</w:t>
      </w:r>
      <w:r w:rsidRPr="00481063">
        <w:rPr>
          <w:rFonts w:asciiTheme="majorHAnsi" w:eastAsia="Calibri" w:hAnsiTheme="majorHAnsi" w:cs="Calibri"/>
          <w:sz w:val="24"/>
          <w:szCs w:val="24"/>
        </w:rPr>
        <w:t>iznes.gov.pl - zyskując doświadczenie przy opracowywaniu i publikacji specjalistycznych treści i obsłudze złożonych zapytań użytkowników w Centrum Pomocy</w:t>
      </w:r>
      <w:r w:rsidR="00F03531">
        <w:rPr>
          <w:rFonts w:asciiTheme="majorHAnsi" w:eastAsia="Calibri" w:hAnsiTheme="majorHAnsi" w:cs="Calibri"/>
          <w:sz w:val="24"/>
          <w:szCs w:val="24"/>
        </w:rPr>
        <w:t xml:space="preserve"> Przedsiębiorcy.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Obszar merytorycznych działań CPPK  pokrywa się z zakresem usług dostarczanych przez portal biznes.gov.pl.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Skład zespołu Centrum Przedsiębiorcy został zaplanowany </w:t>
      </w:r>
      <w:r w:rsidR="005B774A">
        <w:rPr>
          <w:rFonts w:asciiTheme="majorHAnsi" w:eastAsia="Calibri" w:hAnsiTheme="majorHAnsi" w:cs="Calibri"/>
          <w:sz w:val="24"/>
          <w:szCs w:val="24"/>
        </w:rPr>
        <w:t>minimalnie na 3 osoby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Konsultanci „pierwszego kontaktu” – </w:t>
      </w:r>
      <w:r w:rsidR="00AC0795">
        <w:rPr>
          <w:rFonts w:asciiTheme="majorHAnsi" w:eastAsia="Calibri" w:hAnsiTheme="majorHAnsi" w:cs="Calibri"/>
          <w:sz w:val="24"/>
          <w:szCs w:val="24"/>
        </w:rPr>
        <w:t>do 3 osób</w:t>
      </w:r>
    </w:p>
    <w:p w:rsidR="00AC0795" w:rsidRDefault="00AC0795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1 osoba jest obecna w trybie stałym w placówce i powinna być </w:t>
      </w:r>
      <w:r w:rsidRPr="00481063">
        <w:rPr>
          <w:rFonts w:asciiTheme="majorHAnsi" w:eastAsia="Calibri" w:hAnsiTheme="majorHAnsi" w:cs="Calibri"/>
          <w:sz w:val="24"/>
          <w:szCs w:val="24"/>
        </w:rPr>
        <w:t>w stanie ad hoc udzielać podstawowych porad na zasadzie doraźnej pomocy</w:t>
      </w:r>
      <w:r w:rsidR="005B774A">
        <w:rPr>
          <w:rFonts w:asciiTheme="majorHAnsi" w:eastAsia="Calibri" w:hAnsiTheme="majorHAnsi" w:cs="Calibri"/>
          <w:sz w:val="24"/>
          <w:szCs w:val="24"/>
        </w:rPr>
        <w:t>, jednocześnie pełni rolę Kierownika zespołu.</w:t>
      </w:r>
    </w:p>
    <w:p w:rsidR="00481063" w:rsidRPr="00481063" w:rsidRDefault="005B774A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>
        <w:rPr>
          <w:rFonts w:asciiTheme="majorHAnsi" w:eastAsia="Calibri" w:hAnsiTheme="majorHAnsi" w:cs="Calibri"/>
          <w:sz w:val="24"/>
          <w:szCs w:val="24"/>
        </w:rPr>
        <w:t xml:space="preserve">Istnieje możliwość umówienia się klienta z konsultantem, a Wykonawca jest zobowiązany zapewnić kolejnych konsultantów (drugiego oraz ew. trzeciego) </w:t>
      </w:r>
      <w:r w:rsidR="00AC0795">
        <w:rPr>
          <w:rFonts w:asciiTheme="majorHAnsi" w:eastAsia="Calibri" w:hAnsiTheme="majorHAnsi" w:cs="Calibri"/>
          <w:sz w:val="24"/>
          <w:szCs w:val="24"/>
        </w:rPr>
        <w:t>w celu udzielania</w:t>
      </w:r>
      <w:r w:rsidR="00481063" w:rsidRPr="00481063">
        <w:rPr>
          <w:rFonts w:asciiTheme="majorHAnsi" w:eastAsia="Calibri" w:hAnsiTheme="majorHAnsi" w:cs="Calibri"/>
          <w:sz w:val="24"/>
          <w:szCs w:val="24"/>
        </w:rPr>
        <w:t xml:space="preserve"> podstawowych porad na zasadzie doraźnej pomocy.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b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</w:p>
    <w:p w:rsidR="00481063" w:rsidRPr="00481063" w:rsidRDefault="00481063" w:rsidP="00481063">
      <w:pPr>
        <w:pStyle w:val="Nagwek2"/>
        <w:keepNext w:val="0"/>
        <w:keepLines w:val="0"/>
        <w:spacing w:after="80"/>
        <w:jc w:val="both"/>
        <w:rPr>
          <w:rFonts w:asciiTheme="majorHAnsi" w:eastAsia="Calibri" w:hAnsiTheme="majorHAnsi" w:cs="Calibri"/>
          <w:sz w:val="34"/>
          <w:szCs w:val="34"/>
        </w:rPr>
      </w:pPr>
      <w:bookmarkStart w:id="17" w:name="_4zk9jnnyaz0t" w:colFirst="0" w:colLast="0"/>
      <w:bookmarkStart w:id="18" w:name="_GoBack"/>
      <w:bookmarkEnd w:id="17"/>
      <w:bookmarkEnd w:id="18"/>
      <w:r w:rsidRPr="00481063">
        <w:rPr>
          <w:rFonts w:asciiTheme="majorHAnsi" w:eastAsia="Calibri" w:hAnsiTheme="majorHAnsi" w:cs="Calibri"/>
          <w:sz w:val="34"/>
          <w:szCs w:val="34"/>
        </w:rPr>
        <w:t>Usługi i funkcjonalności punktu CPPK</w:t>
      </w:r>
    </w:p>
    <w:p w:rsidR="00481063" w:rsidRPr="00481063" w:rsidRDefault="00481063" w:rsidP="00481063">
      <w:pPr>
        <w:pStyle w:val="Nagwek3"/>
        <w:keepNext w:val="0"/>
        <w:keepLines w:val="0"/>
        <w:spacing w:before="280" w:after="40"/>
        <w:jc w:val="both"/>
        <w:rPr>
          <w:rFonts w:asciiTheme="majorHAnsi" w:eastAsia="Calibri" w:hAnsiTheme="majorHAnsi" w:cs="Calibri"/>
          <w:b/>
          <w:color w:val="000000"/>
          <w:sz w:val="26"/>
          <w:szCs w:val="26"/>
        </w:rPr>
      </w:pPr>
      <w:bookmarkStart w:id="19" w:name="_hwb05cywkz2i" w:colFirst="0" w:colLast="0"/>
      <w:bookmarkEnd w:id="19"/>
      <w:r w:rsidRPr="00481063">
        <w:rPr>
          <w:rFonts w:asciiTheme="majorHAnsi" w:eastAsia="Calibri" w:hAnsiTheme="majorHAnsi" w:cs="Calibri"/>
          <w:b/>
          <w:color w:val="000000"/>
          <w:sz w:val="26"/>
          <w:szCs w:val="26"/>
        </w:rPr>
        <w:t>Usługi CPPK:</w:t>
      </w:r>
    </w:p>
    <w:p w:rsidR="00481063" w:rsidRPr="00481063" w:rsidRDefault="00481063" w:rsidP="00481063">
      <w:pPr>
        <w:pStyle w:val="Akapitzlist"/>
        <w:numPr>
          <w:ilvl w:val="0"/>
          <w:numId w:val="2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informacyjne 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– możliwość uzyskania informacji na temat obowiązujących przepisów, procedur administracyjnych związanych z </w:t>
      </w:r>
      <w:r w:rsidR="00F03531">
        <w:rPr>
          <w:rFonts w:asciiTheme="majorHAnsi" w:eastAsia="Calibri" w:hAnsiTheme="majorHAnsi" w:cs="Calibri"/>
          <w:sz w:val="24"/>
          <w:szCs w:val="24"/>
        </w:rPr>
        <w:t xml:space="preserve">prowadzeniem </w:t>
      </w:r>
      <w:r w:rsidRPr="00481063">
        <w:rPr>
          <w:rFonts w:asciiTheme="majorHAnsi" w:eastAsia="Calibri" w:hAnsiTheme="majorHAnsi" w:cs="Calibri"/>
          <w:sz w:val="24"/>
          <w:szCs w:val="24"/>
        </w:rPr>
        <w:t>działalności gospodarcz</w:t>
      </w:r>
      <w:r w:rsidR="00F03531">
        <w:rPr>
          <w:rFonts w:asciiTheme="majorHAnsi" w:eastAsia="Calibri" w:hAnsiTheme="majorHAnsi" w:cs="Calibri"/>
          <w:sz w:val="24"/>
          <w:szCs w:val="24"/>
        </w:rPr>
        <w:t>ej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  <w:r w:rsidR="00F03531">
        <w:rPr>
          <w:rFonts w:asciiTheme="majorHAnsi" w:eastAsia="Calibri" w:hAnsiTheme="majorHAnsi" w:cs="Calibri"/>
          <w:sz w:val="24"/>
          <w:szCs w:val="24"/>
        </w:rPr>
        <w:t xml:space="preserve">w Polsce i UE </w:t>
      </w:r>
      <w:r w:rsidRPr="00481063">
        <w:rPr>
          <w:rFonts w:asciiTheme="majorHAnsi" w:eastAsia="Calibri" w:hAnsiTheme="majorHAnsi" w:cs="Calibri"/>
          <w:sz w:val="24"/>
          <w:szCs w:val="24"/>
        </w:rPr>
        <w:t>oraz usług</w:t>
      </w:r>
      <w:r w:rsidR="00F03531">
        <w:rPr>
          <w:rFonts w:asciiTheme="majorHAnsi" w:eastAsia="Calibri" w:hAnsiTheme="majorHAnsi" w:cs="Calibri"/>
          <w:sz w:val="24"/>
          <w:szCs w:val="24"/>
        </w:rPr>
        <w:t>ami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 dostępny</w:t>
      </w:r>
      <w:r w:rsidR="00F03531">
        <w:rPr>
          <w:rFonts w:asciiTheme="majorHAnsi" w:eastAsia="Calibri" w:hAnsiTheme="majorHAnsi" w:cs="Calibri"/>
          <w:sz w:val="24"/>
          <w:szCs w:val="24"/>
        </w:rPr>
        <w:t>mi dla firm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 drogą elektroniczną,</w:t>
      </w:r>
    </w:p>
    <w:p w:rsidR="00481063" w:rsidRPr="00481063" w:rsidRDefault="00481063" w:rsidP="00481063">
      <w:pPr>
        <w:pStyle w:val="Akapitzlist"/>
        <w:numPr>
          <w:ilvl w:val="0"/>
          <w:numId w:val="2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lastRenderedPageBreak/>
        <w:t xml:space="preserve">interakcyjne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rozmowy z pracownikiem administracji albo wyznaczonym konsultantem, możliwość dostępu do portali i systemów e-administracji oraz uzyskanie odpowiedzi na pytania związane z ww. tematami,</w:t>
      </w:r>
    </w:p>
    <w:p w:rsidR="00481063" w:rsidRPr="00481063" w:rsidRDefault="00481063" w:rsidP="00481063">
      <w:pPr>
        <w:pStyle w:val="Akapitzlist"/>
        <w:numPr>
          <w:ilvl w:val="0"/>
          <w:numId w:val="2"/>
        </w:numPr>
        <w:spacing w:after="4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transakcyjne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złożenia wniosku online w danej sprawie administracyjnej i otrzymanie odpowiedzi od podmiotu publicznego (w formie dokumentu elektronicznego), na uzyskany w placówce adres elektroniczny w systemie teleinformatycznym organu administracji publicznej.</w:t>
      </w:r>
    </w:p>
    <w:p w:rsidR="00481063" w:rsidRPr="00481063" w:rsidRDefault="00481063" w:rsidP="00481063">
      <w:pPr>
        <w:pStyle w:val="Nagwek3"/>
        <w:keepNext w:val="0"/>
        <w:keepLines w:val="0"/>
        <w:spacing w:before="280"/>
        <w:jc w:val="both"/>
        <w:rPr>
          <w:rFonts w:asciiTheme="majorHAnsi" w:eastAsia="Calibri" w:hAnsiTheme="majorHAnsi" w:cs="Calibri"/>
          <w:b/>
          <w:color w:val="000000"/>
          <w:sz w:val="26"/>
          <w:szCs w:val="26"/>
        </w:rPr>
      </w:pPr>
      <w:bookmarkStart w:id="20" w:name="_8rt1qguquty" w:colFirst="0" w:colLast="0"/>
      <w:bookmarkEnd w:id="20"/>
      <w:r w:rsidRPr="00481063">
        <w:rPr>
          <w:rFonts w:asciiTheme="majorHAnsi" w:eastAsia="Calibri" w:hAnsiTheme="majorHAnsi" w:cs="Calibri"/>
          <w:b/>
          <w:color w:val="000000"/>
          <w:sz w:val="26"/>
          <w:szCs w:val="26"/>
        </w:rPr>
        <w:t>Usługi podstawowe w trybie ciągłym:</w:t>
      </w:r>
    </w:p>
    <w:p w:rsidR="00481063" w:rsidRPr="00481063" w:rsidRDefault="00481063" w:rsidP="00481063">
      <w:pPr>
        <w:pStyle w:val="Akapitzlist"/>
        <w:numPr>
          <w:ilvl w:val="0"/>
          <w:numId w:val="3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Centrum Pomocy Przedsiębiorcy – usługi konsultacyjne w zakresie otwierania i prowadzenia </w:t>
      </w:r>
      <w:r w:rsidR="00F03531">
        <w:rPr>
          <w:rFonts w:asciiTheme="majorHAnsi" w:eastAsia="Calibri" w:hAnsiTheme="majorHAnsi" w:cs="Calibri"/>
          <w:sz w:val="24"/>
          <w:szCs w:val="24"/>
        </w:rPr>
        <w:t>firmy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pStyle w:val="Akapitzlist"/>
        <w:numPr>
          <w:ilvl w:val="0"/>
          <w:numId w:val="3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Rejestracja </w:t>
      </w:r>
      <w:r w:rsidR="00F03531">
        <w:rPr>
          <w:rFonts w:asciiTheme="majorHAnsi" w:eastAsia="Calibri" w:hAnsiTheme="majorHAnsi" w:cs="Calibri"/>
          <w:sz w:val="24"/>
          <w:szCs w:val="24"/>
        </w:rPr>
        <w:t>d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ziałalności </w:t>
      </w:r>
      <w:r w:rsidR="00F03531">
        <w:rPr>
          <w:rFonts w:asciiTheme="majorHAnsi" w:eastAsia="Calibri" w:hAnsiTheme="majorHAnsi" w:cs="Calibri"/>
          <w:sz w:val="24"/>
          <w:szCs w:val="24"/>
        </w:rPr>
        <w:t>g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ospodarczej (pomoc w złożeniu wniosku w </w:t>
      </w:r>
      <w:r w:rsidR="00F03531">
        <w:rPr>
          <w:rFonts w:asciiTheme="majorHAnsi" w:eastAsia="Calibri" w:hAnsiTheme="majorHAnsi" w:cs="Calibri"/>
          <w:sz w:val="24"/>
          <w:szCs w:val="24"/>
        </w:rPr>
        <w:t xml:space="preserve">rejestrze </w:t>
      </w:r>
      <w:r w:rsidRPr="00481063">
        <w:rPr>
          <w:rFonts w:asciiTheme="majorHAnsi" w:eastAsia="Calibri" w:hAnsiTheme="majorHAnsi" w:cs="Calibri"/>
          <w:sz w:val="24"/>
          <w:szCs w:val="24"/>
        </w:rPr>
        <w:t>CEIDG)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Nagwek3"/>
        <w:keepNext w:val="0"/>
        <w:keepLines w:val="0"/>
        <w:spacing w:before="280"/>
        <w:jc w:val="both"/>
        <w:rPr>
          <w:rFonts w:asciiTheme="majorHAnsi" w:eastAsia="Calibri" w:hAnsiTheme="majorHAnsi" w:cs="Calibri"/>
          <w:b/>
          <w:color w:val="000000"/>
          <w:sz w:val="26"/>
          <w:szCs w:val="26"/>
        </w:rPr>
      </w:pPr>
      <w:bookmarkStart w:id="21" w:name="_s3mfd8mk9aqn" w:colFirst="0" w:colLast="0"/>
      <w:bookmarkEnd w:id="21"/>
      <w:r w:rsidRPr="00481063">
        <w:rPr>
          <w:rFonts w:asciiTheme="majorHAnsi" w:eastAsia="Calibri" w:hAnsiTheme="majorHAnsi" w:cs="Calibri"/>
          <w:b/>
          <w:color w:val="000000"/>
          <w:sz w:val="26"/>
          <w:szCs w:val="26"/>
        </w:rPr>
        <w:t>Funkcjonalności:</w:t>
      </w: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Doradztwo biznesowe (edukacja w zakresie kompetencji cyfrowych) </w:t>
      </w:r>
      <w:r w:rsidRPr="00481063">
        <w:rPr>
          <w:rFonts w:asciiTheme="majorHAnsi" w:eastAsia="Calibri" w:hAnsiTheme="majorHAnsi" w:cs="Calibri"/>
          <w:sz w:val="24"/>
          <w:szCs w:val="24"/>
        </w:rPr>
        <w:t>- edukacja w zakresie możliwości wykorzystania usług elektronicznych świadczonych przez administrację publiczną, tzw. asysta w procesie rejestracji do systemów e-administracji i złożenia wniosku w formie dokumentu elektronicznego w danej sprawie.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Uzyskanie narzędzi elektronicznego zaufania 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– doradztwo w sprawie uzyskania narzędzi zapewniających potwierdzanie tożsamości w systemach administracji (podpis elektroniczny z certyfikatem kwalifikowanym, Profil Zaufany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ePUAP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>). Dzięki uzyskanym narzędziom, użytkownik będzie miał możliwość realizacji usług transakcyjnych za pośrednictwem CPPK.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Informowanie o procedurach i sprawach administracyjnych </w:t>
      </w:r>
      <w:r w:rsidRPr="00481063">
        <w:rPr>
          <w:rFonts w:asciiTheme="majorHAnsi" w:eastAsia="Calibri" w:hAnsiTheme="majorHAnsi" w:cs="Calibri"/>
          <w:sz w:val="24"/>
          <w:szCs w:val="24"/>
        </w:rPr>
        <w:t>– informacja na temat procedur administracyjnych oraz zasad ich załatwiania. Użytkownik skorzysta na miejscu uzyska odpowiedzi na zadane pytania związane z działalnością gospodarczą (z wyłączeniem doradztwa indywidualnego).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Integracja CPPK z Centrum Pomocy 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– możliwość dokonania bezpłatnej konsultacji z pracownikami Infolinii </w:t>
      </w:r>
      <w:r w:rsidR="00F03531">
        <w:rPr>
          <w:rFonts w:asciiTheme="majorHAnsi" w:eastAsia="Calibri" w:hAnsiTheme="majorHAnsi" w:cs="Calibri"/>
          <w:sz w:val="24"/>
          <w:szCs w:val="24"/>
        </w:rPr>
        <w:t>Centrum Pomocy Przedsiębiorcy (dostępnego na Biznes.gov.pl)</w:t>
      </w:r>
      <w:r w:rsidRPr="00481063">
        <w:rPr>
          <w:rFonts w:asciiTheme="majorHAnsi" w:eastAsia="Calibri" w:hAnsiTheme="majorHAnsi" w:cs="Calibri"/>
          <w:sz w:val="24"/>
          <w:szCs w:val="24"/>
        </w:rPr>
        <w:t>. Dostęp do, informacji będzie możliwy kilkoma kanałami m.in.: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telefonicznie – za pomocą połączenia zwykłego lub internetowego,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wideo połączenie,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dostęp dla osób niesłyszących – przy udziale konsultanta migowego,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lastRenderedPageBreak/>
        <w:t>rozmowa na czacie tekstowym,</w:t>
      </w:r>
    </w:p>
    <w:p w:rsidR="00481063" w:rsidRPr="00481063" w:rsidRDefault="00481063" w:rsidP="00481063">
      <w:pPr>
        <w:pStyle w:val="Akapitzlist"/>
        <w:numPr>
          <w:ilvl w:val="1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skorzystanie z bazy wiedzy Wirtualnego Urzędnika.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Dystrybuowanie informacji na temat dofinansowania działalności - </w:t>
      </w:r>
      <w:r w:rsidRPr="00481063">
        <w:rPr>
          <w:rFonts w:asciiTheme="majorHAnsi" w:eastAsia="Calibri" w:hAnsiTheme="majorHAnsi" w:cs="Calibri"/>
          <w:sz w:val="24"/>
          <w:szCs w:val="24"/>
        </w:rPr>
        <w:t>uzyskanie informacji o możliwości pozyskania dofinansowania dla podejmowanej lub prowadzonej działalności gospodarczej – przede wszystkim o szeroko rozumianej pomocy publicznej (środki krajowe i zagraniczne).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Udostępnianie wydarzeń i konferencji, warsztatów, spotkań branżowych </w:t>
      </w:r>
      <w:r w:rsidRPr="00481063">
        <w:rPr>
          <w:rFonts w:asciiTheme="majorHAnsi" w:eastAsia="Calibri" w:hAnsiTheme="majorHAnsi" w:cs="Calibri"/>
          <w:sz w:val="24"/>
          <w:szCs w:val="24"/>
        </w:rPr>
        <w:t>– możliwość uczestnictwa w wydarzenia przeznaczonych dla przedsiębiorców i osób zainteresowanych rozpoczęciem prowadzenia działalności gospodarczej. Ww. spotkania będą organizowane z własnej inicjatywy CPPK lub na zlecenie organów administracji publicznej, po wcześniejszym uzgodnieniu i zatwierdzeniu przez CPPK.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>Spotkania / szkolenia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 – możliwość wykorzystania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sal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konferencyjnych zlokalizowanych w budynku do spotkań biznesowych/szkoleń</w:t>
      </w:r>
      <w:r w:rsidR="005B774A">
        <w:rPr>
          <w:rFonts w:asciiTheme="majorHAnsi" w:eastAsia="Calibri" w:hAnsiTheme="majorHAnsi" w:cs="Calibri"/>
          <w:sz w:val="24"/>
          <w:szCs w:val="24"/>
        </w:rPr>
        <w:t xml:space="preserve"> 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Elektroniczne kanały współpracy administracji i biznesu </w:t>
      </w:r>
      <w:r w:rsidRPr="00481063">
        <w:rPr>
          <w:rFonts w:asciiTheme="majorHAnsi" w:eastAsia="Calibri" w:hAnsiTheme="majorHAnsi" w:cs="Calibri"/>
          <w:sz w:val="24"/>
          <w:szCs w:val="24"/>
        </w:rPr>
        <w:t>– rozwój i promocja – w zależności od potrzeb, spotkania warsztatowo-konsultacyjne z przedstawicielami administracji (m.in. ZUS, Ministerstwo Finansów)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Przeciwdziałanie wykluczeniu cyfrowemu – </w:t>
      </w:r>
      <w:r w:rsidRPr="00481063">
        <w:rPr>
          <w:rFonts w:asciiTheme="majorHAnsi" w:eastAsia="Calibri" w:hAnsiTheme="majorHAnsi" w:cs="Calibri"/>
          <w:sz w:val="24"/>
          <w:szCs w:val="24"/>
        </w:rPr>
        <w:t>wykonywanie działań edukacyjno-doradczych oraz informacyjnych ma na celu niwelowanie różnicy między tymi osobami, które mają dostęp do technologii informacyjnych, a tymi, które takiego dostępu nie mają. Przeciwdziałanie wykluczeniu cyfrowemu, to jeden z głównych elementów Programu Zintegrowanej Informatyzacji Państwa.</w:t>
      </w:r>
    </w:p>
    <w:p w:rsidR="00481063" w:rsidRPr="00481063" w:rsidRDefault="00481063" w:rsidP="00481063">
      <w:pPr>
        <w:spacing w:after="80"/>
        <w:ind w:left="-1027"/>
        <w:jc w:val="both"/>
        <w:rPr>
          <w:rFonts w:asciiTheme="majorHAnsi" w:eastAsia="Calibri" w:hAnsiTheme="majorHAnsi" w:cs="Calibri"/>
          <w:b/>
          <w:sz w:val="24"/>
          <w:szCs w:val="24"/>
        </w:rPr>
      </w:pPr>
    </w:p>
    <w:p w:rsidR="00481063" w:rsidRPr="00481063" w:rsidRDefault="00481063" w:rsidP="00481063">
      <w:pPr>
        <w:pStyle w:val="Akapitzlist"/>
        <w:numPr>
          <w:ilvl w:val="0"/>
          <w:numId w:val="5"/>
        </w:num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b/>
          <w:sz w:val="24"/>
          <w:szCs w:val="24"/>
        </w:rPr>
        <w:t xml:space="preserve">Usługi dodatkowe (obce) 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– udostępnienie do wykorzystania usług dodatkowych niezbędnych do utrzymania wysokiej jakościowo i kompleksowej obsługi użytkowników CPPK, jak np. możliwość wykonania kopii dokumentów, </w:t>
      </w:r>
      <w:r w:rsidR="005B774A">
        <w:rPr>
          <w:rFonts w:asciiTheme="majorHAnsi" w:eastAsia="Calibri" w:hAnsiTheme="majorHAnsi" w:cs="Calibri"/>
          <w:sz w:val="24"/>
          <w:szCs w:val="24"/>
        </w:rPr>
        <w:t xml:space="preserve">usługi </w:t>
      </w:r>
      <w:proofErr w:type="spellStart"/>
      <w:r w:rsidR="005B774A">
        <w:rPr>
          <w:rFonts w:asciiTheme="majorHAnsi" w:eastAsia="Calibri" w:hAnsiTheme="majorHAnsi" w:cs="Calibri"/>
          <w:sz w:val="24"/>
          <w:szCs w:val="24"/>
        </w:rPr>
        <w:t>wspracia</w:t>
      </w:r>
      <w:proofErr w:type="spellEnd"/>
      <w:r w:rsidR="005B774A">
        <w:rPr>
          <w:rFonts w:asciiTheme="majorHAnsi" w:eastAsia="Calibri" w:hAnsiTheme="majorHAnsi" w:cs="Calibri"/>
          <w:sz w:val="24"/>
          <w:szCs w:val="24"/>
        </w:rPr>
        <w:t xml:space="preserve"> w tematyce </w:t>
      </w:r>
      <w:r w:rsidRPr="00481063">
        <w:rPr>
          <w:rFonts w:asciiTheme="majorHAnsi" w:eastAsia="Calibri" w:hAnsiTheme="majorHAnsi" w:cs="Calibri"/>
          <w:sz w:val="24"/>
          <w:szCs w:val="24"/>
        </w:rPr>
        <w:t>finansowo-</w:t>
      </w:r>
      <w:r w:rsidR="005B774A" w:rsidRPr="00481063">
        <w:rPr>
          <w:rFonts w:asciiTheme="majorHAnsi" w:eastAsia="Calibri" w:hAnsiTheme="majorHAnsi" w:cs="Calibri"/>
          <w:sz w:val="24"/>
          <w:szCs w:val="24"/>
        </w:rPr>
        <w:t>księgowe</w:t>
      </w:r>
      <w:r w:rsidR="005B774A">
        <w:rPr>
          <w:rFonts w:asciiTheme="majorHAnsi" w:eastAsia="Calibri" w:hAnsiTheme="majorHAnsi" w:cs="Calibri"/>
          <w:sz w:val="24"/>
          <w:szCs w:val="24"/>
        </w:rPr>
        <w:t xml:space="preserve">j lub 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, </w:t>
      </w:r>
      <w:r w:rsidR="005B774A" w:rsidRPr="00481063">
        <w:rPr>
          <w:rFonts w:asciiTheme="majorHAnsi" w:eastAsia="Calibri" w:hAnsiTheme="majorHAnsi" w:cs="Calibri"/>
          <w:sz w:val="24"/>
          <w:szCs w:val="24"/>
        </w:rPr>
        <w:t>podatkowe</w:t>
      </w:r>
      <w:r w:rsidR="005B774A">
        <w:rPr>
          <w:rFonts w:asciiTheme="majorHAnsi" w:eastAsia="Calibri" w:hAnsiTheme="majorHAnsi" w:cs="Calibri"/>
          <w:sz w:val="24"/>
          <w:szCs w:val="24"/>
        </w:rPr>
        <w:t>j</w:t>
      </w:r>
      <w:r w:rsidRPr="00481063">
        <w:rPr>
          <w:rFonts w:asciiTheme="majorHAnsi" w:eastAsia="Calibri" w:hAnsiTheme="majorHAnsi" w:cs="Calibri"/>
          <w:sz w:val="24"/>
          <w:szCs w:val="24"/>
        </w:rPr>
        <w:t xml:space="preserve">. </w:t>
      </w:r>
    </w:p>
    <w:p w:rsidR="00481063" w:rsidRPr="00481063" w:rsidRDefault="00481063" w:rsidP="00481063">
      <w:pPr>
        <w:pStyle w:val="Nagwek3"/>
        <w:keepNext w:val="0"/>
        <w:keepLines w:val="0"/>
        <w:spacing w:before="280"/>
        <w:jc w:val="both"/>
        <w:rPr>
          <w:rFonts w:asciiTheme="majorHAnsi" w:eastAsia="Calibri" w:hAnsiTheme="majorHAnsi" w:cs="Calibri"/>
          <w:b/>
          <w:color w:val="000000"/>
          <w:sz w:val="24"/>
          <w:szCs w:val="24"/>
        </w:rPr>
      </w:pPr>
      <w:bookmarkStart w:id="22" w:name="_hj7giq8qfven" w:colFirst="0" w:colLast="0"/>
      <w:bookmarkEnd w:id="22"/>
      <w:r w:rsidRPr="00481063">
        <w:rPr>
          <w:rFonts w:asciiTheme="majorHAnsi" w:eastAsia="Calibri" w:hAnsiTheme="majorHAnsi" w:cs="Calibri"/>
          <w:b/>
          <w:color w:val="000000"/>
          <w:sz w:val="34"/>
          <w:szCs w:val="34"/>
        </w:rPr>
        <w:t>Promocja, komunikacja i marketing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>Wielofunkcyjna przestrzeń CPPK umożliwia również funkcjonalność co-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workingu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, która stanowi naturalny mechanizm promocyjno – marketingowy. Przedsiębiorcy poszukują miejsca do spotkań i pracy grupowej zlokalizowanego w centralnym punkcie miasta. Połączenie komunikacji szerokiego zakresu usług e-administracji i doradztwa z </w:t>
      </w:r>
      <w:r w:rsidRPr="00481063">
        <w:rPr>
          <w:rFonts w:asciiTheme="majorHAnsi" w:eastAsia="Calibri" w:hAnsiTheme="majorHAnsi" w:cs="Calibri"/>
          <w:sz w:val="24"/>
          <w:szCs w:val="24"/>
        </w:rPr>
        <w:lastRenderedPageBreak/>
        <w:t xml:space="preserve">udostępnianiem bezpłatnej / 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niskokosztowej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przestrzeni do co-</w:t>
      </w:r>
      <w:proofErr w:type="spellStart"/>
      <w:r w:rsidRPr="00481063">
        <w:rPr>
          <w:rFonts w:asciiTheme="majorHAnsi" w:eastAsia="Calibri" w:hAnsiTheme="majorHAnsi" w:cs="Calibri"/>
          <w:sz w:val="24"/>
          <w:szCs w:val="24"/>
        </w:rPr>
        <w:t>workingu</w:t>
      </w:r>
      <w:proofErr w:type="spellEnd"/>
      <w:r w:rsidRPr="00481063">
        <w:rPr>
          <w:rFonts w:asciiTheme="majorHAnsi" w:eastAsia="Calibri" w:hAnsiTheme="majorHAnsi" w:cs="Calibri"/>
          <w:sz w:val="24"/>
          <w:szCs w:val="24"/>
        </w:rPr>
        <w:t xml:space="preserve"> spowoduje bardzo szybką propagację informacji o Centrum Przedsiębiorcy Punktu Kontaktowego w mediach społecznościowych oraz poprzez marketing szeptany.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  <w:r w:rsidRPr="00481063">
        <w:rPr>
          <w:rFonts w:asciiTheme="majorHAnsi" w:eastAsia="Calibri" w:hAnsiTheme="majorHAnsi" w:cs="Calibri"/>
          <w:sz w:val="24"/>
          <w:szCs w:val="24"/>
        </w:rPr>
        <w:t xml:space="preserve">Proponuje się wykorzystanie kanałów komunikacji/promocji CPPK, promocja w trakcie wydarzeń organizowanych </w:t>
      </w:r>
      <w:r w:rsidR="00E650CA">
        <w:rPr>
          <w:rFonts w:asciiTheme="majorHAnsi" w:eastAsia="Calibri" w:hAnsiTheme="majorHAnsi" w:cs="Calibri"/>
          <w:sz w:val="24"/>
          <w:szCs w:val="24"/>
        </w:rPr>
        <w:t>w CPPK</w:t>
      </w:r>
      <w:r w:rsidRPr="00481063">
        <w:rPr>
          <w:rFonts w:asciiTheme="majorHAnsi" w:eastAsia="Calibri" w:hAnsiTheme="majorHAnsi" w:cs="Calibri"/>
          <w:sz w:val="24"/>
          <w:szCs w:val="24"/>
        </w:rPr>
        <w:t>, udział ekspertów CPPK w konferencjach dla przedsiębiorców.</w:t>
      </w:r>
    </w:p>
    <w:p w:rsidR="00481063" w:rsidRPr="00481063" w:rsidRDefault="00481063" w:rsidP="00481063">
      <w:pPr>
        <w:spacing w:after="80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4B3B56" w:rsidRPr="00481063" w:rsidRDefault="004B3B56">
      <w:pPr>
        <w:rPr>
          <w:rFonts w:asciiTheme="majorHAnsi" w:hAnsiTheme="majorHAnsi"/>
        </w:rPr>
      </w:pPr>
    </w:p>
    <w:sectPr w:rsidR="004B3B56" w:rsidRPr="00481063" w:rsidSect="002F32A4">
      <w:headerReference w:type="default" r:id="rId9"/>
      <w:footerReference w:type="default" r:id="rId10"/>
      <w:pgSz w:w="11906" w:h="16838"/>
      <w:pgMar w:top="1418" w:right="1418" w:bottom="1701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4A" w:rsidRDefault="005B774A" w:rsidP="002F32A4">
      <w:pPr>
        <w:spacing w:after="0" w:line="240" w:lineRule="auto"/>
      </w:pPr>
      <w:r>
        <w:separator/>
      </w:r>
    </w:p>
  </w:endnote>
  <w:endnote w:type="continuationSeparator" w:id="0">
    <w:p w:rsidR="005B774A" w:rsidRDefault="005B774A" w:rsidP="002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4A" w:rsidRDefault="005B774A" w:rsidP="002F32A4">
    <w:pPr>
      <w:pStyle w:val="Stopka"/>
      <w:jc w:val="center"/>
    </w:pPr>
    <w:r w:rsidRPr="00AC0795">
      <w:rPr>
        <w:noProof/>
        <w:lang w:eastAsia="pl-PL"/>
      </w:rPr>
      <w:drawing>
        <wp:inline distT="0" distB="0" distL="0" distR="0" wp14:anchorId="6230C9CB" wp14:editId="04BA536E">
          <wp:extent cx="1555750" cy="506696"/>
          <wp:effectExtent l="0" t="0" r="6350" b="8255"/>
          <wp:docPr id="61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642" cy="5076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4A" w:rsidRDefault="005B774A" w:rsidP="002F32A4">
      <w:pPr>
        <w:spacing w:after="0" w:line="240" w:lineRule="auto"/>
      </w:pPr>
      <w:r>
        <w:separator/>
      </w:r>
    </w:p>
  </w:footnote>
  <w:footnote w:type="continuationSeparator" w:id="0">
    <w:p w:rsidR="005B774A" w:rsidRDefault="005B774A" w:rsidP="002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4A" w:rsidRDefault="005B774A">
    <w:pPr>
      <w:pStyle w:val="Nagwek"/>
    </w:pPr>
  </w:p>
  <w:p w:rsidR="005B774A" w:rsidRDefault="005B77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630"/>
    <w:multiLevelType w:val="hybridMultilevel"/>
    <w:tmpl w:val="C4F0C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032C6"/>
    <w:multiLevelType w:val="hybridMultilevel"/>
    <w:tmpl w:val="3798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F0801"/>
    <w:multiLevelType w:val="hybridMultilevel"/>
    <w:tmpl w:val="944EE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B0746"/>
    <w:multiLevelType w:val="hybridMultilevel"/>
    <w:tmpl w:val="4C6C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131F6"/>
    <w:multiLevelType w:val="hybridMultilevel"/>
    <w:tmpl w:val="B012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A4"/>
    <w:rsid w:val="001C25ED"/>
    <w:rsid w:val="001E32EC"/>
    <w:rsid w:val="00282F4E"/>
    <w:rsid w:val="002845EA"/>
    <w:rsid w:val="00293D7D"/>
    <w:rsid w:val="002C6201"/>
    <w:rsid w:val="002F32A4"/>
    <w:rsid w:val="0030518C"/>
    <w:rsid w:val="00481063"/>
    <w:rsid w:val="004B3B56"/>
    <w:rsid w:val="005120B3"/>
    <w:rsid w:val="00583584"/>
    <w:rsid w:val="005B774A"/>
    <w:rsid w:val="007055FD"/>
    <w:rsid w:val="0071445B"/>
    <w:rsid w:val="0088429E"/>
    <w:rsid w:val="00995874"/>
    <w:rsid w:val="00996A88"/>
    <w:rsid w:val="00AC0795"/>
    <w:rsid w:val="00B64A5A"/>
    <w:rsid w:val="00C5385A"/>
    <w:rsid w:val="00CA736B"/>
    <w:rsid w:val="00D81B0A"/>
    <w:rsid w:val="00D826BF"/>
    <w:rsid w:val="00E650CA"/>
    <w:rsid w:val="00F03531"/>
    <w:rsid w:val="00F5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063"/>
    <w:pPr>
      <w:keepNext/>
      <w:keepLines/>
      <w:spacing w:before="360" w:after="120"/>
      <w:outlineLvl w:val="1"/>
    </w:pPr>
    <w:rPr>
      <w:rFonts w:ascii="Arial" w:eastAsia="Arial" w:hAnsi="Arial" w:cs="Arial"/>
      <w:b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06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81063"/>
    <w:rPr>
      <w:rFonts w:ascii="Arial" w:eastAsia="Arial" w:hAnsi="Arial" w:cs="Arial"/>
      <w:b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063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4810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5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063"/>
    <w:pPr>
      <w:keepNext/>
      <w:keepLines/>
      <w:spacing w:before="360" w:after="120"/>
      <w:outlineLvl w:val="1"/>
    </w:pPr>
    <w:rPr>
      <w:rFonts w:ascii="Arial" w:eastAsia="Arial" w:hAnsi="Arial" w:cs="Arial"/>
      <w:b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06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81063"/>
    <w:rPr>
      <w:rFonts w:ascii="Arial" w:eastAsia="Arial" w:hAnsi="Arial" w:cs="Arial"/>
      <w:b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063"/>
    <w:rPr>
      <w:rFonts w:ascii="Arial" w:eastAsia="Arial" w:hAnsi="Arial" w:cs="Arial"/>
      <w:color w:val="434343"/>
      <w:sz w:val="28"/>
      <w:szCs w:val="28"/>
      <w:lang w:val="pl" w:eastAsia="pl-PL"/>
    </w:rPr>
  </w:style>
  <w:style w:type="paragraph" w:styleId="Akapitzlist">
    <w:name w:val="List Paragraph"/>
    <w:basedOn w:val="Normalny"/>
    <w:uiPriority w:val="34"/>
    <w:qFormat/>
    <w:rsid w:val="004810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5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FE873-0608-4565-91A2-5096B9C7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mwstazewski</dc:creator>
  <cp:lastModifiedBy>Tomasz Majda</cp:lastModifiedBy>
  <cp:revision>2</cp:revision>
  <dcterms:created xsi:type="dcterms:W3CDTF">2020-06-05T09:41:00Z</dcterms:created>
  <dcterms:modified xsi:type="dcterms:W3CDTF">2020-06-05T09:41:00Z</dcterms:modified>
</cp:coreProperties>
</file>