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31" w:type="pct"/>
        <w:tblLayout w:type="fixed"/>
        <w:tblCellMar>
          <w:left w:w="70" w:type="dxa"/>
          <w:right w:w="70" w:type="dxa"/>
        </w:tblCellMar>
        <w:tblLook w:val="04A0" w:firstRow="1" w:lastRow="0" w:firstColumn="1" w:lastColumn="0" w:noHBand="0" w:noVBand="1"/>
      </w:tblPr>
      <w:tblGrid>
        <w:gridCol w:w="420"/>
        <w:gridCol w:w="970"/>
        <w:gridCol w:w="165"/>
        <w:gridCol w:w="2256"/>
        <w:gridCol w:w="5000"/>
        <w:gridCol w:w="2733"/>
        <w:gridCol w:w="3009"/>
        <w:gridCol w:w="1720"/>
        <w:gridCol w:w="1014"/>
        <w:gridCol w:w="4649"/>
      </w:tblGrid>
      <w:tr w:rsidR="007C2B40" w:rsidRPr="0028666F" w14:paraId="299CE84A" w14:textId="77777777" w:rsidTr="007C2B40">
        <w:trPr>
          <w:trHeight w:val="454"/>
          <w:tblHeader/>
        </w:trPr>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BFF8BD1"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bookmarkStart w:id="0" w:name="_GoBack"/>
            <w:bookmarkEnd w:id="0"/>
            <w:r w:rsidRPr="0028666F">
              <w:rPr>
                <w:rFonts w:ascii="Calibri" w:eastAsia="Times New Roman" w:hAnsi="Calibri" w:cs="Calibri"/>
                <w:b/>
                <w:bCs/>
                <w:color w:val="000000"/>
                <w:sz w:val="18"/>
                <w:szCs w:val="18"/>
                <w:lang w:eastAsia="pl-PL"/>
              </w:rPr>
              <w:t>l.p.</w:t>
            </w:r>
          </w:p>
        </w:tc>
        <w:tc>
          <w:tcPr>
            <w:tcW w:w="970" w:type="dxa"/>
            <w:tcBorders>
              <w:top w:val="single" w:sz="4" w:space="0" w:color="auto"/>
              <w:left w:val="nil"/>
              <w:bottom w:val="single" w:sz="4" w:space="0" w:color="auto"/>
              <w:right w:val="nil"/>
            </w:tcBorders>
            <w:shd w:val="clear" w:color="auto" w:fill="BFBFBF" w:themeFill="background1" w:themeFillShade="BF"/>
          </w:tcPr>
          <w:p w14:paraId="55A3999B"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Nazwa instytucji</w:t>
            </w:r>
            <w:r>
              <w:rPr>
                <w:rFonts w:ascii="Calibri" w:eastAsia="Times New Roman" w:hAnsi="Calibri" w:cs="Calibri"/>
                <w:b/>
                <w:bCs/>
                <w:color w:val="000000"/>
                <w:sz w:val="18"/>
                <w:szCs w:val="18"/>
                <w:lang w:eastAsia="pl-PL"/>
              </w:rPr>
              <w:t>/osoba fizyczna</w:t>
            </w:r>
          </w:p>
        </w:tc>
        <w:tc>
          <w:tcPr>
            <w:tcW w:w="16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048B07F"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p>
        </w:tc>
        <w:tc>
          <w:tcPr>
            <w:tcW w:w="22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A79BCD"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Część dokumentu którego dotyczy uwaga</w:t>
            </w:r>
          </w:p>
        </w:tc>
        <w:tc>
          <w:tcPr>
            <w:tcW w:w="50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C10F2FF"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Treść uwagi/wniosku</w:t>
            </w:r>
          </w:p>
        </w:tc>
        <w:tc>
          <w:tcPr>
            <w:tcW w:w="273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46FBAE"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Proponowane zmiany</w:t>
            </w:r>
          </w:p>
        </w:tc>
        <w:tc>
          <w:tcPr>
            <w:tcW w:w="300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31E9EC"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Uzasadnienie proponowanych zmian</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E7E6E9"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Załącznik do uwagi/wniosku</w:t>
            </w:r>
          </w:p>
        </w:tc>
        <w:tc>
          <w:tcPr>
            <w:tcW w:w="101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92734C"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Sposób rozpatrzenia uwagi</w:t>
            </w:r>
          </w:p>
        </w:tc>
        <w:tc>
          <w:tcPr>
            <w:tcW w:w="464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5E3826" w14:textId="77777777" w:rsidR="007C2B40" w:rsidRPr="0028666F" w:rsidRDefault="007C2B40" w:rsidP="007C2B40">
            <w:pPr>
              <w:ind w:firstLine="0"/>
              <w:jc w:val="center"/>
              <w:rPr>
                <w:rFonts w:ascii="Calibri" w:eastAsia="Times New Roman" w:hAnsi="Calibri" w:cs="Calibri"/>
                <w:b/>
                <w:bCs/>
                <w:color w:val="000000"/>
                <w:sz w:val="18"/>
                <w:szCs w:val="18"/>
                <w:lang w:eastAsia="pl-PL"/>
              </w:rPr>
            </w:pPr>
            <w:r w:rsidRPr="0028666F">
              <w:rPr>
                <w:rFonts w:ascii="Calibri" w:eastAsia="Times New Roman" w:hAnsi="Calibri" w:cs="Calibri"/>
                <w:b/>
                <w:bCs/>
                <w:color w:val="000000"/>
                <w:sz w:val="18"/>
                <w:szCs w:val="18"/>
                <w:lang w:eastAsia="pl-PL"/>
              </w:rPr>
              <w:t>Uzasadnienie sposobu rozpatrzenia uwagi</w:t>
            </w:r>
          </w:p>
        </w:tc>
      </w:tr>
      <w:tr w:rsidR="007C2B40" w:rsidRPr="0028666F" w14:paraId="5E35DAD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883A9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w:t>
            </w:r>
          </w:p>
        </w:tc>
        <w:tc>
          <w:tcPr>
            <w:tcW w:w="970" w:type="dxa"/>
            <w:tcBorders>
              <w:top w:val="nil"/>
              <w:left w:val="nil"/>
              <w:bottom w:val="single" w:sz="4" w:space="0" w:color="auto"/>
              <w:right w:val="nil"/>
            </w:tcBorders>
          </w:tcPr>
          <w:p w14:paraId="1C3CBFA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5" w:type="dxa"/>
            <w:tcBorders>
              <w:top w:val="nil"/>
              <w:left w:val="nil"/>
              <w:bottom w:val="single" w:sz="4" w:space="0" w:color="auto"/>
              <w:right w:val="single" w:sz="4" w:space="0" w:color="auto"/>
            </w:tcBorders>
            <w:shd w:val="clear" w:color="auto" w:fill="auto"/>
          </w:tcPr>
          <w:p w14:paraId="6191026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15B4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WIELKOŚCI EMISJI I STĘŻEŃ SUBSTANCJI PRIORYTETOWYCH OKREŚLONYCH W PRZEPISACH WYDANYCH NA PODSTAWIE ART. 114 USTAWY PR.W. ORAZ INNYCH SUBSTANCJI POWODUJĄCYCH ZANIECZYSZCZENIE, DLA KTÓRYCH ZOSTAŁY OKREŚLONE ŚRODOWISKOWE NORMY JAKOŚCI</w:t>
            </w:r>
          </w:p>
        </w:tc>
        <w:tc>
          <w:tcPr>
            <w:tcW w:w="5000" w:type="dxa"/>
            <w:tcBorders>
              <w:top w:val="nil"/>
              <w:left w:val="nil"/>
              <w:bottom w:val="single" w:sz="4" w:space="0" w:color="auto"/>
              <w:right w:val="single" w:sz="4" w:space="0" w:color="auto"/>
            </w:tcBorders>
            <w:shd w:val="clear" w:color="auto" w:fill="auto"/>
            <w:hideMark/>
          </w:tcPr>
          <w:p w14:paraId="42B214F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Jednym z najważniejszych aspektów wzmacniania bioróżnorodności na ciekach w Polsce powinno być odtwarzanie tzw. niebieskich korytarzy ekologicznych, poprzez: budowanie skutecznych przepławek, koryt obejścia przegród na rzekach jak najbardziej zbliżonych do naturalnych, lub likwidacja przegród na rzecz budowy np. bystrzy. Jak dotąd takie działania są jednostkowe dla całych cieków (w zasadzie realizowane tylko przez RDWP w Szczecinie i Krakowie), w pozostałych przypadkach są to pojedyncze budowy najczęściej tylko przepławek.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4DADC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strategicznego i bardziej dynamicznego podejścia w tym obszarze nie ma co liczyć na odbudowę</w:t>
            </w:r>
            <w:r w:rsidRPr="0028666F">
              <w:rPr>
                <w:rFonts w:ascii="Calibri" w:eastAsia="Times New Roman" w:hAnsi="Calibri" w:cs="Calibri"/>
                <w:color w:val="000000"/>
                <w:sz w:val="18"/>
                <w:szCs w:val="18"/>
                <w:lang w:eastAsia="pl-PL"/>
              </w:rPr>
              <w:br/>
              <w:t>populacji ryb dwuśrodowiskowych (jesiotr, łosoś, troć, certa, węgorz) oraz innych, w tym zagrożonych gatunków.</w:t>
            </w:r>
          </w:p>
        </w:tc>
        <w:tc>
          <w:tcPr>
            <w:tcW w:w="3009" w:type="dxa"/>
            <w:tcBorders>
              <w:top w:val="nil"/>
              <w:left w:val="nil"/>
              <w:bottom w:val="single" w:sz="4" w:space="0" w:color="auto"/>
              <w:right w:val="single" w:sz="4" w:space="0" w:color="auto"/>
            </w:tcBorders>
            <w:shd w:val="clear" w:color="auto" w:fill="auto"/>
            <w:hideMark/>
          </w:tcPr>
          <w:p w14:paraId="1B5AA6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Główny nacisk powinien zostać położony na skuteczne udrożnienie w pierwszej kolejności najważniejszych cieków dla przemieszczania się organizmów wodnych (tj. Wisły, Odry, Narwi, Sanu, Warty, Noteci, Bobra, Nysy Kłodzkiej, itd.), poprzez przede</w:t>
            </w:r>
            <w:r w:rsidRPr="0028666F">
              <w:rPr>
                <w:rFonts w:ascii="Calibri" w:eastAsia="Times New Roman" w:hAnsi="Calibri" w:cs="Calibri"/>
                <w:color w:val="000000"/>
                <w:sz w:val="18"/>
                <w:szCs w:val="18"/>
                <w:lang w:eastAsia="pl-PL"/>
              </w:rPr>
              <w:br/>
              <w:t>wszystkim budowę semi-naturalnych koryt obejścia (wspieranych dodatkowo technicznymi przepławkami w głównym korycie).</w:t>
            </w:r>
          </w:p>
        </w:tc>
        <w:tc>
          <w:tcPr>
            <w:tcW w:w="1720" w:type="dxa"/>
            <w:tcBorders>
              <w:top w:val="nil"/>
              <w:left w:val="nil"/>
              <w:bottom w:val="single" w:sz="4" w:space="0" w:color="auto"/>
              <w:right w:val="single" w:sz="4" w:space="0" w:color="auto"/>
            </w:tcBorders>
            <w:shd w:val="clear" w:color="000000" w:fill="FFFFFF"/>
            <w:hideMark/>
          </w:tcPr>
          <w:p w14:paraId="7FA5CE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6F5F9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579D6E4" w14:textId="63DBD5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Celem podstawowym IIaPGW jest weryfikacja aktualnego stanu wód i występujących zagrożeń dla zakładanych do osiągnięcia celów środowiskowych. Podstawą dokonanej weryfikacji była posiadana przez PGWWP dokumentacja oraz wszelkie bazy danych zawierające materiały dotyczące stanu wód w Polsce (dane PMŚ - dane monitoringowe, oceny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dane projektów analizy znaczących oddziaływań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dalsza charakterystyka wód podziemnych). Na tej podstawie wypracowano katalogi działań kontynuowanych i nowych, które umożliwiły indywidualne dostosowanie zestawu działań do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powierzchniowych, mających realną (zgodnie z metodyką przygotowania zestawów działań) szansę na realizację w nadchodzącej perspektywie 2022 - 2027. Jednym z priorytetowych kierunków analiz w tworzeniu katalogu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(RW) było zapewnienie ciągłości biologicznej i morfologicznej rzek i potoków ze szczególnym uwzględnieniem szlaków migracyjnych ryb dwuśrodowiskowych. Z tego względu w pierwszej kolejności szczegółowo przeanalizowano wszystkie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obejmujące cieki istotne dla ryb wędrownych. Po ustaleniu aktualnego stanu środowiska wodnego zaproponowano zakres działań technicznych i nietechnicznych z wypracowanego katalogu działań kontynuowanych i nowych, indywidualnie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Następnie dokonano weryfikacji zaproponowanych pakietów działań pod kątem możliwości technicznych i ekonomicznych ich realizacji, w wyniku czego ostatecznie przygotowane zostały,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propozycje zestawu działań, który jest możliwy do realizacji pod względem technicznym, uzasadnionym ekonomicznie i dającym największe szanse na uzyskanie wymiernych efektów w kolejnej perspektywie 2022 – 2027.</w:t>
            </w:r>
          </w:p>
        </w:tc>
      </w:tr>
      <w:tr w:rsidR="007C2B40" w:rsidRPr="0028666F" w14:paraId="356302B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31A622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w:t>
            </w:r>
          </w:p>
        </w:tc>
        <w:tc>
          <w:tcPr>
            <w:tcW w:w="970" w:type="dxa"/>
            <w:tcBorders>
              <w:top w:val="nil"/>
              <w:left w:val="nil"/>
              <w:bottom w:val="single" w:sz="4" w:space="0" w:color="auto"/>
              <w:right w:val="nil"/>
            </w:tcBorders>
          </w:tcPr>
          <w:p w14:paraId="3634FE9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5" w:type="dxa"/>
            <w:tcBorders>
              <w:top w:val="nil"/>
              <w:left w:val="nil"/>
              <w:bottom w:val="single" w:sz="4" w:space="0" w:color="auto"/>
              <w:right w:val="single" w:sz="4" w:space="0" w:color="auto"/>
            </w:tcBorders>
            <w:shd w:val="clear" w:color="auto" w:fill="auto"/>
          </w:tcPr>
          <w:p w14:paraId="2A16A63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1F365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WIELKOŚCI EMISJI I STĘŻEŃ SUBSTANCJI PRIORYTETOWYCH OKREŚLONYCH W PRZEPISACH WYDANYCH NA PODSTAWIE ART. 114 USTAWY PR.W. ORAZ INNYCH SUBSTANCJI POWODUJĄCYCH ZANIECZYSZCZENIE, DLA KTÓRYCH ZOSTAŁY OKREŚLONE ŚRODOWISKOWE NORMY JAKOŚCI</w:t>
            </w:r>
          </w:p>
        </w:tc>
        <w:tc>
          <w:tcPr>
            <w:tcW w:w="5000" w:type="dxa"/>
            <w:tcBorders>
              <w:top w:val="nil"/>
              <w:left w:val="nil"/>
              <w:bottom w:val="single" w:sz="4" w:space="0" w:color="auto"/>
              <w:right w:val="single" w:sz="4" w:space="0" w:color="auto"/>
            </w:tcBorders>
            <w:shd w:val="clear" w:color="auto" w:fill="auto"/>
            <w:hideMark/>
          </w:tcPr>
          <w:p w14:paraId="3198DA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szerszym zakresie należy zwiększyć poziom odtwarzania (oraz zachowywania i ochrony) terenów mokradeł i bagien oraz</w:t>
            </w:r>
            <w:r w:rsidRPr="0028666F">
              <w:rPr>
                <w:rFonts w:ascii="Calibri" w:eastAsia="Times New Roman" w:hAnsi="Calibri" w:cs="Calibri"/>
                <w:color w:val="000000"/>
                <w:sz w:val="18"/>
                <w:szCs w:val="18"/>
                <w:lang w:eastAsia="pl-PL"/>
              </w:rPr>
              <w:br/>
              <w:t xml:space="preserve">starorzeczy i renturyzacji cieków wodnych- wszędzie tam, gdzie to możliwe. </w:t>
            </w:r>
          </w:p>
        </w:tc>
        <w:tc>
          <w:tcPr>
            <w:tcW w:w="2733" w:type="dxa"/>
            <w:tcBorders>
              <w:top w:val="nil"/>
              <w:left w:val="nil"/>
              <w:bottom w:val="single" w:sz="4" w:space="0" w:color="auto"/>
              <w:right w:val="single" w:sz="4" w:space="0" w:color="auto"/>
            </w:tcBorders>
            <w:shd w:val="clear" w:color="auto" w:fill="auto"/>
            <w:hideMark/>
          </w:tcPr>
          <w:p w14:paraId="500FF2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Wpływ na bioróżnorodność i retencję jest w tym wypadku oczywisty i nie do przecenienia.</w:t>
            </w:r>
          </w:p>
        </w:tc>
        <w:tc>
          <w:tcPr>
            <w:tcW w:w="3009" w:type="dxa"/>
            <w:tcBorders>
              <w:top w:val="nil"/>
              <w:left w:val="nil"/>
              <w:bottom w:val="single" w:sz="4" w:space="0" w:color="auto"/>
              <w:right w:val="single" w:sz="4" w:space="0" w:color="auto"/>
            </w:tcBorders>
            <w:shd w:val="clear" w:color="auto" w:fill="auto"/>
            <w:hideMark/>
          </w:tcPr>
          <w:p w14:paraId="0EDC98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Wpływ na bioróżnorodność i retencję jest w tym wypadku oczywisty i nie do przecenienia.</w:t>
            </w:r>
          </w:p>
        </w:tc>
        <w:tc>
          <w:tcPr>
            <w:tcW w:w="1720" w:type="dxa"/>
            <w:tcBorders>
              <w:top w:val="nil"/>
              <w:left w:val="nil"/>
              <w:bottom w:val="single" w:sz="4" w:space="0" w:color="auto"/>
              <w:right w:val="single" w:sz="4" w:space="0" w:color="auto"/>
            </w:tcBorders>
            <w:shd w:val="clear" w:color="000000" w:fill="FFFFFF"/>
            <w:hideMark/>
          </w:tcPr>
          <w:p w14:paraId="3FE2C4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999B3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8159E9" w14:textId="7F87B2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zestawach działań dla wód rzecznych, jeziornych, przejściowych i przybrzeżnych oraz zestawie dla wód podziemnych zaplanowano szereg działań mających na celu odtwarzanie ekosystemów hydrogenicznych. Działania zostały przypisane do tych jednolitych cz</w:t>
            </w:r>
            <w:r>
              <w:rPr>
                <w:rFonts w:ascii="Calibri" w:eastAsia="Times New Roman" w:hAnsi="Calibri" w:cs="Calibri"/>
                <w:color w:val="000000"/>
                <w:sz w:val="18"/>
                <w:szCs w:val="18"/>
                <w:lang w:eastAsia="pl-PL"/>
              </w:rPr>
              <w:t>ę</w:t>
            </w:r>
            <w:r w:rsidRPr="0028666F">
              <w:rPr>
                <w:rFonts w:ascii="Calibri" w:eastAsia="Times New Roman" w:hAnsi="Calibri" w:cs="Calibri"/>
                <w:color w:val="000000"/>
                <w:sz w:val="18"/>
                <w:szCs w:val="18"/>
                <w:lang w:eastAsia="pl-PL"/>
              </w:rPr>
              <w:t>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dla których stwierdzono ryzyko nieosiągnięcia celów w wyniku presji znaczących antropogenicznych. Ponadto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powierzchniowych, znajduj</w:t>
            </w:r>
            <w:r>
              <w:rPr>
                <w:rFonts w:ascii="Calibri" w:eastAsia="Times New Roman" w:hAnsi="Calibri" w:cs="Calibri"/>
                <w:color w:val="000000"/>
                <w:sz w:val="18"/>
                <w:szCs w:val="18"/>
                <w:lang w:eastAsia="pl-PL"/>
              </w:rPr>
              <w:t>ą</w:t>
            </w:r>
            <w:r w:rsidRPr="0028666F">
              <w:rPr>
                <w:rFonts w:ascii="Calibri" w:eastAsia="Times New Roman" w:hAnsi="Calibri" w:cs="Calibri"/>
                <w:color w:val="000000"/>
                <w:sz w:val="18"/>
                <w:szCs w:val="18"/>
                <w:lang w:eastAsia="pl-PL"/>
              </w:rPr>
              <w:t>cych się w obrębie obszarów chronionych, przypisano działania naprawcze mające na celu poprawę stanu ekosystemów.</w:t>
            </w:r>
          </w:p>
        </w:tc>
      </w:tr>
      <w:tr w:rsidR="007C2B40" w:rsidRPr="0028666F" w14:paraId="393565D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6BA30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w:t>
            </w:r>
          </w:p>
        </w:tc>
        <w:tc>
          <w:tcPr>
            <w:tcW w:w="970" w:type="dxa"/>
            <w:tcBorders>
              <w:top w:val="nil"/>
              <w:left w:val="nil"/>
              <w:bottom w:val="single" w:sz="4" w:space="0" w:color="auto"/>
              <w:right w:val="nil"/>
            </w:tcBorders>
          </w:tcPr>
          <w:p w14:paraId="665A5C7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5" w:type="dxa"/>
            <w:tcBorders>
              <w:top w:val="nil"/>
              <w:left w:val="nil"/>
              <w:bottom w:val="single" w:sz="4" w:space="0" w:color="auto"/>
              <w:right w:val="single" w:sz="4" w:space="0" w:color="auto"/>
            </w:tcBorders>
            <w:shd w:val="clear" w:color="auto" w:fill="auto"/>
          </w:tcPr>
          <w:p w14:paraId="339A5D6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FD40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WIELKOŚCI EMISJI I STĘŻEŃ SUBSTANCJI PRIORYTETOWYCH OKREŚLONYCH W PRZEPISACH WYDANYCH NA PODSTAWIE ART. 114 USTAWY PR.W. ORAZ INNYCH SUBSTANCJI POWODUJĄCYCH ZANIECZYSZCZENIE, DLA </w:t>
            </w:r>
            <w:r w:rsidRPr="0028666F">
              <w:rPr>
                <w:rFonts w:ascii="Calibri" w:eastAsia="Times New Roman" w:hAnsi="Calibri" w:cs="Calibri"/>
                <w:color w:val="000000"/>
                <w:sz w:val="18"/>
                <w:szCs w:val="18"/>
                <w:lang w:eastAsia="pl-PL"/>
              </w:rPr>
              <w:lastRenderedPageBreak/>
              <w:t>KTÓRYCH ZOSTAŁY OKREŚLONE ŚRODOWISKOWE NORMY JAKOŚCI</w:t>
            </w:r>
          </w:p>
        </w:tc>
        <w:tc>
          <w:tcPr>
            <w:tcW w:w="5000" w:type="dxa"/>
            <w:tcBorders>
              <w:top w:val="nil"/>
              <w:left w:val="nil"/>
              <w:bottom w:val="single" w:sz="4" w:space="0" w:color="auto"/>
              <w:right w:val="single" w:sz="4" w:space="0" w:color="auto"/>
            </w:tcBorders>
            <w:shd w:val="clear" w:color="auto" w:fill="auto"/>
            <w:hideMark/>
          </w:tcPr>
          <w:p w14:paraId="65AA29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Należy położyć nacisk na polepszanie stanu jakościowego polskich wód, w tym przede wszystkim rzek. Sytuacje wylewania</w:t>
            </w:r>
            <w:r w:rsidRPr="0028666F">
              <w:rPr>
                <w:rFonts w:ascii="Calibri" w:eastAsia="Times New Roman" w:hAnsi="Calibri" w:cs="Calibri"/>
                <w:color w:val="000000"/>
                <w:sz w:val="18"/>
                <w:szCs w:val="18"/>
                <w:lang w:eastAsia="pl-PL"/>
              </w:rPr>
              <w:br/>
              <w:t xml:space="preserve">do rzek nieoczyszczonych ścieków komunalnych (często z samych oczyszczalni) są skandaliczne i nie do zaakceptowania. </w:t>
            </w:r>
            <w:r w:rsidRPr="0028666F">
              <w:rPr>
                <w:rFonts w:ascii="Calibri" w:eastAsia="Times New Roman" w:hAnsi="Calibri" w:cs="Calibri"/>
                <w:color w:val="000000"/>
                <w:sz w:val="18"/>
                <w:szCs w:val="18"/>
                <w:lang w:eastAsia="pl-PL"/>
              </w:rPr>
              <w:br/>
              <w:t>Wymaga to ściślejszych i częstszych kontroli odpowiedzialnych za to podmiotów oraz nakładania kar i egzekwowania wdrożenia</w:t>
            </w:r>
            <w:r w:rsidRPr="0028666F">
              <w:rPr>
                <w:rFonts w:ascii="Calibri" w:eastAsia="Times New Roman" w:hAnsi="Calibri" w:cs="Calibri"/>
                <w:color w:val="000000"/>
                <w:sz w:val="18"/>
                <w:szCs w:val="18"/>
                <w:lang w:eastAsia="pl-PL"/>
              </w:rPr>
              <w:br/>
              <w:t xml:space="preserve">skutecznych środków zaradczych i zapobiegawczych. </w:t>
            </w:r>
          </w:p>
        </w:tc>
        <w:tc>
          <w:tcPr>
            <w:tcW w:w="2733" w:type="dxa"/>
            <w:tcBorders>
              <w:top w:val="nil"/>
              <w:left w:val="nil"/>
              <w:bottom w:val="single" w:sz="4" w:space="0" w:color="auto"/>
              <w:right w:val="single" w:sz="4" w:space="0" w:color="auto"/>
            </w:tcBorders>
            <w:shd w:val="clear" w:color="auto" w:fill="auto"/>
            <w:hideMark/>
          </w:tcPr>
          <w:p w14:paraId="4BFD16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tego punktu proponuje się ponadto m.in.:</w:t>
            </w:r>
            <w:r w:rsidRPr="0028666F">
              <w:rPr>
                <w:rFonts w:ascii="Calibri" w:eastAsia="Times New Roman" w:hAnsi="Calibri" w:cs="Calibri"/>
                <w:color w:val="000000"/>
                <w:sz w:val="18"/>
                <w:szCs w:val="18"/>
                <w:lang w:eastAsia="pl-PL"/>
              </w:rPr>
              <w:br/>
              <w:t>- masowe podłączanie do sieci kanalizacyjnej i wodociągowej tych osiedli (szczególnie na obszarach wiejskich), które do tej</w:t>
            </w:r>
            <w:r w:rsidRPr="0028666F">
              <w:rPr>
                <w:rFonts w:ascii="Calibri" w:eastAsia="Times New Roman" w:hAnsi="Calibri" w:cs="Calibri"/>
                <w:color w:val="000000"/>
                <w:sz w:val="18"/>
                <w:szCs w:val="18"/>
                <w:lang w:eastAsia="pl-PL"/>
              </w:rPr>
              <w:br/>
              <w:t>pory nie miały takiej możliwości</w:t>
            </w:r>
            <w:r w:rsidRPr="0028666F">
              <w:rPr>
                <w:rFonts w:ascii="Calibri" w:eastAsia="Times New Roman" w:hAnsi="Calibri" w:cs="Calibri"/>
                <w:color w:val="000000"/>
                <w:sz w:val="18"/>
                <w:szCs w:val="18"/>
                <w:lang w:eastAsia="pl-PL"/>
              </w:rPr>
              <w:br/>
              <w:t xml:space="preserve">- rozbudowę oczyszczalni ścieków, budowa nowych, unowocześnianie istniejących- tak, aby rezultat </w:t>
            </w:r>
            <w:r w:rsidRPr="0028666F">
              <w:rPr>
                <w:rFonts w:ascii="Calibri" w:eastAsia="Times New Roman" w:hAnsi="Calibri" w:cs="Calibri"/>
                <w:color w:val="000000"/>
                <w:sz w:val="18"/>
                <w:szCs w:val="18"/>
                <w:lang w:eastAsia="pl-PL"/>
              </w:rPr>
              <w:lastRenderedPageBreak/>
              <w:t>oczyszczania mógł być</w:t>
            </w:r>
            <w:r w:rsidRPr="0028666F">
              <w:rPr>
                <w:rFonts w:ascii="Calibri" w:eastAsia="Times New Roman" w:hAnsi="Calibri" w:cs="Calibri"/>
                <w:color w:val="000000"/>
                <w:sz w:val="18"/>
                <w:szCs w:val="18"/>
                <w:lang w:eastAsia="pl-PL"/>
              </w:rPr>
              <w:br/>
              <w:t>bezpiecznie wykorzystywany na cele rolnicze lub zwracany środowisku naturalnemu.</w:t>
            </w:r>
            <w:r w:rsidRPr="0028666F">
              <w:rPr>
                <w:rFonts w:ascii="Calibri" w:eastAsia="Times New Roman" w:hAnsi="Calibri" w:cs="Calibri"/>
                <w:color w:val="000000"/>
                <w:sz w:val="18"/>
                <w:szCs w:val="18"/>
                <w:lang w:eastAsia="pl-PL"/>
              </w:rPr>
              <w:br/>
              <w:t>- promowanie gospodarki obiegu zamkniętego</w:t>
            </w:r>
            <w:r w:rsidRPr="0028666F">
              <w:rPr>
                <w:rFonts w:ascii="Calibri" w:eastAsia="Times New Roman" w:hAnsi="Calibri" w:cs="Calibri"/>
                <w:color w:val="000000"/>
                <w:sz w:val="18"/>
                <w:szCs w:val="18"/>
                <w:lang w:eastAsia="pl-PL"/>
              </w:rPr>
              <w:br/>
              <w:t xml:space="preserve">- spowodowanie (być może ze wsparciem finansowym UE), aby strona ukraińska wybudowała nowoczesną oczyszczalnię </w:t>
            </w:r>
            <w:r w:rsidRPr="0028666F">
              <w:rPr>
                <w:rFonts w:ascii="Calibri" w:eastAsia="Times New Roman" w:hAnsi="Calibri" w:cs="Calibri"/>
                <w:color w:val="000000"/>
                <w:sz w:val="18"/>
                <w:szCs w:val="18"/>
                <w:lang w:eastAsia="pl-PL"/>
              </w:rPr>
              <w:br/>
              <w:t xml:space="preserve"> ścieków, która obsługiwałaby Lwów i miejscowości okoliczne. Służyłoby to ogromnej poprawie stanu wód w Bugu, którego</w:t>
            </w:r>
            <w:r w:rsidRPr="0028666F">
              <w:rPr>
                <w:rFonts w:ascii="Calibri" w:eastAsia="Times New Roman" w:hAnsi="Calibri" w:cs="Calibri"/>
                <w:color w:val="000000"/>
                <w:sz w:val="18"/>
                <w:szCs w:val="18"/>
                <w:lang w:eastAsia="pl-PL"/>
              </w:rPr>
              <w:br/>
              <w:t>obecny stan jest zły, a rzeka niesie w zasadzie nieoczyszczone ścieki, które finalnie stanowią potężne zagrożenie dla wód Zalewu Zegrzyńskiego, Wisły, a w dalszej kolejności Morza Bałtyckiego.</w:t>
            </w:r>
            <w:r w:rsidRPr="0028666F">
              <w:rPr>
                <w:rFonts w:ascii="Calibri" w:eastAsia="Times New Roman" w:hAnsi="Calibri" w:cs="Calibri"/>
                <w:color w:val="000000"/>
                <w:sz w:val="18"/>
                <w:szCs w:val="18"/>
                <w:lang w:eastAsia="pl-PL"/>
              </w:rPr>
              <w:br/>
              <w:t>- szerokie stosowanie na rzekach tzw. roślinnych stref buforowych, szczególnie na obszarach rolniczych, które służyłyby oczyszczaniu</w:t>
            </w:r>
            <w:r w:rsidRPr="0028666F">
              <w:rPr>
                <w:rFonts w:ascii="Calibri" w:eastAsia="Times New Roman" w:hAnsi="Calibri" w:cs="Calibri"/>
                <w:color w:val="000000"/>
                <w:sz w:val="18"/>
                <w:szCs w:val="18"/>
                <w:lang w:eastAsia="pl-PL"/>
              </w:rPr>
              <w:br/>
              <w:t>wód ze środków stosowanych w rolnictwie. Zwiększenie nacisku na stosowanie w rolnictwie bezpiecznych środków oraz w racjonalnych ilościach.</w:t>
            </w:r>
            <w:r w:rsidRPr="0028666F">
              <w:rPr>
                <w:rFonts w:ascii="Calibri" w:eastAsia="Times New Roman" w:hAnsi="Calibri" w:cs="Calibri"/>
                <w:color w:val="000000"/>
                <w:sz w:val="18"/>
                <w:szCs w:val="18"/>
                <w:lang w:eastAsia="pl-PL"/>
              </w:rPr>
              <w:br/>
              <w:t xml:space="preserve"> </w:t>
            </w:r>
          </w:p>
        </w:tc>
        <w:tc>
          <w:tcPr>
            <w:tcW w:w="3009" w:type="dxa"/>
            <w:tcBorders>
              <w:top w:val="nil"/>
              <w:left w:val="nil"/>
              <w:bottom w:val="single" w:sz="4" w:space="0" w:color="auto"/>
              <w:right w:val="single" w:sz="4" w:space="0" w:color="auto"/>
            </w:tcBorders>
            <w:shd w:val="clear" w:color="auto" w:fill="auto"/>
            <w:hideMark/>
          </w:tcPr>
          <w:p w14:paraId="47512FF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 ramach tego punktu proponuje się ponadto m.in.:</w:t>
            </w:r>
            <w:r w:rsidRPr="0028666F">
              <w:rPr>
                <w:rFonts w:ascii="Calibri" w:eastAsia="Times New Roman" w:hAnsi="Calibri" w:cs="Calibri"/>
                <w:color w:val="000000"/>
                <w:sz w:val="18"/>
                <w:szCs w:val="18"/>
                <w:lang w:eastAsia="pl-PL"/>
              </w:rPr>
              <w:br/>
              <w:t>- masowe podłączanie do sieci kanalizacyjnej i wodociągowej tych osiedli (szczególnie na obszarach wiejskich), które do tej</w:t>
            </w:r>
            <w:r w:rsidRPr="0028666F">
              <w:rPr>
                <w:rFonts w:ascii="Calibri" w:eastAsia="Times New Roman" w:hAnsi="Calibri" w:cs="Calibri"/>
                <w:color w:val="000000"/>
                <w:sz w:val="18"/>
                <w:szCs w:val="18"/>
                <w:lang w:eastAsia="pl-PL"/>
              </w:rPr>
              <w:br/>
              <w:t>pory nie miały takiej możliwości</w:t>
            </w:r>
            <w:r w:rsidRPr="0028666F">
              <w:rPr>
                <w:rFonts w:ascii="Calibri" w:eastAsia="Times New Roman" w:hAnsi="Calibri" w:cs="Calibri"/>
                <w:color w:val="000000"/>
                <w:sz w:val="18"/>
                <w:szCs w:val="18"/>
                <w:lang w:eastAsia="pl-PL"/>
              </w:rPr>
              <w:br/>
              <w:t xml:space="preserve">- rozbudowę oczyszczalni ścieków, budowa nowych, unowocześnianie istniejących- tak, aby rezultat </w:t>
            </w:r>
            <w:r w:rsidRPr="0028666F">
              <w:rPr>
                <w:rFonts w:ascii="Calibri" w:eastAsia="Times New Roman" w:hAnsi="Calibri" w:cs="Calibri"/>
                <w:color w:val="000000"/>
                <w:sz w:val="18"/>
                <w:szCs w:val="18"/>
                <w:lang w:eastAsia="pl-PL"/>
              </w:rPr>
              <w:lastRenderedPageBreak/>
              <w:t>oczyszczania mógł być</w:t>
            </w:r>
            <w:r w:rsidRPr="0028666F">
              <w:rPr>
                <w:rFonts w:ascii="Calibri" w:eastAsia="Times New Roman" w:hAnsi="Calibri" w:cs="Calibri"/>
                <w:color w:val="000000"/>
                <w:sz w:val="18"/>
                <w:szCs w:val="18"/>
                <w:lang w:eastAsia="pl-PL"/>
              </w:rPr>
              <w:br/>
              <w:t>bezpiecznie wykorzystywany na cele rolnicze lub zwracany środowisku naturalnemu.</w:t>
            </w:r>
            <w:r w:rsidRPr="0028666F">
              <w:rPr>
                <w:rFonts w:ascii="Calibri" w:eastAsia="Times New Roman" w:hAnsi="Calibri" w:cs="Calibri"/>
                <w:color w:val="000000"/>
                <w:sz w:val="18"/>
                <w:szCs w:val="18"/>
                <w:lang w:eastAsia="pl-PL"/>
              </w:rPr>
              <w:br/>
              <w:t>- promowanie gospodarki obiegu zamkniętego</w:t>
            </w:r>
            <w:r w:rsidRPr="0028666F">
              <w:rPr>
                <w:rFonts w:ascii="Calibri" w:eastAsia="Times New Roman" w:hAnsi="Calibri" w:cs="Calibri"/>
                <w:color w:val="000000"/>
                <w:sz w:val="18"/>
                <w:szCs w:val="18"/>
                <w:lang w:eastAsia="pl-PL"/>
              </w:rPr>
              <w:br/>
              <w:t xml:space="preserve">- spowodowanie (być może ze wsparciem finansowym UE), aby strona ukraińska wybudowała nowoczesną oczyszczalnię </w:t>
            </w:r>
            <w:r w:rsidRPr="0028666F">
              <w:rPr>
                <w:rFonts w:ascii="Calibri" w:eastAsia="Times New Roman" w:hAnsi="Calibri" w:cs="Calibri"/>
                <w:color w:val="000000"/>
                <w:sz w:val="18"/>
                <w:szCs w:val="18"/>
                <w:lang w:eastAsia="pl-PL"/>
              </w:rPr>
              <w:br/>
              <w:t xml:space="preserve"> ścieków, która obsługiwałaby Lwów i miejscowości okoliczne. Służyłoby to ogromnej poprawie stanu wód w Bugu, którego</w:t>
            </w:r>
            <w:r w:rsidRPr="0028666F">
              <w:rPr>
                <w:rFonts w:ascii="Calibri" w:eastAsia="Times New Roman" w:hAnsi="Calibri" w:cs="Calibri"/>
                <w:color w:val="000000"/>
                <w:sz w:val="18"/>
                <w:szCs w:val="18"/>
                <w:lang w:eastAsia="pl-PL"/>
              </w:rPr>
              <w:br/>
              <w:t>obecny stan jest zły, a rzeka niesie w zasadzie nieoczyszczone ścieki, które finalnie stanowią potężne zagrożenie dla wód Zalewu Zegrzyńskiego, Wisły, a w dalszej kolejności Morza Bałtyckiego.</w:t>
            </w:r>
            <w:r w:rsidRPr="0028666F">
              <w:rPr>
                <w:rFonts w:ascii="Calibri" w:eastAsia="Times New Roman" w:hAnsi="Calibri" w:cs="Calibri"/>
                <w:color w:val="000000"/>
                <w:sz w:val="18"/>
                <w:szCs w:val="18"/>
                <w:lang w:eastAsia="pl-PL"/>
              </w:rPr>
              <w:br/>
              <w:t>- szerokie stosowanie na rzekach tzw. roślinnych stref buforowych, szczególnie na obszarach rolniczych, które służyłyby oczyszczaniu</w:t>
            </w:r>
            <w:r w:rsidRPr="0028666F">
              <w:rPr>
                <w:rFonts w:ascii="Calibri" w:eastAsia="Times New Roman" w:hAnsi="Calibri" w:cs="Calibri"/>
                <w:color w:val="000000"/>
                <w:sz w:val="18"/>
                <w:szCs w:val="18"/>
                <w:lang w:eastAsia="pl-PL"/>
              </w:rPr>
              <w:br/>
              <w:t>wód ze środków stosowanych w rolnictwie. Zwiększenie nacisku na stosowanie w rolnictwie bezpiecznych środków oraz w racjonalnych ilościach.</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10A988D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 - </w:t>
            </w:r>
          </w:p>
        </w:tc>
        <w:tc>
          <w:tcPr>
            <w:tcW w:w="1014" w:type="dxa"/>
            <w:tcBorders>
              <w:top w:val="nil"/>
              <w:left w:val="nil"/>
              <w:bottom w:val="single" w:sz="4" w:space="0" w:color="auto"/>
              <w:right w:val="single" w:sz="4" w:space="0" w:color="auto"/>
            </w:tcBorders>
            <w:shd w:val="clear" w:color="auto" w:fill="auto"/>
            <w:hideMark/>
          </w:tcPr>
          <w:p w14:paraId="52F495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C1FC0D5" w14:textId="219C4D9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Zgłoszone sugestie zmian są zawarte w kilku działaniach zaplanowanych do realizacji w ramach IIaPGW.</w:t>
            </w:r>
            <w:r w:rsidRPr="0028666F">
              <w:rPr>
                <w:rFonts w:ascii="Calibri" w:eastAsia="Times New Roman" w:hAnsi="Calibri" w:cs="Calibri"/>
                <w:color w:val="000000"/>
                <w:sz w:val="18"/>
                <w:szCs w:val="18"/>
                <w:lang w:eastAsia="pl-PL"/>
              </w:rPr>
              <w:br/>
              <w:t>• rozwój i modernizacja sieci kanalizacyjnej oraz oczyszczalni ścieków jest zawarta w działaniach powiązanych z: Krajowym Programem Oczyszczania Ścieków Komunalnych dla obszarów aglomeracji</w:t>
            </w:r>
            <w:r w:rsidRPr="0028666F">
              <w:rPr>
                <w:rFonts w:ascii="Calibri" w:eastAsia="Times New Roman" w:hAnsi="Calibri" w:cs="Calibri"/>
                <w:color w:val="000000"/>
                <w:sz w:val="18"/>
                <w:szCs w:val="18"/>
                <w:lang w:eastAsia="pl-PL"/>
              </w:rPr>
              <w:br/>
              <w:t xml:space="preserve">• dla pozostałych obszarów gmin, gdzie opracowania Analiza znaczących oddziaływań antropogenicznych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wskazywała, że źródłem przekroczenia parametrów jakości wód są źródła komunalne punktowe lub rozproszone, </w:t>
            </w:r>
            <w:r w:rsidRPr="0028666F">
              <w:rPr>
                <w:rFonts w:ascii="Calibri" w:eastAsia="Times New Roman" w:hAnsi="Calibri" w:cs="Calibri"/>
                <w:color w:val="000000"/>
                <w:sz w:val="18"/>
                <w:szCs w:val="18"/>
                <w:lang w:eastAsia="pl-PL"/>
              </w:rPr>
              <w:lastRenderedPageBreak/>
              <w:t>zaplanowano działania w dwóch etapach: 1. "Analizy techniczno-ekonomiczne gospodarowania ściekami w obszarze gminy poza aglomeracjami" 2. Realizacja wyników tej analizy.</w:t>
            </w:r>
            <w:r w:rsidRPr="0028666F">
              <w:rPr>
                <w:rFonts w:ascii="Calibri" w:eastAsia="Times New Roman" w:hAnsi="Calibri" w:cs="Calibri"/>
                <w:color w:val="000000"/>
                <w:sz w:val="18"/>
                <w:szCs w:val="18"/>
                <w:lang w:eastAsia="pl-PL"/>
              </w:rPr>
              <w:br/>
              <w:t>• poprawa jakości wód wpływających w obszar kraju z Ukrainy jest uwzględniona w Programie Współpracy Transgranicznej Interreg NEXT Polska-Białoruś-Ukraina 2021-2027, który obecnie jest na etapie konsultacji społecznych Prognozy oddziaływania na środowisko</w:t>
            </w:r>
            <w:r w:rsidRPr="0028666F">
              <w:rPr>
                <w:rFonts w:ascii="Calibri" w:eastAsia="Times New Roman" w:hAnsi="Calibri" w:cs="Calibri"/>
                <w:color w:val="000000"/>
                <w:sz w:val="18"/>
                <w:szCs w:val="18"/>
                <w:lang w:eastAsia="pl-PL"/>
              </w:rPr>
              <w:br/>
              <w:t xml:space="preserve">• wspieranie stref buforowych jest elementem działania z katalogu działań krajowych dotyczących stosowania Rozporządzenia Rady Ministrów z dnia 12 lutego 2020 r. w sprawie przyjęcia „Programu działań mających na celu zmniejszenie zanieczyszczenia wód azotanami pochodzącymi ze źródeł rolniczych oraz zapobieganie dalszemu zanieczyszczeniu" (Dz.U. z 2020 r. poz. 243) jest działaniem ogólnokrajowym, które swoim zasięgiem objęło całą Polskę. Efekt wdrożenia działań zawartych w tym rozporządzeniu będzie można ocenić na koniec cyklu w 2027 roku. Dla wzmocnienia efektywności wdrażania tego programu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odnotowano przekroczenia związków biogennych (azotu i fosforu), a opracowanie analiza presji znaczących wskazywała, że źródłem presji jest rolnictwo, zaplanowano działania kontrolne GIOŚ realizacji ww programu oraz działania edukacyjno-doradcze dla rolników zgodnie z opisem działania RWP_04.01: "Promocja działań wynikających ze: „Zbioru zaleceń dobrej praktyki rolniczej” dla ograniczenia zanieczyszczenia wód związkami azotu i fosforu, których źródłem jest działalność rolnicza, w tym w szczególności działania ograniczające migrację biogenów wraz ze spływem powierzchniowym (przeciwdziałanie erozji, strefy buforowe i inne). Promocja działań wynikających z „Kodeksu doradczego dobrej praktyki rolniczej dotyczącej ograniczenia emisji amoniaku”. Działania doradcze ukierunkowane są na: doradztwo technologiczne, pomoc rolnikom w ubieganiu się o przyznanie pomocy finansowej ze środków pochodzących z funduszy UE lub innych instytucji krajowych i zagranicznych".</w:t>
            </w:r>
          </w:p>
        </w:tc>
      </w:tr>
      <w:tr w:rsidR="007C2B40" w:rsidRPr="0028666F" w14:paraId="5711E48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0901D3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w:t>
            </w:r>
          </w:p>
        </w:tc>
        <w:tc>
          <w:tcPr>
            <w:tcW w:w="970" w:type="dxa"/>
            <w:tcBorders>
              <w:top w:val="nil"/>
              <w:left w:val="nil"/>
              <w:bottom w:val="single" w:sz="4" w:space="0" w:color="auto"/>
              <w:right w:val="nil"/>
            </w:tcBorders>
          </w:tcPr>
          <w:p w14:paraId="43BD2DA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Sławomir Henryk Górecki</w:t>
            </w:r>
          </w:p>
        </w:tc>
        <w:tc>
          <w:tcPr>
            <w:tcW w:w="165" w:type="dxa"/>
            <w:tcBorders>
              <w:top w:val="nil"/>
              <w:left w:val="nil"/>
              <w:bottom w:val="single" w:sz="4" w:space="0" w:color="auto"/>
              <w:right w:val="single" w:sz="4" w:space="0" w:color="auto"/>
            </w:tcBorders>
            <w:shd w:val="clear" w:color="auto" w:fill="auto"/>
          </w:tcPr>
          <w:p w14:paraId="4B8D50B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75F19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66DE8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Jestem mieszkańcem wsi Rzyszczewo przesyłam zdjęcia zbiornika wodnego który służył jako zbiornik przeciw pożarowy został zaniedbany i zniszczony przez inne władze. Nazywam się Sławomir Henryk Górecki jestem mieszkańcem tego powiaty. Służyłem w jednostce wojskowej w Szczecinie JW2109. Muj zawód to Elektryk budowlany. Chciałbym żeby ten zbiornik wodny został zrewatelizjowany. </w:t>
            </w:r>
          </w:p>
        </w:tc>
        <w:tc>
          <w:tcPr>
            <w:tcW w:w="2733" w:type="dxa"/>
            <w:tcBorders>
              <w:top w:val="nil"/>
              <w:left w:val="nil"/>
              <w:bottom w:val="single" w:sz="4" w:space="0" w:color="auto"/>
              <w:right w:val="single" w:sz="4" w:space="0" w:color="auto"/>
            </w:tcBorders>
            <w:shd w:val="clear" w:color="auto" w:fill="auto"/>
            <w:hideMark/>
          </w:tcPr>
          <w:p w14:paraId="216C0A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Jestem mieszkańcem wsi Rzyszczewo przesyłam zdjęcia zbiornika wodnego który służył jako zbiornik przeciw pożarowy został zaniedbany i zniszczony przez inne władze. Nazywam się Sławomir Henryk Górecki jestem mieszkańcem tego powiaty. Służyłem w jednostce wojskowej w Szczecinie JW2109. Muj zawód to Elektryk budowlany. Chciałbym żeby ten zbiornik wodny został zrewatelizjowany. </w:t>
            </w:r>
          </w:p>
        </w:tc>
        <w:tc>
          <w:tcPr>
            <w:tcW w:w="3009" w:type="dxa"/>
            <w:tcBorders>
              <w:top w:val="nil"/>
              <w:left w:val="nil"/>
              <w:bottom w:val="single" w:sz="4" w:space="0" w:color="auto"/>
              <w:right w:val="single" w:sz="4" w:space="0" w:color="auto"/>
            </w:tcBorders>
            <w:shd w:val="clear" w:color="auto" w:fill="auto"/>
            <w:hideMark/>
          </w:tcPr>
          <w:p w14:paraId="48C85C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Jestem mieszkańcem wsi Rzyszczewo przesyłam zdjęcia zbiornika wodnego który służył jako zbiornik przeciw pożarowy został zaniedbany i zniszczony przez inne władze. Nazywam się Sławomir Henryk Górecki jestem mieszkańcem tego powiaty. Służyłem w jednostce wojskowej w Szczecinie JW2109. Muj zawód to Elektryk budowlany. Chciałbym żeby ten zbiornik wodny został zrewatelizjowany. </w:t>
            </w:r>
          </w:p>
        </w:tc>
        <w:tc>
          <w:tcPr>
            <w:tcW w:w="1720" w:type="dxa"/>
            <w:tcBorders>
              <w:top w:val="nil"/>
              <w:left w:val="nil"/>
              <w:bottom w:val="single" w:sz="4" w:space="0" w:color="auto"/>
              <w:right w:val="single" w:sz="4" w:space="0" w:color="auto"/>
            </w:tcBorders>
            <w:shd w:val="clear" w:color="000000" w:fill="FFFFFF"/>
            <w:hideMark/>
          </w:tcPr>
          <w:p w14:paraId="4986AF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01F5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94069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 informacji zawartych we wniosku nie wynika bezpośrednio o jaki zbiornik chodzi. Domniemamy, że jest to niewie</w:t>
            </w:r>
            <w:r>
              <w:rPr>
                <w:rFonts w:ascii="Calibri" w:eastAsia="Times New Roman" w:hAnsi="Calibri" w:cs="Calibri"/>
                <w:color w:val="000000"/>
                <w:sz w:val="18"/>
                <w:szCs w:val="18"/>
                <w:lang w:eastAsia="pl-PL"/>
              </w:rPr>
              <w:t>l</w:t>
            </w:r>
            <w:r w:rsidRPr="0028666F">
              <w:rPr>
                <w:rFonts w:ascii="Calibri" w:eastAsia="Times New Roman" w:hAnsi="Calibri" w:cs="Calibri"/>
                <w:color w:val="000000"/>
                <w:sz w:val="18"/>
                <w:szCs w:val="18"/>
                <w:lang w:eastAsia="pl-PL"/>
              </w:rPr>
              <w:t>ki zbiornik wodny w miejscowości Rzyszczyny. Informujemy, że działania przewidziane w IIaPGW dotyczą wyłącznie jednolitych części wód jeziornych i ich zlewni, a zatem zbiorników wodnych powyżej 50 ha. Omawiany w uwadze zbiornik nie został wyznaczony jako jednolita część wód, zatem nie jest mo</w:t>
            </w:r>
            <w:r>
              <w:rPr>
                <w:rFonts w:ascii="Calibri" w:eastAsia="Times New Roman" w:hAnsi="Calibri" w:cs="Calibri"/>
                <w:color w:val="000000"/>
                <w:sz w:val="18"/>
                <w:szCs w:val="18"/>
                <w:lang w:eastAsia="pl-PL"/>
              </w:rPr>
              <w:t>ż</w:t>
            </w:r>
            <w:r w:rsidRPr="0028666F">
              <w:rPr>
                <w:rFonts w:ascii="Calibri" w:eastAsia="Times New Roman" w:hAnsi="Calibri" w:cs="Calibri"/>
                <w:color w:val="000000"/>
                <w:sz w:val="18"/>
                <w:szCs w:val="18"/>
                <w:lang w:eastAsia="pl-PL"/>
              </w:rPr>
              <w:t>liwe uwzględnienie działań dla niego w programie działań IIaPGW.</w:t>
            </w:r>
          </w:p>
        </w:tc>
      </w:tr>
      <w:tr w:rsidR="007C2B40" w:rsidRPr="0028666F" w14:paraId="2DCED1A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478348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w:t>
            </w:r>
          </w:p>
        </w:tc>
        <w:tc>
          <w:tcPr>
            <w:tcW w:w="970" w:type="dxa"/>
            <w:tcBorders>
              <w:top w:val="nil"/>
              <w:left w:val="nil"/>
              <w:bottom w:val="single" w:sz="4" w:space="0" w:color="auto"/>
              <w:right w:val="nil"/>
            </w:tcBorders>
          </w:tcPr>
          <w:p w14:paraId="72840F0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Mirosław Rus</w:t>
            </w:r>
          </w:p>
        </w:tc>
        <w:tc>
          <w:tcPr>
            <w:tcW w:w="165" w:type="dxa"/>
            <w:tcBorders>
              <w:top w:val="nil"/>
              <w:left w:val="nil"/>
              <w:bottom w:val="single" w:sz="4" w:space="0" w:color="auto"/>
              <w:right w:val="single" w:sz="4" w:space="0" w:color="auto"/>
            </w:tcBorders>
            <w:shd w:val="clear" w:color="auto" w:fill="auto"/>
          </w:tcPr>
          <w:p w14:paraId="4F42A17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A3A401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7BA23C6" w14:textId="52241790" w:rsidR="007C2B40" w:rsidRPr="0028666F" w:rsidRDefault="007C2B40" w:rsidP="0049190C">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nawiązaniu do wypowiedzi p. Premiera i p. Ministra, ośmielam się przedstawić następującą propozycję.</w:t>
            </w:r>
            <w:r w:rsidRPr="0028666F">
              <w:rPr>
                <w:rFonts w:ascii="Calibri" w:eastAsia="Times New Roman" w:hAnsi="Calibri" w:cs="Calibri"/>
                <w:color w:val="000000"/>
                <w:sz w:val="18"/>
                <w:szCs w:val="18"/>
                <w:lang w:eastAsia="pl-PL"/>
              </w:rPr>
              <w:br/>
              <w:t>Otóż przeglądając zasoby Internetu, natrafiłem na zbiór archiwalnych map Polski (www.igrek.amzp.pl)</w:t>
            </w:r>
            <w:r w:rsidRPr="0028666F">
              <w:rPr>
                <w:rFonts w:ascii="Calibri" w:eastAsia="Times New Roman" w:hAnsi="Calibri" w:cs="Calibri"/>
                <w:color w:val="000000"/>
                <w:sz w:val="18"/>
                <w:szCs w:val="18"/>
                <w:lang w:eastAsia="pl-PL"/>
              </w:rPr>
              <w:br/>
              <w:t xml:space="preserve">Z lektury tychże map wynika, że wówczas(chodzi o 20-lecie </w:t>
            </w:r>
            <w:r w:rsidRPr="0028666F">
              <w:rPr>
                <w:rFonts w:ascii="Calibri" w:eastAsia="Times New Roman" w:hAnsi="Calibri" w:cs="Calibri"/>
                <w:color w:val="000000"/>
                <w:sz w:val="18"/>
                <w:szCs w:val="18"/>
                <w:lang w:eastAsia="pl-PL"/>
              </w:rPr>
              <w:lastRenderedPageBreak/>
              <w:t>międzywojenne) na wszystkich rzekach, rzeczkach i wręcz strumykach, działały młyny wodne i inne urządzenia napędzane energią spiętrzonej wody(np. tartaki, kuźnie itp.).</w:t>
            </w:r>
            <w:r w:rsidRPr="0028666F">
              <w:rPr>
                <w:rFonts w:ascii="Calibri" w:eastAsia="Times New Roman" w:hAnsi="Calibri" w:cs="Calibri"/>
                <w:color w:val="000000"/>
                <w:sz w:val="18"/>
                <w:szCs w:val="18"/>
                <w:lang w:eastAsia="pl-PL"/>
              </w:rPr>
              <w:br/>
              <w:t>Jak wiadomo, poprzednie władze nie były przychylne takiej działalności, stąd powolne ,,wymieranie” tych gałęzi przemysłu.</w:t>
            </w:r>
            <w:r w:rsidRPr="0028666F">
              <w:rPr>
                <w:rFonts w:ascii="Calibri" w:eastAsia="Times New Roman" w:hAnsi="Calibri" w:cs="Calibri"/>
                <w:color w:val="000000"/>
                <w:sz w:val="18"/>
                <w:szCs w:val="18"/>
                <w:lang w:eastAsia="pl-PL"/>
              </w:rPr>
              <w:br/>
              <w:t>Podróżując po okolicach Bełchatowa,w którym mieszkam, mogę stwierdzić, że w niektórych lokalizacjach są możliwe do odtworzenia zbiorniki wodne-moim zdaniem przy niezbyt dużych nakładach.</w:t>
            </w:r>
            <w:r w:rsidRPr="0028666F">
              <w:rPr>
                <w:rFonts w:ascii="Calibri" w:eastAsia="Times New Roman" w:hAnsi="Calibri" w:cs="Calibri"/>
                <w:color w:val="000000"/>
                <w:sz w:val="18"/>
                <w:szCs w:val="18"/>
                <w:lang w:eastAsia="pl-PL"/>
              </w:rPr>
              <w:br/>
              <w:t>A przy większych z nich możliwa by była nawet budowa mikro i mini elektrowni wodnych.</w:t>
            </w:r>
            <w:r w:rsidRPr="0028666F">
              <w:rPr>
                <w:rFonts w:ascii="Calibri" w:eastAsia="Times New Roman" w:hAnsi="Calibri" w:cs="Calibri"/>
                <w:color w:val="000000"/>
                <w:sz w:val="18"/>
                <w:szCs w:val="18"/>
                <w:lang w:eastAsia="pl-PL"/>
              </w:rPr>
              <w:br/>
              <w:t>W pewnych lokalizacjach są czynne nowe spiętrzenia-jak na przykład Słok i Wawrzkowizna na rzece Widawce, które można wykorzystać ,,od zaraz”.</w:t>
            </w:r>
            <w:r w:rsidRPr="0028666F">
              <w:rPr>
                <w:rFonts w:ascii="Calibri" w:eastAsia="Times New Roman" w:hAnsi="Calibri" w:cs="Calibri"/>
                <w:color w:val="000000"/>
                <w:sz w:val="18"/>
                <w:szCs w:val="18"/>
                <w:lang w:eastAsia="pl-PL"/>
              </w:rPr>
              <w:br/>
              <w:t>Dodam tylko, że na takim spiętrzeniu na rzece Widawce w Szczercowie, od kilku lat działa taka mini elektrownia wodna.</w:t>
            </w:r>
            <w:r w:rsidRPr="0028666F">
              <w:rPr>
                <w:rFonts w:ascii="Calibri" w:eastAsia="Times New Roman" w:hAnsi="Calibri" w:cs="Calibri"/>
                <w:color w:val="000000"/>
                <w:sz w:val="18"/>
                <w:szCs w:val="18"/>
                <w:lang w:eastAsia="pl-PL"/>
              </w:rPr>
              <w:br/>
              <w:t>I tak na rzece Widawce-dopływie Warty były takie w następujących lokalizacjach:</w:t>
            </w:r>
            <w:r w:rsidRPr="0028666F">
              <w:rPr>
                <w:rFonts w:ascii="Calibri" w:eastAsia="Times New Roman" w:hAnsi="Calibri" w:cs="Calibri"/>
                <w:color w:val="000000"/>
                <w:sz w:val="18"/>
                <w:szCs w:val="18"/>
                <w:lang w:eastAsia="pl-PL"/>
              </w:rPr>
              <w:br/>
              <w:t>1.Widawka,2.Gosławice,3.Fryszerka,4.Wójcik,5.Świdrów,6.Żaby-młyn Zalejski,7.Kmiecizna,8.Czyżów,9.Piaski,10.Łęg,11.Słok,12.Wawrzkowizna,</w:t>
            </w:r>
            <w:r w:rsidRPr="0028666F">
              <w:rPr>
                <w:rFonts w:ascii="Calibri" w:eastAsia="Times New Roman" w:hAnsi="Calibri" w:cs="Calibri"/>
                <w:color w:val="000000"/>
                <w:sz w:val="18"/>
                <w:szCs w:val="18"/>
                <w:lang w:eastAsia="pl-PL"/>
              </w:rPr>
              <w:br/>
              <w:t>13.Kuźnica Kaszewska/Kaszewice+14. młyn we wsi Rogowiec na dopływie Widawki,15.Smugi,16.Trząs,17.Żar,18.Lubośnia,19.Józefina,20.Szczerców,</w:t>
            </w:r>
            <w:r w:rsidRPr="0028666F">
              <w:rPr>
                <w:rFonts w:ascii="Calibri" w:eastAsia="Times New Roman" w:hAnsi="Calibri" w:cs="Calibri"/>
                <w:color w:val="000000"/>
                <w:sz w:val="18"/>
                <w:szCs w:val="18"/>
                <w:lang w:eastAsia="pl-PL"/>
              </w:rPr>
              <w:br/>
              <w:t>21.Dzbanki,22.Zagrodniki,23.Korablew,24.Sarnów,25.Restarzew,26.Chociw,</w:t>
            </w:r>
            <w:r w:rsidRPr="0028666F">
              <w:rPr>
                <w:rFonts w:ascii="Calibri" w:eastAsia="Times New Roman" w:hAnsi="Calibri" w:cs="Calibri"/>
                <w:color w:val="000000"/>
                <w:sz w:val="18"/>
                <w:szCs w:val="18"/>
                <w:lang w:eastAsia="pl-PL"/>
              </w:rPr>
              <w:br/>
              <w:t>27.Rembieszów,28.Górki Grabieńskie-nowe spiętrzenie.</w:t>
            </w:r>
            <w:r w:rsidRPr="0028666F">
              <w:rPr>
                <w:rFonts w:ascii="Calibri" w:eastAsia="Times New Roman" w:hAnsi="Calibri" w:cs="Calibri"/>
                <w:color w:val="000000"/>
                <w:sz w:val="18"/>
                <w:szCs w:val="18"/>
                <w:lang w:eastAsia="pl-PL"/>
              </w:rPr>
              <w:br/>
              <w:t>Rzeka Mała Widawka-dopływ Grabi:</w:t>
            </w:r>
            <w:r w:rsidRPr="0028666F">
              <w:rPr>
                <w:rFonts w:ascii="Calibri" w:eastAsia="Times New Roman" w:hAnsi="Calibri" w:cs="Calibri"/>
                <w:color w:val="000000"/>
                <w:sz w:val="18"/>
                <w:szCs w:val="18"/>
                <w:lang w:eastAsia="pl-PL"/>
              </w:rPr>
              <w:br/>
              <w:t>1.Piętków-Jastrzębiec,2.Kociołki Dwór,3.Depczyk,4.Chynów,5.Molenda.</w:t>
            </w:r>
            <w:r w:rsidRPr="0028666F">
              <w:rPr>
                <w:rFonts w:ascii="Calibri" w:eastAsia="Times New Roman" w:hAnsi="Calibri" w:cs="Calibri"/>
                <w:color w:val="000000"/>
                <w:sz w:val="18"/>
                <w:szCs w:val="18"/>
                <w:lang w:eastAsia="pl-PL"/>
              </w:rPr>
              <w:br/>
              <w:t>Rzeka Rakówka-dopływ Widawki:</w:t>
            </w:r>
            <w:r w:rsidRPr="0028666F">
              <w:rPr>
                <w:rFonts w:ascii="Calibri" w:eastAsia="Times New Roman" w:hAnsi="Calibri" w:cs="Calibri"/>
                <w:color w:val="000000"/>
                <w:sz w:val="18"/>
                <w:szCs w:val="18"/>
                <w:lang w:eastAsia="pl-PL"/>
              </w:rPr>
              <w:br/>
              <w:t>1.Binków,2.Grocholice-młyn na Bełku,3.Bugaj,4.Księży Młyn,5.Rząsawa,6.Wyr.</w:t>
            </w:r>
            <w:r w:rsidRPr="0028666F">
              <w:rPr>
                <w:rFonts w:ascii="Calibri" w:eastAsia="Times New Roman" w:hAnsi="Calibri" w:cs="Calibri"/>
                <w:color w:val="000000"/>
                <w:sz w:val="18"/>
                <w:szCs w:val="18"/>
                <w:lang w:eastAsia="pl-PL"/>
              </w:rPr>
              <w:br/>
              <w:t>Rzeka Pilsia-dopływ Widawki:</w:t>
            </w:r>
            <w:r w:rsidRPr="0028666F">
              <w:rPr>
                <w:rFonts w:ascii="Calibri" w:eastAsia="Times New Roman" w:hAnsi="Calibri" w:cs="Calibri"/>
                <w:color w:val="000000"/>
                <w:sz w:val="18"/>
                <w:szCs w:val="18"/>
                <w:lang w:eastAsia="pl-PL"/>
              </w:rPr>
              <w:br/>
              <w:t>1.Solecczyzna,2.Sromotka,3.Grysiowizna,4.Janów-Strzyżewice,5.Zbyszek,6.Lubiec,</w:t>
            </w:r>
            <w:r w:rsidRPr="0028666F">
              <w:rPr>
                <w:rFonts w:ascii="Calibri" w:eastAsia="Times New Roman" w:hAnsi="Calibri" w:cs="Calibri"/>
                <w:color w:val="000000"/>
                <w:sz w:val="18"/>
                <w:szCs w:val="18"/>
                <w:lang w:eastAsia="pl-PL"/>
              </w:rPr>
              <w:br/>
              <w:t>7.Rudzisko,8.Szczercowska Wieś Kolonia.</w:t>
            </w:r>
            <w:r w:rsidRPr="0028666F">
              <w:rPr>
                <w:rFonts w:ascii="Calibri" w:eastAsia="Times New Roman" w:hAnsi="Calibri" w:cs="Calibri"/>
                <w:color w:val="000000"/>
                <w:sz w:val="18"/>
                <w:szCs w:val="18"/>
                <w:lang w:eastAsia="pl-PL"/>
              </w:rPr>
              <w:br/>
              <w:t>Dopływ Pilsi I:</w:t>
            </w:r>
            <w:r w:rsidRPr="0028666F">
              <w:rPr>
                <w:rFonts w:ascii="Calibri" w:eastAsia="Times New Roman" w:hAnsi="Calibri" w:cs="Calibri"/>
                <w:color w:val="000000"/>
                <w:sz w:val="18"/>
                <w:szCs w:val="18"/>
                <w:lang w:eastAsia="pl-PL"/>
              </w:rPr>
              <w:br/>
              <w:t>1.Wierzchowiec,2.Grobla,3.Ujście,4.Kuźnica Lubiecka.</w:t>
            </w:r>
            <w:r w:rsidRPr="0028666F">
              <w:rPr>
                <w:rFonts w:ascii="Calibri" w:eastAsia="Times New Roman" w:hAnsi="Calibri" w:cs="Calibri"/>
                <w:color w:val="000000"/>
                <w:sz w:val="18"/>
                <w:szCs w:val="18"/>
                <w:lang w:eastAsia="pl-PL"/>
              </w:rPr>
              <w:br/>
              <w:t>Dopływ Pilsi II:</w:t>
            </w:r>
            <w:r w:rsidRPr="0028666F">
              <w:rPr>
                <w:rFonts w:ascii="Calibri" w:eastAsia="Times New Roman" w:hAnsi="Calibri" w:cs="Calibri"/>
                <w:color w:val="000000"/>
                <w:sz w:val="18"/>
                <w:szCs w:val="18"/>
                <w:lang w:eastAsia="pl-PL"/>
              </w:rPr>
              <w:br/>
              <w:t>1.Firlej-struga Stawka</w:t>
            </w:r>
            <w:r w:rsidRPr="0028666F">
              <w:rPr>
                <w:rFonts w:ascii="Calibri" w:eastAsia="Times New Roman" w:hAnsi="Calibri" w:cs="Calibri"/>
                <w:color w:val="000000"/>
                <w:sz w:val="18"/>
                <w:szCs w:val="18"/>
                <w:lang w:eastAsia="pl-PL"/>
              </w:rPr>
              <w:br/>
              <w:t>Rzeka Chrząstawka-dopływ Widawki:</w:t>
            </w:r>
            <w:r w:rsidRPr="0028666F">
              <w:rPr>
                <w:rFonts w:ascii="Calibri" w:eastAsia="Times New Roman" w:hAnsi="Calibri" w:cs="Calibri"/>
                <w:color w:val="000000"/>
                <w:sz w:val="18"/>
                <w:szCs w:val="18"/>
                <w:lang w:eastAsia="pl-PL"/>
              </w:rPr>
              <w:br/>
              <w:t>1.Borowiec-Wincentów,2.Fraszka-Faustynów,3i4.Chrząstawa,5.Ruda.</w:t>
            </w:r>
            <w:r w:rsidRPr="0028666F">
              <w:rPr>
                <w:rFonts w:ascii="Calibri" w:eastAsia="Times New Roman" w:hAnsi="Calibri" w:cs="Calibri"/>
                <w:color w:val="000000"/>
                <w:sz w:val="18"/>
                <w:szCs w:val="18"/>
                <w:lang w:eastAsia="pl-PL"/>
              </w:rPr>
              <w:br/>
              <w:t>Rzeka Grabia-dopływ Widawki:</w:t>
            </w:r>
            <w:r w:rsidRPr="0028666F">
              <w:rPr>
                <w:rFonts w:ascii="Calibri" w:eastAsia="Times New Roman" w:hAnsi="Calibri" w:cs="Calibri"/>
                <w:color w:val="000000"/>
                <w:sz w:val="18"/>
                <w:szCs w:val="18"/>
                <w:lang w:eastAsia="pl-PL"/>
              </w:rPr>
              <w:br/>
              <w:t>1.Kuców-Wdowin,2.Zalepa-Drużbice,3.Kuźnica/Karczmy,5.Jamborek,</w:t>
            </w:r>
            <w:r w:rsidRPr="0028666F">
              <w:rPr>
                <w:rFonts w:ascii="Calibri" w:eastAsia="Times New Roman" w:hAnsi="Calibri" w:cs="Calibri"/>
                <w:color w:val="000000"/>
                <w:sz w:val="18"/>
                <w:szCs w:val="18"/>
                <w:lang w:eastAsia="pl-PL"/>
              </w:rPr>
              <w:br/>
              <w:t>6i7.Talar/Ldzań- dwa młyny,8.Barycz,9.Kolumna-Łask,10.Nowy Młyn-Łask,</w:t>
            </w:r>
            <w:r w:rsidRPr="0028666F">
              <w:rPr>
                <w:rFonts w:ascii="Calibri" w:eastAsia="Times New Roman" w:hAnsi="Calibri" w:cs="Calibri"/>
                <w:color w:val="000000"/>
                <w:sz w:val="18"/>
                <w:szCs w:val="18"/>
                <w:lang w:eastAsia="pl-PL"/>
              </w:rPr>
              <w:br/>
              <w:t>11.Utrata-Łask,12.Łętków,13.Okup Fabryczny,14.Zieleńczyce,15.Wola Marzeńska,</w:t>
            </w:r>
            <w:r w:rsidRPr="0028666F">
              <w:rPr>
                <w:rFonts w:ascii="Calibri" w:eastAsia="Times New Roman" w:hAnsi="Calibri" w:cs="Calibri"/>
                <w:color w:val="000000"/>
                <w:sz w:val="18"/>
                <w:szCs w:val="18"/>
                <w:lang w:eastAsia="pl-PL"/>
              </w:rPr>
              <w:br/>
              <w:t>16.Pruszków,17.Kustrzyce,18.Emiljanów,19.Brzeski-Młyn Krzywda,20.Kozuby,</w:t>
            </w:r>
            <w:r w:rsidRPr="0028666F">
              <w:rPr>
                <w:rFonts w:ascii="Calibri" w:eastAsia="Times New Roman" w:hAnsi="Calibri" w:cs="Calibri"/>
                <w:color w:val="000000"/>
                <w:sz w:val="18"/>
                <w:szCs w:val="18"/>
                <w:lang w:eastAsia="pl-PL"/>
              </w:rPr>
              <w:br/>
              <w:t>21.Grabno/Zamość,</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wraz z dwoma młynami w pobliżu na dopływach rzeki Grabi:</w:t>
            </w:r>
            <w:r w:rsidRPr="0028666F">
              <w:rPr>
                <w:rFonts w:ascii="Calibri" w:eastAsia="Times New Roman" w:hAnsi="Calibri" w:cs="Calibri"/>
                <w:color w:val="000000"/>
                <w:sz w:val="18"/>
                <w:szCs w:val="18"/>
                <w:lang w:eastAsia="pl-PL"/>
              </w:rPr>
              <w:br/>
              <w:t>22.Grabica-Wola Wężykowa,23.Kurek.</w:t>
            </w:r>
            <w:r w:rsidRPr="0028666F">
              <w:rPr>
                <w:rFonts w:ascii="Calibri" w:eastAsia="Times New Roman" w:hAnsi="Calibri" w:cs="Calibri"/>
                <w:color w:val="000000"/>
                <w:sz w:val="18"/>
                <w:szCs w:val="18"/>
                <w:lang w:eastAsia="pl-PL"/>
              </w:rPr>
              <w:br/>
              <w:t>Rzeka Krasowa-dopływ Widawki:</w:t>
            </w:r>
            <w:r w:rsidRPr="0028666F">
              <w:rPr>
                <w:rFonts w:ascii="Calibri" w:eastAsia="Times New Roman" w:hAnsi="Calibri" w:cs="Calibri"/>
                <w:color w:val="000000"/>
                <w:sz w:val="18"/>
                <w:szCs w:val="18"/>
                <w:lang w:eastAsia="pl-PL"/>
              </w:rPr>
              <w:br/>
              <w:t>1.Bielik – Chorzenice,2.Kościelizna- Żłobnica,3.Będków – Żłobnica,</w:t>
            </w:r>
            <w:r w:rsidRPr="0028666F">
              <w:rPr>
                <w:rFonts w:ascii="Calibri" w:eastAsia="Times New Roman" w:hAnsi="Calibri" w:cs="Calibri"/>
                <w:color w:val="000000"/>
                <w:sz w:val="18"/>
                <w:szCs w:val="18"/>
                <w:lang w:eastAsia="pl-PL"/>
              </w:rPr>
              <w:br/>
              <w:t>4.Ksawerów – Winek,5.Dygudaj,6.Kuźnica,7.Łęczyska,8.Chabielice,9.Koch,</w:t>
            </w:r>
            <w:r w:rsidRPr="0028666F">
              <w:rPr>
                <w:rFonts w:ascii="Calibri" w:eastAsia="Times New Roman" w:hAnsi="Calibri" w:cs="Calibri"/>
                <w:color w:val="000000"/>
                <w:sz w:val="18"/>
                <w:szCs w:val="18"/>
                <w:lang w:eastAsia="pl-PL"/>
              </w:rPr>
              <w:br/>
              <w:t>10.Krasowa.</w:t>
            </w:r>
            <w:r w:rsidRPr="0028666F">
              <w:rPr>
                <w:rFonts w:ascii="Calibri" w:eastAsia="Times New Roman" w:hAnsi="Calibri" w:cs="Calibri"/>
                <w:color w:val="000000"/>
                <w:sz w:val="18"/>
                <w:szCs w:val="18"/>
                <w:lang w:eastAsia="pl-PL"/>
              </w:rPr>
              <w:br/>
              <w:t>Rzeka Nieciecz-dopływ Widawki:</w:t>
            </w:r>
            <w:r w:rsidRPr="0028666F">
              <w:rPr>
                <w:rFonts w:ascii="Calibri" w:eastAsia="Times New Roman" w:hAnsi="Calibri" w:cs="Calibri"/>
                <w:color w:val="000000"/>
                <w:sz w:val="18"/>
                <w:szCs w:val="18"/>
                <w:lang w:eastAsia="pl-PL"/>
              </w:rPr>
              <w:br/>
              <w:t>1.Brutus,2.Kiełczygłów,3i4.Rusiec – dwa młyny,5.Zborów,6.Wola Kleszczowa,</w:t>
            </w:r>
            <w:r w:rsidRPr="0028666F">
              <w:rPr>
                <w:rFonts w:ascii="Calibri" w:eastAsia="Times New Roman" w:hAnsi="Calibri" w:cs="Calibri"/>
                <w:color w:val="000000"/>
                <w:sz w:val="18"/>
                <w:szCs w:val="18"/>
                <w:lang w:eastAsia="pl-PL"/>
              </w:rPr>
              <w:br/>
              <w:t>7i8.Widawa – dwa młyny.</w:t>
            </w:r>
            <w:r w:rsidRPr="0028666F">
              <w:rPr>
                <w:rFonts w:ascii="Calibri" w:eastAsia="Times New Roman" w:hAnsi="Calibri" w:cs="Calibri"/>
                <w:color w:val="000000"/>
                <w:sz w:val="18"/>
                <w:szCs w:val="18"/>
                <w:lang w:eastAsia="pl-PL"/>
              </w:rPr>
              <w:br/>
              <w:t>Na wschód od Bełchatowa - dopływy Pilicy; i tak:</w:t>
            </w:r>
            <w:r w:rsidRPr="0028666F">
              <w:rPr>
                <w:rFonts w:ascii="Calibri" w:eastAsia="Times New Roman" w:hAnsi="Calibri" w:cs="Calibri"/>
                <w:color w:val="000000"/>
                <w:sz w:val="18"/>
                <w:szCs w:val="18"/>
                <w:lang w:eastAsia="pl-PL"/>
              </w:rPr>
              <w:br/>
              <w:t>Rzeka Luciąża-dopływ Pilicy:</w:t>
            </w:r>
            <w:r w:rsidRPr="0028666F">
              <w:rPr>
                <w:rFonts w:ascii="Calibri" w:eastAsia="Times New Roman" w:hAnsi="Calibri" w:cs="Calibri"/>
                <w:color w:val="000000"/>
                <w:sz w:val="18"/>
                <w:szCs w:val="18"/>
                <w:lang w:eastAsia="pl-PL"/>
              </w:rPr>
              <w:br/>
              <w:t>1.Cieśle,2.Borowiec,3.Łęgoń,4.Kuźnica Żerechowska,5.Trzciniec,6.Grobla</w:t>
            </w:r>
            <w:r w:rsidRPr="0028666F">
              <w:rPr>
                <w:rFonts w:ascii="Calibri" w:eastAsia="Times New Roman" w:hAnsi="Calibri" w:cs="Calibri"/>
                <w:color w:val="000000"/>
                <w:sz w:val="18"/>
                <w:szCs w:val="18"/>
                <w:lang w:eastAsia="pl-PL"/>
              </w:rPr>
              <w:br/>
              <w:t>7.Wilkoszewice-Nowy Młyn,8.Stara Wieś-Bazar,9.Szymanów,10.Turlej,11.Fałek,</w:t>
            </w:r>
            <w:r w:rsidRPr="0028666F">
              <w:rPr>
                <w:rFonts w:ascii="Calibri" w:eastAsia="Times New Roman" w:hAnsi="Calibri" w:cs="Calibri"/>
                <w:color w:val="000000"/>
                <w:sz w:val="18"/>
                <w:szCs w:val="18"/>
                <w:lang w:eastAsia="pl-PL"/>
              </w:rPr>
              <w:br/>
              <w:t>12.Kłudzice-Sute Mosty,13.Nowe Kłudzice,14.Kłudzice,15.Murowaniec.</w:t>
            </w:r>
            <w:r w:rsidRPr="0028666F">
              <w:rPr>
                <w:rFonts w:ascii="Calibri" w:eastAsia="Times New Roman" w:hAnsi="Calibri" w:cs="Calibri"/>
                <w:color w:val="000000"/>
                <w:sz w:val="18"/>
                <w:szCs w:val="18"/>
                <w:lang w:eastAsia="pl-PL"/>
              </w:rPr>
              <w:br/>
              <w:t>Dąbrówka I – dopływ Luciąży:</w:t>
            </w:r>
            <w:r w:rsidRPr="0028666F">
              <w:rPr>
                <w:rFonts w:ascii="Calibri" w:eastAsia="Times New Roman" w:hAnsi="Calibri" w:cs="Calibri"/>
                <w:color w:val="000000"/>
                <w:sz w:val="18"/>
                <w:szCs w:val="18"/>
                <w:lang w:eastAsia="pl-PL"/>
              </w:rPr>
              <w:br/>
              <w:t>1,2 i 3.Parzniewice,4.Ludwików,5.Wroników-Jeżów,6.Rozprza-Bazar.</w:t>
            </w:r>
            <w:r w:rsidRPr="0028666F">
              <w:rPr>
                <w:rFonts w:ascii="Calibri" w:eastAsia="Times New Roman" w:hAnsi="Calibri" w:cs="Calibri"/>
                <w:color w:val="000000"/>
                <w:sz w:val="18"/>
                <w:szCs w:val="18"/>
                <w:lang w:eastAsia="pl-PL"/>
              </w:rPr>
              <w:br/>
              <w:t>Dąbrówka II – dopływ Luciąży:</w:t>
            </w:r>
            <w:r w:rsidRPr="0028666F">
              <w:rPr>
                <w:rFonts w:ascii="Calibri" w:eastAsia="Times New Roman" w:hAnsi="Calibri" w:cs="Calibri"/>
                <w:color w:val="000000"/>
                <w:sz w:val="18"/>
                <w:szCs w:val="18"/>
                <w:lang w:eastAsia="pl-PL"/>
              </w:rPr>
              <w:br/>
              <w:t>1.Mokracz-Borowa,2.Miłaków,3.Kacprów.</w:t>
            </w:r>
            <w:r w:rsidRPr="0028666F">
              <w:rPr>
                <w:rFonts w:ascii="Calibri" w:eastAsia="Times New Roman" w:hAnsi="Calibri" w:cs="Calibri"/>
                <w:color w:val="000000"/>
                <w:sz w:val="18"/>
                <w:szCs w:val="18"/>
                <w:lang w:eastAsia="pl-PL"/>
              </w:rPr>
              <w:br/>
              <w:t>Strawa-dopływ Luciąży:</w:t>
            </w:r>
            <w:r w:rsidRPr="0028666F">
              <w:rPr>
                <w:rFonts w:ascii="Calibri" w:eastAsia="Times New Roman" w:hAnsi="Calibri" w:cs="Calibri"/>
                <w:color w:val="000000"/>
                <w:sz w:val="18"/>
                <w:szCs w:val="18"/>
                <w:lang w:eastAsia="pl-PL"/>
              </w:rPr>
              <w:br/>
              <w:t>1.Bugaj,2.Kleszcz,3.Świerczów,4.Borek.</w:t>
            </w:r>
            <w:r w:rsidRPr="0028666F">
              <w:rPr>
                <w:rFonts w:ascii="Calibri" w:eastAsia="Times New Roman" w:hAnsi="Calibri" w:cs="Calibri"/>
                <w:color w:val="000000"/>
                <w:sz w:val="18"/>
                <w:szCs w:val="18"/>
                <w:lang w:eastAsia="pl-PL"/>
              </w:rPr>
              <w:br/>
              <w:t>Co razem daje 126 spiętrzeń. Oczywiście, w niektórych miejscach przekształcone zostały koryta rzek i strumieni, w szczególności jeśli chodzi o rzeki Widawkę i Krasowę(Krasówkę) w rejonie prowadzenia działalności przez kopalnię węgla brunatnego, oraz o rzekę Luciążę, gdzie utworzono nowy zbiornik Cieszanowice.</w:t>
            </w:r>
            <w:r w:rsidRPr="0028666F">
              <w:rPr>
                <w:rFonts w:ascii="Calibri" w:eastAsia="Times New Roman" w:hAnsi="Calibri" w:cs="Calibri"/>
                <w:color w:val="000000"/>
                <w:sz w:val="18"/>
                <w:szCs w:val="18"/>
                <w:lang w:eastAsia="pl-PL"/>
              </w:rPr>
              <w:br/>
              <w:t>Nie zmienia to jednak faktu, że nadal jest możliwe utworzenie około 120 zbiorników wodnych o różnych powierzchniach i różnych pojemnościach wody.</w:t>
            </w:r>
            <w:r w:rsidRPr="0028666F">
              <w:rPr>
                <w:rFonts w:ascii="Calibri" w:eastAsia="Times New Roman" w:hAnsi="Calibri" w:cs="Calibri"/>
                <w:color w:val="000000"/>
                <w:sz w:val="18"/>
                <w:szCs w:val="18"/>
                <w:lang w:eastAsia="pl-PL"/>
              </w:rPr>
              <w:br/>
              <w:t>W nawiązaniu zaś do programu, dotyczącego powszechnego rozwoju energetyki odnawialnej, a w tym m.in.: mini i mikroenergetyka wodna, uprzejmie informuję, że opracowanie dotyczące:</w:t>
            </w:r>
            <w:r w:rsidRPr="0028666F">
              <w:rPr>
                <w:rFonts w:ascii="Calibri" w:eastAsia="Times New Roman" w:hAnsi="Calibri" w:cs="Calibri"/>
                <w:color w:val="000000"/>
                <w:sz w:val="18"/>
                <w:szCs w:val="18"/>
                <w:lang w:eastAsia="pl-PL"/>
              </w:rPr>
              <w:br/>
              <w:t>,, Wykorzystania zasobów wodnych województwa łódzkiego na cele energetyki i towarzyszącej jej turystyki" wykonała w 2012 roku:</w:t>
            </w:r>
            <w:r w:rsidRPr="0028666F">
              <w:rPr>
                <w:rFonts w:ascii="Calibri" w:eastAsia="Times New Roman" w:hAnsi="Calibri" w:cs="Calibri"/>
                <w:color w:val="000000"/>
                <w:sz w:val="18"/>
                <w:szCs w:val="18"/>
                <w:lang w:eastAsia="pl-PL"/>
              </w:rPr>
              <w:br/>
              <w:t>,,Centrum Badań i Innowacji Pro-Akademia"(www.proakademia.eu) we współpracy z Oddziałem PAN w Łodzi w ramach projektu:</w:t>
            </w:r>
            <w:r w:rsidRPr="0028666F">
              <w:rPr>
                <w:rFonts w:ascii="Calibri" w:eastAsia="Times New Roman" w:hAnsi="Calibri" w:cs="Calibri"/>
                <w:color w:val="000000"/>
                <w:sz w:val="18"/>
                <w:szCs w:val="18"/>
                <w:lang w:eastAsia="pl-PL"/>
              </w:rPr>
              <w:br/>
              <w:t>,,Bioenergia dla Regionu-Zintegrowany Program Rozwoju Doktorantów".</w:t>
            </w:r>
            <w:r w:rsidRPr="0028666F">
              <w:rPr>
                <w:rFonts w:ascii="Calibri" w:eastAsia="Times New Roman" w:hAnsi="Calibri" w:cs="Calibri"/>
                <w:color w:val="000000"/>
                <w:sz w:val="18"/>
                <w:szCs w:val="18"/>
                <w:lang w:eastAsia="pl-PL"/>
              </w:rPr>
              <w:br/>
              <w:t>Natomiast po sąsiedzku, na Politechnice Świętokrzyskiej, opracowano wiele rozwiązań dotyczących elektrowni wodnych. A jedno z nich zostało zaprojektowane do pracy nawet na niewielkich spadkach, wynoszących około pół metra.</w:t>
            </w:r>
            <w:r w:rsidRPr="0028666F">
              <w:rPr>
                <w:rFonts w:ascii="Calibri" w:eastAsia="Times New Roman" w:hAnsi="Calibri" w:cs="Calibri"/>
                <w:color w:val="000000"/>
                <w:sz w:val="18"/>
                <w:szCs w:val="18"/>
                <w:lang w:eastAsia="pl-PL"/>
              </w:rPr>
              <w:br/>
              <w:t>Naukowcy z Politechniki Świętokrzyskiej przygotowali i opatentowali nowatorską elektrownię wodną. Jej specyfika polega na tym, że może funkcjonować na małej rzece o niewielkich spadkach. Umowa na badania i budowę modelu została już zawarta. W tej chwili przeprowadzane są rozmowy z przedsiębiorcą, który wyprodukuje takie urządzenie.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Urządzenie do przetwarzania energii słupa wody pozwala w sposób innowacyjny pozyskać energię elektryczną, wykorzystując niewielką rzekę, która posiada naturalne spadki - mówi Mariola Starzomska, współautorka wynalazku, doktorantka Politechniki Świętokrzyskiej.</w:t>
            </w:r>
            <w:r w:rsidRPr="0028666F">
              <w:rPr>
                <w:rFonts w:ascii="Calibri" w:eastAsia="Times New Roman" w:hAnsi="Calibri" w:cs="Calibri"/>
                <w:color w:val="000000"/>
                <w:sz w:val="18"/>
                <w:szCs w:val="18"/>
                <w:lang w:eastAsia="pl-PL"/>
              </w:rPr>
              <w:br/>
              <w:t>Na wynalazek składają się co najmniej trzy identyczne skonstruowane segmenty. Są one połączone jednym wałem, który napędza generator.</w:t>
            </w:r>
            <w:r>
              <w:rPr>
                <w:rFonts w:ascii="Calibri" w:eastAsia="Times New Roman" w:hAnsi="Calibri" w:cs="Calibri"/>
                <w:color w:val="000000"/>
                <w:sz w:val="18"/>
                <w:szCs w:val="18"/>
                <w:lang w:eastAsia="pl-PL"/>
              </w:rPr>
              <w:t xml:space="preserve"> </w:t>
            </w:r>
            <w:r w:rsidRPr="0028666F">
              <w:rPr>
                <w:rFonts w:ascii="Calibri" w:eastAsia="Times New Roman" w:hAnsi="Calibri" w:cs="Calibri"/>
                <w:color w:val="000000"/>
                <w:sz w:val="18"/>
                <w:szCs w:val="18"/>
                <w:lang w:eastAsia="pl-PL"/>
              </w:rPr>
              <w:t>Wpływająca do urządzenia woda wprawia w ruch wahadło, umiejscowione w środku i aktywuje wał. W ten sposób energia uzyskana z wody, przekazywana jest na wał i do generatora.</w:t>
            </w:r>
            <w:r w:rsidRPr="0028666F">
              <w:rPr>
                <w:rFonts w:ascii="Calibri" w:eastAsia="Times New Roman" w:hAnsi="Calibri" w:cs="Calibri"/>
                <w:color w:val="000000"/>
                <w:sz w:val="18"/>
                <w:szCs w:val="18"/>
                <w:lang w:eastAsia="pl-PL"/>
              </w:rPr>
              <w:br/>
              <w:t>Teraz przygotowujemy prototyp urządzenia, aby zbadać efektywność jego pracy. Zostało ono zaprojektowane do pracy nawet na niewielkich spadkach, wynoszących około pół metra. Może być też zamontowane w oczyszczalniach ścieków, czy zbiornikach retencyjnych, które posiadają zrzut wody. Urządzenie pozwala wykorzystać małe rzeki koło domu, aby wyprodukować energię niezbędną dla całego gospodarstwa -  uważa Starzomska.</w:t>
            </w:r>
            <w:r w:rsidRPr="0028666F">
              <w:rPr>
                <w:rFonts w:ascii="Calibri" w:eastAsia="Times New Roman" w:hAnsi="Calibri" w:cs="Calibri"/>
                <w:color w:val="000000"/>
                <w:sz w:val="18"/>
                <w:szCs w:val="18"/>
                <w:lang w:eastAsia="pl-PL"/>
              </w:rPr>
              <w:br/>
              <w:t>Przedsiębiorstwa, które mają dostęp do zrzutów wody mogą je używać do produkcji energii. Rozwiązanie to jest tanie i ekologiczne. Koszt użytkowania ogranicza się jedynie do okresowej konserwacji maszyny.</w:t>
            </w:r>
            <w:r w:rsidRPr="0028666F">
              <w:rPr>
                <w:rFonts w:ascii="Calibri" w:eastAsia="Times New Roman" w:hAnsi="Calibri" w:cs="Calibri"/>
                <w:color w:val="000000"/>
                <w:sz w:val="18"/>
                <w:szCs w:val="18"/>
                <w:lang w:eastAsia="pl-PL"/>
              </w:rPr>
              <w:br/>
              <w:t>Urządzenie do przetwarzania energii słupa wody zostało opatentowane na początku 2013 r</w:t>
            </w:r>
            <w:r w:rsidRPr="0028666F">
              <w:rPr>
                <w:rFonts w:ascii="Calibri" w:eastAsia="Times New Roman" w:hAnsi="Calibri" w:cs="Calibri"/>
                <w:color w:val="000000"/>
                <w:sz w:val="18"/>
                <w:szCs w:val="18"/>
                <w:lang w:eastAsia="pl-PL"/>
              </w:rPr>
              <w:br/>
              <w:t>Dodaję także, że już w 2008 r ówczesny Wojewódzki Zarząd Melioracji i Urządzeń Wodnych w Łodzi, wytypował 351 potencjalnych miejsc w województwie łódzkim posiadającym spiętrzenia wody powyżej jednego metra.</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AFB46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Podane jak wyżej </w:t>
            </w:r>
          </w:p>
        </w:tc>
        <w:tc>
          <w:tcPr>
            <w:tcW w:w="3009" w:type="dxa"/>
            <w:tcBorders>
              <w:top w:val="nil"/>
              <w:left w:val="nil"/>
              <w:bottom w:val="single" w:sz="4" w:space="0" w:color="auto"/>
              <w:right w:val="single" w:sz="4" w:space="0" w:color="auto"/>
            </w:tcBorders>
            <w:shd w:val="clear" w:color="auto" w:fill="auto"/>
            <w:hideMark/>
          </w:tcPr>
          <w:p w14:paraId="14C152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Podane jak powyżej</w:t>
            </w:r>
          </w:p>
        </w:tc>
        <w:tc>
          <w:tcPr>
            <w:tcW w:w="1720" w:type="dxa"/>
            <w:tcBorders>
              <w:top w:val="nil"/>
              <w:left w:val="nil"/>
              <w:bottom w:val="single" w:sz="4" w:space="0" w:color="auto"/>
              <w:right w:val="single" w:sz="4" w:space="0" w:color="auto"/>
            </w:tcBorders>
            <w:shd w:val="clear" w:color="000000" w:fill="FFFFFF"/>
            <w:hideMark/>
          </w:tcPr>
          <w:p w14:paraId="5797D2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67DCC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2E2F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konsultowanego dokumentu.</w:t>
            </w:r>
          </w:p>
        </w:tc>
      </w:tr>
      <w:tr w:rsidR="007C2B40" w:rsidRPr="0028666F" w14:paraId="2FA7E3F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24E7AD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w:t>
            </w:r>
          </w:p>
        </w:tc>
        <w:tc>
          <w:tcPr>
            <w:tcW w:w="970" w:type="dxa"/>
            <w:tcBorders>
              <w:top w:val="nil"/>
              <w:left w:val="nil"/>
              <w:bottom w:val="single" w:sz="4" w:space="0" w:color="auto"/>
              <w:right w:val="nil"/>
            </w:tcBorders>
          </w:tcPr>
          <w:p w14:paraId="47CA7AC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Czas Nieruchomości</w:t>
            </w:r>
          </w:p>
        </w:tc>
        <w:tc>
          <w:tcPr>
            <w:tcW w:w="165" w:type="dxa"/>
            <w:tcBorders>
              <w:top w:val="nil"/>
              <w:left w:val="nil"/>
              <w:bottom w:val="single" w:sz="4" w:space="0" w:color="auto"/>
              <w:right w:val="single" w:sz="4" w:space="0" w:color="auto"/>
            </w:tcBorders>
            <w:shd w:val="clear" w:color="auto" w:fill="auto"/>
          </w:tcPr>
          <w:p w14:paraId="3DD49F2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0E9540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248B23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Stan wody Górnej Noteci od Kruszwicy do Barcina jest w wielu miejscach fatalny. Występują miejsca gdzie szerokość jej wynosi dosłownie kilka m. W latach przedwojennych i powojennych pływały tam barki z towarami dziś trudno łodzią z silnikiem przepłynąć bo głębokość w wielu miejscach wynosi ok. 1m. Mała głębokość wpływa tez negatywnie na rybostan.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Warto nadmienić że ten szlak wodny jest częścią Wielkiej Pętli Wielkopolski na którą w latach poprzednich wydano wiele funduszy na budowę infrastruktury i promocję, a która dzisiaj jest możliwa do przepłynięcia tylko dla jednostek o bardzo małym zanurzeniu lub wczesną wiosną...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Bardzo wiele w środowisku żeglarskim czy motorowodnym słyszy się o przypadkach gdzie zza granicy ktoś słysząc o Wielkiej Pętli Wielkopolski przypływa aby przepłynąć tym szlakiem a tu utyka gdzieś na którymś etapie nie mogąc płynąc dalej ze względu na zaniedbanie szlaku wodnego który jest niepogłębiany na większości trasy od wielu wielu lat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29E981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Trzeba kilka pogłębiarek kupić lub wynająć które będą pływać dokoła choćby co kilka lat aby odmulać i pogłębiać dno do tych 2m głębokości aby Wielka Pętla Wielkopolski będąca przypomnijmy częścią słynnej europejskiej drogi wodnej E 70 nie przynosiła Nam Polakom wstydu i żeby mogła rozwijać się turystyka wodna żeby Polacy chcieli wypoczywać w kraju tutaj zostawiając pieniądze i płacić podatki.  </w:t>
            </w:r>
          </w:p>
        </w:tc>
        <w:tc>
          <w:tcPr>
            <w:tcW w:w="3009" w:type="dxa"/>
            <w:tcBorders>
              <w:top w:val="nil"/>
              <w:left w:val="nil"/>
              <w:bottom w:val="single" w:sz="4" w:space="0" w:color="auto"/>
              <w:right w:val="single" w:sz="4" w:space="0" w:color="auto"/>
            </w:tcBorders>
            <w:shd w:val="clear" w:color="auto" w:fill="auto"/>
            <w:hideMark/>
          </w:tcPr>
          <w:p w14:paraId="7E0CB6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Wyżej już uzasadniłem </w:t>
            </w:r>
          </w:p>
        </w:tc>
        <w:tc>
          <w:tcPr>
            <w:tcW w:w="1720" w:type="dxa"/>
            <w:tcBorders>
              <w:top w:val="nil"/>
              <w:left w:val="nil"/>
              <w:bottom w:val="single" w:sz="4" w:space="0" w:color="auto"/>
              <w:right w:val="single" w:sz="4" w:space="0" w:color="auto"/>
            </w:tcBorders>
            <w:shd w:val="clear" w:color="000000" w:fill="FFFFFF"/>
            <w:hideMark/>
          </w:tcPr>
          <w:p w14:paraId="48C4CD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06_CzasNieruchomości</w:t>
            </w:r>
          </w:p>
        </w:tc>
        <w:tc>
          <w:tcPr>
            <w:tcW w:w="1014" w:type="dxa"/>
            <w:tcBorders>
              <w:top w:val="nil"/>
              <w:left w:val="nil"/>
              <w:bottom w:val="single" w:sz="4" w:space="0" w:color="auto"/>
              <w:right w:val="single" w:sz="4" w:space="0" w:color="auto"/>
            </w:tcBorders>
            <w:shd w:val="clear" w:color="auto" w:fill="auto"/>
            <w:hideMark/>
          </w:tcPr>
          <w:p w14:paraId="40FDB5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36C171" w14:textId="633C0F3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w:t>
            </w:r>
            <w:r w:rsidRPr="0028666F">
              <w:rPr>
                <w:rFonts w:ascii="Calibri" w:eastAsia="Times New Roman" w:hAnsi="Calibri" w:cs="Calibri"/>
                <w:color w:val="000000"/>
                <w:sz w:val="18"/>
                <w:szCs w:val="18"/>
                <w:lang w:eastAsia="pl-PL"/>
              </w:rPr>
              <w:br/>
              <w:t xml:space="preserve">Wyjaśniamy, że działania naprawcze wskazane w IIaPGW służą osiągnięciu celów środowiskowych (cele środowiskowe - Załączniki 5.1, wskazanych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 Załącznik 7 (zestaw działań), działania naprawcze nie mogą prowadzić do pogorszenia stanu wód, w tym pogorszenia stanu hydromorfologicznego, czy biologicznego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obligatoryjne działania na poziomie krajowym (Załącznik 7.1) wskazano między innymi działanie: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w:t>
            </w:r>
          </w:p>
        </w:tc>
      </w:tr>
      <w:tr w:rsidR="007C2B40" w:rsidRPr="0028666F" w14:paraId="31AA409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6E070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w:t>
            </w:r>
          </w:p>
        </w:tc>
        <w:tc>
          <w:tcPr>
            <w:tcW w:w="970" w:type="dxa"/>
            <w:tcBorders>
              <w:top w:val="nil"/>
              <w:left w:val="nil"/>
              <w:bottom w:val="single" w:sz="4" w:space="0" w:color="auto"/>
              <w:right w:val="nil"/>
            </w:tcBorders>
          </w:tcPr>
          <w:p w14:paraId="7B569FB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Starostwo Powiatowe w Słupcy</w:t>
            </w:r>
          </w:p>
        </w:tc>
        <w:tc>
          <w:tcPr>
            <w:tcW w:w="165" w:type="dxa"/>
            <w:tcBorders>
              <w:top w:val="nil"/>
              <w:left w:val="nil"/>
              <w:bottom w:val="single" w:sz="4" w:space="0" w:color="auto"/>
              <w:right w:val="single" w:sz="4" w:space="0" w:color="auto"/>
            </w:tcBorders>
            <w:shd w:val="clear" w:color="auto" w:fill="auto"/>
          </w:tcPr>
          <w:p w14:paraId="453AB3C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0FDA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Wody powierzchniowe</w:t>
            </w:r>
          </w:p>
        </w:tc>
        <w:tc>
          <w:tcPr>
            <w:tcW w:w="5000" w:type="dxa"/>
            <w:tcBorders>
              <w:top w:val="nil"/>
              <w:left w:val="nil"/>
              <w:bottom w:val="single" w:sz="4" w:space="0" w:color="auto"/>
              <w:right w:val="single" w:sz="4" w:space="0" w:color="auto"/>
            </w:tcBorders>
            <w:shd w:val="clear" w:color="auto" w:fill="auto"/>
            <w:hideMark/>
          </w:tcPr>
          <w:p w14:paraId="133A2D42" w14:textId="4DA8DF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Czy będą prowadzone postępowania w kierunku zmiany pozwoleń wodnoprawnych oraz instrukcji gospodarowania wodą w zakresie dostosowania ich do okresów suszy dla małych cieków. </w:t>
            </w:r>
            <w:r w:rsidRPr="0028666F">
              <w:rPr>
                <w:rFonts w:ascii="Calibri" w:eastAsia="Times New Roman" w:hAnsi="Calibri" w:cs="Calibri"/>
                <w:color w:val="000000"/>
                <w:sz w:val="18"/>
                <w:szCs w:val="18"/>
                <w:lang w:eastAsia="pl-PL"/>
              </w:rPr>
              <w:br w:type="page"/>
              <w:t>Zgodnie z instrukcjami gospodarowania wodą i pozwoleniami wodnoprawnymi ustalone są sztywne daty zamykoania i otwierania zastawek co w okresach suszy powoduje całkowity odpływ wody z regionu.</w:t>
            </w:r>
            <w:r w:rsidRPr="0028666F">
              <w:rPr>
                <w:rFonts w:ascii="Calibri" w:eastAsia="Times New Roman" w:hAnsi="Calibri" w:cs="Calibri"/>
                <w:color w:val="000000"/>
                <w:sz w:val="18"/>
                <w:szCs w:val="18"/>
                <w:lang w:eastAsia="pl-PL"/>
              </w:rPr>
              <w:br w:type="page"/>
              <w:t xml:space="preserve">Przykładowo piętrzenie wód Strugi Dębowieckiej – na odcinku w Gminie Gniezno, miejscowości Dębówiec, działki 25, 24 i 97 na opisanym odcinku następuje </w:t>
            </w:r>
            <w:r w:rsidRPr="0028666F">
              <w:rPr>
                <w:rFonts w:ascii="Calibri" w:eastAsia="Times New Roman" w:hAnsi="Calibri" w:cs="Calibri"/>
                <w:color w:val="000000"/>
                <w:sz w:val="18"/>
                <w:szCs w:val="18"/>
                <w:lang w:eastAsia="pl-PL"/>
              </w:rPr>
              <w:lastRenderedPageBreak/>
              <w:t>znaczny spadek terenu dochodzący do ponad 1m przy dnie cieku. Jest to szczególnie niebezpieczne dla Jeziora Mrzygłód, oraz kilku oczek wodnych powyżej, które są niewielkimi, silnie zeutrofizowanym zbiornikami. Pozwolenie na swobodny odpływ wód w okresach suszy na tym odcinku grodzi całkowitym wysuszeniem jeziora i doprowadzeniem do klęski ekologicznej z masowym padnięciem ryb. Jest to działanie bardzo negatywne pod względem ekologicznych jak.</w:t>
            </w:r>
            <w:r w:rsidRPr="0028666F">
              <w:rPr>
                <w:rFonts w:ascii="Calibri" w:eastAsia="Times New Roman" w:hAnsi="Calibri" w:cs="Calibri"/>
                <w:color w:val="000000"/>
                <w:sz w:val="18"/>
                <w:szCs w:val="18"/>
                <w:lang w:eastAsia="pl-PL"/>
              </w:rPr>
              <w:br w:type="page"/>
              <w:t>Jednocześnie w okresach suszy często występuje całkowity zanik przepływu wody na różnych odcinkach cieku. Tym samy zmiany w okresach piętrzeń w przypadku suszy nie ma znaczenia dla funkcjonowania całego cieku.</w:t>
            </w:r>
            <w:r w:rsidRPr="0028666F">
              <w:rPr>
                <w:rFonts w:ascii="Calibri" w:eastAsia="Times New Roman" w:hAnsi="Calibri" w:cs="Calibri"/>
                <w:color w:val="000000"/>
                <w:sz w:val="18"/>
                <w:szCs w:val="18"/>
                <w:lang w:eastAsia="pl-PL"/>
              </w:rPr>
              <w:br w:type="page"/>
              <w:t>Pomimo wznoszenia problemu od trzech lat, pism wskazujących konieczność zmian z Ministra Gospodarki Morskiej i Żeglugi Śródlądowej DOK.DOK3.9700.146.2019.KP, PW: 122216 z dnia 23.04.2020r.  - nic w tej sprawie nie zostało zrobione.</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9E70B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Dlatego wnoszę o zmianę ww. dokumentów w zakresie </w:t>
            </w:r>
            <w:r w:rsidRPr="0028666F">
              <w:rPr>
                <w:rFonts w:ascii="Calibri" w:eastAsia="Times New Roman" w:hAnsi="Calibri" w:cs="Calibri"/>
                <w:color w:val="000000"/>
                <w:sz w:val="18"/>
                <w:szCs w:val="18"/>
                <w:lang w:eastAsia="pl-PL"/>
              </w:rPr>
              <w:br w:type="page"/>
              <w:t>Istniejącego zapisu:</w:t>
            </w:r>
            <w:r w:rsidRPr="0028666F">
              <w:rPr>
                <w:rFonts w:ascii="Calibri" w:eastAsia="Times New Roman" w:hAnsi="Calibri" w:cs="Calibri"/>
                <w:color w:val="000000"/>
                <w:sz w:val="18"/>
                <w:szCs w:val="18"/>
                <w:lang w:eastAsia="pl-PL"/>
              </w:rPr>
              <w:br w:type="page"/>
              <w:t>„piętrzenie cieku w okresie od 15 kwietnia do 15 października”</w:t>
            </w:r>
            <w:r w:rsidRPr="0028666F">
              <w:rPr>
                <w:rFonts w:ascii="Calibri" w:eastAsia="Times New Roman" w:hAnsi="Calibri" w:cs="Calibri"/>
                <w:color w:val="000000"/>
                <w:sz w:val="18"/>
                <w:szCs w:val="18"/>
                <w:lang w:eastAsia="pl-PL"/>
              </w:rPr>
              <w:br w:type="page"/>
              <w:t>do proponowanego zapisu:</w:t>
            </w:r>
            <w:r w:rsidRPr="0028666F">
              <w:rPr>
                <w:rFonts w:ascii="Calibri" w:eastAsia="Times New Roman" w:hAnsi="Calibri" w:cs="Calibri"/>
                <w:color w:val="000000"/>
                <w:sz w:val="18"/>
                <w:szCs w:val="18"/>
                <w:lang w:eastAsia="pl-PL"/>
              </w:rPr>
              <w:br w:type="page"/>
              <w:t xml:space="preserve">„piętrzenie cieku w okresie od 15 kwietnia do 15 października z przedłużeniem na pozostałe miesiące roku w </w:t>
            </w:r>
            <w:r w:rsidRPr="0028666F">
              <w:rPr>
                <w:rFonts w:ascii="Calibri" w:eastAsia="Times New Roman" w:hAnsi="Calibri" w:cs="Calibri"/>
                <w:color w:val="000000"/>
                <w:sz w:val="18"/>
                <w:szCs w:val="18"/>
                <w:lang w:eastAsia="pl-PL"/>
              </w:rPr>
              <w:lastRenderedPageBreak/>
              <w:t>okresach suszy, po uzgodnieniu przez przedstawiciela miejscowego Nadzoru Wodnego”</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FAE35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Pozwolenie na swobodny odpływ wód w okresach suszy dla małych cieków grodzi całkowitym wysuszeniem jeziora i doprowadzeniem do klęski ekologicznej z masowym padnięciem ryb. Jest to działanie bardzo negatywne pod względem ekologicznych jak.</w:t>
            </w:r>
          </w:p>
        </w:tc>
        <w:tc>
          <w:tcPr>
            <w:tcW w:w="1720" w:type="dxa"/>
            <w:tcBorders>
              <w:top w:val="nil"/>
              <w:left w:val="nil"/>
              <w:bottom w:val="single" w:sz="4" w:space="0" w:color="auto"/>
              <w:right w:val="single" w:sz="4" w:space="0" w:color="auto"/>
            </w:tcBorders>
            <w:shd w:val="clear" w:color="000000" w:fill="FFFFFF"/>
            <w:hideMark/>
          </w:tcPr>
          <w:p w14:paraId="093DE4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67756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B4F06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nie ma możliwości bezpośredniej ingerencji w wydane decyzje administracyjne. Dokonywanie przeglądów pozwoleń wodnoprawnych stanowi jedno z działań uwzględnionych w IIaPGW.</w:t>
            </w:r>
          </w:p>
        </w:tc>
      </w:tr>
      <w:tr w:rsidR="007C2B40" w:rsidRPr="0028666F" w14:paraId="00C65B7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B7D4B6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w:t>
            </w:r>
          </w:p>
        </w:tc>
        <w:tc>
          <w:tcPr>
            <w:tcW w:w="970" w:type="dxa"/>
            <w:tcBorders>
              <w:top w:val="nil"/>
              <w:left w:val="nil"/>
              <w:bottom w:val="single" w:sz="4" w:space="0" w:color="auto"/>
              <w:right w:val="nil"/>
            </w:tcBorders>
          </w:tcPr>
          <w:p w14:paraId="40C1B69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Kołaczkowie</w:t>
            </w:r>
          </w:p>
        </w:tc>
        <w:tc>
          <w:tcPr>
            <w:tcW w:w="165" w:type="dxa"/>
            <w:tcBorders>
              <w:top w:val="nil"/>
              <w:left w:val="nil"/>
              <w:bottom w:val="single" w:sz="4" w:space="0" w:color="auto"/>
              <w:right w:val="single" w:sz="4" w:space="0" w:color="auto"/>
            </w:tcBorders>
            <w:shd w:val="clear" w:color="auto" w:fill="auto"/>
          </w:tcPr>
          <w:p w14:paraId="6287479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AD1C8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D0547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Urząd Gminy w Kołaczkowie, w ramach trwających konsultacji społecznych drugiej aktualizacji planów gospodarowania wodami na obszarach dorzeczy Odry, zwraca uwagę na brak udziału samorządu terytorialnego w wydawaniu zgody na budowę studni głębionych. Na dzień dzisiejszy gminy nie mają żadnej możliwości wyrażania swojej opinii w tym zakresie. </w:t>
            </w:r>
            <w:r w:rsidRPr="0028666F">
              <w:rPr>
                <w:rFonts w:ascii="Calibri" w:eastAsia="Times New Roman" w:hAnsi="Calibri" w:cs="Calibri"/>
                <w:color w:val="000000"/>
                <w:sz w:val="18"/>
                <w:szCs w:val="18"/>
                <w:lang w:eastAsia="pl-PL"/>
              </w:rPr>
              <w:br/>
              <w:t xml:space="preserve">Zdajemy sobie sprawę, iż budowa takich urządzeń wspomaga przede wszystkim rolnictwo, ale jako strona zainteresowana ogólnym interesem społeczności lokalnej w zaopatrzenie w wodę bytową, należałoby uwzględnić przy wydawaniu wszelkiego zgód, także zdanie jednostek samorządowych. Ilość tych urządzeń na naszym terenie zwiększa się, a to z kolei negatywnie wpływa na poziom wód podziemnych. </w:t>
            </w:r>
            <w:r w:rsidRPr="0028666F">
              <w:rPr>
                <w:rFonts w:ascii="Calibri" w:eastAsia="Times New Roman" w:hAnsi="Calibri" w:cs="Calibri"/>
                <w:color w:val="000000"/>
                <w:sz w:val="18"/>
                <w:szCs w:val="18"/>
                <w:lang w:eastAsia="pl-PL"/>
              </w:rPr>
              <w:br/>
              <w:t xml:space="preserve">Głęboko wierzymy, że każda uwaga w Państwa konsultacjach będzie odpowiednio rozpatrzona, co pozytywnie wpłynie na dalszą współpracę w zakresie prawidłowego gospodarowania wodami. </w:t>
            </w:r>
          </w:p>
        </w:tc>
        <w:tc>
          <w:tcPr>
            <w:tcW w:w="2733" w:type="dxa"/>
            <w:tcBorders>
              <w:top w:val="nil"/>
              <w:left w:val="nil"/>
              <w:bottom w:val="single" w:sz="4" w:space="0" w:color="auto"/>
              <w:right w:val="single" w:sz="4" w:space="0" w:color="auto"/>
            </w:tcBorders>
            <w:shd w:val="clear" w:color="auto" w:fill="auto"/>
            <w:hideMark/>
          </w:tcPr>
          <w:p w14:paraId="2E9280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455505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9B273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08_UG_Kołaczków</w:t>
            </w:r>
          </w:p>
        </w:tc>
        <w:tc>
          <w:tcPr>
            <w:tcW w:w="1014" w:type="dxa"/>
            <w:tcBorders>
              <w:top w:val="nil"/>
              <w:left w:val="nil"/>
              <w:bottom w:val="single" w:sz="4" w:space="0" w:color="auto"/>
              <w:right w:val="single" w:sz="4" w:space="0" w:color="auto"/>
            </w:tcBorders>
            <w:shd w:val="clear" w:color="auto" w:fill="auto"/>
            <w:hideMark/>
          </w:tcPr>
          <w:p w14:paraId="7DFECA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2A50B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konsultowanego dokumentu IIaPGW, lecz ewentualnych zmian w ustawie Prawo wodne.</w:t>
            </w:r>
          </w:p>
        </w:tc>
      </w:tr>
      <w:tr w:rsidR="007C2B40" w:rsidRPr="0028666F" w14:paraId="52ECFA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4B0713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w:t>
            </w:r>
          </w:p>
        </w:tc>
        <w:tc>
          <w:tcPr>
            <w:tcW w:w="970" w:type="dxa"/>
            <w:tcBorders>
              <w:top w:val="nil"/>
              <w:left w:val="nil"/>
              <w:bottom w:val="single" w:sz="4" w:space="0" w:color="auto"/>
              <w:right w:val="nil"/>
            </w:tcBorders>
          </w:tcPr>
          <w:p w14:paraId="0FF474F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Wójcik</w:t>
            </w:r>
          </w:p>
        </w:tc>
        <w:tc>
          <w:tcPr>
            <w:tcW w:w="165" w:type="dxa"/>
            <w:tcBorders>
              <w:top w:val="nil"/>
              <w:left w:val="nil"/>
              <w:bottom w:val="single" w:sz="4" w:space="0" w:color="auto"/>
              <w:right w:val="single" w:sz="4" w:space="0" w:color="auto"/>
            </w:tcBorders>
            <w:shd w:val="clear" w:color="auto" w:fill="auto"/>
          </w:tcPr>
          <w:p w14:paraId="30391F0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68E2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Wody powierzchniowe</w:t>
            </w:r>
          </w:p>
        </w:tc>
        <w:tc>
          <w:tcPr>
            <w:tcW w:w="5000" w:type="dxa"/>
            <w:tcBorders>
              <w:top w:val="nil"/>
              <w:left w:val="nil"/>
              <w:bottom w:val="single" w:sz="4" w:space="0" w:color="auto"/>
              <w:right w:val="single" w:sz="4" w:space="0" w:color="auto"/>
            </w:tcBorders>
            <w:shd w:val="clear" w:color="auto" w:fill="auto"/>
            <w:hideMark/>
          </w:tcPr>
          <w:p w14:paraId="44D885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Zlewni Legnica. Dotyczy  dopływu rz.Strzegomki cieku podstawowego o nazwie RÓW KĄTECKI wybudowanego na początku lat 80-tych,dlugości łącznej 6,3km ,składającego się z 3-ch charakterystycznych odcinków;1). od km0+000 do km2+628 ciek otwarty(profil trapezowy)2).od km2+628 do km3+680 ciek zarurowany śr.0.8m pod polderem zalewowym rz.Strzegomki 3.)od km3+680 do 6+430 ciek otwarty z dużym spadkiem ok.2,7%% .Na odcinku km3+680 do 4+400 spadek terenu jest zdecydowanie wyzerowany co przy deszczach nawalnych powoduje cofkę i piętrzenie z występowaniem wód poza koryto. W latach 1997 i 2009 wystąpiły szkody materialne i stagnowanie wód do 3 tygodni .Obecnie w bezpośrednim zasięgu terenu zalewowego jest nowo wybudowane przedszkole i żłobek na 250 dzieci u zbiegu ulic Sybiraków i Legionów w Kątach Wrocławskich i inne obiekty .Konieczna jest korekta cieku z uwagi na lawinowo  rosnące tereny zurbanizowane w zlewni w/w cieku.    </w:t>
            </w:r>
          </w:p>
        </w:tc>
        <w:tc>
          <w:tcPr>
            <w:tcW w:w="2733" w:type="dxa"/>
            <w:tcBorders>
              <w:top w:val="nil"/>
              <w:left w:val="nil"/>
              <w:bottom w:val="single" w:sz="4" w:space="0" w:color="auto"/>
              <w:right w:val="single" w:sz="4" w:space="0" w:color="auto"/>
            </w:tcBorders>
            <w:shd w:val="clear" w:color="auto" w:fill="auto"/>
            <w:hideMark/>
          </w:tcPr>
          <w:p w14:paraId="4196F7FE" w14:textId="0F32F4CE" w:rsidR="007C2B40" w:rsidRPr="0028666F" w:rsidRDefault="007C2B40" w:rsidP="0049190C">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pierwszej kolejności powinny  zmierzać do zwiększenia przepustowości odcinka zarurowanego ROWU KĄTECKIEGO (1052mb rury WIPRO śr. 0,8m)Niezależnie doraźnie ,w celu zmniejszenia skutków podtopień należałoby zwiększyć częstotliwość czyszczenia koryta ROWU KĄTECKIEGO na odcinku od km 0+000 do km 4+400 .I.Alternatywne rozwiązania  to :podział ROWU KĄTECKIEGO na dwie części ;1)dolną od km 0+000 do km 4 +870 bez przebudowy istniejącego odcinka zarurowanego (1052mb)ze zrzutem do rz.Strzegomki,  2)górną  od km4+870 do km 6+430 dobudowaniem odcinka cieku otwartego ok. 1200mb  ze zrzutem wody do rz.Bystrzyca.II.Alternatywne rozwiązanie to wybudowanie na </w:t>
            </w:r>
            <w:r w:rsidRPr="0028666F">
              <w:rPr>
                <w:rFonts w:ascii="Calibri" w:eastAsia="Times New Roman" w:hAnsi="Calibri" w:cs="Calibri"/>
                <w:color w:val="000000"/>
                <w:sz w:val="18"/>
                <w:szCs w:val="18"/>
                <w:lang w:eastAsia="pl-PL"/>
              </w:rPr>
              <w:lastRenderedPageBreak/>
              <w:t>odcinku cieku ROWU KĄTECKIEGO od km 4+080 do km 5+690 małych zbiorników retencyjnych z regulowanym automatycznie zrzutem wody dostosowanym do możliwości</w:t>
            </w:r>
            <w:r w:rsidR="0049190C">
              <w:rPr>
                <w:rFonts w:ascii="Calibri" w:eastAsia="Times New Roman" w:hAnsi="Calibri" w:cs="Calibri"/>
                <w:color w:val="000000"/>
                <w:sz w:val="18"/>
                <w:szCs w:val="18"/>
                <w:lang w:eastAsia="pl-PL"/>
              </w:rPr>
              <w:t xml:space="preserve"> </w:t>
            </w:r>
            <w:r w:rsidRPr="0028666F">
              <w:rPr>
                <w:rFonts w:ascii="Calibri" w:eastAsia="Times New Roman" w:hAnsi="Calibri" w:cs="Calibri"/>
                <w:color w:val="000000"/>
                <w:sz w:val="18"/>
                <w:szCs w:val="18"/>
                <w:lang w:eastAsia="pl-PL"/>
              </w:rPr>
              <w:t>przesyłowej obecnego Rurociągu śr.0,8m i dł.1052mb.</w:t>
            </w:r>
          </w:p>
        </w:tc>
        <w:tc>
          <w:tcPr>
            <w:tcW w:w="3009" w:type="dxa"/>
            <w:tcBorders>
              <w:top w:val="nil"/>
              <w:left w:val="nil"/>
              <w:bottom w:val="single" w:sz="4" w:space="0" w:color="auto"/>
              <w:right w:val="single" w:sz="4" w:space="0" w:color="auto"/>
            </w:tcBorders>
            <w:shd w:val="clear" w:color="auto" w:fill="auto"/>
            <w:hideMark/>
          </w:tcPr>
          <w:p w14:paraId="57B4A0C4" w14:textId="30E64DF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Gmina Kąty Wrocławskie bezpośrednio przylegającym do biegu cieku RÓW KĄTECKI dysponuje wolnym  terenem na odcinku wymienionym powyżej  w II alternatywie rozwiązania wydawać się najkorzystniejszego dla Gminy . Jeżeli przy wyliczeniach projektowych potrzebny będzie dodatkowy teren pod zbiornik retencyjny to jest realna możliwość pozyskania gruntów w wymianie barterowej Gminy z innymi właścicielami gruntów bezpośrednio przyległych  do ROWU KĄTECKIEGO .                     Serdecznie pozdrawiam  inż.Wojciech Wójcik v-ce przewodniczący Rady Miasta i Gminy Kąty Wrocławskie </w:t>
            </w:r>
          </w:p>
        </w:tc>
        <w:tc>
          <w:tcPr>
            <w:tcW w:w="1720" w:type="dxa"/>
            <w:tcBorders>
              <w:top w:val="nil"/>
              <w:left w:val="nil"/>
              <w:bottom w:val="single" w:sz="4" w:space="0" w:color="auto"/>
              <w:right w:val="single" w:sz="4" w:space="0" w:color="auto"/>
            </w:tcBorders>
            <w:shd w:val="clear" w:color="000000" w:fill="FFFFFF"/>
            <w:hideMark/>
          </w:tcPr>
          <w:p w14:paraId="478862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63F9B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4FF1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bezpośrednio konsultowanego dokumentu. Zagadnienia zagrożenia i ryzyka powodziowego stanowią element PZRP (planów zarządzania ryzykiem powodziowym).</w:t>
            </w:r>
          </w:p>
        </w:tc>
      </w:tr>
      <w:tr w:rsidR="007C2B40" w:rsidRPr="0028666F" w14:paraId="43497681" w14:textId="77777777" w:rsidTr="006D7A1B">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864F447" w14:textId="77777777" w:rsidR="007C2B40" w:rsidRPr="006D7A1B" w:rsidRDefault="007C2B40" w:rsidP="007C2B40">
            <w:pPr>
              <w:ind w:firstLine="0"/>
              <w:jc w:val="center"/>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10</w:t>
            </w:r>
          </w:p>
        </w:tc>
        <w:tc>
          <w:tcPr>
            <w:tcW w:w="970" w:type="dxa"/>
            <w:tcBorders>
              <w:top w:val="nil"/>
              <w:left w:val="nil"/>
              <w:bottom w:val="single" w:sz="4" w:space="0" w:color="auto"/>
              <w:right w:val="nil"/>
            </w:tcBorders>
            <w:shd w:val="clear" w:color="auto" w:fill="auto"/>
          </w:tcPr>
          <w:p w14:paraId="03FC2F20"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7CA87E3E" w14:textId="77777777" w:rsidR="007C2B40" w:rsidRPr="006D7A1B"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7000363"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68ED857" w14:textId="10EFE89A"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Część projektu planu, do którego zgłaszana jest uwaga nr 1 (numer rozdziału, strona dokumentu).Załącznik nr 7.3 Zestaw działań RW ODOdra oraz Załącznik nr 8 Wykaz odstępstw Odra</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Treść uwagi nr 1 wraz z uzasadnieniem</w:t>
            </w:r>
            <w:r w:rsidRPr="006D7A1B">
              <w:rPr>
                <w:rFonts w:ascii="Calibri" w:eastAsia="Times New Roman" w:hAnsi="Calibri" w:cs="Calibri"/>
                <w:color w:val="000000"/>
                <w:sz w:val="18"/>
                <w:szCs w:val="18"/>
                <w:lang w:eastAsia="pl-PL"/>
              </w:rPr>
              <w:br/>
              <w:t>Biorąc pod uwagę fakt, że:</w:t>
            </w:r>
            <w:r w:rsidRPr="006D7A1B">
              <w:rPr>
                <w:rFonts w:ascii="Calibri" w:eastAsia="Times New Roman" w:hAnsi="Calibri" w:cs="Calibri"/>
                <w:color w:val="000000"/>
                <w:sz w:val="18"/>
                <w:szCs w:val="18"/>
                <w:lang w:eastAsia="pl-PL"/>
              </w:rPr>
              <w:br/>
              <w:t>1) w załączniku nr 8 Wykaz  odstępstw  Odra, w części tabeli w kolumnach (AL do AN) dot. oceny skuteczności programu działań (przy założeniu jego pełnego i terminowego wdrożenia) dla wskaźników determinujących zły stan wód, w wierszu dot. RW6000121599 Odra od Baryczy do Bobru, wskazuje się, że wskaźniki fizyko chemiczne: PEW i Cu, są parametrami powodującymi zły stan wód tej</w:t>
            </w:r>
            <w:r w:rsidR="00370EC8">
              <w:rPr>
                <w:rFonts w:ascii="Calibri" w:eastAsia="Times New Roman" w:hAnsi="Calibri" w:cs="Calibri"/>
                <w:color w:val="000000"/>
                <w:sz w:val="18"/>
                <w:szCs w:val="18"/>
                <w:lang w:eastAsia="pl-PL"/>
              </w:rPr>
              <w:t>JCWP</w:t>
            </w:r>
            <w:r w:rsidRPr="006D7A1B">
              <w:rPr>
                <w:rFonts w:ascii="Calibri" w:eastAsia="Times New Roman" w:hAnsi="Calibri" w:cs="Calibri"/>
                <w:color w:val="000000"/>
                <w:sz w:val="18"/>
                <w:szCs w:val="18"/>
                <w:lang w:eastAsia="pl-PL"/>
              </w:rPr>
              <w:t>P, jednak są wskaźnikami, dla których program działań daje wysoki stopień pewności na osiągnięcie celów środowiskoWYch do 2027 r.</w:t>
            </w:r>
            <w:r w:rsidRPr="006D7A1B">
              <w:rPr>
                <w:rFonts w:ascii="Calibri" w:eastAsia="Times New Roman" w:hAnsi="Calibri" w:cs="Calibri"/>
                <w:color w:val="000000"/>
                <w:sz w:val="18"/>
                <w:szCs w:val="18"/>
                <w:lang w:eastAsia="pl-PL"/>
              </w:rPr>
              <w:br/>
              <w:t xml:space="preserve">2) proponowane zestawy działań określone dla tej </w:t>
            </w:r>
            <w:r w:rsidR="00370EC8">
              <w:rPr>
                <w:rFonts w:ascii="Calibri" w:eastAsia="Times New Roman" w:hAnsi="Calibri" w:cs="Calibri"/>
                <w:color w:val="000000"/>
                <w:sz w:val="18"/>
                <w:szCs w:val="18"/>
                <w:lang w:eastAsia="pl-PL"/>
              </w:rPr>
              <w:t>JCWP</w:t>
            </w:r>
            <w:r w:rsidRPr="006D7A1B">
              <w:rPr>
                <w:rFonts w:ascii="Calibri" w:eastAsia="Times New Roman" w:hAnsi="Calibri" w:cs="Calibri"/>
                <w:color w:val="000000"/>
                <w:sz w:val="18"/>
                <w:szCs w:val="18"/>
                <w:lang w:eastAsia="pl-PL"/>
              </w:rPr>
              <w:t>P w załączniku nr 7.3 ograniczają się w głównej mierze do:</w:t>
            </w:r>
            <w:r w:rsidRPr="006D7A1B">
              <w:rPr>
                <w:rFonts w:ascii="Calibri" w:eastAsia="Times New Roman" w:hAnsi="Calibri" w:cs="Calibri"/>
                <w:color w:val="000000"/>
                <w:sz w:val="18"/>
                <w:szCs w:val="18"/>
                <w:lang w:eastAsia="pl-PL"/>
              </w:rPr>
              <w:br/>
              <w:t>• zachowania funkcji cieku (działanie o kodzie RWHM_04.01 ),</w:t>
            </w:r>
            <w:r w:rsidRPr="006D7A1B">
              <w:rPr>
                <w:rFonts w:ascii="Calibri" w:eastAsia="Times New Roman" w:hAnsi="Calibri" w:cs="Calibri"/>
                <w:color w:val="000000"/>
                <w:sz w:val="18"/>
                <w:szCs w:val="18"/>
                <w:lang w:eastAsia="pl-PL"/>
              </w:rPr>
              <w:br/>
              <w:t>• utrzymywania starorzeczy, oczek wodnych, zarybianie zbiorników stojących, modyfikacji gospodarki leśnej (działania o kodzie RWC_02.01 Lp. 6303+6309),</w:t>
            </w:r>
            <w:r w:rsidRPr="006D7A1B">
              <w:rPr>
                <w:rFonts w:ascii="Calibri" w:eastAsia="Times New Roman" w:hAnsi="Calibri" w:cs="Calibri"/>
                <w:color w:val="000000"/>
                <w:sz w:val="18"/>
                <w:szCs w:val="18"/>
                <w:lang w:eastAsia="pl-PL"/>
              </w:rPr>
              <w:br/>
              <w:t>• renaturyzacji (kod RWHM_03.01 Lp. 5052),</w:t>
            </w:r>
            <w:r w:rsidRPr="006D7A1B">
              <w:rPr>
                <w:rFonts w:ascii="Calibri" w:eastAsia="Times New Roman" w:hAnsi="Calibri" w:cs="Calibri"/>
                <w:color w:val="000000"/>
                <w:sz w:val="18"/>
                <w:szCs w:val="18"/>
                <w:lang w:eastAsia="pl-PL"/>
              </w:rPr>
              <w:br/>
              <w:t>• działań kontrolnych i edukacyjnych dla rolnictwa (kod RWP-02.01 i RWP-04.01 Lp.6315 i 6316),</w:t>
            </w:r>
            <w:r w:rsidRPr="006D7A1B">
              <w:rPr>
                <w:rFonts w:ascii="Calibri" w:eastAsia="Times New Roman" w:hAnsi="Calibri" w:cs="Calibri"/>
                <w:color w:val="000000"/>
                <w:sz w:val="18"/>
                <w:szCs w:val="18"/>
                <w:lang w:eastAsia="pl-PL"/>
              </w:rPr>
              <w:br/>
              <w:t>a także:</w:t>
            </w:r>
            <w:r w:rsidRPr="006D7A1B">
              <w:rPr>
                <w:rFonts w:ascii="Calibri" w:eastAsia="Times New Roman" w:hAnsi="Calibri" w:cs="Calibri"/>
                <w:color w:val="000000"/>
                <w:sz w:val="18"/>
                <w:szCs w:val="18"/>
                <w:lang w:eastAsia="pl-PL"/>
              </w:rPr>
              <w:br/>
              <w:t>• przewidują redukcję dopływu zanieczyszczeń (przewidziane 2 działania o kodzie RWC.02.02 Lp. 6310 i 6311),</w:t>
            </w:r>
            <w:r w:rsidRPr="006D7A1B">
              <w:rPr>
                <w:rFonts w:ascii="Calibri" w:eastAsia="Times New Roman" w:hAnsi="Calibri" w:cs="Calibri"/>
                <w:color w:val="000000"/>
                <w:sz w:val="18"/>
                <w:szCs w:val="18"/>
                <w:lang w:eastAsia="pl-PL"/>
              </w:rPr>
              <w:br/>
              <w:t>• przewidują kontrolę przestrzegania warunków ustalonych w decyzjach administracyjnych oraz przeglądy pozwoleń wodnoprawnych w zakresie wprowadzania ścieków do wód lub do ziemi (działanie oznaczone kodem RWP_06.01 Lp. 6317), które szczególnie dotyczą działalności KGHM,</w:t>
            </w:r>
            <w:r w:rsidRPr="006D7A1B">
              <w:rPr>
                <w:rFonts w:ascii="Calibri" w:eastAsia="Times New Roman" w:hAnsi="Calibri" w:cs="Calibri"/>
                <w:color w:val="000000"/>
                <w:sz w:val="18"/>
                <w:szCs w:val="18"/>
                <w:lang w:eastAsia="pl-PL"/>
              </w:rPr>
              <w:br/>
              <w:t>istnieją realne obawy o ciągłość prowadzenia działalności. ponieważ wg aktualnego stanu. bez zrzutu ścieków do rzeki Odry, przemysł wydobywczy nie może funkcjonować.</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 xml:space="preserve">Ponadto, podczas konsultacji społecznych zapewniano nas, że istnieje wysoki stopień pewności, iż cel środowiskowy dla tego odcinka Odry zostanie osiągnięty. Wynika z tego, że wartość PEW mierzona w ramach państwowego monitoringu środowiska nie może przekraczać 50% wartości dopuszczalnej. Powyższe jest niezgodne z rzeczywistymi pomiarami. Z wyników badań monitoringowych prowadzonych w dotychczasowym punkcie kontrolno-pomiarowym (ppk) dla </w:t>
            </w:r>
            <w:r w:rsidR="00370EC8">
              <w:rPr>
                <w:rFonts w:ascii="Calibri" w:eastAsia="Times New Roman" w:hAnsi="Calibri" w:cs="Calibri"/>
                <w:color w:val="000000"/>
                <w:sz w:val="18"/>
                <w:szCs w:val="18"/>
                <w:lang w:eastAsia="pl-PL"/>
              </w:rPr>
              <w:t>JCWP</w:t>
            </w:r>
            <w:r w:rsidRPr="006D7A1B">
              <w:rPr>
                <w:rFonts w:ascii="Calibri" w:eastAsia="Times New Roman" w:hAnsi="Calibri" w:cs="Calibri"/>
                <w:color w:val="000000"/>
                <w:sz w:val="18"/>
                <w:szCs w:val="18"/>
                <w:lang w:eastAsia="pl-PL"/>
              </w:rPr>
              <w:t>P, wynika, że w 2017 r. wartość PEW wynosiła 1 342 µS/cm co stanowi 158 % wartości dopuszczalnej. Innych badań PEW dla tego ppk nie opublikowano.</w:t>
            </w:r>
            <w:r w:rsidRPr="006D7A1B">
              <w:rPr>
                <w:rFonts w:ascii="Calibri" w:eastAsia="Times New Roman" w:hAnsi="Calibri" w:cs="Calibri"/>
                <w:color w:val="000000"/>
                <w:sz w:val="18"/>
                <w:szCs w:val="18"/>
                <w:lang w:eastAsia="pl-PL"/>
              </w:rPr>
              <w:br/>
              <w:t>W świetle Ramowej Dyrektywy Wodnej i powtórzonych zapisów w treści projektu Planu gospodarowania wodami, wynika, że:</w:t>
            </w:r>
            <w:r w:rsidRPr="006D7A1B">
              <w:rPr>
                <w:rFonts w:ascii="Calibri" w:eastAsia="Times New Roman" w:hAnsi="Calibri" w:cs="Calibri"/>
                <w:color w:val="000000"/>
                <w:sz w:val="18"/>
                <w:szCs w:val="18"/>
                <w:lang w:eastAsia="pl-PL"/>
              </w:rPr>
              <w:br/>
              <w:t xml:space="preserve">&amp;#34;Samo ryzyko nieosiągnięcia celu środowiskowego dla danej </w:t>
            </w:r>
            <w:r w:rsidRPr="006D7A1B">
              <w:rPr>
                <w:rFonts w:ascii="Calibri" w:eastAsia="Times New Roman" w:hAnsi="Calibri" w:cs="Calibri"/>
                <w:color w:val="000000"/>
                <w:sz w:val="18"/>
                <w:szCs w:val="18"/>
                <w:lang w:eastAsia="pl-PL"/>
              </w:rPr>
              <w:lastRenderedPageBreak/>
              <w:t>jednolitej części wód nie wystarcza, aby ustanowić odstępstwo. W planie gospodarowania wodami muszą zostać określone i wyjaśnione przyczyny uzasadniające możliwość rezygnacji z prób osiągnięcia dobrego stanu wód. W pierwszej kolejności sprawdza się, jakie działania powinny zostać zrealizowane, aby stan wód był lepszy. Jeżeli okazuje się, że pomimo ich podjęcia, dobry stan wód nie może być osiągnięty w zakładanym czasie, uzasadnia się przyczyny takiej sytuacji.&amp;#34;</w:t>
            </w:r>
            <w:r w:rsidRPr="006D7A1B">
              <w:rPr>
                <w:rFonts w:ascii="Calibri" w:eastAsia="Times New Roman" w:hAnsi="Calibri" w:cs="Calibri"/>
                <w:color w:val="000000"/>
                <w:sz w:val="18"/>
                <w:szCs w:val="18"/>
                <w:lang w:eastAsia="pl-PL"/>
              </w:rPr>
              <w:br/>
              <w:t>W związku z powyższym, zasadnym/koniecznym jest określenie konkretnych działań mających na celu doprowadzenie stanu wód do dobrego, ale przy jednoczesnym nieograniczaniu presji już istniejących. Z przemysłu miedziowego w dalszym ciągu muszą być odprowadzane znaczące  lości wód zasolonych, ponieważ nie ma żadnej alternatywnej i bardziej pro-środowiskowej metody na ich zagospodarowanie. Gdyby nawet zaistniały okoliczności, które umożliwią inne zagospodarowanie wód, a jednocześnie działania te będą opłacalne ekonomicznie i nie pogorszą stanu środowiska poprzez przerzucenie problemu do innego komponentu, to w ciągu 7 lat, do czasu obowiązywania nowego rozporządzenia w sprawie planów gospodarowania wodami, w aktualnym porządku prawnym nie ma możliwości  wybudowania nowej instalacji i jej eksploatacji do 2027 r. W związku z powyższym, projektowane zapisy planów powodują bardzo dużą niepewność co do możliwości kontynuacji działalności wydobywczej po 2027 r. Stąd tak ważne jest wprowadzanie odpowiednich zapisów przy formułowaniu odstępstwa z art. 4 ust. 4 ROW, aby organy wydające pozwolenia wodnoprawne nie miały wątpliwości i mogły wydawać pozwolenia wodnoprawne na zrzutu wód zasolonych do rzek, bez konieczności ograniczania czasookresu obowiązywania decyzji. Zatem zasadnym jest wprowadzanie stosownych zmian w dokumencie, które będą podstawą do udzielenia pozwoleń wodnoprawnych na działalność już prowadzoną, w szczególności  biorąc  pod  uwagę  fakt, że Odra już na granicy Polski z Czechami ma wyższe wartości PEW niż określone w rozporządzeniu.</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Proponowane zmiany zapisów:</w:t>
            </w:r>
            <w:r w:rsidRPr="006D7A1B">
              <w:rPr>
                <w:rFonts w:ascii="Calibri" w:eastAsia="Times New Roman" w:hAnsi="Calibri" w:cs="Calibri"/>
                <w:color w:val="000000"/>
                <w:sz w:val="18"/>
                <w:szCs w:val="18"/>
                <w:lang w:eastAsia="pl-PL"/>
              </w:rPr>
              <w:br/>
              <w:t>Proponuje się zatem, aby w załączniku nr 8 treść kolumny AL i AM (do 2027 r.) w wierszu dot. RW6000121599 Odra od Baryczy do Bobru, przenieść do kolumny AO i AP (po 2027 r.) w tym samym wierszu, z jednoczesnym wprowadzeniem zmiany w kolumnie BH, poprzez wykreślenie „do 2027 r. i wprowadzenie w to miejsce: ,,po 2027 r.&amp;#34;, a także określenie w przepisach dot. klasyfikacji wód (oraz w załączniku 3.1. projektu planu) na tyle bezpiecznych wartości PEW, co najmniej na poziomie 1 500 µS/cm, co pozwoli na dotrzymanie dobrej jakości wód.</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310E403F"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0AC38509"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auto" w:fill="auto"/>
            <w:hideMark/>
          </w:tcPr>
          <w:p w14:paraId="09D35D13"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0CA65B3A"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50671D2" w14:textId="477BAB16" w:rsidR="007C2B40" w:rsidRPr="00DF168C" w:rsidRDefault="007C2B40" w:rsidP="007C2B40">
            <w:pPr>
              <w:ind w:firstLine="0"/>
              <w:jc w:val="left"/>
              <w:rPr>
                <w:rFonts w:ascii="Calibri" w:eastAsia="Times New Roman" w:hAnsi="Calibri" w:cs="Calibri"/>
                <w:color w:val="000000"/>
                <w:sz w:val="18"/>
                <w:szCs w:val="18"/>
                <w:lang w:eastAsia="pl-PL"/>
              </w:rPr>
            </w:pPr>
            <w:r w:rsidRPr="00DF168C">
              <w:rPr>
                <w:rFonts w:ascii="Calibri" w:eastAsia="Times New Roman" w:hAnsi="Calibri" w:cs="Calibri"/>
                <w:color w:val="000000"/>
                <w:sz w:val="18"/>
                <w:szCs w:val="18"/>
                <w:lang w:eastAsia="pl-PL"/>
              </w:rPr>
              <w:t xml:space="preserve">Zgodnie z danymi GIOŚ w ppk PL02S0401_0638 dla przedmiotowej </w:t>
            </w:r>
            <w:r w:rsidR="00370EC8">
              <w:rPr>
                <w:rFonts w:ascii="Calibri" w:eastAsia="Times New Roman" w:hAnsi="Calibri" w:cs="Calibri"/>
                <w:color w:val="000000"/>
                <w:sz w:val="18"/>
                <w:szCs w:val="18"/>
                <w:lang w:eastAsia="pl-PL"/>
              </w:rPr>
              <w:t>JCWP</w:t>
            </w:r>
            <w:r w:rsidRPr="00DF168C">
              <w:rPr>
                <w:rFonts w:ascii="Calibri" w:eastAsia="Times New Roman" w:hAnsi="Calibri" w:cs="Calibri"/>
                <w:color w:val="000000"/>
                <w:sz w:val="18"/>
                <w:szCs w:val="18"/>
                <w:lang w:eastAsia="pl-PL"/>
              </w:rPr>
              <w:t>p RW6000121599 w 2019 roku wartość PEW wyniosła 1209 µS/cm, a dla tego typu wód (RwN) wartością graniczną dobrego stanu jest wartość 850 µS/cm – zatem wartość zmierzona przez GIOŚ to 142% wartości granicznej.</w:t>
            </w:r>
            <w:r w:rsidRPr="00DF168C">
              <w:rPr>
                <w:rFonts w:ascii="Calibri" w:eastAsia="Times New Roman" w:hAnsi="Calibri" w:cs="Calibri"/>
                <w:color w:val="000000"/>
                <w:sz w:val="18"/>
                <w:szCs w:val="18"/>
                <w:lang w:eastAsia="pl-PL"/>
              </w:rPr>
              <w:br/>
              <w:t xml:space="preserve">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DF168C">
              <w:rPr>
                <w:rFonts w:ascii="Calibri" w:eastAsia="Times New Roman" w:hAnsi="Calibri" w:cs="Calibri"/>
                <w:color w:val="000000"/>
                <w:sz w:val="18"/>
                <w:szCs w:val="18"/>
                <w:lang w:eastAsia="pl-PL"/>
              </w:rPr>
              <w:t xml:space="preserve">p niskie prawdopodobieństwo osiągnięcia celu dla przewodnictwa do 2027 roku przedmiotowej </w:t>
            </w:r>
            <w:r w:rsidR="00370EC8">
              <w:rPr>
                <w:rFonts w:ascii="Calibri" w:eastAsia="Times New Roman" w:hAnsi="Calibri" w:cs="Calibri"/>
                <w:color w:val="000000"/>
                <w:sz w:val="18"/>
                <w:szCs w:val="18"/>
                <w:lang w:eastAsia="pl-PL"/>
              </w:rPr>
              <w:t>JCWP</w:t>
            </w:r>
            <w:r w:rsidRPr="00DF168C">
              <w:rPr>
                <w:rFonts w:ascii="Calibri" w:eastAsia="Times New Roman" w:hAnsi="Calibri" w:cs="Calibri"/>
                <w:color w:val="000000"/>
                <w:sz w:val="18"/>
                <w:szCs w:val="18"/>
                <w:lang w:eastAsia="pl-PL"/>
              </w:rPr>
              <w:t>p przyznano odstępstwo 4.5.</w:t>
            </w:r>
            <w:r w:rsidRPr="00DF168C">
              <w:rPr>
                <w:rFonts w:ascii="Calibri" w:eastAsia="Times New Roman" w:hAnsi="Calibri" w:cs="Calibri"/>
                <w:color w:val="000000"/>
                <w:sz w:val="18"/>
                <w:szCs w:val="18"/>
                <w:lang w:eastAsia="pl-PL"/>
              </w:rPr>
              <w:br/>
              <w:t>W przypadku zmiany wartości granicznej PEW opracowanie dotyczące SZCW nie wykazało potrzeby zmian wartości granicznych tego wskaźnika. Brak jest przesłanek merytorycznych do zmiany wartości granicznej tego wskaźnika fizykochemicznego pełniącego rolę wspomagającą w ocenie stanu/potencjału ekologicznego, której podstawą jest ocena wskaźników biologicznych</w:t>
            </w:r>
          </w:p>
        </w:tc>
      </w:tr>
      <w:tr w:rsidR="007C2B40" w:rsidRPr="0028666F" w14:paraId="268AF6E8" w14:textId="77777777" w:rsidTr="006D7A1B">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4541E4F" w14:textId="77777777" w:rsidR="007C2B40" w:rsidRPr="006D7A1B" w:rsidRDefault="007C2B40" w:rsidP="007C2B40">
            <w:pPr>
              <w:ind w:firstLine="0"/>
              <w:jc w:val="center"/>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11</w:t>
            </w:r>
          </w:p>
        </w:tc>
        <w:tc>
          <w:tcPr>
            <w:tcW w:w="970" w:type="dxa"/>
            <w:tcBorders>
              <w:top w:val="nil"/>
              <w:left w:val="nil"/>
              <w:bottom w:val="single" w:sz="4" w:space="0" w:color="auto"/>
              <w:right w:val="nil"/>
            </w:tcBorders>
            <w:shd w:val="clear" w:color="auto" w:fill="auto"/>
          </w:tcPr>
          <w:p w14:paraId="5A1BA8AB"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72229E94" w14:textId="77777777" w:rsidR="007C2B40" w:rsidRPr="006D7A1B" w:rsidRDefault="007C2B40" w:rsidP="007C2B40">
            <w:pPr>
              <w:ind w:firstLine="0"/>
              <w:jc w:val="left"/>
              <w:rPr>
                <w:rFonts w:ascii="Calibri" w:eastAsia="Times New Roman" w:hAnsi="Calibri" w:cs="Calibri"/>
                <w:color w:val="000000"/>
                <w:sz w:val="18"/>
                <w:szCs w:val="18"/>
                <w:highlight w:val="red"/>
                <w:lang w:eastAsia="pl-PL"/>
              </w:rPr>
            </w:pPr>
          </w:p>
        </w:tc>
        <w:tc>
          <w:tcPr>
            <w:tcW w:w="2256" w:type="dxa"/>
            <w:tcBorders>
              <w:top w:val="nil"/>
              <w:left w:val="nil"/>
              <w:bottom w:val="single" w:sz="4" w:space="0" w:color="auto"/>
              <w:right w:val="single" w:sz="4" w:space="0" w:color="auto"/>
            </w:tcBorders>
            <w:shd w:val="clear" w:color="auto" w:fill="auto"/>
            <w:hideMark/>
          </w:tcPr>
          <w:p w14:paraId="352A9AA3"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E7B3742" w14:textId="0B0B3A66"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 xml:space="preserve">Część projektu planu, do którego zgłaszana jest uwaga nr 2 (numer rozdziału, strona dokumentu). Załącznik nr 3.1. Wartości graniczne SCW SZC Odra </w:t>
            </w:r>
            <w:r w:rsidR="00370EC8">
              <w:rPr>
                <w:rFonts w:ascii="Calibri" w:eastAsia="Times New Roman" w:hAnsi="Calibri" w:cs="Calibri"/>
                <w:color w:val="000000"/>
                <w:sz w:val="18"/>
                <w:szCs w:val="18"/>
                <w:lang w:eastAsia="pl-PL"/>
              </w:rPr>
              <w:t>JCWP</w:t>
            </w:r>
            <w:r w:rsidRPr="006D7A1B">
              <w:rPr>
                <w:rFonts w:ascii="Calibri" w:eastAsia="Times New Roman" w:hAnsi="Calibri" w:cs="Calibri"/>
                <w:color w:val="000000"/>
                <w:sz w:val="18"/>
                <w:szCs w:val="18"/>
                <w:lang w:eastAsia="pl-PL"/>
              </w:rPr>
              <w:t>P: Kod RW6000121599, Odra od Baryczy do Bobru</w:t>
            </w:r>
            <w:r w:rsidRPr="006D7A1B">
              <w:rPr>
                <w:rFonts w:ascii="Calibri" w:eastAsia="Times New Roman" w:hAnsi="Calibri" w:cs="Calibri"/>
                <w:color w:val="000000"/>
                <w:sz w:val="18"/>
                <w:szCs w:val="18"/>
                <w:lang w:eastAsia="pl-PL"/>
              </w:rPr>
              <w:br/>
              <w:t xml:space="preserve"> </w:t>
            </w:r>
            <w:r w:rsidRPr="006D7A1B">
              <w:rPr>
                <w:rFonts w:ascii="Calibri" w:eastAsia="Times New Roman" w:hAnsi="Calibri" w:cs="Calibri"/>
                <w:color w:val="000000"/>
                <w:sz w:val="18"/>
                <w:szCs w:val="18"/>
                <w:lang w:eastAsia="pl-PL"/>
              </w:rPr>
              <w:br/>
              <w:t>Treść uwagi nr 2 wraz z uzasadnieniem</w:t>
            </w:r>
            <w:r w:rsidRPr="006D7A1B">
              <w:rPr>
                <w:rFonts w:ascii="Calibri" w:eastAsia="Times New Roman" w:hAnsi="Calibri" w:cs="Calibri"/>
                <w:color w:val="000000"/>
                <w:sz w:val="18"/>
                <w:szCs w:val="18"/>
                <w:lang w:eastAsia="pl-PL"/>
              </w:rPr>
              <w:br/>
              <w:t xml:space="preserve">Wątpliwe jest nieokreślenie w załączniku 3.1 drugiej aktualizacji </w:t>
            </w:r>
            <w:r w:rsidRPr="006D7A1B">
              <w:rPr>
                <w:rFonts w:ascii="Calibri" w:eastAsia="Times New Roman" w:hAnsi="Calibri" w:cs="Calibri"/>
                <w:color w:val="000000"/>
                <w:sz w:val="18"/>
                <w:szCs w:val="18"/>
                <w:lang w:eastAsia="pl-PL"/>
              </w:rPr>
              <w:lastRenderedPageBreak/>
              <w:t xml:space="preserve">planu gospodarowania wodami na obszarze dorzecza Odry, wartości granicznych parametrów fizykochemicznych dla silnie zmienionych </w:t>
            </w:r>
            <w:r w:rsidR="00370EC8">
              <w:rPr>
                <w:rFonts w:ascii="Calibri" w:eastAsia="Times New Roman" w:hAnsi="Calibri" w:cs="Calibri"/>
                <w:color w:val="000000"/>
                <w:sz w:val="18"/>
                <w:szCs w:val="18"/>
                <w:lang w:eastAsia="pl-PL"/>
              </w:rPr>
              <w:t>JCWP</w:t>
            </w:r>
            <w:r w:rsidRPr="006D7A1B">
              <w:rPr>
                <w:rFonts w:ascii="Calibri" w:eastAsia="Times New Roman" w:hAnsi="Calibri" w:cs="Calibri"/>
                <w:color w:val="000000"/>
                <w:sz w:val="18"/>
                <w:szCs w:val="18"/>
                <w:lang w:eastAsia="pl-PL"/>
              </w:rPr>
              <w:t>P, w szczególności z uwagi na fakt, że w załączniku nr 7 do nowego rozporządzenia dot. klasyfikacji wód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w ust. 2 wskazano, że:</w:t>
            </w:r>
            <w:r w:rsidRPr="006D7A1B">
              <w:rPr>
                <w:rFonts w:ascii="Calibri" w:eastAsia="Times New Roman" w:hAnsi="Calibri" w:cs="Calibri"/>
                <w:color w:val="000000"/>
                <w:sz w:val="18"/>
                <w:szCs w:val="18"/>
                <w:lang w:eastAsia="pl-PL"/>
              </w:rPr>
              <w:br/>
              <w:t>Wartości graniczne dla klas jakości wód powierzchniowych wskaźników jakości wód powierzchniowych, będące podstawą klasyfikacji potencjału ekologicznego jednolitych części wód powierzchniowych, odnoszące się do jednolitych części wód rzecznych wyznaczonych jako sztuczne lub silnie zmienione jednolite części wód powierzchniowych, z wyjątkiem wskaźników jakości wód powierzchniowych wchodzących w skład elementów biologicznych odnoszqcvch się do jednolitych części wód rzecznych wznaczonych jako silnie zmienione jednolite części</w:t>
            </w:r>
            <w:r w:rsidRPr="006D7A1B">
              <w:rPr>
                <w:rFonts w:ascii="Calibri" w:eastAsia="Times New Roman" w:hAnsi="Calibri" w:cs="Calibri"/>
                <w:color w:val="000000"/>
                <w:sz w:val="18"/>
                <w:szCs w:val="18"/>
                <w:lang w:eastAsia="pl-PL"/>
              </w:rPr>
              <w:br/>
              <w:t>wód powierzchniowych. będących zbiornikami zaporowymi. określa się w rozporządzeniu, o którym mowa w art. 321 ustawy, w ramach planu gospodarowania wodami na obszarze</w:t>
            </w:r>
            <w:r w:rsidRPr="006D7A1B">
              <w:rPr>
                <w:rFonts w:ascii="Calibri" w:eastAsia="Times New Roman" w:hAnsi="Calibri" w:cs="Calibri"/>
                <w:color w:val="000000"/>
                <w:sz w:val="18"/>
                <w:szCs w:val="18"/>
                <w:lang w:eastAsia="pl-PL"/>
              </w:rPr>
              <w:br/>
              <w:t xml:space="preserve">dorzecza lub jego aktualizacji. Tymczasem w projekcie llaPGW na obszarze dorzecza Odry (w zał. 3.1) nie określono parametrów fizykochemicznych dla SZCW, a jedynie wyłącznie dla SZCW </w:t>
            </w:r>
            <w:r w:rsidRPr="006D7A1B">
              <w:rPr>
                <w:rFonts w:ascii="Calibri" w:eastAsia="Times New Roman" w:hAnsi="Calibri" w:cs="Calibri"/>
                <w:color w:val="000000"/>
                <w:sz w:val="18"/>
                <w:szCs w:val="18"/>
                <w:lang w:eastAsia="pl-PL"/>
              </w:rPr>
              <w:br/>
              <w:t>wyznaczonych jako zbiorniki zaporowe określono parametry hydromorfologiczne, jednak również bez parametrów fizykochemicznych, co stoi w sprzeczności z zapisami rozporządzenia klasyfikacyjnego.</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Propozycja zmian wraz z uzasadnieniem</w:t>
            </w:r>
            <w:r w:rsidRPr="006D7A1B">
              <w:rPr>
                <w:rFonts w:ascii="Calibri" w:eastAsia="Times New Roman" w:hAnsi="Calibri" w:cs="Calibri"/>
                <w:color w:val="000000"/>
                <w:sz w:val="18"/>
                <w:szCs w:val="18"/>
                <w:lang w:eastAsia="pl-PL"/>
              </w:rPr>
              <w:br/>
              <w:t>Proponuje się określić w zał. 3.1. wartości graniczne dla SZCW dot. wszystkich parametrów, zarówno hydromorfologicznych, jak i fizyko-chemicznych. Zasadnym byłoby zatem rozważenie ustalenia w llaPGW realnych wartości PEW dla SZCW (co najmniej na poziomie 1 500 µS/cm dla SZCW), dających możliwość osiągnięcia stanu dobrego, z jednoczesnym wskazaniem w tym załączniku, że wartości PEW nie są brane do oceny potencjału ekologicznego. Jest to o tyle zasadne, że np. w Niemczech dla chlorków, które również są parametrem charakteryzującym zasolenie, dla li klasy - niezależnie od typu rzeki - ustalono wartość graniczną na poziomie 200 mgCl/dm3, natomiast w polskich przepisach -</w:t>
            </w:r>
            <w:r w:rsidRPr="006D7A1B">
              <w:rPr>
                <w:rFonts w:ascii="Calibri" w:eastAsia="Times New Roman" w:hAnsi="Calibri" w:cs="Calibri"/>
                <w:color w:val="000000"/>
                <w:sz w:val="18"/>
                <w:szCs w:val="18"/>
                <w:lang w:eastAsia="pl-PL"/>
              </w:rPr>
              <w:br/>
              <w:t>75 mgCl/dm3• W związku z powyższym, zastanawiające jest ustalanie tak rygorystycznych wartości granicznych dla PEW w porównaniu z innymi państwami członkowskimi. Koniecznym wydaje się rozważenie ustalenia wartości PEW na poziomie co najmniej 1 500 mg/dm3</w:t>
            </w:r>
            <w:r w:rsidRPr="006D7A1B">
              <w:rPr>
                <w:rFonts w:ascii="Calibri" w:eastAsia="Times New Roman" w:hAnsi="Calibri" w:cs="Calibri"/>
                <w:color w:val="000000"/>
                <w:sz w:val="18"/>
                <w:szCs w:val="18"/>
                <w:lang w:eastAsia="pl-PL"/>
              </w:rPr>
              <w:br/>
              <w:t>z adnotacją zaproponowaną powyżej, dla SZCW.</w:t>
            </w:r>
            <w:r w:rsidRPr="006D7A1B">
              <w:rPr>
                <w:rFonts w:ascii="Calibri" w:eastAsia="Times New Roman" w:hAnsi="Calibri" w:cs="Calibri"/>
                <w:color w:val="000000"/>
                <w:sz w:val="18"/>
                <w:szCs w:val="18"/>
                <w:lang w:eastAsia="pl-PL"/>
              </w:rPr>
              <w:br/>
            </w:r>
            <w:r w:rsidRPr="006D7A1B">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1803A2DD"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5E8BC17D"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28AC402"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108E5446" w14:textId="77777777" w:rsidR="007C2B40" w:rsidRPr="006D7A1B" w:rsidRDefault="007C2B40" w:rsidP="007C2B40">
            <w:pPr>
              <w:ind w:firstLine="0"/>
              <w:jc w:val="left"/>
              <w:rPr>
                <w:rFonts w:ascii="Calibri" w:eastAsia="Times New Roman" w:hAnsi="Calibri" w:cs="Calibri"/>
                <w:color w:val="000000"/>
                <w:sz w:val="18"/>
                <w:szCs w:val="18"/>
                <w:lang w:eastAsia="pl-PL"/>
              </w:rPr>
            </w:pPr>
            <w:r w:rsidRPr="006D7A1B">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2E5B34C" w14:textId="41078EAB" w:rsidR="006D7A1B" w:rsidRPr="00A31CB2" w:rsidRDefault="007C2B40" w:rsidP="007C2B40">
            <w:pPr>
              <w:ind w:firstLine="0"/>
              <w:jc w:val="left"/>
              <w:rPr>
                <w:rFonts w:ascii="Calibri" w:eastAsia="Times New Roman" w:hAnsi="Calibri" w:cs="Calibri"/>
                <w:sz w:val="18"/>
                <w:szCs w:val="18"/>
                <w:lang w:eastAsia="pl-PL"/>
              </w:rPr>
            </w:pPr>
            <w:r w:rsidRPr="00A31CB2">
              <w:rPr>
                <w:rFonts w:ascii="Calibri" w:eastAsia="Times New Roman" w:hAnsi="Calibri" w:cs="Calibri"/>
                <w:sz w:val="18"/>
                <w:szCs w:val="18"/>
                <w:lang w:eastAsia="pl-PL"/>
              </w:rPr>
              <w:t xml:space="preserve">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 wartości graniczne dla klas jakości wód powierzchniowych wskaźników jakości wód </w:t>
            </w:r>
            <w:r w:rsidRPr="00A31CB2">
              <w:rPr>
                <w:rFonts w:ascii="Calibri" w:eastAsia="Times New Roman" w:hAnsi="Calibri" w:cs="Calibri"/>
                <w:sz w:val="18"/>
                <w:szCs w:val="18"/>
                <w:lang w:eastAsia="pl-PL"/>
              </w:rPr>
              <w:lastRenderedPageBreak/>
              <w:t>powierzchniowych, będące podstawą klasyfikacji potencjału ekologicznego jednolitych części wód powierzchniowych wyznaczonych jako silnie zmienione jednolite części wód powierzchniowych określa się w rozporządzeniu, o którym mowa w art. 321 ustawy pr.w., w ramach planu gospodarowania wodami na obszarze dorzecza lub w ramach jego aktualizacji.</w:t>
            </w:r>
            <w:r w:rsidRPr="00A31CB2">
              <w:rPr>
                <w:rFonts w:ascii="Calibri" w:eastAsia="Times New Roman" w:hAnsi="Calibri" w:cs="Calibri"/>
                <w:sz w:val="18"/>
                <w:szCs w:val="18"/>
                <w:lang w:eastAsia="pl-PL"/>
              </w:rPr>
              <w:br/>
              <w:t xml:space="preserve">IIaPGW prezentuje te dane w załączniku </w:t>
            </w:r>
            <w:r w:rsidR="006D7A1B" w:rsidRPr="00DF168C">
              <w:rPr>
                <w:rFonts w:ascii="Calibri" w:eastAsia="Times New Roman" w:hAnsi="Calibri" w:cs="Calibri"/>
                <w:i/>
                <w:iCs/>
                <w:sz w:val="18"/>
                <w:szCs w:val="18"/>
                <w:lang w:eastAsia="pl-PL"/>
              </w:rPr>
              <w:t>Wartości graniczne SCW i SZCW</w:t>
            </w:r>
            <w:r w:rsidR="006D7A1B" w:rsidRPr="00A31CB2">
              <w:rPr>
                <w:rFonts w:ascii="Calibri" w:eastAsia="Times New Roman" w:hAnsi="Calibri" w:cs="Calibri"/>
                <w:sz w:val="18"/>
                <w:szCs w:val="18"/>
                <w:lang w:eastAsia="pl-PL"/>
              </w:rPr>
              <w:t>,</w:t>
            </w:r>
            <w:r w:rsidRPr="00A31CB2">
              <w:rPr>
                <w:rFonts w:ascii="Calibri" w:eastAsia="Times New Roman" w:hAnsi="Calibri" w:cs="Calibri"/>
                <w:sz w:val="18"/>
                <w:szCs w:val="18"/>
                <w:lang w:eastAsia="pl-PL"/>
              </w:rPr>
              <w:t xml:space="preserve">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Pr="00A31CB2">
              <w:rPr>
                <w:rFonts w:ascii="Calibri" w:eastAsia="Times New Roman" w:hAnsi="Calibri" w:cs="Calibri"/>
                <w:sz w:val="18"/>
                <w:szCs w:val="18"/>
                <w:lang w:eastAsia="pl-PL"/>
              </w:rPr>
              <w:br/>
              <w:t xml:space="preserve">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t>
            </w:r>
            <w:r w:rsidR="006D7A1B" w:rsidRPr="00A31CB2">
              <w:rPr>
                <w:rFonts w:ascii="Calibri" w:eastAsia="Times New Roman" w:hAnsi="Calibri" w:cs="Calibri"/>
                <w:sz w:val="18"/>
                <w:szCs w:val="18"/>
                <w:lang w:eastAsia="pl-PL"/>
              </w:rPr>
              <w:t>W przypadku w</w:t>
            </w:r>
            <w:r w:rsidRPr="00A31CB2">
              <w:rPr>
                <w:rFonts w:ascii="Calibri" w:eastAsia="Times New Roman" w:hAnsi="Calibri" w:cs="Calibri"/>
                <w:sz w:val="18"/>
                <w:szCs w:val="18"/>
                <w:lang w:eastAsia="pl-PL"/>
              </w:rPr>
              <w:t xml:space="preserve">artości </w:t>
            </w:r>
            <w:r w:rsidR="006D7A1B" w:rsidRPr="00A31CB2">
              <w:rPr>
                <w:rFonts w:ascii="Calibri" w:eastAsia="Times New Roman" w:hAnsi="Calibri" w:cs="Calibri"/>
                <w:sz w:val="18"/>
                <w:szCs w:val="18"/>
                <w:lang w:eastAsia="pl-PL"/>
              </w:rPr>
              <w:t xml:space="preserve">granicznych </w:t>
            </w:r>
            <w:r w:rsidRPr="00A31CB2">
              <w:rPr>
                <w:rFonts w:ascii="Calibri" w:eastAsia="Times New Roman" w:hAnsi="Calibri" w:cs="Calibri"/>
                <w:sz w:val="18"/>
                <w:szCs w:val="18"/>
                <w:lang w:eastAsia="pl-PL"/>
              </w:rPr>
              <w:t xml:space="preserve">dot. wskaźników fizykochemicznych </w:t>
            </w:r>
            <w:r w:rsidR="006D7A1B" w:rsidRPr="00A31CB2">
              <w:rPr>
                <w:rFonts w:ascii="Calibri" w:eastAsia="Times New Roman" w:hAnsi="Calibri" w:cs="Calibri"/>
                <w:sz w:val="18"/>
                <w:szCs w:val="18"/>
                <w:lang w:eastAsia="pl-PL"/>
              </w:rPr>
              <w:t>zastosowano dwa rodzaje podejścia:</w:t>
            </w:r>
          </w:p>
          <w:p w14:paraId="5B1D95FD" w14:textId="5939335A" w:rsidR="006D7A1B" w:rsidRPr="00A31CB2" w:rsidRDefault="006D7A1B" w:rsidP="006D7A1B">
            <w:pPr>
              <w:pStyle w:val="Akapitzlist"/>
              <w:numPr>
                <w:ilvl w:val="0"/>
                <w:numId w:val="1"/>
              </w:numPr>
              <w:ind w:left="354" w:hanging="283"/>
              <w:jc w:val="left"/>
              <w:rPr>
                <w:rFonts w:eastAsia="Times New Roman" w:cstheme="minorHAnsi"/>
                <w:sz w:val="18"/>
                <w:szCs w:val="18"/>
                <w:lang w:eastAsia="pl-PL"/>
              </w:rPr>
            </w:pPr>
            <w:r w:rsidRPr="00A31CB2">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w:t>
            </w:r>
            <w:r w:rsidR="00CE7DE9" w:rsidRPr="00A31CB2">
              <w:rPr>
                <w:rFonts w:cstheme="minorHAnsi"/>
                <w:sz w:val="18"/>
                <w:szCs w:val="18"/>
                <w:shd w:val="clear" w:color="auto" w:fill="FFFFFF"/>
              </w:rPr>
              <w:t xml:space="preserve">elektrolitycznej właściwej w 20°C: 2740 μS/cm; dla pozostałych wskaźników jakości - według przedziałów klas </w:t>
            </w:r>
            <w:r w:rsidR="00370EC8">
              <w:rPr>
                <w:rFonts w:cstheme="minorHAnsi"/>
                <w:sz w:val="18"/>
                <w:szCs w:val="18"/>
                <w:shd w:val="clear" w:color="auto" w:fill="FFFFFF"/>
              </w:rPr>
              <w:t>JCWP</w:t>
            </w:r>
            <w:r w:rsidR="00CE7DE9" w:rsidRPr="00A31CB2">
              <w:rPr>
                <w:rFonts w:cstheme="minorHAnsi"/>
                <w:sz w:val="18"/>
                <w:szCs w:val="18"/>
                <w:shd w:val="clear" w:color="auto" w:fill="FFFFFF"/>
              </w:rPr>
              <w:t>p RW określonego typu</w:t>
            </w:r>
            <w:r w:rsidRPr="00A31CB2">
              <w:rPr>
                <w:rFonts w:cstheme="minorHAnsi"/>
                <w:sz w:val="18"/>
                <w:szCs w:val="18"/>
                <w:shd w:val="clear" w:color="auto" w:fill="FFFFFF"/>
              </w:rPr>
              <w:t>”</w:t>
            </w:r>
          </w:p>
          <w:p w14:paraId="7F6B0FC2" w14:textId="31B06653" w:rsidR="006D7A1B" w:rsidRPr="00C55AF7" w:rsidRDefault="006D7A1B" w:rsidP="006D7A1B">
            <w:pPr>
              <w:pStyle w:val="Akapitzlist"/>
              <w:numPr>
                <w:ilvl w:val="0"/>
                <w:numId w:val="1"/>
              </w:numPr>
              <w:ind w:left="354" w:hanging="283"/>
              <w:jc w:val="left"/>
              <w:rPr>
                <w:rFonts w:ascii="Calibri" w:eastAsia="Times New Roman" w:hAnsi="Calibri" w:cs="Calibri"/>
                <w:sz w:val="18"/>
                <w:szCs w:val="18"/>
                <w:lang w:eastAsia="pl-PL"/>
              </w:rPr>
            </w:pPr>
            <w:r w:rsidRPr="00C55AF7">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C55AF7">
              <w:rPr>
                <w:rFonts w:eastAsia="Times New Roman" w:cstheme="minorHAnsi"/>
                <w:sz w:val="18"/>
                <w:szCs w:val="18"/>
                <w:lang w:eastAsia="pl-PL"/>
              </w:rPr>
              <w:t>p RW</w:t>
            </w:r>
            <w:r w:rsidRPr="00C55AF7">
              <w:rPr>
                <w:rFonts w:ascii="Calibri" w:eastAsia="Times New Roman" w:hAnsi="Calibri" w:cs="Calibri"/>
                <w:sz w:val="18"/>
                <w:szCs w:val="18"/>
                <w:lang w:eastAsia="pl-PL"/>
              </w:rPr>
              <w:t xml:space="preserve">) wartości </w:t>
            </w:r>
            <w:r w:rsidR="007C2B40" w:rsidRPr="00C55AF7">
              <w:rPr>
                <w:rFonts w:ascii="Calibri" w:eastAsia="Times New Roman" w:hAnsi="Calibri" w:cs="Calibri"/>
                <w:sz w:val="18"/>
                <w:szCs w:val="18"/>
                <w:lang w:eastAsia="pl-PL"/>
              </w:rPr>
              <w:t xml:space="preserve">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3F43C936" w14:textId="3FE3C4B3" w:rsidR="007C2B40" w:rsidRPr="006D7A1B" w:rsidRDefault="007C2B40" w:rsidP="006D7A1B">
            <w:pPr>
              <w:ind w:firstLine="0"/>
              <w:jc w:val="left"/>
              <w:rPr>
                <w:rFonts w:ascii="Calibri" w:eastAsia="Times New Roman" w:hAnsi="Calibri" w:cs="Calibri"/>
                <w:color w:val="000000"/>
                <w:sz w:val="18"/>
                <w:szCs w:val="18"/>
                <w:lang w:eastAsia="pl-PL"/>
              </w:rPr>
            </w:pPr>
            <w:r w:rsidRPr="00C55AF7">
              <w:rPr>
                <w:rFonts w:ascii="Calibri" w:eastAsia="Times New Roman" w:hAnsi="Calibri" w:cs="Calibri"/>
                <w:sz w:val="18"/>
                <w:szCs w:val="18"/>
                <w:lang w:eastAsia="pl-PL"/>
              </w:rPr>
              <w:t xml:space="preserve">IIaPGW </w:t>
            </w:r>
            <w:r w:rsidR="006D7A1B" w:rsidRPr="00C55AF7">
              <w:rPr>
                <w:rFonts w:ascii="Calibri" w:eastAsia="Times New Roman" w:hAnsi="Calibri" w:cs="Calibri"/>
                <w:sz w:val="18"/>
                <w:szCs w:val="18"/>
                <w:lang w:eastAsia="pl-PL"/>
              </w:rPr>
              <w:t xml:space="preserve">został odpowiednio </w:t>
            </w:r>
            <w:r w:rsidRPr="00C55AF7">
              <w:rPr>
                <w:rFonts w:ascii="Calibri" w:eastAsia="Times New Roman" w:hAnsi="Calibri" w:cs="Calibri"/>
                <w:sz w:val="18"/>
                <w:szCs w:val="18"/>
                <w:lang w:eastAsia="pl-PL"/>
              </w:rPr>
              <w:t>uzupełniony w tym zakresie dla wyeliminowania wątpliwości czytelnika</w:t>
            </w:r>
            <w:r w:rsidRPr="006D7A1B">
              <w:rPr>
                <w:rFonts w:ascii="Calibri" w:eastAsia="Times New Roman" w:hAnsi="Calibri" w:cs="Calibri"/>
                <w:color w:val="000000"/>
                <w:sz w:val="18"/>
                <w:szCs w:val="18"/>
                <w:highlight w:val="red"/>
                <w:lang w:eastAsia="pl-PL"/>
              </w:rPr>
              <w:t>.</w:t>
            </w:r>
          </w:p>
        </w:tc>
      </w:tr>
      <w:tr w:rsidR="007C2B40" w:rsidRPr="0028666F" w14:paraId="711E930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C2EF76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12</w:t>
            </w:r>
          </w:p>
        </w:tc>
        <w:tc>
          <w:tcPr>
            <w:tcW w:w="970" w:type="dxa"/>
            <w:tcBorders>
              <w:top w:val="nil"/>
              <w:left w:val="nil"/>
              <w:bottom w:val="single" w:sz="4" w:space="0" w:color="auto"/>
              <w:right w:val="nil"/>
            </w:tcBorders>
          </w:tcPr>
          <w:p w14:paraId="70D5EB1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59A8551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9D5A3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3F15C81" w14:textId="2B5AA3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3 (numer rozdziału, strona dokumentu). Załącznik nr 4.2 Wykaz stężeń Odra, dla RZGW we Wrocławiu, RW6000121599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Treść uwagi nr 3 wraz z uzasadnieniem</w:t>
            </w:r>
            <w:r w:rsidRPr="0028666F">
              <w:rPr>
                <w:rFonts w:ascii="Calibri" w:eastAsia="Times New Roman" w:hAnsi="Calibri" w:cs="Calibri"/>
                <w:color w:val="000000"/>
                <w:sz w:val="18"/>
                <w:szCs w:val="18"/>
                <w:lang w:eastAsia="pl-PL"/>
              </w:rPr>
              <w:br/>
              <w:t xml:space="preserve">W projekcie llaPGW, w stosunku do założeń określonych w arkuszu wynikowym,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Odra od Baryczy zmianie uległ punkt pomiarowo kontrolny. Zgodnie z treścią arkusza wynikowego, punkt pomiarowo kontrolny miał być zlokalizowany w m. Połęcko, natomiast zgodnie z projektem llaPGW jest on bliżej, tj. Odra - m. Krosno Odrzańskie, które jest prawdopodobnie nowo wyznaczonym ppk, lub takim ppk, dla którego nie publikowane są wyniki badań monitoringowych.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Propozycja zmian wraz z uzasadnieniem</w:t>
            </w:r>
            <w:r w:rsidRPr="0028666F">
              <w:rPr>
                <w:rFonts w:ascii="Calibri" w:eastAsia="Times New Roman" w:hAnsi="Calibri" w:cs="Calibri"/>
                <w:color w:val="000000"/>
                <w:sz w:val="18"/>
                <w:szCs w:val="18"/>
                <w:lang w:eastAsia="pl-PL"/>
              </w:rPr>
              <w:br/>
              <w:t xml:space="preserve">W świetle powyższego, zasadnym byłoby rozważenie wydłużenia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Połęcka, bądź przywrócenia ppk w Połęcku, jak zakładano w arkuszu wynikowym. Zmiana w tym zakresie przyczyni się do wiarygodnej oceny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Odra od Baryczy do Bobru.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5D767E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25DB2D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47E8D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660874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D69062B" w14:textId="3EFE51B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wyniki dokonanych prac związanych z weryfikacją i aktualizacją jednostek planistycznych. Uwaga w tym zakresie dotyczy materiału źródłowego do projektów IIaPGW i zostanie rozpatrzona przy aktualizacji jednostek do </w:t>
            </w:r>
            <w:r w:rsidRPr="0028666F">
              <w:rPr>
                <w:rFonts w:ascii="Calibri" w:eastAsia="Times New Roman" w:hAnsi="Calibri" w:cs="Calibri"/>
                <w:color w:val="000000"/>
                <w:sz w:val="18"/>
                <w:szCs w:val="18"/>
                <w:lang w:eastAsia="pl-PL"/>
              </w:rPr>
              <w:lastRenderedPageBreak/>
              <w:t xml:space="preserve">planowania na kolejny cykl. Wykaz jednostek planistycznych stanowiących materiał źródłowy do projektów IIaPGW był poddany oddzielnym konsultacjom społecznym w trakcie ich opracowywania Punkty pomiarowo kontrolne wskazywane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wyznaczane są w ramach PMŚ. Ostateczna sieć monitoringu obowiązująca w okresie 2022-2027 zatwierdzona zostanie przez PMŚ. IIaPGW nie ustala ani nie zatwierdza sieci monitoringu, a jedynie prezentuje założenia dla nowego cyklu planistycznego.</w:t>
            </w:r>
          </w:p>
        </w:tc>
      </w:tr>
      <w:tr w:rsidR="007C2B40" w:rsidRPr="0028666F" w14:paraId="2278923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CFAA97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13</w:t>
            </w:r>
          </w:p>
        </w:tc>
        <w:tc>
          <w:tcPr>
            <w:tcW w:w="970" w:type="dxa"/>
            <w:tcBorders>
              <w:top w:val="nil"/>
              <w:left w:val="nil"/>
              <w:bottom w:val="single" w:sz="4" w:space="0" w:color="auto"/>
              <w:right w:val="nil"/>
            </w:tcBorders>
          </w:tcPr>
          <w:p w14:paraId="7743154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63957FE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593C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F823E49" w14:textId="6CEFEDC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4 (numer rozdziału, strona dokumentu). Załącznik nr 4.2 Wykaz stężeń Odra, dla RZGW Wrocław, RW6000121599</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 nr 4 wraz z uzasadnieniem</w:t>
            </w:r>
            <w:r w:rsidRPr="0028666F">
              <w:rPr>
                <w:rFonts w:ascii="Calibri" w:eastAsia="Times New Roman" w:hAnsi="Calibri" w:cs="Calibri"/>
                <w:color w:val="000000"/>
                <w:sz w:val="18"/>
                <w:szCs w:val="18"/>
                <w:lang w:eastAsia="pl-PL"/>
              </w:rPr>
              <w:br w:type="page"/>
              <w:t>Podane w załączniku nr 4 wartość SSQ wyznaczone tylko dla lat 2010-2018, wydają się być mało wiarygodne, w kontekście ogólnej metodologii w tym zakresie.</w:t>
            </w:r>
            <w:r w:rsidRPr="0028666F">
              <w:rPr>
                <w:rFonts w:ascii="Calibri" w:eastAsia="Times New Roman" w:hAnsi="Calibri" w:cs="Calibri"/>
                <w:color w:val="000000"/>
                <w:sz w:val="18"/>
                <w:szCs w:val="18"/>
                <w:lang w:eastAsia="pl-PL"/>
              </w:rPr>
              <w:br w:type="page"/>
              <w:t>Budzi to wątpliwości w szczególności pod kątem oceny wpływu zrzutu ścieków na jakość wód, dokonywanych w ramach wniosków o pozwolenia wodnoprawne i prawdopodobne uwagi organu w tym  zakresie w sytuacji prawidłowo  przyjętego  SSQ z wielolecia. Ma to  również o tyle duże znaczenie, że większość z tego okresu 2010-2018 to były lata hydrologicznie suche, co może niekorzystanie wpłynąć na ocenę wpływu zrzutu ścieków w przyszłości.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Propozycja zmian wraz z uzasadnieniem</w:t>
            </w:r>
            <w:r w:rsidRPr="0028666F">
              <w:rPr>
                <w:rFonts w:ascii="Calibri" w:eastAsia="Times New Roman" w:hAnsi="Calibri" w:cs="Calibri"/>
                <w:color w:val="000000"/>
                <w:sz w:val="18"/>
                <w:szCs w:val="18"/>
                <w:lang w:eastAsia="pl-PL"/>
              </w:rPr>
              <w:br w:type="page"/>
              <w:t xml:space="preserve">Dla zapewnienie właściwej interpretacji zapisów zasadnym jest dodanie odpowiedniego komentarza w tych tabelach jasno precyzującego, że wartości dla tak krótkiego okresu są spójne z danymi monitoringowymi branymi do oceny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co zmniejszy ryzyko ewentualnego nieprawidłowego przyjmowania danych do oceny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729C64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74D187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255AF3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2D352E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C415C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Przywołany przez autora pytania załącznik nr 4, tj. wykaz emisji stężeń w Planie gospodarowania wodami tj. zestawienie informacji dla każdej jednolitej części wód o stężeniach, jakie występują w jednolitych częściach wód. Drugi pakiet tego wykazu, to są informacje o podmiotach, które w danej jednolitej części wód są źródłem generowanych w obrębie jednolitej części wód emisji. Rzeczywiście, pojawia się tam wartość dotycząca przepływów, natomiast jest to wartość dotycząca przepływów wykorzystywana w trakcie realizacji drugiej aktualizacji Planów gospodarowania wodami. Wygenerowana i wyliczona na podstawie danych Instytutu Meteorologii i Gospodarki Wodnej, na potrzeby analizy znaczących oddziaływań antropogenicznych, traktowana jest w załączniku nr 4 w wykazie stężeń emisji jako informacja dająca tło dla innych prezentowanych w tym załączniku danych. Dlaczego akurat 2010-2018 - w tym przypadku generalnie przepływy i informacje o nich w celu wykorzystania do analiz potrzebują odpowiedniej długości cykli obserwacyjnych. Okres 2010-2018 został uznany za maksymalnie optymalny dla wygenerowania wyników. Natomiast co do przywoływania czy powoływania się na IIaPGW, żeby wskazywać wartości przepływów przy wydawaniu decyzji administracyjnych - Plan gospodarowania wodami nie jest dokumentem, który ustanawia przepływy. On nie określa ich, dane monitoringowe dotyczące samych w sobie przepływów to rola i odpowiedzialność Instytutu Meteorologii i Gospodarki Wodnej i informacji o przepływach charakterystycznych generalnie dla jednolitych części wód w przypadku opracowywania operatów wodnoprawnych. Każdorazowo muszą być uzyskiwane aktualne i pozyskiwane z dostępnych źródeł. Informacja w załączniku nr 4 nie jest charakterystyką danej jednolitej części wód z punktu widzenia przypisanych jej przepływów. To jest tło dla prezentowanych danych, a na potrzeby operatów wodnoprawnych wykorzystywane powinny być aktualne </w:t>
            </w:r>
            <w:r w:rsidRPr="0028666F">
              <w:rPr>
                <w:rFonts w:ascii="Calibri" w:eastAsia="Times New Roman" w:hAnsi="Calibri" w:cs="Calibri"/>
                <w:color w:val="000000"/>
                <w:sz w:val="18"/>
                <w:szCs w:val="18"/>
                <w:lang w:eastAsia="pl-PL"/>
              </w:rPr>
              <w:lastRenderedPageBreak/>
              <w:t>przepływy, pozyskiwane z IMGW.</w:t>
            </w:r>
            <w:r w:rsidRPr="0028666F">
              <w:rPr>
                <w:rFonts w:ascii="Calibri" w:eastAsia="Times New Roman" w:hAnsi="Calibri" w:cs="Calibri"/>
                <w:color w:val="000000"/>
                <w:sz w:val="18"/>
                <w:szCs w:val="18"/>
                <w:lang w:eastAsia="pl-PL"/>
              </w:rPr>
              <w:br w:type="page"/>
              <w:t>Zgodnie z propozycją zmiany wprowadzono dodatkowe doprecyzowanie w treści rozdziału IIaPGW dotyczącego Wykazu emisji i stężeń. Docelowo informacja ta uwzględniona zostanie również w opisie załącznika – Wykaz emisji i stężeń.</w:t>
            </w:r>
          </w:p>
        </w:tc>
      </w:tr>
      <w:tr w:rsidR="007C2B40" w:rsidRPr="0028666F" w14:paraId="2198D2E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68D35C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14</w:t>
            </w:r>
          </w:p>
        </w:tc>
        <w:tc>
          <w:tcPr>
            <w:tcW w:w="970" w:type="dxa"/>
            <w:tcBorders>
              <w:top w:val="nil"/>
              <w:left w:val="nil"/>
              <w:bottom w:val="single" w:sz="4" w:space="0" w:color="auto"/>
              <w:right w:val="nil"/>
            </w:tcBorders>
          </w:tcPr>
          <w:p w14:paraId="72559E5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59A8312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47316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E223CA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5 (numer rozdziału, strona dokumentu). Załącznik nr 4.1. Wykaz emisji, RZGW Wrocław, WRO_18</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 nr 5 wraz z uzasadnieniem</w:t>
            </w:r>
            <w:r w:rsidRPr="0028666F">
              <w:rPr>
                <w:rFonts w:ascii="Calibri" w:eastAsia="Times New Roman" w:hAnsi="Calibri" w:cs="Calibri"/>
                <w:color w:val="000000"/>
                <w:sz w:val="18"/>
                <w:szCs w:val="18"/>
                <w:lang w:eastAsia="pl-PL"/>
              </w:rPr>
              <w:br/>
              <w:t>W zał. 4.1 do opracowania zawarto informacje o nieobowiązującej już od 02.2020 r. decyzji administracyjnej regulującej zrzut zasolonych ścieków z działalności KGHM do rzeki Odry (DOW-S-Vl.7322.39.2015.KMa), a zatem zasadnym wydaje się aktualizacja informacji w tym zakresie i dostosowanie zapisów do aktualnego stanu prawnego. Obecnie zrzut ścieków prowadzony jest zgodnie z decyzją Dyrektora Regionalnego Zarządu Gospodarki Wodnej we Wrocławiu Państwowego Gospodarstwa Wodnego Wody Polskie z dnia 5 maja 2021 r. znak: WR.RUZ.421.71.2019.ER. Pozwolenie to obowiązuje od dnia 25.05.2021 r. do dnia 31.05.2024</w:t>
            </w:r>
            <w:r w:rsidRPr="0028666F">
              <w:rPr>
                <w:rFonts w:ascii="Calibri" w:eastAsia="Times New Roman" w:hAnsi="Calibri" w:cs="Calibri"/>
                <w:color w:val="000000"/>
                <w:sz w:val="18"/>
                <w:szCs w:val="18"/>
                <w:lang w:eastAsia="pl-PL"/>
              </w:rPr>
              <w:br/>
              <w:t>r. Dodatkowo nieaktualne są w tym załączniku informacje dot. ilości ścieków, km cieku, lokalizacji instalacji, a także ilości ścieków odprowadzonych do odbiornika w 2018 r. Propozycja zmian</w:t>
            </w:r>
            <w:r w:rsidRPr="0028666F">
              <w:rPr>
                <w:rFonts w:ascii="Calibri" w:eastAsia="Times New Roman" w:hAnsi="Calibri" w:cs="Calibri"/>
                <w:color w:val="000000"/>
                <w:sz w:val="18"/>
                <w:szCs w:val="18"/>
                <w:lang w:eastAsia="pl-PL"/>
              </w:rPr>
              <w:br/>
              <w:t>• W miejsce numeru pozwolenia wodnoprawnego: DOW-S-Vl.7322.39.2015.Ka, należy wpisać: WR.RUZ.421.71.2019.ER.</w:t>
            </w:r>
            <w:r w:rsidRPr="0028666F">
              <w:rPr>
                <w:rFonts w:ascii="Calibri" w:eastAsia="Times New Roman" w:hAnsi="Calibri" w:cs="Calibri"/>
                <w:color w:val="000000"/>
                <w:sz w:val="18"/>
                <w:szCs w:val="18"/>
                <w:lang w:eastAsia="pl-PL"/>
              </w:rPr>
              <w:br/>
              <w:t>• W miejsce daty pozwolenia wodnoprawnego: 2016-03-21, należy wpisać: 2021-05-05</w:t>
            </w:r>
            <w:r w:rsidRPr="0028666F">
              <w:rPr>
                <w:rFonts w:ascii="Calibri" w:eastAsia="Times New Roman" w:hAnsi="Calibri" w:cs="Calibri"/>
                <w:color w:val="000000"/>
                <w:sz w:val="18"/>
                <w:szCs w:val="18"/>
                <w:lang w:eastAsia="pl-PL"/>
              </w:rPr>
              <w:br/>
              <w:t>• W miejsce organu wydającego decyzję: Marszałek Województwa Dolnośląskiego, należy wpisać: Dyrektor Regionalnego Zarządu Gospodarki Wodnej we Wrocławiu Państwowego Gospodarstwa Wodnego Wody Polskie</w:t>
            </w:r>
            <w:r w:rsidRPr="0028666F">
              <w:rPr>
                <w:rFonts w:ascii="Calibri" w:eastAsia="Times New Roman" w:hAnsi="Calibri" w:cs="Calibri"/>
                <w:color w:val="000000"/>
                <w:sz w:val="18"/>
                <w:szCs w:val="18"/>
                <w:lang w:eastAsia="pl-PL"/>
              </w:rPr>
              <w:br/>
              <w:t>• W miejsce daty początku obowiązywania decyzji: 2016-03-21, należy wpisać: 2021-05- 21,</w:t>
            </w:r>
            <w:r w:rsidRPr="0028666F">
              <w:rPr>
                <w:rFonts w:ascii="Calibri" w:eastAsia="Times New Roman" w:hAnsi="Calibri" w:cs="Calibri"/>
                <w:color w:val="000000"/>
                <w:sz w:val="18"/>
                <w:szCs w:val="18"/>
                <w:lang w:eastAsia="pl-PL"/>
              </w:rPr>
              <w:br/>
              <w:t xml:space="preserve">• W miejsce daty końca obowiązywania decyzji: 2020-03-21, należy wpisać: 2024-05-31, </w:t>
            </w:r>
            <w:r w:rsidRPr="0028666F">
              <w:rPr>
                <w:rFonts w:ascii="Calibri" w:eastAsia="Times New Roman" w:hAnsi="Calibri" w:cs="Calibri"/>
                <w:color w:val="000000"/>
                <w:sz w:val="18"/>
                <w:szCs w:val="18"/>
                <w:lang w:eastAsia="pl-PL"/>
              </w:rPr>
              <w:br/>
              <w:t>Ponadto, w wierszu:</w:t>
            </w:r>
            <w:r w:rsidRPr="0028666F">
              <w:rPr>
                <w:rFonts w:ascii="Calibri" w:eastAsia="Times New Roman" w:hAnsi="Calibri" w:cs="Calibri"/>
                <w:color w:val="000000"/>
                <w:sz w:val="18"/>
                <w:szCs w:val="18"/>
                <w:lang w:eastAsia="pl-PL"/>
              </w:rPr>
              <w:br/>
              <w:t xml:space="preserve">a) dot. ilości ścieków odprowadzanych wg pozwolenia należy podać: </w:t>
            </w:r>
            <w:r w:rsidRPr="0028666F">
              <w:rPr>
                <w:rFonts w:ascii="Calibri" w:eastAsia="Times New Roman" w:hAnsi="Calibri" w:cs="Calibri"/>
                <w:color w:val="000000"/>
                <w:sz w:val="18"/>
                <w:szCs w:val="18"/>
                <w:lang w:eastAsia="pl-PL"/>
              </w:rPr>
              <w:br/>
              <w:t xml:space="preserve">Qmaxh = 7200 m3/h - bez zmian </w:t>
            </w:r>
            <w:r w:rsidRPr="0028666F">
              <w:rPr>
                <w:rFonts w:ascii="Calibri" w:eastAsia="Times New Roman" w:hAnsi="Calibri" w:cs="Calibri"/>
                <w:color w:val="000000"/>
                <w:sz w:val="18"/>
                <w:szCs w:val="18"/>
                <w:lang w:eastAsia="pl-PL"/>
              </w:rPr>
              <w:br/>
              <w:t xml:space="preserve">Qśrd = 130 000 m3/d - aktualnie w załączniku 86 400 m3/d </w:t>
            </w:r>
            <w:r w:rsidRPr="0028666F">
              <w:rPr>
                <w:rFonts w:ascii="Calibri" w:eastAsia="Times New Roman" w:hAnsi="Calibri" w:cs="Calibri"/>
                <w:color w:val="000000"/>
                <w:sz w:val="18"/>
                <w:szCs w:val="18"/>
                <w:lang w:eastAsia="pl-PL"/>
              </w:rPr>
              <w:br/>
              <w:t>Qdop. roczne = 35 000 000 m3/rok - aktualnie w załączniku Qmax roczne = 31 536 000 m3/rok</w:t>
            </w:r>
            <w:r w:rsidRPr="0028666F">
              <w:rPr>
                <w:rFonts w:ascii="Calibri" w:eastAsia="Times New Roman" w:hAnsi="Calibri" w:cs="Calibri"/>
                <w:color w:val="000000"/>
                <w:sz w:val="18"/>
                <w:szCs w:val="18"/>
                <w:lang w:eastAsia="pl-PL"/>
              </w:rPr>
              <w:br/>
              <w:t>b) dot. km cieku, należy podać 370 + 330 (aktualnie w załączniku 392+510) - przy czym zaznaczyć należy, że od 2016 roku oznaczenie km uległo zmianie</w:t>
            </w:r>
            <w:r w:rsidRPr="0028666F">
              <w:rPr>
                <w:rFonts w:ascii="Calibri" w:eastAsia="Times New Roman" w:hAnsi="Calibri" w:cs="Calibri"/>
                <w:color w:val="000000"/>
                <w:sz w:val="18"/>
                <w:szCs w:val="18"/>
                <w:lang w:eastAsia="pl-PL"/>
              </w:rPr>
              <w:br/>
              <w:t>c) dot. lokalizacji (współrzędnych GPS) należy podać: (instalacja ułożona w dnie rzeki odra wraz dwoma komorami brzegowymi o współrzędnych w geodezyjnym układzie odniesienia PL-ETRF2000: komora lewa X=5726274.7 i Y=5575916.4, komora prawa X=5726347.6 i Y=5575935.2)</w:t>
            </w:r>
            <w:r w:rsidRPr="0028666F">
              <w:rPr>
                <w:rFonts w:ascii="Calibri" w:eastAsia="Times New Roman" w:hAnsi="Calibri" w:cs="Calibri"/>
                <w:color w:val="000000"/>
                <w:sz w:val="18"/>
                <w:szCs w:val="18"/>
                <w:lang w:eastAsia="pl-PL"/>
              </w:rPr>
              <w:br/>
              <w:t>d) dot. ilości odprowadzanych ścieków w 2018 r. należy podać 14 446 959 m3, tymczasem aktualnie jest brak danych.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327EA3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3F40DF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6CAB5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19924F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CF297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Opracowany w ramach IIaPGW wykaz emisji przedstawia jednolite zestawienie wielkości emisji i stężeń substancji priorytetowych dla kończącego się cyklu planistycznego.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Wykaz został wykonany na podstawie danych i wykazów sporządzonych przez poszczególne Regionalne Zarządy Gospodarki Wodnej (RZGW) dla okresu 2014-2017 oraz zaktualizowany o dane obejmujące rok 2018 - pochodzące z Krajowego Rejestru Uwalniania i Transferu Zanieczyszczeń (PRTR) oraz z bazy opłat za korzystanie ze środowiska dla roku 2018. Wykonane opracowanie zawiera zatem dostępne dane, które były obowiazujące w analizowanym okresie 2014-2018. Wykaz uwzględnia aktualność danych dla okresu sporządzania bilansu emitowanych substancji. W wykazie pozostawia się wprowadzone dane wynikające z obowiązującego w tym okresie pozwolenia wodnoprawnego.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Aktualizuje się natomiast infrmacje uzupełniające dane o emisji dla analizowanego okresu, dotyczące:</w:t>
            </w:r>
            <w:r w:rsidRPr="0028666F">
              <w:rPr>
                <w:rFonts w:ascii="Calibri" w:eastAsia="Times New Roman" w:hAnsi="Calibri" w:cs="Calibri"/>
                <w:color w:val="000000"/>
                <w:sz w:val="18"/>
                <w:szCs w:val="18"/>
                <w:lang w:eastAsia="pl-PL"/>
              </w:rPr>
              <w:br/>
              <w:t>- kilometrażu cieku,</w:t>
            </w:r>
            <w:r w:rsidRPr="0028666F">
              <w:rPr>
                <w:rFonts w:ascii="Calibri" w:eastAsia="Times New Roman" w:hAnsi="Calibri" w:cs="Calibri"/>
                <w:color w:val="000000"/>
                <w:sz w:val="18"/>
                <w:szCs w:val="18"/>
                <w:lang w:eastAsia="pl-PL"/>
              </w:rPr>
              <w:br/>
              <w:t>- lokalizacji wylotu,</w:t>
            </w:r>
            <w:r w:rsidRPr="0028666F">
              <w:rPr>
                <w:rFonts w:ascii="Calibri" w:eastAsia="Times New Roman" w:hAnsi="Calibri" w:cs="Calibri"/>
                <w:color w:val="000000"/>
                <w:sz w:val="18"/>
                <w:szCs w:val="18"/>
                <w:lang w:eastAsia="pl-PL"/>
              </w:rPr>
              <w:br/>
              <w:t>- informacji dot. ilości odprowadzanych ścieków w 2018 r.</w:t>
            </w:r>
          </w:p>
        </w:tc>
      </w:tr>
      <w:tr w:rsidR="007C2B40" w:rsidRPr="0028666F" w14:paraId="6CEA538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EE0400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15</w:t>
            </w:r>
          </w:p>
        </w:tc>
        <w:tc>
          <w:tcPr>
            <w:tcW w:w="970" w:type="dxa"/>
            <w:tcBorders>
              <w:top w:val="nil"/>
              <w:left w:val="nil"/>
              <w:bottom w:val="single" w:sz="4" w:space="0" w:color="auto"/>
              <w:right w:val="nil"/>
            </w:tcBorders>
          </w:tcPr>
          <w:p w14:paraId="7C04873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54C4E20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0205A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42966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6 (numer rozdziału, strona dokumentu). Załącznik nr 9 Wykaz odcinków potencjalnie utrudnionego spływu lodu Odra, Lp. 217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 nr 6 wraz z uzasadnieniem</w:t>
            </w:r>
            <w:r w:rsidRPr="0028666F">
              <w:rPr>
                <w:rFonts w:ascii="Calibri" w:eastAsia="Times New Roman" w:hAnsi="Calibri" w:cs="Calibri"/>
                <w:color w:val="000000"/>
                <w:sz w:val="18"/>
                <w:szCs w:val="18"/>
                <w:lang w:eastAsia="pl-PL"/>
              </w:rPr>
              <w:br/>
              <w:t>W  zał.  9  przedstawiającym  wykaz  odcinków   potencjalnie   utrudnionego   spływu   lodu, w wierszu Lp. 217, wskazano budowę nowego rurociągu w osłonie ścianki szczelnej, zwężenie koryta rzeki o ok. 50%, co już nie jest aktualne. Prace związane z budową nowej instalacji rozprowadzającej ścieki w dnie rzeki, mające wpływ na zawężenie koryta, zostały już zakończone. Ku końcowi zbliżają się także prace zmierzające do rozbiórki dotychczasowego urządzenia wodnego. Przyczyna ewentualnych podtopień ustała, a zatem zasadnym wydaje się wykreślenia tych zapisów z kolumny R w wierszu Lp. 217.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1351E9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486680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1F4A3A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7DA0DB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F1E6A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Dokonano weryfikacji w zakresie wskzanym w uwadze. W związku z potwierdzeniem, iż obecny etap realizacji prac nie generuje miejsca zatorogennego, odcinek usunięty został z wykazu (załącznik nr 9 do IIaPGW).</w:t>
            </w:r>
          </w:p>
        </w:tc>
      </w:tr>
      <w:tr w:rsidR="007C2B40" w:rsidRPr="0028666F" w14:paraId="3DE62FB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494282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w:t>
            </w:r>
          </w:p>
        </w:tc>
        <w:tc>
          <w:tcPr>
            <w:tcW w:w="970" w:type="dxa"/>
            <w:tcBorders>
              <w:top w:val="nil"/>
              <w:left w:val="nil"/>
              <w:bottom w:val="single" w:sz="4" w:space="0" w:color="auto"/>
              <w:right w:val="nil"/>
            </w:tcBorders>
          </w:tcPr>
          <w:p w14:paraId="72D4670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59809CA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606A6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825FC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7 (numer rozdziału, strona dokumentu). Załącznik nr 7.3. Zestaw działań RW ODOdra, dla działań dot. RW6000121599, Lp. 6317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 nr 7 wraz z uzasadnieniem</w:t>
            </w:r>
            <w:r w:rsidRPr="0028666F">
              <w:rPr>
                <w:rFonts w:ascii="Calibri" w:eastAsia="Times New Roman" w:hAnsi="Calibri" w:cs="Calibri"/>
                <w:color w:val="000000"/>
                <w:sz w:val="18"/>
                <w:szCs w:val="18"/>
                <w:lang w:eastAsia="pl-PL"/>
              </w:rPr>
              <w:br/>
              <w:t>W zał. 7.3 Zestaw działań (...) w kolumnie T, w wierszu Lp. 6317, pod nazwą Opis działania, brakuje podstawy prawnej przy kontroli i przestrzeganiu warunków ustalonych w decyzjach i korzystania z wód, jak poniżej:</w:t>
            </w:r>
            <w:r w:rsidRPr="0028666F">
              <w:rPr>
                <w:rFonts w:ascii="Calibri" w:eastAsia="Times New Roman" w:hAnsi="Calibri" w:cs="Calibri"/>
                <w:color w:val="000000"/>
                <w:sz w:val="18"/>
                <w:szCs w:val="18"/>
                <w:lang w:eastAsia="pl-PL"/>
              </w:rPr>
              <w:br/>
              <w:t>„Kontrola  przestrzegania   warunków   ustalonych   w   decyzjach   i   korzystania   z   wód (na podstawie art ....). kontrola gospodarowania wodami (na podstawie art. 334 pr.w.) (...)&amp;#34;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Propozycja zmian:</w:t>
            </w:r>
            <w:r w:rsidRPr="0028666F">
              <w:rPr>
                <w:rFonts w:ascii="Calibri" w:eastAsia="Times New Roman" w:hAnsi="Calibri" w:cs="Calibri"/>
                <w:color w:val="000000"/>
                <w:sz w:val="18"/>
                <w:szCs w:val="18"/>
                <w:lang w:eastAsia="pl-PL"/>
              </w:rPr>
              <w:br/>
              <w:t>Treść kolumny T w wierszu Lp. 6317 powinna mieć brzmienie:</w:t>
            </w:r>
            <w:r w:rsidRPr="0028666F">
              <w:rPr>
                <w:rFonts w:ascii="Calibri" w:eastAsia="Times New Roman" w:hAnsi="Calibri" w:cs="Calibri"/>
                <w:color w:val="000000"/>
                <w:sz w:val="18"/>
                <w:szCs w:val="18"/>
                <w:lang w:eastAsia="pl-PL"/>
              </w:rPr>
              <w:br/>
              <w:t>„Kontrola przestrzegania   warunków ustalonych w decyzjach i korzystania z wód (na podstawie art. 325 pr.w.), kontrola gospodarowania wodami (na podstawie art. 334 pr.w.) (...)&amp;#34;.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245123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57C54F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796B9C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7C6169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00C9613" w14:textId="1FFDD8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Uzupełniono brakujące odwołanie do przepisu pr.w.</w:t>
            </w:r>
            <w:r w:rsidR="007C6B16">
              <w:rPr>
                <w:rFonts w:ascii="Calibri" w:eastAsia="Times New Roman" w:hAnsi="Calibri" w:cs="Calibri"/>
                <w:color w:val="000000"/>
                <w:sz w:val="18"/>
                <w:szCs w:val="18"/>
                <w:lang w:eastAsia="pl-PL"/>
              </w:rPr>
              <w:t xml:space="preserve"> </w:t>
            </w:r>
            <w:r w:rsidRPr="0028666F">
              <w:rPr>
                <w:rFonts w:ascii="Calibri" w:eastAsia="Times New Roman" w:hAnsi="Calibri" w:cs="Calibri"/>
                <w:color w:val="000000"/>
                <w:sz w:val="18"/>
                <w:szCs w:val="18"/>
                <w:lang w:eastAsia="pl-PL"/>
              </w:rPr>
              <w:t>Poprawka wprowadzona w katalogach i zestawach działań.</w:t>
            </w:r>
            <w:r w:rsidRPr="0028666F">
              <w:rPr>
                <w:rFonts w:ascii="Calibri" w:eastAsia="Times New Roman" w:hAnsi="Calibri" w:cs="Calibri"/>
                <w:color w:val="000000"/>
                <w:sz w:val="18"/>
                <w:szCs w:val="18"/>
                <w:lang w:eastAsia="pl-PL"/>
              </w:rPr>
              <w:br/>
              <w:t>Wprowadzona treść opisu działania: "Kontrola przestrzegania warunków ustalonych w decyzjach i korzystania z wód: przeglądy udzielonych pozwoleń wodnoprawnych dla wód, gdzie jest zagrożone osiągnięcie celów środowiskowych (na podstawie art. 325 pr.w.), kontrola gospodarowania wodami (na podstawie art. 334 pr.w.) oraz wykonanie przeglądów pozwoleń wodnoprawnych (na podstawie art. 416 pr.w.) - w zakresie wprowadzania ścieków do wód lub do ziemi, lub do urządzeń kanalizacyjnych."</w:t>
            </w:r>
          </w:p>
        </w:tc>
      </w:tr>
      <w:tr w:rsidR="007C2B40" w:rsidRPr="0028666F" w14:paraId="3E6F803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2C07C8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w:t>
            </w:r>
          </w:p>
        </w:tc>
        <w:tc>
          <w:tcPr>
            <w:tcW w:w="970" w:type="dxa"/>
            <w:tcBorders>
              <w:top w:val="nil"/>
              <w:left w:val="nil"/>
              <w:bottom w:val="single" w:sz="4" w:space="0" w:color="auto"/>
              <w:right w:val="nil"/>
            </w:tcBorders>
          </w:tcPr>
          <w:p w14:paraId="6D754D9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482E3C7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D2C4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0D4B3F5" w14:textId="42A70C1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Część projektu planu, do którego zgłaszana jest uwaga nr 8 (numer rozdziału, strona dokumentu). Rozdział 8.4 Projektu drugiej aktualizacji planu gospodarowania wodami na obszarze dorzecza Odry, str. 207 i 208</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 nr 8 wraz z uzasadnieniem</w:t>
            </w:r>
            <w:r w:rsidRPr="0028666F">
              <w:rPr>
                <w:rFonts w:ascii="Calibri" w:eastAsia="Times New Roman" w:hAnsi="Calibri" w:cs="Calibri"/>
                <w:color w:val="000000"/>
                <w:sz w:val="18"/>
                <w:szCs w:val="18"/>
                <w:lang w:eastAsia="pl-PL"/>
              </w:rPr>
              <w:br/>
              <w:t>W treści tekstowej opracowania llaPGW, w rozdziale 8.4 powtórzono cztery akapity na str. 207 i 208:</w:t>
            </w:r>
            <w:r w:rsidRPr="0028666F">
              <w:rPr>
                <w:rFonts w:ascii="Calibri" w:eastAsia="Times New Roman" w:hAnsi="Calibri" w:cs="Calibri"/>
                <w:color w:val="000000"/>
                <w:sz w:val="18"/>
                <w:szCs w:val="18"/>
                <w:lang w:eastAsia="pl-PL"/>
              </w:rPr>
              <w:br/>
              <w:t>a) Str. 207 akapit rozpoczynający się od wyrażenia: ,,W ramach llaPGW konsumowane są wyniki wszystkich zrealizowanych prac wchodzących (...)&amp;#34; powtórzony został na str. 208</w:t>
            </w:r>
            <w:r w:rsidRPr="0028666F">
              <w:rPr>
                <w:rFonts w:ascii="Calibri" w:eastAsia="Times New Roman" w:hAnsi="Calibri" w:cs="Calibri"/>
                <w:color w:val="000000"/>
                <w:sz w:val="18"/>
                <w:szCs w:val="18"/>
                <w:lang w:eastAsia="pl-PL"/>
              </w:rPr>
              <w:br/>
              <w:t>b) str. 207 akapit rozpoczynający się od wyrażenia: ,,Na  potrzeby  wskazania  odstępstw w llaPGW konieczne jest dodatkowe uwzględnienie oceny stanu ekologicznego lub potencjału ekologicznego (...)&amp;#34; powtórzony został na str. 208</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c) str. 207 akapit rozpoczynający się od wyrażenia: ,,W konsekwencji przyjęto, że jeżeli ocena stanu ekologicznego lub potencjału ekologicznego jest gorsza niż stan dobry (...)&amp;#34; powtórzony został na str. 208</w:t>
            </w:r>
            <w:r w:rsidRPr="0028666F">
              <w:rPr>
                <w:rFonts w:ascii="Calibri" w:eastAsia="Times New Roman" w:hAnsi="Calibri" w:cs="Calibri"/>
                <w:color w:val="000000"/>
                <w:sz w:val="18"/>
                <w:szCs w:val="18"/>
                <w:lang w:eastAsia="pl-PL"/>
              </w:rPr>
              <w:br/>
              <w:t xml:space="preserve">d) str. 207 akapit rozpoczynający się od wyrażenia: ,,Przy typowaniu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odstępstw uwzględniono fakt, że ocena skuteczności zestawów działań (...)&amp;#34; powtórzony został na str. 208.</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1B087C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2F99FA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12AD9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23E648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47C44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zgłoszone propozycje zmian w całości.</w:t>
            </w:r>
          </w:p>
        </w:tc>
      </w:tr>
      <w:tr w:rsidR="007C2B40" w:rsidRPr="0028666F" w14:paraId="605B33E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696A3C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w:t>
            </w:r>
          </w:p>
        </w:tc>
        <w:tc>
          <w:tcPr>
            <w:tcW w:w="970" w:type="dxa"/>
            <w:tcBorders>
              <w:top w:val="nil"/>
              <w:left w:val="nil"/>
              <w:bottom w:val="single" w:sz="4" w:space="0" w:color="auto"/>
              <w:right w:val="nil"/>
            </w:tcBorders>
          </w:tcPr>
          <w:p w14:paraId="6C17104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4BD7F94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78263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0253A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Częśc projektu planu, do którego zgłaszana jest uwaga nr 9 (numer rozdziału, strona dokumentu). Uwaga ogólna do formy dokumentu.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Treśc uwagi wraz z uzasadnieniem</w:t>
            </w:r>
            <w:r w:rsidRPr="0028666F">
              <w:rPr>
                <w:rFonts w:ascii="Calibri" w:eastAsia="Times New Roman" w:hAnsi="Calibri" w:cs="Calibri"/>
                <w:color w:val="000000"/>
                <w:sz w:val="18"/>
                <w:szCs w:val="18"/>
                <w:lang w:eastAsia="pl-PL"/>
              </w:rPr>
              <w:br/>
              <w:t>Zasadnicza część ustaleń planu gospodarowania wodami została przeniesiona do załączników, co znacząco utrudnia analizę jego treści. W tym kontekście zastanawiająca jest forma przyszłego planu w formie rozporządzenia.</w:t>
            </w:r>
            <w:r w:rsidRPr="0028666F">
              <w:rPr>
                <w:rFonts w:ascii="Calibri" w:eastAsia="Times New Roman" w:hAnsi="Calibri" w:cs="Calibri"/>
                <w:color w:val="000000"/>
                <w:sz w:val="18"/>
                <w:szCs w:val="18"/>
                <w:lang w:eastAsia="pl-PL"/>
              </w:rPr>
              <w:br/>
              <w:t>Również załączniki graficzne w postaci map zostały przygotowane w bardzo nieczytelny sposób. Nie ma żadnych punktów odniesienia, jak np. nazwa miejscowości czy inne dane, które pozwoliłyby  w łatwy sposób  odnalezienie  obiektów  zainteresowań  w dużo  szybszy i sprawniejszy sposób.</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Uzasadnienie złożonej uwagi, w zakresie określonym powyżej, w kontekście dalszej działalności Spółki KGHM Polska Miedź, znajduje się w załączonym pliku.</w:t>
            </w:r>
          </w:p>
        </w:tc>
        <w:tc>
          <w:tcPr>
            <w:tcW w:w="2733" w:type="dxa"/>
            <w:tcBorders>
              <w:top w:val="nil"/>
              <w:left w:val="nil"/>
              <w:bottom w:val="single" w:sz="4" w:space="0" w:color="auto"/>
              <w:right w:val="single" w:sz="4" w:space="0" w:color="auto"/>
            </w:tcBorders>
            <w:shd w:val="clear" w:color="auto" w:fill="auto"/>
            <w:hideMark/>
          </w:tcPr>
          <w:p w14:paraId="4F30F5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2440E4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8915A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KGHM_Odra</w:t>
            </w:r>
          </w:p>
        </w:tc>
        <w:tc>
          <w:tcPr>
            <w:tcW w:w="1014" w:type="dxa"/>
            <w:tcBorders>
              <w:top w:val="nil"/>
              <w:left w:val="nil"/>
              <w:bottom w:val="single" w:sz="4" w:space="0" w:color="auto"/>
              <w:right w:val="single" w:sz="4" w:space="0" w:color="auto"/>
            </w:tcBorders>
            <w:shd w:val="clear" w:color="auto" w:fill="auto"/>
            <w:hideMark/>
          </w:tcPr>
          <w:p w14:paraId="2B5152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9C5B26F" w14:textId="1B4816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dokumentami prezentującymi zakres danych i informacji wymagany zarówno ustawą pr.w., rozporządzeniem dot. szczegółowego zakresu planów gospodarowania wodami jak również wymogami raportowymi Komisji Europejskiej.</w:t>
            </w:r>
            <w:r w:rsidRPr="0028666F">
              <w:rPr>
                <w:rFonts w:ascii="Calibri" w:eastAsia="Times New Roman" w:hAnsi="Calibri" w:cs="Calibri"/>
                <w:color w:val="000000"/>
                <w:sz w:val="18"/>
                <w:szCs w:val="18"/>
                <w:lang w:eastAsia="pl-PL"/>
              </w:rPr>
              <w:br/>
              <w:t>Plany to dokumenty strategiczne przyjmowane w formie rozporządzenia, a tym samym uwzględniające w swojej strukturze docelowy sposób prezentowania danych.</w:t>
            </w:r>
            <w:r w:rsidRPr="0028666F">
              <w:rPr>
                <w:rFonts w:ascii="Calibri" w:eastAsia="Times New Roman" w:hAnsi="Calibri" w:cs="Calibri"/>
                <w:color w:val="000000"/>
                <w:sz w:val="18"/>
                <w:szCs w:val="18"/>
                <w:lang w:eastAsia="pl-PL"/>
              </w:rPr>
              <w:br/>
              <w:t>Z uwagi na wymagany poziom szczegółowości danych i zagadnień przyjęta struktura dokumentów obejmuje:</w:t>
            </w:r>
            <w:r w:rsidRPr="0028666F">
              <w:rPr>
                <w:rFonts w:ascii="Calibri" w:eastAsia="Times New Roman" w:hAnsi="Calibri" w:cs="Calibri"/>
                <w:color w:val="000000"/>
                <w:sz w:val="18"/>
                <w:szCs w:val="18"/>
                <w:lang w:eastAsia="pl-PL"/>
              </w:rPr>
              <w:br/>
              <w:t xml:space="preserve">- prezentację w treści głównej IIaPGW danych na poziomie obszaru dorzecza i poszczególnych regionów wodnych: dane i informacje charakteryzujące obszar dorzecza i regionów wodnych oraz prezentujące omówienie wszystkich zagadnień wymaganych dla IIaPGW z odniesieniem w treści do odpowiednich załączników zawierających dane szczegółowe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xml:space="preserve">- prezentację całości danych IIaPGW na poziomie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poszczególnych załącznikach przywołanych w treści IIaPGW. Załączniki to zestawienia exel umożliwiające łatwe poruszanie się po prezentowanych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Dodatkowym elementem wprowadzonym w IIaPGW jest załącznik nr 1 stanowiący zestawienie wszystkich najistotniejszych danych prezentowanych w IIaPGW dla poszczególnej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a zatem stanowiący zbiorcze podsumowanie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prezentację danych przestrzennie w formie załączników mapowych. Skala stosowanych map dostosowana została do wymogów prezentacji i publikacji danych w formie rozporządzenia. Dla wyeliminowania publikacji map w treści (wówczas format dopuszczalny to A4) przyjęto przeniesienie wszystkich map do załączników przy zastosowaniu jednocześnie formatu maksymalnie dopuszczalnego czyli A3.</w:t>
            </w:r>
            <w:r w:rsidRPr="0028666F">
              <w:rPr>
                <w:rFonts w:ascii="Calibri" w:eastAsia="Times New Roman" w:hAnsi="Calibri" w:cs="Calibri"/>
                <w:color w:val="000000"/>
                <w:sz w:val="18"/>
                <w:szCs w:val="18"/>
                <w:lang w:eastAsia="pl-PL"/>
              </w:rPr>
              <w:br/>
              <w:t xml:space="preserve">Publikacja IIaPGW w formie rozporządzenia niesie ze sobą konieczność dostosowania dokumentu do zasad praktyki legislacyjnej. Niemniej jednak poza publikacją IIaPGW w formie rozporządzenia dostępne będą dla użytkowników dane przestrzenne IIaPGW udostępnione docelowo na Hydroportalu oraz karty charakterystyk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przygotowywane poza samym rozporządzeniem</w:t>
            </w:r>
          </w:p>
        </w:tc>
      </w:tr>
      <w:tr w:rsidR="007C2B40" w:rsidRPr="0028666F" w14:paraId="6E16F96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5E1F34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w:t>
            </w:r>
          </w:p>
        </w:tc>
        <w:tc>
          <w:tcPr>
            <w:tcW w:w="970" w:type="dxa"/>
            <w:tcBorders>
              <w:top w:val="nil"/>
              <w:left w:val="nil"/>
              <w:bottom w:val="single" w:sz="4" w:space="0" w:color="auto"/>
              <w:right w:val="nil"/>
            </w:tcBorders>
          </w:tcPr>
          <w:p w14:paraId="683E37D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Rozwój TAK - </w:t>
            </w:r>
            <w:r>
              <w:rPr>
                <w:rFonts w:ascii="Calibri" w:hAnsi="Calibri" w:cs="Calibri"/>
                <w:color w:val="000000"/>
                <w:sz w:val="18"/>
                <w:szCs w:val="18"/>
              </w:rPr>
              <w:lastRenderedPageBreak/>
              <w:t>Odkrywki NIE</w:t>
            </w:r>
          </w:p>
        </w:tc>
        <w:tc>
          <w:tcPr>
            <w:tcW w:w="165" w:type="dxa"/>
            <w:tcBorders>
              <w:top w:val="nil"/>
              <w:left w:val="nil"/>
              <w:bottom w:val="single" w:sz="4" w:space="0" w:color="auto"/>
              <w:right w:val="single" w:sz="4" w:space="0" w:color="auto"/>
            </w:tcBorders>
            <w:shd w:val="clear" w:color="auto" w:fill="auto"/>
          </w:tcPr>
          <w:p w14:paraId="35F11F8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E5351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D6AF5C4" w14:textId="3F9DFEA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 drugiej aktualizacji Planu gospodarowania wodami w międzynarodowym dorzeczu Odry (zwany dalej „Projektem IIaPGW dla MODO”) , który jest przygotowywany na okres planistyczny 2022-2027, został opublikowany i udostępniony do </w:t>
            </w:r>
            <w:r w:rsidRPr="0028666F">
              <w:rPr>
                <w:rFonts w:ascii="Calibri" w:eastAsia="Times New Roman" w:hAnsi="Calibri" w:cs="Calibri"/>
                <w:color w:val="000000"/>
                <w:sz w:val="18"/>
                <w:szCs w:val="18"/>
                <w:lang w:eastAsia="pl-PL"/>
              </w:rPr>
              <w:lastRenderedPageBreak/>
              <w:t>komentarzy na stronie internetowej Międzynarodowego Komisji Ochrony Odry przed Zanieczyszczeniami (dalej „MKOO”) w dniu 22 marca 2021 r, na podstawie art. 14 ust. 1 lit. c) Dyrektywy 2000/60/WE Parlamentu Europejskiego i Rady z dnia 23 października 2000 r. ustanawiającej ramy wspólnotowego działania w dziedzinie polityki wodnej (zwanej dalej „RDW”). Fundacja „Rozwój TAK – Odkrywki NIE” z siedzibą w Legnicy przy Al. Marszałka Józefa Piłsudskiego 24, reprezentowana przez prezesa zarządu Tomasza Waśniewskiego (zwana dalej „Fundacją”) niniejszym wnosi, w wyznaczonym terminie, poniższe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1. Wstęp</w:t>
            </w:r>
            <w:r w:rsidRPr="0028666F">
              <w:rPr>
                <w:rFonts w:ascii="Calibri" w:eastAsia="Times New Roman" w:hAnsi="Calibri" w:cs="Calibri"/>
                <w:color w:val="000000"/>
                <w:sz w:val="18"/>
                <w:szCs w:val="18"/>
                <w:lang w:eastAsia="pl-PL"/>
              </w:rPr>
              <w:br w:type="page"/>
              <w:t xml:space="preserve">Plan gospodarowania wodami w międzynarodowym dorzeczu Odry jest sztandarowym dokumentem politycznym, którego celem jest zdefiniowanie głównych problemów uniemożliwiających osiągnięcie dobrego stanu wód podziemnych i powierzchniowych na obszarze dorzecza międzynarodowego oraz określenie działań prowadzących do osiągnięcia dobrego stanu jednolitych części wód zgodnie z art. 4 RDW. Plan gospodarowania wodami w międzynarodowym dorzeczu Odry jest wiążący dla wszystkich zaangażowanych krajów i musi następnie zostać przełożony na ich krajowe plany gospodarowania wodami w dorzeczu oraz plany cząstkowe, w tym poszczególne akty prawne (takie jak decyzje) wydawane przez ich administracje. </w:t>
            </w:r>
            <w:r w:rsidRPr="0028666F">
              <w:rPr>
                <w:rFonts w:ascii="Calibri" w:eastAsia="Times New Roman" w:hAnsi="Calibri" w:cs="Calibri"/>
                <w:color w:val="000000"/>
                <w:sz w:val="18"/>
                <w:szCs w:val="18"/>
                <w:lang w:eastAsia="pl-PL"/>
              </w:rPr>
              <w:br w:type="page"/>
              <w:t>Biorąc pod uwagę międzynarodowy charakter Projektu IIaPGW dla MODO, konieczne jest przyjęcie skutecznych środków, w szczególności w celu radzenia sobie z problemami, które pojawiają się na terytorium jednego z zaangażowanych krajów, ale są spowodowane przez inny kraj, a także w celu radzenia sobie z problemami powszechnymi dla wszystkich krajów . Problemy związane z oddziaływaniami o znaczeniu ponadregionalnym zostały zdefiniowane w oparciu o wyniki konsultacji społecznych z dnia 22 grudnia 2020 r.  Jednym ze zdefiniowanych problemów o znaczeniu ponadregionalnym jest niekorzystne oddziaływanie na środowisko zarówno czynnego, jak i byłego wydobycia węgla brunatnego, głównie na wody podziemne. To negatywne zjawisko występujące na obszarze dorzecza międzynarodowego ma ulec dalszemu pogorszeniu w okresie planistycznym 2022-2027 .</w:t>
            </w:r>
            <w:r w:rsidRPr="0028666F">
              <w:rPr>
                <w:rFonts w:ascii="Calibri" w:eastAsia="Times New Roman" w:hAnsi="Calibri" w:cs="Calibri"/>
                <w:color w:val="000000"/>
                <w:sz w:val="18"/>
                <w:szCs w:val="18"/>
                <w:lang w:eastAsia="pl-PL"/>
              </w:rPr>
              <w:br w:type="page"/>
              <w:t>Z powodów podanych powyżej Fundacja postrzega trwające konsultacje społeczne Projektu IIaPGW dla MODO jako istotną okazję do podjęcia skutecznych działań na szczeblu międzynarodowym w celu rozwiązania problemu obniżenia poziomu wód podziemnych spowodowanych eksploatacją złoża węgla brunatnego w polskiej kopalni węgla brunatnego Turów. Kopalnia zlokalizowana jest w południowo-zachodniej części województwa dolnośląskiego, na terenie gminy Bogatynia, w pobliżu granic z Republiką Czeską i Republiką Federalną Niemiec. Zgodnie z planami operatora kopalnia będzie działać do 2044 roku. KWB Turów negatywnie wpływa na stan ilościowy i jakościowy wód podziemnych i powierzchniowych na terenie Republiki Czeskiej i Republiki Federalnej Niemiec, a także w Polsce (więcej szczegółów podano w dalszej części niniejszego dokumentu).</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2. Projekt IIaPGW dla MODO musi szczegółowo opisywać negatywny wpływ KWB Turów na  polskie, czeskie i niemieckie jednolite części wód</w:t>
            </w:r>
            <w:r w:rsidRPr="0028666F">
              <w:rPr>
                <w:rFonts w:ascii="Calibri" w:eastAsia="Times New Roman" w:hAnsi="Calibri" w:cs="Calibri"/>
                <w:color w:val="000000"/>
                <w:sz w:val="18"/>
                <w:szCs w:val="18"/>
                <w:lang w:eastAsia="pl-PL"/>
              </w:rPr>
              <w:br w:type="page"/>
              <w:t xml:space="preserve">Zgodnie z art. 13 ust. 4 RDW plany gospodarowania wodami w dorzeczu muszą zawsze zawierać podsumowanie znaczących skutków i oddziaływań działalności człowieka na stan wód podziemnych i powierzchniowych. Na tej </w:t>
            </w:r>
            <w:r w:rsidRPr="0028666F">
              <w:rPr>
                <w:rFonts w:ascii="Calibri" w:eastAsia="Times New Roman" w:hAnsi="Calibri" w:cs="Calibri"/>
                <w:color w:val="000000"/>
                <w:sz w:val="18"/>
                <w:szCs w:val="18"/>
                <w:lang w:eastAsia="pl-PL"/>
              </w:rPr>
              <w:lastRenderedPageBreak/>
              <w:t xml:space="preserve">podstawie powinny być opisane jasno powody, dla których każda jednolita część wód nie osiąga dobrego stanu jakościowego i ilościowego lub dlaczego istnieje ryzyko pogorszenia stanu jednolitej części wód w kolejnym okresie planistycznym. Chociaż Projekt IIaPGW dla MODO stwierdza na stronie 24, że jednym z problemów o znaczeniu ponadregionalnym jest wpływ czynnej eksploatacji wydobycia węgla brunatnego, to jednak z Projektu IIaPGW dla MODO nie wynika jasno, które jednolite części wód są najbardziej dotknięte tym problemem. </w:t>
            </w:r>
            <w:r w:rsidRPr="0028666F">
              <w:rPr>
                <w:rFonts w:ascii="Calibri" w:eastAsia="Times New Roman" w:hAnsi="Calibri" w:cs="Calibri"/>
                <w:color w:val="000000"/>
                <w:sz w:val="18"/>
                <w:szCs w:val="18"/>
                <w:lang w:eastAsia="pl-PL"/>
              </w:rPr>
              <w:br w:type="page"/>
              <w:t xml:space="preserve">Oprócz zgodności z wymogami art. 13 ust. 4 RDW, identyfikacja konkretnych negatywnych oddziaływań KWB Turów na jednolite części wód, w tym w Czechach i Niemczech, ma kluczowe znaczenie dla określenia najskuteczniejszych programów działań, które pozwolą na osiągnięcie dobrego stanu lub przynajmniej niepogarszanie się stanu jednolitych części wód w przyszłości, zgodnie z art. 4 ust. 1 RDW. Obecna wersja Projektu IIaPGW dla MODO nie pozwala na osiągnięcie tych celów. Jednocześnie jasne jest, że celów tych nie można osiągnąć jedynie za pomocą poddziałań przewidzianych w krajowych planach gospodarowania wodami w dorzeczu, ponieważ kwestia ta ma znaczenie ponadregionalne. </w:t>
            </w:r>
            <w:r w:rsidRPr="0028666F">
              <w:rPr>
                <w:rFonts w:ascii="Calibri" w:eastAsia="Times New Roman" w:hAnsi="Calibri" w:cs="Calibri"/>
                <w:color w:val="000000"/>
                <w:sz w:val="18"/>
                <w:szCs w:val="18"/>
                <w:lang w:eastAsia="pl-PL"/>
              </w:rPr>
              <w:br w:type="page"/>
              <w:t xml:space="preserve">Fundacja przedstawia zatem w dalszej części niniejszego dokumentu podstawowe zestawienie negatywnych oddziaływań prowadzonej eksploatacji w KWB Turów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czeskich i niemieckich. Fundacja sugeruje uzupełnienie rozdziałów II.4.2.1. (Ocena stanu ilościowego wód podziemnych), II.4.2.2. (Ocena stanu chemicznego wód podziemnych) oraz II.4.1.2. (Ocena stanu chemicznego jednolitych części wód powierzchniowych) Projektu IIaPGW dla MODO o takie podsumowania, wraz ze stosownymi zmianami na mapach.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2. 1. Oddziaływania KWB Turów na terenie Republiki Czeskiej</w:t>
            </w:r>
            <w:r w:rsidRPr="0028666F">
              <w:rPr>
                <w:rFonts w:ascii="Calibri" w:eastAsia="Times New Roman" w:hAnsi="Calibri" w:cs="Calibri"/>
                <w:color w:val="000000"/>
                <w:sz w:val="18"/>
                <w:szCs w:val="18"/>
                <w:lang w:eastAsia="pl-PL"/>
              </w:rPr>
              <w:br w:type="page"/>
              <w:t>Oddziaływanie KWB Turów na terenie Czech od dawna jest przedmiotem specjalistycznego monitoringu prowadzonego na terenie Republiki Czeskiej przez AQUATEST a.s. na zlecenie Czeskiej Służby Geologicznej. Wyniki tego monitoringu służą do opracowania rocznych raportów oceniających aktualny stan i zmiany zachodzące w stanie wód podziemnych. Monitoringiem objęto jedynie obszar południowej części Kotliny Żytawskiej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14200 – czwartorzędowa i mioceńska Kotlina Żytawska). Fundacja wskazuje, że stan ilościowy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14200, która jest wykorzystywana jako źródło wody pitnej na terytorium Republiki Czeskiej i której stan jest już na niektórych obszarach niezadowalający (głównie Uhelná), ulegnie znacznemu pogorszeniu w kolejnym okresie planowania ze względu na trwające wydobycie w KWB Turów. Mówi o tym m.in. projekt czeskiego krajowego Planu gospodarowania wodami w międzynarodowym dorzeczu Odry, który nadaje jednolitej części wód 14200 kategorię wód zagrożonych . Zgodnie z postanowieniami § 2 dekretu nr 24/2011 Dz.U. (Vyhláška č. 24/2011 Sb.) o planach gospodarowania wodami, zagrożona jednolita część wód to „jednolita część wód, dla której zidentyfikowano ryzyko nieosiągnięcia celów ochrony wód jako elementu środowiska na koniec okresu obowiązywania planu gospodarowania wodami w dorzeczu na bazie ogólnych charakterystyk i charakterystyk usług wodnych oraz oceny wpływu na nie działalności człowieka”. </w:t>
            </w:r>
            <w:r w:rsidRPr="0028666F">
              <w:rPr>
                <w:rFonts w:ascii="Calibri" w:eastAsia="Times New Roman" w:hAnsi="Calibri" w:cs="Calibri"/>
                <w:color w:val="000000"/>
                <w:sz w:val="18"/>
                <w:szCs w:val="18"/>
                <w:lang w:eastAsia="pl-PL"/>
              </w:rPr>
              <w:br w:type="page"/>
              <w:t xml:space="preserve">Według najnowszych informacji, jakimi dysponuje Fundacja, pobór wód podziemnych w KWB Turów prowadzi do znacznego, stałego obniżania się poziomu wód </w:t>
            </w:r>
            <w:r w:rsidRPr="0028666F">
              <w:rPr>
                <w:rFonts w:ascii="Calibri" w:eastAsia="Times New Roman" w:hAnsi="Calibri" w:cs="Calibri"/>
                <w:color w:val="000000"/>
                <w:sz w:val="18"/>
                <w:szCs w:val="18"/>
                <w:lang w:eastAsia="pl-PL"/>
              </w:rPr>
              <w:lastRenderedPageBreak/>
              <w:t xml:space="preserve">podziemnych w poszczególnych warstwach wodonośnych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nr 14200. Znaczące oddziaływania eksploatacji w KWB Turów na stan ilościowy jednolitej części wód nr 14200 potwierdzają również najnowsze dane uzyskane z badań prowadzonych przez Czeską Służbę Geologiczną (dalej zwaną „CGS”) . Z ekspertyzy hydrogeologicznej Instytutu Badań Wodnych wynika, że: „Nowe dane uzyskane w wyniku monitoringu przeprowadzonego przez CGS pokazują, że poziom trzeciorzędowych poziomów wodonośnych w basenie Hrádek nadal spada. Poziom czwartorzędowej warstwy wodonośnej, która służy jako źródło wody pitnej dla ludności czeskiej, również spadł o kolejne 0,8 m w ciągu ostatniego roku (w okresie kwiecień 2020 - kwiecień 2021). Wpływ suszy, który nadal utrzymywał się w 2020 r., nie był już odczuwalny w 2021 r., jednak spadek poziomu wód nadal się utrzymywał. W oparciu o dostępne dane, inne oddziaływania na czwartorzędowe poziomy wodonośne, takie jak wydobycie kruszywa piaskowo-żwirowego w Grabštejnie (gdzie wydobycie odbywa się tylko powyżej poziomu wód podziemnych) lub pobór wody w Uhelnej (wahania monitorowanych poziomów nie korelują z wahaniami poborów), można wykluczyć.” </w:t>
            </w:r>
            <w:r w:rsidRPr="0028666F">
              <w:rPr>
                <w:rFonts w:ascii="Calibri" w:eastAsia="Times New Roman" w:hAnsi="Calibri" w:cs="Calibri"/>
                <w:color w:val="000000"/>
                <w:sz w:val="18"/>
                <w:szCs w:val="18"/>
                <w:lang w:eastAsia="pl-PL"/>
              </w:rPr>
              <w:br w:type="page"/>
              <w:t>Poniżej Fundacja przedstawia podstawowe zestawienie informacji o oddziaływaniu KWB Turów na obszar Czech na południe od kopalni (tj. na terenie Republiki Czeskiej):</w:t>
            </w:r>
            <w:r w:rsidRPr="0028666F">
              <w:rPr>
                <w:rFonts w:ascii="Calibri" w:eastAsia="Times New Roman" w:hAnsi="Calibri" w:cs="Calibri"/>
                <w:color w:val="000000"/>
                <w:sz w:val="18"/>
                <w:szCs w:val="18"/>
                <w:lang w:eastAsia="pl-PL"/>
              </w:rPr>
              <w:br w:type="page"/>
              <w:t xml:space="preserve">• Serie danych dostępne na terytorium Czech od lat 80. XX wieku wykazują bardzo znaczące spadki poziomu wód w warstwach wodonośnych czwartorzędu i głębiej położonych nieckowatych poziomach wodonośnych (stanowiska Hrádek nad Nisou – Oldřichov – Uhelná – Grabštejn, tj.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14200). Poziomy czwartorzędowych warstw wodonośnych obniżyły się o około 20 m. W niższych warstwach wodonośnych nastąpiło większe obniżenie - ponad 60 m w połączonych górnych i środkowych warstwach wodonośnych. Spadki w dolnym poziomie wodonośnym niecki wahają się od 10 m do 60 m w zależności od konkretnego otworu wiertniczego. Do 2017 roku wody podziemne były odprowadzane z terytorium Czech przede wszystkim przez środkowy poziom wodonośny niecki. Ze względu na zmiany kierunków przepływu wód podziemnych, od 2017 roku przepływają one z terytorium Czech do Polski głównie przez niższy trzeciorzędowy poziom wodonośny . Od 2015 roku na części obszaru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14200 poziom trzeciorzędowych warstw wodonośnych obniżył się o 8- 34 m .</w:t>
            </w:r>
            <w:r w:rsidRPr="0028666F">
              <w:rPr>
                <w:rFonts w:ascii="Calibri" w:eastAsia="Times New Roman" w:hAnsi="Calibri" w:cs="Calibri"/>
                <w:color w:val="000000"/>
                <w:sz w:val="18"/>
                <w:szCs w:val="18"/>
                <w:lang w:eastAsia="pl-PL"/>
              </w:rPr>
              <w:br w:type="page"/>
              <w:t xml:space="preserve">• W latach 2014–2021 spadki poziomu użytkowych warstw wodonośnych w poziomie czwartorzędowym utrzymywały się na całym obszarze północno-wschodniej części monitorowanego obszaru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14200 (Oldřichov – północno-wschodnia część miasta Hrádek nad Nisou – Uhelná – Grabštejn). Całkowity spadek poziomu wód podziemnych w okresie wrzesień 2014 – kwiecień 2021 wyniósł średnio 7,98 m (średnie wartościach z pięciu monitorowanych odwiertów wahały się od 6,76 do 9,07 m), co stanowi średnio 1,23 m rocznie. Ubiegłoroczny spadek (kwiecień 2020 – kwiecień 2021) wyniósł 0,8 m, co oznacza, że nieznacznie wyhamowuje. Spowolnienie spadku spowodowane zostało stopniowym ustępowaniem suszy w latach 2014-2019. Od 2021 r. skutki suszy nie mogą mieć znaczącego wpływu, dlatego też spadki poziomu wód podziemnych można przypisać drenażowi spowodowanemu przez kopalnię węgla brunatnego Turów .</w:t>
            </w:r>
            <w:r w:rsidRPr="0028666F">
              <w:rPr>
                <w:rFonts w:ascii="Calibri" w:eastAsia="Times New Roman" w:hAnsi="Calibri" w:cs="Calibri"/>
                <w:color w:val="000000"/>
                <w:sz w:val="18"/>
                <w:szCs w:val="18"/>
                <w:lang w:eastAsia="pl-PL"/>
              </w:rPr>
              <w:br w:type="page"/>
              <w:t xml:space="preserve">• Ponadto ani ujęcie wody w Uhelnej, ani kopalnia piasku w </w:t>
            </w:r>
            <w:r w:rsidRPr="0028666F">
              <w:rPr>
                <w:rFonts w:ascii="Calibri" w:eastAsia="Times New Roman" w:hAnsi="Calibri" w:cs="Calibri"/>
                <w:color w:val="000000"/>
                <w:sz w:val="18"/>
                <w:szCs w:val="18"/>
                <w:lang w:eastAsia="pl-PL"/>
              </w:rPr>
              <w:lastRenderedPageBreak/>
              <w:t>Grabštejnie nie mogą znacząco wpłynąć na wspomniane powyżej spadki poziomu wód podziemnych. Dowody na to zostały przedstawione przez inwestora w dokumentacji OOŚ .</w:t>
            </w:r>
            <w:r w:rsidRPr="0028666F">
              <w:rPr>
                <w:rFonts w:ascii="Calibri" w:eastAsia="Times New Roman" w:hAnsi="Calibri" w:cs="Calibri"/>
                <w:color w:val="000000"/>
                <w:sz w:val="18"/>
                <w:szCs w:val="18"/>
                <w:lang w:eastAsia="pl-PL"/>
              </w:rPr>
              <w:br w:type="page"/>
              <w:t>• Monitoring prowadzony na terenie Polski dostarczył dowodów na to, że spadki poziomu wód podziemnych po drugiej stronie granicy są w pełni porównywalne lub nawet wyższe, niż w Polsce. W czwartorzędowym poziomie wodonośnym po polskiej stronie granicy zwykle nie występują spadki dzięki odmiennej budowie geologicznej obszaru i lepszemu oddzieleniu struktur czwartorzędowych od niższych struktur Niecki Żytawskiej. Potwierdzają to pomiary przeprowadzone w ramach czesko-polskiego monitoringu .</w:t>
            </w:r>
            <w:r w:rsidRPr="0028666F">
              <w:rPr>
                <w:rFonts w:ascii="Calibri" w:eastAsia="Times New Roman" w:hAnsi="Calibri" w:cs="Calibri"/>
                <w:color w:val="000000"/>
                <w:sz w:val="18"/>
                <w:szCs w:val="18"/>
                <w:lang w:eastAsia="pl-PL"/>
              </w:rPr>
              <w:br w:type="page"/>
              <w:t xml:space="preserve">• Wykres na rysunku 93 w dokumentacji OOŚ dotyczący przedłużenia wydobycia w KWB Turów do 2044 r. pokazuje, że na przestrzeni ponad 50 lat od 1963 r. poziomy wód podziemnych obniżyły się o około 15-20 m. Większości tak ogromnego spadku nie można wytłumaczyć innymi oddziaływaniami niż trwające odwadnianie kopalni Turów. Rozdział 7.4. dokumentacji OOŚ wspomina o dopływie od strony południowej (na południe od uskoku południowego) do studni odwadniających wód podziemnych w ilości 3,1 m3/min, tj. 51 l/s. Nawet jeśli przyjmiemy, że niewielka część obszaru w tym kierunku jest polska, to większość tych wód dopływa z terenu Czech. Informacje te opierają się na danych technicznych dostarczonych przez Inwestora w rozdziale 7.4 dokumentacji OOŚ. Bardziej szczegółowa specyfikacja przepływu wód podziemnych z terytorium Czech wymagałaby obliczeń z wykorzystaniem modelu matematycznego. </w:t>
            </w:r>
            <w:r w:rsidRPr="0028666F">
              <w:rPr>
                <w:rFonts w:ascii="Calibri" w:eastAsia="Times New Roman" w:hAnsi="Calibri" w:cs="Calibri"/>
                <w:color w:val="000000"/>
                <w:sz w:val="18"/>
                <w:szCs w:val="18"/>
                <w:lang w:eastAsia="pl-PL"/>
              </w:rPr>
              <w:br w:type="page"/>
              <w:t xml:space="preserve">Z powyższej ekspertyzy wynika, że KWB Turów ma niepodważalny i długotrwały wpływ na stan ilościowy wód podziemnych na terenie Czech. W szczególności ma istotny negatywny wpływ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14200. Fakty te uwzględniono również w obowiązującym sub-planie gospodarowania wodami w dorzeczu Nysy Łużyckiej na II okres planistyczny (2015 – 2021)  oraz w powiązanym z nim programie działań pt. Niewłaściwe użytkowanie przestrzeni - wydobycie węgla brunatnego w Kopalni Turów.  </w:t>
            </w:r>
            <w:r w:rsidRPr="0028666F">
              <w:rPr>
                <w:rFonts w:ascii="Calibri" w:eastAsia="Times New Roman" w:hAnsi="Calibri" w:cs="Calibri"/>
                <w:color w:val="000000"/>
                <w:sz w:val="18"/>
                <w:szCs w:val="18"/>
                <w:lang w:eastAsia="pl-PL"/>
              </w:rPr>
              <w:br w:type="page"/>
              <w:t xml:space="preserve">W przypadku przedłużenia wydobycia i rozbudowy kopalni, jej przewidywane negatywne oddziaływania będą jeszcze bardziej nasilone , do tego stopnia, że w czeskim Krajowym planie gospodarowania wodami w dorzeczu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14200 zalicza się do jednolitych części wód zagrożonych, w których przewiduje się pogorszenie stanu ilościowego w następnym okresie planowania. Rozbudowa kopalni oznacza nie tylko zbliżenie kopalni do granicy z Czechami, ale także przesunięcie centrum odwadniania bliżej terytorium Czech. W związku z tym nasilą się już zidentyfikowane problemy, oraz prawdopodobnie pojawią się nowe. W rezultacie poziom wód w czeskiej części Niecki Żytawskiej (obszar Oldřichov Hrádek nad Nisou - Grabštejn, tj.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14200) będzie się nadal obniżał wraz z rozprzestrzenianiem się oddziaływania odwadniającego dalej na południe i wschód omawianej części wód. Nasili się także oddziaływanie na obszar Uhelná (inny fragment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14200).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Podsumowując, w opinii Fundacji biorąc pod uwagę powyższe, Projekt IIaPGW dla MODO powinien zostać uzupełniony o następujące informacje:</w:t>
            </w:r>
            <w:r w:rsidRPr="0028666F">
              <w:rPr>
                <w:rFonts w:ascii="Calibri" w:eastAsia="Times New Roman" w:hAnsi="Calibri" w:cs="Calibri"/>
                <w:color w:val="000000"/>
                <w:sz w:val="18"/>
                <w:szCs w:val="18"/>
                <w:lang w:eastAsia="pl-PL"/>
              </w:rPr>
              <w:br w:type="page"/>
              <w:t xml:space="preserve">• Od lat 80. XX w.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nr 14200 uległa znacznemu negatywnemu oddziaływaniu w wyniku odwodnienia KWB Turów.</w:t>
            </w:r>
            <w:r w:rsidRPr="0028666F">
              <w:rPr>
                <w:rFonts w:ascii="Calibri" w:eastAsia="Times New Roman" w:hAnsi="Calibri" w:cs="Calibri"/>
                <w:color w:val="000000"/>
                <w:sz w:val="18"/>
                <w:szCs w:val="18"/>
                <w:lang w:eastAsia="pl-PL"/>
              </w:rPr>
              <w:br w:type="page"/>
              <w:t xml:space="preserve">• Ze względu na kontynuację wydobycia i rozbudowę kopalni Turów, istnieje ryzyko pogorszenia się stanu ilościowego całej jednolitej części wód </w:t>
            </w:r>
            <w:r w:rsidRPr="0028666F">
              <w:rPr>
                <w:rFonts w:ascii="Calibri" w:eastAsia="Times New Roman" w:hAnsi="Calibri" w:cs="Calibri"/>
                <w:color w:val="000000"/>
                <w:sz w:val="18"/>
                <w:szCs w:val="18"/>
                <w:lang w:eastAsia="pl-PL"/>
              </w:rPr>
              <w:lastRenderedPageBreak/>
              <w:t>podziemnych 14200 w okresie planistycznym 2022 - 2027, ze stanu dobrego do słabego.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2. 2. Oddziaływania KWB Turów na terenie Republiki Federalnej Niemiec</w:t>
            </w:r>
            <w:r w:rsidRPr="0028666F">
              <w:rPr>
                <w:rFonts w:ascii="Calibri" w:eastAsia="Times New Roman" w:hAnsi="Calibri" w:cs="Calibri"/>
                <w:color w:val="000000"/>
                <w:sz w:val="18"/>
                <w:szCs w:val="18"/>
                <w:lang w:eastAsia="pl-PL"/>
              </w:rPr>
              <w:br w:type="page"/>
              <w:t xml:space="preserve">Negatywne skutki górnictwa w KWB Turów przejawiają się również w jednolitych częściach wód na terenie Republiki Federalnej Niemiec. Jeśli wydobycie będzie kontynuowane do 2044 roku, te negatywne oddziaływania ulegną nasileniu. Górnictwo ma największy wpływ na stan jednolitej części wód podziemnych DESN_NE 2 Zittau-Görlitz. Choć stan ilościowy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głównie dzięki jego dużej powierzchni, nadal oceniany jest jako dobry, to istnieje ryzyko jego znacznego pogorszenia w kolejnym okresie planistycznym ze względu na trwające wydobycie w KWB Turów. Ponadto negatywne oddziaływania wydobycia w KWB Turów powodują również niezadowalający stan chemiczny rzeki Nysy Łużyckiej, co jest spowodowane głównie wysokim stężeniem siarczanów, kadmu, uranu i niklu. Osiągnięcie dobrego stanu chemicznego Nysy Łużyckiej nie będzie możliwe w przypadku kontynuacji wydobycia w KWB Turów (szczegóły w dalszej części artykułu). </w:t>
            </w:r>
            <w:r w:rsidRPr="0028666F">
              <w:rPr>
                <w:rFonts w:ascii="Calibri" w:eastAsia="Times New Roman" w:hAnsi="Calibri" w:cs="Calibri"/>
                <w:color w:val="000000"/>
                <w:sz w:val="18"/>
                <w:szCs w:val="18"/>
                <w:lang w:eastAsia="pl-PL"/>
              </w:rPr>
              <w:br w:type="page"/>
              <w:t xml:space="preserve">W swojej ekspertyzie niemiecki hydrogeolog prof. Krupp  zwraca szczególną uwagę na następujące negatywne oddziaływania i zagrożenia związane z kopalnią Turów dla niemieckich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w:t>
            </w:r>
            <w:r w:rsidRPr="0028666F">
              <w:rPr>
                <w:rFonts w:ascii="Calibri" w:eastAsia="Times New Roman" w:hAnsi="Calibri" w:cs="Calibri"/>
                <w:color w:val="000000"/>
                <w:sz w:val="18"/>
                <w:szCs w:val="18"/>
                <w:lang w:eastAsia="pl-PL"/>
              </w:rPr>
              <w:br w:type="page"/>
              <w:t xml:space="preserve">• Znaczny spadek wód podziemnych w głębokich trzeciorzędowych warstwach wodonośnych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DESN_NE 2 Zittau-Görlitz, który nie był jeszcze wykorzystywany jako źródło wody pitnej. Leje depresji powodujące spadek wód podziemnych w poziomie trzeciorzędowym sięgają aż do północnej granicy niecki. Na granicy niemiecko-polskiej spadek poziomu wód podziemnych od początku wydobycia osiągnął 100 m. Do 2044 r. można spodziewać się spadku o kolejne 20 m na tym terenie. W rezultacie w okresie planistycznym 2022-2027 można spodziewać się obniżenia poziomu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o około 5 m. </w:t>
            </w:r>
            <w:r w:rsidRPr="0028666F">
              <w:rPr>
                <w:rFonts w:ascii="Calibri" w:eastAsia="Times New Roman" w:hAnsi="Calibri" w:cs="Calibri"/>
                <w:color w:val="000000"/>
                <w:sz w:val="18"/>
                <w:szCs w:val="18"/>
                <w:lang w:eastAsia="pl-PL"/>
              </w:rPr>
              <w:br w:type="page"/>
              <w:t xml:space="preserve">• Gmina Zittau leży w obszarze leja depresji, który spowodował nieodwracalne obniżenia w skałach podłoża. Na granicy polsko-niemieckiej powstały obniżenia w podłożu skalnym o wysokości 1 m, które w kierunku zachodnim stopniowo zmniejszają się do 0 m. Utrzymujące się obniżenie poziomu wód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DE-2 Zittau-Görlitz, spowodowane wydobyciem w kopalni Turów, doprowadzi w najbliższych latach do dalszego osiadania skał podłoża i nie można wykluczyć, że spowoduje to szkody w nieruchomościach w Zittau. Według szacunków ekspertów, do roku 2044 na granicy osiadanie górotworu wyniesie 1,2 m. W centrum Zittau do roku 2044 osiadanie skał wyniesie 36 - 72 cm.  </w:t>
            </w:r>
            <w:r w:rsidRPr="0028666F">
              <w:rPr>
                <w:rFonts w:ascii="Calibri" w:eastAsia="Times New Roman" w:hAnsi="Calibri" w:cs="Calibri"/>
                <w:color w:val="000000"/>
                <w:sz w:val="18"/>
                <w:szCs w:val="18"/>
                <w:lang w:eastAsia="pl-PL"/>
              </w:rPr>
              <w:br w:type="page"/>
              <w:t>• W rzece Nysie Łużyckiej (w szczególności w jednolitych częściach wód powierzchniowych DESN_674-3, DESN_674-4 i DESN_674-5 ) regularnie wykrywa się znacznie podwyższone stężenia siarczanów  z powodu kwaśnego drenażu górniczego. Tendencja ta widoczna jest również w przypadku kadmu, uranu i niklu.   Ze względu na podwyższone stężenia, projekt IIaPGW dla MODO (mapa A13) prawidłowo klasyfikuje stan chemiczny ww. jednolitych części wód jako niezadowalający (tzn. poniżej dobrego). Jeżeli wydobycie będzie kontynuowane, nie należy się spodziewać osiągnięcia dobrego stanu chemicznego omawianych części wód do roku 2027. Tymczasem, zgodnie z Ramową Dyrektywą Wodną, dobry stan chemiczny powinien zostać osiągnięty nie później niż do 2027 roku.</w:t>
            </w:r>
            <w:r w:rsidRPr="0028666F">
              <w:rPr>
                <w:rFonts w:ascii="Calibri" w:eastAsia="Times New Roman" w:hAnsi="Calibri" w:cs="Calibri"/>
                <w:color w:val="000000"/>
                <w:sz w:val="18"/>
                <w:szCs w:val="18"/>
                <w:lang w:eastAsia="pl-PL"/>
              </w:rPr>
              <w:br w:type="page"/>
              <w:t xml:space="preserve">• Jest wysoce prawdopodobne, że górne poziomy wód podziemnych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t>
            </w:r>
            <w:r w:rsidRPr="0028666F">
              <w:rPr>
                <w:rFonts w:ascii="Calibri" w:eastAsia="Times New Roman" w:hAnsi="Calibri" w:cs="Calibri"/>
                <w:color w:val="000000"/>
                <w:sz w:val="18"/>
                <w:szCs w:val="18"/>
                <w:lang w:eastAsia="pl-PL"/>
              </w:rPr>
              <w:lastRenderedPageBreak/>
              <w:t>DESN_NE 2 Zittau-Görlitz, które są w kontakcie z wodami powierzchniowymi, są dotknięte kwaśnym drenażem górniczym w taki sam sposób jak rzeka Nysa Łużycka (zanieczyszczone siarczanami, niklem, uranem i kadmem). Niestety, w szerszym otoczeniu kopalni nie ma stacji monitorującej stan chemiczny wód podziemnych, która mogłaby zmierzyć dokładne wartości tego zanieczyszczenia. Błędem jest więc ocena stanu chemicznego omawianej części wód na mapie A15 w projekcie IIaPGW dla MODO jako dobrego.</w:t>
            </w:r>
            <w:r w:rsidRPr="0028666F">
              <w:rPr>
                <w:rFonts w:ascii="Calibri" w:eastAsia="Times New Roman" w:hAnsi="Calibri" w:cs="Calibri"/>
                <w:color w:val="000000"/>
                <w:sz w:val="18"/>
                <w:szCs w:val="18"/>
                <w:lang w:eastAsia="pl-PL"/>
              </w:rPr>
              <w:br w:type="page"/>
              <w:t xml:space="preserve">Spadek poziomu wód podziemnych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DE-2 Zittau-Görlitz na terenie Niemiec spowodowany przez KWB Turów jest również widoczny w otworach monitoringowych Zittau, 909A/85, GWL OU (50547579), Zittau, 903z/85, GWL ZiC (50547580), Zittau, 800/84, GWL ZiC (50547473), Zittau, 802/84, GWL ZiC (51547478), Zittau, 797A2/84, GWL ZiC (51547467), Zittau, P12z / 94, GWL OU (50557702), Zittau, P 14/94, GWL ZiC (51557704), Zittau, P 17/94, GWL ZU (51547708), Zittau, 532/83, GWL ZiB (51547388), Zittau, P 19 /94, GWL PGDZ (51547711), Zittau, P 19z/94, GWL ZiC (51547712), Zittau, P 19z2/94, GWL OU (51547713), i Zittau, 1149/85, GWL ZU (51547592).  </w:t>
            </w:r>
            <w:r w:rsidRPr="0028666F">
              <w:rPr>
                <w:rFonts w:ascii="Calibri" w:eastAsia="Times New Roman" w:hAnsi="Calibri" w:cs="Calibri"/>
                <w:color w:val="000000"/>
                <w:sz w:val="18"/>
                <w:szCs w:val="18"/>
                <w:lang w:eastAsia="pl-PL"/>
              </w:rPr>
              <w:br w:type="page"/>
              <w:t>Jak pokazuje wykres dostarczony przez Saksońską Agencję Środowiska, Rolnictwa i Geologii , poziom wód podziemnych w okolicach miasta Zittau obniżył się z powodu wydobycia o kilkadziesiąt metrów: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Podsumowując, w opinii Fundacji, biorąc pod uwagę powyższe, Projekt IIaPGW dla MODO należy uzupełnić o następujące informacje:</w:t>
            </w:r>
            <w:r w:rsidRPr="0028666F">
              <w:rPr>
                <w:rFonts w:ascii="Calibri" w:eastAsia="Times New Roman" w:hAnsi="Calibri" w:cs="Calibri"/>
                <w:color w:val="000000"/>
                <w:sz w:val="18"/>
                <w:szCs w:val="18"/>
                <w:lang w:eastAsia="pl-PL"/>
              </w:rPr>
              <w:br w:type="page"/>
              <w:t>• Ze względu na trwające wydobycie w KWB Turów istnieje ryzyko pogorszenia stanu ilościowego jednolitej części wód podziemnych DESN_NE 2 z dobrego na słaby w okresie planistycznym 2022 - 2027,</w:t>
            </w:r>
            <w:r w:rsidRPr="0028666F">
              <w:rPr>
                <w:rFonts w:ascii="Calibri" w:eastAsia="Times New Roman" w:hAnsi="Calibri" w:cs="Calibri"/>
                <w:color w:val="000000"/>
                <w:sz w:val="18"/>
                <w:szCs w:val="18"/>
                <w:lang w:eastAsia="pl-PL"/>
              </w:rPr>
              <w:br w:type="page"/>
              <w:t>• Słaby stan chemiczny jednolitych części wód powierzchniowych DESN_674-3, DESN_674-4 i DESN_674-5 (część rzeki Nysy Łużyckiej) spowodowany jest trwającą eksploatacją w KWB Turów,</w:t>
            </w:r>
            <w:r w:rsidRPr="0028666F">
              <w:rPr>
                <w:rFonts w:ascii="Calibri" w:eastAsia="Times New Roman" w:hAnsi="Calibri" w:cs="Calibri"/>
                <w:color w:val="000000"/>
                <w:sz w:val="18"/>
                <w:szCs w:val="18"/>
                <w:lang w:eastAsia="pl-PL"/>
              </w:rPr>
              <w:br w:type="page"/>
              <w:t>• Kontynuacja wydobycia w Turowie uniemożliwi osiągnięcie dobrego stanu chemicznego wód powierzchniowych DESN_674-3, DESN_674-4 i DESN_674-5 do 2027 roku,</w:t>
            </w:r>
            <w:r w:rsidRPr="0028666F">
              <w:rPr>
                <w:rFonts w:ascii="Calibri" w:eastAsia="Times New Roman" w:hAnsi="Calibri" w:cs="Calibri"/>
                <w:color w:val="000000"/>
                <w:sz w:val="18"/>
                <w:szCs w:val="18"/>
                <w:lang w:eastAsia="pl-PL"/>
              </w:rPr>
              <w:br w:type="page"/>
              <w:t xml:space="preserve">• Stan chemiczny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DESN_NE 2 Zittau-Görlitz należy ocenić jako słaby na mapie A15 w projekcie IIaPGW dla MODO. Słaby stan chemiczny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spowodowany jest kwaśnym drenażem górniczym wywołanym przez odwodnienie  KWB Turów.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2.3 Oddziaływania KWB Turów na terenie Rzeczpospolitej Polskiej</w:t>
            </w:r>
            <w:r w:rsidRPr="0028666F">
              <w:rPr>
                <w:rFonts w:ascii="Calibri" w:eastAsia="Times New Roman" w:hAnsi="Calibri" w:cs="Calibri"/>
                <w:color w:val="000000"/>
                <w:sz w:val="18"/>
                <w:szCs w:val="18"/>
                <w:lang w:eastAsia="pl-PL"/>
              </w:rPr>
              <w:br w:type="page"/>
              <w:t xml:space="preserve">Zgodnie z IIaPGW dla obszaru dorzecza Odry (opublikowanym 14.04.2021r), dla jednolitej części wód podziemnych PLGW6000105 przyznano derogację od celów środowiskowych na podstawie art. 4.5 Ramowej Dyrektywy Wodnej. Powodem ustanowienia odstępstwa jest słaby stan ilościowy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105, którego przyczynę wyjaśniono następująco: “...pobór odwodnieniowy górnictwa odkrywkowego powoduje przekroczenie zasobów. Obszar oddziaływania odwodnień górniczych obejmuje znaczny obszar całej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105, blisko połowę jej powierzchni, i jest udokumentowany lejami depresji. Problemy z nadmierną eksploatacją wód podziemnych w obrębie tej jednostki były wielokrotnie sygnalizowane. Zmiany odzwierciedlają również wahania zwierciadła w punktach monitoringowych.”</w:t>
            </w:r>
            <w:r w:rsidRPr="0028666F">
              <w:rPr>
                <w:rFonts w:ascii="Calibri" w:eastAsia="Times New Roman" w:hAnsi="Calibri" w:cs="Calibri"/>
                <w:color w:val="000000"/>
                <w:sz w:val="18"/>
                <w:szCs w:val="18"/>
                <w:lang w:eastAsia="pl-PL"/>
              </w:rPr>
              <w:br w:type="page"/>
              <w:t xml:space="preserve">Wyżej przywołana treść jasno wskazuje, że presje ze strony kopalni Turów na polskie jednolite części wód są udokumentowane i dobrze znane polskiej administracji oraz członkom polskiej delegacji w MKOO. Brak jednak szczegółowych charakterystyk </w:t>
            </w:r>
            <w:r w:rsidRPr="0028666F">
              <w:rPr>
                <w:rFonts w:ascii="Calibri" w:eastAsia="Times New Roman" w:hAnsi="Calibri" w:cs="Calibri"/>
                <w:color w:val="000000"/>
                <w:sz w:val="18"/>
                <w:szCs w:val="18"/>
                <w:lang w:eastAsia="pl-PL"/>
              </w:rPr>
              <w:lastRenderedPageBreak/>
              <w:t xml:space="preserve">tych presji, zarówno w projekcie IIaPGW dla MODO, jak i w krajowym projekcie IIaPGW dla dorzecza Odry. </w:t>
            </w:r>
            <w:r w:rsidRPr="0028666F">
              <w:rPr>
                <w:rFonts w:ascii="Calibri" w:eastAsia="Times New Roman" w:hAnsi="Calibri" w:cs="Calibri"/>
                <w:color w:val="000000"/>
                <w:sz w:val="18"/>
                <w:szCs w:val="18"/>
                <w:lang w:eastAsia="pl-PL"/>
              </w:rPr>
              <w:br w:type="page"/>
              <w:t xml:space="preserve">Jako uzasadnienie derogacji, mające dowieść jej zgodności z art. 4 Ramowej dyrektywy wodnej, w projekcie IIaPGW dla dorzecza Odry podano: “Potrzeby społeczno-ekonomiczne wpisują się w cele strategiczne „Polityki Energetycznej Polski do 2030 roku”, „Strategii Bezpieczeństwo Energetyczne i Środowisko”, „Krajowego planu na rzecz energii i klimatu na lata 2021-2030”, "Polityki ekologicznej państwa 2030 – strategii rozwoju w obszarze środowiska i gospodarki wodnej" oraz w założenia Polityki Surowcowej Polski. Brak wykonalnych i korzystniejszych alternatywnych rozwiązań wynika z analiz towarzyszących wykonaniu dokumentacji hydrogeologicznych, natomiast dopuszczalność dalszego poboru była i jest analizowana na etapie przeglądu pozwoleń wodnoprawnych”. </w:t>
            </w:r>
            <w:r w:rsidRPr="0028666F">
              <w:rPr>
                <w:rFonts w:ascii="Calibri" w:eastAsia="Times New Roman" w:hAnsi="Calibri" w:cs="Calibri"/>
                <w:color w:val="000000"/>
                <w:sz w:val="18"/>
                <w:szCs w:val="18"/>
                <w:lang w:eastAsia="pl-PL"/>
              </w:rPr>
              <w:br w:type="page"/>
              <w:t>Dokumenty wyróżnione pogrubieniem są na dzień 22.09.2021r nieaktualne, bądź - w przypadku Polityki surowcowej - nie zostały do dziś uchwalone, a tym samym nie mają mocy prawnej, ani nie stanowią racjonalnego argumentu za przyznaniem derogacji.</w:t>
            </w:r>
            <w:r w:rsidRPr="0028666F">
              <w:rPr>
                <w:rFonts w:ascii="Calibri" w:eastAsia="Times New Roman" w:hAnsi="Calibri" w:cs="Calibri"/>
                <w:color w:val="000000"/>
                <w:sz w:val="18"/>
                <w:szCs w:val="18"/>
                <w:lang w:eastAsia="pl-PL"/>
              </w:rPr>
              <w:br w:type="page"/>
              <w:t xml:space="preserve">Z kolei w projekcie IIaPGW dla MODO, str. 54, napisano: “W polskiej części MODO derogacje ze względu na brak możliwości technicznych, ekonomicznych czy społecznych dla osiągnięcia celów środowiskowych zostały wskazane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dla których uwarunkowania oddziaływań antropogenicznych wynikają głównie z obecności górnictwa podziemnego i odkrywkowego.  Z punktu widzenia braku technicznych i ekonomicznych możliwości przeprowadzenia działań, można wymienić: koszty zamykania kopalń, zagrożenie dla energetyki państwowej, niewspółmierne koszty działań naprawczych w stosunku do celów i czasu, w jakim się je osiągnie oraz ze względu na czynnik społeczny (wzrost stopy bezrobocia, naruszenie równowagi społecznej i kulturowej w regionach z często wielowiekową tradycją górniczą),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objęte takimi zagrożeniami zostały wyznaczone do derogacji w postaci mniej rygorystycznych celów środowiskowych w rozumieniu art. 4 ustęp 5 RDW do czasu istnienia przemysłu wydobywczego.”</w:t>
            </w:r>
            <w:r w:rsidRPr="0028666F">
              <w:rPr>
                <w:rFonts w:ascii="Calibri" w:eastAsia="Times New Roman" w:hAnsi="Calibri" w:cs="Calibri"/>
                <w:color w:val="000000"/>
                <w:sz w:val="18"/>
                <w:szCs w:val="18"/>
                <w:lang w:eastAsia="pl-PL"/>
              </w:rPr>
              <w:br w:type="page"/>
              <w:t xml:space="preserve">Powyższy zapis jasno wskazuje, że nie przeprowadzono rzetelnej analizy możliwości zakończenia presji górniczych na wody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105. Poprzestano jedynie na ogólnikowych odniesieniach do kosztów zamykania kopalń, bezpieczeństwa energetycznego i czynników społecznych. Tymczasem istnieją aktualne opracowania wskazujące wprost na brak potrzeby dalszego istnienia elektrowni Turów, do której kopalnia Turów dostarcza paliwo, w krajowym miksie energetycznym . Dalsze istnienie elektrowni i kopalni wiąże się z kosztami, związanymi m.in. z naprawami i utrzymaniem nowego bloku elektrowni oddanego do użytku w 2021r, modernizacją starych bloków, z kosztami emisji CO2 (EU-ETS), z kosztami zapobiegania i niwelowania skutków poważnych awarii takich jak osuwisko w 2016 roku, a w końcu z koniecznością ponoszenia kosztów działań minimalizujących negatywne oddziaływania na wody i środowisko po stronie czeskiej i niemieckiej, takich jak m.in. ściana przeciwfiltracyjna od pd-wsch strony kopalni. Kolejnym obciążeniem, tym razem dla budżetu Państwa, jest konieczność zapłaty kar wymierzonych przez Trybunał Sprawiedliwości Unii Europejskiej w związku z niezastosowaniem się Polski do wyroku TSUE z dnia 21.05.2021r, w wysokości 500 000 EUR dziennie licząc od 20.09.2021r. </w:t>
            </w:r>
            <w:r w:rsidRPr="0028666F">
              <w:rPr>
                <w:rFonts w:ascii="Calibri" w:eastAsia="Times New Roman" w:hAnsi="Calibri" w:cs="Calibri"/>
                <w:color w:val="000000"/>
                <w:sz w:val="18"/>
                <w:szCs w:val="18"/>
                <w:lang w:eastAsia="pl-PL"/>
              </w:rPr>
              <w:lastRenderedPageBreak/>
              <w:br w:type="page"/>
              <w:t>Powyższa lista nie obejmuje kosztów zewnętrznych, ponoszonych przez społeczeństwo i środowisko w związku z istnieniem i oddziaływaniami kopalni.  Z kolei wskazane w uzasadnieniu potrzeby społeczne, których wg autorów IIaPGW dla MODO i dla krajowego dorzecza Odry nie można zaspokoić w inny sposób, mogłyby z powodzeniem i z korzyścią dla mieszkańców powiatu zgorzeleckiego zostać zaspokojone z wykorzystaniem środków z Funduszu Sprawiedliwej Transformacji, gdyby podjęto jasną decyzję o zakończeniu działalności kompleksu energetycznego Turów maksymalnie do 2030 roku.</w:t>
            </w:r>
            <w:r w:rsidRPr="0028666F">
              <w:rPr>
                <w:rFonts w:ascii="Calibri" w:eastAsia="Times New Roman" w:hAnsi="Calibri" w:cs="Calibri"/>
                <w:color w:val="000000"/>
                <w:sz w:val="18"/>
                <w:szCs w:val="18"/>
                <w:lang w:eastAsia="pl-PL"/>
              </w:rPr>
              <w:br w:type="page"/>
              <w:t xml:space="preserve">Co więcej, w projektach IIaPGW dla MODO i dla krajowego dorzecza Odry nie zaplanowano żadnych środków minimalizujących oddziaływania kopalni Turów na polskie jednolite części wód - uznano najwidoczniej, że przyznana derogacja zwalnia z obowiązku podejmowania takich działań. Takie podejście jest niezgodne z zapisami art. 4 Ramowej dyrektywy wodnej. W świetle przytoczonych w niniejszym piśmie Fundacji oddziaływań kopalni na wody po czeskiej i niemieckiej stronie granicy, a także proponowanych działań mogących realnie ograniczyć skalę tych oddziaływań, tak niepełne i nierzetelne uzasadnienie przyznanej derogacji 4.5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105 jest rażąco niewystarczające i nie spełnia wymogów określonych w art. 4.5 RDW, tj. m.in.:</w:t>
            </w:r>
            <w:r w:rsidRPr="0028666F">
              <w:rPr>
                <w:rFonts w:ascii="Calibri" w:eastAsia="Times New Roman" w:hAnsi="Calibri" w:cs="Calibri"/>
                <w:color w:val="000000"/>
                <w:sz w:val="18"/>
                <w:szCs w:val="18"/>
                <w:lang w:eastAsia="pl-PL"/>
              </w:rPr>
              <w:br w:type="page"/>
              <w:t>“b) Państwa Członkowskie zapewniają, że: — dla wód podziemnych, zachodzą możliwie najmniejsze zmiany dobrego stanu wód podziemnych, przy wpływach, których nie można było racjonalnie uniknąć na skutek charakteru działalności człowieka czy zanieczyszczenia;</w:t>
            </w:r>
            <w:r w:rsidRPr="0028666F">
              <w:rPr>
                <w:rFonts w:ascii="Calibri" w:eastAsia="Times New Roman" w:hAnsi="Calibri" w:cs="Calibri"/>
                <w:color w:val="000000"/>
                <w:sz w:val="18"/>
                <w:szCs w:val="18"/>
                <w:lang w:eastAsia="pl-PL"/>
              </w:rPr>
              <w:br w:type="page"/>
              <w:t>c) nie zachodzi dalsze pogorszenie stanu części wód;</w:t>
            </w:r>
            <w:r w:rsidRPr="0028666F">
              <w:rPr>
                <w:rFonts w:ascii="Calibri" w:eastAsia="Times New Roman" w:hAnsi="Calibri" w:cs="Calibri"/>
                <w:color w:val="000000"/>
                <w:sz w:val="18"/>
                <w:szCs w:val="18"/>
                <w:lang w:eastAsia="pl-PL"/>
              </w:rPr>
              <w:br w:type="page"/>
              <w:t>d) ustalenie mniej rygorystycznych celów środowiskowych i powody ich ustalenia są szczegółowo wymienione w planie gospodarowania wodami w dorzeczu wymaganym na mocy art. 13, a cele te poddawane są kontroli co sześć lat.”</w:t>
            </w:r>
            <w:r w:rsidRPr="0028666F">
              <w:rPr>
                <w:rFonts w:ascii="Calibri" w:eastAsia="Times New Roman" w:hAnsi="Calibri" w:cs="Calibri"/>
                <w:color w:val="000000"/>
                <w:sz w:val="18"/>
                <w:szCs w:val="18"/>
                <w:lang w:eastAsia="pl-PL"/>
              </w:rPr>
              <w:br w:type="page"/>
              <w:t>Zgodnie z informacjami w Raporcie oddziaływania na środowisko dla przedsięwzięcia polegającego na kontynuacji wydobycia węgla brunatnego w kopalni Turów, a także z informacjami przytoczonymi w IIaPGW dla MODO oraz w niniejszym piśmie, w związku z rozbudową i przedłużeniem działalności kopalni negatywne oddziaływania na wody ulegną nasileniu, a tym samym stan ilościowy, chemiczny i ekologiczny oraz potencjał ekologiczny jednolitych części wód może ulec pogorszeniu. Jest to niezgodne z cytowanym powyżej art. 4 ust. 4 c) Ramowej dyrektywy wodnej. Warto również zauważyć, że wbrew przytoczonym zapisom IIaPGW, presje górnicze na wody nie ustaną z dniem zakończenia działalności kopalni. Będą trwały do czasu zniwelowania negatywnych skutków tej działalności, co z kolei wymagać będzie tym większych nakładów czasu i środków i  tym będzie trudniejsze do osiągnięcia, im później dojdzie do zamknięcia kopalni. W skrajnie niekorzystnym przypadku negatywne oddziaływania drenażu górniczego na stan chemiczny wód nigdy się nie zakończą i będą wymagały stałych działań minimalizujących.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Podsumowując, w opinii Fundacji, biorąc pod uwagę powyższe, Projekt IIaPGW dla MODO należy uzupełnić o następujące informacje: </w:t>
            </w:r>
            <w:r w:rsidRPr="0028666F">
              <w:rPr>
                <w:rFonts w:ascii="Calibri" w:eastAsia="Times New Roman" w:hAnsi="Calibri" w:cs="Calibri"/>
                <w:color w:val="000000"/>
                <w:sz w:val="18"/>
                <w:szCs w:val="18"/>
                <w:lang w:eastAsia="pl-PL"/>
              </w:rPr>
              <w:br w:type="page"/>
              <w:t xml:space="preserve">• Szczegółowa charakterystyka oddziaływań (presji) kopalni Turów na polskie jednolite części wód, z wyszczególnieniem rodzajów oddziaływań, ich dokładnej skali, zasięgu i czasu trwania, z podaniem listy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podlegajacych tym presjom, </w:t>
            </w:r>
            <w:r w:rsidRPr="0028666F">
              <w:rPr>
                <w:rFonts w:ascii="Calibri" w:eastAsia="Times New Roman" w:hAnsi="Calibri" w:cs="Calibri"/>
                <w:color w:val="000000"/>
                <w:sz w:val="18"/>
                <w:szCs w:val="18"/>
                <w:lang w:eastAsia="pl-PL"/>
              </w:rPr>
              <w:br w:type="page"/>
              <w:t xml:space="preserve">• Szczegółową analizę ekonomicznych, społecznych i technicznych uwarunkowań </w:t>
            </w:r>
            <w:r w:rsidRPr="0028666F">
              <w:rPr>
                <w:rFonts w:ascii="Calibri" w:eastAsia="Times New Roman" w:hAnsi="Calibri" w:cs="Calibri"/>
                <w:color w:val="000000"/>
                <w:sz w:val="18"/>
                <w:szCs w:val="18"/>
                <w:lang w:eastAsia="pl-PL"/>
              </w:rPr>
              <w:lastRenderedPageBreak/>
              <w:t xml:space="preserve">(włącznie z analizą porównawczą kosztów i korzyści kontynuacji wydobycia zgodnie z aktualnym planem w stosunku do alternatywnych rozwiązań), które wpływają na możliwość zapobieżenia dalszym negatywnym oddziaływaniom i zapobieżenia dalszemu pogarszaniu się stanu wód we wskazanych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ype="page"/>
              <w:t xml:space="preserve">• Uwzględnienie aktualnej sytuacji prawnej, w tym aktualnie obowiązujących przepisów UE (m.in. Europejskiego prawa o klimacie) oraz krajowych  </w:t>
            </w:r>
            <w:r w:rsidRPr="0028666F">
              <w:rPr>
                <w:rFonts w:ascii="Calibri" w:eastAsia="Times New Roman" w:hAnsi="Calibri" w:cs="Calibri"/>
                <w:color w:val="000000"/>
                <w:sz w:val="18"/>
                <w:szCs w:val="18"/>
                <w:lang w:eastAsia="pl-PL"/>
              </w:rPr>
              <w:br w:type="page"/>
              <w:t>• Szczegółowe wyjaśnienie w jaki sposób zapewnione zostanie niepogorszenie stanu jednolitych części wód, co jest przesłanką niezbędną aby możliwe było przyznanie derogacji od celów dla wód na podstawie art. 4.5 RDW.</w:t>
            </w:r>
            <w:r w:rsidRPr="0028666F">
              <w:rPr>
                <w:rFonts w:ascii="Calibri" w:eastAsia="Times New Roman" w:hAnsi="Calibri" w:cs="Calibri"/>
                <w:color w:val="000000"/>
                <w:sz w:val="18"/>
                <w:szCs w:val="18"/>
                <w:lang w:eastAsia="pl-PL"/>
              </w:rPr>
              <w:br w:type="page"/>
              <w:t xml:space="preserve">• Przedstawienie programu działań zapobiegających negatywnym oddziaływaniom kopalni i łagodzących już istniejące negatywne oddziaływania na polskie wody podziemne powierzchniowe, na wzór działań proponowanych w niniejszym piśmie dla czeskich i niemieckich jednolitych części wód.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3. Propozycja działań łagodzących negatywne oddziaływania KWB Turów na Międzynarodowe dorzecze Odry</w:t>
            </w:r>
            <w:r w:rsidRPr="0028666F">
              <w:rPr>
                <w:rFonts w:ascii="Calibri" w:eastAsia="Times New Roman" w:hAnsi="Calibri" w:cs="Calibri"/>
                <w:color w:val="000000"/>
                <w:sz w:val="18"/>
                <w:szCs w:val="18"/>
                <w:lang w:eastAsia="pl-PL"/>
              </w:rPr>
              <w:br w:type="page"/>
              <w:t xml:space="preserve">Zgodnie z art. 11 ust. 1 lit. c) RDW państwa członkowskie są zobowiązane do przyjęcia programów działań zapewniających dobry stan wszystkich jednolitych części wód w międzynarodowym obszarze dorzecza Odry. Chociaż państwa przyjmują większość programów środków niezależnie od siebie na poziomie krajowym, rozwiązywanie problemów o znaczeniu ponadregionalnym wymaga, aby MKOO wraz ze wszystkimi państwami przyjęły środki umożliwiające rozwiązanie danego problemu ponadregionalnego. Wskazano na to również w projekcie czeskiego Planu gospodarowania wodami na obszarze międzynarodowego dorzecza Odry, który mówi, że należy podjąć działania na szczeblu międzynarodowym w celu zaradzenia negatywnym skutkom kopalni Turów, ponieważ sama strona czeska nie ma na to środków (aby zapobiec dalszemu pogarszaniu się stanu ilościowego jednolitej części wód 14200). </w:t>
            </w:r>
            <w:r w:rsidRPr="0028666F">
              <w:rPr>
                <w:rFonts w:ascii="Calibri" w:eastAsia="Times New Roman" w:hAnsi="Calibri" w:cs="Calibri"/>
                <w:color w:val="000000"/>
                <w:sz w:val="18"/>
                <w:szCs w:val="18"/>
                <w:lang w:eastAsia="pl-PL"/>
              </w:rPr>
              <w:br w:type="page"/>
              <w:t xml:space="preserve">Te programy działań będą stanowić część Projektu IIaPGW dla MODO. Chociaż Projekt IIaPGW dla MODO wspomina, że „te środki mają priorytetowe znaczenie dla państw członkowskich MKOO, które koncentrują się na rozwiązywaniu głównych problemów związanych z gospodarką wodną o charakterze ponadregionalnym” (strona 72 Projektu IIaPGW dla MODO), Projekt IIaPGW dla MODO nie zawiera ani jednego programu działań służących rozwiązywaniu ponadregionalnych problemów związanych z negatywnymi oddziaływaniami wydobycia węgla brunatnego na jednolite części wód . W konsekwencji Projekt IIaPGW dla MODO narusza art. 11 ust. 1 lit. c RDW, ponieważ nie zawiera programów działań, które mogłyby zapobiec dalszemu pogarszaniu się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dotkniętych eksploatacją w KWB Turów.</w:t>
            </w:r>
            <w:r w:rsidRPr="0028666F">
              <w:rPr>
                <w:rFonts w:ascii="Calibri" w:eastAsia="Times New Roman" w:hAnsi="Calibri" w:cs="Calibri"/>
                <w:color w:val="000000"/>
                <w:sz w:val="18"/>
                <w:szCs w:val="18"/>
                <w:lang w:eastAsia="pl-PL"/>
              </w:rPr>
              <w:br w:type="page"/>
              <w:t>Aby uniknąć naruszenia przez MKOO art. 11 ust. 1 lit. c) RDW, Fundacja proponuje programy o charakterze międzynarodowym, których głównym celem jest przeciwdziałanie negatywnym wpływom KWB Turów na jednolite części wód na terytoriach Republiki Czeskiej i Niemiec oraz apeluje do MKOO o zakończenie obecnej sytuacji nieprawidłowej i uzupełnienie Projektu IIaPGW dla MODO o wymienione środki: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3. 1. Zakończenie wydobycia w KWB Turów do 2027 r.</w:t>
            </w:r>
            <w:r w:rsidRPr="0028666F">
              <w:rPr>
                <w:rFonts w:ascii="Calibri" w:eastAsia="Times New Roman" w:hAnsi="Calibri" w:cs="Calibri"/>
                <w:color w:val="000000"/>
                <w:sz w:val="18"/>
                <w:szCs w:val="18"/>
                <w:lang w:eastAsia="pl-PL"/>
              </w:rPr>
              <w:br w:type="page"/>
              <w:t xml:space="preserve">Projekt IIaPGW dla MODO stwierdza, że dopóki istnieje przemysł wydobywczy, nie można uniknąć stosowania wyjątków od osiągnięcia dobrego stanu dotkniętych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(strona 51 Projektu IIaPGW dla MODO). </w:t>
            </w:r>
            <w:r w:rsidRPr="0028666F">
              <w:rPr>
                <w:rFonts w:ascii="Calibri" w:eastAsia="Times New Roman" w:hAnsi="Calibri" w:cs="Calibri"/>
                <w:color w:val="000000"/>
                <w:sz w:val="18"/>
                <w:szCs w:val="18"/>
                <w:lang w:eastAsia="pl-PL"/>
              </w:rPr>
              <w:lastRenderedPageBreak/>
              <w:t xml:space="preserve">Jeśli chodzi o negatywne oddziaływania KWB Turów, fakt ten trafnie podsumowuje dokumentacja OOŚ: „racjonalnie uzasadnione działania, których celem jest osiągnięcie dobrego stanu tych jednolitych części wód, zostaną podjęte dopiero po zakończeniu wydobycia w Turowie, bo – mówiąc wprost – poprawa parametrów hydromorfologicznych jest kluczowa dla wód powierzchniowych, a zmniejszenie zużycia jest kluczowe dla wód podziemnych.”  </w:t>
            </w:r>
            <w:r w:rsidRPr="0028666F">
              <w:rPr>
                <w:rFonts w:ascii="Calibri" w:eastAsia="Times New Roman" w:hAnsi="Calibri" w:cs="Calibri"/>
                <w:color w:val="000000"/>
                <w:sz w:val="18"/>
                <w:szCs w:val="18"/>
                <w:lang w:eastAsia="pl-PL"/>
              </w:rPr>
              <w:br w:type="page"/>
              <w:t xml:space="preserve">Cel osiągnięcia dobrego stanu wszystkich jednolitych części wód powinien zostać osiągnięty najpóźniej do 2027 r. (art. 4 ust. 1 i art. 4 ust. 4 RDW). Jeżeli osiągnięcie dobrego stanu jednolitej części wód do 2027 r. jest niemożliwe ze względów ekonomicznych, stan ten nie powinien dalej się pogarszać (art. 4 ust. 5 lit. c) RDW). Fundacja zwraca uwagę, że kontynuowanie wydobycia węgla brunatnego w KWB Turów w zakresie określonym w dokumentacji OOŚ do 2044 r. uniemożliwi osiągnięcie dobrego stanu przedmiotowych jednolitych części wód lub zapobieżenie jego pogorszeniu. W konsekwencji projekt IIaPGW dla MODO narusza art. 4 RDW, ponieważ nie zawiera żadnych środków zapewniających osiągnięcie dobrego stanu przedmiotowych jednolitych części wód do 2027 r. lub zapobiegających jego dalszemu pogarszaniu. Aby uniknąć naruszenia przez MKOO art. 4 RDW, Fundacja żąda zakończenia wydobycia w KWB Turów do 2027 r. jako środka podstawowego, a w konsekwencji zalania wyrobiska lub zatrzymania odprowadzania wód podziemnych przez KWB Turów, co powoduje trwałe pogorszenie stanu wód, o których mowa. </w:t>
            </w:r>
            <w:r w:rsidRPr="0028666F">
              <w:rPr>
                <w:rFonts w:ascii="Calibri" w:eastAsia="Times New Roman" w:hAnsi="Calibri" w:cs="Calibri"/>
                <w:color w:val="000000"/>
                <w:sz w:val="18"/>
                <w:szCs w:val="18"/>
                <w:lang w:eastAsia="pl-PL"/>
              </w:rPr>
              <w:br w:type="page"/>
              <w:t>Jednocześnie Fundacja proponuje również inne, zapobiegawcze programy działań, które mogą przynajmniej doraźnie w znacznym stopniu złagodzić wspomniane problemy.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3. 2. Zapobieganie dalszemu spadkowi poziomu wód podziemnych na terenach Czech i Niemiec</w:t>
            </w:r>
            <w:r w:rsidRPr="0028666F">
              <w:rPr>
                <w:rFonts w:ascii="Calibri" w:eastAsia="Times New Roman" w:hAnsi="Calibri" w:cs="Calibri"/>
                <w:color w:val="000000"/>
                <w:sz w:val="18"/>
                <w:szCs w:val="18"/>
                <w:lang w:eastAsia="pl-PL"/>
              </w:rPr>
              <w:br w:type="page"/>
              <w:t>W 2019 roku Inwestor zaproponował budowę ekranu przeciwfiltracyjnego (podziemnej bariery hydraulicznej w międzywęglowej warstwie wodonośnej, tzw. „podziemna ściana”) w celu złagodzenia spadku poziomu wód podziemnych na terenach Czech i Niemiec. Idealnie powinien on służyć jako środek minimalizujący, aby złagodzić wspomniane powyżej negatywne oddziaływania na stosunki wodne w Czechach i Niemczech.  Zgodnie z decyzją OOŚ  podziemna ściana będzie miała długość 1100 m, wysokość 1 m, a głębokość min. 65 m w najwyższym punkcie i 117 m w najniższym punkcie. Przedsięwzięcie powinno być ukończone do 1 lutego 2023 r. Planowaną lokalizację podziemnej ściany zaznaczono na poniższym rysunku pogrubioną czerwoną linią (źródło: str. 48 dokumentacji OOŚ).</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Na powyższym rysunku widać wyraźnie, że lokalizacja podziemnej ściany jest całkowicie nieodpowiednia w odniesieniu do ochrony czeskich i niemieckich zasobów wod</w:t>
            </w:r>
          </w:p>
        </w:tc>
        <w:tc>
          <w:tcPr>
            <w:tcW w:w="2733" w:type="dxa"/>
            <w:tcBorders>
              <w:top w:val="nil"/>
              <w:left w:val="nil"/>
              <w:bottom w:val="single" w:sz="4" w:space="0" w:color="auto"/>
              <w:right w:val="single" w:sz="4" w:space="0" w:color="auto"/>
            </w:tcBorders>
            <w:shd w:val="clear" w:color="auto" w:fill="auto"/>
            <w:hideMark/>
          </w:tcPr>
          <w:p w14:paraId="6B633E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5968C1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22D9E3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19_RTON_IIaPGW_MODO</w:t>
            </w:r>
          </w:p>
        </w:tc>
        <w:tc>
          <w:tcPr>
            <w:tcW w:w="1014" w:type="dxa"/>
            <w:tcBorders>
              <w:top w:val="nil"/>
              <w:left w:val="nil"/>
              <w:bottom w:val="single" w:sz="4" w:space="0" w:color="auto"/>
              <w:right w:val="single" w:sz="4" w:space="0" w:color="auto"/>
            </w:tcBorders>
            <w:shd w:val="clear" w:color="auto" w:fill="auto"/>
            <w:hideMark/>
          </w:tcPr>
          <w:p w14:paraId="1C0262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285478F" w14:textId="69E770A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Wniesiona uwaga wraz z postulatami w niej zawartymi dotyczy bezpośrednio projektu drugiej aktualizacji Planu gospodarowania wodami w międzynarodowym dorzeczu Odry dotyczącego okresu planistycznego 2022-2027. </w:t>
            </w:r>
            <w:r w:rsidRPr="0028666F">
              <w:rPr>
                <w:rFonts w:ascii="Calibri" w:eastAsia="Times New Roman" w:hAnsi="Calibri" w:cs="Calibri"/>
                <w:color w:val="000000"/>
                <w:sz w:val="18"/>
                <w:szCs w:val="18"/>
                <w:lang w:eastAsia="pl-PL"/>
              </w:rPr>
              <w:lastRenderedPageBreak/>
              <w:t>Dokument został opublikowany i udostępniony na stronie internetowej Międzynarodowej Komisji Ochrony Odry przed Zanieczyszczeniami w ramach konsultacji społecznych. Zgodnie z informacjami zamieszczonymi na stronie [http://www.mkoo.pl/](http://www.mkoo.pl/index.php?mid=40&amp;aid=1117&amp;lang=PL) zainteresowani mieli możliwość składania uwag w terminie do dnia 22 września 2021 roku na adres Sekretariatu MKOOpZ (sekretariat@mkoo.pl) drogą elektroniczną za pośrednictwem maila lub też pisemnie drogą pocztową.</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Tym samym zgłoszone w ramach obecnie prowadzonych konsultacji projektów IIaPGW (dokument krajowy) postulaty dokonania zmian w treści projektu drugiej aktualizacji Planu gospodarowania wodami w międzynarodowym dorzeczu Odry nie mogą zostać uwzględnione, gdyż nie dotyczą bezpośrednio konsultowanego dokumentu tj. projektu IIaPGW dla obszaru dorzecza Odry.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Niemniej jednak odnosząc się do przywołanych w treści uwagi zagadnień wskazywanych w projekcie IIaPGW dla obszaru dorzecza Odry wskazać należy, iż:</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nr 105 (której dotyczy zgłoszona uwaga) charakteryzuje się stanem słabym ilościowym (z powodu poboru na cele odwodnieniowe wyrobisk górniczych). Tym samym cel środowiskowy nie został osiągnięty, a ponadto w wyniku przeprowadzonej oceny ryzyka podtrzymano zagrożenie w zakresie stanu ilościowego. Biorąc pod uwagę wyniki analizy presji oraz informacje na temat funkcjonowania kopalni (koncesja został przedłużona) na lata 2022-2027 zastosowano odstępstwo z tytułu art. 4.5 RDW, a cel środowiskowych został określony następująco : brak pogorszenia aktualnego stanu ilościowego (słaby stan ilościowy w zakresie bilansu wodnego). W zakresie stanu chemicznego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nie stwierdzono zagrożenia i nie zastosowano odstępstw.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Kryteria wykonalności technicznej i racjonalności kosztów są przedmiotem szerokich analiz związanych z opracowywaniem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w:t>
            </w:r>
            <w:r w:rsidRPr="0028666F">
              <w:rPr>
                <w:rFonts w:ascii="Calibri" w:eastAsia="Times New Roman" w:hAnsi="Calibri" w:cs="Calibri"/>
                <w:color w:val="000000"/>
                <w:sz w:val="18"/>
                <w:szCs w:val="18"/>
                <w:lang w:eastAsia="pl-PL"/>
              </w:rPr>
              <w:lastRenderedPageBreak/>
              <w:t xml:space="preserve">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nr 105 w zestawach działań IIaPGW zaproponowano szereg działań mających na celu ograniczenie dalszych negatywnych skutków prowadzonej działalności górniczej oraz ochronę ilościową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w tym m.in.:</w:t>
            </w:r>
            <w:r w:rsidRPr="0028666F">
              <w:rPr>
                <w:rFonts w:ascii="Calibri" w:eastAsia="Times New Roman" w:hAnsi="Calibri" w:cs="Calibri"/>
                <w:color w:val="000000"/>
                <w:sz w:val="18"/>
                <w:szCs w:val="18"/>
                <w:lang w:eastAsia="pl-PL"/>
              </w:rPr>
              <w:br w:type="page"/>
              <w:t>- Opracowanie programu monitorowania stanu wód podziemnych w rejonie prowadzonej działalności górniczej, obejmujące rozpoznanie warunków hydrodynamicznych w rejonie KWB Turów w celu oszacowania i określenia kierunków przepływów transgranicznych (opracowanie modelu numerycznego o zasięgu transgranicznym, rozwój sieci monitoringu).</w:t>
            </w:r>
            <w:r w:rsidRPr="0028666F">
              <w:rPr>
                <w:rFonts w:ascii="Calibri" w:eastAsia="Times New Roman" w:hAnsi="Calibri" w:cs="Calibri"/>
                <w:color w:val="000000"/>
                <w:sz w:val="18"/>
                <w:szCs w:val="18"/>
                <w:lang w:eastAsia="pl-PL"/>
              </w:rPr>
              <w:br w:type="page"/>
              <w:t>- Weryfikacja zasobów dyspozycyjnych wód podziemnych, obejmujące opracowanie dokumentacji hydrogeologicznej ustalającej zasoby dyspozycyjne (z uwzględnieniem odwodnień górniczych) dla obszaru zlewni górnej Nysy Łużyckiej i górnego Bobru.</w:t>
            </w:r>
            <w:r w:rsidRPr="0028666F">
              <w:rPr>
                <w:rFonts w:ascii="Calibri" w:eastAsia="Times New Roman" w:hAnsi="Calibri" w:cs="Calibri"/>
                <w:color w:val="000000"/>
                <w:sz w:val="18"/>
                <w:szCs w:val="18"/>
                <w:lang w:eastAsia="pl-PL"/>
              </w:rPr>
              <w:br w:type="page"/>
              <w:t>- Weryfikacja zasobów eksploatacyjnych ujęć wód podziemnych ustalonych na podstawie dokumentacji hydrogeologicznych wykonanych przed 2004 r., obejmujące wykonanie analizy obejmującej identyfikację ujęć wód podziemnych o zasobach eksploatacyjnych znacznie przekraczających średni rzeczywisty pobór w poprzednim cyklu planistycznym, złożenie wniosków o weryfikację zasobów eksploatacyjnych ujęć wód podziemnych w trybie wykonania dodatku do dokumentacji hydrogeologicznej, do właściwych organów administracji geologicznej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Dodatkowo podmiot prowadzący działalność górniczą jest zobowiązany prowadzić działania mające na celu obniżanie presji środowiskowej związanej z jej funkcjonowaniem. Działania te są określone w decyzji o środowiskowych uwarunkowania prowadzenia inwestycji.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Zagadnienie KWB Turów i presji występujących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będących w zasięgu oddziaływania jej funkcjonowania jest elementem uwzględnionym w projekcie IIaPGW dla obszaru dorzecza Odry.</w:t>
            </w:r>
          </w:p>
        </w:tc>
      </w:tr>
      <w:tr w:rsidR="007C2B40" w:rsidRPr="0028666F" w14:paraId="75FF54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6A2CE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20</w:t>
            </w:r>
          </w:p>
        </w:tc>
        <w:tc>
          <w:tcPr>
            <w:tcW w:w="970" w:type="dxa"/>
            <w:tcBorders>
              <w:top w:val="nil"/>
              <w:left w:val="nil"/>
              <w:bottom w:val="single" w:sz="4" w:space="0" w:color="auto"/>
              <w:right w:val="nil"/>
            </w:tcBorders>
          </w:tcPr>
          <w:p w14:paraId="3E49369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Kalisza</w:t>
            </w:r>
          </w:p>
        </w:tc>
        <w:tc>
          <w:tcPr>
            <w:tcW w:w="165" w:type="dxa"/>
            <w:tcBorders>
              <w:top w:val="nil"/>
              <w:left w:val="nil"/>
              <w:bottom w:val="single" w:sz="4" w:space="0" w:color="auto"/>
              <w:right w:val="single" w:sz="4" w:space="0" w:color="auto"/>
            </w:tcBorders>
            <w:shd w:val="clear" w:color="auto" w:fill="auto"/>
          </w:tcPr>
          <w:p w14:paraId="19C114A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433A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7124E1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Brak inwestycji związanych z gospodarką wodną dla cieków Piwonia i Krępica w Kali</w:t>
            </w:r>
            <w:r w:rsidRPr="0028666F">
              <w:rPr>
                <w:rFonts w:ascii="Calibri" w:eastAsia="Times New Roman" w:hAnsi="Calibri" w:cs="Calibri"/>
                <w:color w:val="000000"/>
                <w:sz w:val="18"/>
                <w:szCs w:val="18"/>
                <w:lang w:eastAsia="pl-PL"/>
              </w:rPr>
              <w:softHyphen/>
              <w:t>szu, w woj. wielkopolskim.</w:t>
            </w:r>
          </w:p>
        </w:tc>
        <w:tc>
          <w:tcPr>
            <w:tcW w:w="2733" w:type="dxa"/>
            <w:tcBorders>
              <w:top w:val="nil"/>
              <w:left w:val="nil"/>
              <w:bottom w:val="single" w:sz="4" w:space="0" w:color="auto"/>
              <w:right w:val="single" w:sz="4" w:space="0" w:color="auto"/>
            </w:tcBorders>
            <w:shd w:val="clear" w:color="auto" w:fill="auto"/>
            <w:hideMark/>
          </w:tcPr>
          <w:p w14:paraId="2EE15D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Prosimy o dopisanie do planu inwestycji, o których mowa w treści uwagi, tj.:</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2) regulacji cieku Krępica na odcinku od Biskupic do rzeki Prosny.</w:t>
            </w:r>
          </w:p>
        </w:tc>
        <w:tc>
          <w:tcPr>
            <w:tcW w:w="3009" w:type="dxa"/>
            <w:tcBorders>
              <w:top w:val="nil"/>
              <w:left w:val="nil"/>
              <w:bottom w:val="single" w:sz="4" w:space="0" w:color="auto"/>
              <w:right w:val="single" w:sz="4" w:space="0" w:color="auto"/>
            </w:tcBorders>
            <w:shd w:val="clear" w:color="auto" w:fill="auto"/>
            <w:hideMark/>
          </w:tcPr>
          <w:p w14:paraId="16C9825A" w14:textId="48F96AA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specustawy powodziowej Miasto Kalisz procedowało opracowanie dokumentacji projektowych dla:</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2) regulacji cieku Krępica na odcinku od Biskupic do rzeki Prosny.</w:t>
            </w:r>
            <w:r w:rsidRPr="0028666F">
              <w:rPr>
                <w:rFonts w:ascii="Calibri" w:eastAsia="Times New Roman" w:hAnsi="Calibri" w:cs="Calibri"/>
                <w:color w:val="000000"/>
                <w:sz w:val="18"/>
                <w:szCs w:val="18"/>
                <w:lang w:eastAsia="pl-PL"/>
              </w:rPr>
              <w:br/>
              <w:t xml:space="preserve">W chwili obecnej Miasto Kalisz dysponuje kompletną dokumentacją projektową dla regulacji cieku Piwonia </w:t>
            </w:r>
            <w:r w:rsidRPr="0028666F">
              <w:rPr>
                <w:rFonts w:ascii="Calibri" w:eastAsia="Times New Roman" w:hAnsi="Calibri" w:cs="Calibri"/>
                <w:color w:val="000000"/>
                <w:sz w:val="18"/>
                <w:szCs w:val="18"/>
                <w:lang w:eastAsia="pl-PL"/>
              </w:rPr>
              <w:lastRenderedPageBreak/>
              <w:t>wraz z niezbędnymi decyzjami i uzgodnieniami za wyjątkiem decyzji o pozwoleniu na realizację inwestycji.</w:t>
            </w:r>
            <w:r w:rsidRPr="0028666F">
              <w:rPr>
                <w:rFonts w:ascii="Calibri" w:eastAsia="Times New Roman" w:hAnsi="Calibri" w:cs="Calibri"/>
                <w:color w:val="000000"/>
                <w:sz w:val="18"/>
                <w:szCs w:val="18"/>
                <w:lang w:eastAsia="pl-PL"/>
              </w:rPr>
              <w:br/>
              <w:t>Opracowywanie dokumentacji projektowej dla regulacji cieku Krępica Miasto Kalisz zakończyło na opracowaniu projektu budowlanego oraz uzyskaniu decyzji o środowiskowych uwarunkowaniach realizacji inwestycji i decyzji pozwolenia wodnopraw</w:t>
            </w:r>
            <w:r w:rsidRPr="0028666F">
              <w:rPr>
                <w:rFonts w:ascii="Calibri" w:eastAsia="Times New Roman" w:hAnsi="Calibri" w:cs="Calibri"/>
                <w:color w:val="000000"/>
                <w:sz w:val="18"/>
                <w:szCs w:val="18"/>
                <w:lang w:eastAsia="pl-PL"/>
              </w:rPr>
              <w:softHyphen/>
              <w:t xml:space="preserve"> 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 cieku Piwonia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RW60001718456.</w:t>
            </w:r>
            <w:r w:rsidRPr="0028666F">
              <w:rPr>
                <w:rFonts w:ascii="Calibri" w:eastAsia="Times New Roman" w:hAnsi="Calibri" w:cs="Calibri"/>
                <w:color w:val="000000"/>
                <w:sz w:val="18"/>
                <w:szCs w:val="18"/>
                <w:lang w:eastAsia="pl-PL"/>
              </w:rPr>
              <w:br/>
              <w:t>Planowana inwestycja zlokalizowana jest w miejscowości Kalisz-miasto na prawach powiatu.</w:t>
            </w:r>
            <w:r w:rsidRPr="0028666F">
              <w:rPr>
                <w:rFonts w:ascii="Calibri" w:eastAsia="Times New Roman" w:hAnsi="Calibri" w:cs="Calibri"/>
                <w:color w:val="000000"/>
                <w:sz w:val="18"/>
                <w:szCs w:val="18"/>
                <w:lang w:eastAsia="pl-PL"/>
              </w:rPr>
              <w:br/>
              <w:t>Zakres przedmiotowego projektu obejmuje:</w:t>
            </w:r>
            <w:r w:rsidRPr="0028666F">
              <w:rPr>
                <w:rFonts w:ascii="Calibri" w:eastAsia="Times New Roman" w:hAnsi="Calibri" w:cs="Calibri"/>
                <w:color w:val="000000"/>
                <w:sz w:val="18"/>
                <w:szCs w:val="18"/>
                <w:lang w:eastAsia="pl-PL"/>
              </w:rPr>
              <w:br/>
              <w:t>- regulację cieku Piwonia na długości 6,5km wraz z przebudową 44 przepustów oraz budową umocnień brzegowych w postaci kiszki faszynowej oraz narzutu kamiennego,</w:t>
            </w:r>
            <w:r w:rsidRPr="0028666F">
              <w:rPr>
                <w:rFonts w:ascii="Calibri" w:eastAsia="Times New Roman" w:hAnsi="Calibri" w:cs="Calibri"/>
                <w:color w:val="000000"/>
                <w:sz w:val="18"/>
                <w:szCs w:val="18"/>
                <w:lang w:eastAsia="pl-PL"/>
              </w:rPr>
              <w:br/>
              <w:t>- regulację dopływu cieku Piwonia wraz z budową umocnień brzegowych w postaci kiszki faszynowej na długości ok. 465m,</w:t>
            </w:r>
            <w:r w:rsidRPr="0028666F">
              <w:rPr>
                <w:rFonts w:ascii="Calibri" w:eastAsia="Times New Roman" w:hAnsi="Calibri" w:cs="Calibri"/>
                <w:color w:val="000000"/>
                <w:sz w:val="18"/>
                <w:szCs w:val="18"/>
                <w:lang w:eastAsia="pl-PL"/>
              </w:rPr>
              <w:br/>
              <w:t>- budowę dwóch suchych zbiorników dla chwilowego regulowania natężeń przepływu wód deszczowych</w:t>
            </w:r>
            <w:r w:rsidRPr="0028666F">
              <w:rPr>
                <w:rFonts w:ascii="Calibri" w:eastAsia="Times New Roman" w:hAnsi="Calibri" w:cs="Calibri"/>
                <w:color w:val="000000"/>
                <w:sz w:val="18"/>
                <w:szCs w:val="18"/>
                <w:lang w:eastAsia="pl-PL"/>
              </w:rPr>
              <w:br/>
              <w:t>- przebudowę istniejących sieci kolidujących z planowaną inwestycją,</w:t>
            </w:r>
            <w:r w:rsidRPr="0028666F">
              <w:rPr>
                <w:rFonts w:ascii="Calibri" w:eastAsia="Times New Roman" w:hAnsi="Calibri" w:cs="Calibri"/>
                <w:color w:val="000000"/>
                <w:sz w:val="18"/>
                <w:szCs w:val="18"/>
                <w:lang w:eastAsia="pl-PL"/>
              </w:rPr>
              <w:br/>
              <w:t>- przebudowę istniejących stawów przylegających do koryta cieku Piwonia.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internetowym systemie ISOK nie uwzględniono terenu inwestycji jako obszar objęty ryzykiem powodziowym. Mapy ryzyka powodziowego oraz mapy zagrożenia powodziowego wskazują na ryzyko powodzi jedynie na rzece Prośnie, jednak po analizie stanu faktycznego oraz apeli mieszkańców kierowanych do Urzędu Miasta Kalisza o pomoc w zabezpieczeniu ich mienia przed ciągłymi podtopieniami stwierdzono, iż mapy zagrożenia powodziowego nie uwzględniają takich czynników jak: zamulenie, zawężenie koryta cieku, źle przepusty, mostki. Nie uwzględnienie tych czynników daje błędny obraz o zagrożeniu powodziowym na cieku Piwonia.</w:t>
            </w:r>
            <w:r w:rsidRPr="0028666F">
              <w:rPr>
                <w:rFonts w:ascii="Calibri" w:eastAsia="Times New Roman" w:hAnsi="Calibri" w:cs="Calibri"/>
                <w:color w:val="000000"/>
                <w:sz w:val="18"/>
                <w:szCs w:val="18"/>
                <w:lang w:eastAsia="pl-PL"/>
              </w:rPr>
              <w:br/>
              <w:t xml:space="preserve">Ciek Piwonia został ujęty w załączniku </w:t>
            </w:r>
            <w:r w:rsidRPr="0028666F">
              <w:rPr>
                <w:rFonts w:ascii="Calibri" w:eastAsia="Times New Roman" w:hAnsi="Calibri" w:cs="Calibri"/>
                <w:color w:val="000000"/>
                <w:sz w:val="18"/>
                <w:szCs w:val="18"/>
                <w:lang w:eastAsia="pl-PL"/>
              </w:rPr>
              <w:lastRenderedPageBreak/>
              <w:t>nr 2 do Rozporządzenia Regionalnego Zarządu Gospodarki Wodnej z dnia 16.12.2016r. jako odcinek śródlądowych wód powierzchniowych, w obrębie których występuje zagrożenie dla swobodnego przepływu wód oraz spływu lodów.</w:t>
            </w:r>
            <w:r w:rsidRPr="0028666F">
              <w:rPr>
                <w:rFonts w:ascii="Calibri" w:eastAsia="Times New Roman" w:hAnsi="Calibri" w:cs="Calibri"/>
                <w:color w:val="000000"/>
                <w:sz w:val="18"/>
                <w:szCs w:val="18"/>
                <w:lang w:eastAsia="pl-PL"/>
              </w:rPr>
              <w:br/>
              <w:t>Ciek Piwonia początkowo był odbiornikiem wód ze zlewni rolniczej. Jego wymiary i przepustowość odpowiadały spływom z terenów naturalnych. Rolniczy charakter zlewni pozwalał na okresowe podtopienia (zalania) terenów przyległych bez strat mienia oraz narażania zdrowia i życia ludzkiego. Obecnie charakter zlewni uległ całkowitemu przekształceniu. Zlewnia cieku Piwonia jest prawie całkowicie zurbanizowana, a domy mieszkalne zlokalizowane są w bezpośrednim sąsiedztwie koryta cieku. Dopływ wód opadowych i roztopowych do cieku Piwonia uległ zwiększeniu i nadal będzie wzrastać, ze strugi rolniczej ciek stał się odbiornikiem wód opadowych. Przy wysokich stanach wód w cieku posesje zlokalizowane w bezpośrednim sąsiedz</w:t>
            </w:r>
            <w:r w:rsidRPr="0028666F">
              <w:rPr>
                <w:rFonts w:ascii="Calibri" w:eastAsia="Times New Roman" w:hAnsi="Calibri" w:cs="Calibri"/>
                <w:color w:val="000000"/>
                <w:sz w:val="18"/>
                <w:szCs w:val="18"/>
                <w:lang w:eastAsia="pl-PL"/>
              </w:rPr>
              <w:softHyphen/>
              <w:t xml:space="preserve"> twie regularnie są zalewane.</w:t>
            </w:r>
            <w:r w:rsidRPr="0028666F">
              <w:rPr>
                <w:rFonts w:ascii="Calibri" w:eastAsia="Times New Roman" w:hAnsi="Calibri" w:cs="Calibri"/>
                <w:color w:val="000000"/>
                <w:sz w:val="18"/>
                <w:szCs w:val="18"/>
                <w:lang w:eastAsia="pl-PL"/>
              </w:rPr>
              <w:br/>
              <w:t>Od czasu intensywnej urbanizacji zlewni mają miejsce liczne podtopienia i powodzie.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Przedmiotowa inwestycja umożliwi odpowiednie skierowanie wód zlewni do zbiorników retencyjnych, które przechwycą falę powodziową i tym samym posłużą również ochronie przeciwpowodziowej rzeki Prosny.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 cieku Krępica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RW60001718474</w:t>
            </w:r>
            <w:r w:rsidRPr="0028666F">
              <w:rPr>
                <w:rFonts w:ascii="Calibri" w:eastAsia="Times New Roman" w:hAnsi="Calibri" w:cs="Calibri"/>
                <w:color w:val="000000"/>
                <w:sz w:val="18"/>
                <w:szCs w:val="18"/>
                <w:lang w:eastAsia="pl-PL"/>
              </w:rPr>
              <w:br/>
              <w:t>Przedmiotowa inwestycja obejmuje regulację cieku naturalnego Krępica na odcinku od m. Biskupice do ujścia do rzeki Prosny.</w:t>
            </w:r>
            <w:r w:rsidRPr="0028666F">
              <w:rPr>
                <w:rFonts w:ascii="Calibri" w:eastAsia="Times New Roman" w:hAnsi="Calibri" w:cs="Calibri"/>
                <w:color w:val="000000"/>
                <w:sz w:val="18"/>
                <w:szCs w:val="18"/>
                <w:lang w:eastAsia="pl-PL"/>
              </w:rPr>
              <w:br/>
              <w:t>Przedsięwzięcie zlokalizowane jest w północno-zachodniej części miasta Kalisza i rozciąga się wzdłuż biegu naturalnego rzeki Krępicy od jej ujścia do rzeki Prosny aż po granice miasta z wsią Biskupice.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Całkowita powierzchnia zlewni cieku Krępica wynosi 17,96km2 z czego 67% to tereny zabudowane i przeznaczone </w:t>
            </w:r>
            <w:r w:rsidRPr="0028666F">
              <w:rPr>
                <w:rFonts w:ascii="Calibri" w:eastAsia="Times New Roman" w:hAnsi="Calibri" w:cs="Calibri"/>
                <w:color w:val="000000"/>
                <w:sz w:val="18"/>
                <w:szCs w:val="18"/>
                <w:lang w:eastAsia="pl-PL"/>
              </w:rPr>
              <w:lastRenderedPageBreak/>
              <w:t>pod zabudowę. W okresie występowania deszczy nawalnych w korycie cieku często występowały niekontrolowane wezbrania, a w jego dolnym biegu występowało realne zagrożenie powodziowe gdyż tereny najni</w:t>
            </w:r>
            <w:r w:rsidRPr="0028666F">
              <w:rPr>
                <w:rFonts w:ascii="Calibri" w:eastAsia="Times New Roman" w:hAnsi="Calibri" w:cs="Calibri"/>
                <w:color w:val="000000"/>
                <w:sz w:val="18"/>
                <w:szCs w:val="18"/>
                <w:lang w:eastAsia="pl-PL"/>
              </w:rPr>
              <w:softHyphen/>
              <w:t xml:space="preserve"> żej położone zostawały niejednokrotnie zalewane.</w:t>
            </w:r>
            <w:r w:rsidRPr="0028666F">
              <w:rPr>
                <w:rFonts w:ascii="Calibri" w:eastAsia="Times New Roman" w:hAnsi="Calibri" w:cs="Calibri"/>
                <w:color w:val="000000"/>
                <w:sz w:val="18"/>
                <w:szCs w:val="18"/>
                <w:lang w:eastAsia="pl-PL"/>
              </w:rPr>
              <w:br/>
              <w:t>W celu zapewnienia bezpieczeństwa przeciwpowodziowego w ramach inwestycji zaprojektowano regulację spadków podłużnych cieku, w tym m.in. poprzez budowę progów wodnych. W związku z brakiem możliwości racjonalnej rozbudowy koryta zachodzi konieczność budowy trzech suchych zbiorników przeciwpowodziowych pełniących funkcje urządzeń retencyjno-opóźniających przepływ w korycie. Zaprojektowane zbiorniki maja za zadanie zmagazynowanie fali uderzeniowej deszczu na</w:t>
            </w:r>
            <w:r w:rsidRPr="0028666F">
              <w:rPr>
                <w:rFonts w:ascii="Calibri" w:eastAsia="Times New Roman" w:hAnsi="Calibri" w:cs="Calibri"/>
                <w:color w:val="000000"/>
                <w:sz w:val="18"/>
                <w:szCs w:val="18"/>
                <w:lang w:eastAsia="pl-PL"/>
              </w:rPr>
              <w:softHyphen/>
              <w:t>walnego i zapobiegnięcie niekontrolowanym wezbraniom wody w korycie co pozytywnie wpłynie na przepływu w korycie rzeki Prosny i rozłoży odpływ w jej korycie.</w:t>
            </w:r>
            <w:r w:rsidRPr="0028666F">
              <w:rPr>
                <w:rFonts w:ascii="Calibri" w:eastAsia="Times New Roman" w:hAnsi="Calibri" w:cs="Calibri"/>
                <w:color w:val="000000"/>
                <w:sz w:val="18"/>
                <w:szCs w:val="18"/>
                <w:lang w:eastAsia="pl-PL"/>
              </w:rPr>
              <w:br/>
              <w:t>Głównym założeniem inwestycji jest ochrona przeciwpowodziowa terenów dolnej części zlewni cieku Krępica i ochrona takich osiedli jak Korczak oraz Ogrody przed zalewaniem</w:t>
            </w:r>
          </w:p>
        </w:tc>
        <w:tc>
          <w:tcPr>
            <w:tcW w:w="1720" w:type="dxa"/>
            <w:tcBorders>
              <w:top w:val="nil"/>
              <w:left w:val="nil"/>
              <w:bottom w:val="single" w:sz="4" w:space="0" w:color="auto"/>
              <w:right w:val="single" w:sz="4" w:space="0" w:color="auto"/>
            </w:tcBorders>
            <w:shd w:val="clear" w:color="000000" w:fill="FFFFFF"/>
            <w:hideMark/>
          </w:tcPr>
          <w:p w14:paraId="4B9A7E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20-21_UM_Kalisz</w:t>
            </w:r>
          </w:p>
        </w:tc>
        <w:tc>
          <w:tcPr>
            <w:tcW w:w="1014" w:type="dxa"/>
            <w:tcBorders>
              <w:top w:val="nil"/>
              <w:left w:val="nil"/>
              <w:bottom w:val="single" w:sz="4" w:space="0" w:color="auto"/>
              <w:right w:val="single" w:sz="4" w:space="0" w:color="auto"/>
            </w:tcBorders>
            <w:shd w:val="clear" w:color="auto" w:fill="auto"/>
            <w:hideMark/>
          </w:tcPr>
          <w:p w14:paraId="00E769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8B8D6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Wykazie Inwestycji i Działań znajdują się przedsięwzięcia, którym 1) odstępstwo 4.7 przypisano w poprzednim PGW oraz/lub 2) uzyskały decyzję wydaną z zastosowaniem art. 68 ust. 1,3 i 4 ustawy Prawo wodne.</w:t>
            </w:r>
          </w:p>
        </w:tc>
      </w:tr>
      <w:tr w:rsidR="007C2B40" w:rsidRPr="0028666F" w14:paraId="4266445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5D5B9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21</w:t>
            </w:r>
          </w:p>
        </w:tc>
        <w:tc>
          <w:tcPr>
            <w:tcW w:w="970" w:type="dxa"/>
            <w:tcBorders>
              <w:top w:val="nil"/>
              <w:left w:val="nil"/>
              <w:bottom w:val="single" w:sz="4" w:space="0" w:color="auto"/>
              <w:right w:val="nil"/>
            </w:tcBorders>
          </w:tcPr>
          <w:p w14:paraId="1B9024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Kalisza</w:t>
            </w:r>
          </w:p>
        </w:tc>
        <w:tc>
          <w:tcPr>
            <w:tcW w:w="165" w:type="dxa"/>
            <w:tcBorders>
              <w:top w:val="nil"/>
              <w:left w:val="nil"/>
              <w:bottom w:val="single" w:sz="4" w:space="0" w:color="auto"/>
              <w:right w:val="single" w:sz="4" w:space="0" w:color="auto"/>
            </w:tcBorders>
            <w:shd w:val="clear" w:color="auto" w:fill="auto"/>
          </w:tcPr>
          <w:p w14:paraId="03C3B8E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69A2A6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63595D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inwestycji związanych z gospodarką wodną dla cieków Piwonia i Krępica w Kaliszu, w woj. wielkopolskim. </w:t>
            </w:r>
            <w:r w:rsidRPr="0028666F">
              <w:rPr>
                <w:rFonts w:ascii="Calibri" w:eastAsia="Times New Roman" w:hAnsi="Calibri" w:cs="Calibri"/>
                <w:color w:val="000000"/>
                <w:sz w:val="18"/>
                <w:szCs w:val="18"/>
                <w:lang w:eastAsia="pl-PL"/>
              </w:rPr>
              <w:br/>
              <w:t>(Uwaga przekazana za pośrednictwem RZGW w Poznaniu)</w:t>
            </w:r>
          </w:p>
        </w:tc>
        <w:tc>
          <w:tcPr>
            <w:tcW w:w="2733" w:type="dxa"/>
            <w:tcBorders>
              <w:top w:val="nil"/>
              <w:left w:val="nil"/>
              <w:bottom w:val="single" w:sz="4" w:space="0" w:color="auto"/>
              <w:right w:val="single" w:sz="4" w:space="0" w:color="auto"/>
            </w:tcBorders>
            <w:shd w:val="clear" w:color="auto" w:fill="auto"/>
            <w:hideMark/>
          </w:tcPr>
          <w:p w14:paraId="766F63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Prosimy o dopisanie do planu inwestycji, o których mowa w treści uwagi, tj.:</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 xml:space="preserve">2) regulacji cieku Krępica na odcinku od Biskupic do rzeki Prosny. </w:t>
            </w:r>
          </w:p>
        </w:tc>
        <w:tc>
          <w:tcPr>
            <w:tcW w:w="3009" w:type="dxa"/>
            <w:tcBorders>
              <w:top w:val="nil"/>
              <w:left w:val="nil"/>
              <w:bottom w:val="single" w:sz="4" w:space="0" w:color="auto"/>
              <w:right w:val="single" w:sz="4" w:space="0" w:color="auto"/>
            </w:tcBorders>
            <w:shd w:val="clear" w:color="auto" w:fill="auto"/>
            <w:hideMark/>
          </w:tcPr>
          <w:p w14:paraId="2A3B8A10" w14:textId="070C8BD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specustawy powodziowej Miasto Kalisz procedowało opracowanie dokumentacji projektowych dla:</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2) regulacji cieku Krępica na odcinku od Biskupic do rzeki Prosny.</w:t>
            </w:r>
            <w:r w:rsidRPr="0028666F">
              <w:rPr>
                <w:rFonts w:ascii="Calibri" w:eastAsia="Times New Roman" w:hAnsi="Calibri" w:cs="Calibri"/>
                <w:color w:val="000000"/>
                <w:sz w:val="18"/>
                <w:szCs w:val="18"/>
                <w:lang w:eastAsia="pl-PL"/>
              </w:rPr>
              <w:br/>
              <w:t>W chwili obecnej Miasto Kalisz dysponuje kompletną dokumentacją projektową dla regulacji cieku Piwonia wraz z niezbędnymi decyzjami i uzgodnieniami za wyjątkiem decyzji o pozwoleniu na realizację inwestycji.</w:t>
            </w:r>
            <w:r w:rsidRPr="0028666F">
              <w:rPr>
                <w:rFonts w:ascii="Calibri" w:eastAsia="Times New Roman" w:hAnsi="Calibri" w:cs="Calibri"/>
                <w:color w:val="000000"/>
                <w:sz w:val="18"/>
                <w:szCs w:val="18"/>
                <w:lang w:eastAsia="pl-PL"/>
              </w:rPr>
              <w:br/>
              <w:t>Opracowywanie dokumentacji projektowej dla regulacji cieku Krępica Miasto Kalisz zakończyło na opracowaniu projektu budowlanego oraz uzyskaniu decyzji o środowiskowych uwarunkowaniach realizacji inwestycji i decyzji pozwolenia wodnoprawnego.</w:t>
            </w:r>
            <w:r w:rsidRPr="0028666F">
              <w:rPr>
                <w:rFonts w:ascii="Calibri" w:eastAsia="Times New Roman" w:hAnsi="Calibri" w:cs="Calibri"/>
                <w:color w:val="000000"/>
                <w:sz w:val="18"/>
                <w:szCs w:val="18"/>
                <w:lang w:eastAsia="pl-PL"/>
              </w:rPr>
              <w:br/>
              <w:t xml:space="preserve">Dot. cieku Piwonia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lastRenderedPageBreak/>
              <w:t>RW60001718456.</w:t>
            </w:r>
            <w:r w:rsidRPr="0028666F">
              <w:rPr>
                <w:rFonts w:ascii="Calibri" w:eastAsia="Times New Roman" w:hAnsi="Calibri" w:cs="Calibri"/>
                <w:color w:val="000000"/>
                <w:sz w:val="18"/>
                <w:szCs w:val="18"/>
                <w:lang w:eastAsia="pl-PL"/>
              </w:rPr>
              <w:br/>
              <w:t>Planowana inwestycja zlokalizowana jest w miejscowości Kalisz-miasto na prawach powiatu.</w:t>
            </w:r>
            <w:r w:rsidRPr="0028666F">
              <w:rPr>
                <w:rFonts w:ascii="Calibri" w:eastAsia="Times New Roman" w:hAnsi="Calibri" w:cs="Calibri"/>
                <w:color w:val="000000"/>
                <w:sz w:val="18"/>
                <w:szCs w:val="18"/>
                <w:lang w:eastAsia="pl-PL"/>
              </w:rPr>
              <w:br/>
              <w:t>Zakres przedmiotowego projektu obejmuje:</w:t>
            </w:r>
            <w:r w:rsidRPr="0028666F">
              <w:rPr>
                <w:rFonts w:ascii="Calibri" w:eastAsia="Times New Roman" w:hAnsi="Calibri" w:cs="Calibri"/>
                <w:color w:val="000000"/>
                <w:sz w:val="18"/>
                <w:szCs w:val="18"/>
                <w:lang w:eastAsia="pl-PL"/>
              </w:rPr>
              <w:br/>
              <w:t>- regulację cieku Piwonia na długości 6,5km wraz z przebudową 44 przepustów oraz budową umocnień brzegowych w postaci kiszki faszynowej oraz narzutu kamiennego,</w:t>
            </w:r>
            <w:r w:rsidRPr="0028666F">
              <w:rPr>
                <w:rFonts w:ascii="Calibri" w:eastAsia="Times New Roman" w:hAnsi="Calibri" w:cs="Calibri"/>
                <w:color w:val="000000"/>
                <w:sz w:val="18"/>
                <w:szCs w:val="18"/>
                <w:lang w:eastAsia="pl-PL"/>
              </w:rPr>
              <w:br/>
              <w:t>- regulację dopływu cieku Piwonia wraz z budową umocnień brzegowych w postaci kiszki faszynowej na długości ok. 465m,</w:t>
            </w:r>
            <w:r w:rsidRPr="0028666F">
              <w:rPr>
                <w:rFonts w:ascii="Calibri" w:eastAsia="Times New Roman" w:hAnsi="Calibri" w:cs="Calibri"/>
                <w:color w:val="000000"/>
                <w:sz w:val="18"/>
                <w:szCs w:val="18"/>
                <w:lang w:eastAsia="pl-PL"/>
              </w:rPr>
              <w:br/>
              <w:t>- budowę dwóch suchych zbiorników dla chwilowego regulowania natężeń przepływu wód deszczowych,</w:t>
            </w:r>
            <w:r w:rsidRPr="0028666F">
              <w:rPr>
                <w:rFonts w:ascii="Calibri" w:eastAsia="Times New Roman" w:hAnsi="Calibri" w:cs="Calibri"/>
                <w:color w:val="000000"/>
                <w:sz w:val="18"/>
                <w:szCs w:val="18"/>
                <w:lang w:eastAsia="pl-PL"/>
              </w:rPr>
              <w:br/>
              <w:t>- przebudowę istniejących sieci kolidujących z planowaną inwestycją,</w:t>
            </w:r>
            <w:r w:rsidRPr="0028666F">
              <w:rPr>
                <w:rFonts w:ascii="Calibri" w:eastAsia="Times New Roman" w:hAnsi="Calibri" w:cs="Calibri"/>
                <w:color w:val="000000"/>
                <w:sz w:val="18"/>
                <w:szCs w:val="18"/>
                <w:lang w:eastAsia="pl-PL"/>
              </w:rPr>
              <w:br/>
              <w:t>- przebudowę istniejących stawów przylegających do koryta cieku Piwonia.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internetowym systemie ISOK nie uwzględniono terenu inwestycji jako obszar objęty ryzykiem powodziowym. Mapy ryzyka powodziowego oraz mapy zagrożenia powodziowego wskazują na ryzyko powodzi jedynie na rzece Prośnie, jednak po analizie stanu faktycznego oraz apeli mieszkańców kierowanych do Urzędu Miasta Kalisza o pomoc w zabezpieczeniu ich mienia przed ciągłymi podtopieniami stwierdzono, iż mapy zagrożenia powodziowego nie uwzględniają takich czynników jak: zamulenie, zawężenie koryta cieku, źle przepusty, mostki. Nie uwzględnienie tych czynników daje błędny obraz o zagrożeniu powodziowym na cieku Piwonia.</w:t>
            </w:r>
            <w:r w:rsidRPr="0028666F">
              <w:rPr>
                <w:rFonts w:ascii="Calibri" w:eastAsia="Times New Roman" w:hAnsi="Calibri" w:cs="Calibri"/>
                <w:color w:val="000000"/>
                <w:sz w:val="18"/>
                <w:szCs w:val="18"/>
                <w:lang w:eastAsia="pl-PL"/>
              </w:rPr>
              <w:br/>
              <w:t>Ciek Piwonia został ujęty w załączniku nr 2 do Rozporządzenia Regionalnego Zarządu Gospodarki Wodnej z dnia 16.12.2016r. jako odcinek śródlądowych wód powierzchniowych, w obrębie których występuje zagrożenie dla swobodnego przepływu wód oraz spływu lodów.</w:t>
            </w:r>
            <w:r w:rsidRPr="0028666F">
              <w:rPr>
                <w:rFonts w:ascii="Calibri" w:eastAsia="Times New Roman" w:hAnsi="Calibri" w:cs="Calibri"/>
                <w:color w:val="000000"/>
                <w:sz w:val="18"/>
                <w:szCs w:val="18"/>
                <w:lang w:eastAsia="pl-PL"/>
              </w:rPr>
              <w:br/>
              <w:t xml:space="preserve">Ciek Piwonia początkowo był odbiornikiem wód ze zlewni rolniczej. Jego wymiary i przepustowość odpowiadały spływom z terenów naturalnych. Rolniczy charakter zlewni pozwalał na okresowe podtopienia </w:t>
            </w:r>
            <w:r w:rsidRPr="0028666F">
              <w:rPr>
                <w:rFonts w:ascii="Calibri" w:eastAsia="Times New Roman" w:hAnsi="Calibri" w:cs="Calibri"/>
                <w:color w:val="000000"/>
                <w:sz w:val="18"/>
                <w:szCs w:val="18"/>
                <w:lang w:eastAsia="pl-PL"/>
              </w:rPr>
              <w:lastRenderedPageBreak/>
              <w:t>(zalania) terenów przyległych bez strat mienia oraz narażania zdrowia i życia ludzkiego. Obecnie charakter zlewni uległ całkowitemu przekształceniu. Zlewnia cieku Piwonia jest prawie całkowicie zurbanizowana, a domy mieszkalne zlokalizowane są w bezpośrednim sąsiedztwie koryta cieku. Dopływ wód opadowych i roztopowych do cieku Piwonia uległ zwiększeniu i nadal będzie wzrastać, ze strugi rolniczej ciek stał się odbiornikiem wód opadowych. Przy wysokich stanach wód w cieku posesje zlokalizowane w bezpośrednim sąsiedztwie regularnie są zalewane.</w:t>
            </w:r>
            <w:r w:rsidRPr="0028666F">
              <w:rPr>
                <w:rFonts w:ascii="Calibri" w:eastAsia="Times New Roman" w:hAnsi="Calibri" w:cs="Calibri"/>
                <w:color w:val="000000"/>
                <w:sz w:val="18"/>
                <w:szCs w:val="18"/>
                <w:lang w:eastAsia="pl-PL"/>
              </w:rPr>
              <w:br/>
              <w:t>Od czasu intensywnej urbanizacji zlewni mają miejsce liczne podtopienia i powodzie.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Przedmiotowa inwestycja umożliwi odpowiednie skierowanie wód zlewni do zbiorników retencyjnych, które przechwycą falę powodziową i tym samym posłużą również ochronie przeciwpowodziowej rzeki Prosny.</w:t>
            </w:r>
            <w:r w:rsidRPr="0028666F">
              <w:rPr>
                <w:rFonts w:ascii="Calibri" w:eastAsia="Times New Roman" w:hAnsi="Calibri" w:cs="Calibri"/>
                <w:color w:val="000000"/>
                <w:sz w:val="18"/>
                <w:szCs w:val="18"/>
                <w:lang w:eastAsia="pl-PL"/>
              </w:rPr>
              <w:br/>
              <w:t xml:space="preserve">Dot. cieku Krępica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RW60001718474</w:t>
            </w:r>
            <w:r w:rsidRPr="0028666F">
              <w:rPr>
                <w:rFonts w:ascii="Calibri" w:eastAsia="Times New Roman" w:hAnsi="Calibri" w:cs="Calibri"/>
                <w:color w:val="000000"/>
                <w:sz w:val="18"/>
                <w:szCs w:val="18"/>
                <w:lang w:eastAsia="pl-PL"/>
              </w:rPr>
              <w:br/>
              <w:t>Przedmiotowa inwestycja obejmuje regulację cieku naturalnego Krępica na odcinku od m. Biskupice do ujścia do rzeki Prosny.</w:t>
            </w:r>
            <w:r w:rsidRPr="0028666F">
              <w:rPr>
                <w:rFonts w:ascii="Calibri" w:eastAsia="Times New Roman" w:hAnsi="Calibri" w:cs="Calibri"/>
                <w:color w:val="000000"/>
                <w:sz w:val="18"/>
                <w:szCs w:val="18"/>
                <w:lang w:eastAsia="pl-PL"/>
              </w:rPr>
              <w:br/>
              <w:t>Przedsięwzięcie zlokalizowane jest w północno-zachodniej części miasta Kalisza i rozciąga się wzdłuż biegu naturalnego rzeki Krępicy od jej ujścia do rzeki Prosny aż po granice miasta z wsią Biskupice.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Całkowita powierzchnia zlewni cieku Krępica wynosi 17,96km2 z czego 67% to tereny zabudowane i przeznaczone pod zabudowę. W okresie występowania deszczy nawalnych w korycie cieku często występowały niekontrolowane wezbrania, a w jego dolnym biegu występowało realne zagrożenie powodziowe gdyż tereny najniżej położone zostawały niejednokrotnie zalewane.</w:t>
            </w:r>
            <w:r w:rsidRPr="0028666F">
              <w:rPr>
                <w:rFonts w:ascii="Calibri" w:eastAsia="Times New Roman" w:hAnsi="Calibri" w:cs="Calibri"/>
                <w:color w:val="000000"/>
                <w:sz w:val="18"/>
                <w:szCs w:val="18"/>
                <w:lang w:eastAsia="pl-PL"/>
              </w:rPr>
              <w:br/>
              <w:t xml:space="preserve">W celu zapewnienia bezpieczeństwa przeciwpowodziowego w ramach inwestycji zaprojektowano regulację spadków podłużnych cieku, w tym m.in. poprzez budowę progów wodnych. W związku z brakiem </w:t>
            </w:r>
            <w:r w:rsidRPr="0028666F">
              <w:rPr>
                <w:rFonts w:ascii="Calibri" w:eastAsia="Times New Roman" w:hAnsi="Calibri" w:cs="Calibri"/>
                <w:color w:val="000000"/>
                <w:sz w:val="18"/>
                <w:szCs w:val="18"/>
                <w:lang w:eastAsia="pl-PL"/>
              </w:rPr>
              <w:lastRenderedPageBreak/>
              <w:t>możliwości racjonalnej rozbudowy koryta zachodzi konieczność budowy trzech suchych zbiorników przeciwpowodziowych pełniących funkcje urządzeń retencyjno-opóźniających przepływ w korycie. Zaprojektowane zbiorniki mają za zadanie zmagazynowanie fali uderzeniowej deszczu nawalnego i zapobiegnięcie niekontrolowanym wezbraniom wody w korycie co pozytywnie wpłynie na przepływu w korycie rzeki Prosny i rozłoży odpływ w jej korycie.</w:t>
            </w:r>
            <w:r w:rsidRPr="0028666F">
              <w:rPr>
                <w:rFonts w:ascii="Calibri" w:eastAsia="Times New Roman" w:hAnsi="Calibri" w:cs="Calibri"/>
                <w:color w:val="000000"/>
                <w:sz w:val="18"/>
                <w:szCs w:val="18"/>
                <w:lang w:eastAsia="pl-PL"/>
              </w:rPr>
              <w:br/>
              <w:t>Głównym założeniem inwestycji jest ochrona przeciwpowodziowa terenów dolnej części zlewni cieku Krępica i ochrona takich osiedli jak Korczak oraz Ogrody przed zalewaniem.</w:t>
            </w:r>
          </w:p>
        </w:tc>
        <w:tc>
          <w:tcPr>
            <w:tcW w:w="1720" w:type="dxa"/>
            <w:tcBorders>
              <w:top w:val="nil"/>
              <w:left w:val="nil"/>
              <w:bottom w:val="single" w:sz="4" w:space="0" w:color="auto"/>
              <w:right w:val="single" w:sz="4" w:space="0" w:color="auto"/>
            </w:tcBorders>
            <w:shd w:val="clear" w:color="000000" w:fill="FFFFFF"/>
            <w:hideMark/>
          </w:tcPr>
          <w:p w14:paraId="492C58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20-21_UM_Kalisz</w:t>
            </w:r>
          </w:p>
        </w:tc>
        <w:tc>
          <w:tcPr>
            <w:tcW w:w="1014" w:type="dxa"/>
            <w:tcBorders>
              <w:top w:val="nil"/>
              <w:left w:val="nil"/>
              <w:bottom w:val="single" w:sz="4" w:space="0" w:color="auto"/>
              <w:right w:val="single" w:sz="4" w:space="0" w:color="auto"/>
            </w:tcBorders>
            <w:shd w:val="clear" w:color="auto" w:fill="auto"/>
            <w:hideMark/>
          </w:tcPr>
          <w:p w14:paraId="455DA4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47688AE" w14:textId="6A70871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naprawcze IIaPGW mają służyć poprawie stanu wód, zachowaniu dobrego stanu wód i umożliwienia spełnienia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Proponowane działania nie wpisują się w założenia metodyki opracowywania działań naprawczych, mogą być przedmiotem analiz aktualizacji planów zarządzania ryzykiem powodziowym. Ponadto, przedmiotowych zamierzeń inwestycyjnych nie można wpisać także do Wykazów Inwestycji i Działań, ponieważ tam co do zasady powinny znaleźć się wyłącznie te przedsięwzięcia, które uzyskały ostateczną decyzję o środowiskowych uwarunkowaniach lub ocenę wodnoprawną, a w decyzjach tych potwierdzono zgodność z przesłankami określonymi w art. 68 ustawy Prawo wodne - czyli potwierdzono dopuszczalność przewidywanego pogorszenia stanu wód lub/i uniemożliwienia osiągnięcia celów środowiskowych wskutek realizacji ww. przedsięwzięć.</w:t>
            </w:r>
          </w:p>
        </w:tc>
      </w:tr>
      <w:tr w:rsidR="007C2B40" w:rsidRPr="0028666F" w14:paraId="374F8F6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858A2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22</w:t>
            </w:r>
          </w:p>
        </w:tc>
        <w:tc>
          <w:tcPr>
            <w:tcW w:w="970" w:type="dxa"/>
            <w:tcBorders>
              <w:top w:val="nil"/>
              <w:left w:val="nil"/>
              <w:bottom w:val="single" w:sz="4" w:space="0" w:color="auto"/>
              <w:right w:val="nil"/>
            </w:tcBorders>
          </w:tcPr>
          <w:p w14:paraId="2B54AF7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Enea Nowa Energia Sp. z o.o.</w:t>
            </w:r>
          </w:p>
        </w:tc>
        <w:tc>
          <w:tcPr>
            <w:tcW w:w="165" w:type="dxa"/>
            <w:tcBorders>
              <w:top w:val="nil"/>
              <w:left w:val="nil"/>
              <w:bottom w:val="single" w:sz="4" w:space="0" w:color="auto"/>
              <w:right w:val="single" w:sz="4" w:space="0" w:color="auto"/>
            </w:tcBorders>
            <w:shd w:val="clear" w:color="auto" w:fill="auto"/>
          </w:tcPr>
          <w:p w14:paraId="6ADC2FA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1C5E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74FF5E8" w14:textId="3D53144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 kompleksowej analizie zapisów li aPGW w zakresie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ustanowionych na Gwdzie: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RW600020188557 Gwda od wpływu do Zb. Podgaje do Zb. Ptusza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RW6000201886599 Gwda od zapory Zb. Ptusza do Piławy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 6000201886999 Gwda od Pilawy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wnosimy 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1. wskazanie konkretnych źródeł finansowania lub uruchomienie mechanizmów finansowania działań wskazanych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które umożliwią realizację:</w:t>
            </w:r>
            <w:r w:rsidRPr="0028666F">
              <w:rPr>
                <w:rFonts w:ascii="Calibri" w:eastAsia="Times New Roman" w:hAnsi="Calibri" w:cs="Calibri"/>
                <w:color w:val="000000"/>
                <w:sz w:val="18"/>
                <w:szCs w:val="18"/>
                <w:lang w:eastAsia="pl-PL"/>
              </w:rPr>
              <w:br/>
              <w:t>- RWHM_02.02 opracowania wariantowej analizy sposobu udrożnienia budowli piętrzących na odcinku cieku istotnego wraz ze wskazaniem wariantu do realizacji oraz opracowanie dokumentacji projektowej z perspektywą do 2024 roku</w:t>
            </w:r>
            <w:r w:rsidRPr="0028666F">
              <w:rPr>
                <w:rFonts w:ascii="Calibri" w:eastAsia="Times New Roman" w:hAnsi="Calibri" w:cs="Calibri"/>
                <w:color w:val="000000"/>
                <w:sz w:val="18"/>
                <w:szCs w:val="18"/>
                <w:lang w:eastAsia="pl-PL"/>
              </w:rPr>
              <w:br/>
              <w:t>- RWHM_02.03 realizację wybranego wariantu udrożnienia cieku - działanie inwestycyjne z perspektywą do 2027 roku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 rozszerzenie analiz poprzedzających wskazanie konkretnych działań w aPGW o kwestie bezpieczeństwa obiektów piętrzących wodę (zwłaszcza istniejących od kilkudziesięciu lat obiektów o wysokim piętrzeniu, w przypadku których każda ingerencja techniczna w ustabilizowane od lat warunki filtracji może skutkować eskalacją niepożądanych zjawisk, które prowadzić mogą do katastrofy obiektów).</w:t>
            </w:r>
          </w:p>
        </w:tc>
        <w:tc>
          <w:tcPr>
            <w:tcW w:w="2733" w:type="dxa"/>
            <w:tcBorders>
              <w:top w:val="nil"/>
              <w:left w:val="nil"/>
              <w:bottom w:val="single" w:sz="4" w:space="0" w:color="auto"/>
              <w:right w:val="single" w:sz="4" w:space="0" w:color="auto"/>
            </w:tcBorders>
            <w:shd w:val="clear" w:color="auto" w:fill="auto"/>
            <w:hideMark/>
          </w:tcPr>
          <w:p w14:paraId="219984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196C88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Uzasadnienie zmian wskazane w załączniku nr 4 do zestawienia.</w:t>
            </w:r>
          </w:p>
        </w:tc>
        <w:tc>
          <w:tcPr>
            <w:tcW w:w="1720" w:type="dxa"/>
            <w:tcBorders>
              <w:top w:val="nil"/>
              <w:left w:val="nil"/>
              <w:bottom w:val="single" w:sz="4" w:space="0" w:color="auto"/>
              <w:right w:val="single" w:sz="4" w:space="0" w:color="auto"/>
            </w:tcBorders>
            <w:shd w:val="clear" w:color="000000" w:fill="FFFFFF"/>
            <w:hideMark/>
          </w:tcPr>
          <w:p w14:paraId="73C20C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22_Enea_Odra</w:t>
            </w:r>
          </w:p>
        </w:tc>
        <w:tc>
          <w:tcPr>
            <w:tcW w:w="1014" w:type="dxa"/>
            <w:tcBorders>
              <w:top w:val="nil"/>
              <w:left w:val="nil"/>
              <w:bottom w:val="single" w:sz="4" w:space="0" w:color="auto"/>
              <w:right w:val="single" w:sz="4" w:space="0" w:color="auto"/>
            </w:tcBorders>
            <w:shd w:val="clear" w:color="auto" w:fill="auto"/>
            <w:hideMark/>
          </w:tcPr>
          <w:p w14:paraId="766D76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54FBDF" w14:textId="5F54775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Element IIaPGW stanowią zestawy działań zawierające wskazanie działań naprawczych, których realizacja przyczynić się może do osiągnięcia celów środowiskowych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Aspektem analizowanym w ramach budowania zestawów działań jest realność realizacji zakładanych działań wraz z analizami potencjalnych źródeł finansowania dla poszczególnych działań. IIaPGW nie stanowi planu inwestycyjnego a tym samym nie stanowi potwierdzenia/zapewnienia śródków na realizację działań.</w:t>
            </w:r>
            <w:r w:rsidRPr="0028666F">
              <w:rPr>
                <w:rFonts w:ascii="Calibri" w:eastAsia="Times New Roman" w:hAnsi="Calibri" w:cs="Calibri"/>
                <w:color w:val="000000"/>
                <w:sz w:val="18"/>
                <w:szCs w:val="18"/>
                <w:lang w:eastAsia="pl-PL"/>
              </w:rPr>
              <w:br/>
              <w:t>W zestawach działań zostały wskazane (dla każdego działania) potencjalne źródła finansowania, mając jednocześnie na uwadze zgodność zakresu działania z obszarem i celami danego mechanizmu finansowego (programu finanowania).</w:t>
            </w:r>
            <w:r w:rsidRPr="0028666F">
              <w:rPr>
                <w:rFonts w:ascii="Calibri" w:eastAsia="Times New Roman" w:hAnsi="Calibri" w:cs="Calibri"/>
                <w:color w:val="000000"/>
                <w:sz w:val="18"/>
                <w:szCs w:val="18"/>
                <w:lang w:eastAsia="pl-PL"/>
              </w:rPr>
              <w:br/>
              <w:t xml:space="preserve">W odniesieniu do drugiej części uwagi wskazać należy, iż działania IIaPGW ukierunkowane są na osiągnięcie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Szczegółowe analizy wykonywane są na poziomie możliwości realizacji poszczególnych działań, dotyczy to także działań z zakresu przywrócenia ciągłości biologicznej. Działania techniczne poprzedzone są wykonaniem szczegółowych analiz uwzględniających sposób i możliwości udrożnienia obiektów.</w:t>
            </w:r>
            <w:r w:rsidRPr="0028666F">
              <w:rPr>
                <w:rFonts w:ascii="Calibri" w:eastAsia="Times New Roman" w:hAnsi="Calibri" w:cs="Calibri"/>
                <w:color w:val="000000"/>
                <w:sz w:val="18"/>
                <w:szCs w:val="18"/>
                <w:lang w:eastAsia="pl-PL"/>
              </w:rPr>
              <w:br/>
              <w:t xml:space="preserve">Zgodnie z opracowaniem "Ocena potrzeb i priorytetów udrożnienia ciągłości morfologicznej rzek na obszarach dorzeczy w kontekście osiągnięcia dobrego stanu i potencjału ekologicznego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(Błachuta i in., 2010) dolne odcinki Gwdy były miejscem rozrodu jesiotra, tu występowały tarliska łososia, troci, certy oraz minoga rzecznego, szlak spływania węgorzy. Nieliczne pozostałości populacji certy nadal docierają do Gwdy. Aktualnie dostępne tarliska troci i łososia zlokalizowane są w dolnym biegu Gwdy, tu także znajdują się tarliska brzany. Aby osiągnięcie celów środowiskowych w zakresie drożności było możliwe, niezbędne jest wdrożenie odpowiednich działań ukierunkowanych na przywrócenie ciągłości biologicznej, które zaproponowane zostały w IIaPGW.</w:t>
            </w:r>
          </w:p>
        </w:tc>
      </w:tr>
      <w:tr w:rsidR="007C2B40" w:rsidRPr="0028666F" w14:paraId="4E5FC42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3E144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23</w:t>
            </w:r>
          </w:p>
        </w:tc>
        <w:tc>
          <w:tcPr>
            <w:tcW w:w="970" w:type="dxa"/>
            <w:tcBorders>
              <w:top w:val="nil"/>
              <w:left w:val="nil"/>
              <w:bottom w:val="single" w:sz="4" w:space="0" w:color="auto"/>
              <w:right w:val="nil"/>
            </w:tcBorders>
          </w:tcPr>
          <w:p w14:paraId="229CAC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Kamila Belka</w:t>
            </w:r>
          </w:p>
        </w:tc>
        <w:tc>
          <w:tcPr>
            <w:tcW w:w="165" w:type="dxa"/>
            <w:tcBorders>
              <w:top w:val="nil"/>
              <w:left w:val="nil"/>
              <w:bottom w:val="single" w:sz="4" w:space="0" w:color="auto"/>
              <w:right w:val="single" w:sz="4" w:space="0" w:color="auto"/>
            </w:tcBorders>
            <w:shd w:val="clear" w:color="auto" w:fill="auto"/>
          </w:tcPr>
          <w:p w14:paraId="6F9E197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4448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99CF3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Załącznikami do planów powinna być baza GIS zawierająca treść załączników graficznych wraz z odpowiednim opisem warstw i atrybutów oraz lokalizacje proponowanych działań i inwestycji - również do planów konsultowanych</w:t>
            </w:r>
          </w:p>
        </w:tc>
        <w:tc>
          <w:tcPr>
            <w:tcW w:w="2733" w:type="dxa"/>
            <w:tcBorders>
              <w:top w:val="nil"/>
              <w:left w:val="nil"/>
              <w:bottom w:val="single" w:sz="4" w:space="0" w:color="auto"/>
              <w:right w:val="single" w:sz="4" w:space="0" w:color="auto"/>
            </w:tcBorders>
            <w:shd w:val="clear" w:color="auto" w:fill="auto"/>
            <w:hideMark/>
          </w:tcPr>
          <w:p w14:paraId="35436D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zamieścić geobazę IIaPGW do plików konsultacyjnych</w:t>
            </w:r>
          </w:p>
        </w:tc>
        <w:tc>
          <w:tcPr>
            <w:tcW w:w="3009" w:type="dxa"/>
            <w:tcBorders>
              <w:top w:val="nil"/>
              <w:left w:val="nil"/>
              <w:bottom w:val="single" w:sz="4" w:space="0" w:color="auto"/>
              <w:right w:val="single" w:sz="4" w:space="0" w:color="auto"/>
            </w:tcBorders>
            <w:shd w:val="clear" w:color="auto" w:fill="auto"/>
            <w:hideMark/>
          </w:tcPr>
          <w:p w14:paraId="76CE8A05" w14:textId="4FA4E50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Geobaza IIaPGW umożliwi wnikliwą analizę proponowanych działań. Podobne załączniki są treścią aPGW (Geobaza aPGW). Niektóre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uległy zmianie i nie jest możliwa identyfikacja niektórych z nich na geobazie aPGW. </w:t>
            </w:r>
          </w:p>
        </w:tc>
        <w:tc>
          <w:tcPr>
            <w:tcW w:w="1720" w:type="dxa"/>
            <w:tcBorders>
              <w:top w:val="nil"/>
              <w:left w:val="nil"/>
              <w:bottom w:val="single" w:sz="4" w:space="0" w:color="auto"/>
              <w:right w:val="single" w:sz="4" w:space="0" w:color="auto"/>
            </w:tcBorders>
            <w:shd w:val="clear" w:color="000000" w:fill="FFFFFF"/>
            <w:hideMark/>
          </w:tcPr>
          <w:p w14:paraId="6C91CC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06B30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B20A4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Projekty IIaPGW dla każdego obszaru dorzecza stanowią dokumenty strategiczne przyjmowane w formie rozporządzenia. Konsultacje społeczne projektów IIaPGW wymagają udostępnienia kompletu materiałów stanowiących dokument konsultowany. Z uwagi na specyfikę projektów IIaPGW konsumujących szereg wcześniej zrealizowanych prac, projektów poddawanych niezależnie konsultacjom społecznym przy jednoczesnym uwzględnianiu powiązań wielu zagadnień, przygotowanie projektów IIaPGW wymaga prowadzenia analiz przestrzennych których wyniki prezentowane są w formie załączników graficznych.</w:t>
            </w:r>
            <w:r w:rsidRPr="0028666F">
              <w:rPr>
                <w:rFonts w:ascii="Calibri" w:eastAsia="Times New Roman" w:hAnsi="Calibri" w:cs="Calibri"/>
                <w:color w:val="000000"/>
                <w:sz w:val="18"/>
                <w:szCs w:val="18"/>
                <w:lang w:eastAsia="pl-PL"/>
              </w:rPr>
              <w:br/>
              <w:t>Podobnie jak w przypadku poprzednich PGW docelowo do każdego IIaPGW funkcjonowała będzie geobaza prezentująca dane poszczególnych IIaPGW. Geobaza prezentuje ostateczne dane i informacje a tym samym przygotowywana jest na podstawie ostatecznej wersji IIaPGW po konsultacjach społecznych oraz sooś.</w:t>
            </w:r>
            <w:r w:rsidRPr="0028666F">
              <w:rPr>
                <w:rFonts w:ascii="Calibri" w:eastAsia="Times New Roman" w:hAnsi="Calibri" w:cs="Calibri"/>
                <w:color w:val="000000"/>
                <w:sz w:val="18"/>
                <w:szCs w:val="18"/>
                <w:lang w:eastAsia="pl-PL"/>
              </w:rPr>
              <w:br/>
              <w:t>Zgodnie z potwierdzanymi również podczas konsultacyjnych informacjami, udostępnienie materiałów źródłowych, do których zaliczają się wszelkie dane GIS, możliwe jest na podstawie wystąpienia do PGWWP w trybie udostępnienia informacji o środowisku.</w:t>
            </w:r>
          </w:p>
        </w:tc>
      </w:tr>
      <w:tr w:rsidR="007C2B40" w:rsidRPr="0028666F" w14:paraId="18D73928" w14:textId="77777777" w:rsidTr="00E96B3A">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AF62C3F" w14:textId="77777777" w:rsidR="007C2B40" w:rsidRPr="00E96B3A" w:rsidRDefault="007C2B40" w:rsidP="007C2B40">
            <w:pPr>
              <w:ind w:firstLine="0"/>
              <w:jc w:val="center"/>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24</w:t>
            </w:r>
          </w:p>
        </w:tc>
        <w:tc>
          <w:tcPr>
            <w:tcW w:w="970" w:type="dxa"/>
            <w:tcBorders>
              <w:top w:val="nil"/>
              <w:left w:val="nil"/>
              <w:bottom w:val="single" w:sz="4" w:space="0" w:color="auto"/>
              <w:right w:val="nil"/>
            </w:tcBorders>
            <w:shd w:val="clear" w:color="auto" w:fill="auto"/>
          </w:tcPr>
          <w:p w14:paraId="610C3950" w14:textId="77777777"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hAnsi="Calibri" w:cs="Calibri"/>
                <w:color w:val="000000"/>
                <w:sz w:val="18"/>
                <w:szCs w:val="18"/>
              </w:rPr>
              <w:t>Polska Grupa Górnicza S.A.</w:t>
            </w:r>
          </w:p>
        </w:tc>
        <w:tc>
          <w:tcPr>
            <w:tcW w:w="165" w:type="dxa"/>
            <w:tcBorders>
              <w:top w:val="nil"/>
              <w:left w:val="nil"/>
              <w:bottom w:val="single" w:sz="4" w:space="0" w:color="auto"/>
              <w:right w:val="single" w:sz="4" w:space="0" w:color="auto"/>
            </w:tcBorders>
            <w:shd w:val="clear" w:color="auto" w:fill="auto"/>
          </w:tcPr>
          <w:p w14:paraId="2CFF9665" w14:textId="77777777" w:rsidR="007C2B40" w:rsidRPr="00E96B3A"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4395C7B" w14:textId="77777777"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79DD8F1" w14:textId="4A466F6E"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 xml:space="preserve">Uwaga dotyczy: Załącznik nr 8 – wykaz odstępstw _ Odra, Zakładka </w:t>
            </w:r>
            <w:r w:rsidR="00370EC8">
              <w:rPr>
                <w:rFonts w:ascii="Calibri" w:eastAsia="Times New Roman" w:hAnsi="Calibri" w:cs="Calibri"/>
                <w:color w:val="000000"/>
                <w:sz w:val="18"/>
                <w:szCs w:val="18"/>
                <w:lang w:eastAsia="pl-PL"/>
              </w:rPr>
              <w:t>JCWP</w:t>
            </w:r>
            <w:r w:rsidRPr="00E96B3A">
              <w:rPr>
                <w:rFonts w:ascii="Calibri" w:eastAsia="Times New Roman" w:hAnsi="Calibri" w:cs="Calibri"/>
                <w:color w:val="000000"/>
                <w:sz w:val="18"/>
                <w:szCs w:val="18"/>
                <w:lang w:eastAsia="pl-PL"/>
              </w:rPr>
              <w:t xml:space="preserve">P_RW_Odra </w:t>
            </w:r>
            <w:r w:rsidRPr="00E96B3A">
              <w:rPr>
                <w:rFonts w:ascii="Calibri" w:eastAsia="Times New Roman" w:hAnsi="Calibri" w:cs="Calibri"/>
                <w:color w:val="000000"/>
                <w:sz w:val="18"/>
                <w:szCs w:val="18"/>
                <w:lang w:eastAsia="pl-PL"/>
              </w:rPr>
              <w:br w:type="page"/>
            </w:r>
            <w:r w:rsidRPr="00E96B3A">
              <w:rPr>
                <w:rFonts w:ascii="Calibri" w:eastAsia="Times New Roman" w:hAnsi="Calibri" w:cs="Calibri"/>
                <w:color w:val="000000"/>
                <w:sz w:val="18"/>
                <w:szCs w:val="18"/>
                <w:lang w:eastAsia="pl-PL"/>
              </w:rPr>
              <w:br w:type="page"/>
              <w:t xml:space="preserve">Wnioskujemy  o objęcie odstępstwem  z art. 4 ust.5 RDW  tj. ustalenie mniej rygorystycznych celów środowiskowych ze względu na brak możliwości technicznych </w:t>
            </w:r>
            <w:r w:rsidR="00370EC8">
              <w:rPr>
                <w:rFonts w:ascii="Calibri" w:eastAsia="Times New Roman" w:hAnsi="Calibri" w:cs="Calibri"/>
                <w:color w:val="000000"/>
                <w:sz w:val="18"/>
                <w:szCs w:val="18"/>
                <w:lang w:eastAsia="pl-PL"/>
              </w:rPr>
              <w:t>JCWP</w:t>
            </w:r>
            <w:r w:rsidRPr="00E96B3A">
              <w:rPr>
                <w:rFonts w:ascii="Calibri" w:eastAsia="Times New Roman" w:hAnsi="Calibri" w:cs="Calibri"/>
                <w:color w:val="000000"/>
                <w:sz w:val="18"/>
                <w:szCs w:val="18"/>
                <w:lang w:eastAsia="pl-PL"/>
              </w:rPr>
              <w:t xml:space="preserve">P RW: </w:t>
            </w:r>
            <w:r w:rsidRPr="00E96B3A">
              <w:rPr>
                <w:rFonts w:ascii="Calibri" w:eastAsia="Times New Roman" w:hAnsi="Calibri" w:cs="Calibri"/>
                <w:color w:val="000000"/>
                <w:sz w:val="18"/>
                <w:szCs w:val="18"/>
                <w:lang w:eastAsia="pl-PL"/>
              </w:rPr>
              <w:br w:type="page"/>
              <w:t xml:space="preserve">- Nacyna: kod RW600006115645, </w:t>
            </w:r>
            <w:r w:rsidRPr="00E96B3A">
              <w:rPr>
                <w:rFonts w:ascii="Calibri" w:eastAsia="Times New Roman" w:hAnsi="Calibri" w:cs="Calibri"/>
                <w:color w:val="000000"/>
                <w:sz w:val="18"/>
                <w:szCs w:val="18"/>
                <w:lang w:eastAsia="pl-PL"/>
              </w:rPr>
              <w:br w:type="page"/>
              <w:t>- Ruda: kod RW600006116519,</w:t>
            </w:r>
            <w:r w:rsidRPr="00E96B3A">
              <w:rPr>
                <w:rFonts w:ascii="Calibri" w:eastAsia="Times New Roman" w:hAnsi="Calibri" w:cs="Calibri"/>
                <w:color w:val="000000"/>
                <w:sz w:val="18"/>
                <w:szCs w:val="18"/>
                <w:lang w:eastAsia="pl-PL"/>
              </w:rPr>
              <w:br w:type="page"/>
              <w:t>- Gzel: kod RW600006115651499,</w:t>
            </w:r>
            <w:r w:rsidRPr="00E96B3A">
              <w:rPr>
                <w:rFonts w:ascii="Calibri" w:eastAsia="Times New Roman" w:hAnsi="Calibri" w:cs="Calibri"/>
                <w:color w:val="000000"/>
                <w:sz w:val="18"/>
                <w:szCs w:val="18"/>
                <w:lang w:eastAsia="pl-PL"/>
              </w:rPr>
              <w:br w:type="page"/>
              <w:t>ocenione jako silnie zmieniona część wód, której źródłem presji antropogenicznej determi-nującej stan wód jest również  przemysł wydobywczy ( górnictwo).</w:t>
            </w:r>
            <w:r w:rsidRPr="00E96B3A">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D984B80" w14:textId="77777777"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66953EF2" w14:textId="7A09C724"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 xml:space="preserve">- zasolenie jest jednym z wielu czynników wpływających na zanieczyszczenie rzek, nie de-terminuje jednak życia biologicznego w rzekach, nie wpływa na zahamowanie procesu samooczyszczania, </w:t>
            </w:r>
            <w:r w:rsidRPr="00E96B3A">
              <w:rPr>
                <w:rFonts w:ascii="Calibri" w:eastAsia="Times New Roman" w:hAnsi="Calibri" w:cs="Calibri"/>
                <w:color w:val="000000"/>
                <w:sz w:val="18"/>
                <w:szCs w:val="18"/>
                <w:lang w:eastAsia="pl-PL"/>
              </w:rPr>
              <w:br w:type="page"/>
              <w:t>- brak jest ekonomicznie uzasadnionych metod utylizacji zawartego w wodach ładunku soli,</w:t>
            </w:r>
            <w:r w:rsidRPr="00E96B3A">
              <w:rPr>
                <w:rFonts w:ascii="Calibri" w:eastAsia="Times New Roman" w:hAnsi="Calibri" w:cs="Calibri"/>
                <w:color w:val="000000"/>
                <w:sz w:val="18"/>
                <w:szCs w:val="18"/>
                <w:lang w:eastAsia="pl-PL"/>
              </w:rPr>
              <w:br w:type="page"/>
              <w:t>- chłonność rzeki Odry i jej dopływów uniemożliwiająca stosowanie metody hydrotechnicznej dla wszystkich wód odprowadzanych z kopalń,</w:t>
            </w:r>
            <w:r w:rsidRPr="00E96B3A">
              <w:rPr>
                <w:rFonts w:ascii="Calibri" w:eastAsia="Times New Roman" w:hAnsi="Calibri" w:cs="Calibri"/>
                <w:color w:val="000000"/>
                <w:sz w:val="18"/>
                <w:szCs w:val="18"/>
                <w:lang w:eastAsia="pl-PL"/>
              </w:rPr>
              <w:br w:type="page"/>
              <w:t xml:space="preserve">- wody odprowadzane z kopalń PGG S.A. nie powodują dalszego pogorszenia stanu </w:t>
            </w:r>
            <w:r w:rsidR="00370EC8">
              <w:rPr>
                <w:rFonts w:ascii="Calibri" w:eastAsia="Times New Roman" w:hAnsi="Calibri" w:cs="Calibri"/>
                <w:color w:val="000000"/>
                <w:sz w:val="18"/>
                <w:szCs w:val="18"/>
                <w:lang w:eastAsia="pl-PL"/>
              </w:rPr>
              <w:t>JCWP</w:t>
            </w:r>
            <w:r w:rsidRPr="00E96B3A">
              <w:rPr>
                <w:rFonts w:ascii="Calibri" w:eastAsia="Times New Roman" w:hAnsi="Calibri" w:cs="Calibri"/>
                <w:color w:val="000000"/>
                <w:sz w:val="18"/>
                <w:szCs w:val="18"/>
                <w:lang w:eastAsia="pl-PL"/>
              </w:rPr>
              <w:t>P,</w:t>
            </w:r>
            <w:r w:rsidRPr="00E96B3A">
              <w:rPr>
                <w:rFonts w:ascii="Calibri" w:eastAsia="Times New Roman" w:hAnsi="Calibri" w:cs="Calibri"/>
                <w:color w:val="000000"/>
                <w:sz w:val="18"/>
                <w:szCs w:val="18"/>
                <w:lang w:eastAsia="pl-PL"/>
              </w:rPr>
              <w:br w:type="page"/>
              <w:t xml:space="preserve">zasadnym jest objęcie odstępstwem z art. 4. ust. 5 RDW </w:t>
            </w:r>
            <w:r w:rsidR="00370EC8">
              <w:rPr>
                <w:rFonts w:ascii="Calibri" w:eastAsia="Times New Roman" w:hAnsi="Calibri" w:cs="Calibri"/>
                <w:color w:val="000000"/>
                <w:sz w:val="18"/>
                <w:szCs w:val="18"/>
                <w:lang w:eastAsia="pl-PL"/>
              </w:rPr>
              <w:t>JCWP</w:t>
            </w:r>
            <w:r w:rsidRPr="00E96B3A">
              <w:rPr>
                <w:rFonts w:ascii="Calibri" w:eastAsia="Times New Roman" w:hAnsi="Calibri" w:cs="Calibri"/>
                <w:color w:val="000000"/>
                <w:sz w:val="18"/>
                <w:szCs w:val="18"/>
                <w:lang w:eastAsia="pl-PL"/>
              </w:rPr>
              <w:t xml:space="preserve">P o kodach: RW600006115645,  RW600006116519, RW600006115651499. </w:t>
            </w:r>
            <w:r w:rsidRPr="00E96B3A">
              <w:rPr>
                <w:rFonts w:ascii="Calibri" w:eastAsia="Times New Roman" w:hAnsi="Calibri" w:cs="Calibri"/>
                <w:color w:val="000000"/>
                <w:sz w:val="18"/>
                <w:szCs w:val="18"/>
                <w:lang w:eastAsia="pl-PL"/>
              </w:rPr>
              <w:br w:type="page"/>
              <w:t xml:space="preserve">Kopalnie PGG S.A. zarówno na etapie projektowania jak również w trakcie prowadzenia działalności polegającej na eksploatacji węgla kamiennego podejmują wszelkie działania, aby łagodzić skutki negatywnych oddziaływań na stan jednolitych części wód poprzez: ograniczanie ilości dopływu wód  do wyrobisk podziemnych z wykorzystaniem metod górni-czo-geologicznych, w tym możliwość izolacji wyrobisk i stref o znacznym dopływie, zago-spodarowania przedmiotowych wód w zrobach </w:t>
            </w:r>
            <w:r w:rsidRPr="00E96B3A">
              <w:rPr>
                <w:rFonts w:ascii="Calibri" w:eastAsia="Times New Roman" w:hAnsi="Calibri" w:cs="Calibri"/>
                <w:color w:val="000000"/>
                <w:sz w:val="18"/>
                <w:szCs w:val="18"/>
                <w:lang w:eastAsia="pl-PL"/>
              </w:rPr>
              <w:lastRenderedPageBreak/>
              <w:t>poeksploatacyjnych, wykorzystanie części wód dołowych na własne cele przemysłowe w ilości nieprzekraczającej wartości zawartych w pozwoleniu wodnoprawnym, bieżące prowadzenie zabiegów hydrotechnicznych zapobie-gających wystąpieniu podtopień i zalewisk oraz innych zjawisk związanych z zaburzeniem spływu wód  podziemnych i powierzchniowych. Ochrona środowiska wodnego, realizowana jest również poprzez prowadzenie monitoringu jakości wód podziemnych i powierzchniowych.</w:t>
            </w:r>
            <w:r w:rsidRPr="00E96B3A">
              <w:rPr>
                <w:rFonts w:ascii="Calibri" w:eastAsia="Times New Roman" w:hAnsi="Calibri" w:cs="Calibri"/>
                <w:color w:val="000000"/>
                <w:sz w:val="18"/>
                <w:szCs w:val="18"/>
                <w:lang w:eastAsia="pl-PL"/>
              </w:rPr>
              <w:br w:type="page"/>
            </w:r>
            <w:r w:rsidRPr="00E96B3A">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auto" w:fill="auto"/>
            <w:hideMark/>
          </w:tcPr>
          <w:p w14:paraId="069CB4C4" w14:textId="77777777"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lastRenderedPageBreak/>
              <w:t>24_PGG_Odra</w:t>
            </w:r>
          </w:p>
        </w:tc>
        <w:tc>
          <w:tcPr>
            <w:tcW w:w="1014" w:type="dxa"/>
            <w:tcBorders>
              <w:top w:val="nil"/>
              <w:left w:val="nil"/>
              <w:bottom w:val="single" w:sz="4" w:space="0" w:color="auto"/>
              <w:right w:val="single" w:sz="4" w:space="0" w:color="auto"/>
            </w:tcBorders>
            <w:shd w:val="clear" w:color="auto" w:fill="auto"/>
            <w:hideMark/>
          </w:tcPr>
          <w:p w14:paraId="44CF776E" w14:textId="77777777" w:rsidR="007C2B40" w:rsidRPr="00E96B3A" w:rsidRDefault="007C2B40" w:rsidP="007C2B40">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66258196" w14:textId="2CD2BDB2" w:rsidR="007C2B40" w:rsidRPr="00E96B3A" w:rsidRDefault="007C2B40" w:rsidP="007C2B40">
            <w:pPr>
              <w:ind w:firstLine="0"/>
              <w:jc w:val="left"/>
              <w:rPr>
                <w:rFonts w:ascii="Calibri" w:eastAsia="Times New Roman" w:hAnsi="Calibri" w:cs="Calibri"/>
                <w:sz w:val="18"/>
                <w:szCs w:val="18"/>
                <w:lang w:eastAsia="pl-PL"/>
              </w:rPr>
            </w:pPr>
            <w:r w:rsidRPr="00E96B3A">
              <w:rPr>
                <w:rFonts w:ascii="Calibri" w:eastAsia="Times New Roman" w:hAnsi="Calibri" w:cs="Calibri"/>
                <w:sz w:val="18"/>
                <w:szCs w:val="18"/>
                <w:lang w:eastAsia="pl-PL"/>
              </w:rPr>
              <w:t xml:space="preserve">Po ponownym przeanalizowaniu sytuacji w przedmiotowych </w:t>
            </w:r>
            <w:r w:rsidR="00370EC8">
              <w:rPr>
                <w:rFonts w:ascii="Calibri" w:eastAsia="Times New Roman" w:hAnsi="Calibri" w:cs="Calibri"/>
                <w:sz w:val="18"/>
                <w:szCs w:val="18"/>
                <w:lang w:eastAsia="pl-PL"/>
              </w:rPr>
              <w:t>JCWP</w:t>
            </w:r>
            <w:r w:rsidRPr="00E96B3A">
              <w:rPr>
                <w:rFonts w:ascii="Calibri" w:eastAsia="Times New Roman" w:hAnsi="Calibri" w:cs="Calibri"/>
                <w:sz w:val="18"/>
                <w:szCs w:val="18"/>
                <w:lang w:eastAsia="pl-PL"/>
              </w:rPr>
              <w:t>p:</w:t>
            </w:r>
            <w:r w:rsidRPr="00E96B3A">
              <w:rPr>
                <w:rFonts w:ascii="Calibri" w:eastAsia="Times New Roman" w:hAnsi="Calibri" w:cs="Calibri"/>
                <w:sz w:val="18"/>
                <w:szCs w:val="18"/>
                <w:lang w:eastAsia="pl-PL"/>
              </w:rPr>
              <w:br w:type="page"/>
            </w:r>
          </w:p>
          <w:p w14:paraId="47E95466" w14:textId="20C3D503" w:rsidR="007C2B40" w:rsidRPr="00E96B3A" w:rsidRDefault="007C2B40" w:rsidP="007C2B40">
            <w:pPr>
              <w:ind w:firstLine="0"/>
              <w:jc w:val="left"/>
              <w:rPr>
                <w:rFonts w:ascii="Calibri" w:eastAsia="Times New Roman" w:hAnsi="Calibri" w:cs="Calibri"/>
                <w:sz w:val="18"/>
                <w:szCs w:val="18"/>
                <w:lang w:eastAsia="pl-PL"/>
              </w:rPr>
            </w:pPr>
            <w:r w:rsidRPr="00E96B3A">
              <w:rPr>
                <w:rFonts w:ascii="Calibri" w:eastAsia="Times New Roman" w:hAnsi="Calibri" w:cs="Calibri"/>
                <w:sz w:val="18"/>
                <w:szCs w:val="18"/>
                <w:lang w:eastAsia="pl-PL"/>
              </w:rPr>
              <w:t xml:space="preserve">Nacyna: kod RW600006115645 – (błędnie podany nr </w:t>
            </w:r>
            <w:r w:rsidR="00370EC8">
              <w:rPr>
                <w:rFonts w:ascii="Calibri" w:eastAsia="Times New Roman" w:hAnsi="Calibri" w:cs="Calibri"/>
                <w:sz w:val="18"/>
                <w:szCs w:val="18"/>
                <w:lang w:eastAsia="pl-PL"/>
              </w:rPr>
              <w:t>JCWP</w:t>
            </w:r>
            <w:r w:rsidRPr="00E96B3A">
              <w:rPr>
                <w:rFonts w:ascii="Calibri" w:eastAsia="Times New Roman" w:hAnsi="Calibri" w:cs="Calibri"/>
                <w:sz w:val="18"/>
                <w:szCs w:val="18"/>
                <w:lang w:eastAsia="pl-PL"/>
              </w:rPr>
              <w:t>p w uwadze, powinno być RW6000061156545) – brak informacji o źródle presji zasalającej w opracowaniu „Analiza znaczących oddziaływań antropogenicznych wraz z oceną ich wpływu na stan wód oraz ryzykiem nieosiągnięcia celów środowiskowych”, ale bardzo wysokie przekroczenie wartości granicznej przewodności 921% (i informacje przekazane w uwadze) dają podstawy do stwierdzenia konieczności zastosowania odstępstwa od osiągnięcia celów środowiskowych w trybie art. 4.5 RDW z uwagi na działalność podmiotów Polskiej Grupy Górniczej S.A.</w:t>
            </w:r>
            <w:r w:rsidRPr="00E96B3A">
              <w:rPr>
                <w:rFonts w:ascii="Calibri" w:eastAsia="Times New Roman" w:hAnsi="Calibri" w:cs="Calibri"/>
                <w:sz w:val="18"/>
                <w:szCs w:val="18"/>
                <w:lang w:eastAsia="pl-PL"/>
              </w:rPr>
              <w:br w:type="page"/>
              <w:t xml:space="preserve"> </w:t>
            </w:r>
          </w:p>
          <w:p w14:paraId="5D579F06" w14:textId="1CE0E838" w:rsidR="007C2B40" w:rsidRPr="00E96B3A" w:rsidRDefault="007C2B40" w:rsidP="007C2B40">
            <w:pPr>
              <w:ind w:firstLine="0"/>
              <w:jc w:val="left"/>
              <w:rPr>
                <w:rFonts w:ascii="Calibri" w:eastAsia="Times New Roman" w:hAnsi="Calibri" w:cs="Calibri"/>
                <w:sz w:val="18"/>
                <w:szCs w:val="18"/>
                <w:lang w:eastAsia="pl-PL"/>
              </w:rPr>
            </w:pPr>
            <w:r w:rsidRPr="00E96B3A">
              <w:rPr>
                <w:rFonts w:ascii="Calibri" w:eastAsia="Times New Roman" w:hAnsi="Calibri" w:cs="Calibri"/>
                <w:sz w:val="18"/>
                <w:szCs w:val="18"/>
                <w:lang w:eastAsia="pl-PL"/>
              </w:rPr>
              <w:t xml:space="preserve">Ruda: kod RW600006116519 (błędnie podany nr </w:t>
            </w:r>
            <w:r w:rsidR="00370EC8">
              <w:rPr>
                <w:rFonts w:ascii="Calibri" w:eastAsia="Times New Roman" w:hAnsi="Calibri" w:cs="Calibri"/>
                <w:sz w:val="18"/>
                <w:szCs w:val="18"/>
                <w:lang w:eastAsia="pl-PL"/>
              </w:rPr>
              <w:t>JCWP</w:t>
            </w:r>
            <w:r w:rsidRPr="00E96B3A">
              <w:rPr>
                <w:rFonts w:ascii="Calibri" w:eastAsia="Times New Roman" w:hAnsi="Calibri" w:cs="Calibri"/>
                <w:sz w:val="18"/>
                <w:szCs w:val="18"/>
                <w:lang w:eastAsia="pl-PL"/>
              </w:rPr>
              <w:t xml:space="preserve">p w uwadze, powinno być RW6000061156519) – </w:t>
            </w:r>
            <w:r w:rsidRPr="00E96B3A">
              <w:rPr>
                <w:sz w:val="18"/>
                <w:szCs w:val="18"/>
              </w:rPr>
              <w:t>posiada wysokie przekroczenie wartości granicznej przewodności (73%) (źródła przemysłowe oraz źródła bytowe i komunalne (punktowe i rozproszone), co daje podstawy do stwierdzenia konieczności zastosowania odstępstwa od osiągnięcia celów środowiskowych w trybie art. 4.5 RDW</w:t>
            </w:r>
            <w:r w:rsidRPr="00E96B3A">
              <w:rPr>
                <w:rFonts w:ascii="Calibri" w:eastAsia="Times New Roman" w:hAnsi="Calibri" w:cs="Calibri"/>
                <w:sz w:val="18"/>
                <w:szCs w:val="18"/>
                <w:lang w:eastAsia="pl-PL"/>
              </w:rPr>
              <w:br w:type="page"/>
              <w:t>.</w:t>
            </w:r>
          </w:p>
          <w:p w14:paraId="406902D1" w14:textId="77777777" w:rsidR="00E96B3A" w:rsidRPr="00E96B3A" w:rsidRDefault="007C2B40" w:rsidP="007C2B40">
            <w:pPr>
              <w:ind w:firstLine="0"/>
              <w:jc w:val="left"/>
              <w:rPr>
                <w:rFonts w:ascii="Calibri" w:eastAsia="Times New Roman" w:hAnsi="Calibri" w:cs="Calibri"/>
                <w:sz w:val="18"/>
                <w:szCs w:val="18"/>
                <w:lang w:eastAsia="pl-PL"/>
              </w:rPr>
            </w:pPr>
            <w:r w:rsidRPr="00E96B3A">
              <w:rPr>
                <w:rFonts w:ascii="Calibri" w:eastAsia="Times New Roman" w:hAnsi="Calibri" w:cs="Calibri"/>
                <w:sz w:val="18"/>
                <w:szCs w:val="18"/>
                <w:lang w:eastAsia="pl-PL"/>
              </w:rPr>
              <w:t>Gzel: kod RW600006115651499, - brak przekroczenia wartości granicznej PEW – brak podstawy do przypisania odstępstwa od osiągnięcia celów środowiskowych.</w:t>
            </w:r>
          </w:p>
          <w:p w14:paraId="057C9E72" w14:textId="2858662B" w:rsidR="007C2B40" w:rsidRPr="0028666F" w:rsidRDefault="00E96B3A" w:rsidP="00E96B3A">
            <w:pPr>
              <w:ind w:firstLine="0"/>
              <w:jc w:val="left"/>
              <w:rPr>
                <w:rFonts w:ascii="Calibri" w:eastAsia="Times New Roman" w:hAnsi="Calibri" w:cs="Calibri"/>
                <w:color w:val="000000"/>
                <w:sz w:val="18"/>
                <w:szCs w:val="18"/>
                <w:lang w:eastAsia="pl-PL"/>
              </w:rPr>
            </w:pPr>
            <w:r w:rsidRPr="00E96B3A">
              <w:rPr>
                <w:rFonts w:ascii="Calibri" w:eastAsia="Times New Roman" w:hAnsi="Calibri" w:cs="Calibri"/>
                <w:sz w:val="18"/>
                <w:szCs w:val="18"/>
                <w:lang w:eastAsia="pl-PL"/>
              </w:rPr>
              <w:t xml:space="preserve">Jednocześnie dla wskazanych </w:t>
            </w:r>
            <w:r w:rsidR="00370EC8">
              <w:rPr>
                <w:rFonts w:ascii="Calibri" w:eastAsia="Times New Roman" w:hAnsi="Calibri" w:cs="Calibri"/>
                <w:sz w:val="18"/>
                <w:szCs w:val="18"/>
                <w:lang w:eastAsia="pl-PL"/>
              </w:rPr>
              <w:t>JCWP</w:t>
            </w:r>
            <w:r w:rsidRPr="00E96B3A">
              <w:rPr>
                <w:rFonts w:ascii="Calibri" w:eastAsia="Times New Roman" w:hAnsi="Calibri" w:cs="Calibri"/>
                <w:sz w:val="18"/>
                <w:szCs w:val="18"/>
                <w:lang w:eastAsia="pl-PL"/>
              </w:rPr>
              <w:t>p:</w:t>
            </w:r>
            <w:r>
              <w:rPr>
                <w:rFonts w:ascii="Calibri" w:eastAsia="Times New Roman" w:hAnsi="Calibri" w:cs="Calibri"/>
                <w:sz w:val="18"/>
                <w:szCs w:val="18"/>
                <w:lang w:eastAsia="pl-PL"/>
              </w:rPr>
              <w:t xml:space="preserve"> </w:t>
            </w:r>
            <w:r w:rsidRPr="00E96B3A">
              <w:rPr>
                <w:rFonts w:ascii="Calibri" w:eastAsia="Times New Roman" w:hAnsi="Calibri" w:cs="Calibri"/>
                <w:sz w:val="18"/>
                <w:szCs w:val="18"/>
                <w:lang w:eastAsia="pl-PL"/>
              </w:rPr>
              <w:t>RW600006115654</w:t>
            </w:r>
            <w:r>
              <w:rPr>
                <w:rFonts w:ascii="Calibri" w:eastAsia="Times New Roman" w:hAnsi="Calibri" w:cs="Calibri"/>
                <w:sz w:val="18"/>
                <w:szCs w:val="18"/>
                <w:lang w:eastAsia="pl-PL"/>
              </w:rPr>
              <w:t xml:space="preserve"> (Nacyna), </w:t>
            </w:r>
            <w:r w:rsidRPr="00E96B3A">
              <w:rPr>
                <w:rFonts w:ascii="Calibri" w:eastAsia="Times New Roman" w:hAnsi="Calibri" w:cs="Calibri"/>
                <w:sz w:val="18"/>
                <w:szCs w:val="18"/>
                <w:lang w:eastAsia="pl-PL"/>
              </w:rPr>
              <w:t>RW6000061156519</w:t>
            </w:r>
            <w:r>
              <w:rPr>
                <w:rFonts w:ascii="Calibri" w:eastAsia="Times New Roman" w:hAnsi="Calibri" w:cs="Calibri"/>
                <w:sz w:val="18"/>
                <w:szCs w:val="18"/>
                <w:lang w:eastAsia="pl-PL"/>
              </w:rPr>
              <w:t xml:space="preserve"> (Ruda), IIaPGW wprowadza zmianę wartości </w:t>
            </w:r>
            <w:r w:rsidRPr="00F57DBC">
              <w:rPr>
                <w:rFonts w:cstheme="minorHAnsi"/>
                <w:sz w:val="18"/>
                <w:szCs w:val="18"/>
                <w:shd w:val="clear" w:color="auto" w:fill="FFFFFF"/>
              </w:rPr>
              <w:t xml:space="preserve">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r>
              <w:rPr>
                <w:rFonts w:cstheme="minorHAnsi"/>
                <w:sz w:val="18"/>
                <w:szCs w:val="18"/>
                <w:shd w:val="clear" w:color="auto" w:fill="FFFFFF"/>
              </w:rPr>
              <w:t xml:space="preserve">. Dokonana zmiana dotyczy SZCW </w:t>
            </w:r>
            <w:r w:rsidRPr="00F57DBC">
              <w:rPr>
                <w:rFonts w:cstheme="minorHAnsi"/>
                <w:sz w:val="18"/>
                <w:szCs w:val="18"/>
                <w:shd w:val="clear" w:color="auto" w:fill="FFFFFF"/>
              </w:rPr>
              <w:t>dla których zasolenie wynika ze zmian fizycznych związanych z górnictwem (odwodnienie, zmiany stosunków wodnych oraz inne presje hydromorfologiczne)</w:t>
            </w:r>
            <w:r>
              <w:rPr>
                <w:rFonts w:cstheme="minorHAnsi"/>
                <w:sz w:val="18"/>
                <w:szCs w:val="18"/>
                <w:shd w:val="clear" w:color="auto" w:fill="FFFFFF"/>
              </w:rPr>
              <w:t>.</w:t>
            </w:r>
            <w:r>
              <w:rPr>
                <w:rFonts w:ascii="Calibri" w:eastAsia="Times New Roman" w:hAnsi="Calibri" w:cs="Calibri"/>
                <w:sz w:val="18"/>
                <w:szCs w:val="18"/>
                <w:lang w:eastAsia="pl-PL"/>
              </w:rPr>
              <w:t xml:space="preserve"> </w:t>
            </w:r>
          </w:p>
        </w:tc>
      </w:tr>
      <w:tr w:rsidR="007C2B40" w:rsidRPr="0028666F" w14:paraId="413C0AC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B880C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w:t>
            </w:r>
          </w:p>
        </w:tc>
        <w:tc>
          <w:tcPr>
            <w:tcW w:w="970" w:type="dxa"/>
            <w:tcBorders>
              <w:top w:val="nil"/>
              <w:left w:val="nil"/>
              <w:bottom w:val="single" w:sz="4" w:space="0" w:color="auto"/>
              <w:right w:val="nil"/>
            </w:tcBorders>
          </w:tcPr>
          <w:p w14:paraId="28315CE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08C631D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67294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4B39C43" w14:textId="57C263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w:t>
            </w:r>
            <w:r w:rsidRPr="0028666F">
              <w:rPr>
                <w:rFonts w:ascii="Calibri" w:eastAsia="Times New Roman" w:hAnsi="Calibri" w:cs="Calibri"/>
                <w:color w:val="000000"/>
                <w:sz w:val="18"/>
                <w:szCs w:val="18"/>
                <w:lang w:eastAsia="pl-PL"/>
              </w:rPr>
              <w:br/>
              <w:t xml:space="preserve">Rozdział 12 oraz Załącznik nr 7 </w:t>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Rozszerzenie katalogu działań o kwestie dotyczące: </w:t>
            </w:r>
            <w:r w:rsidRPr="0028666F">
              <w:rPr>
                <w:rFonts w:ascii="Calibri" w:eastAsia="Times New Roman" w:hAnsi="Calibri" w:cs="Calibri"/>
                <w:color w:val="000000"/>
                <w:sz w:val="18"/>
                <w:szCs w:val="18"/>
                <w:lang w:eastAsia="pl-PL"/>
              </w:rPr>
              <w:br/>
              <w:t xml:space="preserve">− identyfikacji i oceny ryzyka związanego z występowaniem w wodach mikrozanieczyszczeń </w:t>
            </w:r>
            <w:r w:rsidRPr="0028666F">
              <w:rPr>
                <w:rFonts w:ascii="Calibri" w:eastAsia="Times New Roman" w:hAnsi="Calibri" w:cs="Calibri"/>
                <w:color w:val="000000"/>
                <w:sz w:val="18"/>
                <w:szCs w:val="18"/>
                <w:lang w:eastAsia="pl-PL"/>
              </w:rPr>
              <w:br/>
              <w:t xml:space="preserve">i farmaceutyków, </w:t>
            </w:r>
            <w:r w:rsidRPr="0028666F">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28666F">
              <w:rPr>
                <w:rFonts w:ascii="Calibri" w:eastAsia="Times New Roman" w:hAnsi="Calibri" w:cs="Calibri"/>
                <w:color w:val="000000"/>
                <w:sz w:val="18"/>
                <w:szCs w:val="18"/>
                <w:lang w:eastAsia="pl-PL"/>
              </w:rPr>
              <w:br/>
              <w:t xml:space="preserve">celów środowiskowych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p>
        </w:tc>
        <w:tc>
          <w:tcPr>
            <w:tcW w:w="2733" w:type="dxa"/>
            <w:tcBorders>
              <w:top w:val="nil"/>
              <w:left w:val="nil"/>
              <w:bottom w:val="single" w:sz="4" w:space="0" w:color="auto"/>
              <w:right w:val="single" w:sz="4" w:space="0" w:color="auto"/>
            </w:tcBorders>
            <w:shd w:val="clear" w:color="auto" w:fill="auto"/>
            <w:hideMark/>
          </w:tcPr>
          <w:p w14:paraId="597EB1AC" w14:textId="07C755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Rozszerzenie katalogu działań o kwestie dotyczące: </w:t>
            </w:r>
            <w:r w:rsidRPr="0028666F">
              <w:rPr>
                <w:rFonts w:ascii="Calibri" w:eastAsia="Times New Roman" w:hAnsi="Calibri" w:cs="Calibri"/>
                <w:color w:val="000000"/>
                <w:sz w:val="18"/>
                <w:szCs w:val="18"/>
                <w:lang w:eastAsia="pl-PL"/>
              </w:rPr>
              <w:br/>
              <w:t xml:space="preserve">− identyfikacji i oceny ryzyka związanego z występowaniem w wodach mikrozanieczyszczeń </w:t>
            </w:r>
            <w:r w:rsidRPr="0028666F">
              <w:rPr>
                <w:rFonts w:ascii="Calibri" w:eastAsia="Times New Roman" w:hAnsi="Calibri" w:cs="Calibri"/>
                <w:color w:val="000000"/>
                <w:sz w:val="18"/>
                <w:szCs w:val="18"/>
                <w:lang w:eastAsia="pl-PL"/>
              </w:rPr>
              <w:br/>
              <w:t xml:space="preserve">i farmaceutyków, </w:t>
            </w:r>
            <w:r w:rsidRPr="0028666F">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28666F">
              <w:rPr>
                <w:rFonts w:ascii="Calibri" w:eastAsia="Times New Roman" w:hAnsi="Calibri" w:cs="Calibri"/>
                <w:color w:val="000000"/>
                <w:sz w:val="18"/>
                <w:szCs w:val="18"/>
                <w:lang w:eastAsia="pl-PL"/>
              </w:rPr>
              <w:br/>
              <w:t xml:space="preserve">celów środowiskowych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p>
        </w:tc>
        <w:tc>
          <w:tcPr>
            <w:tcW w:w="3009" w:type="dxa"/>
            <w:tcBorders>
              <w:top w:val="nil"/>
              <w:left w:val="nil"/>
              <w:bottom w:val="single" w:sz="4" w:space="0" w:color="auto"/>
              <w:right w:val="single" w:sz="4" w:space="0" w:color="auto"/>
            </w:tcBorders>
            <w:shd w:val="clear" w:color="auto" w:fill="auto"/>
            <w:hideMark/>
          </w:tcPr>
          <w:p w14:paraId="6C72EC92" w14:textId="5AA7AC8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2019 r. opracowano i poddano konsultacjom społecznym projekt „Przeglądu istotnych </w:t>
            </w:r>
            <w:r w:rsidRPr="0028666F">
              <w:rPr>
                <w:rFonts w:ascii="Calibri" w:eastAsia="Times New Roman" w:hAnsi="Calibri" w:cs="Calibri"/>
                <w:color w:val="000000"/>
                <w:sz w:val="18"/>
                <w:szCs w:val="18"/>
                <w:lang w:eastAsia="pl-PL"/>
              </w:rPr>
              <w:br/>
              <w:t xml:space="preserve">problemów gospodarki wodnej dla obszarów dorzeczy” (dalej: PIPGW). W PIPGW </w:t>
            </w:r>
            <w:r w:rsidRPr="0028666F">
              <w:rPr>
                <w:rFonts w:ascii="Calibri" w:eastAsia="Times New Roman" w:hAnsi="Calibri" w:cs="Calibri"/>
                <w:color w:val="000000"/>
                <w:sz w:val="18"/>
                <w:szCs w:val="18"/>
                <w:lang w:eastAsia="pl-PL"/>
              </w:rPr>
              <w:br/>
              <w:t xml:space="preserve">zidentyfikowano i sklasyfikowano problemy gospodarki wodnej generujące problemy w </w:t>
            </w:r>
            <w:r w:rsidRPr="0028666F">
              <w:rPr>
                <w:rFonts w:ascii="Calibri" w:eastAsia="Times New Roman" w:hAnsi="Calibri" w:cs="Calibri"/>
                <w:color w:val="000000"/>
                <w:sz w:val="18"/>
                <w:szCs w:val="18"/>
                <w:lang w:eastAsia="pl-PL"/>
              </w:rPr>
              <w:br/>
              <w:t xml:space="preserve">utrzymaniu lub osiągnięciu celów środowiskowych jednolitych części wód powierzchniowych (dalej: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jednolitych części wód podziemnych (dalej: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Wskazano zagadnienia o charakterze ogólnokrajowym, a następnie przedstawiono obraz tych zagadnień w odniesieniu do 9 dorzeczy. W opracowaniu tym zidentyfikowano problemy: dot. konkretnych oddziaływań (m.in. emisje zanieczyszczeń, presje hydromorfologiczne, niewykorzystywanie potencjału naturalnej retencji oraz renaturyzacji rzek, nadmierny pobór wód podziemnych mający wpływ na stan ilościowy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a także szereg aspektów strategiczno – organizacyjno - prawnych, m.in.: </w:t>
            </w:r>
            <w:r w:rsidRPr="0028666F">
              <w:rPr>
                <w:rFonts w:ascii="Calibri" w:eastAsia="Times New Roman" w:hAnsi="Calibri" w:cs="Calibri"/>
                <w:color w:val="000000"/>
                <w:sz w:val="18"/>
                <w:szCs w:val="18"/>
                <w:lang w:eastAsia="pl-PL"/>
              </w:rPr>
              <w:br/>
              <w:t xml:space="preserve">1) w PIPGW zasygnalizowano zagadnienie związane w występowaniem dotychczas </w:t>
            </w:r>
            <w:r w:rsidRPr="0028666F">
              <w:rPr>
                <w:rFonts w:ascii="Calibri" w:eastAsia="Times New Roman" w:hAnsi="Calibri" w:cs="Calibri"/>
                <w:color w:val="000000"/>
                <w:sz w:val="18"/>
                <w:szCs w:val="18"/>
                <w:lang w:eastAsia="pl-PL"/>
              </w:rPr>
              <w:br/>
              <w:t xml:space="preserve">nienormowanych zanieczyszczeń, takich jak np. farmaceutyki czy inne </w:t>
            </w:r>
            <w:r w:rsidRPr="0028666F">
              <w:rPr>
                <w:rFonts w:ascii="Calibri" w:eastAsia="Times New Roman" w:hAnsi="Calibri" w:cs="Calibri"/>
                <w:color w:val="000000"/>
                <w:sz w:val="18"/>
                <w:szCs w:val="18"/>
                <w:lang w:eastAsia="pl-PL"/>
              </w:rPr>
              <w:br/>
              <w:t xml:space="preserve">mikrozanieczyszczenia. Jest o nich mowa w Komunikacie Komisji Europejskiej z 11 marca </w:t>
            </w:r>
            <w:r w:rsidRPr="0028666F">
              <w:rPr>
                <w:rFonts w:ascii="Calibri" w:eastAsia="Times New Roman" w:hAnsi="Calibri" w:cs="Calibri"/>
                <w:color w:val="000000"/>
                <w:sz w:val="18"/>
                <w:szCs w:val="18"/>
                <w:lang w:eastAsia="pl-PL"/>
              </w:rPr>
              <w:br/>
              <w:t xml:space="preserve">2019 r. o „Strategicznym podejściu Unii Europejskiej do substancji farmaceutycznych 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środowisku” (COM(2019)128 final); </w:t>
            </w:r>
            <w:r w:rsidRPr="0028666F">
              <w:rPr>
                <w:rFonts w:ascii="Calibri" w:eastAsia="Times New Roman" w:hAnsi="Calibri" w:cs="Calibri"/>
                <w:color w:val="000000"/>
                <w:sz w:val="18"/>
                <w:szCs w:val="18"/>
                <w:lang w:eastAsia="pl-PL"/>
              </w:rPr>
              <w:br/>
              <w:t xml:space="preserve">2) w PIPGW zauważono brak wdrożenia efektywnej regulacji w zakresie przepływów </w:t>
            </w:r>
            <w:r w:rsidRPr="0028666F">
              <w:rPr>
                <w:rFonts w:ascii="Calibri" w:eastAsia="Times New Roman" w:hAnsi="Calibri" w:cs="Calibri"/>
                <w:color w:val="000000"/>
                <w:sz w:val="18"/>
                <w:szCs w:val="18"/>
                <w:lang w:eastAsia="pl-PL"/>
              </w:rPr>
              <w:br/>
              <w:t xml:space="preserve">środowiskowych.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O ile projekty IIaPGW uwzględniają większość problemów omówionych w PIPGW, to jednak wypunktowane powyżej zagadnienia nie znalazły żadnego odzwierciedlenia w treści projektów IIaPGW, w tym - w zestawach działań mających na celu osiągnięcie celów </w:t>
            </w:r>
            <w:r w:rsidRPr="0028666F">
              <w:rPr>
                <w:rFonts w:ascii="Calibri" w:eastAsia="Times New Roman" w:hAnsi="Calibri" w:cs="Calibri"/>
                <w:color w:val="000000"/>
                <w:sz w:val="18"/>
                <w:szCs w:val="18"/>
                <w:lang w:eastAsia="pl-PL"/>
              </w:rPr>
              <w:br/>
              <w:t xml:space="preserve">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i obszarów chronionych. W związku z powyższym, niezbędne jest rozszerzenie katalogu działań o kwestie dotyczące: </w:t>
            </w:r>
            <w:r w:rsidRPr="0028666F">
              <w:rPr>
                <w:rFonts w:ascii="Calibri" w:eastAsia="Times New Roman" w:hAnsi="Calibri" w:cs="Calibri"/>
                <w:color w:val="000000"/>
                <w:sz w:val="18"/>
                <w:szCs w:val="18"/>
                <w:lang w:eastAsia="pl-PL"/>
              </w:rPr>
              <w:br/>
              <w:t xml:space="preserve">− identyfikacji i oceny ryzyka związanego z występowaniem w wodach mikrozanieczyszczeń i farmaceutyków, </w:t>
            </w:r>
            <w:r w:rsidRPr="0028666F">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28666F">
              <w:rPr>
                <w:rFonts w:ascii="Calibri" w:eastAsia="Times New Roman" w:hAnsi="Calibri" w:cs="Calibri"/>
                <w:color w:val="000000"/>
                <w:sz w:val="18"/>
                <w:szCs w:val="18"/>
                <w:lang w:eastAsia="pl-PL"/>
              </w:rPr>
              <w:br/>
              <w:t xml:space="preserve">celów środowiskowych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p>
        </w:tc>
        <w:tc>
          <w:tcPr>
            <w:tcW w:w="1720" w:type="dxa"/>
            <w:tcBorders>
              <w:top w:val="nil"/>
              <w:left w:val="nil"/>
              <w:bottom w:val="single" w:sz="4" w:space="0" w:color="auto"/>
              <w:right w:val="single" w:sz="4" w:space="0" w:color="auto"/>
            </w:tcBorders>
            <w:shd w:val="clear" w:color="000000" w:fill="FFFFFF"/>
            <w:hideMark/>
          </w:tcPr>
          <w:p w14:paraId="0FEA9C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367407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C429432" w14:textId="1CA442DB" w:rsidR="007C2B40" w:rsidRPr="0028666F" w:rsidRDefault="005222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w:t>
            </w:r>
            <w:r w:rsidR="007C2B40" w:rsidRPr="0028666F">
              <w:rPr>
                <w:rFonts w:ascii="Calibri" w:eastAsia="Times New Roman" w:hAnsi="Calibri" w:cs="Calibri"/>
                <w:color w:val="000000"/>
                <w:sz w:val="18"/>
                <w:szCs w:val="18"/>
                <w:lang w:eastAsia="pl-PL"/>
              </w:rPr>
              <w:t xml:space="preserve">o Katalogu działań krajowych wprowadzone zostało działanie: Ustalenie przepływów środowiskowych wymaganych do osiągnięcia celów środowiskowych </w:t>
            </w:r>
            <w:r w:rsidR="00370EC8">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w:t>
            </w:r>
            <w:r w:rsidR="007C2B40" w:rsidRPr="0028666F">
              <w:rPr>
                <w:rFonts w:ascii="Calibri" w:eastAsia="Times New Roman" w:hAnsi="Calibri" w:cs="Calibri"/>
                <w:color w:val="000000"/>
                <w:sz w:val="18"/>
                <w:szCs w:val="18"/>
                <w:lang w:eastAsia="pl-PL"/>
              </w:rPr>
              <w:br/>
              <w:t>W odniesieniu do drugiej części uwagi, obecnie brak regulacji i standardów środowiskowych umożliwiających prowadzenie monitoringu mikrozanieczyszczeń.</w:t>
            </w:r>
            <w:r w:rsidR="007C2B40" w:rsidRPr="0028666F">
              <w:rPr>
                <w:rFonts w:ascii="Calibri" w:eastAsia="Times New Roman" w:hAnsi="Calibri" w:cs="Calibri"/>
                <w:color w:val="000000"/>
                <w:sz w:val="18"/>
                <w:szCs w:val="18"/>
                <w:lang w:eastAsia="pl-PL"/>
              </w:rPr>
              <w:br/>
              <w:t>Nie pozwala to tym samym na prowadzenie przez GIOŚ badań mikrozanieczyszczeń i farmaceutyków w wodach w oparciu o monitoring, w tym monitoring badawczy, w ramach Państwowego Monitoringu Środowiska. Nie jest zatem możliwe wprowadzenie do zestawów działań monitorowania tego typu substancji w ramach systemu oceny stanu wód.</w:t>
            </w:r>
            <w:r w:rsidR="007C2B40" w:rsidRPr="0028666F">
              <w:rPr>
                <w:rFonts w:ascii="Calibri" w:eastAsia="Times New Roman" w:hAnsi="Calibri" w:cs="Calibri"/>
                <w:color w:val="000000"/>
                <w:sz w:val="18"/>
                <w:szCs w:val="18"/>
                <w:lang w:eastAsia="pl-PL"/>
              </w:rPr>
              <w:br/>
              <w:t>Występowanie nienormowanych zanieczyszczeń w wodzie jest przedmiotem oceny zagrożenia dla ludzi i środowiska, a podejmowanie działań w zakresie strategii i propozycji środków na poziomie UE lub państw członkowskich w celu rozwiązania problemu możliwego wpływu mikrozanieczyszczeń i substancji farmaceutycznych na środowisko, wynika z wymagań dyrektywy w sprawie substancji priorytetowych (2008/105/WE).</w:t>
            </w:r>
            <w:r w:rsidR="007C2B40" w:rsidRPr="0028666F">
              <w:rPr>
                <w:rFonts w:ascii="Calibri" w:eastAsia="Times New Roman" w:hAnsi="Calibri" w:cs="Calibri"/>
                <w:color w:val="000000"/>
                <w:sz w:val="18"/>
                <w:szCs w:val="18"/>
                <w:lang w:eastAsia="pl-PL"/>
              </w:rPr>
              <w:br/>
              <w:t>W tej chwili nie ma obowiązku badania i monitorowania wody pod kątem obecności farmaceutyków, ze względu na brak wskazanych maksymalnych dopuszczalnych stężeń. Unia Europejska stara się uregulować tę sprawę dyrektywą związaną z tym problemem.</w:t>
            </w:r>
            <w:r w:rsidR="007C2B40" w:rsidRPr="0028666F">
              <w:rPr>
                <w:rFonts w:ascii="Calibri" w:eastAsia="Times New Roman" w:hAnsi="Calibri" w:cs="Calibri"/>
                <w:color w:val="000000"/>
                <w:sz w:val="18"/>
                <w:szCs w:val="18"/>
                <w:lang w:eastAsia="pl-PL"/>
              </w:rPr>
              <w:br/>
              <w:t>Lista badanych substancji ustalana jest na poziomie wszystkich państw członkowskich Unii Europejskiej, w ramach tak zwanego monitoringu substancji chemicznych z tzw. listy obserwacyjnej. Monitorowanie substancji znajdujących się na liście obserwacyjnej powinno doprowadzić do wygenerowania wysokiej jakości danych dotyczących stężeń tych substancji w środowisku wodnym, co pozwala dalej wykorzystać je przy ocenie ryzyka służącej do ustalenia substancji priorytetowych, przeprowadzonej w ramach osobnego przeglądu zgodnie z wymaganiami dyrektywy 2000/60/WE.</w:t>
            </w:r>
            <w:r w:rsidR="007C2B40" w:rsidRPr="0028666F">
              <w:rPr>
                <w:rFonts w:ascii="Calibri" w:eastAsia="Times New Roman" w:hAnsi="Calibri" w:cs="Calibri"/>
                <w:color w:val="000000"/>
                <w:sz w:val="18"/>
                <w:szCs w:val="18"/>
                <w:lang w:eastAsia="pl-PL"/>
              </w:rPr>
              <w:br/>
              <w:t>W Polsce wykonano w latach 2016–2017 monitoring substancji z pierwszej listy obserwacyjnej (na podstawie decyzji wykonawczej Komisji (UE) 2015/495), w tym: hormonów i antybiotyków oraz diklofenaku.</w:t>
            </w:r>
            <w:r w:rsidR="007C2B40" w:rsidRPr="0028666F">
              <w:rPr>
                <w:rFonts w:ascii="Calibri" w:eastAsia="Times New Roman" w:hAnsi="Calibri" w:cs="Calibri"/>
                <w:color w:val="000000"/>
                <w:sz w:val="18"/>
                <w:szCs w:val="18"/>
                <w:lang w:eastAsia="pl-PL"/>
              </w:rPr>
              <w:br/>
              <w:t xml:space="preserve">W latach 2018–2019 był prowadzony monitoring substancji z </w:t>
            </w:r>
            <w:r w:rsidR="007C2B40" w:rsidRPr="0028666F">
              <w:rPr>
                <w:rFonts w:ascii="Calibri" w:eastAsia="Times New Roman" w:hAnsi="Calibri" w:cs="Calibri"/>
                <w:color w:val="000000"/>
                <w:sz w:val="18"/>
                <w:szCs w:val="18"/>
                <w:lang w:eastAsia="pl-PL"/>
              </w:rPr>
              <w:lastRenderedPageBreak/>
              <w:t>drugiej listy obserwacyjnej (na podstawie decyzji wykonawczej Komisji (UE) 2018/840), na której znalazły się hormony, antybiotyki makrolidowe oraz antybiotyki takie jak amoksycylina i cyprofloksacyna. Badania były wykonywane w próbkach wód pobranych bezpośrednio z wybranych rzek na terenie kraju.</w:t>
            </w:r>
            <w:r w:rsidR="007C2B40" w:rsidRPr="0028666F">
              <w:rPr>
                <w:rFonts w:ascii="Calibri" w:eastAsia="Times New Roman" w:hAnsi="Calibri" w:cs="Calibri"/>
                <w:color w:val="000000"/>
                <w:sz w:val="18"/>
                <w:szCs w:val="18"/>
                <w:lang w:eastAsia="pl-PL"/>
              </w:rPr>
              <w:br/>
              <w:t>W nowej Dyrektywie Parlamentu Europejskiego i Rady (UE) 2020/2184 z dnia 16 grudnia 2020 r. w sprawie jakości wody przeznaczonej do spożycia przez ludzi została dostrzeżona problematyka obecności w wodzie pitnej substancji hormonalnych oraz związków zaburzających poprawne działanie gospodarki hormonalnej. Wychodząc naprzeciw rosnącemu zainteresowaniu opinii publicznej wpływem na zdrowie ludzkie nowo pojawiających się substancji w wodzie przeznaczonej do spożycia przez ludzi, takich jak substancje zaburzające gospodarkę hormonalną, farmaceutyki i mikroplastik, oraz w celu rozwiązania problemu nowo pojawiających się substancji w łańcuchu zaopatrzenia w wodę, przyjęto w dyrektywie mechanizm listy obserwacyjnej.</w:t>
            </w:r>
          </w:p>
        </w:tc>
      </w:tr>
      <w:tr w:rsidR="007C2B40" w:rsidRPr="00E96B3A" w14:paraId="7F66BD69" w14:textId="77777777" w:rsidTr="00165DD7">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77601C8" w14:textId="77777777" w:rsidR="007C2B40" w:rsidRPr="00165DD7" w:rsidRDefault="007C2B40" w:rsidP="007C2B40">
            <w:pPr>
              <w:ind w:firstLine="0"/>
              <w:jc w:val="center"/>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lastRenderedPageBreak/>
              <w:t>26</w:t>
            </w:r>
          </w:p>
        </w:tc>
        <w:tc>
          <w:tcPr>
            <w:tcW w:w="970" w:type="dxa"/>
            <w:tcBorders>
              <w:top w:val="nil"/>
              <w:left w:val="nil"/>
              <w:bottom w:val="single" w:sz="4" w:space="0" w:color="auto"/>
              <w:right w:val="nil"/>
            </w:tcBorders>
            <w:shd w:val="clear" w:color="auto" w:fill="auto"/>
          </w:tcPr>
          <w:p w14:paraId="452F23CE" w14:textId="77777777" w:rsidR="007C2B40" w:rsidRPr="00165DD7" w:rsidRDefault="007C2B40" w:rsidP="007C2B40">
            <w:pPr>
              <w:ind w:firstLine="0"/>
              <w:jc w:val="left"/>
              <w:rPr>
                <w:rFonts w:ascii="Calibri" w:eastAsia="Times New Roman" w:hAnsi="Calibri" w:cs="Calibri"/>
                <w:color w:val="000000"/>
                <w:sz w:val="18"/>
                <w:szCs w:val="18"/>
                <w:lang w:eastAsia="pl-PL"/>
              </w:rPr>
            </w:pPr>
            <w:r w:rsidRPr="00165DD7">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3C7D80FC" w14:textId="77777777" w:rsidR="007C2B40" w:rsidRPr="00165DD7"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5CA13A5" w14:textId="77777777" w:rsidR="007C2B40" w:rsidRPr="00165DD7" w:rsidRDefault="007C2B40" w:rsidP="007C2B40">
            <w:pPr>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4608173" w14:textId="2FA2CD6A" w:rsidR="007C2B40" w:rsidRPr="00165DD7" w:rsidRDefault="007C2B40" w:rsidP="007C2B40">
            <w:pPr>
              <w:spacing w:after="240"/>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t xml:space="preserve">Część projektu planu, do której zgłaszana jest uwaga (numer rozdziału, strona dokumentu): </w:t>
            </w:r>
            <w:r w:rsidRPr="00165DD7">
              <w:rPr>
                <w:rFonts w:ascii="Calibri" w:eastAsia="Times New Roman" w:hAnsi="Calibri" w:cs="Calibri"/>
                <w:color w:val="000000"/>
                <w:sz w:val="18"/>
                <w:szCs w:val="18"/>
                <w:lang w:eastAsia="pl-PL"/>
              </w:rPr>
              <w:br/>
              <w:t xml:space="preserve">Dotyczy: Rozdział 8, Załącznik nr 3.1. </w:t>
            </w:r>
            <w:r w:rsidRPr="00165DD7">
              <w:rPr>
                <w:rFonts w:ascii="Calibri" w:eastAsia="Times New Roman" w:hAnsi="Calibri" w:cs="Calibri"/>
                <w:color w:val="000000"/>
                <w:sz w:val="18"/>
                <w:szCs w:val="18"/>
                <w:lang w:eastAsia="pl-PL"/>
              </w:rPr>
              <w:br/>
              <w:t xml:space="preserve">Treść uwagi: Zweryfikowanie celów środowiskowych w zakresie zasolenia: </w:t>
            </w:r>
            <w:r w:rsidRPr="00165DD7">
              <w:rPr>
                <w:rFonts w:ascii="Calibri" w:eastAsia="Times New Roman" w:hAnsi="Calibri" w:cs="Calibri"/>
                <w:color w:val="000000"/>
                <w:sz w:val="18"/>
                <w:szCs w:val="18"/>
                <w:lang w:eastAsia="pl-PL"/>
              </w:rPr>
              <w:br/>
              <w:t xml:space="preserve">− zidentyfikowanie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zagrożonych zasoleniem, </w:t>
            </w:r>
            <w:r w:rsidRPr="00165DD7">
              <w:rPr>
                <w:rFonts w:ascii="Calibri" w:eastAsia="Times New Roman" w:hAnsi="Calibri" w:cs="Calibri"/>
                <w:color w:val="000000"/>
                <w:sz w:val="18"/>
                <w:szCs w:val="18"/>
                <w:lang w:eastAsia="pl-PL"/>
              </w:rPr>
              <w:br/>
              <w:t xml:space="preserve">− ustanowienie celów środowiskowych dla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zagrożonych zasoleniem w zakresie </w:t>
            </w:r>
            <w:r w:rsidRPr="00165DD7">
              <w:rPr>
                <w:rFonts w:ascii="Calibri" w:eastAsia="Times New Roman" w:hAnsi="Calibri" w:cs="Calibri"/>
                <w:color w:val="000000"/>
                <w:sz w:val="18"/>
                <w:szCs w:val="18"/>
                <w:lang w:eastAsia="pl-PL"/>
              </w:rPr>
              <w:br/>
              <w:t xml:space="preserve">takich wskaźników, jak: substancje rozpuszczone, siarczany, chlorki, wapń, magnez, </w:t>
            </w:r>
            <w:r w:rsidRPr="00165DD7">
              <w:rPr>
                <w:rFonts w:ascii="Calibri" w:eastAsia="Times New Roman" w:hAnsi="Calibri" w:cs="Calibri"/>
                <w:color w:val="000000"/>
                <w:sz w:val="18"/>
                <w:szCs w:val="18"/>
                <w:lang w:eastAsia="pl-PL"/>
              </w:rPr>
              <w:br/>
              <w:t xml:space="preserve">twardość ogólna i zasadowość ogólna, </w:t>
            </w:r>
            <w:r w:rsidRPr="00165DD7">
              <w:rPr>
                <w:rFonts w:ascii="Calibri" w:eastAsia="Times New Roman" w:hAnsi="Calibri" w:cs="Calibri"/>
                <w:color w:val="000000"/>
                <w:sz w:val="18"/>
                <w:szCs w:val="18"/>
                <w:lang w:eastAsia="pl-PL"/>
              </w:rPr>
              <w:br/>
              <w:t xml:space="preserve">− określenie klas stanu wód dla tych wskaźników, </w:t>
            </w:r>
            <w:r w:rsidRPr="00165DD7">
              <w:rPr>
                <w:rFonts w:ascii="Calibri" w:eastAsia="Times New Roman" w:hAnsi="Calibri" w:cs="Calibri"/>
                <w:color w:val="000000"/>
                <w:sz w:val="18"/>
                <w:szCs w:val="18"/>
                <w:lang w:eastAsia="pl-PL"/>
              </w:rPr>
              <w:br/>
              <w:t xml:space="preserve">− zapewnienie braku możliwości zastosowania derogacji w zakresie złagodzenia celów </w:t>
            </w:r>
            <w:r w:rsidRPr="00165DD7">
              <w:rPr>
                <w:rFonts w:ascii="Calibri" w:eastAsia="Times New Roman" w:hAnsi="Calibri" w:cs="Calibri"/>
                <w:color w:val="000000"/>
                <w:sz w:val="18"/>
                <w:szCs w:val="18"/>
                <w:lang w:eastAsia="pl-PL"/>
              </w:rPr>
              <w:br/>
              <w:t xml:space="preserve">środowiskowych (lub odroczenia terminu ich osiągnięcia) dla ww. wskaźników. </w:t>
            </w:r>
          </w:p>
        </w:tc>
        <w:tc>
          <w:tcPr>
            <w:tcW w:w="2733" w:type="dxa"/>
            <w:tcBorders>
              <w:top w:val="nil"/>
              <w:left w:val="nil"/>
              <w:bottom w:val="single" w:sz="4" w:space="0" w:color="auto"/>
              <w:right w:val="single" w:sz="4" w:space="0" w:color="auto"/>
            </w:tcBorders>
            <w:shd w:val="clear" w:color="auto" w:fill="auto"/>
            <w:hideMark/>
          </w:tcPr>
          <w:p w14:paraId="2552F0D2" w14:textId="134CBC76" w:rsidR="007C2B40" w:rsidRPr="00165DD7" w:rsidRDefault="007C2B40" w:rsidP="007C2B40">
            <w:pPr>
              <w:spacing w:after="240"/>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t xml:space="preserve">Propozycje zmiany: W ramach IIaPGW należy: </w:t>
            </w:r>
            <w:r w:rsidRPr="00165DD7">
              <w:rPr>
                <w:rFonts w:ascii="Calibri" w:eastAsia="Times New Roman" w:hAnsi="Calibri" w:cs="Calibri"/>
                <w:color w:val="000000"/>
                <w:sz w:val="18"/>
                <w:szCs w:val="18"/>
                <w:lang w:eastAsia="pl-PL"/>
              </w:rPr>
              <w:br/>
              <w:t xml:space="preserve">1) zidentyfikować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zagrożone zasoleniem, </w:t>
            </w:r>
            <w:r w:rsidRPr="00165DD7">
              <w:rPr>
                <w:rFonts w:ascii="Calibri" w:eastAsia="Times New Roman" w:hAnsi="Calibri" w:cs="Calibri"/>
                <w:color w:val="000000"/>
                <w:sz w:val="18"/>
                <w:szCs w:val="18"/>
                <w:lang w:eastAsia="pl-PL"/>
              </w:rPr>
              <w:br/>
              <w:t xml:space="preserve">2) ustanowić cele środowiskowe dla tych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obejmujące substancje rozpuszczone, siarczany, chlorki, wapń, magnez, twardość ogólna i zasadowość ogólna oraz określić klasy stanu wód dla tych wskaźników, </w:t>
            </w:r>
            <w:r w:rsidRPr="00165DD7">
              <w:rPr>
                <w:rFonts w:ascii="Calibri" w:eastAsia="Times New Roman" w:hAnsi="Calibri" w:cs="Calibri"/>
                <w:color w:val="000000"/>
                <w:sz w:val="18"/>
                <w:szCs w:val="18"/>
                <w:lang w:eastAsia="pl-PL"/>
              </w:rPr>
              <w:br/>
              <w:t xml:space="preserve">3) określenie klas stanu wód dla tych wskaźników, </w:t>
            </w:r>
            <w:r w:rsidRPr="00165DD7">
              <w:rPr>
                <w:rFonts w:ascii="Calibri" w:eastAsia="Times New Roman" w:hAnsi="Calibri" w:cs="Calibri"/>
                <w:color w:val="000000"/>
                <w:sz w:val="18"/>
                <w:szCs w:val="18"/>
                <w:lang w:eastAsia="pl-PL"/>
              </w:rPr>
              <w:br/>
              <w:t xml:space="preserve">4) zapewnić brak możliwości zastosowania derogacji w zakresie złagodzenia celów </w:t>
            </w:r>
            <w:r w:rsidRPr="00165DD7">
              <w:rPr>
                <w:rFonts w:ascii="Calibri" w:eastAsia="Times New Roman" w:hAnsi="Calibri" w:cs="Calibri"/>
                <w:color w:val="000000"/>
                <w:sz w:val="18"/>
                <w:szCs w:val="18"/>
                <w:lang w:eastAsia="pl-PL"/>
              </w:rPr>
              <w:br/>
              <w:t xml:space="preserve">środowiskowych (lub odroczenia terminu ich osiągnięcia) dla ww. wskaźników. </w:t>
            </w:r>
          </w:p>
        </w:tc>
        <w:tc>
          <w:tcPr>
            <w:tcW w:w="3009" w:type="dxa"/>
            <w:tcBorders>
              <w:top w:val="nil"/>
              <w:left w:val="nil"/>
              <w:bottom w:val="single" w:sz="4" w:space="0" w:color="auto"/>
              <w:right w:val="single" w:sz="4" w:space="0" w:color="auto"/>
            </w:tcBorders>
            <w:shd w:val="clear" w:color="auto" w:fill="auto"/>
            <w:hideMark/>
          </w:tcPr>
          <w:p w14:paraId="79ED6C2C" w14:textId="3091E28F" w:rsidR="007C2B40" w:rsidRPr="00165DD7" w:rsidRDefault="007C2B40" w:rsidP="007C2B40">
            <w:pPr>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t xml:space="preserve">Uzasadnienie propozycji zmiany: </w:t>
            </w:r>
            <w:r w:rsidRPr="00165DD7">
              <w:rPr>
                <w:rFonts w:ascii="Calibri" w:eastAsia="Times New Roman" w:hAnsi="Calibri" w:cs="Calibri"/>
                <w:color w:val="000000"/>
                <w:sz w:val="18"/>
                <w:szCs w:val="18"/>
                <w:lang w:eastAsia="pl-PL"/>
              </w:rPr>
              <w:br/>
              <w:t xml:space="preserve">1. Rozporządzenie Ministra Infrastruktury z dnia 13 lipca 2021 r. w sprawie form i sposobu </w:t>
            </w:r>
            <w:r w:rsidRPr="00165DD7">
              <w:rPr>
                <w:rFonts w:ascii="Calibri" w:eastAsia="Times New Roman" w:hAnsi="Calibri" w:cs="Calibri"/>
                <w:color w:val="000000"/>
                <w:sz w:val="18"/>
                <w:szCs w:val="18"/>
                <w:lang w:eastAsia="pl-PL"/>
              </w:rPr>
              <w:br/>
              <w:t xml:space="preserve">prowadzenia monitoringu jednolitych części wód powierzchniowych i jednolitych części </w:t>
            </w:r>
            <w:r w:rsidRPr="00165DD7">
              <w:rPr>
                <w:rFonts w:ascii="Calibri" w:eastAsia="Times New Roman" w:hAnsi="Calibri" w:cs="Calibri"/>
                <w:color w:val="000000"/>
                <w:sz w:val="18"/>
                <w:szCs w:val="18"/>
                <w:lang w:eastAsia="pl-PL"/>
              </w:rPr>
              <w:br/>
              <w:t xml:space="preserve">wód podziemnych (Dz. U. z 2021 r. poz. 1576) w załączniku nr 3 (w przypisie nr 8 do tabeli </w:t>
            </w:r>
            <w:r w:rsidRPr="00165DD7">
              <w:rPr>
                <w:rFonts w:ascii="Calibri" w:eastAsia="Times New Roman" w:hAnsi="Calibri" w:cs="Calibri"/>
                <w:color w:val="000000"/>
                <w:sz w:val="18"/>
                <w:szCs w:val="18"/>
                <w:lang w:eastAsia="pl-PL"/>
              </w:rPr>
              <w:br/>
              <w:t xml:space="preserve">nr 3) dedykowanym monitoringowi operacyjnemu wskazuje na konieczność badania w </w:t>
            </w:r>
            <w:r w:rsidRPr="00165DD7">
              <w:rPr>
                <w:rFonts w:ascii="Calibri" w:eastAsia="Times New Roman" w:hAnsi="Calibri" w:cs="Calibri"/>
                <w:color w:val="000000"/>
                <w:sz w:val="18"/>
                <w:szCs w:val="18"/>
                <w:lang w:eastAsia="pl-PL"/>
              </w:rPr>
              <w:br/>
              <w:t xml:space="preserve">rzecznych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„zagrożonych zasoleniem” takich parametrów, jak m.in. substancje </w:t>
            </w:r>
            <w:r w:rsidRPr="00165DD7">
              <w:rPr>
                <w:rFonts w:ascii="Calibri" w:eastAsia="Times New Roman" w:hAnsi="Calibri" w:cs="Calibri"/>
                <w:color w:val="000000"/>
                <w:sz w:val="18"/>
                <w:szCs w:val="18"/>
                <w:lang w:eastAsia="pl-PL"/>
              </w:rPr>
              <w:br/>
              <w:t xml:space="preserve">rozpuszczone, siarczany, chlorki, wapń, magnez, twardość ogólna i zasadowość ogólna – </w:t>
            </w:r>
            <w:r w:rsidRPr="00165DD7">
              <w:rPr>
                <w:rFonts w:ascii="Calibri" w:eastAsia="Times New Roman" w:hAnsi="Calibri" w:cs="Calibri"/>
                <w:color w:val="000000"/>
                <w:sz w:val="18"/>
                <w:szCs w:val="18"/>
                <w:lang w:eastAsia="pl-PL"/>
              </w:rPr>
              <w:br/>
              <w:t xml:space="preserve">a więc znacznie szerszy katalog wskaźników zasolenia niż wyłącznie przewodność </w:t>
            </w:r>
            <w:r w:rsidRPr="00165DD7">
              <w:rPr>
                <w:rFonts w:ascii="Calibri" w:eastAsia="Times New Roman" w:hAnsi="Calibri" w:cs="Calibri"/>
                <w:color w:val="000000"/>
                <w:sz w:val="18"/>
                <w:szCs w:val="18"/>
                <w:lang w:eastAsia="pl-PL"/>
              </w:rPr>
              <w:br/>
              <w:t xml:space="preserve">elektrolityczna właściwa. </w:t>
            </w:r>
            <w:r w:rsidRPr="00165DD7">
              <w:rPr>
                <w:rFonts w:ascii="Calibri" w:eastAsia="Times New Roman" w:hAnsi="Calibri" w:cs="Calibri"/>
                <w:color w:val="000000"/>
                <w:sz w:val="18"/>
                <w:szCs w:val="18"/>
                <w:lang w:eastAsia="pl-PL"/>
              </w:rPr>
              <w:br/>
              <w:t xml:space="preserve">2. Punkt 2 w załączniku nr 7 do rozporządzenie Ministra Infrastruktury z dnia 25 czerwca </w:t>
            </w:r>
            <w:r w:rsidRPr="00165DD7">
              <w:rPr>
                <w:rFonts w:ascii="Calibri" w:eastAsia="Times New Roman" w:hAnsi="Calibri" w:cs="Calibri"/>
                <w:color w:val="000000"/>
                <w:sz w:val="18"/>
                <w:szCs w:val="18"/>
                <w:lang w:eastAsia="pl-PL"/>
              </w:rPr>
              <w:br/>
              <w:t xml:space="preserve">2021 r. w sprawie klasyfikacji stanu ekologicznego, potencjału </w:t>
            </w:r>
            <w:r w:rsidRPr="00165DD7">
              <w:rPr>
                <w:rFonts w:ascii="Calibri" w:eastAsia="Times New Roman" w:hAnsi="Calibri" w:cs="Calibri"/>
                <w:color w:val="000000"/>
                <w:sz w:val="18"/>
                <w:szCs w:val="18"/>
                <w:lang w:eastAsia="pl-PL"/>
              </w:rPr>
              <w:lastRenderedPageBreak/>
              <w:t xml:space="preserve">ekologicznego i stanu </w:t>
            </w:r>
            <w:r w:rsidRPr="00165DD7">
              <w:rPr>
                <w:rFonts w:ascii="Calibri" w:eastAsia="Times New Roman" w:hAnsi="Calibri" w:cs="Calibri"/>
                <w:color w:val="000000"/>
                <w:sz w:val="18"/>
                <w:szCs w:val="18"/>
                <w:lang w:eastAsia="pl-PL"/>
              </w:rPr>
              <w:br/>
              <w:t xml:space="preserve">chemicznego oraz sposobu klasyfikacji stanu jednolitych części wód powierzchniowych, a </w:t>
            </w:r>
            <w:r w:rsidRPr="00165DD7">
              <w:rPr>
                <w:rFonts w:ascii="Calibri" w:eastAsia="Times New Roman" w:hAnsi="Calibri" w:cs="Calibri"/>
                <w:color w:val="000000"/>
                <w:sz w:val="18"/>
                <w:szCs w:val="18"/>
                <w:lang w:eastAsia="pl-PL"/>
              </w:rPr>
              <w:br/>
              <w:t xml:space="preserve">także środowiskowych norm jakości dla substancji priorytetowych (Dz. U. z 2021 r. poz. </w:t>
            </w:r>
            <w:r w:rsidRPr="00165DD7">
              <w:rPr>
                <w:rFonts w:ascii="Calibri" w:eastAsia="Times New Roman" w:hAnsi="Calibri" w:cs="Calibri"/>
                <w:color w:val="000000"/>
                <w:sz w:val="18"/>
                <w:szCs w:val="18"/>
                <w:lang w:eastAsia="pl-PL"/>
              </w:rPr>
              <w:br/>
              <w:t xml:space="preserve">1475) wskazuje, że wartości graniczne dla klas wskaźników jakości wód </w:t>
            </w:r>
            <w:r w:rsidRPr="00165DD7">
              <w:rPr>
                <w:rFonts w:ascii="Calibri" w:eastAsia="Times New Roman" w:hAnsi="Calibri" w:cs="Calibri"/>
                <w:color w:val="000000"/>
                <w:sz w:val="18"/>
                <w:szCs w:val="18"/>
                <w:lang w:eastAsia="pl-PL"/>
              </w:rPr>
              <w:br/>
              <w:t xml:space="preserve">powierzchniowych, będące podstawą klasyfikacji potencjału ekologicznego silnie </w:t>
            </w:r>
            <w:r w:rsidRPr="00165DD7">
              <w:rPr>
                <w:rFonts w:ascii="Calibri" w:eastAsia="Times New Roman" w:hAnsi="Calibri" w:cs="Calibri"/>
                <w:color w:val="000000"/>
                <w:sz w:val="18"/>
                <w:szCs w:val="18"/>
                <w:lang w:eastAsia="pl-PL"/>
              </w:rPr>
              <w:br/>
              <w:t xml:space="preserve">zmienionych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określa się w planie gospodarowania wodami na obszarze dorzecza </w:t>
            </w:r>
            <w:r w:rsidRPr="00165DD7">
              <w:rPr>
                <w:rFonts w:ascii="Calibri" w:eastAsia="Times New Roman" w:hAnsi="Calibri" w:cs="Calibri"/>
                <w:color w:val="000000"/>
                <w:sz w:val="18"/>
                <w:szCs w:val="18"/>
                <w:lang w:eastAsia="pl-PL"/>
              </w:rPr>
              <w:br/>
              <w:t xml:space="preserve">lub w ramach jego aktualizacji. Rozporządzenie to w żadnym miejscu nie wskazuje, że ww. </w:t>
            </w:r>
            <w:r w:rsidRPr="00165DD7">
              <w:rPr>
                <w:rFonts w:ascii="Calibri" w:eastAsia="Times New Roman" w:hAnsi="Calibri" w:cs="Calibri"/>
                <w:color w:val="000000"/>
                <w:sz w:val="18"/>
                <w:szCs w:val="18"/>
                <w:lang w:eastAsia="pl-PL"/>
              </w:rPr>
              <w:br/>
              <w:t xml:space="preserve">wartości graniczne mają dotyczyć wyłącznie wskaźników, które są przypisane w </w:t>
            </w:r>
            <w:r w:rsidRPr="00165DD7">
              <w:rPr>
                <w:rFonts w:ascii="Calibri" w:eastAsia="Times New Roman" w:hAnsi="Calibri" w:cs="Calibri"/>
                <w:color w:val="000000"/>
                <w:sz w:val="18"/>
                <w:szCs w:val="18"/>
                <w:lang w:eastAsia="pl-PL"/>
              </w:rPr>
              <w:br/>
              <w:t xml:space="preserve">rozporządzeniu do naturalnych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w:t>
            </w:r>
            <w:r w:rsidRPr="00165DD7">
              <w:rPr>
                <w:rFonts w:ascii="Calibri" w:eastAsia="Times New Roman" w:hAnsi="Calibri" w:cs="Calibri"/>
                <w:color w:val="000000"/>
                <w:sz w:val="18"/>
                <w:szCs w:val="18"/>
                <w:lang w:eastAsia="pl-PL"/>
              </w:rPr>
              <w:br/>
              <w:t xml:space="preserve">3. Zestawiając ww. pkt 2 z pkt 1 należy stwierdzić, że w ramach IIaPGW w odniesieniu </w:t>
            </w:r>
            <w:r w:rsidRPr="00165DD7">
              <w:rPr>
                <w:rFonts w:ascii="Calibri" w:eastAsia="Times New Roman" w:hAnsi="Calibri" w:cs="Calibri"/>
                <w:color w:val="000000"/>
                <w:sz w:val="18"/>
                <w:szCs w:val="18"/>
                <w:lang w:eastAsia="pl-PL"/>
              </w:rPr>
              <w:br/>
              <w:t xml:space="preserve">do rzecznych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zagrożonych zasoleniem powinny być ustalone wartości celów </w:t>
            </w:r>
            <w:r w:rsidRPr="00165DD7">
              <w:rPr>
                <w:rFonts w:ascii="Calibri" w:eastAsia="Times New Roman" w:hAnsi="Calibri" w:cs="Calibri"/>
                <w:color w:val="000000"/>
                <w:sz w:val="18"/>
                <w:szCs w:val="18"/>
                <w:lang w:eastAsia="pl-PL"/>
              </w:rPr>
              <w:br/>
              <w:t xml:space="preserve">środowiskowych (i wartości graniczne dla klas jakości wskaźników stanu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dla </w:t>
            </w:r>
            <w:r w:rsidRPr="00165DD7">
              <w:rPr>
                <w:rFonts w:ascii="Calibri" w:eastAsia="Times New Roman" w:hAnsi="Calibri" w:cs="Calibri"/>
                <w:color w:val="000000"/>
                <w:sz w:val="18"/>
                <w:szCs w:val="18"/>
                <w:lang w:eastAsia="pl-PL"/>
              </w:rPr>
              <w:br/>
              <w:t xml:space="preserve">wszystkich wskaźników zasolenia (tj. przewodność elektrolityczna właściwa w 20oC, </w:t>
            </w:r>
            <w:r w:rsidRPr="00165DD7">
              <w:rPr>
                <w:rFonts w:ascii="Calibri" w:eastAsia="Times New Roman" w:hAnsi="Calibri" w:cs="Calibri"/>
                <w:color w:val="000000"/>
                <w:sz w:val="18"/>
                <w:szCs w:val="18"/>
                <w:lang w:eastAsia="pl-PL"/>
              </w:rPr>
              <w:br/>
              <w:t xml:space="preserve">substancje rozpuszczone, siarczany, chlorki, wapń, magnez i twardość ogólna). Z uwagi na </w:t>
            </w:r>
            <w:r w:rsidRPr="00165DD7">
              <w:rPr>
                <w:rFonts w:ascii="Calibri" w:eastAsia="Times New Roman" w:hAnsi="Calibri" w:cs="Calibri"/>
                <w:color w:val="000000"/>
                <w:sz w:val="18"/>
                <w:szCs w:val="18"/>
                <w:lang w:eastAsia="pl-PL"/>
              </w:rPr>
              <w:br/>
              <w:t xml:space="preserve">fakt, że opracowana analiza presji1) pod względem zasolenia nie odnosi się do wskaźników innych niż przewodność elektrolityczna (podobnie jak projekt pn. „Ustalenie celów środowiskowych dla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wraz z opracowaniem rejestru wykazu obszarów </w:t>
            </w:r>
            <w:r w:rsidRPr="00165DD7">
              <w:rPr>
                <w:rFonts w:ascii="Calibri" w:eastAsia="Times New Roman" w:hAnsi="Calibri" w:cs="Calibri"/>
                <w:color w:val="000000"/>
                <w:sz w:val="18"/>
                <w:szCs w:val="18"/>
                <w:lang w:eastAsia="pl-PL"/>
              </w:rPr>
              <w:br/>
              <w:t xml:space="preserve">chronionych”) – należy przyjąć, że w ramach cyklu planistycznego zmierzającego do </w:t>
            </w:r>
            <w:r w:rsidRPr="00165DD7">
              <w:rPr>
                <w:rFonts w:ascii="Calibri" w:eastAsia="Times New Roman" w:hAnsi="Calibri" w:cs="Calibri"/>
                <w:color w:val="000000"/>
                <w:sz w:val="18"/>
                <w:szCs w:val="18"/>
                <w:lang w:eastAsia="pl-PL"/>
              </w:rPr>
              <w:br/>
              <w:t xml:space="preserve">opracowania IIaPGW nie opracowano materiałów uzasadniających odstępstwo od </w:t>
            </w:r>
            <w:r w:rsidRPr="00165DD7">
              <w:rPr>
                <w:rFonts w:ascii="Calibri" w:eastAsia="Times New Roman" w:hAnsi="Calibri" w:cs="Calibri"/>
                <w:color w:val="000000"/>
                <w:sz w:val="18"/>
                <w:szCs w:val="18"/>
                <w:lang w:eastAsia="pl-PL"/>
              </w:rPr>
              <w:br/>
              <w:t xml:space="preserve">osiągnięcia celów środowiskowych dla takich wskaźników, jak substancje rozpuszczone, </w:t>
            </w:r>
            <w:r w:rsidRPr="00165DD7">
              <w:rPr>
                <w:rFonts w:ascii="Calibri" w:eastAsia="Times New Roman" w:hAnsi="Calibri" w:cs="Calibri"/>
                <w:color w:val="000000"/>
                <w:sz w:val="18"/>
                <w:szCs w:val="18"/>
                <w:lang w:eastAsia="pl-PL"/>
              </w:rPr>
              <w:br/>
              <w:t xml:space="preserve">siarczany, chlorki, wapń, magnez i twardość ogólna. </w:t>
            </w:r>
            <w:r w:rsidRPr="00165DD7">
              <w:rPr>
                <w:rFonts w:ascii="Calibri" w:eastAsia="Times New Roman" w:hAnsi="Calibri" w:cs="Calibri"/>
                <w:color w:val="000000"/>
                <w:sz w:val="18"/>
                <w:szCs w:val="18"/>
                <w:lang w:eastAsia="pl-PL"/>
              </w:rPr>
              <w:br/>
            </w:r>
            <w:r w:rsidRPr="00165DD7">
              <w:rPr>
                <w:rFonts w:ascii="Calibri" w:eastAsia="Times New Roman" w:hAnsi="Calibri" w:cs="Calibri"/>
                <w:color w:val="000000"/>
                <w:sz w:val="18"/>
                <w:szCs w:val="18"/>
                <w:lang w:eastAsia="pl-PL"/>
              </w:rPr>
              <w:lastRenderedPageBreak/>
              <w:t xml:space="preserve">4. Powyższe znajduje odzwierciedlenie również w pracy pn. „Aktualizacja metod oceny </w:t>
            </w:r>
            <w:r w:rsidRPr="00165DD7">
              <w:rPr>
                <w:rFonts w:ascii="Calibri" w:eastAsia="Times New Roman" w:hAnsi="Calibri" w:cs="Calibri"/>
                <w:color w:val="000000"/>
                <w:sz w:val="18"/>
                <w:szCs w:val="18"/>
                <w:lang w:eastAsia="pl-PL"/>
              </w:rPr>
              <w:br/>
              <w:t xml:space="preserve">stanu ekologicznego wód powierzchniowych na podstawie elementów </w:t>
            </w:r>
            <w:r w:rsidRPr="00165DD7">
              <w:rPr>
                <w:rFonts w:ascii="Calibri" w:eastAsia="Times New Roman" w:hAnsi="Calibri" w:cs="Calibri"/>
                <w:color w:val="000000"/>
                <w:sz w:val="18"/>
                <w:szCs w:val="18"/>
                <w:lang w:eastAsia="pl-PL"/>
              </w:rPr>
              <w:br/>
              <w:t xml:space="preserve">fizykochemicznych. Zadanie 2.2. Opracowanie nowych wartości granicznych dla </w:t>
            </w:r>
            <w:r w:rsidRPr="00165DD7">
              <w:rPr>
                <w:rFonts w:ascii="Calibri" w:eastAsia="Times New Roman" w:hAnsi="Calibri" w:cs="Calibri"/>
                <w:color w:val="000000"/>
                <w:sz w:val="18"/>
                <w:szCs w:val="18"/>
                <w:lang w:eastAsia="pl-PL"/>
              </w:rPr>
              <w:br/>
              <w:t xml:space="preserve">wskaźników fizykochemicznych elementów oceny jakości wód powierzchniowych”, </w:t>
            </w:r>
            <w:r w:rsidRPr="00165DD7">
              <w:rPr>
                <w:rFonts w:ascii="Calibri" w:eastAsia="Times New Roman" w:hAnsi="Calibri" w:cs="Calibri"/>
                <w:color w:val="000000"/>
                <w:sz w:val="18"/>
                <w:szCs w:val="18"/>
                <w:lang w:eastAsia="pl-PL"/>
              </w:rPr>
              <w:br/>
              <w:t xml:space="preserve">wykonanej w 2018 r. na zlecenie Głównego Inspektoratu Ochrony Środowiska (praca ta </w:t>
            </w:r>
            <w:r w:rsidRPr="00165DD7">
              <w:rPr>
                <w:rFonts w:ascii="Calibri" w:eastAsia="Times New Roman" w:hAnsi="Calibri" w:cs="Calibri"/>
                <w:color w:val="000000"/>
                <w:sz w:val="18"/>
                <w:szCs w:val="18"/>
                <w:lang w:eastAsia="pl-PL"/>
              </w:rPr>
              <w:br/>
              <w:t xml:space="preserve">stanowiła merytoryczną podstawę do weryfikacji wskaźników stanu wód i ich wartości </w:t>
            </w:r>
            <w:r w:rsidRPr="00165DD7">
              <w:rPr>
                <w:rFonts w:ascii="Calibri" w:eastAsia="Times New Roman" w:hAnsi="Calibri" w:cs="Calibri"/>
                <w:color w:val="000000"/>
                <w:sz w:val="18"/>
                <w:szCs w:val="18"/>
                <w:lang w:eastAsia="pl-PL"/>
              </w:rPr>
              <w:br/>
              <w:t xml:space="preserve">przypisanych do poszczególnych klas2). W pracy tej napisano m.in.: „W przypadku rzek </w:t>
            </w:r>
            <w:r w:rsidRPr="00165DD7">
              <w:rPr>
                <w:rFonts w:ascii="Calibri" w:eastAsia="Times New Roman" w:hAnsi="Calibri" w:cs="Calibri"/>
                <w:color w:val="000000"/>
                <w:sz w:val="18"/>
                <w:szCs w:val="18"/>
                <w:lang w:eastAsia="pl-PL"/>
              </w:rPr>
              <w:br/>
              <w:t xml:space="preserve">zagrożonych zasoleniem, rekomenduje się prowadzenie monitoringu dodatkowych </w:t>
            </w:r>
            <w:r w:rsidRPr="00165DD7">
              <w:rPr>
                <w:rFonts w:ascii="Calibri" w:eastAsia="Times New Roman" w:hAnsi="Calibri" w:cs="Calibri"/>
                <w:color w:val="000000"/>
                <w:sz w:val="18"/>
                <w:szCs w:val="18"/>
                <w:lang w:eastAsia="pl-PL"/>
              </w:rPr>
              <w:br/>
              <w:t xml:space="preserve">siedmiu parametrów: substancje rozpuszczone, siarczany, chlorki, wapń, magnez, </w:t>
            </w:r>
            <w:r w:rsidRPr="00165DD7">
              <w:rPr>
                <w:rFonts w:ascii="Calibri" w:eastAsia="Times New Roman" w:hAnsi="Calibri" w:cs="Calibri"/>
                <w:color w:val="000000"/>
                <w:sz w:val="18"/>
                <w:szCs w:val="18"/>
                <w:lang w:eastAsia="pl-PL"/>
              </w:rPr>
              <w:br/>
              <w:t xml:space="preserve">twardość ogólna, zasadowość ogólna. Zagrożenie zasoleniem dotyczy głównie cieków, do </w:t>
            </w:r>
            <w:r w:rsidRPr="00165DD7">
              <w:rPr>
                <w:rFonts w:ascii="Calibri" w:eastAsia="Times New Roman" w:hAnsi="Calibri" w:cs="Calibri"/>
                <w:color w:val="000000"/>
                <w:sz w:val="18"/>
                <w:szCs w:val="18"/>
                <w:lang w:eastAsia="pl-PL"/>
              </w:rPr>
              <w:br/>
              <w:t xml:space="preserve">których odprowadzane są wody kopalniane lub występuje zrzut zasolonych wód </w:t>
            </w:r>
            <w:r w:rsidRPr="00165DD7">
              <w:rPr>
                <w:rFonts w:ascii="Calibri" w:eastAsia="Times New Roman" w:hAnsi="Calibri" w:cs="Calibri"/>
                <w:color w:val="000000"/>
                <w:sz w:val="18"/>
                <w:szCs w:val="18"/>
                <w:lang w:eastAsia="pl-PL"/>
              </w:rPr>
              <w:br/>
              <w:t xml:space="preserve">związanych z niektórymi technologiami przemysłowymi. Realizacja monitoringu wód </w:t>
            </w:r>
            <w:r w:rsidRPr="00165DD7">
              <w:rPr>
                <w:rFonts w:ascii="Calibri" w:eastAsia="Times New Roman" w:hAnsi="Calibri" w:cs="Calibri"/>
                <w:color w:val="000000"/>
                <w:sz w:val="18"/>
                <w:szCs w:val="18"/>
                <w:lang w:eastAsia="pl-PL"/>
              </w:rPr>
              <w:br/>
              <w:t xml:space="preserve">zasolonych ma głównie na celu ocenę zachodzących trendów w rzekach, do których </w:t>
            </w:r>
            <w:r w:rsidRPr="00165DD7">
              <w:rPr>
                <w:rFonts w:ascii="Calibri" w:eastAsia="Times New Roman" w:hAnsi="Calibri" w:cs="Calibri"/>
                <w:color w:val="000000"/>
                <w:sz w:val="18"/>
                <w:szCs w:val="18"/>
                <w:lang w:eastAsia="pl-PL"/>
              </w:rPr>
              <w:br/>
              <w:t xml:space="preserve">zgodnie z pozwoleniem (wodnoprawnym, zintegrowanym) bezpośrednio odprowadzane </w:t>
            </w:r>
            <w:r w:rsidRPr="00165DD7">
              <w:rPr>
                <w:rFonts w:ascii="Calibri" w:eastAsia="Times New Roman" w:hAnsi="Calibri" w:cs="Calibri"/>
                <w:color w:val="000000"/>
                <w:sz w:val="18"/>
                <w:szCs w:val="18"/>
                <w:lang w:eastAsia="pl-PL"/>
              </w:rPr>
              <w:br/>
              <w:t xml:space="preserve">są ścieki zasolone oraz części wód znajdujące się poniżej, jeśli odnotowuje się w nich </w:t>
            </w:r>
            <w:r w:rsidRPr="00165DD7">
              <w:rPr>
                <w:rFonts w:ascii="Calibri" w:eastAsia="Times New Roman" w:hAnsi="Calibri" w:cs="Calibri"/>
                <w:color w:val="000000"/>
                <w:sz w:val="18"/>
                <w:szCs w:val="18"/>
                <w:lang w:eastAsia="pl-PL"/>
              </w:rPr>
              <w:br/>
              <w:t xml:space="preserve">podwyższone zasolenie. Wskazanie części wód, które podlegają takiej presji, a więc </w:t>
            </w:r>
            <w:r w:rsidRPr="00165DD7">
              <w:rPr>
                <w:rFonts w:ascii="Calibri" w:eastAsia="Times New Roman" w:hAnsi="Calibri" w:cs="Calibri"/>
                <w:color w:val="000000"/>
                <w:sz w:val="18"/>
                <w:szCs w:val="18"/>
                <w:lang w:eastAsia="pl-PL"/>
              </w:rPr>
              <w:br/>
              <w:t xml:space="preserve">powinny zostać objęte dedykowanym programu monitoringu, powinno nastąpić na </w:t>
            </w:r>
            <w:r w:rsidRPr="00165DD7">
              <w:rPr>
                <w:rFonts w:ascii="Calibri" w:eastAsia="Times New Roman" w:hAnsi="Calibri" w:cs="Calibri"/>
                <w:color w:val="000000"/>
                <w:sz w:val="18"/>
                <w:szCs w:val="18"/>
                <w:lang w:eastAsia="pl-PL"/>
              </w:rPr>
              <w:br/>
              <w:t xml:space="preserve">podstawie analizy presji i oddziaływań (np. w ramach realizowanej na zamówienie PGW </w:t>
            </w:r>
            <w:r w:rsidRPr="00165DD7">
              <w:rPr>
                <w:rFonts w:ascii="Calibri" w:eastAsia="Times New Roman" w:hAnsi="Calibri" w:cs="Calibri"/>
                <w:color w:val="000000"/>
                <w:sz w:val="18"/>
                <w:szCs w:val="18"/>
                <w:lang w:eastAsia="pl-PL"/>
              </w:rPr>
              <w:br/>
              <w:t xml:space="preserve">Wody Polskie pracy dotyczącej identyfikacji presji w regionach </w:t>
            </w:r>
            <w:r w:rsidRPr="00165DD7">
              <w:rPr>
                <w:rFonts w:ascii="Calibri" w:eastAsia="Times New Roman" w:hAnsi="Calibri" w:cs="Calibri"/>
                <w:color w:val="000000"/>
                <w:sz w:val="18"/>
                <w:szCs w:val="18"/>
                <w:lang w:eastAsia="pl-PL"/>
              </w:rPr>
              <w:lastRenderedPageBreak/>
              <w:t xml:space="preserve">wodnych i na obszarach </w:t>
            </w:r>
            <w:r w:rsidRPr="00165DD7">
              <w:rPr>
                <w:rFonts w:ascii="Calibri" w:eastAsia="Times New Roman" w:hAnsi="Calibri" w:cs="Calibri"/>
                <w:color w:val="000000"/>
                <w:sz w:val="18"/>
                <w:szCs w:val="18"/>
                <w:lang w:eastAsia="pl-PL"/>
              </w:rPr>
              <w:br/>
              <w:t xml:space="preserve">dorzeczy) lub na etapie wyznaczania celów środowiskowych dla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Powyższy </w:t>
            </w:r>
            <w:r w:rsidRPr="00165DD7">
              <w:rPr>
                <w:rFonts w:ascii="Calibri" w:eastAsia="Times New Roman" w:hAnsi="Calibri" w:cs="Calibri"/>
                <w:color w:val="000000"/>
                <w:sz w:val="18"/>
                <w:szCs w:val="18"/>
                <w:lang w:eastAsia="pl-PL"/>
              </w:rPr>
              <w:br/>
              <w:t xml:space="preserve">wniosek powtórzono w monografii pn. „Wskaźniki fizykochemiczne w ocenie stanu </w:t>
            </w:r>
            <w:r w:rsidRPr="00165DD7">
              <w:rPr>
                <w:rFonts w:ascii="Calibri" w:eastAsia="Times New Roman" w:hAnsi="Calibri" w:cs="Calibri"/>
                <w:color w:val="000000"/>
                <w:sz w:val="18"/>
                <w:szCs w:val="18"/>
                <w:lang w:eastAsia="pl-PL"/>
              </w:rPr>
              <w:br/>
              <w:t xml:space="preserve">ekologicznego wód powierzchniowych - weryfikacja standardów środowiskowych”3. </w:t>
            </w:r>
            <w:r w:rsidRPr="00165DD7">
              <w:rPr>
                <w:rFonts w:ascii="Calibri" w:eastAsia="Times New Roman" w:hAnsi="Calibri" w:cs="Calibri"/>
                <w:color w:val="000000"/>
                <w:sz w:val="18"/>
                <w:szCs w:val="18"/>
                <w:lang w:eastAsia="pl-PL"/>
              </w:rPr>
              <w:br/>
              <w:t xml:space="preserve">Postulat dot. uwzględnienia przedmiotowego aspektu na etapie analizy presji lub na </w:t>
            </w:r>
            <w:r w:rsidRPr="00165DD7">
              <w:rPr>
                <w:rFonts w:ascii="Calibri" w:eastAsia="Times New Roman" w:hAnsi="Calibri" w:cs="Calibri"/>
                <w:color w:val="000000"/>
                <w:sz w:val="18"/>
                <w:szCs w:val="18"/>
                <w:lang w:eastAsia="pl-PL"/>
              </w:rPr>
              <w:br/>
              <w:t xml:space="preserve">etapie wyznaczania celów środowiskowych nie został uwzględniony, jednak </w:t>
            </w:r>
            <w:r w:rsidRPr="00165DD7">
              <w:rPr>
                <w:rFonts w:ascii="Calibri" w:eastAsia="Times New Roman" w:hAnsi="Calibri" w:cs="Calibri"/>
                <w:color w:val="000000"/>
                <w:sz w:val="18"/>
                <w:szCs w:val="18"/>
                <w:lang w:eastAsia="pl-PL"/>
              </w:rPr>
              <w:br/>
              <w:t xml:space="preserve">przedmiotowe zalecenie znalazło wyraźne odzwierciedlenie w rozporządzeniu Ministra </w:t>
            </w:r>
            <w:r w:rsidRPr="00165DD7">
              <w:rPr>
                <w:rFonts w:ascii="Calibri" w:eastAsia="Times New Roman" w:hAnsi="Calibri" w:cs="Calibri"/>
                <w:color w:val="000000"/>
                <w:sz w:val="18"/>
                <w:szCs w:val="18"/>
                <w:lang w:eastAsia="pl-PL"/>
              </w:rPr>
              <w:br/>
              <w:t xml:space="preserve">Infrastruktury z dnia 13 lipca 2021 r., które trzeba logicznie powiązać z rozporządzeniem </w:t>
            </w:r>
            <w:r w:rsidRPr="00165DD7">
              <w:rPr>
                <w:rFonts w:ascii="Calibri" w:eastAsia="Times New Roman" w:hAnsi="Calibri" w:cs="Calibri"/>
                <w:color w:val="000000"/>
                <w:sz w:val="18"/>
                <w:szCs w:val="18"/>
                <w:lang w:eastAsia="pl-PL"/>
              </w:rPr>
              <w:br/>
              <w:t xml:space="preserve">Ministra Infrastruktury z dnia 25 czerwca 2021 r. </w:t>
            </w:r>
            <w:r w:rsidRPr="00165DD7">
              <w:rPr>
                <w:rFonts w:ascii="Calibri" w:eastAsia="Times New Roman" w:hAnsi="Calibri" w:cs="Calibri"/>
                <w:color w:val="000000"/>
                <w:sz w:val="18"/>
                <w:szCs w:val="18"/>
                <w:lang w:eastAsia="pl-PL"/>
              </w:rPr>
              <w:br/>
              <w:t xml:space="preserve">5. Powyższe oznacza, że w celu uczynienia zadość wymaganiom prawnym oraz wymaganiom stanu wiedzy które stanęły u podstaw krajowego systemu monitoringu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w ramach IIaPGW należy: </w:t>
            </w:r>
            <w:r w:rsidRPr="00165DD7">
              <w:rPr>
                <w:rFonts w:ascii="Calibri" w:eastAsia="Times New Roman" w:hAnsi="Calibri" w:cs="Calibri"/>
                <w:color w:val="000000"/>
                <w:sz w:val="18"/>
                <w:szCs w:val="18"/>
                <w:lang w:eastAsia="pl-PL"/>
              </w:rPr>
              <w:br/>
              <w:t xml:space="preserve">1) zidentyfikować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zagrożone zasoleniem, </w:t>
            </w:r>
            <w:r w:rsidRPr="00165DD7">
              <w:rPr>
                <w:rFonts w:ascii="Calibri" w:eastAsia="Times New Roman" w:hAnsi="Calibri" w:cs="Calibri"/>
                <w:color w:val="000000"/>
                <w:sz w:val="18"/>
                <w:szCs w:val="18"/>
                <w:lang w:eastAsia="pl-PL"/>
              </w:rPr>
              <w:br/>
              <w:t xml:space="preserve">2) ustanowić cele środowiskowe dla tych </w:t>
            </w:r>
            <w:r w:rsidR="00370EC8">
              <w:rPr>
                <w:rFonts w:ascii="Calibri" w:eastAsia="Times New Roman" w:hAnsi="Calibri" w:cs="Calibri"/>
                <w:color w:val="000000"/>
                <w:sz w:val="18"/>
                <w:szCs w:val="18"/>
                <w:lang w:eastAsia="pl-PL"/>
              </w:rPr>
              <w:t>JCWP</w:t>
            </w:r>
            <w:r w:rsidRPr="00165DD7">
              <w:rPr>
                <w:rFonts w:ascii="Calibri" w:eastAsia="Times New Roman" w:hAnsi="Calibri" w:cs="Calibri"/>
                <w:color w:val="000000"/>
                <w:sz w:val="18"/>
                <w:szCs w:val="18"/>
                <w:lang w:eastAsia="pl-PL"/>
              </w:rPr>
              <w:t xml:space="preserve">P obejmujące substancje </w:t>
            </w:r>
            <w:r w:rsidRPr="00165DD7">
              <w:rPr>
                <w:rFonts w:ascii="Calibri" w:eastAsia="Times New Roman" w:hAnsi="Calibri" w:cs="Calibri"/>
                <w:color w:val="000000"/>
                <w:sz w:val="18"/>
                <w:szCs w:val="18"/>
                <w:lang w:eastAsia="pl-PL"/>
              </w:rPr>
              <w:br/>
              <w:t xml:space="preserve">rozpuszczone, siarczany, chlorki, wapń, magnez, twardość ogólna i zasadowość </w:t>
            </w:r>
            <w:r w:rsidRPr="00165DD7">
              <w:rPr>
                <w:rFonts w:ascii="Calibri" w:eastAsia="Times New Roman" w:hAnsi="Calibri" w:cs="Calibri"/>
                <w:color w:val="000000"/>
                <w:sz w:val="18"/>
                <w:szCs w:val="18"/>
                <w:lang w:eastAsia="pl-PL"/>
              </w:rPr>
              <w:br/>
              <w:t xml:space="preserve">ogólna oraz określić klasy stanu wód dla tych wskaźników, </w:t>
            </w:r>
            <w:r w:rsidRPr="00165DD7">
              <w:rPr>
                <w:rFonts w:ascii="Calibri" w:eastAsia="Times New Roman" w:hAnsi="Calibri" w:cs="Calibri"/>
                <w:color w:val="000000"/>
                <w:sz w:val="18"/>
                <w:szCs w:val="18"/>
                <w:lang w:eastAsia="pl-PL"/>
              </w:rPr>
              <w:br/>
              <w:t xml:space="preserve">3) zapewnić brak możliwości zastosowania derogacji w zakresie złagodzenia celów </w:t>
            </w:r>
            <w:r w:rsidRPr="00165DD7">
              <w:rPr>
                <w:rFonts w:ascii="Calibri" w:eastAsia="Times New Roman" w:hAnsi="Calibri" w:cs="Calibri"/>
                <w:color w:val="000000"/>
                <w:sz w:val="18"/>
                <w:szCs w:val="18"/>
                <w:lang w:eastAsia="pl-PL"/>
              </w:rPr>
              <w:br/>
              <w:t xml:space="preserve">środowiskowych (lub odroczenia terminu ich osiągnięcia) dla ww. wskaźników. </w:t>
            </w:r>
          </w:p>
        </w:tc>
        <w:tc>
          <w:tcPr>
            <w:tcW w:w="1720" w:type="dxa"/>
            <w:tcBorders>
              <w:top w:val="nil"/>
              <w:left w:val="nil"/>
              <w:bottom w:val="single" w:sz="4" w:space="0" w:color="auto"/>
              <w:right w:val="single" w:sz="4" w:space="0" w:color="auto"/>
            </w:tcBorders>
            <w:shd w:val="clear" w:color="auto" w:fill="auto"/>
            <w:hideMark/>
          </w:tcPr>
          <w:p w14:paraId="245BC38E" w14:textId="77777777" w:rsidR="007C2B40" w:rsidRPr="00165DD7" w:rsidRDefault="007C2B40" w:rsidP="007C2B40">
            <w:pPr>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6F69E3E4" w14:textId="77777777" w:rsidR="007C2B40" w:rsidRPr="00165DD7" w:rsidRDefault="007C2B40" w:rsidP="007C2B40">
            <w:pPr>
              <w:ind w:firstLine="0"/>
              <w:jc w:val="left"/>
              <w:rPr>
                <w:rFonts w:ascii="Calibri" w:eastAsia="Times New Roman" w:hAnsi="Calibri" w:cs="Calibri"/>
                <w:color w:val="000000"/>
                <w:sz w:val="18"/>
                <w:szCs w:val="18"/>
                <w:lang w:eastAsia="pl-PL"/>
              </w:rPr>
            </w:pPr>
            <w:r w:rsidRPr="00165DD7">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37F075" w14:textId="70456D44" w:rsidR="00DF7AA4" w:rsidRDefault="007C2B40" w:rsidP="007C2B40">
            <w:pPr>
              <w:ind w:firstLine="0"/>
              <w:jc w:val="left"/>
              <w:rPr>
                <w:rFonts w:ascii="Calibri" w:eastAsia="Times New Roman" w:hAnsi="Calibri" w:cs="Calibri"/>
                <w:sz w:val="18"/>
                <w:szCs w:val="18"/>
                <w:lang w:eastAsia="pl-PL"/>
              </w:rPr>
            </w:pPr>
            <w:r w:rsidRPr="00165DD7">
              <w:rPr>
                <w:rFonts w:ascii="Calibri" w:eastAsia="Times New Roman" w:hAnsi="Calibri" w:cs="Calibri"/>
                <w:color w:val="000000"/>
                <w:sz w:val="18"/>
                <w:szCs w:val="18"/>
                <w:lang w:eastAsia="pl-PL"/>
              </w:rPr>
              <w:t>1</w:t>
            </w:r>
            <w:r w:rsidRPr="00165DD7">
              <w:rPr>
                <w:rFonts w:ascii="Calibri" w:eastAsia="Times New Roman" w:hAnsi="Calibri" w:cs="Calibri"/>
                <w:sz w:val="18"/>
                <w:szCs w:val="18"/>
                <w:lang w:eastAsia="pl-PL"/>
              </w:rPr>
              <w:t xml:space="preserve">) Przy obecnie posiadanych danych jako </w:t>
            </w:r>
            <w:r w:rsidR="00370EC8">
              <w:rPr>
                <w:rFonts w:ascii="Calibri" w:eastAsia="Times New Roman" w:hAnsi="Calibri" w:cs="Calibri"/>
                <w:sz w:val="18"/>
                <w:szCs w:val="18"/>
                <w:lang w:eastAsia="pl-PL"/>
              </w:rPr>
              <w:t>JCWP</w:t>
            </w:r>
            <w:r w:rsidRPr="00165DD7">
              <w:rPr>
                <w:rFonts w:ascii="Calibri" w:eastAsia="Times New Roman" w:hAnsi="Calibri" w:cs="Calibri"/>
                <w:sz w:val="18"/>
                <w:szCs w:val="18"/>
                <w:lang w:eastAsia="pl-PL"/>
              </w:rPr>
              <w:t>p zagrożone zasoleniem należałoby potraktować wszystkie, które mają przekroczenie przewodności. Ta informacje znajduje się w załącznikach dotyczących wykazu odstępstw.</w:t>
            </w:r>
            <w:r w:rsidRPr="00165DD7">
              <w:rPr>
                <w:rFonts w:ascii="Calibri" w:eastAsia="Times New Roman" w:hAnsi="Calibri" w:cs="Calibri"/>
                <w:sz w:val="18"/>
                <w:szCs w:val="18"/>
                <w:lang w:eastAsia="pl-PL"/>
              </w:rPr>
              <w:br/>
              <w:t>2) i 3) Wspomniany zapis w punkcie 2 w załączniku nr 7 do rozporządzenie Ministra Infrastruktury z dnia 25 czerwca</w:t>
            </w:r>
            <w:r w:rsidRPr="00165DD7">
              <w:rPr>
                <w:rFonts w:ascii="Calibri" w:eastAsia="Times New Roman" w:hAnsi="Calibri" w:cs="Calibri"/>
                <w:sz w:val="18"/>
                <w:szCs w:val="18"/>
                <w:lang w:eastAsia="pl-PL"/>
              </w:rPr>
              <w:br/>
              <w:t>2021 r. w sprawie klasyfikacji stanu ekologicznego, potencjału ekologicznego i stanu</w:t>
            </w:r>
            <w:r w:rsidRPr="00165DD7">
              <w:rPr>
                <w:rFonts w:ascii="Calibri" w:eastAsia="Times New Roman" w:hAnsi="Calibri" w:cs="Calibri"/>
                <w:sz w:val="18"/>
                <w:szCs w:val="18"/>
                <w:lang w:eastAsia="pl-PL"/>
              </w:rPr>
              <w:br/>
              <w:t>chemicznego oraz sposobu klasyfikacji stanu jednolitych części wód powierzchniowych, a</w:t>
            </w:r>
            <w:r w:rsidRPr="00165DD7">
              <w:rPr>
                <w:rFonts w:ascii="Calibri" w:eastAsia="Times New Roman" w:hAnsi="Calibri" w:cs="Calibri"/>
                <w:sz w:val="18"/>
                <w:szCs w:val="18"/>
                <w:lang w:eastAsia="pl-PL"/>
              </w:rPr>
              <w:br/>
              <w:t>także środowiskowych norm jakości dla substancji priorytetowych (Dz. U. z 2021 r. poz.</w:t>
            </w:r>
            <w:r w:rsidRPr="00165DD7">
              <w:rPr>
                <w:rFonts w:ascii="Calibri" w:eastAsia="Times New Roman" w:hAnsi="Calibri" w:cs="Calibri"/>
                <w:sz w:val="18"/>
                <w:szCs w:val="18"/>
                <w:lang w:eastAsia="pl-PL"/>
              </w:rPr>
              <w:br/>
              <w:t>1475) pozwala na nadanie rangi prawnej wynikom uzyskanym w opracowania dotyczącym ustalenia celów środowiskowych dla SZCW/SCW.</w:t>
            </w:r>
            <w:r w:rsidRPr="00165DD7">
              <w:rPr>
                <w:rFonts w:ascii="Calibri" w:eastAsia="Times New Roman" w:hAnsi="Calibri" w:cs="Calibri"/>
                <w:sz w:val="18"/>
                <w:szCs w:val="18"/>
                <w:lang w:eastAsia="pl-PL"/>
              </w:rPr>
              <w:br/>
              <w:t xml:space="preserve">Uwzględnienie w ocenie stanu/potencjału wód wskaźnika przewodności jako jedynego z grupy wskaźników charakteryzujących zasolenie, nie oznacza, że nie będzie prowadzony monitoring operacyjny pozostałych wspomnianych wskaźników. Ten monitoring operacyjny będzie informacją, uzupełniając w procesie wydawania pozwoleń wodnoprawnych. Plany dotyczące prowadzenia monitoringu ustala GIOŚ, który również analizuje dostępne dane i określa, które </w:t>
            </w:r>
            <w:r w:rsidR="00370EC8">
              <w:rPr>
                <w:rFonts w:ascii="Calibri" w:eastAsia="Times New Roman" w:hAnsi="Calibri" w:cs="Calibri"/>
                <w:sz w:val="18"/>
                <w:szCs w:val="18"/>
                <w:lang w:eastAsia="pl-PL"/>
              </w:rPr>
              <w:t>JCWP</w:t>
            </w:r>
            <w:r w:rsidRPr="00165DD7">
              <w:rPr>
                <w:rFonts w:ascii="Calibri" w:eastAsia="Times New Roman" w:hAnsi="Calibri" w:cs="Calibri"/>
                <w:sz w:val="18"/>
                <w:szCs w:val="18"/>
                <w:lang w:eastAsia="pl-PL"/>
              </w:rPr>
              <w:t>p wymagają dodatkowego monitoringu operacyjnego.</w:t>
            </w:r>
          </w:p>
          <w:p w14:paraId="42560E37" w14:textId="6F38E49E" w:rsidR="00DF7AA4" w:rsidRPr="00F57DBC" w:rsidRDefault="00DF7AA4" w:rsidP="00DF7AA4">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 xml:space="preserve">W przypadku wartości granicznych dot. wskaźników fizykochemicznych </w:t>
            </w:r>
            <w:r>
              <w:rPr>
                <w:rFonts w:ascii="Calibri" w:eastAsia="Times New Roman" w:hAnsi="Calibri" w:cs="Calibri"/>
                <w:sz w:val="18"/>
                <w:szCs w:val="18"/>
                <w:lang w:eastAsia="pl-PL"/>
              </w:rPr>
              <w:t xml:space="preserve">ostatecznie </w:t>
            </w:r>
            <w:r w:rsidRPr="00F57DBC">
              <w:rPr>
                <w:rFonts w:ascii="Calibri" w:eastAsia="Times New Roman" w:hAnsi="Calibri" w:cs="Calibri"/>
                <w:sz w:val="18"/>
                <w:szCs w:val="18"/>
                <w:lang w:eastAsia="pl-PL"/>
              </w:rPr>
              <w:t>zastosowano dwa rodzaje podejścia:</w:t>
            </w:r>
          </w:p>
          <w:p w14:paraId="7A6C27BF" w14:textId="1A9B8A5D" w:rsidR="00DF7AA4" w:rsidRPr="00F57DBC" w:rsidRDefault="00DF7AA4" w:rsidP="00DF7AA4">
            <w:pPr>
              <w:pStyle w:val="Akapitzlist"/>
              <w:numPr>
                <w:ilvl w:val="0"/>
                <w:numId w:val="1"/>
              </w:numPr>
              <w:ind w:left="354" w:hanging="283"/>
              <w:rPr>
                <w:rFonts w:eastAsia="Times New Roman" w:cstheme="minorHAnsi"/>
                <w:sz w:val="18"/>
                <w:szCs w:val="18"/>
                <w:lang w:eastAsia="pl-PL"/>
              </w:rPr>
            </w:pPr>
            <w:r w:rsidRPr="00F57DBC">
              <w:rPr>
                <w:rFonts w:cstheme="minorHAnsi"/>
                <w:sz w:val="18"/>
                <w:szCs w:val="18"/>
                <w:shd w:val="clear" w:color="auto" w:fill="FFFFFF"/>
              </w:rPr>
              <w:lastRenderedPageBreak/>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146F7594" w14:textId="19C32CD0" w:rsidR="005B5FD0" w:rsidRDefault="00DF7AA4" w:rsidP="005B5FD0">
            <w:pPr>
              <w:pStyle w:val="Akapitzlist"/>
              <w:numPr>
                <w:ilvl w:val="0"/>
                <w:numId w:val="1"/>
              </w:numPr>
              <w:ind w:left="354" w:hanging="283"/>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4C58A2B4" w14:textId="20F66936" w:rsidR="007C2B40" w:rsidRPr="005B5FD0" w:rsidRDefault="007C2B40" w:rsidP="005B5FD0">
            <w:pPr>
              <w:ind w:firstLine="0"/>
              <w:rPr>
                <w:rFonts w:ascii="Calibri" w:eastAsia="Times New Roman" w:hAnsi="Calibri" w:cs="Calibri"/>
                <w:sz w:val="18"/>
                <w:szCs w:val="18"/>
                <w:lang w:eastAsia="pl-PL"/>
              </w:rPr>
            </w:pPr>
            <w:r w:rsidRPr="005B5FD0">
              <w:rPr>
                <w:rFonts w:ascii="Calibri" w:eastAsia="Times New Roman" w:hAnsi="Calibri" w:cs="Calibri"/>
                <w:sz w:val="18"/>
                <w:szCs w:val="18"/>
                <w:lang w:eastAsia="pl-PL"/>
              </w:rPr>
              <w:t>4) Brak jest podstaw prawnych dla zapewnienia „Braku możliwości przyznania odstępstw (derogacji)” dla wskaźników uwzględnianych przy ocenie stanu/potencjału wód.</w:t>
            </w:r>
          </w:p>
        </w:tc>
      </w:tr>
      <w:tr w:rsidR="007C2B40" w:rsidRPr="0028666F" w14:paraId="29E8CDA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37D662C" w14:textId="77777777" w:rsidR="007C2B40" w:rsidRPr="007101ED" w:rsidRDefault="007C2B40" w:rsidP="007C2B40">
            <w:pPr>
              <w:ind w:firstLine="0"/>
              <w:jc w:val="center"/>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lastRenderedPageBreak/>
              <w:t>27</w:t>
            </w:r>
          </w:p>
        </w:tc>
        <w:tc>
          <w:tcPr>
            <w:tcW w:w="970" w:type="dxa"/>
            <w:tcBorders>
              <w:top w:val="nil"/>
              <w:left w:val="nil"/>
              <w:bottom w:val="single" w:sz="4" w:space="0" w:color="auto"/>
              <w:right w:val="nil"/>
            </w:tcBorders>
          </w:tcPr>
          <w:p w14:paraId="1CC577BC"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5E8F214A" w14:textId="77777777" w:rsidR="007C2B40" w:rsidRPr="007101ED"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3FD045A"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0C9CBCD3" w14:textId="24337066"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Część projektu planu, do której zgłaszana jest uwaga (numer rozdziału, strona dokumentu): </w:t>
            </w:r>
            <w:r w:rsidRPr="007101ED">
              <w:rPr>
                <w:rFonts w:ascii="Calibri" w:eastAsia="Times New Roman" w:hAnsi="Calibri" w:cs="Calibri"/>
                <w:color w:val="000000"/>
                <w:sz w:val="18"/>
                <w:szCs w:val="18"/>
                <w:lang w:eastAsia="pl-PL"/>
              </w:rPr>
              <w:br/>
              <w:t xml:space="preserve">Rozdział 8, załącznik nr 3.1. </w:t>
            </w:r>
            <w:r w:rsidRPr="007101ED">
              <w:rPr>
                <w:rFonts w:ascii="Calibri" w:eastAsia="Times New Roman" w:hAnsi="Calibri" w:cs="Calibri"/>
                <w:color w:val="000000"/>
                <w:sz w:val="18"/>
                <w:szCs w:val="18"/>
                <w:lang w:eastAsia="pl-PL"/>
              </w:rPr>
              <w:br/>
              <w:t xml:space="preserve">Treść uwagi: </w:t>
            </w:r>
            <w:r w:rsidRPr="007101ED">
              <w:rPr>
                <w:rFonts w:ascii="Calibri" w:eastAsia="Times New Roman" w:hAnsi="Calibri" w:cs="Calibri"/>
                <w:color w:val="000000"/>
                <w:sz w:val="18"/>
                <w:szCs w:val="18"/>
                <w:lang w:eastAsia="pl-PL"/>
              </w:rPr>
              <w:br/>
              <w:t xml:space="preserve">Ani treść, ani załączniki do IIaPGW nie określają wartości poszczególnych klas dla wskaźników stanu elementów fizykochemicznych sztucznych i silnie zmienionych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 xml:space="preserve">P. Podane są natomiast wartości stanu elementów biologicznych i hydromorfologicznych, jednak są to dane nieczytelne i nieużyteczne, ponieważ tytuły kolumn podają niejasne skróty, które nie są objaśnione w stosownych załącznikach do projektów IIaPGW. </w:t>
            </w:r>
          </w:p>
        </w:tc>
        <w:tc>
          <w:tcPr>
            <w:tcW w:w="2733" w:type="dxa"/>
            <w:tcBorders>
              <w:top w:val="nil"/>
              <w:left w:val="nil"/>
              <w:bottom w:val="single" w:sz="4" w:space="0" w:color="auto"/>
              <w:right w:val="single" w:sz="4" w:space="0" w:color="auto"/>
            </w:tcBorders>
            <w:shd w:val="clear" w:color="auto" w:fill="auto"/>
            <w:hideMark/>
          </w:tcPr>
          <w:p w14:paraId="7404B31B" w14:textId="163EBB9C"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W odniesieniu do sztucznych i silnie zmienionych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 xml:space="preserve">P: </w:t>
            </w:r>
            <w:r w:rsidRPr="007101ED">
              <w:rPr>
                <w:rFonts w:ascii="Calibri" w:eastAsia="Times New Roman" w:hAnsi="Calibri" w:cs="Calibri"/>
                <w:color w:val="000000"/>
                <w:sz w:val="18"/>
                <w:szCs w:val="18"/>
                <w:lang w:eastAsia="pl-PL"/>
              </w:rPr>
              <w:br/>
              <w:t xml:space="preserve">− określenie wartości poszczególnych klas dla wskaźników stanu elementów </w:t>
            </w:r>
            <w:r w:rsidRPr="007101ED">
              <w:rPr>
                <w:rFonts w:ascii="Calibri" w:eastAsia="Times New Roman" w:hAnsi="Calibri" w:cs="Calibri"/>
                <w:color w:val="000000"/>
                <w:sz w:val="18"/>
                <w:szCs w:val="18"/>
                <w:lang w:eastAsia="pl-PL"/>
              </w:rPr>
              <w:br/>
              <w:t xml:space="preserve">fizykochemicznych, </w:t>
            </w:r>
            <w:r w:rsidRPr="007101ED">
              <w:rPr>
                <w:rFonts w:ascii="Calibri" w:eastAsia="Times New Roman" w:hAnsi="Calibri" w:cs="Calibri"/>
                <w:color w:val="000000"/>
                <w:sz w:val="18"/>
                <w:szCs w:val="18"/>
                <w:lang w:eastAsia="pl-PL"/>
              </w:rPr>
              <w:br/>
              <w:t xml:space="preserve">− wprowadzenie objaśnień skrótów podanych w tytułach kolumn odnoszących się do </w:t>
            </w:r>
            <w:r w:rsidRPr="007101ED">
              <w:rPr>
                <w:rFonts w:ascii="Calibri" w:eastAsia="Times New Roman" w:hAnsi="Calibri" w:cs="Calibri"/>
                <w:color w:val="000000"/>
                <w:sz w:val="18"/>
                <w:szCs w:val="18"/>
                <w:lang w:eastAsia="pl-PL"/>
              </w:rPr>
              <w:br/>
              <w:t xml:space="preserve">stanu elementów biologicznych i hydromorfologicznych. </w:t>
            </w:r>
          </w:p>
        </w:tc>
        <w:tc>
          <w:tcPr>
            <w:tcW w:w="3009" w:type="dxa"/>
            <w:tcBorders>
              <w:top w:val="nil"/>
              <w:left w:val="nil"/>
              <w:bottom w:val="single" w:sz="4" w:space="0" w:color="auto"/>
              <w:right w:val="single" w:sz="4" w:space="0" w:color="auto"/>
            </w:tcBorders>
            <w:shd w:val="clear" w:color="auto" w:fill="auto"/>
            <w:hideMark/>
          </w:tcPr>
          <w:p w14:paraId="73580572" w14:textId="15FAC45E"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1. Przywołany wcześniej punkt 2 w załączniku nr 7 do rozporządzenia Ministra Infrastruktury </w:t>
            </w:r>
            <w:r w:rsidRPr="007101ED">
              <w:rPr>
                <w:rFonts w:ascii="Calibri" w:eastAsia="Times New Roman" w:hAnsi="Calibri" w:cs="Calibri"/>
                <w:color w:val="000000"/>
                <w:sz w:val="18"/>
                <w:szCs w:val="18"/>
                <w:lang w:eastAsia="pl-PL"/>
              </w:rPr>
              <w:br/>
              <w:t xml:space="preserve">z dnia 25 czerwca 2021 r. w sprawie klasyfikacji stanu ekologicznego, potencjału </w:t>
            </w:r>
            <w:r w:rsidRPr="007101ED">
              <w:rPr>
                <w:rFonts w:ascii="Calibri" w:eastAsia="Times New Roman" w:hAnsi="Calibri" w:cs="Calibri"/>
                <w:color w:val="000000"/>
                <w:sz w:val="18"/>
                <w:szCs w:val="18"/>
                <w:lang w:eastAsia="pl-PL"/>
              </w:rPr>
              <w:br/>
              <w:t xml:space="preserve">ekologicznego i stanu chemicznego oraz sposobu klasyfikacji stanu jednolitych części wód </w:t>
            </w:r>
            <w:r w:rsidRPr="007101ED">
              <w:rPr>
                <w:rFonts w:ascii="Calibri" w:eastAsia="Times New Roman" w:hAnsi="Calibri" w:cs="Calibri"/>
                <w:color w:val="000000"/>
                <w:sz w:val="18"/>
                <w:szCs w:val="18"/>
                <w:lang w:eastAsia="pl-PL"/>
              </w:rPr>
              <w:br/>
              <w:t xml:space="preserve">powierzchniowych, a także środowiskowych norm jakości dla substancji priorytetowych </w:t>
            </w:r>
            <w:r w:rsidRPr="007101ED">
              <w:rPr>
                <w:rFonts w:ascii="Calibri" w:eastAsia="Times New Roman" w:hAnsi="Calibri" w:cs="Calibri"/>
                <w:color w:val="000000"/>
                <w:sz w:val="18"/>
                <w:szCs w:val="18"/>
                <w:lang w:eastAsia="pl-PL"/>
              </w:rPr>
              <w:br/>
            </w:r>
            <w:r w:rsidRPr="007101ED">
              <w:rPr>
                <w:rFonts w:ascii="Calibri" w:eastAsia="Times New Roman" w:hAnsi="Calibri" w:cs="Calibri"/>
                <w:color w:val="000000"/>
                <w:sz w:val="18"/>
                <w:szCs w:val="18"/>
                <w:lang w:eastAsia="pl-PL"/>
              </w:rPr>
              <w:lastRenderedPageBreak/>
              <w:t xml:space="preserve">(Dz. U. z 2021 r. poz. 1475) wskazuje, że wartości graniczne dla klas wskaźników jakości </w:t>
            </w:r>
            <w:r w:rsidRPr="007101ED">
              <w:rPr>
                <w:rFonts w:ascii="Calibri" w:eastAsia="Times New Roman" w:hAnsi="Calibri" w:cs="Calibri"/>
                <w:color w:val="000000"/>
                <w:sz w:val="18"/>
                <w:szCs w:val="18"/>
                <w:lang w:eastAsia="pl-PL"/>
              </w:rPr>
              <w:br/>
              <w:t xml:space="preserve">wód powierzchniowych, będące podstawą klasyfikacji potencjału ekologicznego silnie </w:t>
            </w:r>
            <w:r w:rsidRPr="007101ED">
              <w:rPr>
                <w:rFonts w:ascii="Calibri" w:eastAsia="Times New Roman" w:hAnsi="Calibri" w:cs="Calibri"/>
                <w:color w:val="000000"/>
                <w:sz w:val="18"/>
                <w:szCs w:val="18"/>
                <w:lang w:eastAsia="pl-PL"/>
              </w:rPr>
              <w:br/>
              <w:t xml:space="preserve">zmienionych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 xml:space="preserve">P, określa się w planie gospodarowania wodami na obszarze dorzecza </w:t>
            </w:r>
            <w:r w:rsidRPr="007101ED">
              <w:rPr>
                <w:rFonts w:ascii="Calibri" w:eastAsia="Times New Roman" w:hAnsi="Calibri" w:cs="Calibri"/>
                <w:color w:val="000000"/>
                <w:sz w:val="18"/>
                <w:szCs w:val="18"/>
                <w:lang w:eastAsia="pl-PL"/>
              </w:rPr>
              <w:br/>
              <w:t xml:space="preserve">lub w ramach jego aktualizacji. W kolejnych załącznikach do rozporządzenia ta sama </w:t>
            </w:r>
            <w:r w:rsidRPr="007101ED">
              <w:rPr>
                <w:rFonts w:ascii="Calibri" w:eastAsia="Times New Roman" w:hAnsi="Calibri" w:cs="Calibri"/>
                <w:color w:val="000000"/>
                <w:sz w:val="18"/>
                <w:szCs w:val="18"/>
                <w:lang w:eastAsia="pl-PL"/>
              </w:rPr>
              <w:br/>
              <w:t xml:space="preserve">zasada odnosi się również do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 xml:space="preserve">P innych niż rzeczne. </w:t>
            </w:r>
            <w:r w:rsidRPr="007101ED">
              <w:rPr>
                <w:rFonts w:ascii="Calibri" w:eastAsia="Times New Roman" w:hAnsi="Calibri" w:cs="Calibri"/>
                <w:color w:val="000000"/>
                <w:sz w:val="18"/>
                <w:szCs w:val="18"/>
                <w:lang w:eastAsia="pl-PL"/>
              </w:rPr>
              <w:br/>
              <w:t xml:space="preserve">2. Ani treść, ani załączniki do IIaPGW nie określają wartości poszczególnych klas dla </w:t>
            </w:r>
            <w:r w:rsidRPr="007101ED">
              <w:rPr>
                <w:rFonts w:ascii="Calibri" w:eastAsia="Times New Roman" w:hAnsi="Calibri" w:cs="Calibri"/>
                <w:color w:val="000000"/>
                <w:sz w:val="18"/>
                <w:szCs w:val="18"/>
                <w:lang w:eastAsia="pl-PL"/>
              </w:rPr>
              <w:br/>
              <w:t xml:space="preserve">wskaźników stanu elementów fizykochemicznych sztucznych i silnie zmienionych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 xml:space="preserve">P. </w:t>
            </w:r>
            <w:r w:rsidRPr="007101ED">
              <w:rPr>
                <w:rFonts w:ascii="Calibri" w:eastAsia="Times New Roman" w:hAnsi="Calibri" w:cs="Calibri"/>
                <w:color w:val="000000"/>
                <w:sz w:val="18"/>
                <w:szCs w:val="18"/>
                <w:lang w:eastAsia="pl-PL"/>
              </w:rPr>
              <w:br/>
              <w:t xml:space="preserve">Podane są natomiast wartości stanu elementów biologicznych i hydromorfologicznych, </w:t>
            </w:r>
            <w:r w:rsidRPr="007101ED">
              <w:rPr>
                <w:rFonts w:ascii="Calibri" w:eastAsia="Times New Roman" w:hAnsi="Calibri" w:cs="Calibri"/>
                <w:color w:val="000000"/>
                <w:sz w:val="18"/>
                <w:szCs w:val="18"/>
                <w:lang w:eastAsia="pl-PL"/>
              </w:rPr>
              <w:br/>
              <w:t xml:space="preserve">jednak są to dane nieczytelne i nieużyteczne, ponieważ tytuły kolumn podają niejasne </w:t>
            </w:r>
            <w:r w:rsidRPr="007101ED">
              <w:rPr>
                <w:rFonts w:ascii="Calibri" w:eastAsia="Times New Roman" w:hAnsi="Calibri" w:cs="Calibri"/>
                <w:color w:val="000000"/>
                <w:sz w:val="18"/>
                <w:szCs w:val="18"/>
                <w:lang w:eastAsia="pl-PL"/>
              </w:rPr>
              <w:br/>
              <w:t xml:space="preserve">skróty, które nie są objaśnione w stosownych załącznikach do projektów IIaPGW. W celu </w:t>
            </w:r>
            <w:r w:rsidRPr="007101ED">
              <w:rPr>
                <w:rFonts w:ascii="Calibri" w:eastAsia="Times New Roman" w:hAnsi="Calibri" w:cs="Calibri"/>
                <w:color w:val="000000"/>
                <w:sz w:val="18"/>
                <w:szCs w:val="18"/>
                <w:lang w:eastAsia="pl-PL"/>
              </w:rPr>
              <w:br/>
              <w:t xml:space="preserve">zapewnienia zgodności z ww. rozporządzeniem, ww. mankamenty planów powinny być </w:t>
            </w:r>
            <w:r w:rsidRPr="007101ED">
              <w:rPr>
                <w:rFonts w:ascii="Calibri" w:eastAsia="Times New Roman" w:hAnsi="Calibri" w:cs="Calibri"/>
                <w:color w:val="000000"/>
                <w:sz w:val="18"/>
                <w:szCs w:val="18"/>
                <w:lang w:eastAsia="pl-PL"/>
              </w:rPr>
              <w:br/>
              <w:t xml:space="preserve">wyeliminowane. </w:t>
            </w:r>
          </w:p>
        </w:tc>
        <w:tc>
          <w:tcPr>
            <w:tcW w:w="1720" w:type="dxa"/>
            <w:tcBorders>
              <w:top w:val="nil"/>
              <w:left w:val="nil"/>
              <w:bottom w:val="single" w:sz="4" w:space="0" w:color="auto"/>
              <w:right w:val="single" w:sz="4" w:space="0" w:color="auto"/>
            </w:tcBorders>
            <w:shd w:val="clear" w:color="000000" w:fill="FFFFFF"/>
            <w:hideMark/>
          </w:tcPr>
          <w:p w14:paraId="12D5E353"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327E92D6"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3CD1A99C" w14:textId="50C7A29E" w:rsidR="007101ED" w:rsidRDefault="007C2B40" w:rsidP="007C2B40">
            <w:pPr>
              <w:ind w:firstLine="0"/>
              <w:jc w:val="left"/>
              <w:rPr>
                <w:rFonts w:ascii="Calibri" w:eastAsia="Times New Roman" w:hAnsi="Calibri" w:cs="Calibri"/>
                <w:sz w:val="18"/>
                <w:szCs w:val="18"/>
                <w:lang w:eastAsia="pl-PL"/>
              </w:rPr>
            </w:pPr>
            <w:r w:rsidRPr="007101ED">
              <w:rPr>
                <w:rFonts w:ascii="Calibri" w:eastAsia="Times New Roman" w:hAnsi="Calibri" w:cs="Calibri"/>
                <w:sz w:val="18"/>
                <w:szCs w:val="18"/>
                <w:lang w:eastAsia="pl-PL"/>
              </w:rPr>
              <w:t xml:space="preserve">Załącznik </w:t>
            </w:r>
            <w:r w:rsidR="007101ED">
              <w:rPr>
                <w:rFonts w:ascii="Calibri" w:eastAsia="Times New Roman" w:hAnsi="Calibri" w:cs="Calibri"/>
                <w:sz w:val="18"/>
                <w:szCs w:val="18"/>
                <w:lang w:eastAsia="pl-PL"/>
              </w:rPr>
              <w:t>Wartości graniczne SCW i SZCW</w:t>
            </w:r>
            <w:r w:rsidRPr="007101ED">
              <w:rPr>
                <w:rFonts w:ascii="Calibri" w:eastAsia="Times New Roman" w:hAnsi="Calibri" w:cs="Calibri"/>
                <w:sz w:val="18"/>
                <w:szCs w:val="18"/>
                <w:lang w:eastAsia="pl-PL"/>
              </w:rPr>
              <w:t xml:space="preserve"> do IIaPGW prezentuje wartości graniczne dla potencjału ekologicznego.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wskazuje, że silnie zmienione i sztuczne części wód wartości graniczne wskazywane są w Planie gospodarowania wodami. Poszczególne zakładki załącznika są dedykowane kategoriom wód: rzecznym, zbiornikowym i jeziornym oddzielnie, wskazane są w nich, w poszczególnych </w:t>
            </w:r>
            <w:r w:rsidRPr="007101ED">
              <w:rPr>
                <w:rFonts w:ascii="Calibri" w:eastAsia="Times New Roman" w:hAnsi="Calibri" w:cs="Calibri"/>
                <w:sz w:val="18"/>
                <w:szCs w:val="18"/>
                <w:lang w:eastAsia="pl-PL"/>
              </w:rPr>
              <w:lastRenderedPageBreak/>
              <w:t>kolumnach, konkretne wartości, jeżeli chodzi o elementy biologiczne i hydromorfologiczne.</w:t>
            </w:r>
          </w:p>
          <w:p w14:paraId="5264A4AE" w14:textId="77777777" w:rsidR="007101ED" w:rsidRPr="00F57DBC" w:rsidRDefault="007101ED" w:rsidP="007101ED">
            <w:pPr>
              <w:ind w:firstLine="0"/>
              <w:jc w:val="left"/>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W przypadku wartości granicznych dot. wskaźników fizykochemicznych zastosowano dwa rodzaje podejścia:</w:t>
            </w:r>
          </w:p>
          <w:p w14:paraId="7A0E8D56" w14:textId="0D7EBE1D" w:rsidR="007101ED" w:rsidRPr="00F57DBC" w:rsidRDefault="007101ED" w:rsidP="007101ED">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1B510C30" w14:textId="6337A120" w:rsidR="007101ED" w:rsidRPr="00F57DBC" w:rsidRDefault="007101ED" w:rsidP="007101ED">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0F4D4F4E" w14:textId="77777777" w:rsidR="007101ED" w:rsidRDefault="007101ED" w:rsidP="007101ED">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p>
          <w:p w14:paraId="3CD3F19C" w14:textId="15B67120"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sz w:val="18"/>
                <w:szCs w:val="18"/>
                <w:lang w:eastAsia="pl-PL"/>
              </w:rPr>
              <w:t>.</w:t>
            </w:r>
          </w:p>
        </w:tc>
      </w:tr>
      <w:tr w:rsidR="007C2B40" w:rsidRPr="0028666F" w14:paraId="7284BE4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32673A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28</w:t>
            </w:r>
          </w:p>
        </w:tc>
        <w:tc>
          <w:tcPr>
            <w:tcW w:w="970" w:type="dxa"/>
            <w:tcBorders>
              <w:top w:val="nil"/>
              <w:left w:val="nil"/>
              <w:bottom w:val="single" w:sz="4" w:space="0" w:color="auto"/>
              <w:right w:val="nil"/>
            </w:tcBorders>
          </w:tcPr>
          <w:p w14:paraId="552FD4C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270229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909E1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B2C4B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Rozdział 8 </w:t>
            </w:r>
            <w:r w:rsidRPr="0028666F">
              <w:rPr>
                <w:rFonts w:ascii="Calibri" w:eastAsia="Times New Roman" w:hAnsi="Calibri" w:cs="Calibri"/>
                <w:color w:val="000000"/>
                <w:sz w:val="18"/>
                <w:szCs w:val="18"/>
                <w:lang w:eastAsia="pl-PL"/>
              </w:rPr>
              <w:br w:type="page"/>
              <w:t xml:space="preserve">Treść uwagi: </w:t>
            </w:r>
            <w:r w:rsidRPr="0028666F">
              <w:rPr>
                <w:rFonts w:ascii="Calibri" w:eastAsia="Times New Roman" w:hAnsi="Calibri" w:cs="Calibri"/>
                <w:color w:val="000000"/>
                <w:sz w:val="18"/>
                <w:szCs w:val="18"/>
                <w:lang w:eastAsia="pl-PL"/>
              </w:rPr>
              <w:br w:type="page"/>
              <w:t xml:space="preserve">W zakresie celów środowiskowych dla przyrodniczych obszarów chronionych: </w:t>
            </w:r>
            <w:r w:rsidRPr="0028666F">
              <w:rPr>
                <w:rFonts w:ascii="Calibri" w:eastAsia="Times New Roman" w:hAnsi="Calibri" w:cs="Calibri"/>
                <w:color w:val="000000"/>
                <w:sz w:val="18"/>
                <w:szCs w:val="18"/>
                <w:lang w:eastAsia="pl-PL"/>
              </w:rPr>
              <w:br w:type="page"/>
              <w:t xml:space="preserve">− zamieszczenie (przy wykazie ww. celów) tabeli z wymaganiami wodnymi właściwego </w:t>
            </w:r>
            <w:r w:rsidRPr="0028666F">
              <w:rPr>
                <w:rFonts w:ascii="Calibri" w:eastAsia="Times New Roman" w:hAnsi="Calibri" w:cs="Calibri"/>
                <w:color w:val="000000"/>
                <w:sz w:val="18"/>
                <w:szCs w:val="18"/>
                <w:lang w:eastAsia="pl-PL"/>
              </w:rPr>
              <w:br w:type="page"/>
              <w:t xml:space="preserve">stanu ochrony gatunków i siedlisk Natura 2000, </w:t>
            </w:r>
            <w:r w:rsidRPr="0028666F">
              <w:rPr>
                <w:rFonts w:ascii="Calibri" w:eastAsia="Times New Roman" w:hAnsi="Calibri" w:cs="Calibri"/>
                <w:color w:val="000000"/>
                <w:sz w:val="18"/>
                <w:szCs w:val="18"/>
                <w:lang w:eastAsia="pl-PL"/>
              </w:rPr>
              <w:br w:type="page"/>
              <w:t xml:space="preserve">− uwzględnienie obszarów Natura 2000 wskazanych w uchwale nr 5 Rady Ministrów z </w:t>
            </w:r>
            <w:r w:rsidRPr="0028666F">
              <w:rPr>
                <w:rFonts w:ascii="Calibri" w:eastAsia="Times New Roman" w:hAnsi="Calibri" w:cs="Calibri"/>
                <w:color w:val="000000"/>
                <w:sz w:val="18"/>
                <w:szCs w:val="18"/>
                <w:lang w:eastAsia="pl-PL"/>
              </w:rPr>
              <w:br w:type="page"/>
              <w:t xml:space="preserve">dnia 5 stycznia 2021 r. w sprawie wyrażenia zgody na przekazanie Komisji Europejskiej </w:t>
            </w:r>
            <w:r w:rsidRPr="0028666F">
              <w:rPr>
                <w:rFonts w:ascii="Calibri" w:eastAsia="Times New Roman" w:hAnsi="Calibri" w:cs="Calibri"/>
                <w:color w:val="000000"/>
                <w:sz w:val="18"/>
                <w:szCs w:val="18"/>
                <w:lang w:eastAsia="pl-PL"/>
              </w:rPr>
              <w:br w:type="page"/>
              <w:t xml:space="preserve">dokumentu „Lista zmian w sieci obszarów Natura 2000" oraz przypisanie działań </w:t>
            </w:r>
            <w:r w:rsidRPr="0028666F">
              <w:rPr>
                <w:rFonts w:ascii="Calibri" w:eastAsia="Times New Roman" w:hAnsi="Calibri" w:cs="Calibri"/>
                <w:color w:val="000000"/>
                <w:sz w:val="18"/>
                <w:szCs w:val="18"/>
                <w:lang w:eastAsia="pl-PL"/>
              </w:rPr>
              <w:br w:type="page"/>
              <w:t xml:space="preserve">ukierunkowanych na cele środowiskowe tych obszarów.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D5D80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zakresie celów środowiskowych dla przyrodniczych obszarów chronionych: </w:t>
            </w:r>
            <w:r w:rsidRPr="0028666F">
              <w:rPr>
                <w:rFonts w:ascii="Calibri" w:eastAsia="Times New Roman" w:hAnsi="Calibri" w:cs="Calibri"/>
                <w:color w:val="000000"/>
                <w:sz w:val="18"/>
                <w:szCs w:val="18"/>
                <w:lang w:eastAsia="pl-PL"/>
              </w:rPr>
              <w:br w:type="page"/>
              <w:t xml:space="preserve">− zamieszczenie (przy wykazie ww. celów) tabeli z wymaganiami wodnymi właściwego </w:t>
            </w:r>
            <w:r w:rsidRPr="0028666F">
              <w:rPr>
                <w:rFonts w:ascii="Calibri" w:eastAsia="Times New Roman" w:hAnsi="Calibri" w:cs="Calibri"/>
                <w:color w:val="000000"/>
                <w:sz w:val="18"/>
                <w:szCs w:val="18"/>
                <w:lang w:eastAsia="pl-PL"/>
              </w:rPr>
              <w:br w:type="page"/>
              <w:t xml:space="preserve">stanu ochrony gatunków i siedlisk Natura 2000, </w:t>
            </w:r>
            <w:r w:rsidRPr="0028666F">
              <w:rPr>
                <w:rFonts w:ascii="Calibri" w:eastAsia="Times New Roman" w:hAnsi="Calibri" w:cs="Calibri"/>
                <w:color w:val="000000"/>
                <w:sz w:val="18"/>
                <w:szCs w:val="18"/>
                <w:lang w:eastAsia="pl-PL"/>
              </w:rPr>
              <w:br w:type="page"/>
              <w:t xml:space="preserve">− uwzględnienie obszarów Natura 2000 wskazanych w uchwale nr 5 Rady Ministrów z </w:t>
            </w:r>
            <w:r w:rsidRPr="0028666F">
              <w:rPr>
                <w:rFonts w:ascii="Calibri" w:eastAsia="Times New Roman" w:hAnsi="Calibri" w:cs="Calibri"/>
                <w:color w:val="000000"/>
                <w:sz w:val="18"/>
                <w:szCs w:val="18"/>
                <w:lang w:eastAsia="pl-PL"/>
              </w:rPr>
              <w:br w:type="page"/>
              <w:t xml:space="preserve">dnia 5 stycznia 2021 r. w sprawie wyrażenia zgody na przekazanie Komisji Europejskiej </w:t>
            </w:r>
            <w:r w:rsidRPr="0028666F">
              <w:rPr>
                <w:rFonts w:ascii="Calibri" w:eastAsia="Times New Roman" w:hAnsi="Calibri" w:cs="Calibri"/>
                <w:color w:val="000000"/>
                <w:sz w:val="18"/>
                <w:szCs w:val="18"/>
                <w:lang w:eastAsia="pl-PL"/>
              </w:rPr>
              <w:br w:type="page"/>
              <w:t xml:space="preserve">dokumentu „Lista zmian w sieci obszarów Natura 2000" oraz przypisanie działań </w:t>
            </w:r>
            <w:r w:rsidRPr="0028666F">
              <w:rPr>
                <w:rFonts w:ascii="Calibri" w:eastAsia="Times New Roman" w:hAnsi="Calibri" w:cs="Calibri"/>
                <w:color w:val="000000"/>
                <w:sz w:val="18"/>
                <w:szCs w:val="18"/>
                <w:lang w:eastAsia="pl-PL"/>
              </w:rPr>
              <w:br w:type="page"/>
              <w:t xml:space="preserve">ukierunkowanych na cele środowiskowe tych obszarów. </w:t>
            </w:r>
          </w:p>
        </w:tc>
        <w:tc>
          <w:tcPr>
            <w:tcW w:w="3009" w:type="dxa"/>
            <w:tcBorders>
              <w:top w:val="nil"/>
              <w:left w:val="nil"/>
              <w:bottom w:val="single" w:sz="4" w:space="0" w:color="auto"/>
              <w:right w:val="single" w:sz="4" w:space="0" w:color="auto"/>
            </w:tcBorders>
            <w:shd w:val="clear" w:color="auto" w:fill="auto"/>
            <w:hideMark/>
          </w:tcPr>
          <w:p w14:paraId="671F5B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1. Teoretycznie projekty IIaPGW określają cele środowiskowe dla wybranych obszarów </w:t>
            </w:r>
            <w:r w:rsidRPr="0028666F">
              <w:rPr>
                <w:rFonts w:ascii="Calibri" w:eastAsia="Times New Roman" w:hAnsi="Calibri" w:cs="Calibri"/>
                <w:color w:val="000000"/>
                <w:sz w:val="18"/>
                <w:szCs w:val="18"/>
                <w:lang w:eastAsia="pl-PL"/>
              </w:rPr>
              <w:br w:type="page"/>
              <w:t xml:space="preserve">ochrony przyrody, tj. dla obszarów przeznaczonych do ochrony siedlisk lub gatunków, o </w:t>
            </w:r>
            <w:r w:rsidRPr="0028666F">
              <w:rPr>
                <w:rFonts w:ascii="Calibri" w:eastAsia="Times New Roman" w:hAnsi="Calibri" w:cs="Calibri"/>
                <w:color w:val="000000"/>
                <w:sz w:val="18"/>
                <w:szCs w:val="18"/>
                <w:lang w:eastAsia="pl-PL"/>
              </w:rPr>
              <w:br w:type="page"/>
              <w:t xml:space="preserve">których mowa w przepisach ustawy z dnia 16 kwietnia 2004 r. o ochronie przyrody, dla </w:t>
            </w:r>
            <w:r w:rsidRPr="0028666F">
              <w:rPr>
                <w:rFonts w:ascii="Calibri" w:eastAsia="Times New Roman" w:hAnsi="Calibri" w:cs="Calibri"/>
                <w:color w:val="000000"/>
                <w:sz w:val="18"/>
                <w:szCs w:val="18"/>
                <w:lang w:eastAsia="pl-PL"/>
              </w:rPr>
              <w:br w:type="page"/>
              <w:t xml:space="preserve">których utrzymanie lub poprawa stanu wód jest ważnym czynnikiem w ich ochronie. W </w:t>
            </w:r>
            <w:r w:rsidRPr="0028666F">
              <w:rPr>
                <w:rFonts w:ascii="Calibri" w:eastAsia="Times New Roman" w:hAnsi="Calibri" w:cs="Calibri"/>
                <w:color w:val="000000"/>
                <w:sz w:val="18"/>
                <w:szCs w:val="18"/>
                <w:lang w:eastAsia="pl-PL"/>
              </w:rPr>
              <w:br w:type="page"/>
              <w:t xml:space="preserve">praktyce jednak robią to tylko częściowo. </w:t>
            </w:r>
            <w:r w:rsidRPr="0028666F">
              <w:rPr>
                <w:rFonts w:ascii="Calibri" w:eastAsia="Times New Roman" w:hAnsi="Calibri" w:cs="Calibri"/>
                <w:color w:val="000000"/>
                <w:sz w:val="18"/>
                <w:szCs w:val="18"/>
                <w:lang w:eastAsia="pl-PL"/>
              </w:rPr>
              <w:br w:type="page"/>
              <w:t xml:space="preserve">2. Po pierwsze trzeba zwrócić uwagę na to, że projekty IIaPGW nie przedstawiają wymagań dla siedlisk i gatunków wodozależnych - choć opisy celów środowiskowych obszarów chronionych odwołują się do tych wymagań (poprzez zapis „[patrz tabela wymagań wodnych właściwego stanu ochrony siedlisk Natura 2000]” w kolumnie N arkusza 6_OCH_CS załączników nr 1 do IIaPGW). Brak ich przedstawienia w IIaPGW sprawia, że </w:t>
            </w:r>
            <w:r w:rsidRPr="0028666F">
              <w:rPr>
                <w:rFonts w:ascii="Calibri" w:eastAsia="Times New Roman" w:hAnsi="Calibri" w:cs="Calibri"/>
                <w:color w:val="000000"/>
                <w:sz w:val="18"/>
                <w:szCs w:val="18"/>
                <w:lang w:eastAsia="pl-PL"/>
              </w:rPr>
              <w:lastRenderedPageBreak/>
              <w:t xml:space="preserve">zasadnicze cele środowiskowe przyrodniczych obszarów chronionych są w zasadzie pozbawione merytorycznej treści (podobną sytuacją byłoby to, gdyby wskazano cel środowiskowy w formie klasy stanu konkretnych wskaźników, a nie zostałaby podana </w:t>
            </w:r>
            <w:r w:rsidRPr="0028666F">
              <w:rPr>
                <w:rFonts w:ascii="Calibri" w:eastAsia="Times New Roman" w:hAnsi="Calibri" w:cs="Calibri"/>
                <w:color w:val="000000"/>
                <w:sz w:val="18"/>
                <w:szCs w:val="18"/>
                <w:lang w:eastAsia="pl-PL"/>
              </w:rPr>
              <w:br w:type="page"/>
              <w:t xml:space="preserve">wartość tego wskaźnika). </w:t>
            </w:r>
            <w:r w:rsidRPr="0028666F">
              <w:rPr>
                <w:rFonts w:ascii="Calibri" w:eastAsia="Times New Roman" w:hAnsi="Calibri" w:cs="Calibri"/>
                <w:color w:val="000000"/>
                <w:sz w:val="18"/>
                <w:szCs w:val="18"/>
                <w:lang w:eastAsia="pl-PL"/>
              </w:rPr>
              <w:br w:type="page"/>
              <w:t xml:space="preserve">3. Ponadto, projekty IIaPGW nie uwzględniają nowych obszarów Natura 2000 wskazanych </w:t>
            </w:r>
            <w:r w:rsidRPr="0028666F">
              <w:rPr>
                <w:rFonts w:ascii="Calibri" w:eastAsia="Times New Roman" w:hAnsi="Calibri" w:cs="Calibri"/>
                <w:color w:val="000000"/>
                <w:sz w:val="18"/>
                <w:szCs w:val="18"/>
                <w:lang w:eastAsia="pl-PL"/>
              </w:rPr>
              <w:br w:type="page"/>
              <w:t xml:space="preserve">w uchwale nr 5 Rady Ministrów z dnia 5 stycznia 2021 r. w sprawie wyrażenia zgody </w:t>
            </w:r>
            <w:r w:rsidRPr="0028666F">
              <w:rPr>
                <w:rFonts w:ascii="Calibri" w:eastAsia="Times New Roman" w:hAnsi="Calibri" w:cs="Calibri"/>
                <w:color w:val="000000"/>
                <w:sz w:val="18"/>
                <w:szCs w:val="18"/>
                <w:lang w:eastAsia="pl-PL"/>
              </w:rPr>
              <w:br w:type="page"/>
              <w:t xml:space="preserve">na przekazanie Komisji Europejskiej dokumentu „Lista zmian w sieci obszarów Natura </w:t>
            </w:r>
            <w:r w:rsidRPr="0028666F">
              <w:rPr>
                <w:rFonts w:ascii="Calibri" w:eastAsia="Times New Roman" w:hAnsi="Calibri" w:cs="Calibri"/>
                <w:color w:val="000000"/>
                <w:sz w:val="18"/>
                <w:szCs w:val="18"/>
                <w:lang w:eastAsia="pl-PL"/>
              </w:rPr>
              <w:br w:type="page"/>
              <w:t xml:space="preserve">2000" (MP 2021 r. poz. 45) - które od momentu zgłoszenia Komisji Europejskiej podlegają </w:t>
            </w:r>
            <w:r w:rsidRPr="0028666F">
              <w:rPr>
                <w:rFonts w:ascii="Calibri" w:eastAsia="Times New Roman" w:hAnsi="Calibri" w:cs="Calibri"/>
                <w:color w:val="000000"/>
                <w:sz w:val="18"/>
                <w:szCs w:val="18"/>
                <w:lang w:eastAsia="pl-PL"/>
              </w:rPr>
              <w:br w:type="page"/>
              <w:t xml:space="preserve">ochronie (co wielokrotnie było potwierdzone orzecznictwem Europejskiego Trybunału </w:t>
            </w:r>
            <w:r w:rsidRPr="0028666F">
              <w:rPr>
                <w:rFonts w:ascii="Calibri" w:eastAsia="Times New Roman" w:hAnsi="Calibri" w:cs="Calibri"/>
                <w:color w:val="000000"/>
                <w:sz w:val="18"/>
                <w:szCs w:val="18"/>
                <w:lang w:eastAsia="pl-PL"/>
              </w:rPr>
              <w:br w:type="page"/>
              <w:t xml:space="preserve">Sprawiedliwości), a więc niezbędne jest w ich przypadku niepogarszanie stanu </w:t>
            </w:r>
            <w:r w:rsidRPr="0028666F">
              <w:rPr>
                <w:rFonts w:ascii="Calibri" w:eastAsia="Times New Roman" w:hAnsi="Calibri" w:cs="Calibri"/>
                <w:color w:val="000000"/>
                <w:sz w:val="18"/>
                <w:szCs w:val="18"/>
                <w:lang w:eastAsia="pl-PL"/>
              </w:rPr>
              <w:br w:type="page"/>
              <w:t xml:space="preserve">przedmiotów ochrony oraz dążenie do osiągnięcia „właściwego stanu ochrony” siedlisk i </w:t>
            </w:r>
            <w:r w:rsidRPr="0028666F">
              <w:rPr>
                <w:rFonts w:ascii="Calibri" w:eastAsia="Times New Roman" w:hAnsi="Calibri" w:cs="Calibri"/>
                <w:color w:val="000000"/>
                <w:sz w:val="18"/>
                <w:szCs w:val="18"/>
                <w:lang w:eastAsia="pl-PL"/>
              </w:rPr>
              <w:br w:type="page"/>
              <w:t xml:space="preserve">gatunków, dla ochrony których wyznaczono te obszary.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91361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378606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BB8FB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 2 uzupełniono o dane zawierające informację o wymaganiach właściwego stanu ochrony siedlisk i gatunków Natura 2000 w zakresie wód.</w:t>
            </w:r>
          </w:p>
        </w:tc>
      </w:tr>
      <w:tr w:rsidR="007C2B40" w:rsidRPr="0028666F" w14:paraId="53EAFB3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98564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w:t>
            </w:r>
          </w:p>
        </w:tc>
        <w:tc>
          <w:tcPr>
            <w:tcW w:w="970" w:type="dxa"/>
            <w:tcBorders>
              <w:top w:val="nil"/>
              <w:left w:val="nil"/>
              <w:bottom w:val="single" w:sz="4" w:space="0" w:color="auto"/>
              <w:right w:val="nil"/>
            </w:tcBorders>
          </w:tcPr>
          <w:p w14:paraId="3D7B6AD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42BEC44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7C89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3A72B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w:t>
            </w:r>
            <w:r w:rsidRPr="0028666F">
              <w:rPr>
                <w:rFonts w:ascii="Calibri" w:eastAsia="Times New Roman" w:hAnsi="Calibri" w:cs="Calibri"/>
                <w:color w:val="000000"/>
                <w:sz w:val="18"/>
                <w:szCs w:val="18"/>
                <w:lang w:eastAsia="pl-PL"/>
              </w:rPr>
              <w:br/>
              <w:t xml:space="preserve">Rozdział 12 </w:t>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Uwagi dot. braku kompletności zaproponowanych zestawów działań. </w:t>
            </w:r>
          </w:p>
        </w:tc>
        <w:tc>
          <w:tcPr>
            <w:tcW w:w="2733" w:type="dxa"/>
            <w:tcBorders>
              <w:top w:val="nil"/>
              <w:left w:val="nil"/>
              <w:bottom w:val="single" w:sz="4" w:space="0" w:color="auto"/>
              <w:right w:val="single" w:sz="4" w:space="0" w:color="auto"/>
            </w:tcBorders>
            <w:shd w:val="clear" w:color="auto" w:fill="auto"/>
            <w:hideMark/>
          </w:tcPr>
          <w:p w14:paraId="1F3742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Propozycje zmiany: </w:t>
            </w:r>
            <w:r w:rsidRPr="0028666F">
              <w:rPr>
                <w:rFonts w:ascii="Calibri" w:eastAsia="Times New Roman" w:hAnsi="Calibri" w:cs="Calibri"/>
                <w:color w:val="000000"/>
                <w:sz w:val="18"/>
                <w:szCs w:val="18"/>
                <w:lang w:eastAsia="pl-PL"/>
              </w:rPr>
              <w:br/>
              <w:t xml:space="preserve">1) wprowadzenie działań ukierunkowanych na osiągnięcie celów środowiskowych </w:t>
            </w:r>
            <w:r w:rsidRPr="0028666F">
              <w:rPr>
                <w:rFonts w:ascii="Calibri" w:eastAsia="Times New Roman" w:hAnsi="Calibri" w:cs="Calibri"/>
                <w:color w:val="000000"/>
                <w:sz w:val="18"/>
                <w:szCs w:val="18"/>
                <w:lang w:eastAsia="pl-PL"/>
              </w:rPr>
              <w:br/>
              <w:t xml:space="preserve">wszystkich przyrodniczych obszarów chronionych przeznaczonych do ochrony siedlisk </w:t>
            </w:r>
            <w:r w:rsidRPr="0028666F">
              <w:rPr>
                <w:rFonts w:ascii="Calibri" w:eastAsia="Times New Roman" w:hAnsi="Calibri" w:cs="Calibri"/>
                <w:color w:val="000000"/>
                <w:sz w:val="18"/>
                <w:szCs w:val="18"/>
                <w:lang w:eastAsia="pl-PL"/>
              </w:rPr>
              <w:br/>
              <w:t xml:space="preserve">lub gatunków dla których utrzymanie lub poprawa stanu wód jest ważnym czynnikiem </w:t>
            </w:r>
            <w:r w:rsidRPr="0028666F">
              <w:rPr>
                <w:rFonts w:ascii="Calibri" w:eastAsia="Times New Roman" w:hAnsi="Calibri" w:cs="Calibri"/>
                <w:color w:val="000000"/>
                <w:sz w:val="18"/>
                <w:szCs w:val="18"/>
                <w:lang w:eastAsia="pl-PL"/>
              </w:rPr>
              <w:br/>
              <w:t xml:space="preserve">w ich ochronie; </w:t>
            </w:r>
            <w:r w:rsidRPr="0028666F">
              <w:rPr>
                <w:rFonts w:ascii="Calibri" w:eastAsia="Times New Roman" w:hAnsi="Calibri" w:cs="Calibri"/>
                <w:color w:val="000000"/>
                <w:sz w:val="18"/>
                <w:szCs w:val="18"/>
                <w:lang w:eastAsia="pl-PL"/>
              </w:rPr>
              <w:br/>
              <w:t xml:space="preserve">2) przeniesienie do IIaPGW wszystkich ustaleń Krajowego Programu Renaturyzacji Wód </w:t>
            </w:r>
            <w:r w:rsidRPr="0028666F">
              <w:rPr>
                <w:rFonts w:ascii="Calibri" w:eastAsia="Times New Roman" w:hAnsi="Calibri" w:cs="Calibri"/>
                <w:color w:val="000000"/>
                <w:sz w:val="18"/>
                <w:szCs w:val="18"/>
                <w:lang w:eastAsia="pl-PL"/>
              </w:rPr>
              <w:br/>
              <w:t xml:space="preserve">Powierzchniowych; </w:t>
            </w:r>
            <w:r w:rsidRPr="0028666F">
              <w:rPr>
                <w:rFonts w:ascii="Calibri" w:eastAsia="Times New Roman" w:hAnsi="Calibri" w:cs="Calibri"/>
                <w:color w:val="000000"/>
                <w:sz w:val="18"/>
                <w:szCs w:val="18"/>
                <w:lang w:eastAsia="pl-PL"/>
              </w:rPr>
              <w:br/>
              <w:t xml:space="preserve">3) wykreślenie działania pn. „weryfikacja programu ochrony środowiska” i wprowadzenia </w:t>
            </w:r>
            <w:r w:rsidRPr="0028666F">
              <w:rPr>
                <w:rFonts w:ascii="Calibri" w:eastAsia="Times New Roman" w:hAnsi="Calibri" w:cs="Calibri"/>
                <w:color w:val="000000"/>
                <w:sz w:val="18"/>
                <w:szCs w:val="18"/>
                <w:lang w:eastAsia="pl-PL"/>
              </w:rPr>
              <w:br/>
              <w:t xml:space="preserve">w jego miejsca bardziej adekwatnej formy działania ukierunkowanego na ograniczanie </w:t>
            </w:r>
            <w:r w:rsidRPr="0028666F">
              <w:rPr>
                <w:rFonts w:ascii="Calibri" w:eastAsia="Times New Roman" w:hAnsi="Calibri" w:cs="Calibri"/>
                <w:color w:val="000000"/>
                <w:sz w:val="18"/>
                <w:szCs w:val="18"/>
                <w:lang w:eastAsia="pl-PL"/>
              </w:rPr>
              <w:br/>
              <w:t xml:space="preserve">emisji substancji priorytetowych; </w:t>
            </w:r>
          </w:p>
        </w:tc>
        <w:tc>
          <w:tcPr>
            <w:tcW w:w="3009" w:type="dxa"/>
            <w:tcBorders>
              <w:top w:val="nil"/>
              <w:left w:val="nil"/>
              <w:bottom w:val="single" w:sz="4" w:space="0" w:color="auto"/>
              <w:right w:val="single" w:sz="4" w:space="0" w:color="auto"/>
            </w:tcBorders>
            <w:shd w:val="clear" w:color="auto" w:fill="auto"/>
            <w:hideMark/>
          </w:tcPr>
          <w:p w14:paraId="25F016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1. W zestawach działań nie uwzględniono działań ukierunkowanych na osiągnięcie celów </w:t>
            </w:r>
            <w:r w:rsidRPr="0028666F">
              <w:rPr>
                <w:rFonts w:ascii="Calibri" w:eastAsia="Times New Roman" w:hAnsi="Calibri" w:cs="Calibri"/>
                <w:color w:val="000000"/>
                <w:sz w:val="18"/>
                <w:szCs w:val="18"/>
                <w:lang w:eastAsia="pl-PL"/>
              </w:rPr>
              <w:br/>
              <w:t xml:space="preserve">środowiskowych dla wszystkich obszarów chronionych przeznaczonych do ochrony </w:t>
            </w:r>
            <w:r w:rsidRPr="0028666F">
              <w:rPr>
                <w:rFonts w:ascii="Calibri" w:eastAsia="Times New Roman" w:hAnsi="Calibri" w:cs="Calibri"/>
                <w:color w:val="000000"/>
                <w:sz w:val="18"/>
                <w:szCs w:val="18"/>
                <w:lang w:eastAsia="pl-PL"/>
              </w:rPr>
              <w:br/>
              <w:t xml:space="preserve">siedlisk lub gatunków, o których mowa w przepisach ustawy z dnia 16 kwietnia 2004 r. o </w:t>
            </w:r>
            <w:r w:rsidRPr="0028666F">
              <w:rPr>
                <w:rFonts w:ascii="Calibri" w:eastAsia="Times New Roman" w:hAnsi="Calibri" w:cs="Calibri"/>
                <w:color w:val="000000"/>
                <w:sz w:val="18"/>
                <w:szCs w:val="18"/>
                <w:lang w:eastAsia="pl-PL"/>
              </w:rPr>
              <w:br/>
              <w:t xml:space="preserve">ochronie przyrody, dla których utrzymanie lub poprawa stanu wód jest ważnym </w:t>
            </w:r>
            <w:r w:rsidRPr="0028666F">
              <w:rPr>
                <w:rFonts w:ascii="Calibri" w:eastAsia="Times New Roman" w:hAnsi="Calibri" w:cs="Calibri"/>
                <w:color w:val="000000"/>
                <w:sz w:val="18"/>
                <w:szCs w:val="18"/>
                <w:lang w:eastAsia="pl-PL"/>
              </w:rPr>
              <w:br/>
              <w:t xml:space="preserve">czynnikiem w ich ochronie. Pominięte zostały obszary chronionego krajobrazu (405 </w:t>
            </w:r>
            <w:r w:rsidRPr="0028666F">
              <w:rPr>
                <w:rFonts w:ascii="Calibri" w:eastAsia="Times New Roman" w:hAnsi="Calibri" w:cs="Calibri"/>
                <w:color w:val="000000"/>
                <w:sz w:val="18"/>
                <w:szCs w:val="18"/>
                <w:lang w:eastAsia="pl-PL"/>
              </w:rPr>
              <w:br/>
              <w:t xml:space="preserve">obiektów), zespoły przyrodniczo-krajobrazowe (187 obiektów), użytki ekologiczne (6821 </w:t>
            </w:r>
            <w:r w:rsidRPr="0028666F">
              <w:rPr>
                <w:rFonts w:ascii="Calibri" w:eastAsia="Times New Roman" w:hAnsi="Calibri" w:cs="Calibri"/>
                <w:color w:val="000000"/>
                <w:sz w:val="18"/>
                <w:szCs w:val="18"/>
                <w:lang w:eastAsia="pl-PL"/>
              </w:rPr>
              <w:br/>
              <w:t xml:space="preserve">obiektów), stanowiska dokumentacyjne (27 obiektów) i pomniki przyrody (164 obiekty) - </w:t>
            </w:r>
            <w:r w:rsidRPr="0028666F">
              <w:rPr>
                <w:rFonts w:ascii="Calibri" w:eastAsia="Times New Roman" w:hAnsi="Calibri" w:cs="Calibri"/>
                <w:color w:val="000000"/>
                <w:sz w:val="18"/>
                <w:szCs w:val="18"/>
                <w:lang w:eastAsia="pl-PL"/>
              </w:rPr>
              <w:br/>
              <w:t xml:space="preserve">przy czym chodzi tu wyłącznie o te obiekty, które w pracy pn. „Ustalenie celów </w:t>
            </w:r>
            <w:r w:rsidRPr="0028666F">
              <w:rPr>
                <w:rFonts w:ascii="Calibri" w:eastAsia="Times New Roman" w:hAnsi="Calibri" w:cs="Calibri"/>
                <w:color w:val="000000"/>
                <w:sz w:val="18"/>
                <w:szCs w:val="18"/>
                <w:lang w:eastAsia="pl-PL"/>
              </w:rPr>
              <w:br/>
              <w:t xml:space="preserve">środowiskowych dla jednolitych części wód wraz z opracowaniem rejestru wykazów </w:t>
            </w:r>
            <w:r w:rsidRPr="0028666F">
              <w:rPr>
                <w:rFonts w:ascii="Calibri" w:eastAsia="Times New Roman" w:hAnsi="Calibri" w:cs="Calibri"/>
                <w:color w:val="000000"/>
                <w:sz w:val="18"/>
                <w:szCs w:val="18"/>
                <w:lang w:eastAsia="pl-PL"/>
              </w:rPr>
              <w:br/>
              <w:t xml:space="preserve">obszarów chronionych” z 2019 r. </w:t>
            </w:r>
            <w:r w:rsidRPr="0028666F">
              <w:rPr>
                <w:rFonts w:ascii="Calibri" w:eastAsia="Times New Roman" w:hAnsi="Calibri" w:cs="Calibri"/>
                <w:color w:val="000000"/>
                <w:sz w:val="18"/>
                <w:szCs w:val="18"/>
                <w:lang w:eastAsia="pl-PL"/>
              </w:rPr>
              <w:lastRenderedPageBreak/>
              <w:t xml:space="preserve">zostały uznane za obszary chronione przeznaczone do </w:t>
            </w:r>
            <w:r w:rsidRPr="0028666F">
              <w:rPr>
                <w:rFonts w:ascii="Calibri" w:eastAsia="Times New Roman" w:hAnsi="Calibri" w:cs="Calibri"/>
                <w:color w:val="000000"/>
                <w:sz w:val="18"/>
                <w:szCs w:val="18"/>
                <w:lang w:eastAsia="pl-PL"/>
              </w:rPr>
              <w:br/>
              <w:t xml:space="preserve">ochrony siedlisk lub gatunków, o których mowa w przepisach ustawy z dnia 16 kwietnia </w:t>
            </w:r>
            <w:r w:rsidRPr="0028666F">
              <w:rPr>
                <w:rFonts w:ascii="Calibri" w:eastAsia="Times New Roman" w:hAnsi="Calibri" w:cs="Calibri"/>
                <w:color w:val="000000"/>
                <w:sz w:val="18"/>
                <w:szCs w:val="18"/>
                <w:lang w:eastAsia="pl-PL"/>
              </w:rPr>
              <w:br/>
              <w:t xml:space="preserve">2004 r. o ochronie przyrody, dla których utrzymanie lub poprawa stanu wód jest ważnym </w:t>
            </w:r>
            <w:r w:rsidRPr="0028666F">
              <w:rPr>
                <w:rFonts w:ascii="Calibri" w:eastAsia="Times New Roman" w:hAnsi="Calibri" w:cs="Calibri"/>
                <w:color w:val="000000"/>
                <w:sz w:val="18"/>
                <w:szCs w:val="18"/>
                <w:lang w:eastAsia="pl-PL"/>
              </w:rPr>
              <w:br/>
              <w:t xml:space="preserve">czynnikiem w ich ochronie. </w:t>
            </w:r>
            <w:r w:rsidRPr="0028666F">
              <w:rPr>
                <w:rFonts w:ascii="Calibri" w:eastAsia="Times New Roman" w:hAnsi="Calibri" w:cs="Calibri"/>
                <w:color w:val="000000"/>
                <w:sz w:val="18"/>
                <w:szCs w:val="18"/>
                <w:lang w:eastAsia="pl-PL"/>
              </w:rPr>
              <w:br/>
              <w:t xml:space="preserve">2. Zauważalne jest, że ustalenia Krajowego Programu Renaturyzacji Wód Powierzchniowych (KPRWP) nie zostały przeniesione w całości do działań IIaPGW - lecz wyłącznie tam, gdzie występują obszary chronione (prawdopodobnie wyłącznie obszary Natura 2000, w których przedmiotem ochrony są gatunki i siedliska wodozależne). </w:t>
            </w:r>
            <w:r w:rsidRPr="0028666F">
              <w:rPr>
                <w:rFonts w:ascii="Calibri" w:eastAsia="Times New Roman" w:hAnsi="Calibri" w:cs="Calibri"/>
                <w:color w:val="000000"/>
                <w:sz w:val="18"/>
                <w:szCs w:val="18"/>
                <w:lang w:eastAsia="pl-PL"/>
              </w:rPr>
              <w:br/>
              <w:t xml:space="preserve">3. Wśród działań mających na celu osiągnięcie celów środowiskowych pojawia się m.in. </w:t>
            </w:r>
            <w:r w:rsidRPr="0028666F">
              <w:rPr>
                <w:rFonts w:ascii="Calibri" w:eastAsia="Times New Roman" w:hAnsi="Calibri" w:cs="Calibri"/>
                <w:color w:val="000000"/>
                <w:sz w:val="18"/>
                <w:szCs w:val="18"/>
                <w:lang w:eastAsia="pl-PL"/>
              </w:rPr>
              <w:br/>
              <w:t xml:space="preserve">pozycja pn. „weryfikacja programu ochrony środowiska” (głównie jako działanie </w:t>
            </w:r>
            <w:r w:rsidRPr="0028666F">
              <w:rPr>
                <w:rFonts w:ascii="Calibri" w:eastAsia="Times New Roman" w:hAnsi="Calibri" w:cs="Calibri"/>
                <w:color w:val="000000"/>
                <w:sz w:val="18"/>
                <w:szCs w:val="18"/>
                <w:lang w:eastAsia="pl-PL"/>
              </w:rPr>
              <w:br/>
              <w:t xml:space="preserve">ukierunkowane na ograniczanie emisji substancji priorytetowych). Działanie to należy </w:t>
            </w:r>
            <w:r w:rsidRPr="0028666F">
              <w:rPr>
                <w:rFonts w:ascii="Calibri" w:eastAsia="Times New Roman" w:hAnsi="Calibri" w:cs="Calibri"/>
                <w:color w:val="000000"/>
                <w:sz w:val="18"/>
                <w:szCs w:val="18"/>
                <w:lang w:eastAsia="pl-PL"/>
              </w:rPr>
              <w:br/>
              <w:t xml:space="preserve">ocenić krytycznie, ponieważ: </w:t>
            </w:r>
            <w:r w:rsidRPr="0028666F">
              <w:rPr>
                <w:rFonts w:ascii="Calibri" w:eastAsia="Times New Roman" w:hAnsi="Calibri" w:cs="Calibri"/>
                <w:color w:val="000000"/>
                <w:sz w:val="18"/>
                <w:szCs w:val="18"/>
                <w:lang w:eastAsia="pl-PL"/>
              </w:rPr>
              <w:br/>
              <w:t xml:space="preserve">a) w wyniku dokonanej w ostatnich latach zmiany ustawy z dnia 27 kwietnia 2001 r. - </w:t>
            </w:r>
            <w:r w:rsidRPr="0028666F">
              <w:rPr>
                <w:rFonts w:ascii="Calibri" w:eastAsia="Times New Roman" w:hAnsi="Calibri" w:cs="Calibri"/>
                <w:color w:val="000000"/>
                <w:sz w:val="18"/>
                <w:szCs w:val="18"/>
                <w:lang w:eastAsia="pl-PL"/>
              </w:rPr>
              <w:br/>
              <w:t xml:space="preserve">Prawo ochrony środowiska, nie ma już prawnej podstawy (a więc: obowiązku lub </w:t>
            </w:r>
            <w:r w:rsidRPr="0028666F">
              <w:rPr>
                <w:rFonts w:ascii="Calibri" w:eastAsia="Times New Roman" w:hAnsi="Calibri" w:cs="Calibri"/>
                <w:color w:val="000000"/>
                <w:sz w:val="18"/>
                <w:szCs w:val="18"/>
                <w:lang w:eastAsia="pl-PL"/>
              </w:rPr>
              <w:br/>
              <w:t xml:space="preserve">możliwości) do aktualizacji gminnych, powiatowych i wojewódzkich programów </w:t>
            </w:r>
            <w:r w:rsidRPr="0028666F">
              <w:rPr>
                <w:rFonts w:ascii="Calibri" w:eastAsia="Times New Roman" w:hAnsi="Calibri" w:cs="Calibri"/>
                <w:color w:val="000000"/>
                <w:sz w:val="18"/>
                <w:szCs w:val="18"/>
                <w:lang w:eastAsia="pl-PL"/>
              </w:rPr>
              <w:br/>
              <w:t xml:space="preserve">ochrony środowiska; </w:t>
            </w:r>
            <w:r w:rsidRPr="0028666F">
              <w:rPr>
                <w:rFonts w:ascii="Calibri" w:eastAsia="Times New Roman" w:hAnsi="Calibri" w:cs="Calibri"/>
                <w:color w:val="000000"/>
                <w:sz w:val="18"/>
                <w:szCs w:val="18"/>
                <w:lang w:eastAsia="pl-PL"/>
              </w:rPr>
              <w:br/>
              <w:t xml:space="preserve">b) programy ochrony środowiska nie mają żadnej mocy prawnej; </w:t>
            </w:r>
            <w:r w:rsidRPr="0028666F">
              <w:rPr>
                <w:rFonts w:ascii="Calibri" w:eastAsia="Times New Roman" w:hAnsi="Calibri" w:cs="Calibri"/>
                <w:color w:val="000000"/>
                <w:sz w:val="18"/>
                <w:szCs w:val="18"/>
                <w:lang w:eastAsia="pl-PL"/>
              </w:rPr>
              <w:br/>
              <w:t xml:space="preserve">c) nie ma przepisów określających zawartość programów ochrony środowiska; </w:t>
            </w:r>
            <w:r w:rsidRPr="0028666F">
              <w:rPr>
                <w:rFonts w:ascii="Calibri" w:eastAsia="Times New Roman" w:hAnsi="Calibri" w:cs="Calibri"/>
                <w:color w:val="000000"/>
                <w:sz w:val="18"/>
                <w:szCs w:val="18"/>
                <w:lang w:eastAsia="pl-PL"/>
              </w:rPr>
              <w:br/>
              <w:t xml:space="preserve">d) wytyczne Ministra Środowiska w sprawie sporządzania programów ochrony </w:t>
            </w:r>
            <w:r w:rsidRPr="0028666F">
              <w:rPr>
                <w:rFonts w:ascii="Calibri" w:eastAsia="Times New Roman" w:hAnsi="Calibri" w:cs="Calibri"/>
                <w:color w:val="000000"/>
                <w:sz w:val="18"/>
                <w:szCs w:val="18"/>
                <w:lang w:eastAsia="pl-PL"/>
              </w:rPr>
              <w:br/>
              <w:t xml:space="preserve">środowiska nie przewidują przeprowadzania w nich takich analiz, które miałyby na celu </w:t>
            </w:r>
            <w:r w:rsidRPr="0028666F">
              <w:rPr>
                <w:rFonts w:ascii="Calibri" w:eastAsia="Times New Roman" w:hAnsi="Calibri" w:cs="Calibri"/>
                <w:color w:val="000000"/>
                <w:sz w:val="18"/>
                <w:szCs w:val="18"/>
                <w:lang w:eastAsia="pl-PL"/>
              </w:rPr>
              <w:br/>
              <w:t xml:space="preserve">identyfikację przyczyn nieosiągnięcia celów środowiskowych w zakresie ochrony wód. </w:t>
            </w:r>
            <w:r w:rsidRPr="0028666F">
              <w:rPr>
                <w:rFonts w:ascii="Calibri" w:eastAsia="Times New Roman" w:hAnsi="Calibri" w:cs="Calibri"/>
                <w:color w:val="000000"/>
                <w:sz w:val="18"/>
                <w:szCs w:val="18"/>
                <w:lang w:eastAsia="pl-PL"/>
              </w:rPr>
              <w:br/>
              <w:t xml:space="preserve">4. Z powyższych punktów wynika, że konieczne jest: </w:t>
            </w:r>
            <w:r w:rsidRPr="0028666F">
              <w:rPr>
                <w:rFonts w:ascii="Calibri" w:eastAsia="Times New Roman" w:hAnsi="Calibri" w:cs="Calibri"/>
                <w:color w:val="000000"/>
                <w:sz w:val="18"/>
                <w:szCs w:val="18"/>
                <w:lang w:eastAsia="pl-PL"/>
              </w:rPr>
              <w:br/>
              <w:t xml:space="preserve">a) przypisanie działań adekwatnych do </w:t>
            </w:r>
            <w:r w:rsidRPr="0028666F">
              <w:rPr>
                <w:rFonts w:ascii="Calibri" w:eastAsia="Times New Roman" w:hAnsi="Calibri" w:cs="Calibri"/>
                <w:color w:val="000000"/>
                <w:sz w:val="18"/>
                <w:szCs w:val="18"/>
                <w:lang w:eastAsia="pl-PL"/>
              </w:rPr>
              <w:lastRenderedPageBreak/>
              <w:t xml:space="preserve">celów środowiskowych dla wszystkich obszarów </w:t>
            </w:r>
            <w:r w:rsidRPr="0028666F">
              <w:rPr>
                <w:rFonts w:ascii="Calibri" w:eastAsia="Times New Roman" w:hAnsi="Calibri" w:cs="Calibri"/>
                <w:color w:val="000000"/>
                <w:sz w:val="18"/>
                <w:szCs w:val="18"/>
                <w:lang w:eastAsia="pl-PL"/>
              </w:rPr>
              <w:br/>
              <w:t xml:space="preserve">chronionych przeznaczonych do ochrony siedlisk lub gatunków, o których mowa </w:t>
            </w:r>
            <w:r w:rsidRPr="0028666F">
              <w:rPr>
                <w:rFonts w:ascii="Calibri" w:eastAsia="Times New Roman" w:hAnsi="Calibri" w:cs="Calibri"/>
                <w:color w:val="000000"/>
                <w:sz w:val="18"/>
                <w:szCs w:val="18"/>
                <w:lang w:eastAsia="pl-PL"/>
              </w:rPr>
              <w:br/>
              <w:t xml:space="preserve">w przepisach ustawy z dnia 16 kwietnia 2004 r. o ochronie przyrody, dla których </w:t>
            </w:r>
            <w:r w:rsidRPr="0028666F">
              <w:rPr>
                <w:rFonts w:ascii="Calibri" w:eastAsia="Times New Roman" w:hAnsi="Calibri" w:cs="Calibri"/>
                <w:color w:val="000000"/>
                <w:sz w:val="18"/>
                <w:szCs w:val="18"/>
                <w:lang w:eastAsia="pl-PL"/>
              </w:rPr>
              <w:br/>
              <w:t xml:space="preserve">utrzymanie lub poprawa stanu wód jest ważnym czynnikiem w ich ochronie; </w:t>
            </w:r>
            <w:r w:rsidRPr="0028666F">
              <w:rPr>
                <w:rFonts w:ascii="Calibri" w:eastAsia="Times New Roman" w:hAnsi="Calibri" w:cs="Calibri"/>
                <w:color w:val="000000"/>
                <w:sz w:val="18"/>
                <w:szCs w:val="18"/>
                <w:lang w:eastAsia="pl-PL"/>
              </w:rPr>
              <w:br/>
              <w:t xml:space="preserve">b) przełożenie na zestawy działań wszystkich ustaleń KPRWP; </w:t>
            </w:r>
            <w:r w:rsidRPr="0028666F">
              <w:rPr>
                <w:rFonts w:ascii="Calibri" w:eastAsia="Times New Roman" w:hAnsi="Calibri" w:cs="Calibri"/>
                <w:color w:val="000000"/>
                <w:sz w:val="18"/>
                <w:szCs w:val="18"/>
                <w:lang w:eastAsia="pl-PL"/>
              </w:rPr>
              <w:br/>
              <w:t xml:space="preserve">c) określenie innego działania ukierunkowanego na ograniczanie emisji substancji </w:t>
            </w:r>
            <w:r w:rsidRPr="0028666F">
              <w:rPr>
                <w:rFonts w:ascii="Calibri" w:eastAsia="Times New Roman" w:hAnsi="Calibri" w:cs="Calibri"/>
                <w:color w:val="000000"/>
                <w:sz w:val="18"/>
                <w:szCs w:val="18"/>
                <w:lang w:eastAsia="pl-PL"/>
              </w:rPr>
              <w:br/>
              <w:t xml:space="preserve">priorytetowych; być może należałoby zaktualizować wszystkie opracowania </w:t>
            </w:r>
            <w:r w:rsidRPr="0028666F">
              <w:rPr>
                <w:rFonts w:ascii="Calibri" w:eastAsia="Times New Roman" w:hAnsi="Calibri" w:cs="Calibri"/>
                <w:color w:val="000000"/>
                <w:sz w:val="18"/>
                <w:szCs w:val="18"/>
                <w:lang w:eastAsia="pl-PL"/>
              </w:rPr>
              <w:br/>
              <w:t xml:space="preserve">ekofizjograficzne w skali kraju lub zapewnić przeprowadzenie jednej ogólnopolskiej </w:t>
            </w:r>
            <w:r w:rsidRPr="0028666F">
              <w:rPr>
                <w:rFonts w:ascii="Calibri" w:eastAsia="Times New Roman" w:hAnsi="Calibri" w:cs="Calibri"/>
                <w:color w:val="000000"/>
                <w:sz w:val="18"/>
                <w:szCs w:val="18"/>
                <w:lang w:eastAsia="pl-PL"/>
              </w:rPr>
              <w:br/>
              <w:t xml:space="preserve">pracy badawczej ukierunkowanej na cel, któremu jak dotąd miała służyć „weryfikacja </w:t>
            </w:r>
            <w:r w:rsidRPr="0028666F">
              <w:rPr>
                <w:rFonts w:ascii="Calibri" w:eastAsia="Times New Roman" w:hAnsi="Calibri" w:cs="Calibri"/>
                <w:color w:val="000000"/>
                <w:sz w:val="18"/>
                <w:szCs w:val="18"/>
                <w:lang w:eastAsia="pl-PL"/>
              </w:rPr>
              <w:br/>
              <w:t xml:space="preserve">programu ochrony środowiska” (na wzór opracowanego KPRWP), który też był </w:t>
            </w:r>
            <w:r w:rsidRPr="0028666F">
              <w:rPr>
                <w:rFonts w:ascii="Calibri" w:eastAsia="Times New Roman" w:hAnsi="Calibri" w:cs="Calibri"/>
                <w:color w:val="000000"/>
                <w:sz w:val="18"/>
                <w:szCs w:val="18"/>
                <w:lang w:eastAsia="pl-PL"/>
              </w:rPr>
              <w:br/>
              <w:t xml:space="preserve">ukierunkowany na konkretny problem), natomiast oparcie się nie gminnych </w:t>
            </w:r>
            <w:r w:rsidRPr="0028666F">
              <w:rPr>
                <w:rFonts w:ascii="Calibri" w:eastAsia="Times New Roman" w:hAnsi="Calibri" w:cs="Calibri"/>
                <w:color w:val="000000"/>
                <w:sz w:val="18"/>
                <w:szCs w:val="18"/>
                <w:lang w:eastAsia="pl-PL"/>
              </w:rPr>
              <w:br/>
              <w:t xml:space="preserve">„programach ochrony środowiska” jest nietrafioną koncepcją. </w:t>
            </w:r>
          </w:p>
        </w:tc>
        <w:tc>
          <w:tcPr>
            <w:tcW w:w="1720" w:type="dxa"/>
            <w:tcBorders>
              <w:top w:val="nil"/>
              <w:left w:val="nil"/>
              <w:bottom w:val="single" w:sz="4" w:space="0" w:color="auto"/>
              <w:right w:val="single" w:sz="4" w:space="0" w:color="auto"/>
            </w:tcBorders>
            <w:shd w:val="clear" w:color="000000" w:fill="FFFFFF"/>
            <w:hideMark/>
          </w:tcPr>
          <w:p w14:paraId="069336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58A63E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7CB8ADA8" w14:textId="266CB2F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Ad. 1.)</w:t>
            </w:r>
            <w:r w:rsidRPr="0028666F">
              <w:rPr>
                <w:rFonts w:ascii="Calibri" w:eastAsia="Times New Roman" w:hAnsi="Calibri" w:cs="Calibri"/>
                <w:color w:val="000000"/>
                <w:sz w:val="18"/>
                <w:szCs w:val="18"/>
                <w:lang w:eastAsia="pl-PL"/>
              </w:rPr>
              <w:br/>
              <w:t>Działania naprawcze dla obszarów chronionych zostały przypisane wyłącznie w sytuacjach, gdy dla danej formy ochrony nie ustanowiono planu ochrony/planu zadań ochronnych, a w ramach projektu „Analiza presji wraz z oceną ich wpływu na stan wód powierzchniowych oraz oceną ryzyka nieosiągnięcia celów środowiskowych” zidentyfikowano ryzyko wystąpienia presji znaczących oraz wskazania do sformułowania działań naprawczych.</w:t>
            </w:r>
            <w:r w:rsidRPr="0028666F">
              <w:rPr>
                <w:rFonts w:ascii="Calibri" w:eastAsia="Times New Roman" w:hAnsi="Calibri" w:cs="Calibri"/>
                <w:color w:val="000000"/>
                <w:sz w:val="18"/>
                <w:szCs w:val="18"/>
                <w:lang w:eastAsia="pl-PL"/>
              </w:rPr>
              <w:br/>
              <w:t>Mimo, że istnieje pula działań nakierowanych na poprawę warunków wodnych w sensie bezpośrednim, w zestawach działań dla poszczególnych typów wód oraz z zestawie działań krajowych znalazły się liczne działania mające bezpośredni i pośredni wpływ na realizację celów (wodno)środowiskowych obszarów chronionych. Położenie w obrębie obszaru chronionego było elementem priorytetyzacji m.in. w formułowaniu działań z zakresu hydromorfologii. Kwestia obszarów chronionych w kontekście drożności dla gatunków będących przedmiotami ochrony obszarów Natura 2000 były również kryterium przypisywania działań dot. drożności biologicznej. Najistotniejsze działania z katalogu krajowego będą obejmowały realizację KPRWP oraz realizację prac zgodnie z Katalogiem Dobrych Praktyk.</w:t>
            </w:r>
            <w:r w:rsidRPr="0028666F">
              <w:rPr>
                <w:rFonts w:ascii="Calibri" w:eastAsia="Times New Roman" w:hAnsi="Calibri" w:cs="Calibri"/>
                <w:color w:val="000000"/>
                <w:sz w:val="18"/>
                <w:szCs w:val="18"/>
                <w:lang w:eastAsia="pl-PL"/>
              </w:rPr>
              <w:br/>
              <w:t>Ad. 2)</w:t>
            </w:r>
            <w:r w:rsidRPr="0028666F">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aktualne wyniki z monitoringu GIOŚ z 2020 roku, wykonano </w:t>
            </w:r>
            <w:r w:rsidRPr="0028666F">
              <w:rPr>
                <w:rFonts w:ascii="Calibri" w:eastAsia="Times New Roman" w:hAnsi="Calibri" w:cs="Calibri"/>
                <w:color w:val="000000"/>
                <w:sz w:val="18"/>
                <w:szCs w:val="18"/>
                <w:lang w:eastAsia="pl-PL"/>
              </w:rPr>
              <w:lastRenderedPageBreak/>
              <w:t>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w:t>
            </w:r>
            <w:r w:rsidRPr="0028666F">
              <w:rPr>
                <w:rFonts w:ascii="Calibri" w:eastAsia="Times New Roman" w:hAnsi="Calibri" w:cs="Calibri"/>
                <w:color w:val="000000"/>
                <w:sz w:val="18"/>
                <w:szCs w:val="18"/>
                <w:lang w:eastAsia="pl-PL"/>
              </w:rPr>
              <w:lastRenderedPageBreak/>
              <w:t xml:space="preserve">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w następującym zakresie: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 presją znaczącą, ale powodującą zły stan elementów biologicznych i ryzyko nieosiągnięcia celów wprowadzone zostało działanie o treści:</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Ad. 3)</w:t>
            </w:r>
            <w:r w:rsidRPr="0028666F">
              <w:rPr>
                <w:rFonts w:ascii="Calibri" w:eastAsia="Times New Roman" w:hAnsi="Calibri" w:cs="Calibri"/>
                <w:color w:val="000000"/>
                <w:sz w:val="18"/>
                <w:szCs w:val="18"/>
                <w:lang w:eastAsia="pl-PL"/>
              </w:rPr>
              <w:br/>
              <w:t>Działanie określone jako weryfikacja programu ochrony środowiska, obejmuje wszelkie działania mające na celu uwzględnienie w opracowywanych planach (na wszystkich poziomach JST) zagadnień związanych z identyfikacją problemów oraz wdrażaniem lokalnych działań mających na celu poprawę stanu wód. Działanie to jest adekwatne do oczekiwanego celu identyfikującego przyczyny złego stanu wód na poziomie JST.</w:t>
            </w:r>
            <w:r w:rsidRPr="0028666F">
              <w:rPr>
                <w:rFonts w:ascii="Calibri" w:eastAsia="Times New Roman" w:hAnsi="Calibri" w:cs="Calibri"/>
                <w:color w:val="000000"/>
                <w:sz w:val="18"/>
                <w:szCs w:val="18"/>
                <w:lang w:eastAsia="pl-PL"/>
              </w:rPr>
              <w:br/>
              <w:t xml:space="preserve">Zgodnie z „Wytycznymi do opracowania wojewódzkich, powiatowych i gminnych programów ochrony środowiska” (opracowanych przez MKiŚ; 2017 wraz z aktualizacją z 2020r.) - programy ochrony środowiska (POŚ) stanowią podstawę funkcjonowania systemu zarządzania środowiskiem, spajającą wszystkie działania i dokumenty dotyczące ochrony środowiska na poszczególnych poziomach JST. Założenia i cele okreśłone w POŚ stanową strategię polityki ochrony środowiska, która musi być zbieżna z założeniami najważniejszych dokumentów strategicznych i programowych. Program jest dokumentem strategicznym, nie mając przy tym mocy prawa miejscowego. Stanowi jednak podstawę realnego planowania na danym poziomie JST. Rozwiązania przyjęte w POŚ uwzględniają m.in. działania prowadzące do poprawy stanu środowiska oraz racjonalnej gospodarki odpadami i gospodarki wodno-ściekowej. Wyznaczane kierunki interwencji i zadania POŚ określa się na podstawie analizy aktualnej sytuacji i oczekiwanych zmian w ochronie środowiska. POŚ określa także cele, zadania, ich harmonogram oraz środki niezbędne do osiągnięcia celów, w tym mechanizmy prawno-ekonomiczne i środki finansowe. Między innymi zwraca się szczególną uwagę na poprawne zidentyfikowanie obszarów wymagających pilnego podjęcia działań w celu poprawy stanu środowiska, aby skierować do tych obszarów największy strumień finansowania. Propozycje celów, kierunków interwencji oraz zadań powinny wynikać m.in. ze zdefiniowanych zagrożeń i problemów dla poszczególnych obszarów interwencji. Wymagane jest także, aby zadania podejmowane na szczeblu samorządowym przyczyniały się do osiągnięcia krajowych celów zapisanych w </w:t>
            </w:r>
            <w:r w:rsidRPr="0028666F">
              <w:rPr>
                <w:rFonts w:ascii="Calibri" w:eastAsia="Times New Roman" w:hAnsi="Calibri" w:cs="Calibri"/>
                <w:color w:val="000000"/>
                <w:sz w:val="18"/>
                <w:szCs w:val="18"/>
                <w:lang w:eastAsia="pl-PL"/>
              </w:rPr>
              <w:lastRenderedPageBreak/>
              <w:t>dokumentach strategicznych i programowych.</w:t>
            </w:r>
            <w:r w:rsidRPr="0028666F">
              <w:rPr>
                <w:rFonts w:ascii="Calibri" w:eastAsia="Times New Roman" w:hAnsi="Calibri" w:cs="Calibri"/>
                <w:color w:val="000000"/>
                <w:sz w:val="18"/>
                <w:szCs w:val="18"/>
                <w:lang w:eastAsia="pl-PL"/>
              </w:rPr>
              <w:br/>
              <w:t>Biorąc pod uwagę powyższe przyjęto, iż identyfikacja problemów związanych z poprawą stanu wód wraz z określeniem działań specyficznych dla danej JST, powinna być ujęta i zaplanowana w ramach POŚ. Dokument ten, którego obowiązywanie zamknięte jest również w cyklach planistycznych, powinno uwzględniać i aktualizować niezbędne działania w ramach odpowiedzi na najważniejsze problemy związane z ochroną środowiska na obszarze JST.</w:t>
            </w:r>
            <w:r w:rsidRPr="0028666F">
              <w:rPr>
                <w:rFonts w:ascii="Calibri" w:eastAsia="Times New Roman" w:hAnsi="Calibri" w:cs="Calibri"/>
                <w:color w:val="000000"/>
                <w:sz w:val="18"/>
                <w:szCs w:val="18"/>
                <w:lang w:eastAsia="pl-PL"/>
              </w:rPr>
              <w:br/>
              <w:t xml:space="preserve">Zaproponowane w uwadze działanie ukierunkowane na ograniczanie emisji substancji priorytetowych poprzez aktualizację opracowań ekofizjograficznych, nie może być zrealizowane, ponieważ dokumenty te opracowaniami wspomagającymi planowanie przestrzenne. Natomiast ogólnopolskie prace badawcze nie są w stanie zidentyfikować problemów na poziomie lokalnym, jak również nie stanowią dokumentu, który może być strategią planowania działań w zakresie ochrony środowiska na poziomie JST lub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Pod tym względem POŚ, jako dokument strategiczny, podlegający opiniowaniu i ustalający politykę JST w zakresie finansowania działań w dziedzinie ochrony środowiska jest optymalnym narzędziem kształtowania zarządzania środowiskiem na potrzeby poprawy stanu wód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59499BC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8B4707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30</w:t>
            </w:r>
          </w:p>
        </w:tc>
        <w:tc>
          <w:tcPr>
            <w:tcW w:w="970" w:type="dxa"/>
            <w:tcBorders>
              <w:top w:val="nil"/>
              <w:left w:val="nil"/>
              <w:bottom w:val="single" w:sz="4" w:space="0" w:color="auto"/>
              <w:right w:val="nil"/>
            </w:tcBorders>
          </w:tcPr>
          <w:p w14:paraId="3D4BF00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25452D1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9E09E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92133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w:t>
            </w:r>
            <w:r w:rsidRPr="0028666F">
              <w:rPr>
                <w:rFonts w:ascii="Calibri" w:eastAsia="Times New Roman" w:hAnsi="Calibri" w:cs="Calibri"/>
                <w:color w:val="000000"/>
                <w:sz w:val="18"/>
                <w:szCs w:val="18"/>
                <w:lang w:eastAsia="pl-PL"/>
              </w:rPr>
              <w:br/>
              <w:t xml:space="preserve">Rozdział 12 </w:t>
            </w:r>
            <w:r w:rsidRPr="0028666F">
              <w:rPr>
                <w:rFonts w:ascii="Calibri" w:eastAsia="Times New Roman" w:hAnsi="Calibri" w:cs="Calibri"/>
                <w:color w:val="000000"/>
                <w:sz w:val="18"/>
                <w:szCs w:val="18"/>
                <w:lang w:eastAsia="pl-PL"/>
              </w:rPr>
              <w:br/>
              <w:t xml:space="preserve">Treść uwagi: Uwagi dot. braku należytej adekwatności zestawów działań </w:t>
            </w:r>
          </w:p>
        </w:tc>
        <w:tc>
          <w:tcPr>
            <w:tcW w:w="2733" w:type="dxa"/>
            <w:tcBorders>
              <w:top w:val="nil"/>
              <w:left w:val="nil"/>
              <w:bottom w:val="single" w:sz="4" w:space="0" w:color="auto"/>
              <w:right w:val="single" w:sz="4" w:space="0" w:color="auto"/>
            </w:tcBorders>
            <w:shd w:val="clear" w:color="auto" w:fill="auto"/>
            <w:hideMark/>
          </w:tcPr>
          <w:p w14:paraId="39B1ADCE" w14:textId="0822D72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odniesieniu do zestawów działań: </w:t>
            </w:r>
            <w:r w:rsidRPr="0028666F">
              <w:rPr>
                <w:rFonts w:ascii="Calibri" w:eastAsia="Times New Roman" w:hAnsi="Calibri" w:cs="Calibri"/>
                <w:color w:val="000000"/>
                <w:sz w:val="18"/>
                <w:szCs w:val="18"/>
                <w:lang w:eastAsia="pl-PL"/>
              </w:rPr>
              <w:br/>
              <w:t xml:space="preserve">1) uwzględnienie w pełni zasady „zanieczyszczający płaci” wobec przemysłu wydobywczego węgla kamiennego i brunatnego oraz wobec elektrowni zrzucających wody zasolone; </w:t>
            </w:r>
            <w:r w:rsidRPr="0028666F">
              <w:rPr>
                <w:rFonts w:ascii="Calibri" w:eastAsia="Times New Roman" w:hAnsi="Calibri" w:cs="Calibri"/>
                <w:color w:val="000000"/>
                <w:sz w:val="18"/>
                <w:szCs w:val="18"/>
                <w:lang w:eastAsia="pl-PL"/>
              </w:rPr>
              <w:br/>
              <w:t xml:space="preserve">2) przypisanie podmiotom gospodarczym odpowiedzialnym za nadmierny pobór wód </w:t>
            </w:r>
            <w:r w:rsidRPr="0028666F">
              <w:rPr>
                <w:rFonts w:ascii="Calibri" w:eastAsia="Times New Roman" w:hAnsi="Calibri" w:cs="Calibri"/>
                <w:color w:val="000000"/>
                <w:sz w:val="18"/>
                <w:szCs w:val="18"/>
                <w:lang w:eastAsia="pl-PL"/>
              </w:rPr>
              <w:br/>
              <w:t xml:space="preserve">podziemnych (powodujący nieosiągnięcie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oraz zrzut </w:t>
            </w:r>
            <w:r w:rsidRPr="0028666F">
              <w:rPr>
                <w:rFonts w:ascii="Calibri" w:eastAsia="Times New Roman" w:hAnsi="Calibri" w:cs="Calibri"/>
                <w:color w:val="000000"/>
                <w:sz w:val="18"/>
                <w:szCs w:val="18"/>
                <w:lang w:eastAsia="pl-PL"/>
              </w:rPr>
              <w:br/>
              <w:t xml:space="preserve">wysokich ładunków zasolenia - działań ukierunkowanych na zminimalizowanie presji </w:t>
            </w:r>
            <w:r w:rsidRPr="0028666F">
              <w:rPr>
                <w:rFonts w:ascii="Calibri" w:eastAsia="Times New Roman" w:hAnsi="Calibri" w:cs="Calibri"/>
                <w:color w:val="000000"/>
                <w:sz w:val="18"/>
                <w:szCs w:val="18"/>
                <w:lang w:eastAsia="pl-PL"/>
              </w:rPr>
              <w:br/>
              <w:t xml:space="preserve">uniemożliwiających osiągnięcie celów środowiskowych (w zakresie stanu ilościowego </w:t>
            </w:r>
            <w:r w:rsidRPr="0028666F">
              <w:rPr>
                <w:rFonts w:ascii="Calibri" w:eastAsia="Times New Roman" w:hAnsi="Calibri" w:cs="Calibri"/>
                <w:color w:val="000000"/>
                <w:sz w:val="18"/>
                <w:szCs w:val="18"/>
                <w:lang w:eastAsia="pl-PL"/>
              </w:rPr>
              <w:br/>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oraz nadmiernych wartości przewodności elektrolitycznej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zapewnienie </w:t>
            </w:r>
            <w:r w:rsidRPr="0028666F">
              <w:rPr>
                <w:rFonts w:ascii="Calibri" w:eastAsia="Times New Roman" w:hAnsi="Calibri" w:cs="Calibri"/>
                <w:color w:val="000000"/>
                <w:sz w:val="18"/>
                <w:szCs w:val="18"/>
                <w:lang w:eastAsia="pl-PL"/>
              </w:rPr>
              <w:br/>
              <w:t xml:space="preserve">możliwie najlepszego stanu wód; </w:t>
            </w:r>
            <w:r w:rsidRPr="0028666F">
              <w:rPr>
                <w:rFonts w:ascii="Calibri" w:eastAsia="Times New Roman" w:hAnsi="Calibri" w:cs="Calibri"/>
                <w:color w:val="000000"/>
                <w:sz w:val="18"/>
                <w:szCs w:val="18"/>
                <w:lang w:eastAsia="pl-PL"/>
              </w:rPr>
              <w:br/>
              <w:t xml:space="preserve">3) wprowadzenie zestawów działań będących adekwatną odpowiedzią na presje wynikające z projektów aktualizacji planów zarządzania ryzykiem powodziowym (aPZRP); </w:t>
            </w:r>
            <w:r w:rsidRPr="0028666F">
              <w:rPr>
                <w:rFonts w:ascii="Calibri" w:eastAsia="Times New Roman" w:hAnsi="Calibri" w:cs="Calibri"/>
                <w:color w:val="000000"/>
                <w:sz w:val="18"/>
                <w:szCs w:val="18"/>
                <w:lang w:eastAsia="pl-PL"/>
              </w:rPr>
              <w:br/>
              <w:t xml:space="preserve">4) wprowadzenie do zestawów działań ustaleń dotyczących </w:t>
            </w:r>
            <w:r w:rsidRPr="0028666F">
              <w:rPr>
                <w:rFonts w:ascii="Calibri" w:eastAsia="Times New Roman" w:hAnsi="Calibri" w:cs="Calibri"/>
                <w:color w:val="000000"/>
                <w:sz w:val="18"/>
                <w:szCs w:val="18"/>
                <w:lang w:eastAsia="pl-PL"/>
              </w:rPr>
              <w:lastRenderedPageBreak/>
              <w:t xml:space="preserve">przepływów środowiskowych przepływów nienaruszalnych; </w:t>
            </w:r>
            <w:r w:rsidRPr="0028666F">
              <w:rPr>
                <w:rFonts w:ascii="Calibri" w:eastAsia="Times New Roman" w:hAnsi="Calibri" w:cs="Calibri"/>
                <w:color w:val="000000"/>
                <w:sz w:val="18"/>
                <w:szCs w:val="18"/>
                <w:lang w:eastAsia="pl-PL"/>
              </w:rPr>
              <w:br/>
              <w:t xml:space="preserve">5) wprowadzenie działań niwelujących skutki środowiskowe inwestycji zawartych </w:t>
            </w:r>
            <w:r w:rsidRPr="0028666F">
              <w:rPr>
                <w:rFonts w:ascii="Calibri" w:eastAsia="Times New Roman" w:hAnsi="Calibri" w:cs="Calibri"/>
                <w:color w:val="000000"/>
                <w:sz w:val="18"/>
                <w:szCs w:val="18"/>
                <w:lang w:eastAsia="pl-PL"/>
              </w:rPr>
              <w:br/>
              <w:t xml:space="preserve">w „Zestawieniu kierunkowych inwestycji w gospodarce wodnej lub związanych z wodami”; </w:t>
            </w:r>
            <w:r w:rsidRPr="0028666F">
              <w:rPr>
                <w:rFonts w:ascii="Calibri" w:eastAsia="Times New Roman" w:hAnsi="Calibri" w:cs="Calibri"/>
                <w:color w:val="000000"/>
                <w:sz w:val="18"/>
                <w:szCs w:val="18"/>
                <w:lang w:eastAsia="pl-PL"/>
              </w:rPr>
              <w:br/>
              <w:t xml:space="preserve">6) uwzględnienie w IIaPGW wszystkich wykonanych dokumentacji dla obszarów ochronnych zbiorników wód śródlądowych (nie tylko dla Głównych Zbiorników Wód Podziemnych) i określenie terminu prawnego ustanowienia ww. obszarów ochronnych; </w:t>
            </w:r>
            <w:r w:rsidRPr="0028666F">
              <w:rPr>
                <w:rFonts w:ascii="Calibri" w:eastAsia="Times New Roman" w:hAnsi="Calibri" w:cs="Calibri"/>
                <w:color w:val="000000"/>
                <w:sz w:val="18"/>
                <w:szCs w:val="18"/>
                <w:lang w:eastAsia="pl-PL"/>
              </w:rPr>
              <w:br/>
              <w:t xml:space="preserve">7) wskazanie w IIaPGW (w 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przeznaczonych do poboru wody na potrzeby zaopatrzenia ludności w wodę przeznaczoną do spożycia przez ludzi) działań polegających na: </w:t>
            </w:r>
            <w:r w:rsidRPr="0028666F">
              <w:rPr>
                <w:rFonts w:ascii="Calibri" w:eastAsia="Times New Roman" w:hAnsi="Calibri" w:cs="Calibri"/>
                <w:color w:val="000000"/>
                <w:sz w:val="18"/>
                <w:szCs w:val="18"/>
                <w:lang w:eastAsia="pl-PL"/>
              </w:rPr>
              <w:br/>
              <w:t>a) wskazaniu terminu ustanowienia stref ochronnych obejmujących wyłącznie teren ochrony bezpośredniej,</w:t>
            </w:r>
            <w:r w:rsidRPr="0028666F">
              <w:rPr>
                <w:rFonts w:ascii="Calibri" w:eastAsia="Times New Roman" w:hAnsi="Calibri" w:cs="Calibri"/>
                <w:color w:val="000000"/>
                <w:sz w:val="18"/>
                <w:szCs w:val="18"/>
                <w:lang w:eastAsia="pl-PL"/>
              </w:rPr>
              <w:br/>
              <w:t>b) wprowadzeniu konieczności aktualizacji (reambulacji) dokumentacji hydrologicznych i hydrogeologicznych dla ujęć wody;</w:t>
            </w:r>
            <w:r w:rsidRPr="0028666F">
              <w:rPr>
                <w:rFonts w:ascii="Calibri" w:eastAsia="Times New Roman" w:hAnsi="Calibri" w:cs="Calibri"/>
                <w:color w:val="000000"/>
                <w:sz w:val="18"/>
                <w:szCs w:val="18"/>
                <w:lang w:eastAsia="pl-PL"/>
              </w:rPr>
              <w:br/>
              <w:t xml:space="preserve">8) wprowadzenie do treści IIaPGW działań, które wypełnią lukę po rozporządzeniach </w:t>
            </w:r>
            <w:r w:rsidRPr="0028666F">
              <w:rPr>
                <w:rFonts w:ascii="Calibri" w:eastAsia="Times New Roman" w:hAnsi="Calibri" w:cs="Calibri"/>
                <w:color w:val="000000"/>
                <w:sz w:val="18"/>
                <w:szCs w:val="18"/>
                <w:lang w:eastAsia="pl-PL"/>
              </w:rPr>
              <w:br/>
              <w:t xml:space="preserve">w sprawie warunków korzystania z wód regionów wodnych i zlewni; </w:t>
            </w:r>
            <w:r w:rsidRPr="0028666F">
              <w:rPr>
                <w:rFonts w:ascii="Calibri" w:eastAsia="Times New Roman" w:hAnsi="Calibri" w:cs="Calibri"/>
                <w:color w:val="000000"/>
                <w:sz w:val="18"/>
                <w:szCs w:val="18"/>
                <w:lang w:eastAsia="pl-PL"/>
              </w:rPr>
              <w:br/>
              <w:t xml:space="preserve">9) przedstawienie (w zestawach działań) dowodów na to, że wybrane zestawy działań są </w:t>
            </w:r>
            <w:r w:rsidRPr="0028666F">
              <w:rPr>
                <w:rFonts w:ascii="Calibri" w:eastAsia="Times New Roman" w:hAnsi="Calibri" w:cs="Calibri"/>
                <w:color w:val="000000"/>
                <w:sz w:val="18"/>
                <w:szCs w:val="18"/>
                <w:lang w:eastAsia="pl-PL"/>
              </w:rPr>
              <w:br/>
              <w:t xml:space="preserve">najlepszą (optymalną, wykonalną i niepowodującą nieproporcjonalnych kosztów) opcją </w:t>
            </w:r>
            <w:r w:rsidRPr="0028666F">
              <w:rPr>
                <w:rFonts w:ascii="Calibri" w:eastAsia="Times New Roman" w:hAnsi="Calibri" w:cs="Calibri"/>
                <w:color w:val="000000"/>
                <w:sz w:val="18"/>
                <w:szCs w:val="18"/>
                <w:lang w:eastAsia="pl-PL"/>
              </w:rPr>
              <w:br/>
              <w:t xml:space="preserve">działań mających na celu osiągnięcie celów środowiskowych w zakresie ochrony wód; </w:t>
            </w:r>
            <w:r w:rsidRPr="0028666F">
              <w:rPr>
                <w:rFonts w:ascii="Calibri" w:eastAsia="Times New Roman" w:hAnsi="Calibri" w:cs="Calibri"/>
                <w:color w:val="000000"/>
                <w:sz w:val="18"/>
                <w:szCs w:val="18"/>
                <w:lang w:eastAsia="pl-PL"/>
              </w:rPr>
              <w:br/>
              <w:t xml:space="preserve">10) wprowadzenie do IIaPGW działań ukierunkowanych na rozwiązanie systemowych, </w:t>
            </w:r>
            <w:r w:rsidRPr="0028666F">
              <w:rPr>
                <w:rFonts w:ascii="Calibri" w:eastAsia="Times New Roman" w:hAnsi="Calibri" w:cs="Calibri"/>
                <w:color w:val="000000"/>
                <w:sz w:val="18"/>
                <w:szCs w:val="18"/>
                <w:lang w:eastAsia="pl-PL"/>
              </w:rPr>
              <w:br/>
              <w:t xml:space="preserve">instytucjonalnych i prawnych barier utrudniających osiągnięcie celów środowiskowych oraz efektywne zarządzenie gospodarką wodną i ochroną wód, takich jak następujące bariery i problemy: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a) brak bilansów jakościowych i ilościowych stanowiących podstawę do weryfikacji </w:t>
            </w:r>
            <w:r w:rsidRPr="0028666F">
              <w:rPr>
                <w:rFonts w:ascii="Calibri" w:eastAsia="Times New Roman" w:hAnsi="Calibri" w:cs="Calibri"/>
                <w:color w:val="000000"/>
                <w:sz w:val="18"/>
                <w:szCs w:val="18"/>
                <w:lang w:eastAsia="pl-PL"/>
              </w:rPr>
              <w:br/>
              <w:t xml:space="preserve">operatów wodnoprawnych i przeglądu pozwoleń wodnoprawnych (obecnie takie </w:t>
            </w:r>
            <w:r w:rsidRPr="0028666F">
              <w:rPr>
                <w:rFonts w:ascii="Calibri" w:eastAsia="Times New Roman" w:hAnsi="Calibri" w:cs="Calibri"/>
                <w:color w:val="000000"/>
                <w:sz w:val="18"/>
                <w:szCs w:val="18"/>
                <w:lang w:eastAsia="pl-PL"/>
              </w:rPr>
              <w:br/>
              <w:t xml:space="preserve">analizy są wykonywane jedynie w ramach dokumentacji hydrogeologicznych), </w:t>
            </w:r>
            <w:r w:rsidRPr="0028666F">
              <w:rPr>
                <w:rFonts w:ascii="Calibri" w:eastAsia="Times New Roman" w:hAnsi="Calibri" w:cs="Calibri"/>
                <w:color w:val="000000"/>
                <w:sz w:val="18"/>
                <w:szCs w:val="18"/>
                <w:lang w:eastAsia="pl-PL"/>
              </w:rPr>
              <w:br/>
              <w:t xml:space="preserve">b) brak integracji wyników pracy państwowej służby hydrogeologicznej i państwowej </w:t>
            </w:r>
            <w:r w:rsidRPr="0028666F">
              <w:rPr>
                <w:rFonts w:ascii="Calibri" w:eastAsia="Times New Roman" w:hAnsi="Calibri" w:cs="Calibri"/>
                <w:color w:val="000000"/>
                <w:sz w:val="18"/>
                <w:szCs w:val="18"/>
                <w:lang w:eastAsia="pl-PL"/>
              </w:rPr>
              <w:br/>
              <w:t xml:space="preserve">służby hydrologicznej z działalnością organów właściwych w sprawach zgód </w:t>
            </w:r>
            <w:r w:rsidRPr="0028666F">
              <w:rPr>
                <w:rFonts w:ascii="Calibri" w:eastAsia="Times New Roman" w:hAnsi="Calibri" w:cs="Calibri"/>
                <w:color w:val="000000"/>
                <w:sz w:val="18"/>
                <w:szCs w:val="18"/>
                <w:lang w:eastAsia="pl-PL"/>
              </w:rPr>
              <w:br/>
              <w:t xml:space="preserve">wodnoprawnych, </w:t>
            </w:r>
            <w:r w:rsidRPr="0028666F">
              <w:rPr>
                <w:rFonts w:ascii="Calibri" w:eastAsia="Times New Roman" w:hAnsi="Calibri" w:cs="Calibri"/>
                <w:color w:val="000000"/>
                <w:sz w:val="18"/>
                <w:szCs w:val="18"/>
                <w:lang w:eastAsia="pl-PL"/>
              </w:rPr>
              <w:br/>
              <w:t>c) brak danych na temat ładunków zanieczyszczeń prowadzonych w wodach powierzchniowych,</w:t>
            </w:r>
            <w:r w:rsidRPr="0028666F">
              <w:rPr>
                <w:rFonts w:ascii="Calibri" w:eastAsia="Times New Roman" w:hAnsi="Calibri" w:cs="Calibri"/>
                <w:color w:val="000000"/>
                <w:sz w:val="18"/>
                <w:szCs w:val="18"/>
                <w:lang w:eastAsia="pl-PL"/>
              </w:rPr>
              <w:br/>
              <w:t xml:space="preserve">d) brak przepisów dot. wykonania ustaleń wynikających z planów gospodarowania </w:t>
            </w:r>
            <w:r w:rsidRPr="0028666F">
              <w:rPr>
                <w:rFonts w:ascii="Calibri" w:eastAsia="Times New Roman" w:hAnsi="Calibri" w:cs="Calibri"/>
                <w:color w:val="000000"/>
                <w:sz w:val="18"/>
                <w:szCs w:val="18"/>
                <w:lang w:eastAsia="pl-PL"/>
              </w:rPr>
              <w:br/>
              <w:t xml:space="preserve">wodami; obecnie nie ma żadnego mechanizmu określającego sposób </w:t>
            </w:r>
            <w:r w:rsidRPr="0028666F">
              <w:rPr>
                <w:rFonts w:ascii="Calibri" w:eastAsia="Times New Roman" w:hAnsi="Calibri" w:cs="Calibri"/>
                <w:color w:val="000000"/>
                <w:sz w:val="18"/>
                <w:szCs w:val="18"/>
                <w:lang w:eastAsia="pl-PL"/>
              </w:rPr>
              <w:br/>
              <w:t xml:space="preserve">postępowania wobec podmiotów, które nie realizują przypisanych im (w PGW) </w:t>
            </w:r>
            <w:r w:rsidRPr="0028666F">
              <w:rPr>
                <w:rFonts w:ascii="Calibri" w:eastAsia="Times New Roman" w:hAnsi="Calibri" w:cs="Calibri"/>
                <w:color w:val="000000"/>
                <w:sz w:val="18"/>
                <w:szCs w:val="18"/>
                <w:lang w:eastAsia="pl-PL"/>
              </w:rPr>
              <w:br/>
              <w:t xml:space="preserve">działań, </w:t>
            </w:r>
            <w:r w:rsidRPr="0028666F">
              <w:rPr>
                <w:rFonts w:ascii="Calibri" w:eastAsia="Times New Roman" w:hAnsi="Calibri" w:cs="Calibri"/>
                <w:color w:val="000000"/>
                <w:sz w:val="18"/>
                <w:szCs w:val="18"/>
                <w:lang w:eastAsia="pl-PL"/>
              </w:rPr>
              <w:br/>
              <w:t xml:space="preserve">e) brak przepisów sprzyjających rzetelnej sprawozdawczości z wykonania planów </w:t>
            </w:r>
            <w:r w:rsidRPr="0028666F">
              <w:rPr>
                <w:rFonts w:ascii="Calibri" w:eastAsia="Times New Roman" w:hAnsi="Calibri" w:cs="Calibri"/>
                <w:color w:val="000000"/>
                <w:sz w:val="18"/>
                <w:szCs w:val="18"/>
                <w:lang w:eastAsia="pl-PL"/>
              </w:rPr>
              <w:br/>
              <w:t xml:space="preserve">gospodarowania wodami, </w:t>
            </w:r>
            <w:r w:rsidRPr="0028666F">
              <w:rPr>
                <w:rFonts w:ascii="Calibri" w:eastAsia="Times New Roman" w:hAnsi="Calibri" w:cs="Calibri"/>
                <w:color w:val="000000"/>
                <w:sz w:val="18"/>
                <w:szCs w:val="18"/>
                <w:lang w:eastAsia="pl-PL"/>
              </w:rPr>
              <w:br/>
              <w:t xml:space="preserve">f) niestosowanie zasady „zanieczyszczający płaci” wobec kopalni, które nie ponoszą </w:t>
            </w:r>
            <w:r w:rsidRPr="0028666F">
              <w:rPr>
                <w:rFonts w:ascii="Calibri" w:eastAsia="Times New Roman" w:hAnsi="Calibri" w:cs="Calibri"/>
                <w:color w:val="000000"/>
                <w:sz w:val="18"/>
                <w:szCs w:val="18"/>
                <w:lang w:eastAsia="pl-PL"/>
              </w:rPr>
              <w:br/>
              <w:t xml:space="preserve">opłat za odwodnieniowy pobór wody oraz za odprowadzanie tych wód do rzek, a </w:t>
            </w:r>
            <w:r w:rsidRPr="0028666F">
              <w:rPr>
                <w:rFonts w:ascii="Calibri" w:eastAsia="Times New Roman" w:hAnsi="Calibri" w:cs="Calibri"/>
                <w:color w:val="000000"/>
                <w:sz w:val="18"/>
                <w:szCs w:val="18"/>
                <w:lang w:eastAsia="pl-PL"/>
              </w:rPr>
              <w:br/>
              <w:t xml:space="preserve">także wobec wprowadzania do środowiska wód pochodzących z obiegów </w:t>
            </w:r>
            <w:r w:rsidRPr="0028666F">
              <w:rPr>
                <w:rFonts w:ascii="Calibri" w:eastAsia="Times New Roman" w:hAnsi="Calibri" w:cs="Calibri"/>
                <w:color w:val="000000"/>
                <w:sz w:val="18"/>
                <w:szCs w:val="18"/>
                <w:lang w:eastAsia="pl-PL"/>
              </w:rPr>
              <w:br/>
              <w:t xml:space="preserve">chłodzących elektrowni lub elektrociepłowni, jeżeli ich temperatura nie przekracza </w:t>
            </w:r>
            <w:r w:rsidRPr="0028666F">
              <w:rPr>
                <w:rFonts w:ascii="Calibri" w:eastAsia="Times New Roman" w:hAnsi="Calibri" w:cs="Calibri"/>
                <w:color w:val="000000"/>
                <w:sz w:val="18"/>
                <w:szCs w:val="18"/>
                <w:lang w:eastAsia="pl-PL"/>
              </w:rPr>
              <w:br/>
              <w:t xml:space="preserve">+26°C albo różnica między temperaturą wód pobranych i wprowadzanych do wód </w:t>
            </w:r>
            <w:r w:rsidRPr="0028666F">
              <w:rPr>
                <w:rFonts w:ascii="Calibri" w:eastAsia="Times New Roman" w:hAnsi="Calibri" w:cs="Calibri"/>
                <w:color w:val="000000"/>
                <w:sz w:val="18"/>
                <w:szCs w:val="18"/>
                <w:lang w:eastAsia="pl-PL"/>
              </w:rPr>
              <w:br/>
              <w:t xml:space="preserve">lub do ziemi pochodzących z obiegów chłodzących elektrowni lub elektrociepłowni </w:t>
            </w:r>
            <w:r w:rsidRPr="0028666F">
              <w:rPr>
                <w:rFonts w:ascii="Calibri" w:eastAsia="Times New Roman" w:hAnsi="Calibri" w:cs="Calibri"/>
                <w:color w:val="000000"/>
                <w:sz w:val="18"/>
                <w:szCs w:val="18"/>
                <w:lang w:eastAsia="pl-PL"/>
              </w:rPr>
              <w:br/>
              <w:t xml:space="preserve">jest mniejsza niż 11°C; </w:t>
            </w:r>
            <w:r w:rsidRPr="0028666F">
              <w:rPr>
                <w:rFonts w:ascii="Calibri" w:eastAsia="Times New Roman" w:hAnsi="Calibri" w:cs="Calibri"/>
                <w:color w:val="000000"/>
                <w:sz w:val="18"/>
                <w:szCs w:val="18"/>
                <w:lang w:eastAsia="pl-PL"/>
              </w:rPr>
              <w:br/>
              <w:t xml:space="preserve">g) brak wykonywania rzetelnych przeglądów pozwoleń wodnoprawnych, </w:t>
            </w:r>
            <w:r w:rsidRPr="0028666F">
              <w:rPr>
                <w:rFonts w:ascii="Calibri" w:eastAsia="Times New Roman" w:hAnsi="Calibri" w:cs="Calibri"/>
                <w:color w:val="000000"/>
                <w:sz w:val="18"/>
                <w:szCs w:val="18"/>
                <w:lang w:eastAsia="pl-PL"/>
              </w:rPr>
              <w:br/>
              <w:t xml:space="preserve">h) brak udziału PGW WP przy wydawaniu pozwoleń </w:t>
            </w:r>
            <w:r w:rsidRPr="0028666F">
              <w:rPr>
                <w:rFonts w:ascii="Calibri" w:eastAsia="Times New Roman" w:hAnsi="Calibri" w:cs="Calibri"/>
                <w:color w:val="000000"/>
                <w:sz w:val="18"/>
                <w:szCs w:val="18"/>
                <w:lang w:eastAsia="pl-PL"/>
              </w:rPr>
              <w:lastRenderedPageBreak/>
              <w:t xml:space="preserve">zintegrowanych obejmujących </w:t>
            </w:r>
            <w:r w:rsidRPr="0028666F">
              <w:rPr>
                <w:rFonts w:ascii="Calibri" w:eastAsia="Times New Roman" w:hAnsi="Calibri" w:cs="Calibri"/>
                <w:color w:val="000000"/>
                <w:sz w:val="18"/>
                <w:szCs w:val="18"/>
                <w:lang w:eastAsia="pl-PL"/>
              </w:rPr>
              <w:br/>
              <w:t xml:space="preserve">wprowadzanie ścieków do środowiska, </w:t>
            </w:r>
            <w:r w:rsidRPr="0028666F">
              <w:rPr>
                <w:rFonts w:ascii="Calibri" w:eastAsia="Times New Roman" w:hAnsi="Calibri" w:cs="Calibri"/>
                <w:color w:val="000000"/>
                <w:sz w:val="18"/>
                <w:szCs w:val="18"/>
                <w:lang w:eastAsia="pl-PL"/>
              </w:rPr>
              <w:br/>
              <w:t xml:space="preserve">i) brak kompleksowych danych o presjach, </w:t>
            </w:r>
            <w:r w:rsidRPr="0028666F">
              <w:rPr>
                <w:rFonts w:ascii="Calibri" w:eastAsia="Times New Roman" w:hAnsi="Calibri" w:cs="Calibri"/>
                <w:color w:val="000000"/>
                <w:sz w:val="18"/>
                <w:szCs w:val="18"/>
                <w:lang w:eastAsia="pl-PL"/>
              </w:rPr>
              <w:br/>
              <w:t xml:space="preserve">j) brak metodyk określających sposób wykonywania analiz wpływu na stan wód; </w:t>
            </w:r>
            <w:r w:rsidRPr="0028666F">
              <w:rPr>
                <w:rFonts w:ascii="Calibri" w:eastAsia="Times New Roman" w:hAnsi="Calibri" w:cs="Calibri"/>
                <w:color w:val="000000"/>
                <w:sz w:val="18"/>
                <w:szCs w:val="18"/>
                <w:lang w:eastAsia="pl-PL"/>
              </w:rPr>
              <w:br/>
              <w:t xml:space="preserve">k) brak przepisów sprzyjających renaturyzacji wód oraz przeciwdziałania skutkom </w:t>
            </w:r>
            <w:r w:rsidRPr="0028666F">
              <w:rPr>
                <w:rFonts w:ascii="Calibri" w:eastAsia="Times New Roman" w:hAnsi="Calibri" w:cs="Calibri"/>
                <w:color w:val="000000"/>
                <w:sz w:val="18"/>
                <w:szCs w:val="18"/>
                <w:lang w:eastAsia="pl-PL"/>
              </w:rPr>
              <w:br/>
              <w:t xml:space="preserve">suszy i niedoborom wody.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7065975E" w14:textId="3A3542C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1. W treści IIaPGW (oraz w jego załącznikach) nie ma dowodów na to, że wybrane zestawy </w:t>
            </w:r>
            <w:r w:rsidRPr="0028666F">
              <w:rPr>
                <w:rFonts w:ascii="Calibri" w:eastAsia="Times New Roman" w:hAnsi="Calibri" w:cs="Calibri"/>
                <w:color w:val="000000"/>
                <w:sz w:val="18"/>
                <w:szCs w:val="18"/>
                <w:lang w:eastAsia="pl-PL"/>
              </w:rPr>
              <w:br/>
              <w:t xml:space="preserve">działań są najlepszą (optymalną, wykonalną i niepowodującą nieproporcjonalnych </w:t>
            </w:r>
            <w:r w:rsidRPr="0028666F">
              <w:rPr>
                <w:rFonts w:ascii="Calibri" w:eastAsia="Times New Roman" w:hAnsi="Calibri" w:cs="Calibri"/>
                <w:color w:val="000000"/>
                <w:sz w:val="18"/>
                <w:szCs w:val="18"/>
                <w:lang w:eastAsia="pl-PL"/>
              </w:rPr>
              <w:br/>
              <w:t xml:space="preserve">kosztów) opcją działań mających na celu osiągnięcie celów środowiskowych w zakresie </w:t>
            </w:r>
            <w:r w:rsidRPr="0028666F">
              <w:rPr>
                <w:rFonts w:ascii="Calibri" w:eastAsia="Times New Roman" w:hAnsi="Calibri" w:cs="Calibri"/>
                <w:color w:val="000000"/>
                <w:sz w:val="18"/>
                <w:szCs w:val="18"/>
                <w:lang w:eastAsia="pl-PL"/>
              </w:rPr>
              <w:br/>
              <w:t xml:space="preserve">ochrony wód. W związku z powyższym nie ma pewności co do tego, że projekty IIaPGW </w:t>
            </w:r>
            <w:r w:rsidRPr="0028666F">
              <w:rPr>
                <w:rFonts w:ascii="Calibri" w:eastAsia="Times New Roman" w:hAnsi="Calibri" w:cs="Calibri"/>
                <w:color w:val="000000"/>
                <w:sz w:val="18"/>
                <w:szCs w:val="18"/>
                <w:lang w:eastAsia="pl-PL"/>
              </w:rPr>
              <w:br/>
              <w:t xml:space="preserve">jest dostatecznie ambitny. Z drugiej strony - niepokojąca jest wysoka liczba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dla </w:t>
            </w:r>
            <w:r w:rsidRPr="0028666F">
              <w:rPr>
                <w:rFonts w:ascii="Calibri" w:eastAsia="Times New Roman" w:hAnsi="Calibri" w:cs="Calibri"/>
                <w:color w:val="000000"/>
                <w:sz w:val="18"/>
                <w:szCs w:val="18"/>
                <w:lang w:eastAsia="pl-PL"/>
              </w:rPr>
              <w:br/>
              <w:t xml:space="preserve">których projekty IIaPGW zakładają nieosiągnięcie celów środowiskowych i ustanawiają </w:t>
            </w:r>
            <w:r w:rsidRPr="0028666F">
              <w:rPr>
                <w:rFonts w:ascii="Calibri" w:eastAsia="Times New Roman" w:hAnsi="Calibri" w:cs="Calibri"/>
                <w:color w:val="000000"/>
                <w:sz w:val="18"/>
                <w:szCs w:val="18"/>
                <w:lang w:eastAsia="pl-PL"/>
              </w:rPr>
              <w:br/>
              <w:t xml:space="preserve">odstępstwa polegające na osiągnięciu tych celów po 2027 r. lub na ich złagodzeniu dla </w:t>
            </w:r>
            <w:r w:rsidRPr="0028666F">
              <w:rPr>
                <w:rFonts w:ascii="Calibri" w:eastAsia="Times New Roman" w:hAnsi="Calibri" w:cs="Calibri"/>
                <w:color w:val="000000"/>
                <w:sz w:val="18"/>
                <w:szCs w:val="18"/>
                <w:lang w:eastAsia="pl-PL"/>
              </w:rPr>
              <w:br/>
              <w:t xml:space="preserve">wskaźników stanu i potencjału ekologicznego. W oczywisty sposób wywołuje to oczywiste wątpliwości co do tego, czy projekty IIaPGW są adekwatną odpowiedzią na wyzwania związane ze stanem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br/>
              <w:t xml:space="preserve">2. Załącznikiem do części projektów IIaPGW jest wykaz inwestycji i działań, który </w:t>
            </w:r>
            <w:r w:rsidRPr="0028666F">
              <w:rPr>
                <w:rFonts w:ascii="Calibri" w:eastAsia="Times New Roman" w:hAnsi="Calibri" w:cs="Calibri"/>
                <w:color w:val="000000"/>
                <w:sz w:val="18"/>
                <w:szCs w:val="18"/>
                <w:lang w:eastAsia="pl-PL"/>
              </w:rPr>
              <w:br/>
              <w:t xml:space="preserve">przedstawia informacje o działaniach i przedsięwzięciach, co do których stwierdzono (w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perspektywie planistycznej 2016-2021) iż pogarszają/pogorszą one stan wód. Przywołana </w:t>
            </w:r>
            <w:r w:rsidRPr="0028666F">
              <w:rPr>
                <w:rFonts w:ascii="Calibri" w:eastAsia="Times New Roman" w:hAnsi="Calibri" w:cs="Calibri"/>
                <w:color w:val="000000"/>
                <w:sz w:val="18"/>
                <w:szCs w:val="18"/>
                <w:lang w:eastAsia="pl-PL"/>
              </w:rPr>
              <w:br/>
              <w:t xml:space="preserve">wcześniej analiza presji („Analiza znaczących oddziaływań antropogenicznych…”) nie </w:t>
            </w:r>
            <w:r w:rsidRPr="0028666F">
              <w:rPr>
                <w:rFonts w:ascii="Calibri" w:eastAsia="Times New Roman" w:hAnsi="Calibri" w:cs="Calibri"/>
                <w:color w:val="000000"/>
                <w:sz w:val="18"/>
                <w:szCs w:val="18"/>
                <w:lang w:eastAsia="pl-PL"/>
              </w:rPr>
              <w:br/>
              <w:t xml:space="preserve">uwzględniała tych źródeł negatywnego oddziaływania na stan wód. W ślad za powyższym </w:t>
            </w:r>
            <w:r w:rsidRPr="0028666F">
              <w:rPr>
                <w:rFonts w:ascii="Calibri" w:eastAsia="Times New Roman" w:hAnsi="Calibri" w:cs="Calibri"/>
                <w:color w:val="000000"/>
                <w:sz w:val="18"/>
                <w:szCs w:val="18"/>
                <w:lang w:eastAsia="pl-PL"/>
              </w:rPr>
              <w:br/>
              <w:t xml:space="preserve">istnieje ryzyko, że zestawy działań nie są adekwatną odpowiedzią na presje generowane </w:t>
            </w:r>
            <w:r w:rsidRPr="0028666F">
              <w:rPr>
                <w:rFonts w:ascii="Calibri" w:eastAsia="Times New Roman" w:hAnsi="Calibri" w:cs="Calibri"/>
                <w:color w:val="000000"/>
                <w:sz w:val="18"/>
                <w:szCs w:val="18"/>
                <w:lang w:eastAsia="pl-PL"/>
              </w:rPr>
              <w:br/>
              <w:t xml:space="preserve">przez działania i przedsięwzięcia przedstawione w wykazie inwestycji i działań. </w:t>
            </w:r>
            <w:r w:rsidRPr="0028666F">
              <w:rPr>
                <w:rFonts w:ascii="Calibri" w:eastAsia="Times New Roman" w:hAnsi="Calibri" w:cs="Calibri"/>
                <w:color w:val="000000"/>
                <w:sz w:val="18"/>
                <w:szCs w:val="18"/>
                <w:lang w:eastAsia="pl-PL"/>
              </w:rPr>
              <w:br/>
              <w:t xml:space="preserve">3. Dokumentem towarzyszącym konsultacjom IIaPGW jest „Zestawienie kierunkowych </w:t>
            </w:r>
            <w:r w:rsidRPr="0028666F">
              <w:rPr>
                <w:rFonts w:ascii="Calibri" w:eastAsia="Times New Roman" w:hAnsi="Calibri" w:cs="Calibri"/>
                <w:color w:val="000000"/>
                <w:sz w:val="18"/>
                <w:szCs w:val="18"/>
                <w:lang w:eastAsia="pl-PL"/>
              </w:rPr>
              <w:br/>
              <w:t xml:space="preserve">inwestycji w gospodarce wodnej lub związanych z wodami”. Nie jest określony status tego </w:t>
            </w:r>
            <w:r w:rsidRPr="0028666F">
              <w:rPr>
                <w:rFonts w:ascii="Calibri" w:eastAsia="Times New Roman" w:hAnsi="Calibri" w:cs="Calibri"/>
                <w:color w:val="000000"/>
                <w:sz w:val="18"/>
                <w:szCs w:val="18"/>
                <w:lang w:eastAsia="pl-PL"/>
              </w:rPr>
              <w:br/>
              <w:t xml:space="preserve">zestawienia, nie jest również wyjaśnione jego znaczenie dla ustaleń IIaPGW. Mając jednak </w:t>
            </w:r>
            <w:r w:rsidRPr="0028666F">
              <w:rPr>
                <w:rFonts w:ascii="Calibri" w:eastAsia="Times New Roman" w:hAnsi="Calibri" w:cs="Calibri"/>
                <w:color w:val="000000"/>
                <w:sz w:val="18"/>
                <w:szCs w:val="18"/>
                <w:lang w:eastAsia="pl-PL"/>
              </w:rPr>
              <w:br/>
              <w:t xml:space="preserve">na uwadze fakt, że zestawienie to zawiera takie przedsięwzięcia, które mogą negatywnie </w:t>
            </w:r>
            <w:r w:rsidRPr="0028666F">
              <w:rPr>
                <w:rFonts w:ascii="Calibri" w:eastAsia="Times New Roman" w:hAnsi="Calibri" w:cs="Calibri"/>
                <w:color w:val="000000"/>
                <w:sz w:val="18"/>
                <w:szCs w:val="18"/>
                <w:lang w:eastAsia="pl-PL"/>
              </w:rPr>
              <w:br/>
              <w:t xml:space="preserve">oddziaływać na środowisko wodne - niezbędne jest zapewnienie, że zestawy działań będą </w:t>
            </w:r>
            <w:r w:rsidRPr="0028666F">
              <w:rPr>
                <w:rFonts w:ascii="Calibri" w:eastAsia="Times New Roman" w:hAnsi="Calibri" w:cs="Calibri"/>
                <w:color w:val="000000"/>
                <w:sz w:val="18"/>
                <w:szCs w:val="18"/>
                <w:lang w:eastAsia="pl-PL"/>
              </w:rPr>
              <w:br/>
              <w:t xml:space="preserve">adekwatną odpowiedzią na presje określone w tym zestawieniu. </w:t>
            </w:r>
            <w:r w:rsidRPr="0028666F">
              <w:rPr>
                <w:rFonts w:ascii="Calibri" w:eastAsia="Times New Roman" w:hAnsi="Calibri" w:cs="Calibri"/>
                <w:color w:val="000000"/>
                <w:sz w:val="18"/>
                <w:szCs w:val="18"/>
                <w:lang w:eastAsia="pl-PL"/>
              </w:rPr>
              <w:br/>
              <w:t xml:space="preserve">4. Z powyższym zagadnieniem związany jest mankament o znacznie większej wadze: </w:t>
            </w:r>
            <w:r w:rsidRPr="0028666F">
              <w:rPr>
                <w:rFonts w:ascii="Calibri" w:eastAsia="Times New Roman" w:hAnsi="Calibri" w:cs="Calibri"/>
                <w:color w:val="000000"/>
                <w:sz w:val="18"/>
                <w:szCs w:val="18"/>
                <w:lang w:eastAsia="pl-PL"/>
              </w:rPr>
              <w:br/>
              <w:t xml:space="preserve">zestawy działań IIaPGW nie dostrzegają ustaleń wynikających z projektów aktualizacji </w:t>
            </w:r>
            <w:r w:rsidRPr="0028666F">
              <w:rPr>
                <w:rFonts w:ascii="Calibri" w:eastAsia="Times New Roman" w:hAnsi="Calibri" w:cs="Calibri"/>
                <w:color w:val="000000"/>
                <w:sz w:val="18"/>
                <w:szCs w:val="18"/>
                <w:lang w:eastAsia="pl-PL"/>
              </w:rPr>
              <w:br/>
              <w:t xml:space="preserve">planów zarządzania ryzykiem powodziowym, lecz odnoszą się wyłącznie do danych o </w:t>
            </w:r>
            <w:r w:rsidRPr="0028666F">
              <w:rPr>
                <w:rFonts w:ascii="Calibri" w:eastAsia="Times New Roman" w:hAnsi="Calibri" w:cs="Calibri"/>
                <w:color w:val="000000"/>
                <w:sz w:val="18"/>
                <w:szCs w:val="18"/>
                <w:lang w:eastAsia="pl-PL"/>
              </w:rPr>
              <w:br/>
              <w:t xml:space="preserve">stanie wód oraz do istniejących zidentyfikowanych presji. W ten sposób uwypukla się brak </w:t>
            </w:r>
            <w:r w:rsidRPr="0028666F">
              <w:rPr>
                <w:rFonts w:ascii="Calibri" w:eastAsia="Times New Roman" w:hAnsi="Calibri" w:cs="Calibri"/>
                <w:color w:val="000000"/>
                <w:sz w:val="18"/>
                <w:szCs w:val="18"/>
                <w:lang w:eastAsia="pl-PL"/>
              </w:rPr>
              <w:br/>
              <w:t xml:space="preserve">integracji IIaPGW i aPZRP. Jest to zupełnie sprzeczne z ideą stojącą u podstaw europejskiej polityki wodnej. </w:t>
            </w:r>
            <w:r w:rsidRPr="0028666F">
              <w:rPr>
                <w:rFonts w:ascii="Calibri" w:eastAsia="Times New Roman" w:hAnsi="Calibri" w:cs="Calibri"/>
                <w:color w:val="000000"/>
                <w:sz w:val="18"/>
                <w:szCs w:val="18"/>
                <w:lang w:eastAsia="pl-PL"/>
              </w:rPr>
              <w:br/>
              <w:t xml:space="preserve">Komisja Europejska w komunikacie pn. „Ramowa dyrektywa wodna i dyrektywa </w:t>
            </w:r>
            <w:r w:rsidRPr="0028666F">
              <w:rPr>
                <w:rFonts w:ascii="Calibri" w:eastAsia="Times New Roman" w:hAnsi="Calibri" w:cs="Calibri"/>
                <w:color w:val="000000"/>
                <w:sz w:val="18"/>
                <w:szCs w:val="18"/>
                <w:lang w:eastAsia="pl-PL"/>
              </w:rPr>
              <w:br/>
              <w:t xml:space="preserve">powodziowa: działania na rzecz osiągnięcia dobrego stanu wód w Unii Europejskiej i </w:t>
            </w:r>
            <w:r w:rsidRPr="0028666F">
              <w:rPr>
                <w:rFonts w:ascii="Calibri" w:eastAsia="Times New Roman" w:hAnsi="Calibri" w:cs="Calibri"/>
                <w:color w:val="000000"/>
                <w:sz w:val="18"/>
                <w:szCs w:val="18"/>
                <w:lang w:eastAsia="pl-PL"/>
              </w:rPr>
              <w:br/>
              <w:t xml:space="preserve">ograniczenia zagrożeń powodziowych” (COM/2015/120 final) wskazała, że </w:t>
            </w:r>
            <w:r w:rsidRPr="0028666F">
              <w:rPr>
                <w:rFonts w:ascii="Calibri" w:eastAsia="Times New Roman" w:hAnsi="Calibri" w:cs="Calibri"/>
                <w:color w:val="000000"/>
                <w:sz w:val="18"/>
                <w:szCs w:val="18"/>
                <w:lang w:eastAsia="pl-PL"/>
              </w:rPr>
              <w:br/>
              <w:t xml:space="preserve">„Zharmonizowane ramy czasowe w </w:t>
            </w:r>
            <w:r w:rsidRPr="0028666F">
              <w:rPr>
                <w:rFonts w:ascii="Calibri" w:eastAsia="Times New Roman" w:hAnsi="Calibri" w:cs="Calibri"/>
                <w:color w:val="000000"/>
                <w:sz w:val="18"/>
                <w:szCs w:val="18"/>
                <w:lang w:eastAsia="pl-PL"/>
              </w:rPr>
              <w:lastRenderedPageBreak/>
              <w:t xml:space="preserve">przypadku planów zarządzania, które należy </w:t>
            </w:r>
            <w:r w:rsidRPr="0028666F">
              <w:rPr>
                <w:rFonts w:ascii="Calibri" w:eastAsia="Times New Roman" w:hAnsi="Calibri" w:cs="Calibri"/>
                <w:color w:val="000000"/>
                <w:sz w:val="18"/>
                <w:szCs w:val="18"/>
                <w:lang w:eastAsia="pl-PL"/>
              </w:rPr>
              <w:br/>
              <w:t xml:space="preserve">opracować zgodnie z ramową dyrektywą wodną i dyrektywą powodziową, są świetną </w:t>
            </w:r>
            <w:r w:rsidRPr="0028666F">
              <w:rPr>
                <w:rFonts w:ascii="Calibri" w:eastAsia="Times New Roman" w:hAnsi="Calibri" w:cs="Calibri"/>
                <w:color w:val="000000"/>
                <w:sz w:val="18"/>
                <w:szCs w:val="18"/>
                <w:lang w:eastAsia="pl-PL"/>
              </w:rPr>
              <w:br/>
              <w:t xml:space="preserve">okazją, aby wykorzystać dostępne informacji łącznie na temat stanu i presji, jak również </w:t>
            </w:r>
            <w:r w:rsidRPr="0028666F">
              <w:rPr>
                <w:rFonts w:ascii="Calibri" w:eastAsia="Times New Roman" w:hAnsi="Calibri" w:cs="Calibri"/>
                <w:color w:val="000000"/>
                <w:sz w:val="18"/>
                <w:szCs w:val="18"/>
                <w:lang w:eastAsia="pl-PL"/>
              </w:rPr>
              <w:br/>
              <w:t xml:space="preserve">aby opracować programy środków, które pomogą osiągnąć „dobry stan” przy </w:t>
            </w:r>
            <w:r w:rsidRPr="0028666F">
              <w:rPr>
                <w:rFonts w:ascii="Calibri" w:eastAsia="Times New Roman" w:hAnsi="Calibri" w:cs="Calibri"/>
                <w:color w:val="000000"/>
                <w:sz w:val="18"/>
                <w:szCs w:val="18"/>
                <w:lang w:eastAsia="pl-PL"/>
              </w:rPr>
              <w:br/>
              <w:t xml:space="preserve">jednoczesnym ograniczeniu ryzyka powodziowego. Te efekty synergii te należy w pełni </w:t>
            </w:r>
            <w:r w:rsidRPr="0028666F">
              <w:rPr>
                <w:rFonts w:ascii="Calibri" w:eastAsia="Times New Roman" w:hAnsi="Calibri" w:cs="Calibri"/>
                <w:color w:val="000000"/>
                <w:sz w:val="18"/>
                <w:szCs w:val="18"/>
                <w:lang w:eastAsia="pl-PL"/>
              </w:rPr>
              <w:br/>
              <w:t xml:space="preserve">wykorzystać”. Nie ulega wątpliwości, że takie podejście nie zostało w najmniejszym </w:t>
            </w:r>
            <w:r w:rsidRPr="0028666F">
              <w:rPr>
                <w:rFonts w:ascii="Calibri" w:eastAsia="Times New Roman" w:hAnsi="Calibri" w:cs="Calibri"/>
                <w:color w:val="000000"/>
                <w:sz w:val="18"/>
                <w:szCs w:val="18"/>
                <w:lang w:eastAsia="pl-PL"/>
              </w:rPr>
              <w:br/>
              <w:t xml:space="preserve">stopniu zastosowane zarówno w odniesieniu do IIaPGW, jak i aPZRP.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5. Opracowane w poprzednich latach dokumentacje hydrogeologiczne dla głównych </w:t>
            </w:r>
            <w:r w:rsidRPr="0028666F">
              <w:rPr>
                <w:rFonts w:ascii="Calibri" w:eastAsia="Times New Roman" w:hAnsi="Calibri" w:cs="Calibri"/>
                <w:color w:val="000000"/>
                <w:sz w:val="18"/>
                <w:szCs w:val="18"/>
                <w:lang w:eastAsia="pl-PL"/>
              </w:rPr>
              <w:br/>
              <w:t xml:space="preserve">zbiorników wód podziemnych często wskazywały na konieczność utworzenia obszarów </w:t>
            </w:r>
            <w:r w:rsidRPr="0028666F">
              <w:rPr>
                <w:rFonts w:ascii="Calibri" w:eastAsia="Times New Roman" w:hAnsi="Calibri" w:cs="Calibri"/>
                <w:color w:val="000000"/>
                <w:sz w:val="18"/>
                <w:szCs w:val="18"/>
                <w:lang w:eastAsia="pl-PL"/>
              </w:rPr>
              <w:br/>
              <w:t xml:space="preserve">ochronnych zbiorników wód śródlądowych. Sporadycznie konieczność taką wskazywano </w:t>
            </w:r>
            <w:r w:rsidRPr="0028666F">
              <w:rPr>
                <w:rFonts w:ascii="Calibri" w:eastAsia="Times New Roman" w:hAnsi="Calibri" w:cs="Calibri"/>
                <w:color w:val="000000"/>
                <w:sz w:val="18"/>
                <w:szCs w:val="18"/>
                <w:lang w:eastAsia="pl-PL"/>
              </w:rPr>
              <w:br/>
              <w:t xml:space="preserve">równie dla jezior. Wykonano szereg prac analitycznych omawiających koszty i korzyści </w:t>
            </w:r>
            <w:r w:rsidRPr="0028666F">
              <w:rPr>
                <w:rFonts w:ascii="Calibri" w:eastAsia="Times New Roman" w:hAnsi="Calibri" w:cs="Calibri"/>
                <w:color w:val="000000"/>
                <w:sz w:val="18"/>
                <w:szCs w:val="18"/>
                <w:lang w:eastAsia="pl-PL"/>
              </w:rPr>
              <w:br/>
              <w:t xml:space="preserve">ustanowienia tych form ochrony wód. Jak dotąd nie ustanowiono jednak takich obszarów, </w:t>
            </w:r>
            <w:r w:rsidRPr="0028666F">
              <w:rPr>
                <w:rFonts w:ascii="Calibri" w:eastAsia="Times New Roman" w:hAnsi="Calibri" w:cs="Calibri"/>
                <w:color w:val="000000"/>
                <w:sz w:val="18"/>
                <w:szCs w:val="18"/>
                <w:lang w:eastAsia="pl-PL"/>
              </w:rPr>
              <w:br/>
              <w:t xml:space="preserve">w wyniku czego marnuje się potencjał wykonanych analiz oraz utrwala zagrożenie dla </w:t>
            </w:r>
            <w:r w:rsidRPr="0028666F">
              <w:rPr>
                <w:rFonts w:ascii="Calibri" w:eastAsia="Times New Roman" w:hAnsi="Calibri" w:cs="Calibri"/>
                <w:color w:val="000000"/>
                <w:sz w:val="18"/>
                <w:szCs w:val="18"/>
                <w:lang w:eastAsia="pl-PL"/>
              </w:rPr>
              <w:br/>
              <w:t xml:space="preserve">strategicznych zasobów wód podziemnych. Wobec powyższego, wysoce uzasadnione jest uwzględnienie w IIaPGW wszystkich wykonanych dokumentacji dla obszarów ochronnych zbiorników wód śródlądowych i określenie terminu prawnego ustanowienia ww. obszarów ochronnych. </w:t>
            </w:r>
            <w:r w:rsidRPr="0028666F">
              <w:rPr>
                <w:rFonts w:ascii="Calibri" w:eastAsia="Times New Roman" w:hAnsi="Calibri" w:cs="Calibri"/>
                <w:color w:val="000000"/>
                <w:sz w:val="18"/>
                <w:szCs w:val="18"/>
                <w:lang w:eastAsia="pl-PL"/>
              </w:rPr>
              <w:br/>
              <w:t xml:space="preserve">6. Mając na względzie konieczność wprowadzenia działań niezbędnych do zachowania </w:t>
            </w:r>
            <w:r w:rsidRPr="0028666F">
              <w:rPr>
                <w:rFonts w:ascii="Calibri" w:eastAsia="Times New Roman" w:hAnsi="Calibri" w:cs="Calibri"/>
                <w:color w:val="000000"/>
                <w:sz w:val="18"/>
                <w:szCs w:val="18"/>
                <w:lang w:eastAsia="pl-PL"/>
              </w:rPr>
              <w:br/>
              <w:t xml:space="preserve">odpowiedniego poziomu ochrony jednolitych części wód przeznaczonych do poboru </w:t>
            </w:r>
            <w:r w:rsidRPr="0028666F">
              <w:rPr>
                <w:rFonts w:ascii="Calibri" w:eastAsia="Times New Roman" w:hAnsi="Calibri" w:cs="Calibri"/>
                <w:color w:val="000000"/>
                <w:sz w:val="18"/>
                <w:szCs w:val="18"/>
                <w:lang w:eastAsia="pl-PL"/>
              </w:rPr>
              <w:br/>
              <w:t xml:space="preserve">wody na potrzeby zaopatrzenia ludności w wodę przeznaczoną do spożycia przez ludzi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(jeden z obszarów chronionych w rozumieniu ustawy Prawo wodne), oczywistym jest </w:t>
            </w:r>
            <w:r w:rsidRPr="0028666F">
              <w:rPr>
                <w:rFonts w:ascii="Calibri" w:eastAsia="Times New Roman" w:hAnsi="Calibri" w:cs="Calibri"/>
                <w:color w:val="000000"/>
                <w:sz w:val="18"/>
                <w:szCs w:val="18"/>
                <w:lang w:eastAsia="pl-PL"/>
              </w:rPr>
              <w:br/>
              <w:t xml:space="preserve">IIaPGW powinny zauważyć istniejący problem z ochroną ujęć wód oraz adekwatnie do </w:t>
            </w:r>
            <w:r w:rsidRPr="0028666F">
              <w:rPr>
                <w:rFonts w:ascii="Calibri" w:eastAsia="Times New Roman" w:hAnsi="Calibri" w:cs="Calibri"/>
                <w:color w:val="000000"/>
                <w:sz w:val="18"/>
                <w:szCs w:val="18"/>
                <w:lang w:eastAsia="pl-PL"/>
              </w:rPr>
              <w:br/>
              <w:t xml:space="preserve">niego wprowadzić odpowiednie działania.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Wspomniany wyżej problem polega na tym, że według art. 121 ust. 3 ustawy z dnia 29 </w:t>
            </w:r>
            <w:r w:rsidRPr="0028666F">
              <w:rPr>
                <w:rFonts w:ascii="Calibri" w:eastAsia="Times New Roman" w:hAnsi="Calibri" w:cs="Calibri"/>
                <w:color w:val="000000"/>
                <w:sz w:val="18"/>
                <w:szCs w:val="18"/>
                <w:lang w:eastAsia="pl-PL"/>
              </w:rPr>
              <w:br/>
              <w:t xml:space="preserve">lipca 2017 r. - Prawo wodne, „strefę ochronną obejmującą wyłącznie teren ochrony </w:t>
            </w:r>
            <w:r w:rsidRPr="0028666F">
              <w:rPr>
                <w:rFonts w:ascii="Calibri" w:eastAsia="Times New Roman" w:hAnsi="Calibri" w:cs="Calibri"/>
                <w:color w:val="000000"/>
                <w:sz w:val="18"/>
                <w:szCs w:val="18"/>
                <w:lang w:eastAsia="pl-PL"/>
              </w:rPr>
              <w:br/>
              <w:t xml:space="preserve">bezpośredniej ustanawia się dla każdego ujęcia wody” (z wyłączeniem ujęć wody </w:t>
            </w:r>
            <w:r w:rsidRPr="0028666F">
              <w:rPr>
                <w:rFonts w:ascii="Calibri" w:eastAsia="Times New Roman" w:hAnsi="Calibri" w:cs="Calibri"/>
                <w:color w:val="000000"/>
                <w:sz w:val="18"/>
                <w:szCs w:val="18"/>
                <w:lang w:eastAsia="pl-PL"/>
              </w:rPr>
              <w:br/>
              <w:t xml:space="preserve">służących do zwykłego korzystania z wód). Zgodnie z art. 133 ust. 1 ww. ustawy, taką </w:t>
            </w:r>
            <w:r w:rsidRPr="0028666F">
              <w:rPr>
                <w:rFonts w:ascii="Calibri" w:eastAsia="Times New Roman" w:hAnsi="Calibri" w:cs="Calibri"/>
                <w:color w:val="000000"/>
                <w:sz w:val="18"/>
                <w:szCs w:val="18"/>
                <w:lang w:eastAsia="pl-PL"/>
              </w:rPr>
              <w:br/>
              <w:t xml:space="preserve">strefę „ustanawia się z urzędu” – jednak nie określono terminu ich ustanowienia i w </w:t>
            </w:r>
            <w:r w:rsidRPr="0028666F">
              <w:rPr>
                <w:rFonts w:ascii="Calibri" w:eastAsia="Times New Roman" w:hAnsi="Calibri" w:cs="Calibri"/>
                <w:color w:val="000000"/>
                <w:sz w:val="18"/>
                <w:szCs w:val="18"/>
                <w:lang w:eastAsia="pl-PL"/>
              </w:rPr>
              <w:br/>
              <w:t xml:space="preserve">rezultacie znaczna ilość ujęć nie posiada takiej strefy. Oprócz tego, dla niektórych ujęć </w:t>
            </w:r>
            <w:r w:rsidRPr="0028666F">
              <w:rPr>
                <w:rFonts w:ascii="Calibri" w:eastAsia="Times New Roman" w:hAnsi="Calibri" w:cs="Calibri"/>
                <w:color w:val="000000"/>
                <w:sz w:val="18"/>
                <w:szCs w:val="18"/>
                <w:lang w:eastAsia="pl-PL"/>
              </w:rPr>
              <w:br/>
              <w:t xml:space="preserve">można ustanowić (w formie rozporządzenia wojewody) strefę obejmującą zarówno teren </w:t>
            </w:r>
            <w:r w:rsidRPr="0028666F">
              <w:rPr>
                <w:rFonts w:ascii="Calibri" w:eastAsia="Times New Roman" w:hAnsi="Calibri" w:cs="Calibri"/>
                <w:color w:val="000000"/>
                <w:sz w:val="18"/>
                <w:szCs w:val="18"/>
                <w:lang w:eastAsia="pl-PL"/>
              </w:rPr>
              <w:br/>
              <w:t xml:space="preserve">ochrony bezpośredniej, jak i teren ochrony pośredniej; ustanowienie takiej strefy </w:t>
            </w:r>
            <w:r w:rsidRPr="0028666F">
              <w:rPr>
                <w:rFonts w:ascii="Calibri" w:eastAsia="Times New Roman" w:hAnsi="Calibri" w:cs="Calibri"/>
                <w:color w:val="000000"/>
                <w:sz w:val="18"/>
                <w:szCs w:val="18"/>
                <w:lang w:eastAsia="pl-PL"/>
              </w:rPr>
              <w:br/>
              <w:t xml:space="preserve">ustanawia się na wniosek właściciela ujęcia wody lub z urzędu, na podstawie analizy </w:t>
            </w:r>
            <w:r w:rsidRPr="0028666F">
              <w:rPr>
                <w:rFonts w:ascii="Calibri" w:eastAsia="Times New Roman" w:hAnsi="Calibri" w:cs="Calibri"/>
                <w:color w:val="000000"/>
                <w:sz w:val="18"/>
                <w:szCs w:val="18"/>
                <w:lang w:eastAsia="pl-PL"/>
              </w:rPr>
              <w:br/>
              <w:t xml:space="preserve">ryzyka przedłożonej wojewodzie (analizę taką należy przedłożyć do końca 2023 r., zgodnie </w:t>
            </w:r>
            <w:r w:rsidRPr="0028666F">
              <w:rPr>
                <w:rFonts w:ascii="Calibri" w:eastAsia="Times New Roman" w:hAnsi="Calibri" w:cs="Calibri"/>
                <w:color w:val="000000"/>
                <w:sz w:val="18"/>
                <w:szCs w:val="18"/>
                <w:lang w:eastAsia="pl-PL"/>
              </w:rPr>
              <w:br/>
              <w:t xml:space="preserve">z art. 551 ust. 2 ww. ustawy). W prawie nie określono jednak przesłanek wskazujących na </w:t>
            </w:r>
            <w:r w:rsidRPr="0028666F">
              <w:rPr>
                <w:rFonts w:ascii="Calibri" w:eastAsia="Times New Roman" w:hAnsi="Calibri" w:cs="Calibri"/>
                <w:color w:val="000000"/>
                <w:sz w:val="18"/>
                <w:szCs w:val="18"/>
                <w:lang w:eastAsia="pl-PL"/>
              </w:rPr>
              <w:br/>
              <w:t xml:space="preserve">to, kiedy jest niezbędne ustanowienie takiej strefy „z urzędu” oraz jak postępować, gdy </w:t>
            </w:r>
            <w:r w:rsidRPr="0028666F">
              <w:rPr>
                <w:rFonts w:ascii="Calibri" w:eastAsia="Times New Roman" w:hAnsi="Calibri" w:cs="Calibri"/>
                <w:color w:val="000000"/>
                <w:sz w:val="18"/>
                <w:szCs w:val="18"/>
                <w:lang w:eastAsia="pl-PL"/>
              </w:rPr>
              <w:br/>
              <w:t xml:space="preserve">istnieją wątpliwości co do tego, czy dokumentacja hydrologiczna lub hydrogeologiczna (o </w:t>
            </w:r>
            <w:r w:rsidRPr="0028666F">
              <w:rPr>
                <w:rFonts w:ascii="Calibri" w:eastAsia="Times New Roman" w:hAnsi="Calibri" w:cs="Calibri"/>
                <w:color w:val="000000"/>
                <w:sz w:val="18"/>
                <w:szCs w:val="18"/>
                <w:lang w:eastAsia="pl-PL"/>
              </w:rPr>
              <w:br/>
              <w:t xml:space="preserve">ile w ogóle jest dostępna dla danego ujęcia) jest aktualna.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Mając na uwadze powyższe, konieczne jest wskazanie w IIaPGW (w 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br/>
              <w:t xml:space="preserve">przeznaczonych do poboru wody na potrzeby zaopatrzenia ludności w </w:t>
            </w:r>
            <w:r w:rsidRPr="0028666F">
              <w:rPr>
                <w:rFonts w:ascii="Calibri" w:eastAsia="Times New Roman" w:hAnsi="Calibri" w:cs="Calibri"/>
                <w:color w:val="000000"/>
                <w:sz w:val="18"/>
                <w:szCs w:val="18"/>
                <w:lang w:eastAsia="pl-PL"/>
              </w:rPr>
              <w:lastRenderedPageBreak/>
              <w:t xml:space="preserve">wodę </w:t>
            </w:r>
            <w:r w:rsidRPr="0028666F">
              <w:rPr>
                <w:rFonts w:ascii="Calibri" w:eastAsia="Times New Roman" w:hAnsi="Calibri" w:cs="Calibri"/>
                <w:color w:val="000000"/>
                <w:sz w:val="18"/>
                <w:szCs w:val="18"/>
                <w:lang w:eastAsia="pl-PL"/>
              </w:rPr>
              <w:br/>
              <w:t xml:space="preserve"> przeznaczoną do spożycia przez ludzi) działań polegających na: </w:t>
            </w:r>
            <w:r w:rsidRPr="0028666F">
              <w:rPr>
                <w:rFonts w:ascii="Calibri" w:eastAsia="Times New Roman" w:hAnsi="Calibri" w:cs="Calibri"/>
                <w:color w:val="000000"/>
                <w:sz w:val="18"/>
                <w:szCs w:val="18"/>
                <w:lang w:eastAsia="pl-PL"/>
              </w:rPr>
              <w:br/>
              <w:t xml:space="preserve">1) wskazaniu terminu ustanowienia stref ochronnych obejmujących wyłącznie teren </w:t>
            </w:r>
            <w:r w:rsidRPr="0028666F">
              <w:rPr>
                <w:rFonts w:ascii="Calibri" w:eastAsia="Times New Roman" w:hAnsi="Calibri" w:cs="Calibri"/>
                <w:color w:val="000000"/>
                <w:sz w:val="18"/>
                <w:szCs w:val="18"/>
                <w:lang w:eastAsia="pl-PL"/>
              </w:rPr>
              <w:br/>
              <w:t xml:space="preserve">ochrony bezpośredniej, </w:t>
            </w:r>
            <w:r w:rsidRPr="0028666F">
              <w:rPr>
                <w:rFonts w:ascii="Calibri" w:eastAsia="Times New Roman" w:hAnsi="Calibri" w:cs="Calibri"/>
                <w:color w:val="000000"/>
                <w:sz w:val="18"/>
                <w:szCs w:val="18"/>
                <w:lang w:eastAsia="pl-PL"/>
              </w:rPr>
              <w:br/>
              <w:t xml:space="preserve">2) wprowadzeniu konieczności aktualizacji (reambulacji) dokumentacji </w:t>
            </w:r>
            <w:r w:rsidRPr="0028666F">
              <w:rPr>
                <w:rFonts w:ascii="Calibri" w:eastAsia="Times New Roman" w:hAnsi="Calibri" w:cs="Calibri"/>
                <w:color w:val="000000"/>
                <w:sz w:val="18"/>
                <w:szCs w:val="18"/>
                <w:lang w:eastAsia="pl-PL"/>
              </w:rPr>
              <w:br/>
              <w:t xml:space="preserve">hydrologicznych i hydrogeologicznych dla ujęć wody - tak by zapewnić ich odpowiednią jakość przy podejmowaniu rozstrzygnięć w dziedzinie ustanawiania stref ochronnych ujęć </w:t>
            </w:r>
            <w:r w:rsidRPr="0028666F">
              <w:rPr>
                <w:rFonts w:ascii="Calibri" w:eastAsia="Times New Roman" w:hAnsi="Calibri" w:cs="Calibri"/>
                <w:color w:val="000000"/>
                <w:sz w:val="18"/>
                <w:szCs w:val="18"/>
                <w:lang w:eastAsia="pl-PL"/>
              </w:rPr>
              <w:br/>
              <w:t xml:space="preserve">wody. </w:t>
            </w:r>
            <w:r w:rsidRPr="0028666F">
              <w:rPr>
                <w:rFonts w:ascii="Calibri" w:eastAsia="Times New Roman" w:hAnsi="Calibri" w:cs="Calibri"/>
                <w:color w:val="000000"/>
                <w:sz w:val="18"/>
                <w:szCs w:val="18"/>
                <w:lang w:eastAsia="pl-PL"/>
              </w:rPr>
              <w:br/>
              <w:t xml:space="preserve">7. Projekty IIaPGW nie zawierają jakichkolwiek ustaleń na temat sposobu monitorowania </w:t>
            </w:r>
            <w:r w:rsidRPr="0028666F">
              <w:rPr>
                <w:rFonts w:ascii="Calibri" w:eastAsia="Times New Roman" w:hAnsi="Calibri" w:cs="Calibri"/>
                <w:color w:val="000000"/>
                <w:sz w:val="18"/>
                <w:szCs w:val="18"/>
                <w:lang w:eastAsia="pl-PL"/>
              </w:rPr>
              <w:br/>
              <w:t xml:space="preserve">efektywności ich wdrażania pod względem efektywności w dążeniu do osiągnięciu </w:t>
            </w:r>
            <w:r w:rsidRPr="0028666F">
              <w:rPr>
                <w:rFonts w:ascii="Calibri" w:eastAsia="Times New Roman" w:hAnsi="Calibri" w:cs="Calibri"/>
                <w:color w:val="000000"/>
                <w:sz w:val="18"/>
                <w:szCs w:val="18"/>
                <w:lang w:eastAsia="pl-PL"/>
              </w:rPr>
              <w:br/>
              <w:t xml:space="preserve">pożądanych skutków środowiskowych. Monitorowanie środowiska i sprawozdawczność z </w:t>
            </w:r>
            <w:r w:rsidRPr="0028666F">
              <w:rPr>
                <w:rFonts w:ascii="Calibri" w:eastAsia="Times New Roman" w:hAnsi="Calibri" w:cs="Calibri"/>
                <w:color w:val="000000"/>
                <w:sz w:val="18"/>
                <w:szCs w:val="18"/>
                <w:lang w:eastAsia="pl-PL"/>
              </w:rPr>
              <w:br/>
              <w:t xml:space="preserve">realizacji PGW nie dostarczą danych na temat tego, czy sam dokument IIaPGW jest </w:t>
            </w:r>
            <w:r w:rsidRPr="0028666F">
              <w:rPr>
                <w:rFonts w:ascii="Calibri" w:eastAsia="Times New Roman" w:hAnsi="Calibri" w:cs="Calibri"/>
                <w:color w:val="000000"/>
                <w:sz w:val="18"/>
                <w:szCs w:val="18"/>
                <w:lang w:eastAsia="pl-PL"/>
              </w:rPr>
              <w:br/>
              <w:t xml:space="preserve">skuteczny pod względem dążenia do osiągniecia celów środowiskowych. Monitorowanie </w:t>
            </w:r>
            <w:r w:rsidRPr="0028666F">
              <w:rPr>
                <w:rFonts w:ascii="Calibri" w:eastAsia="Times New Roman" w:hAnsi="Calibri" w:cs="Calibri"/>
                <w:color w:val="000000"/>
                <w:sz w:val="18"/>
                <w:szCs w:val="18"/>
                <w:lang w:eastAsia="pl-PL"/>
              </w:rPr>
              <w:br/>
              <w:t xml:space="preserve">to jest niezbędne w celu określenia – w ramach kolejnego cyklu planistycznego – </w:t>
            </w:r>
            <w:r w:rsidRPr="0028666F">
              <w:rPr>
                <w:rFonts w:ascii="Calibri" w:eastAsia="Times New Roman" w:hAnsi="Calibri" w:cs="Calibri"/>
                <w:color w:val="000000"/>
                <w:sz w:val="18"/>
                <w:szCs w:val="18"/>
                <w:lang w:eastAsia="pl-PL"/>
              </w:rPr>
              <w:br/>
              <w:t xml:space="preserve">możliwości poprawy krajowego systemu planistyki w gospodarce wodnej. </w:t>
            </w:r>
            <w:r w:rsidRPr="0028666F">
              <w:rPr>
                <w:rFonts w:ascii="Calibri" w:eastAsia="Times New Roman" w:hAnsi="Calibri" w:cs="Calibri"/>
                <w:color w:val="000000"/>
                <w:sz w:val="18"/>
                <w:szCs w:val="18"/>
                <w:lang w:eastAsia="pl-PL"/>
              </w:rPr>
              <w:br/>
              <w:t xml:space="preserve">8. Wspomniany wyżej komunikat Komisji Europejskiej wskazuje również, że „Państwa </w:t>
            </w:r>
            <w:r w:rsidRPr="0028666F">
              <w:rPr>
                <w:rFonts w:ascii="Calibri" w:eastAsia="Times New Roman" w:hAnsi="Calibri" w:cs="Calibri"/>
                <w:color w:val="000000"/>
                <w:sz w:val="18"/>
                <w:szCs w:val="18"/>
                <w:lang w:eastAsia="pl-PL"/>
              </w:rPr>
              <w:br/>
              <w:t xml:space="preserve">członkowskie powinny stosować przepływy hydrobiologiczne zgodnie z przyjętą </w:t>
            </w:r>
            <w:r w:rsidRPr="0028666F">
              <w:rPr>
                <w:rFonts w:ascii="Calibri" w:eastAsia="Times New Roman" w:hAnsi="Calibri" w:cs="Calibri"/>
                <w:color w:val="000000"/>
                <w:sz w:val="18"/>
                <w:szCs w:val="18"/>
                <w:lang w:eastAsia="pl-PL"/>
              </w:rPr>
              <w:br/>
              <w:t xml:space="preserve">niedawno wytyczną w ramach wspólnej strategii wdrażania i stosować takie środki, które </w:t>
            </w:r>
            <w:r w:rsidRPr="0028666F">
              <w:rPr>
                <w:rFonts w:ascii="Calibri" w:eastAsia="Times New Roman" w:hAnsi="Calibri" w:cs="Calibri"/>
                <w:color w:val="000000"/>
                <w:sz w:val="18"/>
                <w:szCs w:val="18"/>
                <w:lang w:eastAsia="pl-PL"/>
              </w:rPr>
              <w:br/>
              <w:t xml:space="preserve">będą chronić te przepływy lub przywracać je, w odniesieniu zarówno do istniejących, jak </w:t>
            </w:r>
            <w:r w:rsidRPr="0028666F">
              <w:rPr>
                <w:rFonts w:ascii="Calibri" w:eastAsia="Times New Roman" w:hAnsi="Calibri" w:cs="Calibri"/>
                <w:color w:val="000000"/>
                <w:sz w:val="18"/>
                <w:szCs w:val="18"/>
                <w:lang w:eastAsia="pl-PL"/>
              </w:rPr>
              <w:br/>
              <w:t xml:space="preserve">i nowych zastosowań. W tym celu konieczne jest opracowanie przez państwa </w:t>
            </w:r>
            <w:r w:rsidRPr="0028666F">
              <w:rPr>
                <w:rFonts w:ascii="Calibri" w:eastAsia="Times New Roman" w:hAnsi="Calibri" w:cs="Calibri"/>
                <w:color w:val="000000"/>
                <w:sz w:val="18"/>
                <w:szCs w:val="18"/>
                <w:lang w:eastAsia="pl-PL"/>
              </w:rPr>
              <w:br/>
              <w:t xml:space="preserve">członkowskie metod monitorowania i oceny zmian hydrologicznych w celu określenia </w:t>
            </w:r>
            <w:r w:rsidRPr="0028666F">
              <w:rPr>
                <w:rFonts w:ascii="Calibri" w:eastAsia="Times New Roman" w:hAnsi="Calibri" w:cs="Calibri"/>
                <w:color w:val="000000"/>
                <w:sz w:val="18"/>
                <w:szCs w:val="18"/>
                <w:lang w:eastAsia="pl-PL"/>
              </w:rPr>
              <w:br/>
              <w:t xml:space="preserve">sytuacji, w których zmiany te mogą </w:t>
            </w:r>
            <w:r w:rsidRPr="0028666F">
              <w:rPr>
                <w:rFonts w:ascii="Calibri" w:eastAsia="Times New Roman" w:hAnsi="Calibri" w:cs="Calibri"/>
                <w:color w:val="000000"/>
                <w:sz w:val="18"/>
                <w:szCs w:val="18"/>
                <w:lang w:eastAsia="pl-PL"/>
              </w:rPr>
              <w:lastRenderedPageBreak/>
              <w:t xml:space="preserve">uniemożliwić osiągnięcie dobrego stanu </w:t>
            </w:r>
            <w:r w:rsidRPr="0028666F">
              <w:rPr>
                <w:rFonts w:ascii="Calibri" w:eastAsia="Times New Roman" w:hAnsi="Calibri" w:cs="Calibri"/>
                <w:color w:val="000000"/>
                <w:sz w:val="18"/>
                <w:szCs w:val="18"/>
                <w:lang w:eastAsia="pl-PL"/>
              </w:rPr>
              <w:br/>
              <w:t xml:space="preserve">ekologicznego. Najbardziej znaczące zmiany można jednak już teraz wskazać i zająć się </w:t>
            </w:r>
            <w:r w:rsidRPr="0028666F">
              <w:rPr>
                <w:rFonts w:ascii="Calibri" w:eastAsia="Times New Roman" w:hAnsi="Calibri" w:cs="Calibri"/>
                <w:color w:val="000000"/>
                <w:sz w:val="18"/>
                <w:szCs w:val="18"/>
                <w:lang w:eastAsia="pl-PL"/>
              </w:rPr>
              <w:br/>
              <w:t xml:space="preserve">nimi za pomocą dostępnych narzędzi i środków, a zmniejszanie wpływu poboru i regulacji </w:t>
            </w:r>
            <w:r w:rsidRPr="0028666F">
              <w:rPr>
                <w:rFonts w:ascii="Calibri" w:eastAsia="Times New Roman" w:hAnsi="Calibri" w:cs="Calibri"/>
                <w:color w:val="000000"/>
                <w:sz w:val="18"/>
                <w:szCs w:val="18"/>
                <w:lang w:eastAsia="pl-PL"/>
              </w:rPr>
              <w:br/>
              <w:t xml:space="preserve">przepływu powinno być traktowane priorytetowo w kolejnych programach środków”. </w:t>
            </w:r>
            <w:r w:rsidRPr="0028666F">
              <w:rPr>
                <w:rFonts w:ascii="Calibri" w:eastAsia="Times New Roman" w:hAnsi="Calibri" w:cs="Calibri"/>
                <w:color w:val="000000"/>
                <w:sz w:val="18"/>
                <w:szCs w:val="18"/>
                <w:lang w:eastAsia="pl-PL"/>
              </w:rPr>
              <w:br/>
              <w:t xml:space="preserve">Tymczasem, projekty IIaPGW zupełnie nie dostrzegają powyższego aspektu. Zrealizowany </w:t>
            </w:r>
            <w:r w:rsidRPr="0028666F">
              <w:rPr>
                <w:rFonts w:ascii="Calibri" w:eastAsia="Times New Roman" w:hAnsi="Calibri" w:cs="Calibri"/>
                <w:color w:val="000000"/>
                <w:sz w:val="18"/>
                <w:szCs w:val="18"/>
                <w:lang w:eastAsia="pl-PL"/>
              </w:rPr>
              <w:br/>
              <w:t xml:space="preserve">w ostatnich latach (na zlecenie Krajowego Zarządu Gospodarki Wodnej) projekt dot. </w:t>
            </w:r>
            <w:r w:rsidRPr="0028666F">
              <w:rPr>
                <w:rFonts w:ascii="Calibri" w:eastAsia="Times New Roman" w:hAnsi="Calibri" w:cs="Calibri"/>
                <w:color w:val="000000"/>
                <w:sz w:val="18"/>
                <w:szCs w:val="18"/>
                <w:lang w:eastAsia="pl-PL"/>
              </w:rPr>
              <w:br/>
              <w:t xml:space="preserve">szacowania przepływów środowiskowych nie znalazł żadnego odzwierciedlenia w treści </w:t>
            </w:r>
            <w:r w:rsidRPr="0028666F">
              <w:rPr>
                <w:rFonts w:ascii="Calibri" w:eastAsia="Times New Roman" w:hAnsi="Calibri" w:cs="Calibri"/>
                <w:color w:val="000000"/>
                <w:sz w:val="18"/>
                <w:szCs w:val="18"/>
                <w:lang w:eastAsia="pl-PL"/>
              </w:rPr>
              <w:br/>
              <w:t xml:space="preserve">IIaPGW. Jest to utrata szansy na rozwój systemu zarządzania gospodarką wodną i ochroną wód. </w:t>
            </w:r>
            <w:r w:rsidRPr="0028666F">
              <w:rPr>
                <w:rFonts w:ascii="Calibri" w:eastAsia="Times New Roman" w:hAnsi="Calibri" w:cs="Calibri"/>
                <w:color w:val="000000"/>
                <w:sz w:val="18"/>
                <w:szCs w:val="18"/>
                <w:lang w:eastAsia="pl-PL"/>
              </w:rPr>
              <w:br/>
              <w:t xml:space="preserve">9. Zasygnalizowane powyżej zagadnienie jest tym bardziej istotne, że według art. 565 ust. 3 ustawy Prawo wodne, dotychczasowe warunki korzystania z wód regionu wodnego oraz </w:t>
            </w:r>
            <w:r w:rsidRPr="0028666F">
              <w:rPr>
                <w:rFonts w:ascii="Calibri" w:eastAsia="Times New Roman" w:hAnsi="Calibri" w:cs="Calibri"/>
                <w:color w:val="000000"/>
                <w:sz w:val="18"/>
                <w:szCs w:val="18"/>
                <w:lang w:eastAsia="pl-PL"/>
              </w:rPr>
              <w:br/>
              <w:t xml:space="preserve">warunki korzystania z wód zlewni stracą moc prawną w dniu 22.12.2021 r. Wyniki analizy </w:t>
            </w:r>
            <w:r w:rsidRPr="0028666F">
              <w:rPr>
                <w:rFonts w:ascii="Calibri" w:eastAsia="Times New Roman" w:hAnsi="Calibri" w:cs="Calibri"/>
                <w:color w:val="000000"/>
                <w:sz w:val="18"/>
                <w:szCs w:val="18"/>
                <w:lang w:eastAsia="pl-PL"/>
              </w:rPr>
              <w:br/>
              <w:t xml:space="preserve">presji oraz dane o stanie wód (czyli: dane stanowiące podstawę do opracowania IIaPGW) </w:t>
            </w:r>
            <w:r w:rsidRPr="0028666F">
              <w:rPr>
                <w:rFonts w:ascii="Calibri" w:eastAsia="Times New Roman" w:hAnsi="Calibri" w:cs="Calibri"/>
                <w:color w:val="000000"/>
                <w:sz w:val="18"/>
                <w:szCs w:val="18"/>
                <w:lang w:eastAsia="pl-PL"/>
              </w:rPr>
              <w:br/>
              <w:t xml:space="preserve">odnoszą się do perspektywy czasowej, w której obowiązywały w prawie całym kraju </w:t>
            </w:r>
            <w:r w:rsidRPr="0028666F">
              <w:rPr>
                <w:rFonts w:ascii="Calibri" w:eastAsia="Times New Roman" w:hAnsi="Calibri" w:cs="Calibri"/>
                <w:color w:val="000000"/>
                <w:sz w:val="18"/>
                <w:szCs w:val="18"/>
                <w:lang w:eastAsia="pl-PL"/>
              </w:rPr>
              <w:br/>
              <w:t xml:space="preserve">rozporządzenia w sprawie warunków korzystania z wód regionu wodnego. </w:t>
            </w:r>
            <w:r w:rsidRPr="0028666F">
              <w:rPr>
                <w:rFonts w:ascii="Calibri" w:eastAsia="Times New Roman" w:hAnsi="Calibri" w:cs="Calibri"/>
                <w:color w:val="000000"/>
                <w:sz w:val="18"/>
                <w:szCs w:val="18"/>
                <w:lang w:eastAsia="pl-PL"/>
              </w:rPr>
              <w:br/>
              <w:t xml:space="preserve">Należy mieć na uwadze fakt, że z chwilą wygaśnięcia tych rozporządzeń, radykalnie </w:t>
            </w:r>
            <w:r w:rsidRPr="0028666F">
              <w:rPr>
                <w:rFonts w:ascii="Calibri" w:eastAsia="Times New Roman" w:hAnsi="Calibri" w:cs="Calibri"/>
                <w:color w:val="000000"/>
                <w:sz w:val="18"/>
                <w:szCs w:val="18"/>
                <w:lang w:eastAsia="pl-PL"/>
              </w:rPr>
              <w:br/>
              <w:t xml:space="preserve">obniżony zostanie prawny poziom ochrony wód w Polsce, przez co znacznie wzrośnie </w:t>
            </w:r>
            <w:r w:rsidRPr="0028666F">
              <w:rPr>
                <w:rFonts w:ascii="Calibri" w:eastAsia="Times New Roman" w:hAnsi="Calibri" w:cs="Calibri"/>
                <w:color w:val="000000"/>
                <w:sz w:val="18"/>
                <w:szCs w:val="18"/>
                <w:lang w:eastAsia="pl-PL"/>
              </w:rPr>
              <w:br/>
              <w:t xml:space="preserve">poziom zagrożenia dla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Przede wszystkim wygasną regulacje dotyczące konieczności zachowania przepływów nienaruszalnych oraz regulacje wskazujące na sparametryzowane wymagania techniczne dla ujęć wody oraz dla urządzeń umożliwiającej migrację ichtiofauny - a także szereg innych </w:t>
            </w:r>
            <w:r w:rsidRPr="0028666F">
              <w:rPr>
                <w:rFonts w:ascii="Calibri" w:eastAsia="Times New Roman" w:hAnsi="Calibri" w:cs="Calibri"/>
                <w:color w:val="000000"/>
                <w:sz w:val="18"/>
                <w:szCs w:val="18"/>
                <w:lang w:eastAsia="pl-PL"/>
              </w:rPr>
              <w:lastRenderedPageBreak/>
              <w:t xml:space="preserve">prośrodowiskowych ustaleń.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związku z powyższym, diagnoza leżąca u podstaw IIaPGW stanie się nieadekwatna wraz z dniem wygaśnięcia obowiązujących warunków korzystania z wód. Dlatego też konieczne jest wprowadzenie do treści IIaPGW działań, które wypełnią lukę po ww. </w:t>
            </w:r>
            <w:r w:rsidRPr="0028666F">
              <w:rPr>
                <w:rFonts w:ascii="Calibri" w:eastAsia="Times New Roman" w:hAnsi="Calibri" w:cs="Calibri"/>
                <w:color w:val="000000"/>
                <w:sz w:val="18"/>
                <w:szCs w:val="18"/>
                <w:lang w:eastAsia="pl-PL"/>
              </w:rPr>
              <w:br/>
              <w:t xml:space="preserve">rozporządzeniach. W przeciwnym razie konieczne będzie przyjęcie, że wszystkie zestawy </w:t>
            </w:r>
            <w:r w:rsidRPr="0028666F">
              <w:rPr>
                <w:rFonts w:ascii="Calibri" w:eastAsia="Times New Roman" w:hAnsi="Calibri" w:cs="Calibri"/>
                <w:color w:val="000000"/>
                <w:sz w:val="18"/>
                <w:szCs w:val="18"/>
                <w:lang w:eastAsia="pl-PL"/>
              </w:rPr>
              <w:br/>
              <w:t xml:space="preserve">działań są nieadekwatne do wyzwań i problemów związanych z ochroną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10. Rzeczą oczywistą i wskazywaną w wielu opracowaniach eksperckich (towarzyszących </w:t>
            </w:r>
            <w:r w:rsidRPr="0028666F">
              <w:rPr>
                <w:rFonts w:ascii="Calibri" w:eastAsia="Times New Roman" w:hAnsi="Calibri" w:cs="Calibri"/>
                <w:color w:val="000000"/>
                <w:sz w:val="18"/>
                <w:szCs w:val="18"/>
                <w:lang w:eastAsia="pl-PL"/>
              </w:rPr>
              <w:br/>
              <w:t xml:space="preserve">np. opracowaniu Planu Przeciwdziałania Skutkom Suszy i Krajowego Programu </w:t>
            </w:r>
            <w:r w:rsidRPr="0028666F">
              <w:rPr>
                <w:rFonts w:ascii="Calibri" w:eastAsia="Times New Roman" w:hAnsi="Calibri" w:cs="Calibri"/>
                <w:color w:val="000000"/>
                <w:sz w:val="18"/>
                <w:szCs w:val="18"/>
                <w:lang w:eastAsia="pl-PL"/>
              </w:rPr>
              <w:br/>
              <w:t xml:space="preserve">Renaturyzacji Wód Powierzchniowych) jest to, że problematyka ochrony wód obejmuje </w:t>
            </w:r>
            <w:r w:rsidRPr="0028666F">
              <w:rPr>
                <w:rFonts w:ascii="Calibri" w:eastAsia="Times New Roman" w:hAnsi="Calibri" w:cs="Calibri"/>
                <w:color w:val="000000"/>
                <w:sz w:val="18"/>
                <w:szCs w:val="18"/>
                <w:lang w:eastAsia="pl-PL"/>
              </w:rPr>
              <w:br/>
              <w:t xml:space="preserve">nie tylko kwestie związane z różnorodnymi presjami, ale także zagadnienia stricte </w:t>
            </w:r>
            <w:r w:rsidRPr="0028666F">
              <w:rPr>
                <w:rFonts w:ascii="Calibri" w:eastAsia="Times New Roman" w:hAnsi="Calibri" w:cs="Calibri"/>
                <w:color w:val="000000"/>
                <w:sz w:val="18"/>
                <w:szCs w:val="18"/>
                <w:lang w:eastAsia="pl-PL"/>
              </w:rPr>
              <w:br/>
              <w:t xml:space="preserve">systemowe, instytucjonalne i prawne. Są to problemy powszechnie znane, będące </w:t>
            </w:r>
            <w:r w:rsidRPr="0028666F">
              <w:rPr>
                <w:rFonts w:ascii="Calibri" w:eastAsia="Times New Roman" w:hAnsi="Calibri" w:cs="Calibri"/>
                <w:color w:val="000000"/>
                <w:sz w:val="18"/>
                <w:szCs w:val="18"/>
                <w:lang w:eastAsia="pl-PL"/>
              </w:rPr>
              <w:br/>
              <w:t xml:space="preserve">przedmiotem dyskusji od co najmniej kilkunastu lat. Dotyczą one m.in. tak oczywistych </w:t>
            </w:r>
            <w:r w:rsidRPr="0028666F">
              <w:rPr>
                <w:rFonts w:ascii="Calibri" w:eastAsia="Times New Roman" w:hAnsi="Calibri" w:cs="Calibri"/>
                <w:color w:val="000000"/>
                <w:sz w:val="18"/>
                <w:szCs w:val="18"/>
                <w:lang w:eastAsia="pl-PL"/>
              </w:rPr>
              <w:br/>
              <w:t xml:space="preserve">kwestii, jak m.in.: </w:t>
            </w:r>
            <w:r w:rsidRPr="0028666F">
              <w:rPr>
                <w:rFonts w:ascii="Calibri" w:eastAsia="Times New Roman" w:hAnsi="Calibri" w:cs="Calibri"/>
                <w:color w:val="000000"/>
                <w:sz w:val="18"/>
                <w:szCs w:val="18"/>
                <w:lang w:eastAsia="pl-PL"/>
              </w:rPr>
              <w:br/>
              <w:t xml:space="preserve">1) brak bilansów jakościowych i ilościowych stanowiących podstawę do weryfikacji </w:t>
            </w:r>
            <w:r w:rsidRPr="0028666F">
              <w:rPr>
                <w:rFonts w:ascii="Calibri" w:eastAsia="Times New Roman" w:hAnsi="Calibri" w:cs="Calibri"/>
                <w:color w:val="000000"/>
                <w:sz w:val="18"/>
                <w:szCs w:val="18"/>
                <w:lang w:eastAsia="pl-PL"/>
              </w:rPr>
              <w:br/>
              <w:t xml:space="preserve">operatów wodnoprawnych i przeglądu pozwoleń wodnoprawnych (obecnie takie </w:t>
            </w:r>
            <w:r w:rsidRPr="0028666F">
              <w:rPr>
                <w:rFonts w:ascii="Calibri" w:eastAsia="Times New Roman" w:hAnsi="Calibri" w:cs="Calibri"/>
                <w:color w:val="000000"/>
                <w:sz w:val="18"/>
                <w:szCs w:val="18"/>
                <w:lang w:eastAsia="pl-PL"/>
              </w:rPr>
              <w:br/>
              <w:t xml:space="preserve">analizy są wykonywane jedynie w ramach dokumentacji hydrogeologicznych), </w:t>
            </w:r>
            <w:r w:rsidRPr="0028666F">
              <w:rPr>
                <w:rFonts w:ascii="Calibri" w:eastAsia="Times New Roman" w:hAnsi="Calibri" w:cs="Calibri"/>
                <w:color w:val="000000"/>
                <w:sz w:val="18"/>
                <w:szCs w:val="18"/>
                <w:lang w:eastAsia="pl-PL"/>
              </w:rPr>
              <w:br/>
              <w:t xml:space="preserve">2) brak integracji wyników pracy państwowej służby hydrogeologicznej i państwowej </w:t>
            </w:r>
            <w:r w:rsidRPr="0028666F">
              <w:rPr>
                <w:rFonts w:ascii="Calibri" w:eastAsia="Times New Roman" w:hAnsi="Calibri" w:cs="Calibri"/>
                <w:color w:val="000000"/>
                <w:sz w:val="18"/>
                <w:szCs w:val="18"/>
                <w:lang w:eastAsia="pl-PL"/>
              </w:rPr>
              <w:br/>
              <w:t xml:space="preserve">służby hydrologicznej z działalnością organów właściwych w sprawach zgód </w:t>
            </w:r>
            <w:r w:rsidRPr="0028666F">
              <w:rPr>
                <w:rFonts w:ascii="Calibri" w:eastAsia="Times New Roman" w:hAnsi="Calibri" w:cs="Calibri"/>
                <w:color w:val="000000"/>
                <w:sz w:val="18"/>
                <w:szCs w:val="18"/>
                <w:lang w:eastAsia="pl-PL"/>
              </w:rPr>
              <w:br/>
              <w:t xml:space="preserve">wodnoprawnych, </w:t>
            </w:r>
            <w:r w:rsidRPr="0028666F">
              <w:rPr>
                <w:rFonts w:ascii="Calibri" w:eastAsia="Times New Roman" w:hAnsi="Calibri" w:cs="Calibri"/>
                <w:color w:val="000000"/>
                <w:sz w:val="18"/>
                <w:szCs w:val="18"/>
                <w:lang w:eastAsia="pl-PL"/>
              </w:rPr>
              <w:br/>
              <w:t xml:space="preserve">3) brak danych na temat ładunków zanieczyszczeń prowadzonych w wodach </w:t>
            </w:r>
            <w:r w:rsidRPr="0028666F">
              <w:rPr>
                <w:rFonts w:ascii="Calibri" w:eastAsia="Times New Roman" w:hAnsi="Calibri" w:cs="Calibri"/>
                <w:color w:val="000000"/>
                <w:sz w:val="18"/>
                <w:szCs w:val="18"/>
                <w:lang w:eastAsia="pl-PL"/>
              </w:rPr>
              <w:br/>
              <w:t xml:space="preserve">powierzchniowych, </w:t>
            </w:r>
            <w:r w:rsidRPr="0028666F">
              <w:rPr>
                <w:rFonts w:ascii="Calibri" w:eastAsia="Times New Roman" w:hAnsi="Calibri" w:cs="Calibri"/>
                <w:color w:val="000000"/>
                <w:sz w:val="18"/>
                <w:szCs w:val="18"/>
                <w:lang w:eastAsia="pl-PL"/>
              </w:rPr>
              <w:br/>
              <w:t xml:space="preserve">4) brak przepisów dot. wykonania </w:t>
            </w:r>
            <w:r w:rsidRPr="0028666F">
              <w:rPr>
                <w:rFonts w:ascii="Calibri" w:eastAsia="Times New Roman" w:hAnsi="Calibri" w:cs="Calibri"/>
                <w:color w:val="000000"/>
                <w:sz w:val="18"/>
                <w:szCs w:val="18"/>
                <w:lang w:eastAsia="pl-PL"/>
              </w:rPr>
              <w:lastRenderedPageBreak/>
              <w:t xml:space="preserve">ustaleń wynikających z planów gospodarowania </w:t>
            </w:r>
            <w:r w:rsidRPr="0028666F">
              <w:rPr>
                <w:rFonts w:ascii="Calibri" w:eastAsia="Times New Roman" w:hAnsi="Calibri" w:cs="Calibri"/>
                <w:color w:val="000000"/>
                <w:sz w:val="18"/>
                <w:szCs w:val="18"/>
                <w:lang w:eastAsia="pl-PL"/>
              </w:rPr>
              <w:br/>
              <w:t xml:space="preserve">wodami; obecnie nie ma żadnego mechanizmu określającego sposób postępowania </w:t>
            </w:r>
            <w:r w:rsidRPr="0028666F">
              <w:rPr>
                <w:rFonts w:ascii="Calibri" w:eastAsia="Times New Roman" w:hAnsi="Calibri" w:cs="Calibri"/>
                <w:color w:val="000000"/>
                <w:sz w:val="18"/>
                <w:szCs w:val="18"/>
                <w:lang w:eastAsia="pl-PL"/>
              </w:rPr>
              <w:br/>
              <w:t xml:space="preserve">wobec podmiotów, które nie realizują przypisanych im (w PGW) działań, </w:t>
            </w:r>
            <w:r w:rsidRPr="0028666F">
              <w:rPr>
                <w:rFonts w:ascii="Calibri" w:eastAsia="Times New Roman" w:hAnsi="Calibri" w:cs="Calibri"/>
                <w:color w:val="000000"/>
                <w:sz w:val="18"/>
                <w:szCs w:val="18"/>
                <w:lang w:eastAsia="pl-PL"/>
              </w:rPr>
              <w:br/>
              <w:t xml:space="preserve">5) brak przepisów sprzyjających rzetelnej sprawozdawczości z wykonania planów </w:t>
            </w:r>
            <w:r w:rsidRPr="0028666F">
              <w:rPr>
                <w:rFonts w:ascii="Calibri" w:eastAsia="Times New Roman" w:hAnsi="Calibri" w:cs="Calibri"/>
                <w:color w:val="000000"/>
                <w:sz w:val="18"/>
                <w:szCs w:val="18"/>
                <w:lang w:eastAsia="pl-PL"/>
              </w:rPr>
              <w:br/>
              <w:t xml:space="preserve">gospodarowania wodami, </w:t>
            </w:r>
            <w:r w:rsidRPr="0028666F">
              <w:rPr>
                <w:rFonts w:ascii="Calibri" w:eastAsia="Times New Roman" w:hAnsi="Calibri" w:cs="Calibri"/>
                <w:color w:val="000000"/>
                <w:sz w:val="18"/>
                <w:szCs w:val="18"/>
                <w:lang w:eastAsia="pl-PL"/>
              </w:rPr>
              <w:br/>
              <w:t xml:space="preserve">6) niestosowanie zasady „zanieczyszczający płaci” wobec kopalni, które nie ponoszą </w:t>
            </w:r>
            <w:r w:rsidRPr="0028666F">
              <w:rPr>
                <w:rFonts w:ascii="Calibri" w:eastAsia="Times New Roman" w:hAnsi="Calibri" w:cs="Calibri"/>
                <w:color w:val="000000"/>
                <w:sz w:val="18"/>
                <w:szCs w:val="18"/>
                <w:lang w:eastAsia="pl-PL"/>
              </w:rPr>
              <w:br/>
              <w:t xml:space="preserve">opłat za odwodnieniowy pobór wody oraz za odprowadzanie tych wód do rzek, a </w:t>
            </w:r>
            <w:r w:rsidRPr="0028666F">
              <w:rPr>
                <w:rFonts w:ascii="Calibri" w:eastAsia="Times New Roman" w:hAnsi="Calibri" w:cs="Calibri"/>
                <w:color w:val="000000"/>
                <w:sz w:val="18"/>
                <w:szCs w:val="18"/>
                <w:lang w:eastAsia="pl-PL"/>
              </w:rPr>
              <w:br/>
              <w:t xml:space="preserve">także wobec wprowadzania do środowiska wód pochodzących z obiegów </w:t>
            </w:r>
            <w:r w:rsidRPr="0028666F">
              <w:rPr>
                <w:rFonts w:ascii="Calibri" w:eastAsia="Times New Roman" w:hAnsi="Calibri" w:cs="Calibri"/>
                <w:color w:val="000000"/>
                <w:sz w:val="18"/>
                <w:szCs w:val="18"/>
                <w:lang w:eastAsia="pl-PL"/>
              </w:rPr>
              <w:br/>
              <w:t xml:space="preserve">chłodzących elektrowni lub elektrociepłowni, jeżeli ich temperatura nie przekracza </w:t>
            </w:r>
            <w:r w:rsidRPr="0028666F">
              <w:rPr>
                <w:rFonts w:ascii="Calibri" w:eastAsia="Times New Roman" w:hAnsi="Calibri" w:cs="Calibri"/>
                <w:color w:val="000000"/>
                <w:sz w:val="18"/>
                <w:szCs w:val="18"/>
                <w:lang w:eastAsia="pl-PL"/>
              </w:rPr>
              <w:br/>
              <w:t xml:space="preserve">+26°C albo różnica między temperaturą wód pobranych i wprowadzanych do wód </w:t>
            </w:r>
            <w:r w:rsidRPr="0028666F">
              <w:rPr>
                <w:rFonts w:ascii="Calibri" w:eastAsia="Times New Roman" w:hAnsi="Calibri" w:cs="Calibri"/>
                <w:color w:val="000000"/>
                <w:sz w:val="18"/>
                <w:szCs w:val="18"/>
                <w:lang w:eastAsia="pl-PL"/>
              </w:rPr>
              <w:br/>
              <w:t xml:space="preserve">lub do ziemi pochodzących z obiegów chłodzących elektrowni lub elektrociepłowni jest mniejsza niż 11°C; </w:t>
            </w:r>
            <w:r w:rsidRPr="0028666F">
              <w:rPr>
                <w:rFonts w:ascii="Calibri" w:eastAsia="Times New Roman" w:hAnsi="Calibri" w:cs="Calibri"/>
                <w:color w:val="000000"/>
                <w:sz w:val="18"/>
                <w:szCs w:val="18"/>
                <w:lang w:eastAsia="pl-PL"/>
              </w:rPr>
              <w:br/>
              <w:t xml:space="preserve">7) brak wykonywania rzetelnych przeglądów pozwoleń wodnoprawnych, </w:t>
            </w:r>
            <w:r w:rsidRPr="0028666F">
              <w:rPr>
                <w:rFonts w:ascii="Calibri" w:eastAsia="Times New Roman" w:hAnsi="Calibri" w:cs="Calibri"/>
                <w:color w:val="000000"/>
                <w:sz w:val="18"/>
                <w:szCs w:val="18"/>
                <w:lang w:eastAsia="pl-PL"/>
              </w:rPr>
              <w:br/>
              <w:t xml:space="preserve">8) brak udziału PGW WP przy wydawaniu pozwoleń zintegrowanych obejmujących </w:t>
            </w:r>
            <w:r w:rsidRPr="0028666F">
              <w:rPr>
                <w:rFonts w:ascii="Calibri" w:eastAsia="Times New Roman" w:hAnsi="Calibri" w:cs="Calibri"/>
                <w:color w:val="000000"/>
                <w:sz w:val="18"/>
                <w:szCs w:val="18"/>
                <w:lang w:eastAsia="pl-PL"/>
              </w:rPr>
              <w:br/>
              <w:t xml:space="preserve">wprowadzanie ścieków do środowiska, </w:t>
            </w:r>
            <w:r w:rsidRPr="0028666F">
              <w:rPr>
                <w:rFonts w:ascii="Calibri" w:eastAsia="Times New Roman" w:hAnsi="Calibri" w:cs="Calibri"/>
                <w:color w:val="000000"/>
                <w:sz w:val="18"/>
                <w:szCs w:val="18"/>
                <w:lang w:eastAsia="pl-PL"/>
              </w:rPr>
              <w:br/>
              <w:t xml:space="preserve">9) brak kompleksowych danych o presjach, </w:t>
            </w:r>
            <w:r w:rsidRPr="0028666F">
              <w:rPr>
                <w:rFonts w:ascii="Calibri" w:eastAsia="Times New Roman" w:hAnsi="Calibri" w:cs="Calibri"/>
                <w:color w:val="000000"/>
                <w:sz w:val="18"/>
                <w:szCs w:val="18"/>
                <w:lang w:eastAsia="pl-PL"/>
              </w:rPr>
              <w:br/>
              <w:t xml:space="preserve">10) brak metodyk określających sposób wykonywania analiz wpływu na stan wód; </w:t>
            </w:r>
            <w:r w:rsidRPr="0028666F">
              <w:rPr>
                <w:rFonts w:ascii="Calibri" w:eastAsia="Times New Roman" w:hAnsi="Calibri" w:cs="Calibri"/>
                <w:color w:val="000000"/>
                <w:sz w:val="18"/>
                <w:szCs w:val="18"/>
                <w:lang w:eastAsia="pl-PL"/>
              </w:rPr>
              <w:br/>
              <w:t xml:space="preserve">11) brak przepisów sprzyjających renaturyzacji wód oraz przeciwdziałania skutkom </w:t>
            </w:r>
            <w:r w:rsidRPr="0028666F">
              <w:rPr>
                <w:rFonts w:ascii="Calibri" w:eastAsia="Times New Roman" w:hAnsi="Calibri" w:cs="Calibri"/>
                <w:color w:val="000000"/>
                <w:sz w:val="18"/>
                <w:szCs w:val="18"/>
                <w:lang w:eastAsia="pl-PL"/>
              </w:rPr>
              <w:br/>
              <w:t xml:space="preserve">suszy i niedoborom wody.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IIaPGW ww. problematyka nie znajduje żadnego odzwierciedlenia. Wobec </w:t>
            </w:r>
            <w:r w:rsidRPr="0028666F">
              <w:rPr>
                <w:rFonts w:ascii="Calibri" w:eastAsia="Times New Roman" w:hAnsi="Calibri" w:cs="Calibri"/>
                <w:color w:val="000000"/>
                <w:sz w:val="18"/>
                <w:szCs w:val="18"/>
                <w:lang w:eastAsia="pl-PL"/>
              </w:rPr>
              <w:br/>
              <w:t xml:space="preserve">powyższego konieczne jest opracowanie rozwiązania adekwatnego do ww. problemów. </w:t>
            </w:r>
            <w:r w:rsidRPr="0028666F">
              <w:rPr>
                <w:rFonts w:ascii="Calibri" w:eastAsia="Times New Roman" w:hAnsi="Calibri" w:cs="Calibri"/>
                <w:color w:val="000000"/>
                <w:sz w:val="18"/>
                <w:szCs w:val="18"/>
                <w:lang w:eastAsia="pl-PL"/>
              </w:rPr>
              <w:br/>
              <w:t xml:space="preserve">W przeciwnym razie IIaPGW pozostanie kolejnym „martwym” dokumentem planistycznym i zostanie </w:t>
            </w:r>
            <w:r w:rsidRPr="0028666F">
              <w:rPr>
                <w:rFonts w:ascii="Calibri" w:eastAsia="Times New Roman" w:hAnsi="Calibri" w:cs="Calibri"/>
                <w:color w:val="000000"/>
                <w:sz w:val="18"/>
                <w:szCs w:val="18"/>
                <w:lang w:eastAsia="pl-PL"/>
              </w:rPr>
              <w:lastRenderedPageBreak/>
              <w:t xml:space="preserve">utracona szansa na wprowadzenie efektywnych rozwiązań postulowanych od wielu lat w kręgach eksperckich i w pracach zamawianych przez KZGW </w:t>
            </w:r>
            <w:r w:rsidRPr="0028666F">
              <w:rPr>
                <w:rFonts w:ascii="Calibri" w:eastAsia="Times New Roman" w:hAnsi="Calibri" w:cs="Calibri"/>
                <w:color w:val="000000"/>
                <w:sz w:val="18"/>
                <w:szCs w:val="18"/>
                <w:lang w:eastAsia="pl-PL"/>
              </w:rPr>
              <w:br/>
              <w:t xml:space="preserve">i PGW WP. </w:t>
            </w:r>
          </w:p>
        </w:tc>
        <w:tc>
          <w:tcPr>
            <w:tcW w:w="1720" w:type="dxa"/>
            <w:tcBorders>
              <w:top w:val="nil"/>
              <w:left w:val="nil"/>
              <w:bottom w:val="single" w:sz="4" w:space="0" w:color="auto"/>
              <w:right w:val="single" w:sz="4" w:space="0" w:color="auto"/>
            </w:tcBorders>
            <w:shd w:val="clear" w:color="000000" w:fill="FFFFFF"/>
            <w:hideMark/>
          </w:tcPr>
          <w:p w14:paraId="046CE1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601B16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0A3CCB22" w14:textId="0250C92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 Poniżej przedstawiono odniesienie do </w:t>
            </w:r>
            <w:r w:rsidRPr="0028666F">
              <w:rPr>
                <w:rFonts w:ascii="Calibri" w:eastAsia="Times New Roman" w:hAnsi="Calibri" w:cs="Calibri"/>
                <w:color w:val="000000"/>
                <w:sz w:val="18"/>
                <w:szCs w:val="18"/>
                <w:lang w:eastAsia="pl-PL"/>
              </w:rPr>
              <w:lastRenderedPageBreak/>
              <w:t>poszczególnych zagadnień wskazanych w uwadze:</w:t>
            </w:r>
            <w:r w:rsidRPr="0028666F">
              <w:rPr>
                <w:rFonts w:ascii="Calibri" w:eastAsia="Times New Roman" w:hAnsi="Calibri" w:cs="Calibri"/>
                <w:color w:val="000000"/>
                <w:sz w:val="18"/>
                <w:szCs w:val="18"/>
                <w:lang w:eastAsia="pl-PL"/>
              </w:rPr>
              <w:br/>
              <w:t>Ad 1) Zasada zwrotu kosztów usług wodnych stanowi element IIaPGW zaprezentowany m.in. w rozdziale 13.1. Informacje o planowanych i podjętych działaniach w zakresie zwrotu kosztów usług wodnych. Poza podsumowaniem podjętych dotychczas działań w tym zakresie, wskazane zostały również działania zaplanowane na okres 2022-2027: 1) Ustalanie taryf za zbiorowe zaopatrzenie w wodę i zbiorowe odprowadzanie ścieków z uwzględnieniem: kosztów związanych ze świadczeniem usług, zmian warunków ekonomicznych oraz wielkości usług i warunków ich świadczenia, kosztów wynikających z planowanych wydatków inwestycyjnych, 2) Uwzględnienie zasady zwrotu kosztów w stosunku do administrowanych rzek i obiektów.</w:t>
            </w:r>
            <w:r w:rsidRPr="0028666F">
              <w:rPr>
                <w:rFonts w:ascii="Calibri" w:eastAsia="Times New Roman" w:hAnsi="Calibri" w:cs="Calibri"/>
                <w:color w:val="000000"/>
                <w:sz w:val="18"/>
                <w:szCs w:val="18"/>
                <w:lang w:eastAsia="pl-PL"/>
              </w:rPr>
              <w:br/>
              <w:t xml:space="preserve">Ad 2) Na pobór wód podziemnych w ramach szczególnego korzystania z wód wymagane jest uzyskanie pozwolenia wodnoprawnego. Mając na celu ochronę ilościową wód podziemnych w IIaPGW, poza działaniami krajowymi obowiązującymi na obszarze całego kraju (takimi jak: obowiązek uzyskania oceny wodnoprawnej dla inwestycji i działań mogących wpłynąć na możliwość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o stanie słabym ilościowym oraz zagrożonych ilościowo wprowadzono działanie pn.: "dodatkowy przegląd udzielonych pozwoleń wodnoprawnych związanych z poborem wód podziemnych". Wyniki dodatkowego przeglądu wodnoprawnego poparte wynikami monitoringu wód mogą być zgodnie z art. 415 ustawy Prawo wodne podstawą do cofnięcia lub ograniczenia pozwolenia wodnoprawnego. Ponadto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zagrożonych ilościowo w IIaPGW zaproponowano działania ukierunkowane na ograniczenie zużycia wody w przemyśle, zaś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w obrębie których występuje eksploatacja kopalin zaplanowano bądź opracowanie dokumentacji hydrogeologicznej określającej warunki hydrogeologiczne w związku z zakończeniem odwadniania likwidowanych zakładów górniczych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62) , bądź wykonanie opracowania "Analiza wpływu zagospodarowania wód z odwadniania zakładów górniczych na stan wód powierzchniowych i podziemnych"(</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62), bądź opracowanie programu monitorowania stanu wód podziemnych w rejonie prowadzonej działalności górniczej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105).</w:t>
            </w:r>
            <w:r w:rsidRPr="0028666F">
              <w:rPr>
                <w:rFonts w:ascii="Calibri" w:eastAsia="Times New Roman" w:hAnsi="Calibri" w:cs="Calibri"/>
                <w:color w:val="000000"/>
                <w:sz w:val="18"/>
                <w:szCs w:val="18"/>
                <w:lang w:eastAsia="pl-PL"/>
              </w:rPr>
              <w:br/>
              <w:t xml:space="preserve">Ad 3) Realizacja przedsięwzięć wskazanych w aPZRP wymaga przygotowania indywidualnych dokumentacji środowiskowych i uzyskania wymaganych zgód i pozwoleń dla każdej inwestycji potencjalnie negatywnie oddziaływujących na środowisko, wymagane jest przeprowadzenie ocen oddziaływania na środowisko i wykonanie inwentaryzacji środowiskowych i ocen wpływu na cele RDW i cele obszarów chronionych; wskazane inwestycje to zbiór możliwych do realizacji przedsięwzięć nakierowanych na ograniczenie ryzyka przeciwpowodziowego zidentyfikowanego w danym obszarze, ale ich realizacja nie jest obligatoryjna, wiąże się z przeprowadzeniem procedur wymaganych prawnie, co więcej na etapie dokumentacji technicznych analizowane powinny być wszystkie </w:t>
            </w:r>
            <w:r w:rsidRPr="0028666F">
              <w:rPr>
                <w:rFonts w:ascii="Calibri" w:eastAsia="Times New Roman" w:hAnsi="Calibri" w:cs="Calibri"/>
                <w:color w:val="000000"/>
                <w:sz w:val="18"/>
                <w:szCs w:val="18"/>
                <w:lang w:eastAsia="pl-PL"/>
              </w:rPr>
              <w:lastRenderedPageBreak/>
              <w:t xml:space="preserve">rozwiązania alternatywne, wprowadzane minimalizacje oraz kompensacje, wymagane są pozytywne decyzje wydawane przez RDOŚ. Realizacja działań z aPZRP wymagać będzie w procesie przygotowania inwestycji analizy zgodności z działaniami wskazanymi w IIaPGW, czyli analizy zestawu działań proponowanego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IIaPGW.</w:t>
            </w:r>
            <w:r w:rsidRPr="0028666F">
              <w:rPr>
                <w:rFonts w:ascii="Calibri" w:eastAsia="Times New Roman" w:hAnsi="Calibri" w:cs="Calibri"/>
                <w:color w:val="000000"/>
                <w:sz w:val="18"/>
                <w:szCs w:val="18"/>
                <w:lang w:eastAsia="pl-PL"/>
              </w:rPr>
              <w:br/>
              <w:t xml:space="preserve">Ad 4) Do Katalogu działań krajowych wprowadzono działanie: Ustalenie przepływów środowiskowych wymaganych do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Ad 5) 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r w:rsidRPr="0028666F">
              <w:rPr>
                <w:rFonts w:ascii="Calibri" w:eastAsia="Times New Roman" w:hAnsi="Calibri" w:cs="Calibri"/>
                <w:color w:val="000000"/>
                <w:sz w:val="18"/>
                <w:szCs w:val="18"/>
                <w:lang w:eastAsia="pl-PL"/>
              </w:rPr>
              <w:br/>
              <w:t>Ad 6) W IIaPGW nie przewidziano działań związanych z ustanowieniem obszaru ochronnego dla wszystkich GZWP. Lista priorytetowych GZWP, dla których przewidziano ustanowienie obszarów ochronnych w latach 2022-2027 została opracowana w oparciu o wskazania ze strony poszczególnych RZGW (ustalono listę 21 zbiorników).</w:t>
            </w:r>
            <w:r w:rsidRPr="0028666F">
              <w:rPr>
                <w:rFonts w:ascii="Calibri" w:eastAsia="Times New Roman" w:hAnsi="Calibri" w:cs="Calibri"/>
                <w:color w:val="000000"/>
                <w:sz w:val="18"/>
                <w:szCs w:val="18"/>
                <w:lang w:eastAsia="pl-PL"/>
              </w:rPr>
              <w:br/>
              <w:t xml:space="preserve">Ad 7) W dowiązaniu do rozdz. 6. ustawy Prawo wodne strefa ochrona obejmująca teren ochrony bezpośredniej ujęcia ustanawiana jest z urzędu przez właściwy organ Wód Polskich. Dla nowych ujęć teren ochrony bezpośredniej jest ustanawiany w momencie uzyskiwania decyzji wodnoprawnej, zaś dla ujęć istniejących termin ten został określony w art. 551 ustawy Prawo wodne (6 miesięcy z od dnia wejścia w żucie ustawy). W IIaPGW znajdują się działania – [1] wykonanie dokumentacji hydrogeologicznej; [2] weryfikacja zasobów eksploatacyjnych ujęć wód podziemnych ustalonych na podstawie dokumentacji hydrogeologicznych wykonanych przed 2004 r. oraz [3] weryfikacja zasobów dyspozycyjnych wód podziemnych. W naszym rozumieniu są one adekwatne i wystarczające do realizacji celów środowiskowych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w:t>
            </w:r>
            <w:r w:rsidRPr="0028666F">
              <w:rPr>
                <w:rFonts w:ascii="Calibri" w:eastAsia="Times New Roman" w:hAnsi="Calibri" w:cs="Calibri"/>
                <w:color w:val="000000"/>
                <w:sz w:val="18"/>
                <w:szCs w:val="18"/>
                <w:lang w:eastAsia="pl-PL"/>
              </w:rPr>
              <w:br/>
              <w:t xml:space="preserve">Ad 8) Warunki korzystania z wód stanowiły jeden z dokumentów źródłowych analizowany w ramach IIaPGW na potrzeby wypracowania zestawu działań. IIaPGW nie przejmuje wszystkich zapisów warunków korzystania z wód. IIaPGW przygotowane zostało na podstawie możliwie najaktualniejszych danych, w tym również dotyczących ocen stanu, które przeniesione zostały nie tylko na nowy układ planistyczny, ale również poddane przeliczeniom na potrzeby wskazania szacowanego stanu wód przy uwzględnieniu klasyfikacji obowiązującej od roku 2022. Tym samym dane </w:t>
            </w:r>
            <w:r w:rsidRPr="0028666F">
              <w:rPr>
                <w:rFonts w:ascii="Calibri" w:eastAsia="Times New Roman" w:hAnsi="Calibri" w:cs="Calibri"/>
                <w:color w:val="000000"/>
                <w:sz w:val="18"/>
                <w:szCs w:val="18"/>
                <w:lang w:eastAsia="pl-PL"/>
              </w:rPr>
              <w:lastRenderedPageBreak/>
              <w:t>IIaPGW nie ulegają dezaktualizacji po 2022 roku. W odniesieniu do zagadnienia przepływów hydrobiologicznych: zestawy działań uwzględniają działanie ustalenia przepływów środowiskowych.</w:t>
            </w:r>
            <w:r w:rsidRPr="0028666F">
              <w:rPr>
                <w:rFonts w:ascii="Calibri" w:eastAsia="Times New Roman" w:hAnsi="Calibri" w:cs="Calibri"/>
                <w:color w:val="000000"/>
                <w:sz w:val="18"/>
                <w:szCs w:val="18"/>
                <w:lang w:eastAsia="pl-PL"/>
              </w:rPr>
              <w:br/>
              <w:t xml:space="preserve">Ad 9) Zgodnie ze wskazaniem na wstępie odpowiedzi 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Ad 10a) Ewidencja ujęć wód podziemnych (zgodnej z zapisami obowiązującego prawa) jest prowadzona przez PSH pod nazwą Baza POBORY. Zawartość bazy jest jednak ograniczona do podmiotów/osób fizycznych raportujących pobór do PGW WP. Ilość zasobów dyspozycyjnych jest ustalana w trybie dokumentacji hydrogeologicznych opracowywanych dla jednostek bilansowych. Informacje z zatwierdzonych dokumentacji hydrogeologicznych, przy uwzględnieniu informacji z bazy POBORY (aktualny pobór z ujęć) stanowi podstawę do udzielania pozwoleń wodnoprawnych.</w:t>
            </w:r>
            <w:r w:rsidRPr="0028666F">
              <w:rPr>
                <w:rFonts w:ascii="Calibri" w:eastAsia="Times New Roman" w:hAnsi="Calibri" w:cs="Calibri"/>
                <w:color w:val="000000"/>
                <w:sz w:val="18"/>
                <w:szCs w:val="18"/>
                <w:lang w:eastAsia="pl-PL"/>
              </w:rPr>
              <w:br/>
              <w:t>Ad 10b) Wyniki prac PSH są przekazywane w ramach ustalonych umów do PGW WP oraz właściwego ministra nadzorującego. Efekty bieżących prac m.in. komunikaty, prognozy i biuletyny są publikowane na bieżąco i dostępne na stronach internetowych PSH,</w:t>
            </w:r>
            <w:r w:rsidRPr="0028666F">
              <w:rPr>
                <w:rFonts w:ascii="Calibri" w:eastAsia="Times New Roman" w:hAnsi="Calibri" w:cs="Calibri"/>
                <w:color w:val="000000"/>
                <w:sz w:val="18"/>
                <w:szCs w:val="18"/>
                <w:lang w:eastAsia="pl-PL"/>
              </w:rPr>
              <w:br/>
              <w:t xml:space="preserve">Ad 10c) Informacje o ładunkach zanieczyszczeń zostały opracowane w ramach opracowania Analiza znaczących </w:t>
            </w:r>
            <w:r w:rsidRPr="0028666F">
              <w:rPr>
                <w:rFonts w:ascii="Calibri" w:eastAsia="Times New Roman" w:hAnsi="Calibri" w:cs="Calibri"/>
                <w:color w:val="000000"/>
                <w:sz w:val="18"/>
                <w:szCs w:val="18"/>
                <w:lang w:eastAsia="pl-PL"/>
              </w:rPr>
              <w:lastRenderedPageBreak/>
              <w:t xml:space="preserve">oddziaływań antropogenicznych wraz z oceną ich wpływu na stan wód oraz ryzykiem nieosiągnięcia celów środowiskowych. W dokumencie tym, opracowanym na potrzeby IIaPGW, zostały ujęte dane o substancjach uwalnianych do wód wraz z bilansowaniem ładunków substancji istotnych dla stanu wód parametrów fizykochemicznych i chemicznych. Wyniki analiz umożliwiły wskazanie presji od substancji pochodzących ze zlewni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oraz dostarczanych ze zlewni z nią powiązanej.</w:t>
            </w:r>
            <w:r w:rsidRPr="0028666F">
              <w:rPr>
                <w:rFonts w:ascii="Calibri" w:eastAsia="Times New Roman" w:hAnsi="Calibri" w:cs="Calibri"/>
                <w:color w:val="000000"/>
                <w:sz w:val="18"/>
                <w:szCs w:val="18"/>
                <w:lang w:eastAsia="pl-PL"/>
              </w:rPr>
              <w:br/>
              <w:t>Ad 10d)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28666F">
              <w:rPr>
                <w:rFonts w:ascii="Calibri" w:eastAsia="Times New Roman" w:hAnsi="Calibri" w:cs="Calibri"/>
                <w:color w:val="000000"/>
                <w:sz w:val="18"/>
                <w:szCs w:val="18"/>
                <w:lang w:eastAsia="pl-PL"/>
              </w:rPr>
              <w:br/>
              <w:t>Ad 10e)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28666F">
              <w:rPr>
                <w:rFonts w:ascii="Calibri" w:eastAsia="Times New Roman" w:hAnsi="Calibri" w:cs="Calibri"/>
                <w:color w:val="000000"/>
                <w:sz w:val="18"/>
                <w:szCs w:val="18"/>
                <w:lang w:eastAsia="pl-PL"/>
              </w:rPr>
              <w:br/>
              <w:t>Ad 10f) Rolą IIaPGW nie jest regulowanie zasady „zanieczyszczający płaci”. Problem ten dotyczy wszystkich obszarów środowiska i jest regulowany obowiązującymi przepisami.</w:t>
            </w:r>
            <w:r w:rsidRPr="0028666F">
              <w:rPr>
                <w:rFonts w:ascii="Calibri" w:eastAsia="Times New Roman" w:hAnsi="Calibri" w:cs="Calibri"/>
                <w:color w:val="000000"/>
                <w:sz w:val="18"/>
                <w:szCs w:val="18"/>
                <w:lang w:eastAsia="pl-PL"/>
              </w:rPr>
              <w:br/>
              <w:t>Ad 10g) W ramach IIaPGW wykonano przegląd pozwoleń wodnoprawnych na podstawie materiału dostarczonego przez poszczególne Regionalne Zarządy Gospodarki Wodnej (RZGW)</w:t>
            </w:r>
            <w:r w:rsidRPr="0028666F">
              <w:rPr>
                <w:rFonts w:ascii="Calibri" w:eastAsia="Times New Roman" w:hAnsi="Calibri" w:cs="Calibri"/>
                <w:color w:val="000000"/>
                <w:sz w:val="18"/>
                <w:szCs w:val="18"/>
                <w:lang w:eastAsia="pl-PL"/>
              </w:rPr>
              <w:br/>
              <w:t xml:space="preserve">Ad 10h)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w:t>
            </w:r>
            <w:r w:rsidRPr="0028666F">
              <w:rPr>
                <w:rFonts w:ascii="Calibri" w:eastAsia="Times New Roman" w:hAnsi="Calibri" w:cs="Calibri"/>
                <w:color w:val="000000"/>
                <w:sz w:val="18"/>
                <w:szCs w:val="18"/>
                <w:lang w:eastAsia="pl-PL"/>
              </w:rPr>
              <w:lastRenderedPageBreak/>
              <w:t>Kompetencja w tym zakresie nie może być przedmiotem delegacji zawartej w upoważnieniu do wydania aktu wykonawczego.</w:t>
            </w:r>
            <w:r w:rsidRPr="0028666F">
              <w:rPr>
                <w:rFonts w:ascii="Calibri" w:eastAsia="Times New Roman" w:hAnsi="Calibri" w:cs="Calibri"/>
                <w:color w:val="000000"/>
                <w:sz w:val="18"/>
                <w:szCs w:val="18"/>
                <w:lang w:eastAsia="pl-PL"/>
              </w:rPr>
              <w:br/>
              <w:t>Ad 10i) Informacje o presjach są zawarte w opracowaniu Analiza znaczących oddziaływań antropogenicznych wraz z oceną ich wpływu na stan wód oraz ryzykiem nieosiągnięcia celów środowiskowych.</w:t>
            </w:r>
            <w:r w:rsidRPr="0028666F">
              <w:rPr>
                <w:rFonts w:ascii="Calibri" w:eastAsia="Times New Roman" w:hAnsi="Calibri" w:cs="Calibri"/>
                <w:color w:val="000000"/>
                <w:sz w:val="18"/>
                <w:szCs w:val="18"/>
                <w:lang w:eastAsia="pl-PL"/>
              </w:rPr>
              <w:br/>
              <w:t>Ad 10j) Przepisy określające zawartość planów gospodarowania wodami nie zawierają delegacji do formułowania w IIaPGW zaleceń dot. metodyk badania wpływu presji na stan wód. Natomiast zakres i sposób prowadzenia badań oraz oceny stanu wód określają rozporządzenia wykonawcze do ustawy - Prawo wodne oraz metodyki opracowywane (i publikowane) przez GIOŚ – mogą one być wykorzystane do badań wpływu na stan wód.</w:t>
            </w:r>
            <w:r w:rsidRPr="0028666F">
              <w:rPr>
                <w:rFonts w:ascii="Calibri" w:eastAsia="Times New Roman" w:hAnsi="Calibri" w:cs="Calibri"/>
                <w:color w:val="000000"/>
                <w:sz w:val="18"/>
                <w:szCs w:val="18"/>
                <w:lang w:eastAsia="pl-PL"/>
              </w:rPr>
              <w:br/>
              <w:t>Ad 10k)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 Ustalenie przepisów dotyczących przeciwdziałania skautom suszy nie jest w kompetencji IIaPGW. Katalog działań w tym zakresie został ujęty w Planie Przeciwdziałania Skutkom Suszy i wiele z proponowanych w nim rozwiązań znalazło odbicie w katalogu działań krajowych wykonanym na potrzeby IIaPGW.</w:t>
            </w:r>
          </w:p>
        </w:tc>
      </w:tr>
      <w:tr w:rsidR="007C2B40" w:rsidRPr="0028666F" w14:paraId="571B8F7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7E95B7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31</w:t>
            </w:r>
          </w:p>
        </w:tc>
        <w:tc>
          <w:tcPr>
            <w:tcW w:w="970" w:type="dxa"/>
            <w:tcBorders>
              <w:top w:val="nil"/>
              <w:left w:val="nil"/>
              <w:bottom w:val="single" w:sz="4" w:space="0" w:color="auto"/>
              <w:right w:val="nil"/>
            </w:tcBorders>
          </w:tcPr>
          <w:p w14:paraId="4E668C9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4F2D5FA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BAF3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110AA6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w:t>
            </w:r>
            <w:r w:rsidRPr="0028666F">
              <w:rPr>
                <w:rFonts w:ascii="Calibri" w:eastAsia="Times New Roman" w:hAnsi="Calibri" w:cs="Calibri"/>
                <w:color w:val="000000"/>
                <w:sz w:val="18"/>
                <w:szCs w:val="18"/>
                <w:lang w:eastAsia="pl-PL"/>
              </w:rPr>
              <w:br/>
              <w:t xml:space="preserve">Rozdział 12 </w:t>
            </w:r>
            <w:r w:rsidRPr="0028666F">
              <w:rPr>
                <w:rFonts w:ascii="Calibri" w:eastAsia="Times New Roman" w:hAnsi="Calibri" w:cs="Calibri"/>
                <w:color w:val="000000"/>
                <w:sz w:val="18"/>
                <w:szCs w:val="18"/>
                <w:lang w:eastAsia="pl-PL"/>
              </w:rPr>
              <w:br/>
              <w:t xml:space="preserve">Treść uwagi: Wady ustaleń IIaPGW dot. odstępstw z art. 4.4 i 4.5 Ramowej Dyrektywy </w:t>
            </w:r>
            <w:r w:rsidRPr="0028666F">
              <w:rPr>
                <w:rFonts w:ascii="Calibri" w:eastAsia="Times New Roman" w:hAnsi="Calibri" w:cs="Calibri"/>
                <w:color w:val="000000"/>
                <w:sz w:val="18"/>
                <w:szCs w:val="18"/>
                <w:lang w:eastAsia="pl-PL"/>
              </w:rPr>
              <w:br/>
              <w:t xml:space="preserve">Wodnej </w:t>
            </w:r>
          </w:p>
        </w:tc>
        <w:tc>
          <w:tcPr>
            <w:tcW w:w="2733" w:type="dxa"/>
            <w:tcBorders>
              <w:top w:val="nil"/>
              <w:left w:val="nil"/>
              <w:bottom w:val="single" w:sz="4" w:space="0" w:color="auto"/>
              <w:right w:val="single" w:sz="4" w:space="0" w:color="auto"/>
            </w:tcBorders>
            <w:shd w:val="clear" w:color="auto" w:fill="auto"/>
            <w:hideMark/>
          </w:tcPr>
          <w:p w14:paraId="608FCA0F" w14:textId="352AF13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 uwagi na brak wykazania spełnienia wszystkich przesłanek warunkujących zastosowanie </w:t>
            </w:r>
            <w:r w:rsidRPr="0028666F">
              <w:rPr>
                <w:rFonts w:ascii="Calibri" w:eastAsia="Times New Roman" w:hAnsi="Calibri" w:cs="Calibri"/>
                <w:color w:val="000000"/>
                <w:sz w:val="18"/>
                <w:szCs w:val="18"/>
                <w:lang w:eastAsia="pl-PL"/>
              </w:rPr>
              <w:br/>
              <w:t xml:space="preserve">odstępstw z art. 4.4 i 4.5. Ramowej Dyrektywy Wodnej konieczne jest przeprowadzenie </w:t>
            </w:r>
            <w:r w:rsidRPr="0028666F">
              <w:rPr>
                <w:rFonts w:ascii="Calibri" w:eastAsia="Times New Roman" w:hAnsi="Calibri" w:cs="Calibri"/>
                <w:color w:val="000000"/>
                <w:sz w:val="18"/>
                <w:szCs w:val="18"/>
                <w:lang w:eastAsia="pl-PL"/>
              </w:rPr>
              <w:br/>
              <w:t xml:space="preserve">analizy zasadności przyznania odstępstw ponownie, ze szczególnym uwzględnieniem </w:t>
            </w:r>
            <w:r w:rsidRPr="0028666F">
              <w:rPr>
                <w:rFonts w:ascii="Calibri" w:eastAsia="Times New Roman" w:hAnsi="Calibri" w:cs="Calibri"/>
                <w:color w:val="000000"/>
                <w:sz w:val="18"/>
                <w:szCs w:val="18"/>
                <w:lang w:eastAsia="pl-PL"/>
              </w:rPr>
              <w:br/>
              <w:t xml:space="preserve">wprowadzenia adekwatnych i ambitnych zestawów działań będących w pełni </w:t>
            </w:r>
            <w:r w:rsidRPr="0028666F">
              <w:rPr>
                <w:rFonts w:ascii="Calibri" w:eastAsia="Times New Roman" w:hAnsi="Calibri" w:cs="Calibri"/>
                <w:color w:val="000000"/>
                <w:sz w:val="18"/>
                <w:szCs w:val="18"/>
                <w:lang w:eastAsia="pl-PL"/>
              </w:rPr>
              <w:br/>
              <w:t xml:space="preserve">odzwierciedleniem zasady „zanieczyszczający płaci”.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Przeprowadzenie ponownej analizy zasadności odstępstwa i prawidłowości przyjętych </w:t>
            </w:r>
            <w:r w:rsidRPr="0028666F">
              <w:rPr>
                <w:rFonts w:ascii="Calibri" w:eastAsia="Times New Roman" w:hAnsi="Calibri" w:cs="Calibri"/>
                <w:color w:val="000000"/>
                <w:sz w:val="18"/>
                <w:szCs w:val="18"/>
                <w:lang w:eastAsia="pl-PL"/>
              </w:rPr>
              <w:br/>
              <w:t xml:space="preserve">zestawów działań powinno dotyczyć w szczególności następujących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br/>
              <w:t xml:space="preserv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Dopływ z wyrobiska Turoszów RW600000174156 </w:t>
            </w:r>
            <w:r w:rsidRPr="0028666F">
              <w:rPr>
                <w:rFonts w:ascii="Calibri" w:eastAsia="Times New Roman" w:hAnsi="Calibri" w:cs="Calibri"/>
                <w:color w:val="000000"/>
                <w:sz w:val="18"/>
                <w:szCs w:val="18"/>
                <w:lang w:eastAsia="pl-PL"/>
              </w:rPr>
              <w:br/>
              <w:t xml:space="preserv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Nysa Łużycka od Miedzianki do Pliessnitz RW60000517431 </w:t>
            </w:r>
          </w:p>
        </w:tc>
        <w:tc>
          <w:tcPr>
            <w:tcW w:w="3009" w:type="dxa"/>
            <w:tcBorders>
              <w:top w:val="nil"/>
              <w:left w:val="nil"/>
              <w:bottom w:val="single" w:sz="4" w:space="0" w:color="auto"/>
              <w:right w:val="single" w:sz="4" w:space="0" w:color="auto"/>
            </w:tcBorders>
            <w:shd w:val="clear" w:color="auto" w:fill="auto"/>
            <w:hideMark/>
          </w:tcPr>
          <w:p w14:paraId="07477CCA" w14:textId="65B0A10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1. Odstępstwa w trybie art. 4.4 i 4.5 RDW zostały uzasadnione w IIaPGW w następujący </w:t>
            </w:r>
            <w:r w:rsidRPr="0028666F">
              <w:rPr>
                <w:rFonts w:ascii="Calibri" w:eastAsia="Times New Roman" w:hAnsi="Calibri" w:cs="Calibri"/>
                <w:color w:val="000000"/>
                <w:sz w:val="18"/>
                <w:szCs w:val="18"/>
                <w:lang w:eastAsia="pl-PL"/>
              </w:rPr>
              <w:br/>
              <w:t xml:space="preserve">sposób: </w:t>
            </w:r>
            <w:r w:rsidRPr="0028666F">
              <w:rPr>
                <w:rFonts w:ascii="Calibri" w:eastAsia="Times New Roman" w:hAnsi="Calibri" w:cs="Calibri"/>
                <w:color w:val="000000"/>
                <w:sz w:val="18"/>
                <w:szCs w:val="18"/>
                <w:lang w:eastAsia="pl-PL"/>
              </w:rPr>
              <w:br/>
              <w:t xml:space="preserve">1) określono wskaźniki, których wartości nie odpowiadają stanowi dobremu (są klasie </w:t>
            </w:r>
            <w:r w:rsidRPr="0028666F">
              <w:rPr>
                <w:rFonts w:ascii="Calibri" w:eastAsia="Times New Roman" w:hAnsi="Calibri" w:cs="Calibri"/>
                <w:color w:val="000000"/>
                <w:sz w:val="18"/>
                <w:szCs w:val="18"/>
                <w:lang w:eastAsia="pl-PL"/>
              </w:rPr>
              <w:br/>
              <w:t xml:space="preserve">gorszej niż II), </w:t>
            </w:r>
            <w:r w:rsidRPr="0028666F">
              <w:rPr>
                <w:rFonts w:ascii="Calibri" w:eastAsia="Times New Roman" w:hAnsi="Calibri" w:cs="Calibri"/>
                <w:color w:val="000000"/>
                <w:sz w:val="18"/>
                <w:szCs w:val="18"/>
                <w:lang w:eastAsia="pl-PL"/>
              </w:rPr>
              <w:br/>
              <w:t xml:space="preserve">2) wskazano presje determinujące zły stan wód, </w:t>
            </w:r>
            <w:r w:rsidRPr="0028666F">
              <w:rPr>
                <w:rFonts w:ascii="Calibri" w:eastAsia="Times New Roman" w:hAnsi="Calibri" w:cs="Calibri"/>
                <w:color w:val="000000"/>
                <w:sz w:val="18"/>
                <w:szCs w:val="18"/>
                <w:lang w:eastAsia="pl-PL"/>
              </w:rPr>
              <w:br/>
              <w:t xml:space="preserve">3) określono wskaźniki, których wartości nie osiągną stanu dobrego (odpowiadającego </w:t>
            </w:r>
            <w:r w:rsidRPr="0028666F">
              <w:rPr>
                <w:rFonts w:ascii="Calibri" w:eastAsia="Times New Roman" w:hAnsi="Calibri" w:cs="Calibri"/>
                <w:color w:val="000000"/>
                <w:sz w:val="18"/>
                <w:szCs w:val="18"/>
                <w:lang w:eastAsia="pl-PL"/>
              </w:rPr>
              <w:br/>
              <w:t xml:space="preserve">klasie II) mimo wdrożenia zestawów działań, </w:t>
            </w:r>
            <w:r w:rsidRPr="0028666F">
              <w:rPr>
                <w:rFonts w:ascii="Calibri" w:eastAsia="Times New Roman" w:hAnsi="Calibri" w:cs="Calibri"/>
                <w:color w:val="000000"/>
                <w:sz w:val="18"/>
                <w:szCs w:val="18"/>
                <w:lang w:eastAsia="pl-PL"/>
              </w:rPr>
              <w:br/>
              <w:t xml:space="preserve">4) wskazano warunki naturalne, które uniemożliwiają lub opóźniają osiągnięcie celów </w:t>
            </w:r>
            <w:r w:rsidRPr="0028666F">
              <w:rPr>
                <w:rFonts w:ascii="Calibri" w:eastAsia="Times New Roman" w:hAnsi="Calibri" w:cs="Calibri"/>
                <w:color w:val="000000"/>
                <w:sz w:val="18"/>
                <w:szCs w:val="18"/>
                <w:lang w:eastAsia="pl-PL"/>
              </w:rPr>
              <w:br/>
              <w:t xml:space="preserve">środowiskowych, </w:t>
            </w:r>
            <w:r w:rsidRPr="0028666F">
              <w:rPr>
                <w:rFonts w:ascii="Calibri" w:eastAsia="Times New Roman" w:hAnsi="Calibri" w:cs="Calibri"/>
                <w:color w:val="000000"/>
                <w:sz w:val="18"/>
                <w:szCs w:val="18"/>
                <w:lang w:eastAsia="pl-PL"/>
              </w:rPr>
              <w:br/>
              <w:t xml:space="preserve">5) wskazano ważne potrzeby społeczno - gospodarcze, które (według projektów IIaPGW) </w:t>
            </w:r>
            <w:r w:rsidRPr="0028666F">
              <w:rPr>
                <w:rFonts w:ascii="Calibri" w:eastAsia="Times New Roman" w:hAnsi="Calibri" w:cs="Calibri"/>
                <w:color w:val="000000"/>
                <w:sz w:val="18"/>
                <w:szCs w:val="18"/>
                <w:lang w:eastAsia="pl-PL"/>
              </w:rPr>
              <w:br/>
              <w:t xml:space="preserve">nie mogą być zaspokojone w inny alternatywny sposób.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Nie można jednak odnaleźć w projektach IIaPGW dowodu na przeprowadzenie analizy </w:t>
            </w:r>
            <w:r w:rsidRPr="0028666F">
              <w:rPr>
                <w:rFonts w:ascii="Calibri" w:eastAsia="Times New Roman" w:hAnsi="Calibri" w:cs="Calibri"/>
                <w:color w:val="000000"/>
                <w:sz w:val="18"/>
                <w:szCs w:val="18"/>
                <w:lang w:eastAsia="pl-PL"/>
              </w:rPr>
              <w:br/>
              <w:t xml:space="preserve">wariantowej zestawów działań. Zestawy działań zostały poddane analizie kosztowej </w:t>
            </w:r>
            <w:r w:rsidRPr="0028666F">
              <w:rPr>
                <w:rFonts w:ascii="Calibri" w:eastAsia="Times New Roman" w:hAnsi="Calibri" w:cs="Calibri"/>
                <w:color w:val="000000"/>
                <w:sz w:val="18"/>
                <w:szCs w:val="18"/>
                <w:lang w:eastAsia="pl-PL"/>
              </w:rPr>
              <w:br/>
              <w:t xml:space="preserve">i prognozie skuteczności – jednak nie ma dowodów na to, że nie ma możliwości </w:t>
            </w:r>
            <w:r w:rsidRPr="0028666F">
              <w:rPr>
                <w:rFonts w:ascii="Calibri" w:eastAsia="Times New Roman" w:hAnsi="Calibri" w:cs="Calibri"/>
                <w:color w:val="000000"/>
                <w:sz w:val="18"/>
                <w:szCs w:val="18"/>
                <w:lang w:eastAsia="pl-PL"/>
              </w:rPr>
              <w:br/>
              <w:t xml:space="preserve">przeprowadzenia bardziej rozbudowanych (bardziej ambitnych) zestawów działań, </w:t>
            </w:r>
            <w:r w:rsidRPr="0028666F">
              <w:rPr>
                <w:rFonts w:ascii="Calibri" w:eastAsia="Times New Roman" w:hAnsi="Calibri" w:cs="Calibri"/>
                <w:color w:val="000000"/>
                <w:sz w:val="18"/>
                <w:szCs w:val="18"/>
                <w:lang w:eastAsia="pl-PL"/>
              </w:rPr>
              <w:br/>
              <w:t xml:space="preserve">które byłyby racjonalne ekonomicznie, wykonalne pod względem technicznym. Istnieje </w:t>
            </w:r>
            <w:r w:rsidRPr="0028666F">
              <w:rPr>
                <w:rFonts w:ascii="Calibri" w:eastAsia="Times New Roman" w:hAnsi="Calibri" w:cs="Calibri"/>
                <w:color w:val="000000"/>
                <w:sz w:val="18"/>
                <w:szCs w:val="18"/>
                <w:lang w:eastAsia="pl-PL"/>
              </w:rPr>
              <w:br/>
              <w:t xml:space="preserve">prawdopodobieństwo, że takie ambitniejsze zestawy działań zapewniłyby większą </w:t>
            </w:r>
            <w:r w:rsidRPr="0028666F">
              <w:rPr>
                <w:rFonts w:ascii="Calibri" w:eastAsia="Times New Roman" w:hAnsi="Calibri" w:cs="Calibri"/>
                <w:color w:val="000000"/>
                <w:sz w:val="18"/>
                <w:szCs w:val="18"/>
                <w:lang w:eastAsia="pl-PL"/>
              </w:rPr>
              <w:br/>
              <w:t xml:space="preserve">skuteczność IIaPGW pod względem możliwości osiągnięcia celów środowiskowych. Brak </w:t>
            </w:r>
            <w:r w:rsidRPr="0028666F">
              <w:rPr>
                <w:rFonts w:ascii="Calibri" w:eastAsia="Times New Roman" w:hAnsi="Calibri" w:cs="Calibri"/>
                <w:color w:val="000000"/>
                <w:sz w:val="18"/>
                <w:szCs w:val="18"/>
                <w:lang w:eastAsia="pl-PL"/>
              </w:rPr>
              <w:br/>
              <w:t xml:space="preserve">dowodów na to, że zestawy działań są najlepszą możliwą opcją (przy zachowaniu </w:t>
            </w:r>
            <w:r w:rsidRPr="0028666F">
              <w:rPr>
                <w:rFonts w:ascii="Calibri" w:eastAsia="Times New Roman" w:hAnsi="Calibri" w:cs="Calibri"/>
                <w:color w:val="000000"/>
                <w:sz w:val="18"/>
                <w:szCs w:val="18"/>
                <w:lang w:eastAsia="pl-PL"/>
              </w:rPr>
              <w:br/>
              <w:t xml:space="preserve">racjonalności ekonomicznej i wykonalności technicznej) oznacza, że </w:t>
            </w:r>
            <w:r w:rsidRPr="0028666F">
              <w:rPr>
                <w:rFonts w:ascii="Calibri" w:eastAsia="Times New Roman" w:hAnsi="Calibri" w:cs="Calibri"/>
                <w:color w:val="000000"/>
                <w:sz w:val="18"/>
                <w:szCs w:val="18"/>
                <w:lang w:eastAsia="pl-PL"/>
              </w:rPr>
              <w:lastRenderedPageBreak/>
              <w:t xml:space="preserve">nie jest spełniona </w:t>
            </w:r>
            <w:r w:rsidRPr="0028666F">
              <w:rPr>
                <w:rFonts w:ascii="Calibri" w:eastAsia="Times New Roman" w:hAnsi="Calibri" w:cs="Calibri"/>
                <w:color w:val="000000"/>
                <w:sz w:val="18"/>
                <w:szCs w:val="18"/>
                <w:lang w:eastAsia="pl-PL"/>
              </w:rPr>
              <w:br/>
              <w:t xml:space="preserve">przesłanka dopuszczająca zastosowanie odstępstw polegająca na osiągnięciu możliwie </w:t>
            </w:r>
            <w:r w:rsidRPr="0028666F">
              <w:rPr>
                <w:rFonts w:ascii="Calibri" w:eastAsia="Times New Roman" w:hAnsi="Calibri" w:cs="Calibri"/>
                <w:color w:val="000000"/>
                <w:sz w:val="18"/>
                <w:szCs w:val="18"/>
                <w:lang w:eastAsia="pl-PL"/>
              </w:rPr>
              <w:br/>
              <w:t xml:space="preserve">najlepszego stanu wód – który jest jedną z kluczowych przesłanek warunkujących </w:t>
            </w:r>
            <w:r w:rsidRPr="0028666F">
              <w:rPr>
                <w:rFonts w:ascii="Calibri" w:eastAsia="Times New Roman" w:hAnsi="Calibri" w:cs="Calibri"/>
                <w:color w:val="000000"/>
                <w:sz w:val="18"/>
                <w:szCs w:val="18"/>
                <w:lang w:eastAsia="pl-PL"/>
              </w:rPr>
              <w:br/>
              <w:t xml:space="preserve">możliwość zastosowania odstępstw od osiągnięcia celów środowiskowych - zob. art. 4 </w:t>
            </w:r>
            <w:r w:rsidRPr="0028666F">
              <w:rPr>
                <w:rFonts w:ascii="Calibri" w:eastAsia="Times New Roman" w:hAnsi="Calibri" w:cs="Calibri"/>
                <w:color w:val="000000"/>
                <w:sz w:val="18"/>
                <w:szCs w:val="18"/>
                <w:lang w:eastAsia="pl-PL"/>
              </w:rPr>
              <w:br/>
              <w:t xml:space="preserve">ust. 4 lit. a („Państwa Członkowskie ustalają, że wszystkie niezbędne poprawy stanu </w:t>
            </w:r>
            <w:r w:rsidRPr="0028666F">
              <w:rPr>
                <w:rFonts w:ascii="Calibri" w:eastAsia="Times New Roman" w:hAnsi="Calibri" w:cs="Calibri"/>
                <w:color w:val="000000"/>
                <w:sz w:val="18"/>
                <w:szCs w:val="18"/>
                <w:lang w:eastAsia="pl-PL"/>
              </w:rPr>
              <w:br/>
              <w:t xml:space="preserve">części wód…”) oraz lit. d („Podsumowanie środków wymaganych na mocy art. 11, które </w:t>
            </w:r>
            <w:r w:rsidRPr="0028666F">
              <w:rPr>
                <w:rFonts w:ascii="Calibri" w:eastAsia="Times New Roman" w:hAnsi="Calibri" w:cs="Calibri"/>
                <w:color w:val="000000"/>
                <w:sz w:val="18"/>
                <w:szCs w:val="18"/>
                <w:lang w:eastAsia="pl-PL"/>
              </w:rPr>
              <w:br/>
              <w:t xml:space="preserve">są przewidywane jako konieczne do spowodowania, żeby część wód przywracana była </w:t>
            </w:r>
            <w:r w:rsidRPr="0028666F">
              <w:rPr>
                <w:rFonts w:ascii="Calibri" w:eastAsia="Times New Roman" w:hAnsi="Calibri" w:cs="Calibri"/>
                <w:color w:val="000000"/>
                <w:sz w:val="18"/>
                <w:szCs w:val="18"/>
                <w:lang w:eastAsia="pl-PL"/>
              </w:rPr>
              <w:br/>
              <w:t xml:space="preserve">stopniowo do wymaganego stanu w przedłużonym terminie”), a także art. 4 ust. 5 lit. b </w:t>
            </w:r>
            <w:r w:rsidRPr="0028666F">
              <w:rPr>
                <w:rFonts w:ascii="Calibri" w:eastAsia="Times New Roman" w:hAnsi="Calibri" w:cs="Calibri"/>
                <w:color w:val="000000"/>
                <w:sz w:val="18"/>
                <w:szCs w:val="18"/>
                <w:lang w:eastAsia="pl-PL"/>
              </w:rPr>
              <w:br/>
              <w:t xml:space="preserve">Ramowej Dyrektywy Wodnej. </w:t>
            </w:r>
            <w:r w:rsidRPr="0028666F">
              <w:rPr>
                <w:rFonts w:ascii="Calibri" w:eastAsia="Times New Roman" w:hAnsi="Calibri" w:cs="Calibri"/>
                <w:color w:val="000000"/>
                <w:sz w:val="18"/>
                <w:szCs w:val="18"/>
                <w:lang w:eastAsia="pl-PL"/>
              </w:rPr>
              <w:br/>
              <w:t xml:space="preserve">2. Zestawy działań nie stosują zasady „zanieczyszczający płaci”. W sposób uderzający widać to na przykładzie działań ukierunkowanych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znajdujących się pod </w:t>
            </w:r>
            <w:r w:rsidRPr="0028666F">
              <w:rPr>
                <w:rFonts w:ascii="Calibri" w:eastAsia="Times New Roman" w:hAnsi="Calibri" w:cs="Calibri"/>
                <w:color w:val="000000"/>
                <w:sz w:val="18"/>
                <w:szCs w:val="18"/>
                <w:lang w:eastAsia="pl-PL"/>
              </w:rPr>
              <w:br/>
              <w:t xml:space="preserve">wpływem presji odwodnieniowej z górnictwa. W zestawach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żadnych </w:t>
            </w:r>
            <w:r w:rsidRPr="0028666F">
              <w:rPr>
                <w:rFonts w:ascii="Calibri" w:eastAsia="Times New Roman" w:hAnsi="Calibri" w:cs="Calibri"/>
                <w:color w:val="000000"/>
                <w:sz w:val="18"/>
                <w:szCs w:val="18"/>
                <w:lang w:eastAsia="pl-PL"/>
              </w:rPr>
              <w:br/>
              <w:t xml:space="preserve">działań nie przypisuje się podmiotom prowadzącym działalność wydobywczą. Natomiast </w:t>
            </w:r>
            <w:r w:rsidRPr="0028666F">
              <w:rPr>
                <w:rFonts w:ascii="Calibri" w:eastAsia="Times New Roman" w:hAnsi="Calibri" w:cs="Calibri"/>
                <w:color w:val="000000"/>
                <w:sz w:val="18"/>
                <w:szCs w:val="18"/>
                <w:lang w:eastAsia="pl-PL"/>
              </w:rPr>
              <w:br/>
              <w:t xml:space="preserve">w przypadku wód podziemnych, na przykładzie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nr 105 sytuacja wygląda </w:t>
            </w:r>
            <w:r w:rsidRPr="0028666F">
              <w:rPr>
                <w:rFonts w:ascii="Calibri" w:eastAsia="Times New Roman" w:hAnsi="Calibri" w:cs="Calibri"/>
                <w:color w:val="000000"/>
                <w:sz w:val="18"/>
                <w:szCs w:val="18"/>
                <w:lang w:eastAsia="pl-PL"/>
              </w:rPr>
              <w:br/>
              <w:t xml:space="preserve">następująco: za zły stan wód odpowiada KWB Turów, natomiast podmiotowi </w:t>
            </w:r>
            <w:r w:rsidRPr="0028666F">
              <w:rPr>
                <w:rFonts w:ascii="Calibri" w:eastAsia="Times New Roman" w:hAnsi="Calibri" w:cs="Calibri"/>
                <w:color w:val="000000"/>
                <w:sz w:val="18"/>
                <w:szCs w:val="18"/>
                <w:lang w:eastAsia="pl-PL"/>
              </w:rPr>
              <w:br/>
              <w:t xml:space="preserve">prowadzącemu działalność gospodarczą (górniczą) przypisano jedynie działania pn.: </w:t>
            </w:r>
            <w:r w:rsidRPr="0028666F">
              <w:rPr>
                <w:rFonts w:ascii="Calibri" w:eastAsia="Times New Roman" w:hAnsi="Calibri" w:cs="Calibri"/>
                <w:color w:val="000000"/>
                <w:sz w:val="18"/>
                <w:szCs w:val="18"/>
                <w:lang w:eastAsia="pl-PL"/>
              </w:rPr>
              <w:br/>
              <w:t xml:space="preserve">a) „ograniczenie zużycia wody w przemyśle” (o wartości 0,00 zł - co jednak </w:t>
            </w:r>
            <w:r w:rsidRPr="0028666F">
              <w:rPr>
                <w:rFonts w:ascii="Calibri" w:eastAsia="Times New Roman" w:hAnsi="Calibri" w:cs="Calibri"/>
                <w:color w:val="000000"/>
                <w:sz w:val="18"/>
                <w:szCs w:val="18"/>
                <w:lang w:eastAsia="pl-PL"/>
              </w:rPr>
              <w:br/>
              <w:t xml:space="preserve">najprawdopodobniej należy odczytać jako brak możliwości ustalenia kosztów – ale i </w:t>
            </w:r>
            <w:r w:rsidRPr="0028666F">
              <w:rPr>
                <w:rFonts w:ascii="Calibri" w:eastAsia="Times New Roman" w:hAnsi="Calibri" w:cs="Calibri"/>
                <w:color w:val="000000"/>
                <w:sz w:val="18"/>
                <w:szCs w:val="18"/>
                <w:lang w:eastAsia="pl-PL"/>
              </w:rPr>
              <w:br/>
              <w:t xml:space="preserve">brak przypisania skonkretyzowanych działań o mierzalnym rezultacie), </w:t>
            </w:r>
            <w:r w:rsidRPr="0028666F">
              <w:rPr>
                <w:rFonts w:ascii="Calibri" w:eastAsia="Times New Roman" w:hAnsi="Calibri" w:cs="Calibri"/>
                <w:color w:val="000000"/>
                <w:sz w:val="18"/>
                <w:szCs w:val="18"/>
                <w:lang w:eastAsia="pl-PL"/>
              </w:rPr>
              <w:br/>
              <w:t xml:space="preserve">b) „opracowanie programu monitorowania stanu wód podziemnych w rejonie </w:t>
            </w:r>
            <w:r w:rsidRPr="0028666F">
              <w:rPr>
                <w:rFonts w:ascii="Calibri" w:eastAsia="Times New Roman" w:hAnsi="Calibri" w:cs="Calibri"/>
                <w:color w:val="000000"/>
                <w:sz w:val="18"/>
                <w:szCs w:val="18"/>
                <w:lang w:eastAsia="pl-PL"/>
              </w:rPr>
              <w:br/>
              <w:t xml:space="preserve">prowadzonej działalności górniczej” (o wartości 200 000 zł), -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nr </w:t>
            </w:r>
            <w:r w:rsidRPr="0028666F">
              <w:rPr>
                <w:rFonts w:ascii="Calibri" w:eastAsia="Times New Roman" w:hAnsi="Calibri" w:cs="Calibri"/>
                <w:color w:val="000000"/>
                <w:sz w:val="18"/>
                <w:szCs w:val="18"/>
                <w:lang w:eastAsia="pl-PL"/>
              </w:rPr>
              <w:lastRenderedPageBreak/>
              <w:t xml:space="preserve">146 i 157 nie </w:t>
            </w:r>
            <w:r w:rsidRPr="0028666F">
              <w:rPr>
                <w:rFonts w:ascii="Calibri" w:eastAsia="Times New Roman" w:hAnsi="Calibri" w:cs="Calibri"/>
                <w:color w:val="000000"/>
                <w:sz w:val="18"/>
                <w:szCs w:val="18"/>
                <w:lang w:eastAsia="pl-PL"/>
              </w:rPr>
              <w:br/>
              <w:t xml:space="preserve">ma już nawet takiego działania, </w:t>
            </w:r>
            <w:r w:rsidRPr="0028666F">
              <w:rPr>
                <w:rFonts w:ascii="Calibri" w:eastAsia="Times New Roman" w:hAnsi="Calibri" w:cs="Calibri"/>
                <w:color w:val="000000"/>
                <w:sz w:val="18"/>
                <w:szCs w:val="18"/>
                <w:lang w:eastAsia="pl-PL"/>
              </w:rPr>
              <w:br/>
              <w:t xml:space="preserve">c) „opracowanie dodatku do dokumentacji hydrogeologicznej ustalającej zasoby </w:t>
            </w:r>
            <w:r w:rsidRPr="0028666F">
              <w:rPr>
                <w:rFonts w:ascii="Calibri" w:eastAsia="Times New Roman" w:hAnsi="Calibri" w:cs="Calibri"/>
                <w:color w:val="000000"/>
                <w:sz w:val="18"/>
                <w:szCs w:val="18"/>
                <w:lang w:eastAsia="pl-PL"/>
              </w:rPr>
              <w:br/>
              <w:t xml:space="preserve">eksploatacyjne ujęcia wód podziemnych” (o wartości 10 000 zł).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Intencją wyróżnienia ww. sytuacji nie jest postulat rezygnacji z działań przypisanych </w:t>
            </w:r>
            <w:r w:rsidRPr="0028666F">
              <w:rPr>
                <w:rFonts w:ascii="Calibri" w:eastAsia="Times New Roman" w:hAnsi="Calibri" w:cs="Calibri"/>
                <w:color w:val="000000"/>
                <w:sz w:val="18"/>
                <w:szCs w:val="18"/>
                <w:lang w:eastAsia="pl-PL"/>
              </w:rPr>
              <w:br/>
              <w:t xml:space="preserve">innym podmiotom, lecz zwrócenie uwagi na to, że podmiot prowadzący działalność </w:t>
            </w:r>
            <w:r w:rsidRPr="0028666F">
              <w:rPr>
                <w:rFonts w:ascii="Calibri" w:eastAsia="Times New Roman" w:hAnsi="Calibri" w:cs="Calibri"/>
                <w:color w:val="000000"/>
                <w:sz w:val="18"/>
                <w:szCs w:val="18"/>
                <w:lang w:eastAsia="pl-PL"/>
              </w:rPr>
              <w:br/>
              <w:t xml:space="preserve">determinujący stan wód ma do poniesienia niewielkie koszty związane z nieprecyzyjnymi </w:t>
            </w:r>
            <w:r w:rsidRPr="0028666F">
              <w:rPr>
                <w:rFonts w:ascii="Calibri" w:eastAsia="Times New Roman" w:hAnsi="Calibri" w:cs="Calibri"/>
                <w:color w:val="000000"/>
                <w:sz w:val="18"/>
                <w:szCs w:val="18"/>
                <w:lang w:eastAsia="pl-PL"/>
              </w:rPr>
              <w:br/>
              <w:t xml:space="preserve">i nieweryfikowalnymi działaniami („ograniczenie zużycia wody w przemyśle” w </w:t>
            </w:r>
            <w:r w:rsidRPr="0028666F">
              <w:rPr>
                <w:rFonts w:ascii="Calibri" w:eastAsia="Times New Roman" w:hAnsi="Calibri" w:cs="Calibri"/>
                <w:color w:val="000000"/>
                <w:sz w:val="18"/>
                <w:szCs w:val="18"/>
                <w:lang w:eastAsia="pl-PL"/>
              </w:rPr>
              <w:br/>
              <w:t xml:space="preserve">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żadnych działań i kosztów w 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Powstaje </w:t>
            </w:r>
            <w:r w:rsidRPr="0028666F">
              <w:rPr>
                <w:rFonts w:ascii="Calibri" w:eastAsia="Times New Roman" w:hAnsi="Calibri" w:cs="Calibri"/>
                <w:color w:val="000000"/>
                <w:sz w:val="18"/>
                <w:szCs w:val="18"/>
                <w:lang w:eastAsia="pl-PL"/>
              </w:rPr>
              <w:br/>
              <w:t xml:space="preserve">retoryczne pytanie: czy tak określony katalog działań mających być zrealizowanych przez </w:t>
            </w:r>
            <w:r w:rsidRPr="0028666F">
              <w:rPr>
                <w:rFonts w:ascii="Calibri" w:eastAsia="Times New Roman" w:hAnsi="Calibri" w:cs="Calibri"/>
                <w:color w:val="000000"/>
                <w:sz w:val="18"/>
                <w:szCs w:val="18"/>
                <w:lang w:eastAsia="pl-PL"/>
              </w:rPr>
              <w:br/>
              <w:t xml:space="preserve">ten podmiot jest wystarczające dla osiągnięcia możliwie najlepszego stanu wód i czy jest </w:t>
            </w:r>
            <w:r w:rsidRPr="0028666F">
              <w:rPr>
                <w:rFonts w:ascii="Calibri" w:eastAsia="Times New Roman" w:hAnsi="Calibri" w:cs="Calibri"/>
                <w:color w:val="000000"/>
                <w:sz w:val="18"/>
                <w:szCs w:val="18"/>
                <w:lang w:eastAsia="pl-PL"/>
              </w:rPr>
              <w:br/>
              <w:t xml:space="preserve">odzwierciedleniem zasady „zanieczyszczający płaci”?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Zasada „zanieczyszczający płaci” jest jednym z fundamentów krajowych i unijnych zasad </w:t>
            </w:r>
            <w:r w:rsidRPr="0028666F">
              <w:rPr>
                <w:rFonts w:ascii="Calibri" w:eastAsia="Times New Roman" w:hAnsi="Calibri" w:cs="Calibri"/>
                <w:color w:val="000000"/>
                <w:sz w:val="18"/>
                <w:szCs w:val="18"/>
                <w:lang w:eastAsia="pl-PL"/>
              </w:rPr>
              <w:br/>
              <w:t xml:space="preserve">ochrony środowiska, wynika z art. 191 ust. 2 Traktatu o funkcjonowaniu Unii Europejskiej </w:t>
            </w:r>
            <w:r w:rsidRPr="0028666F">
              <w:rPr>
                <w:rFonts w:ascii="Calibri" w:eastAsia="Times New Roman" w:hAnsi="Calibri" w:cs="Calibri"/>
                <w:color w:val="000000"/>
                <w:sz w:val="18"/>
                <w:szCs w:val="18"/>
                <w:lang w:eastAsia="pl-PL"/>
              </w:rPr>
              <w:br/>
              <w:t xml:space="preserve">oraz art. 7 ustawy z dnia 27 kwietnia 2001 r. - Prawo ochrony środowiska. Jest ona </w:t>
            </w:r>
            <w:r w:rsidRPr="0028666F">
              <w:rPr>
                <w:rFonts w:ascii="Calibri" w:eastAsia="Times New Roman" w:hAnsi="Calibri" w:cs="Calibri"/>
                <w:color w:val="000000"/>
                <w:sz w:val="18"/>
                <w:szCs w:val="18"/>
                <w:lang w:eastAsia="pl-PL"/>
              </w:rPr>
              <w:br/>
              <w:t xml:space="preserve">odzwierciedlona również w art. 9 Ramowej Dyrektywy Wodnej.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Europejski Trybunał Obrachunkowy w Sprawozdaniu Specjalnym nr 12/2021 pn. </w:t>
            </w:r>
            <w:r w:rsidRPr="0028666F">
              <w:rPr>
                <w:rFonts w:ascii="Calibri" w:eastAsia="Times New Roman" w:hAnsi="Calibri" w:cs="Calibri"/>
                <w:color w:val="000000"/>
                <w:sz w:val="18"/>
                <w:szCs w:val="18"/>
                <w:lang w:eastAsia="pl-PL"/>
              </w:rPr>
              <w:br/>
              <w:t xml:space="preserve">„»Zanieczyszczający płaci«” – niespójne stosowanie zasady w polityce i działaniach UE w </w:t>
            </w:r>
            <w:r w:rsidRPr="0028666F">
              <w:rPr>
                <w:rFonts w:ascii="Calibri" w:eastAsia="Times New Roman" w:hAnsi="Calibri" w:cs="Calibri"/>
                <w:color w:val="000000"/>
                <w:sz w:val="18"/>
                <w:szCs w:val="18"/>
                <w:lang w:eastAsia="pl-PL"/>
              </w:rPr>
              <w:br/>
              <w:t xml:space="preserve">dziedzinie środowiska” zwrócił uwagę na to, że w wielu krajach członkowskich Unii </w:t>
            </w:r>
            <w:r w:rsidRPr="0028666F">
              <w:rPr>
                <w:rFonts w:ascii="Calibri" w:eastAsia="Times New Roman" w:hAnsi="Calibri" w:cs="Calibri"/>
                <w:color w:val="000000"/>
                <w:sz w:val="18"/>
                <w:szCs w:val="18"/>
                <w:lang w:eastAsia="pl-PL"/>
              </w:rPr>
              <w:br/>
              <w:t xml:space="preserve">Europejskiej, w tym w Polsce, w przypadku niektórych gałęzi przemysłu odprowadzane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przez nie opłaty za wodę nie pokrywają kosztów wiążących się z zanieczyszczeniami </w:t>
            </w:r>
            <w:r w:rsidRPr="0028666F">
              <w:rPr>
                <w:rFonts w:ascii="Calibri" w:eastAsia="Times New Roman" w:hAnsi="Calibri" w:cs="Calibri"/>
                <w:color w:val="000000"/>
                <w:sz w:val="18"/>
                <w:szCs w:val="18"/>
                <w:lang w:eastAsia="pl-PL"/>
              </w:rPr>
              <w:br/>
              <w:t xml:space="preserve">odprowadzanymi do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Przypomnieć również należy, że w pracy wykonanej w 2019 r. na zlecenie Krajowego </w:t>
            </w:r>
            <w:r w:rsidRPr="0028666F">
              <w:rPr>
                <w:rFonts w:ascii="Calibri" w:eastAsia="Times New Roman" w:hAnsi="Calibri" w:cs="Calibri"/>
                <w:color w:val="000000"/>
                <w:sz w:val="18"/>
                <w:szCs w:val="18"/>
                <w:lang w:eastAsia="pl-PL"/>
              </w:rPr>
              <w:br/>
              <w:t xml:space="preserve">Zarządu Gospodarki Wodnej pn. „Analiza zwrotu kosztów za usługi wodne wraz z </w:t>
            </w:r>
            <w:r w:rsidRPr="0028666F">
              <w:rPr>
                <w:rFonts w:ascii="Calibri" w:eastAsia="Times New Roman" w:hAnsi="Calibri" w:cs="Calibri"/>
                <w:color w:val="000000"/>
                <w:sz w:val="18"/>
                <w:szCs w:val="18"/>
                <w:lang w:eastAsia="pl-PL"/>
              </w:rPr>
              <w:br/>
              <w:t xml:space="preserve">prognozą rozwoju oraz analiza zwrotu kosztów środowiskowych i zasobowych w </w:t>
            </w:r>
            <w:r w:rsidRPr="0028666F">
              <w:rPr>
                <w:rFonts w:ascii="Calibri" w:eastAsia="Times New Roman" w:hAnsi="Calibri" w:cs="Calibri"/>
                <w:color w:val="000000"/>
                <w:sz w:val="18"/>
                <w:szCs w:val="18"/>
                <w:lang w:eastAsia="pl-PL"/>
              </w:rPr>
              <w:br/>
              <w:t xml:space="preserve">regionach wodnych i na obszarach dorzeczy” zapisano, że w Polsce nie ma „bodźcowego </w:t>
            </w:r>
            <w:r w:rsidRPr="0028666F">
              <w:rPr>
                <w:rFonts w:ascii="Calibri" w:eastAsia="Times New Roman" w:hAnsi="Calibri" w:cs="Calibri"/>
                <w:color w:val="000000"/>
                <w:sz w:val="18"/>
                <w:szCs w:val="18"/>
                <w:lang w:eastAsia="pl-PL"/>
              </w:rPr>
              <w:br/>
              <w:t xml:space="preserve">mechanizmu opłat za pobór czy zrzut ładunków zanieczyszczeń”, a system opłat za </w:t>
            </w:r>
            <w:r w:rsidRPr="0028666F">
              <w:rPr>
                <w:rFonts w:ascii="Calibri" w:eastAsia="Times New Roman" w:hAnsi="Calibri" w:cs="Calibri"/>
                <w:color w:val="000000"/>
                <w:sz w:val="18"/>
                <w:szCs w:val="18"/>
                <w:lang w:eastAsia="pl-PL"/>
              </w:rPr>
              <w:br/>
              <w:t xml:space="preserve">korzystanie z usług wodnych nie miał i nie ma „charakteru opłacalnej alternatywy wobec </w:t>
            </w:r>
            <w:r w:rsidRPr="0028666F">
              <w:rPr>
                <w:rFonts w:ascii="Calibri" w:eastAsia="Times New Roman" w:hAnsi="Calibri" w:cs="Calibri"/>
                <w:color w:val="000000"/>
                <w:sz w:val="18"/>
                <w:szCs w:val="18"/>
                <w:lang w:eastAsia="pl-PL"/>
              </w:rPr>
              <w:br/>
              <w:t xml:space="preserve">oszczędzania wody czy też oczyszczania ścieków”. Tu trzeba przypomnieć, że art. 268 ust. 2 ustawy z dnia 20 lipca 2017 r. - Prawo wodne wyłącza górnictwo węgla kamiennego i brunatnego z opłat za pobór odwodnieniowy kopalń, a art. 279 zwalnia je z opłat za zrzucanie do wód ścieków o średnim ładunku zasolenia (tj. gdy wartość sumy chlorków i </w:t>
            </w:r>
            <w:r w:rsidRPr="0028666F">
              <w:rPr>
                <w:rFonts w:ascii="Calibri" w:eastAsia="Times New Roman" w:hAnsi="Calibri" w:cs="Calibri"/>
                <w:color w:val="000000"/>
                <w:sz w:val="18"/>
                <w:szCs w:val="18"/>
                <w:lang w:eastAsia="pl-PL"/>
              </w:rPr>
              <w:br/>
              <w:t xml:space="preserve">siarczanów w ściekach nie przekracza 500 mg/l). </w:t>
            </w:r>
            <w:r w:rsidRPr="0028666F">
              <w:rPr>
                <w:rFonts w:ascii="Calibri" w:eastAsia="Times New Roman" w:hAnsi="Calibri" w:cs="Calibri"/>
                <w:color w:val="000000"/>
                <w:sz w:val="18"/>
                <w:szCs w:val="18"/>
                <w:lang w:eastAsia="pl-PL"/>
              </w:rPr>
              <w:br/>
              <w:t xml:space="preserve">3. Skoro nie jest znany (lub choćby oszacowany)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Dopływ z wyrobiska Turoszów RW600000174156, to skąd można mieć pewność, że działania wynikające z IIaPGW dla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są adekwatne? Zwłaszcza że z wysokim stopniem pewności można założyć problemy z osiągnięciem celów środowiskowych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bowiem znajduje się ona pod silnym wpływem presji KWB Turów. </w:t>
            </w:r>
            <w:r w:rsidRPr="0028666F">
              <w:rPr>
                <w:rFonts w:ascii="Calibri" w:eastAsia="Times New Roman" w:hAnsi="Calibri" w:cs="Calibri"/>
                <w:color w:val="000000"/>
                <w:sz w:val="18"/>
                <w:szCs w:val="18"/>
                <w:lang w:eastAsia="pl-PL"/>
              </w:rPr>
              <w:br/>
              <w:t xml:space="preserve">4. W niektórych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stwierdza się zły stan wód ze względu na zasolenia (wyrażające się we wskaźniku przewodności), które często należy wiązać ze zrzutem wód kopalnianych </w:t>
            </w:r>
            <w:r w:rsidRPr="0028666F">
              <w:rPr>
                <w:rFonts w:ascii="Calibri" w:eastAsia="Times New Roman" w:hAnsi="Calibri" w:cs="Calibri"/>
                <w:color w:val="000000"/>
                <w:sz w:val="18"/>
                <w:szCs w:val="18"/>
                <w:lang w:eastAsia="pl-PL"/>
              </w:rPr>
              <w:br/>
              <w:t xml:space="preserve">(z systemów odwadniania) lub ze zrzutem wód chłodniczych z elektrowni, ustanawia się </w:t>
            </w:r>
            <w:r w:rsidRPr="0028666F">
              <w:rPr>
                <w:rFonts w:ascii="Calibri" w:eastAsia="Times New Roman" w:hAnsi="Calibri" w:cs="Calibri"/>
                <w:color w:val="000000"/>
                <w:sz w:val="18"/>
                <w:szCs w:val="18"/>
                <w:lang w:eastAsia="pl-PL"/>
              </w:rPr>
              <w:br/>
              <w:t xml:space="preserve">odstępstwo dla tych wskaźników – a </w:t>
            </w:r>
            <w:r w:rsidRPr="0028666F">
              <w:rPr>
                <w:rFonts w:ascii="Calibri" w:eastAsia="Times New Roman" w:hAnsi="Calibri" w:cs="Calibri"/>
                <w:color w:val="000000"/>
                <w:sz w:val="18"/>
                <w:szCs w:val="18"/>
                <w:lang w:eastAsia="pl-PL"/>
              </w:rPr>
              <w:lastRenderedPageBreak/>
              <w:t xml:space="preserve">nie ustanawia się żadnych działań ukierunkowanych </w:t>
            </w:r>
            <w:r w:rsidRPr="0028666F">
              <w:rPr>
                <w:rFonts w:ascii="Calibri" w:eastAsia="Times New Roman" w:hAnsi="Calibri" w:cs="Calibri"/>
                <w:color w:val="000000"/>
                <w:sz w:val="18"/>
                <w:szCs w:val="18"/>
                <w:lang w:eastAsia="pl-PL"/>
              </w:rPr>
              <w:br/>
              <w:t xml:space="preserve">na wszystkie wskaźniki o wartościach determinujących zły stan wód. Przykładem tego jest np. Nysa Łużycka od Miedzianki do Pliessnitz RW60000517431. </w:t>
            </w:r>
            <w:r w:rsidRPr="0028666F">
              <w:rPr>
                <w:rFonts w:ascii="Calibri" w:eastAsia="Times New Roman" w:hAnsi="Calibri" w:cs="Calibri"/>
                <w:color w:val="000000"/>
                <w:sz w:val="18"/>
                <w:szCs w:val="18"/>
                <w:lang w:eastAsia="pl-PL"/>
              </w:rPr>
              <w:br/>
              <w:t xml:space="preserve">5. Zestawienie dwóch powyższych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pokazuje pewien paradoks: nie zbadano zasolenia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RW600000174156, a w odniesieniu do RW60000517431 wskazano, że przyczyną nadmiernego zasolenia jest m.in. dopływ z RW600000174156. Towarzyszy temu brak jakichkolwiek działań ukierunkowanych na zmniejszenie ładunku zasolenia. W ślad za powyższym uprawnione jest twierdzenie, że ustanowienie odstępstwa dla wskaźnika charakteryzującego zasolenie (przewodność) jest zdecydowanie nieuprawnione, bowiem zestawy działań nie dają podstawy do przyjęcia, że zrobiono wszystko co możliwe by osiągnąć możliwie najlepszy stan wód przy zachowaniu istniejącej presji zaspokajającej potrzeby społeczno-gospodarcze.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5C8B14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5EB041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AD8B81A" w14:textId="787E75D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przedstawia uzasadnienia odstępstw od celów środowiskowych.</w:t>
            </w:r>
            <w:r w:rsidRPr="0028666F">
              <w:rPr>
                <w:rFonts w:ascii="Calibri" w:eastAsia="Times New Roman" w:hAnsi="Calibri" w:cs="Calibri"/>
                <w:color w:val="000000"/>
                <w:sz w:val="18"/>
                <w:szCs w:val="18"/>
                <w:lang w:eastAsia="pl-PL"/>
              </w:rPr>
              <w:br/>
              <w:t>Odstępstwem od celów środowiskowych RDW jest sytuacja, w której cel środowiskowy nie został osiągnięty; taka sytuacja wymaga odpowiedniego uzasadnienia i wyjaśnienia oraz podjęcia adekwatnej reakcji (podjęcia działań naprawczych).</w:t>
            </w:r>
            <w:r w:rsidRPr="0028666F">
              <w:rPr>
                <w:rFonts w:ascii="Calibri" w:eastAsia="Times New Roman" w:hAnsi="Calibri" w:cs="Calibri"/>
                <w:color w:val="000000"/>
                <w:sz w:val="18"/>
                <w:szCs w:val="18"/>
                <w:lang w:eastAsia="pl-PL"/>
              </w:rPr>
              <w:br/>
              <w:t xml:space="preserve">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Kryteria wykonalności technicznej i racjonalności kosztów są przedmiotem szerokich analiz związanych z opracowywaniem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t>
            </w:r>
            <w:r w:rsidRPr="0028666F">
              <w:rPr>
                <w:rFonts w:ascii="Calibri" w:eastAsia="Times New Roman" w:hAnsi="Calibri" w:cs="Calibri"/>
                <w:color w:val="000000"/>
                <w:sz w:val="18"/>
                <w:szCs w:val="18"/>
                <w:lang w:eastAsia="pl-PL"/>
              </w:rPr>
              <w:lastRenderedPageBreak/>
              <w:t xml:space="preserve">w odniesieniu do każdego działania zaprezentowane zostały w załączniku do IIaPGW (zestaw działań). W 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Dopływ z wyrobiska Turoszów RW600000174156 i innych niemonitorowanych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zagrożenie osiągnięcia ich celów środowiskowych zostało oszacowane w ramach pracy Analiza znaczących oddziaływań antropogenicznych wraz z oceną ich wpływu na stan wód i ryzykiem nieosiągnięcia celów środowiskowych (poprzedzającej przygotowanie IIaPGW i zaktualizowanej w ramach prac nad IIaPGW). Tam, gdzie Analiza presji wskazała na zagrożenie celów środowiskowych niemonitorowanych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tam - zgodnie z metodyką IIaPGW - uznano za konieczne uzasadnienie (wyjaśnienie) odstępstwa od osiągnięcia celów środowiskowych.</w:t>
            </w:r>
          </w:p>
        </w:tc>
      </w:tr>
      <w:tr w:rsidR="007C2B40" w:rsidRPr="0028666F" w14:paraId="75FC82E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75CAAA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32</w:t>
            </w:r>
          </w:p>
        </w:tc>
        <w:tc>
          <w:tcPr>
            <w:tcW w:w="970" w:type="dxa"/>
            <w:tcBorders>
              <w:top w:val="nil"/>
              <w:left w:val="nil"/>
              <w:bottom w:val="single" w:sz="4" w:space="0" w:color="auto"/>
              <w:right w:val="nil"/>
            </w:tcBorders>
          </w:tcPr>
          <w:p w14:paraId="190B359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5" w:type="dxa"/>
            <w:tcBorders>
              <w:top w:val="nil"/>
              <w:left w:val="nil"/>
              <w:bottom w:val="single" w:sz="4" w:space="0" w:color="auto"/>
              <w:right w:val="single" w:sz="4" w:space="0" w:color="auto"/>
            </w:tcBorders>
            <w:shd w:val="clear" w:color="auto" w:fill="auto"/>
          </w:tcPr>
          <w:p w14:paraId="5E12A2F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C01B1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381371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projektu planu, do której zgłaszana jest uwaga (numer rozdziału, strona dokumentu): </w:t>
            </w:r>
            <w:r w:rsidRPr="0028666F">
              <w:rPr>
                <w:rFonts w:ascii="Calibri" w:eastAsia="Times New Roman" w:hAnsi="Calibri" w:cs="Calibri"/>
                <w:color w:val="000000"/>
                <w:sz w:val="18"/>
                <w:szCs w:val="18"/>
                <w:lang w:eastAsia="pl-PL"/>
              </w:rPr>
              <w:br w:type="page"/>
              <w:t xml:space="preserve">Rozdział 16 </w:t>
            </w:r>
            <w:r w:rsidRPr="0028666F">
              <w:rPr>
                <w:rFonts w:ascii="Calibri" w:eastAsia="Times New Roman" w:hAnsi="Calibri" w:cs="Calibri"/>
                <w:color w:val="000000"/>
                <w:sz w:val="18"/>
                <w:szCs w:val="18"/>
                <w:lang w:eastAsia="pl-PL"/>
              </w:rPr>
              <w:br w:type="page"/>
              <w:t xml:space="preserve">Treść uwagi: Wady ustaleń IIaPGW dot. odstępstw z art. 4.7 Ramowej Dyrektywy Wodnej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CEF0E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z Wykazów Inwestycji i Działań: </w:t>
            </w:r>
            <w:r w:rsidRPr="0028666F">
              <w:rPr>
                <w:rFonts w:ascii="Calibri" w:eastAsia="Times New Roman" w:hAnsi="Calibri" w:cs="Calibri"/>
                <w:color w:val="000000"/>
                <w:sz w:val="18"/>
                <w:szCs w:val="18"/>
                <w:lang w:eastAsia="pl-PL"/>
              </w:rPr>
              <w:br w:type="page"/>
              <w:t xml:space="preserve">1) przedsięwzięć nie posiadających ostatecznej decyzji administracyjnej poświadczającej </w:t>
            </w:r>
            <w:r w:rsidRPr="0028666F">
              <w:rPr>
                <w:rFonts w:ascii="Calibri" w:eastAsia="Times New Roman" w:hAnsi="Calibri" w:cs="Calibri"/>
                <w:color w:val="000000"/>
                <w:sz w:val="18"/>
                <w:szCs w:val="18"/>
                <w:lang w:eastAsia="pl-PL"/>
              </w:rPr>
              <w:br w:type="page"/>
              <w:t xml:space="preserve">spełnienie warunków zastosowania tzw. derogacji 4.7 (tj. art. 68 ustawy Prawo </w:t>
            </w:r>
            <w:r w:rsidRPr="0028666F">
              <w:rPr>
                <w:rFonts w:ascii="Calibri" w:eastAsia="Times New Roman" w:hAnsi="Calibri" w:cs="Calibri"/>
                <w:color w:val="000000"/>
                <w:sz w:val="18"/>
                <w:szCs w:val="18"/>
                <w:lang w:eastAsia="pl-PL"/>
              </w:rPr>
              <w:br w:type="page"/>
              <w:t xml:space="preserve">wodne), w szczególności przedsięwzięcia pn. Wydobycie węgla brunatnego ze złoża </w:t>
            </w:r>
            <w:r w:rsidRPr="0028666F">
              <w:rPr>
                <w:rFonts w:ascii="Calibri" w:eastAsia="Times New Roman" w:hAnsi="Calibri" w:cs="Calibri"/>
                <w:color w:val="000000"/>
                <w:sz w:val="18"/>
                <w:szCs w:val="18"/>
                <w:lang w:eastAsia="pl-PL"/>
              </w:rPr>
              <w:br w:type="page"/>
              <w:t xml:space="preserve">Złoczew dla którego GDOŚ wydał dnia 24 września 2021 roku decyzją odmawiającą </w:t>
            </w:r>
            <w:r w:rsidRPr="0028666F">
              <w:rPr>
                <w:rFonts w:ascii="Calibri" w:eastAsia="Times New Roman" w:hAnsi="Calibri" w:cs="Calibri"/>
                <w:color w:val="000000"/>
                <w:sz w:val="18"/>
                <w:szCs w:val="18"/>
                <w:lang w:eastAsia="pl-PL"/>
              </w:rPr>
              <w:br w:type="page"/>
              <w:t xml:space="preserve">określenia środowiskowych uwarunkowań realizacji przedsięwzięcia. </w:t>
            </w:r>
            <w:r w:rsidRPr="0028666F">
              <w:rPr>
                <w:rFonts w:ascii="Calibri" w:eastAsia="Times New Roman" w:hAnsi="Calibri" w:cs="Calibri"/>
                <w:color w:val="000000"/>
                <w:sz w:val="18"/>
                <w:szCs w:val="18"/>
                <w:lang w:eastAsia="pl-PL"/>
              </w:rPr>
              <w:br w:type="page"/>
              <w:t xml:space="preserve">2) przedsięwzięć, dla których zgodność z przesłankami wskazanymi w art. 4.7 RDW </w:t>
            </w:r>
            <w:r w:rsidRPr="0028666F">
              <w:rPr>
                <w:rFonts w:ascii="Calibri" w:eastAsia="Times New Roman" w:hAnsi="Calibri" w:cs="Calibri"/>
                <w:color w:val="000000"/>
                <w:sz w:val="18"/>
                <w:szCs w:val="18"/>
                <w:lang w:eastAsia="pl-PL"/>
              </w:rPr>
              <w:br w:type="page"/>
              <w:t xml:space="preserve">określono wyłącznie w ramach aPGW z 2016 r. (mimo aktualizacji/próby aktualizacji </w:t>
            </w:r>
            <w:r w:rsidRPr="0028666F">
              <w:rPr>
                <w:rFonts w:ascii="Calibri" w:eastAsia="Times New Roman" w:hAnsi="Calibri" w:cs="Calibri"/>
                <w:color w:val="000000"/>
                <w:sz w:val="18"/>
                <w:szCs w:val="18"/>
                <w:lang w:eastAsia="pl-PL"/>
              </w:rPr>
              <w:br w:type="page"/>
              <w:t xml:space="preserve">danych z aPGW w ramach przygotowania IIaPGW). </w:t>
            </w:r>
          </w:p>
        </w:tc>
        <w:tc>
          <w:tcPr>
            <w:tcW w:w="3009" w:type="dxa"/>
            <w:tcBorders>
              <w:top w:val="nil"/>
              <w:left w:val="nil"/>
              <w:bottom w:val="single" w:sz="4" w:space="0" w:color="auto"/>
              <w:right w:val="single" w:sz="4" w:space="0" w:color="auto"/>
            </w:tcBorders>
            <w:shd w:val="clear" w:color="auto" w:fill="auto"/>
            <w:hideMark/>
          </w:tcPr>
          <w:p w14:paraId="5A04DD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Zgodnie z treścią IIaPGW, Wykaz Inwestycji i Działań zawiera zestawienie informacji </w:t>
            </w:r>
            <w:r w:rsidRPr="0028666F">
              <w:rPr>
                <w:rFonts w:ascii="Calibri" w:eastAsia="Times New Roman" w:hAnsi="Calibri" w:cs="Calibri"/>
                <w:color w:val="000000"/>
                <w:sz w:val="18"/>
                <w:szCs w:val="18"/>
                <w:lang w:eastAsia="pl-PL"/>
              </w:rPr>
              <w:br w:type="page"/>
              <w:t xml:space="preserve">o działaniach i inwestycjach, dla których potwierdzono spełnienie warunków odstępstwa w trybie art. 4 ust. 7 Ramowej Dyrektywy Wodnej w ramach: </w:t>
            </w:r>
            <w:r w:rsidRPr="0028666F">
              <w:rPr>
                <w:rFonts w:ascii="Calibri" w:eastAsia="Times New Roman" w:hAnsi="Calibri" w:cs="Calibri"/>
                <w:color w:val="000000"/>
                <w:sz w:val="18"/>
                <w:szCs w:val="18"/>
                <w:lang w:eastAsia="pl-PL"/>
              </w:rPr>
              <w:br w:type="page"/>
              <w:t xml:space="preserve">− decyzji administracyjnych wydanych z zastosowaniem art. 68 ustawy Prawo wodne, </w:t>
            </w:r>
            <w:r w:rsidRPr="0028666F">
              <w:rPr>
                <w:rFonts w:ascii="Calibri" w:eastAsia="Times New Roman" w:hAnsi="Calibri" w:cs="Calibri"/>
                <w:color w:val="000000"/>
                <w:sz w:val="18"/>
                <w:szCs w:val="18"/>
                <w:lang w:eastAsia="pl-PL"/>
              </w:rPr>
              <w:br w:type="page"/>
              <w:t xml:space="preserve">− planów gospodarowania wodami na obszarach dorzeczy przyjętych w 2016 r.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Wobec takiego podejścia należy wysunąć dwa kluczowe zastrzeżenia: </w:t>
            </w:r>
            <w:r w:rsidRPr="0028666F">
              <w:rPr>
                <w:rFonts w:ascii="Calibri" w:eastAsia="Times New Roman" w:hAnsi="Calibri" w:cs="Calibri"/>
                <w:color w:val="000000"/>
                <w:sz w:val="18"/>
                <w:szCs w:val="18"/>
                <w:lang w:eastAsia="pl-PL"/>
              </w:rPr>
              <w:br w:type="page"/>
              <w:t xml:space="preserve">a) nie jest uprawnione wskazywanie w Wykazie Inwestycji i Działań takich przedsięwzięć, </w:t>
            </w:r>
            <w:r w:rsidRPr="0028666F">
              <w:rPr>
                <w:rFonts w:ascii="Calibri" w:eastAsia="Times New Roman" w:hAnsi="Calibri" w:cs="Calibri"/>
                <w:color w:val="000000"/>
                <w:sz w:val="18"/>
                <w:szCs w:val="18"/>
                <w:lang w:eastAsia="pl-PL"/>
              </w:rPr>
              <w:br w:type="page"/>
              <w:t xml:space="preserve">które nie mają ostatecznej decyzji o środowiskowych uwarunkowaniach (czyli: toczy się </w:t>
            </w:r>
            <w:r w:rsidRPr="0028666F">
              <w:rPr>
                <w:rFonts w:ascii="Calibri" w:eastAsia="Times New Roman" w:hAnsi="Calibri" w:cs="Calibri"/>
                <w:color w:val="000000"/>
                <w:sz w:val="18"/>
                <w:szCs w:val="18"/>
                <w:lang w:eastAsia="pl-PL"/>
              </w:rPr>
              <w:br w:type="page"/>
              <w:t xml:space="preserve">postępowanie odwoławcze). Takie stanowisko zostało zaprezentowane w samym IIaPGW </w:t>
            </w:r>
            <w:r w:rsidRPr="0028666F">
              <w:rPr>
                <w:rFonts w:ascii="Calibri" w:eastAsia="Times New Roman" w:hAnsi="Calibri" w:cs="Calibri"/>
                <w:color w:val="000000"/>
                <w:sz w:val="18"/>
                <w:szCs w:val="18"/>
                <w:lang w:eastAsia="pl-PL"/>
              </w:rPr>
              <w:br w:type="page"/>
              <w:t xml:space="preserve">na stronie 409, gdzie stwierdzono, że Zestawiają informacje wynikające z powyższej treści, należy podkreślić, że wykaz ten ma funkcję sprawozdawczą. Przedstawia on informacje wynikające z decyzji </w:t>
            </w:r>
            <w:r w:rsidRPr="0028666F">
              <w:rPr>
                <w:rFonts w:ascii="Calibri" w:eastAsia="Times New Roman" w:hAnsi="Calibri" w:cs="Calibri"/>
                <w:color w:val="000000"/>
                <w:sz w:val="18"/>
                <w:szCs w:val="18"/>
                <w:lang w:eastAsia="pl-PL"/>
              </w:rPr>
              <w:lastRenderedPageBreak/>
              <w:t xml:space="preserve">administracyjnych (decyzje o środowiskowych uwarunkowaniach, oceny wodnoprawne) na temat działań i przedsięwzięć, dla których wydano (w okresie od daty przyjęcia aPGW do 21 grudnia 2020 r. ) ostateczną decyzję potwierdzającą spełnieni warunków, o których mowa w art. 68 pkt 1, 3 i 4 ustawy pr.w.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Podczas gdy Wykaz Inwestycji i Działań zawiera inwestycję dla której wydana decyzja </w:t>
            </w:r>
            <w:r w:rsidRPr="0028666F">
              <w:rPr>
                <w:rFonts w:ascii="Calibri" w:eastAsia="Times New Roman" w:hAnsi="Calibri" w:cs="Calibri"/>
                <w:color w:val="000000"/>
                <w:sz w:val="18"/>
                <w:szCs w:val="18"/>
                <w:lang w:eastAsia="pl-PL"/>
              </w:rPr>
              <w:br w:type="page"/>
              <w:t xml:space="preserve">środowiskowe nie jest ostateczne, czyli inwestycja pn. Wydobycie węgla brunatnego ze </w:t>
            </w:r>
            <w:r w:rsidRPr="0028666F">
              <w:rPr>
                <w:rFonts w:ascii="Calibri" w:eastAsia="Times New Roman" w:hAnsi="Calibri" w:cs="Calibri"/>
                <w:color w:val="000000"/>
                <w:sz w:val="18"/>
                <w:szCs w:val="18"/>
                <w:lang w:eastAsia="pl-PL"/>
              </w:rPr>
              <w:br w:type="page"/>
              <w:t xml:space="preserve">złoża Złoczew, dla którego wydana została przez Regionalnego Dyrektora Ochrony </w:t>
            </w:r>
            <w:r w:rsidRPr="0028666F">
              <w:rPr>
                <w:rFonts w:ascii="Calibri" w:eastAsia="Times New Roman" w:hAnsi="Calibri" w:cs="Calibri"/>
                <w:color w:val="000000"/>
                <w:sz w:val="18"/>
                <w:szCs w:val="18"/>
                <w:lang w:eastAsia="pl-PL"/>
              </w:rPr>
              <w:br w:type="page"/>
              <w:t xml:space="preserve">Środowiska w Łodzi decyzja o środowiskowych uwarunkowaniach dnia 28 marca 2018 </w:t>
            </w:r>
            <w:r w:rsidRPr="0028666F">
              <w:rPr>
                <w:rFonts w:ascii="Calibri" w:eastAsia="Times New Roman" w:hAnsi="Calibri" w:cs="Calibri"/>
                <w:color w:val="000000"/>
                <w:sz w:val="18"/>
                <w:szCs w:val="18"/>
                <w:lang w:eastAsia="pl-PL"/>
              </w:rPr>
              <w:br w:type="page"/>
              <w:t xml:space="preserve">roku. Jednakże od decyzji tej wniesione zostało odwołanie, a postępowanie odwoławcze </w:t>
            </w:r>
            <w:r w:rsidRPr="0028666F">
              <w:rPr>
                <w:rFonts w:ascii="Calibri" w:eastAsia="Times New Roman" w:hAnsi="Calibri" w:cs="Calibri"/>
                <w:color w:val="000000"/>
                <w:sz w:val="18"/>
                <w:szCs w:val="18"/>
                <w:lang w:eastAsia="pl-PL"/>
              </w:rPr>
              <w:br w:type="page"/>
              <w:t xml:space="preserve">w dalszym ciągu się toczy, co zostało nawet wskazane w Załączniku 6 wiersz 164 dot. tejże inwestycji, kolumna Q i R. W związku z tym wskazać należy, że IIaPGW jest po pierwsze wewnętrznie sprzeczny (z jednej strony zakłada ujęcie wyłącznie inwestycji z ostatecznymi decyzjami środowiskowymi, a z drugiej strony świadomie uwzględniana jest inwestycja z nieostateczną decyzją środowiskową), po drugie jest sprzeczny z prawem. Nieostateczna decyzja o środowiskowych uwarunkowaniach nie może w żaden sposób stanowić o tym, że derogacja została w sposób ostateczny i pewny przyznana. Należy mieć na uwadze, że w polskim postępowaniu administracyjnym, co do zasady dwuinstancyjnym, decyzja o środowiskowych uwarunkowaniach może zostać w istotny sposób zmieniona, a nawet uchylona w wyniku postępowania odwoławczego. Co więcej, w przebiegu postępowania odwoławczego dochodzi niejednokrotnie do uzupełnienia lub istotnych modyfikacji treści raportu oddziaływania przedsięwzięcia na środowisko, strony mają możliwość przedstawiania nowych dowodów, tzw. kontrraportu, dopuszczalny jest również dowód z opinii biegłego. Wszystko to sprawia, że po wydaniu </w:t>
            </w:r>
            <w:r w:rsidRPr="0028666F">
              <w:rPr>
                <w:rFonts w:ascii="Calibri" w:eastAsia="Times New Roman" w:hAnsi="Calibri" w:cs="Calibri"/>
                <w:color w:val="000000"/>
                <w:sz w:val="18"/>
                <w:szCs w:val="18"/>
                <w:lang w:eastAsia="pl-PL"/>
              </w:rPr>
              <w:lastRenderedPageBreak/>
              <w:t xml:space="preserve">decyzji w pierwszej instancji nie można mówić o kompletnej i ukończonej ocenie spełnienia przesłanek do przyznania odstępstwa. </w:t>
            </w:r>
            <w:r w:rsidRPr="0028666F">
              <w:rPr>
                <w:rFonts w:ascii="Calibri" w:eastAsia="Times New Roman" w:hAnsi="Calibri" w:cs="Calibri"/>
                <w:color w:val="000000"/>
                <w:sz w:val="18"/>
                <w:szCs w:val="18"/>
                <w:lang w:eastAsia="pl-PL"/>
              </w:rPr>
              <w:br w:type="page"/>
              <w:t xml:space="preserve">Nadmienić należy, iż waloru ostateczności nie zastępuje nadanie rygoru natychmiastowej wykonalności. Zgodnie z art. 16 § 1 k.p.a. decyzją ostateczną jest decyzja, od której nie służy odwołanie w administracyjnym toku instancji. Tym samym nadanie rygoru natychmiastowej wykonalności nie skutkuje przyznaniem decyzji, od której przysługuje odwołanie (lub co do której toczy się postępowanie odwoławcze), przymiotu ostateczności. Decyzja środowiskowa z nadanym rygorem natychmiastowej </w:t>
            </w:r>
            <w:r w:rsidRPr="0028666F">
              <w:rPr>
                <w:rFonts w:ascii="Calibri" w:eastAsia="Times New Roman" w:hAnsi="Calibri" w:cs="Calibri"/>
                <w:color w:val="000000"/>
                <w:sz w:val="18"/>
                <w:szCs w:val="18"/>
                <w:lang w:eastAsia="pl-PL"/>
              </w:rPr>
              <w:br w:type="page"/>
              <w:t xml:space="preserve">wykonalności nie jest ostateczną decyzją środowiskową, w wyniku prowadzonego </w:t>
            </w:r>
            <w:r w:rsidRPr="0028666F">
              <w:rPr>
                <w:rFonts w:ascii="Calibri" w:eastAsia="Times New Roman" w:hAnsi="Calibri" w:cs="Calibri"/>
                <w:color w:val="000000"/>
                <w:sz w:val="18"/>
                <w:szCs w:val="18"/>
                <w:lang w:eastAsia="pl-PL"/>
              </w:rPr>
              <w:br w:type="page"/>
              <w:t xml:space="preserve">postępowania odwoławczego może ona zostać uchylona lub jej treść znacząco zmieniona. Dotyczy to również zawartej w niej derogacji. Stąd też, w ocenie Fundacji, błędne i nieuprawnione jest ujmowanie w wykazie inwestycji przedsięwzięć, które nie posiadają ostatecznej decyzji o środowiskowych uwarunkowaniach. Dlatego też wszystkie inwestycji nie mające ostatecznej decyzji o środowiskowych uwarunkowaniach należy usunąć z wykazu, w szczególności przedsięwzięci pn. Wydobycie węgla brunatnego ze złoża Złoczew.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b) Nie jest uprawnione (i nie ma podstawy prawnej) wskazywanie w Wykazie Inwestycji </w:t>
            </w:r>
            <w:r w:rsidRPr="0028666F">
              <w:rPr>
                <w:rFonts w:ascii="Calibri" w:eastAsia="Times New Roman" w:hAnsi="Calibri" w:cs="Calibri"/>
                <w:color w:val="000000"/>
                <w:sz w:val="18"/>
                <w:szCs w:val="18"/>
                <w:lang w:eastAsia="pl-PL"/>
              </w:rPr>
              <w:br w:type="page"/>
              <w:t xml:space="preserve">i Działań takich przedsięwzięć, dla których zgodność z warunkami ustanowienia </w:t>
            </w:r>
            <w:r w:rsidRPr="0028666F">
              <w:rPr>
                <w:rFonts w:ascii="Calibri" w:eastAsia="Times New Roman" w:hAnsi="Calibri" w:cs="Calibri"/>
                <w:color w:val="000000"/>
                <w:sz w:val="18"/>
                <w:szCs w:val="18"/>
                <w:lang w:eastAsia="pl-PL"/>
              </w:rPr>
              <w:br w:type="page"/>
              <w:t xml:space="preserve">odstępstwa oszacowano wyłącznie na etapie planów gospodarowania wodami na </w:t>
            </w:r>
            <w:r w:rsidRPr="0028666F">
              <w:rPr>
                <w:rFonts w:ascii="Calibri" w:eastAsia="Times New Roman" w:hAnsi="Calibri" w:cs="Calibri"/>
                <w:color w:val="000000"/>
                <w:sz w:val="18"/>
                <w:szCs w:val="18"/>
                <w:lang w:eastAsia="pl-PL"/>
              </w:rPr>
              <w:br w:type="page"/>
              <w:t xml:space="preserve">obszarach dorzeczy przyjętych w 2016 r. </w:t>
            </w:r>
            <w:r w:rsidRPr="0028666F">
              <w:rPr>
                <w:rFonts w:ascii="Calibri" w:eastAsia="Times New Roman" w:hAnsi="Calibri" w:cs="Calibri"/>
                <w:color w:val="000000"/>
                <w:sz w:val="18"/>
                <w:szCs w:val="18"/>
                <w:lang w:eastAsia="pl-PL"/>
              </w:rPr>
              <w:br w:type="page"/>
              <w:t xml:space="preserve">Obowiązujące Prawo wodne wprost wskazuje (art. 323 p.w. w związku z art. 435-436 p.w. </w:t>
            </w:r>
            <w:r w:rsidRPr="0028666F">
              <w:rPr>
                <w:rFonts w:ascii="Calibri" w:eastAsia="Times New Roman" w:hAnsi="Calibri" w:cs="Calibri"/>
                <w:color w:val="000000"/>
                <w:sz w:val="18"/>
                <w:szCs w:val="18"/>
                <w:lang w:eastAsia="pl-PL"/>
              </w:rPr>
              <w:br w:type="page"/>
              <w:t xml:space="preserve">w zw. z art. 428 p.w.), że w wykazie inwestycji i działań powinny się znaleźć wyłącznie te </w:t>
            </w:r>
            <w:r w:rsidRPr="0028666F">
              <w:rPr>
                <w:rFonts w:ascii="Calibri" w:eastAsia="Times New Roman" w:hAnsi="Calibri" w:cs="Calibri"/>
                <w:color w:val="000000"/>
                <w:sz w:val="18"/>
                <w:szCs w:val="18"/>
                <w:lang w:eastAsia="pl-PL"/>
              </w:rPr>
              <w:br w:type="page"/>
              <w:t xml:space="preserve">przypadki, dla których wydano decyzje administracyjne (decyzja o środowiskowych </w:t>
            </w:r>
            <w:r w:rsidRPr="0028666F">
              <w:rPr>
                <w:rFonts w:ascii="Calibri" w:eastAsia="Times New Roman" w:hAnsi="Calibri" w:cs="Calibri"/>
                <w:color w:val="000000"/>
                <w:sz w:val="18"/>
                <w:szCs w:val="18"/>
                <w:lang w:eastAsia="pl-PL"/>
              </w:rPr>
              <w:br w:type="page"/>
              <w:t xml:space="preserve">uwarunkowaniach lub ocena wodnoprawna) z zastosowaniem art. 68 ww. ustawy </w:t>
            </w:r>
            <w:r w:rsidRPr="0028666F">
              <w:rPr>
                <w:rFonts w:ascii="Calibri" w:eastAsia="Times New Roman" w:hAnsi="Calibri" w:cs="Calibri"/>
                <w:color w:val="000000"/>
                <w:sz w:val="18"/>
                <w:szCs w:val="18"/>
                <w:lang w:eastAsia="pl-PL"/>
              </w:rPr>
              <w:br w:type="page"/>
              <w:t xml:space="preserve">(tj. z derogację 4.7 RDW). W związku z tym uwzględnienie w IIaPGW szeregu </w:t>
            </w:r>
            <w:r w:rsidRPr="0028666F">
              <w:rPr>
                <w:rFonts w:ascii="Calibri" w:eastAsia="Times New Roman" w:hAnsi="Calibri" w:cs="Calibri"/>
                <w:color w:val="000000"/>
                <w:sz w:val="18"/>
                <w:szCs w:val="18"/>
                <w:lang w:eastAsia="pl-PL"/>
              </w:rPr>
              <w:lastRenderedPageBreak/>
              <w:t xml:space="preserve">inwestycji </w:t>
            </w:r>
            <w:r w:rsidRPr="0028666F">
              <w:rPr>
                <w:rFonts w:ascii="Calibri" w:eastAsia="Times New Roman" w:hAnsi="Calibri" w:cs="Calibri"/>
                <w:color w:val="000000"/>
                <w:sz w:val="18"/>
                <w:szCs w:val="18"/>
                <w:lang w:eastAsia="pl-PL"/>
              </w:rPr>
              <w:br w:type="page"/>
              <w:t xml:space="preserve">dla których nie zostały wydane ostateczne decyzje administracyjne (decyzja o </w:t>
            </w:r>
            <w:r w:rsidRPr="0028666F">
              <w:rPr>
                <w:rFonts w:ascii="Calibri" w:eastAsia="Times New Roman" w:hAnsi="Calibri" w:cs="Calibri"/>
                <w:color w:val="000000"/>
                <w:sz w:val="18"/>
                <w:szCs w:val="18"/>
                <w:lang w:eastAsia="pl-PL"/>
              </w:rPr>
              <w:br w:type="page"/>
              <w:t xml:space="preserve">środowiskowych uwarunkowaniach lub ocena wodnoprawna) z zastosowaniem art. 68 </w:t>
            </w:r>
            <w:r w:rsidRPr="0028666F">
              <w:rPr>
                <w:rFonts w:ascii="Calibri" w:eastAsia="Times New Roman" w:hAnsi="Calibri" w:cs="Calibri"/>
                <w:color w:val="000000"/>
                <w:sz w:val="18"/>
                <w:szCs w:val="18"/>
                <w:lang w:eastAsia="pl-PL"/>
              </w:rPr>
              <w:br w:type="page"/>
              <w:t xml:space="preserve">p.w. jest sprzeczne z przepisami prawa.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Powyższe jest tym bardziej uzasadnione, że powielenie uzasadnień derogacji 4.7 RDW, nawet jeżeli zostały one zweryfikowane pod względem ich aktualności, utrwala mankamenty podejścia zastosowanego w 2016 r. Polegały one na tym, że udowodnienie przesłanek 4.7 RDW nie odnosiło się do konkretów, lecz wyłącznie do sfery deklaracji niepodlegających szczegółowej weryfikacji (taka jest bowiem możliwa co do zasady wyłącznie na etapie postępowań administracyjnych). Na istnienie tych samych wad wskazuje również sama treść IIaPGW, gdzie na stronie 409 wskazano, że Ponadto uwzględnia on informacje o planowanych i realizowanych inwestycjach i działaniach, dla których w aPGW z 2016 roku potwierdzono warunki spełniania odstępstwa w trybie art. 4.7 RDW Źródłem informacji dla wykazu była ankietyzacja, która objęto następujące podmioty: </w:t>
            </w:r>
            <w:r w:rsidRPr="0028666F">
              <w:rPr>
                <w:rFonts w:ascii="Calibri" w:eastAsia="Times New Roman" w:hAnsi="Calibri" w:cs="Calibri"/>
                <w:color w:val="000000"/>
                <w:sz w:val="18"/>
                <w:szCs w:val="18"/>
                <w:lang w:eastAsia="pl-PL"/>
              </w:rPr>
              <w:br w:type="page"/>
              <w:t xml:space="preserve">1) Podmioty określone jako „Inwestor” w wykazach inwestycji stanowiących załącznik do </w:t>
            </w:r>
            <w:r w:rsidRPr="0028666F">
              <w:rPr>
                <w:rFonts w:ascii="Calibri" w:eastAsia="Times New Roman" w:hAnsi="Calibri" w:cs="Calibri"/>
                <w:color w:val="000000"/>
                <w:sz w:val="18"/>
                <w:szCs w:val="18"/>
                <w:lang w:eastAsia="pl-PL"/>
              </w:rPr>
              <w:br w:type="page"/>
              <w:t xml:space="preserve">aPGW z 2016; uwzględniono włączenie Zarządów Melioracji u Urządzeń Wodnych </w:t>
            </w:r>
            <w:r w:rsidRPr="0028666F">
              <w:rPr>
                <w:rFonts w:ascii="Calibri" w:eastAsia="Times New Roman" w:hAnsi="Calibri" w:cs="Calibri"/>
                <w:color w:val="000000"/>
                <w:sz w:val="18"/>
                <w:szCs w:val="18"/>
                <w:lang w:eastAsia="pl-PL"/>
              </w:rPr>
              <w:br w:type="page"/>
              <w:t xml:space="preserve">(wskazanych w aPGW z 2016 r. jako „Inwestor”) w struktury PGW WP; w przypadku </w:t>
            </w:r>
            <w:r w:rsidRPr="0028666F">
              <w:rPr>
                <w:rFonts w:ascii="Calibri" w:eastAsia="Times New Roman" w:hAnsi="Calibri" w:cs="Calibri"/>
                <w:color w:val="000000"/>
                <w:sz w:val="18"/>
                <w:szCs w:val="18"/>
                <w:lang w:eastAsia="pl-PL"/>
              </w:rPr>
              <w:br w:type="page"/>
              <w:t xml:space="preserve">innych inwestorów skierowano ankiety do podmiotów kontynuujących zamierzenie </w:t>
            </w:r>
            <w:r w:rsidRPr="0028666F">
              <w:rPr>
                <w:rFonts w:ascii="Calibri" w:eastAsia="Times New Roman" w:hAnsi="Calibri" w:cs="Calibri"/>
                <w:color w:val="000000"/>
                <w:sz w:val="18"/>
                <w:szCs w:val="18"/>
                <w:lang w:eastAsia="pl-PL"/>
              </w:rPr>
              <w:br w:type="page"/>
              <w:t xml:space="preserve">inwestycyjne; </w:t>
            </w:r>
            <w:r w:rsidRPr="0028666F">
              <w:rPr>
                <w:rFonts w:ascii="Calibri" w:eastAsia="Times New Roman" w:hAnsi="Calibri" w:cs="Calibri"/>
                <w:color w:val="000000"/>
                <w:sz w:val="18"/>
                <w:szCs w:val="18"/>
                <w:lang w:eastAsia="pl-PL"/>
              </w:rPr>
              <w:br w:type="page"/>
              <w:t xml:space="preserve">2) Organy właściwe w sprawach ocen wodnoprawnych (któ®e wydawały oceny </w:t>
            </w:r>
            <w:r w:rsidRPr="0028666F">
              <w:rPr>
                <w:rFonts w:ascii="Calibri" w:eastAsia="Times New Roman" w:hAnsi="Calibri" w:cs="Calibri"/>
                <w:color w:val="000000"/>
                <w:sz w:val="18"/>
                <w:szCs w:val="18"/>
                <w:lang w:eastAsia="pl-PL"/>
              </w:rPr>
              <w:br w:type="page"/>
              <w:t xml:space="preserve">wodnoprawne, brały udział w postępowaniu w sprawie wydania decyzji o </w:t>
            </w:r>
            <w:r w:rsidRPr="0028666F">
              <w:rPr>
                <w:rFonts w:ascii="Calibri" w:eastAsia="Times New Roman" w:hAnsi="Calibri" w:cs="Calibri"/>
                <w:color w:val="000000"/>
                <w:sz w:val="18"/>
                <w:szCs w:val="18"/>
                <w:lang w:eastAsia="pl-PL"/>
              </w:rPr>
              <w:br w:type="page"/>
              <w:t xml:space="preserve">środowiskowych uwarunkowaniach oraz powadziły wykaz inwestycji zgodnie z art. </w:t>
            </w:r>
            <w:r w:rsidRPr="0028666F">
              <w:rPr>
                <w:rFonts w:ascii="Calibri" w:eastAsia="Times New Roman" w:hAnsi="Calibri" w:cs="Calibri"/>
                <w:color w:val="000000"/>
                <w:sz w:val="18"/>
                <w:szCs w:val="18"/>
                <w:lang w:eastAsia="pl-PL"/>
              </w:rPr>
              <w:br w:type="page"/>
              <w:t xml:space="preserve">435-436 ustawy pr.w.)’ </w:t>
            </w:r>
            <w:r w:rsidRPr="0028666F">
              <w:rPr>
                <w:rFonts w:ascii="Calibri" w:eastAsia="Times New Roman" w:hAnsi="Calibri" w:cs="Calibri"/>
                <w:color w:val="000000"/>
                <w:sz w:val="18"/>
                <w:szCs w:val="18"/>
                <w:lang w:eastAsia="pl-PL"/>
              </w:rPr>
              <w:br w:type="page"/>
              <w:t xml:space="preserve">3) Organy wydające decyzje o środowiskowych uwarunkowaniach, przy wydawaniu </w:t>
            </w:r>
            <w:r w:rsidRPr="0028666F">
              <w:rPr>
                <w:rFonts w:ascii="Calibri" w:eastAsia="Times New Roman" w:hAnsi="Calibri" w:cs="Calibri"/>
                <w:color w:val="000000"/>
                <w:sz w:val="18"/>
                <w:szCs w:val="18"/>
                <w:lang w:eastAsia="pl-PL"/>
              </w:rPr>
              <w:br w:type="page"/>
              <w:t xml:space="preserve">których zastosowano art. 68 ustawy pr.w (wskazane przez organy właściwe w </w:t>
            </w:r>
            <w:r w:rsidRPr="0028666F">
              <w:rPr>
                <w:rFonts w:ascii="Calibri" w:eastAsia="Times New Roman" w:hAnsi="Calibri" w:cs="Calibri"/>
                <w:color w:val="000000"/>
                <w:sz w:val="18"/>
                <w:szCs w:val="18"/>
                <w:lang w:eastAsia="pl-PL"/>
              </w:rPr>
              <w:br w:type="page"/>
              <w:t xml:space="preserve">sprawach ocen wodnoprawnych). </w:t>
            </w:r>
            <w:r w:rsidRPr="0028666F">
              <w:rPr>
                <w:rFonts w:ascii="Calibri" w:eastAsia="Times New Roman" w:hAnsi="Calibri" w:cs="Calibri"/>
                <w:color w:val="000000"/>
                <w:sz w:val="18"/>
                <w:szCs w:val="18"/>
                <w:lang w:eastAsia="pl-PL"/>
              </w:rPr>
              <w:lastRenderedPageBreak/>
              <w:br w:type="page"/>
            </w:r>
            <w:r w:rsidRPr="0028666F">
              <w:rPr>
                <w:rFonts w:ascii="Calibri" w:eastAsia="Times New Roman" w:hAnsi="Calibri" w:cs="Calibri"/>
                <w:color w:val="000000"/>
                <w:sz w:val="18"/>
                <w:szCs w:val="18"/>
                <w:lang w:eastAsia="pl-PL"/>
              </w:rPr>
              <w:br w:type="page"/>
              <w:t xml:space="preserve">Ponadto w przypadku, gdy uzyskane dane były niewystarczające, uwzględniano dane </w:t>
            </w:r>
            <w:r w:rsidRPr="0028666F">
              <w:rPr>
                <w:rFonts w:ascii="Calibri" w:eastAsia="Times New Roman" w:hAnsi="Calibri" w:cs="Calibri"/>
                <w:color w:val="000000"/>
                <w:sz w:val="18"/>
                <w:szCs w:val="18"/>
                <w:lang w:eastAsia="pl-PL"/>
              </w:rPr>
              <w:br w:type="page"/>
              <w:t xml:space="preserve">wynikające z treści decyzji administracyjnych.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Powyższe wskazuje więc, że podstawą do przepisania odstępstw przyznanych w aPGW z 2016 do IIaPGW była wyłącznie ankieta skierowana do Inwestorów. Brak jest jakiegokolwiek wskazania, aby po otrzymaniu ankiet przeprowadzone były jakiekolwiek dogłębne analizy spełnienia warunków do przyznania odstępstwa w oparciu o aktualną sytuację faktyczną i prawną. Za całkowicie błędne i wadliwe uznać należy działanie polegające na automatycznym uznaniu, że skoro przesłanki do przyznania odstępstwa były spełnione w 2016 roku (co w ocenie Fundacji jest wątpliwe) to w dalszym ciągu są spełnione. Za całkowicie błędne i wadliwe uznać należy również poleganie wyłącznie na twierdzeniach inwestorów w zakresie zasadności spełnienia warunków do przyznania odstępstwa. Oczywistym jest, że każdy inwestor będzie dążył do uzyskania odstępstwa, które umożliwi mu realizowanie inwestycji. Zadaniem zaś organów jest ocena czy warunki do jego przyznania zostały spełnione. W IIaPGW brak jest jakiegokolwiek śladu, że taka dogłębna analiza każdego przypadku została wykonana. Wręcz treść IIaPGW wskazuje, że odstępstwa zostały przyznane wyłącznie w oparciu o ankiety przedstawione przez inwestorów. Takie działanie w żaden sposób nie daje gwarancji, że odstępstwa zostały przyznane wyłącznie dla inwestycji, które rzeczywiście spełniają aktualnie warunki do ich przyznania.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Ponadto jest wysoce wątpliwe czy ktokolwiek, w tym inwestorzy czy organy badały aktualność spełniania warunków przez te odstępstwa. Dane w oparciu o które uzasadniono przyznanie odstępstwa są historyczne, w szczególności są to dane dotyczące: </w:t>
            </w:r>
            <w:r w:rsidRPr="0028666F">
              <w:rPr>
                <w:rFonts w:ascii="Calibri" w:eastAsia="Times New Roman" w:hAnsi="Calibri" w:cs="Calibri"/>
                <w:color w:val="000000"/>
                <w:sz w:val="18"/>
                <w:szCs w:val="18"/>
                <w:lang w:eastAsia="pl-PL"/>
              </w:rPr>
              <w:br w:type="page"/>
              <w:t xml:space="preserve">- produkcji węgla w Polsce z 2013 roku, </w:t>
            </w:r>
            <w:r w:rsidRPr="0028666F">
              <w:rPr>
                <w:rFonts w:ascii="Calibri" w:eastAsia="Times New Roman" w:hAnsi="Calibri" w:cs="Calibri"/>
                <w:color w:val="000000"/>
                <w:sz w:val="18"/>
                <w:szCs w:val="18"/>
                <w:lang w:eastAsia="pl-PL"/>
              </w:rPr>
              <w:br w:type="page"/>
              <w:t>-uzależnienia od importu energii w Polsce z 2013 roku - dane GUS z 2013 roku,</w:t>
            </w:r>
            <w:r w:rsidRPr="0028666F">
              <w:rPr>
                <w:rFonts w:ascii="Calibri" w:eastAsia="Times New Roman" w:hAnsi="Calibri" w:cs="Calibri"/>
                <w:color w:val="000000"/>
                <w:sz w:val="18"/>
                <w:szCs w:val="18"/>
                <w:lang w:eastAsia="pl-PL"/>
              </w:rPr>
              <w:br w:type="page"/>
              <w:t xml:space="preserve">- udziału OZE w produkcji energii elektrycznej w 2014 roku,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Powyższa okoliczność tym bardziej wskazuje na fakt, że organ nie </w:t>
            </w:r>
            <w:r w:rsidRPr="0028666F">
              <w:rPr>
                <w:rFonts w:ascii="Calibri" w:eastAsia="Times New Roman" w:hAnsi="Calibri" w:cs="Calibri"/>
                <w:color w:val="000000"/>
                <w:sz w:val="18"/>
                <w:szCs w:val="18"/>
                <w:lang w:eastAsia="pl-PL"/>
              </w:rPr>
              <w:lastRenderedPageBreak/>
              <w:t xml:space="preserve">dokonał analizy zasadności, prawidłowości i aktualności twierdzeń inwestorów w zakresie spełnienia w dalszym ciągu przesłanek do przyznania odstępstwa przez przedsięwzięcia uwzględnione w aPGW z 2016 roku.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Ponadto Fundacja wskazuje, iż wiele z tych inwestycji nie spełnia warunków do przyznania </w:t>
            </w:r>
            <w:r w:rsidRPr="0028666F">
              <w:rPr>
                <w:rFonts w:ascii="Calibri" w:eastAsia="Times New Roman" w:hAnsi="Calibri" w:cs="Calibri"/>
                <w:color w:val="000000"/>
                <w:sz w:val="18"/>
                <w:szCs w:val="18"/>
                <w:lang w:eastAsia="pl-PL"/>
              </w:rPr>
              <w:br w:type="page"/>
              <w:t xml:space="preserve">odstępstwa lub też warunki te nie zostały wykazane w IIaPGW, co zostanie wykazane poniżej: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1) Eksploatacja kopaliny ze złoża węgla kamiennego Bobrek - Miechowice I oraz Bytom III </w:t>
            </w:r>
            <w:r w:rsidRPr="0028666F">
              <w:rPr>
                <w:rFonts w:ascii="Calibri" w:eastAsia="Times New Roman" w:hAnsi="Calibri" w:cs="Calibri"/>
                <w:color w:val="000000"/>
                <w:sz w:val="18"/>
                <w:szCs w:val="18"/>
                <w:lang w:eastAsia="pl-PL"/>
              </w:rPr>
              <w:br w:type="page"/>
              <w:t xml:space="preserve">(kod ID W_152_O): </w:t>
            </w:r>
            <w:r w:rsidRPr="0028666F">
              <w:rPr>
                <w:rFonts w:ascii="Calibri" w:eastAsia="Times New Roman" w:hAnsi="Calibri" w:cs="Calibri"/>
                <w:color w:val="000000"/>
                <w:sz w:val="18"/>
                <w:szCs w:val="18"/>
                <w:lang w:eastAsia="pl-PL"/>
              </w:rPr>
              <w:br w:type="page"/>
              <w:t xml:space="preserve">a. brak możliwości odniesienia do celów z IIaPGW, gdyż decyzja środowiskowa </w:t>
            </w:r>
            <w:r w:rsidRPr="0028666F">
              <w:rPr>
                <w:rFonts w:ascii="Calibri" w:eastAsia="Times New Roman" w:hAnsi="Calibri" w:cs="Calibri"/>
                <w:color w:val="000000"/>
                <w:sz w:val="18"/>
                <w:szCs w:val="18"/>
                <w:lang w:eastAsia="pl-PL"/>
              </w:rPr>
              <w:br w:type="page"/>
              <w:t xml:space="preserve">jest z 2012 r.); </w:t>
            </w:r>
            <w:r w:rsidRPr="0028666F">
              <w:rPr>
                <w:rFonts w:ascii="Calibri" w:eastAsia="Times New Roman" w:hAnsi="Calibri" w:cs="Calibri"/>
                <w:color w:val="000000"/>
                <w:sz w:val="18"/>
                <w:szCs w:val="18"/>
                <w:lang w:eastAsia="pl-PL"/>
              </w:rPr>
              <w:br w:type="page"/>
              <w:t xml:space="preserve">b. brak wykazania, że korzystne cele, którym służy ta inwestycja nie mogą być (ze </w:t>
            </w:r>
            <w:r w:rsidRPr="0028666F">
              <w:rPr>
                <w:rFonts w:ascii="Calibri" w:eastAsia="Times New Roman" w:hAnsi="Calibri" w:cs="Calibri"/>
                <w:color w:val="000000"/>
                <w:sz w:val="18"/>
                <w:szCs w:val="18"/>
                <w:lang w:eastAsia="pl-PL"/>
              </w:rPr>
              <w:br w:type="page"/>
              <w:t xml:space="preserve">względu na możliwości techniczne lub nieproporcjonalne koszty)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uzasadnieniu przyznania odstępstwa wskazano, że celem przyznanego </w:t>
            </w:r>
            <w:r w:rsidRPr="0028666F">
              <w:rPr>
                <w:rFonts w:ascii="Calibri" w:eastAsia="Times New Roman" w:hAnsi="Calibri" w:cs="Calibri"/>
                <w:color w:val="000000"/>
                <w:sz w:val="18"/>
                <w:szCs w:val="18"/>
                <w:lang w:eastAsia="pl-PL"/>
              </w:rPr>
              <w:br w:type="page"/>
              <w:t xml:space="preserve">odstępstwa jest wydobywanie węgla do produkcji energii elektrycznej oraz </w:t>
            </w:r>
            <w:r w:rsidRPr="0028666F">
              <w:rPr>
                <w:rFonts w:ascii="Calibri" w:eastAsia="Times New Roman" w:hAnsi="Calibri" w:cs="Calibri"/>
                <w:color w:val="000000"/>
                <w:sz w:val="18"/>
                <w:szCs w:val="18"/>
                <w:lang w:eastAsia="pl-PL"/>
              </w:rPr>
              <w:br w:type="page"/>
              <w:t xml:space="preserve">cieplnej. W uzasadnieniu odstępstwa starano się wykazać, że produkcja energii </w:t>
            </w:r>
            <w:r w:rsidRPr="0028666F">
              <w:rPr>
                <w:rFonts w:ascii="Calibri" w:eastAsia="Times New Roman" w:hAnsi="Calibri" w:cs="Calibri"/>
                <w:color w:val="000000"/>
                <w:sz w:val="18"/>
                <w:szCs w:val="18"/>
                <w:lang w:eastAsia="pl-PL"/>
              </w:rPr>
              <w:br w:type="page"/>
              <w:t xml:space="preserve">elektrycznej z innych źródeł jest nieekonomiczna, jednakże tak przedstawione </w:t>
            </w:r>
            <w:r w:rsidRPr="0028666F">
              <w:rPr>
                <w:rFonts w:ascii="Calibri" w:eastAsia="Times New Roman" w:hAnsi="Calibri" w:cs="Calibri"/>
                <w:color w:val="000000"/>
                <w:sz w:val="18"/>
                <w:szCs w:val="18"/>
                <w:lang w:eastAsia="pl-PL"/>
              </w:rPr>
              <w:br w:type="page"/>
              <w:t xml:space="preserve">uzasadnienie nie spełnia wymagań prawnych wynikających tak z ustawy, jak i z </w:t>
            </w:r>
            <w:r w:rsidRPr="0028666F">
              <w:rPr>
                <w:rFonts w:ascii="Calibri" w:eastAsia="Times New Roman" w:hAnsi="Calibri" w:cs="Calibri"/>
                <w:color w:val="000000"/>
                <w:sz w:val="18"/>
                <w:szCs w:val="18"/>
                <w:lang w:eastAsia="pl-PL"/>
              </w:rPr>
              <w:br w:type="page"/>
              <w:t xml:space="preserve">Ramowej Dyrektywy Wodnej z następujących powodów: </w:t>
            </w:r>
            <w:r w:rsidRPr="0028666F">
              <w:rPr>
                <w:rFonts w:ascii="Calibri" w:eastAsia="Times New Roman" w:hAnsi="Calibri" w:cs="Calibri"/>
                <w:color w:val="000000"/>
                <w:sz w:val="18"/>
                <w:szCs w:val="18"/>
                <w:lang w:eastAsia="pl-PL"/>
              </w:rPr>
              <w:br w:type="page"/>
              <w:t xml:space="preserve">• brak wykazania aby dostarczenie energii elektrycznej z innych źródeł, w tym z </w:t>
            </w:r>
            <w:r w:rsidRPr="0028666F">
              <w:rPr>
                <w:rFonts w:ascii="Calibri" w:eastAsia="Times New Roman" w:hAnsi="Calibri" w:cs="Calibri"/>
                <w:color w:val="000000"/>
                <w:sz w:val="18"/>
                <w:szCs w:val="18"/>
                <w:lang w:eastAsia="pl-PL"/>
              </w:rPr>
              <w:br w:type="page"/>
              <w:t xml:space="preserve">odnawialnych źródeł energii, wiązało się z nieproporcjonalnie wysokimi </w:t>
            </w:r>
            <w:r w:rsidRPr="0028666F">
              <w:rPr>
                <w:rFonts w:ascii="Calibri" w:eastAsia="Times New Roman" w:hAnsi="Calibri" w:cs="Calibri"/>
                <w:color w:val="000000"/>
                <w:sz w:val="18"/>
                <w:szCs w:val="18"/>
                <w:lang w:eastAsia="pl-PL"/>
              </w:rPr>
              <w:br w:type="page"/>
              <w:t xml:space="preserve">kosztami. Możliwość dostarczenia energii elektrycznej z innych źródeł ma nie </w:t>
            </w:r>
            <w:r w:rsidRPr="0028666F">
              <w:rPr>
                <w:rFonts w:ascii="Calibri" w:eastAsia="Times New Roman" w:hAnsi="Calibri" w:cs="Calibri"/>
                <w:color w:val="000000"/>
                <w:sz w:val="18"/>
                <w:szCs w:val="18"/>
                <w:lang w:eastAsia="pl-PL"/>
              </w:rPr>
              <w:br w:type="page"/>
              <w:t xml:space="preserve">być tylko droższa niż dostarczenie energii z węgla, a ma być </w:t>
            </w:r>
            <w:r w:rsidRPr="0028666F">
              <w:rPr>
                <w:rFonts w:ascii="Calibri" w:eastAsia="Times New Roman" w:hAnsi="Calibri" w:cs="Calibri"/>
                <w:color w:val="000000"/>
                <w:sz w:val="18"/>
                <w:szCs w:val="18"/>
                <w:lang w:eastAsia="pl-PL"/>
              </w:rPr>
              <w:br w:type="page"/>
              <w:t xml:space="preserve">nieproporcjonalnie droższa. Brak jest jakiekolwiek porównania kosztów w tym </w:t>
            </w:r>
            <w:r w:rsidRPr="0028666F">
              <w:rPr>
                <w:rFonts w:ascii="Calibri" w:eastAsia="Times New Roman" w:hAnsi="Calibri" w:cs="Calibri"/>
                <w:color w:val="000000"/>
                <w:sz w:val="18"/>
                <w:szCs w:val="18"/>
                <w:lang w:eastAsia="pl-PL"/>
              </w:rPr>
              <w:br w:type="page"/>
              <w:t xml:space="preserve">zakresie, brak jakiegokolwiek wykazania aby dostarczenie energii w inny </w:t>
            </w:r>
            <w:r w:rsidRPr="0028666F">
              <w:rPr>
                <w:rFonts w:ascii="Calibri" w:eastAsia="Times New Roman" w:hAnsi="Calibri" w:cs="Calibri"/>
                <w:color w:val="000000"/>
                <w:sz w:val="18"/>
                <w:szCs w:val="18"/>
                <w:lang w:eastAsia="pl-PL"/>
              </w:rPr>
              <w:br w:type="page"/>
              <w:t xml:space="preserve">sposób było nieproporcjonalnie droższe. Uzasadnienie opiera się wyłącznie na </w:t>
            </w:r>
            <w:r w:rsidRPr="0028666F">
              <w:rPr>
                <w:rFonts w:ascii="Calibri" w:eastAsia="Times New Roman" w:hAnsi="Calibri" w:cs="Calibri"/>
                <w:color w:val="000000"/>
                <w:sz w:val="18"/>
                <w:szCs w:val="18"/>
                <w:lang w:eastAsia="pl-PL"/>
              </w:rPr>
              <w:br w:type="page"/>
              <w:t xml:space="preserve">niepotwierdzonych tezach i hasłowych stwierdzeniach (np. że energia z OZE </w:t>
            </w:r>
            <w:r w:rsidRPr="0028666F">
              <w:rPr>
                <w:rFonts w:ascii="Calibri" w:eastAsia="Times New Roman" w:hAnsi="Calibri" w:cs="Calibri"/>
                <w:color w:val="000000"/>
                <w:sz w:val="18"/>
                <w:szCs w:val="18"/>
                <w:lang w:eastAsia="pl-PL"/>
              </w:rPr>
              <w:br w:type="page"/>
              <w:t xml:space="preserve">nie jest konkurencyjna w stosunku do energii z </w:t>
            </w:r>
            <w:r w:rsidRPr="0028666F">
              <w:rPr>
                <w:rFonts w:ascii="Calibri" w:eastAsia="Times New Roman" w:hAnsi="Calibri" w:cs="Calibri"/>
                <w:color w:val="000000"/>
                <w:sz w:val="18"/>
                <w:szCs w:val="18"/>
                <w:lang w:eastAsia="pl-PL"/>
              </w:rPr>
              <w:lastRenderedPageBreak/>
              <w:t xml:space="preserve">węgla, bez wskazania </w:t>
            </w:r>
            <w:r w:rsidRPr="0028666F">
              <w:rPr>
                <w:rFonts w:ascii="Calibri" w:eastAsia="Times New Roman" w:hAnsi="Calibri" w:cs="Calibri"/>
                <w:color w:val="000000"/>
                <w:sz w:val="18"/>
                <w:szCs w:val="18"/>
                <w:lang w:eastAsia="pl-PL"/>
              </w:rPr>
              <w:br w:type="page"/>
              <w:t xml:space="preserve">jakichkolwiek danych). </w:t>
            </w:r>
            <w:r w:rsidRPr="0028666F">
              <w:rPr>
                <w:rFonts w:ascii="Calibri" w:eastAsia="Times New Roman" w:hAnsi="Calibri" w:cs="Calibri"/>
                <w:color w:val="000000"/>
                <w:sz w:val="18"/>
                <w:szCs w:val="18"/>
                <w:lang w:eastAsia="pl-PL"/>
              </w:rPr>
              <w:br w:type="page"/>
              <w:t xml:space="preserve">• Oparcie uzasadnienia na historycznych danych z 2013 roku i 2014 roku, brak </w:t>
            </w:r>
            <w:r w:rsidRPr="0028666F">
              <w:rPr>
                <w:rFonts w:ascii="Calibri" w:eastAsia="Times New Roman" w:hAnsi="Calibri" w:cs="Calibri"/>
                <w:color w:val="000000"/>
                <w:sz w:val="18"/>
                <w:szCs w:val="18"/>
                <w:lang w:eastAsia="pl-PL"/>
              </w:rPr>
              <w:br w:type="page"/>
              <w:t xml:space="preserve">uwzględnienia aktualnych danych (dotyczących np. udziału w OZE w produkcji </w:t>
            </w:r>
            <w:r w:rsidRPr="0028666F">
              <w:rPr>
                <w:rFonts w:ascii="Calibri" w:eastAsia="Times New Roman" w:hAnsi="Calibri" w:cs="Calibri"/>
                <w:color w:val="000000"/>
                <w:sz w:val="18"/>
                <w:szCs w:val="18"/>
                <w:lang w:eastAsia="pl-PL"/>
              </w:rPr>
              <w:br w:type="page"/>
              <w:t xml:space="preserve">energii elektrycznej, który aktualnie wynosi ponad 20%) </w:t>
            </w:r>
            <w:r w:rsidRPr="0028666F">
              <w:rPr>
                <w:rFonts w:ascii="Calibri" w:eastAsia="Times New Roman" w:hAnsi="Calibri" w:cs="Calibri"/>
                <w:color w:val="000000"/>
                <w:sz w:val="18"/>
                <w:szCs w:val="18"/>
                <w:lang w:eastAsia="pl-PL"/>
              </w:rPr>
              <w:br w:type="page"/>
              <w:t xml:space="preserve">• Brak uwzględnienia aktualnych danych dotyczących kosztów produkcji energii </w:t>
            </w:r>
            <w:r w:rsidRPr="0028666F">
              <w:rPr>
                <w:rFonts w:ascii="Calibri" w:eastAsia="Times New Roman" w:hAnsi="Calibri" w:cs="Calibri"/>
                <w:color w:val="000000"/>
                <w:sz w:val="18"/>
                <w:szCs w:val="18"/>
                <w:lang w:eastAsia="pl-PL"/>
              </w:rPr>
              <w:br w:type="page"/>
              <w:t xml:space="preserve">elektrycznej z węgla, jak i kosztów produkcji energii elektrycznej z OZE, w </w:t>
            </w:r>
            <w:r w:rsidRPr="0028666F">
              <w:rPr>
                <w:rFonts w:ascii="Calibri" w:eastAsia="Times New Roman" w:hAnsi="Calibri" w:cs="Calibri"/>
                <w:color w:val="000000"/>
                <w:sz w:val="18"/>
                <w:szCs w:val="18"/>
                <w:lang w:eastAsia="pl-PL"/>
              </w:rPr>
              <w:br w:type="page"/>
              <w:t xml:space="preserve">szczególności brak uwzględnienia aktualnych, bardzo wysokich cen za </w:t>
            </w:r>
            <w:r w:rsidRPr="0028666F">
              <w:rPr>
                <w:rFonts w:ascii="Calibri" w:eastAsia="Times New Roman" w:hAnsi="Calibri" w:cs="Calibri"/>
                <w:color w:val="000000"/>
                <w:sz w:val="18"/>
                <w:szCs w:val="18"/>
                <w:lang w:eastAsia="pl-PL"/>
              </w:rPr>
              <w:br w:type="page"/>
              <w:t xml:space="preserve">uprawnienia do emisji CO2, które obecnie wynoszą aż 64 euro za tonę </w:t>
            </w:r>
            <w:r w:rsidRPr="0028666F">
              <w:rPr>
                <w:rFonts w:ascii="Calibri" w:eastAsia="Times New Roman" w:hAnsi="Calibri" w:cs="Calibri"/>
                <w:color w:val="000000"/>
                <w:sz w:val="18"/>
                <w:szCs w:val="18"/>
                <w:lang w:eastAsia="pl-PL"/>
              </w:rPr>
              <w:br w:type="page"/>
              <w:t xml:space="preserve">(podczas gdy w latach 2013-2014 z których pochodziły dane zawarte w </w:t>
            </w:r>
            <w:r w:rsidRPr="0028666F">
              <w:rPr>
                <w:rFonts w:ascii="Calibri" w:eastAsia="Times New Roman" w:hAnsi="Calibri" w:cs="Calibri"/>
                <w:color w:val="000000"/>
                <w:sz w:val="18"/>
                <w:szCs w:val="18"/>
                <w:lang w:eastAsia="pl-PL"/>
              </w:rPr>
              <w:br w:type="page"/>
              <w:t xml:space="preserve">uzasadnieniu wynosiły poniżej 10 euro za tonę!). Dokonanie analizy w oparciu </w:t>
            </w:r>
            <w:r w:rsidRPr="0028666F">
              <w:rPr>
                <w:rFonts w:ascii="Calibri" w:eastAsia="Times New Roman" w:hAnsi="Calibri" w:cs="Calibri"/>
                <w:color w:val="000000"/>
                <w:sz w:val="18"/>
                <w:szCs w:val="18"/>
                <w:lang w:eastAsia="pl-PL"/>
              </w:rPr>
              <w:br w:type="page"/>
              <w:t xml:space="preserve">o aktualne danych, w szczególności w oparciu o aktualne cenach uprawnień </w:t>
            </w:r>
            <w:r w:rsidRPr="0028666F">
              <w:rPr>
                <w:rFonts w:ascii="Calibri" w:eastAsia="Times New Roman" w:hAnsi="Calibri" w:cs="Calibri"/>
                <w:color w:val="000000"/>
                <w:sz w:val="18"/>
                <w:szCs w:val="18"/>
                <w:lang w:eastAsia="pl-PL"/>
              </w:rPr>
              <w:br w:type="page"/>
              <w:t xml:space="preserve">do emisji CO2, z całą pewnością doprowadziłoby do odmiennych wniosków. </w:t>
            </w:r>
            <w:r w:rsidRPr="0028666F">
              <w:rPr>
                <w:rFonts w:ascii="Calibri" w:eastAsia="Times New Roman" w:hAnsi="Calibri" w:cs="Calibri"/>
                <w:color w:val="000000"/>
                <w:sz w:val="18"/>
                <w:szCs w:val="18"/>
                <w:lang w:eastAsia="pl-PL"/>
              </w:rPr>
              <w:br w:type="page"/>
              <w:t xml:space="preserve">• Brak uwzględnienie spadku kosztów produkcji energii z OZE w stosunku do </w:t>
            </w:r>
            <w:r w:rsidRPr="0028666F">
              <w:rPr>
                <w:rFonts w:ascii="Calibri" w:eastAsia="Times New Roman" w:hAnsi="Calibri" w:cs="Calibri"/>
                <w:color w:val="000000"/>
                <w:sz w:val="18"/>
                <w:szCs w:val="18"/>
                <w:lang w:eastAsia="pl-PL"/>
              </w:rPr>
              <w:br w:type="page"/>
              <w:t xml:space="preserve">danych z 2013/2014 roku. Nie jest jasne jakie koszty produkcji energii z OZE </w:t>
            </w:r>
            <w:r w:rsidRPr="0028666F">
              <w:rPr>
                <w:rFonts w:ascii="Calibri" w:eastAsia="Times New Roman" w:hAnsi="Calibri" w:cs="Calibri"/>
                <w:color w:val="000000"/>
                <w:sz w:val="18"/>
                <w:szCs w:val="18"/>
                <w:lang w:eastAsia="pl-PL"/>
              </w:rPr>
              <w:br w:type="page"/>
              <w:t xml:space="preserve">zostały przyjęte, albowiem w żaden sposób nie wynika to z uzasadnienia </w:t>
            </w:r>
            <w:r w:rsidRPr="0028666F">
              <w:rPr>
                <w:rFonts w:ascii="Calibri" w:eastAsia="Times New Roman" w:hAnsi="Calibri" w:cs="Calibri"/>
                <w:color w:val="000000"/>
                <w:sz w:val="18"/>
                <w:szCs w:val="18"/>
                <w:lang w:eastAsia="pl-PL"/>
              </w:rPr>
              <w:br w:type="page"/>
              <w:t xml:space="preserve">odstępstwa, jednakże zdecydowanie należy założyć, iż były to historyczne </w:t>
            </w:r>
            <w:r w:rsidRPr="0028666F">
              <w:rPr>
                <w:rFonts w:ascii="Calibri" w:eastAsia="Times New Roman" w:hAnsi="Calibri" w:cs="Calibri"/>
                <w:color w:val="000000"/>
                <w:sz w:val="18"/>
                <w:szCs w:val="18"/>
                <w:lang w:eastAsia="pl-PL"/>
              </w:rPr>
              <w:br w:type="page"/>
              <w:t xml:space="preserve">dane, tak jak dane dotyczące udziału OZE w produkcji energii czy też importu </w:t>
            </w:r>
            <w:r w:rsidRPr="0028666F">
              <w:rPr>
                <w:rFonts w:ascii="Calibri" w:eastAsia="Times New Roman" w:hAnsi="Calibri" w:cs="Calibri"/>
                <w:color w:val="000000"/>
                <w:sz w:val="18"/>
                <w:szCs w:val="18"/>
                <w:lang w:eastAsia="pl-PL"/>
              </w:rPr>
              <w:br w:type="page"/>
              <w:t xml:space="preserve">węgla. </w:t>
            </w:r>
            <w:r w:rsidRPr="0028666F">
              <w:rPr>
                <w:rFonts w:ascii="Calibri" w:eastAsia="Times New Roman" w:hAnsi="Calibri" w:cs="Calibri"/>
                <w:color w:val="000000"/>
                <w:sz w:val="18"/>
                <w:szCs w:val="18"/>
                <w:lang w:eastAsia="pl-PL"/>
              </w:rPr>
              <w:br w:type="page"/>
              <w:t xml:space="preserve">• Analizy eksperckie wręcz pokazują, że opieranie w dalszym ciągu energetyki na </w:t>
            </w:r>
            <w:r w:rsidRPr="0028666F">
              <w:rPr>
                <w:rFonts w:ascii="Calibri" w:eastAsia="Times New Roman" w:hAnsi="Calibri" w:cs="Calibri"/>
                <w:color w:val="000000"/>
                <w:sz w:val="18"/>
                <w:szCs w:val="18"/>
                <w:lang w:eastAsia="pl-PL"/>
              </w:rPr>
              <w:br w:type="page"/>
              <w:t xml:space="preserve">węglu doprowadzi do gwałtownego wzrostu kosztu wytwarzania energii </w:t>
            </w:r>
            <w:r w:rsidRPr="0028666F">
              <w:rPr>
                <w:rFonts w:ascii="Calibri" w:eastAsia="Times New Roman" w:hAnsi="Calibri" w:cs="Calibri"/>
                <w:color w:val="000000"/>
                <w:sz w:val="18"/>
                <w:szCs w:val="18"/>
                <w:lang w:eastAsia="pl-PL"/>
              </w:rPr>
              <w:br w:type="page"/>
              <w:t xml:space="preserve">elektrycznej aż o 61 % w latach 2021 – 20307.Zastosowanie scenariusza </w:t>
            </w:r>
            <w:r w:rsidRPr="0028666F">
              <w:rPr>
                <w:rFonts w:ascii="Calibri" w:eastAsia="Times New Roman" w:hAnsi="Calibri" w:cs="Calibri"/>
                <w:color w:val="000000"/>
                <w:sz w:val="18"/>
                <w:szCs w:val="18"/>
                <w:lang w:eastAsia="pl-PL"/>
              </w:rPr>
              <w:br w:type="page"/>
              <w:t xml:space="preserve">rozwoju OZE proponowanego przez ekspertów może zmniejszyć ten koszt w </w:t>
            </w:r>
            <w:r w:rsidRPr="0028666F">
              <w:rPr>
                <w:rFonts w:ascii="Calibri" w:eastAsia="Times New Roman" w:hAnsi="Calibri" w:cs="Calibri"/>
                <w:color w:val="000000"/>
                <w:sz w:val="18"/>
                <w:szCs w:val="18"/>
                <w:lang w:eastAsia="pl-PL"/>
              </w:rPr>
              <w:br w:type="page"/>
              <w:t xml:space="preserve">2030 roku o 31-50% w stosunku do scenariusza „węglowego”. W związku z tym </w:t>
            </w:r>
            <w:r w:rsidRPr="0028666F">
              <w:rPr>
                <w:rFonts w:ascii="Calibri" w:eastAsia="Times New Roman" w:hAnsi="Calibri" w:cs="Calibri"/>
                <w:color w:val="000000"/>
                <w:sz w:val="18"/>
                <w:szCs w:val="18"/>
                <w:lang w:eastAsia="pl-PL"/>
              </w:rPr>
              <w:br w:type="page"/>
              <w:t xml:space="preserve">wydobywanie węgla do produkcji energii elektrycznej nie jest w żaden sposób </w:t>
            </w:r>
            <w:r w:rsidRPr="0028666F">
              <w:rPr>
                <w:rFonts w:ascii="Calibri" w:eastAsia="Times New Roman" w:hAnsi="Calibri" w:cs="Calibri"/>
                <w:color w:val="000000"/>
                <w:sz w:val="18"/>
                <w:szCs w:val="18"/>
                <w:lang w:eastAsia="pl-PL"/>
              </w:rPr>
              <w:br w:type="page"/>
              <w:t xml:space="preserve">korzystniejszą ekonomicznie opcją w stosunku do innych dostępnych </w:t>
            </w:r>
            <w:r w:rsidRPr="0028666F">
              <w:rPr>
                <w:rFonts w:ascii="Calibri" w:eastAsia="Times New Roman" w:hAnsi="Calibri" w:cs="Calibri"/>
                <w:color w:val="000000"/>
                <w:sz w:val="18"/>
                <w:szCs w:val="18"/>
                <w:lang w:eastAsia="pl-PL"/>
              </w:rPr>
              <w:br w:type="page"/>
              <w:t xml:space="preserve">możliwości.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2) Wydobycie węgla kamiennego ze złóż na podstawie koncesji z kopalń Katowickiego </w:t>
            </w:r>
            <w:r w:rsidRPr="0028666F">
              <w:rPr>
                <w:rFonts w:ascii="Calibri" w:eastAsia="Times New Roman" w:hAnsi="Calibri" w:cs="Calibri"/>
                <w:color w:val="000000"/>
                <w:sz w:val="18"/>
                <w:szCs w:val="18"/>
                <w:lang w:eastAsia="pl-PL"/>
              </w:rPr>
              <w:br w:type="page"/>
              <w:t xml:space="preserve">Holdingu Węglowego S.A. - przedłużenie posiadanych koncesji (kod ID W_208_W): </w:t>
            </w:r>
            <w:r w:rsidRPr="0028666F">
              <w:rPr>
                <w:rFonts w:ascii="Calibri" w:eastAsia="Times New Roman" w:hAnsi="Calibri" w:cs="Calibri"/>
                <w:color w:val="000000"/>
                <w:sz w:val="18"/>
                <w:szCs w:val="18"/>
                <w:lang w:eastAsia="pl-PL"/>
              </w:rPr>
              <w:br w:type="page"/>
              <w:t xml:space="preserve">a. brak wydanej decyzji środowiskowej, </w:t>
            </w:r>
            <w:r w:rsidRPr="0028666F">
              <w:rPr>
                <w:rFonts w:ascii="Calibri" w:eastAsia="Times New Roman" w:hAnsi="Calibri" w:cs="Calibri"/>
                <w:color w:val="000000"/>
                <w:sz w:val="18"/>
                <w:szCs w:val="18"/>
                <w:lang w:eastAsia="pl-PL"/>
              </w:rPr>
              <w:br w:type="page"/>
              <w:t xml:space="preserve">b. </w:t>
            </w:r>
            <w:r w:rsidRPr="0028666F">
              <w:rPr>
                <w:rFonts w:ascii="Calibri" w:eastAsia="Times New Roman" w:hAnsi="Calibri" w:cs="Calibri"/>
                <w:color w:val="000000"/>
                <w:sz w:val="18"/>
                <w:szCs w:val="18"/>
                <w:lang w:eastAsia="pl-PL"/>
              </w:rPr>
              <w:lastRenderedPageBreak/>
              <w:t xml:space="preserve">brak wykazania, że korzystne cele, którym służy ta inwestycja nie mogą być ze </w:t>
            </w:r>
            <w:r w:rsidRPr="0028666F">
              <w:rPr>
                <w:rFonts w:ascii="Calibri" w:eastAsia="Times New Roman" w:hAnsi="Calibri" w:cs="Calibri"/>
                <w:color w:val="000000"/>
                <w:sz w:val="18"/>
                <w:szCs w:val="18"/>
                <w:lang w:eastAsia="pl-PL"/>
              </w:rPr>
              <w:br w:type="page"/>
              <w:t xml:space="preserve">względu na możliwości techniczne lub nieproporcjonalne koszty osiągnięte za </w:t>
            </w:r>
            <w:r w:rsidRPr="0028666F">
              <w:rPr>
                <w:rFonts w:ascii="Calibri" w:eastAsia="Times New Roman" w:hAnsi="Calibri" w:cs="Calibri"/>
                <w:color w:val="000000"/>
                <w:sz w:val="18"/>
                <w:szCs w:val="18"/>
                <w:lang w:eastAsia="pl-PL"/>
              </w:rPr>
              <w:br w:type="page"/>
              <w:t xml:space="preserve">pomocą innych działań, znacznie korzystniejszych z punktu widzenia </w:t>
            </w:r>
            <w:r w:rsidRPr="0028666F">
              <w:rPr>
                <w:rFonts w:ascii="Calibri" w:eastAsia="Times New Roman" w:hAnsi="Calibri" w:cs="Calibri"/>
                <w:color w:val="000000"/>
                <w:sz w:val="18"/>
                <w:szCs w:val="18"/>
                <w:lang w:eastAsia="pl-PL"/>
              </w:rPr>
              <w:br w:type="page"/>
              <w:t xml:space="preserve">środowiska naturalnego.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treści uzasadnienia odstępstwa wskazano, że wydobywanie węgla kamiennego przez inwestora umożliwi produkcję energii elektrycznej, co nie może być osiągnięte innymi, bardziej korzystnymi ze względów środowiskowych, metodami, z uwagi na brak możliwości realizacji polityki energetycznej kraju, a tym samym zapewnienia bezpieczeństwa energetycznego Polski. Całość uzasadnienia odstępstwa opiera się wyłącznie na wykazaniu, że Polityka energetyczna Polski do 2030 roku oraz projekt Polityki energetycznej Polski do 2040 roku przewiduje znaczny udział węgla. W związku </w:t>
            </w:r>
            <w:r w:rsidRPr="0028666F">
              <w:rPr>
                <w:rFonts w:ascii="Calibri" w:eastAsia="Times New Roman" w:hAnsi="Calibri" w:cs="Calibri"/>
                <w:color w:val="000000"/>
                <w:sz w:val="18"/>
                <w:szCs w:val="18"/>
                <w:lang w:eastAsia="pl-PL"/>
              </w:rPr>
              <w:br w:type="page"/>
              <w:t xml:space="preserve">z tym w ocenie autora uzasadnienia przyznanie odstępstwa jest konieczne.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Fundacja wskazuje, iż powyższe okoliczności pozostają bez znaczenia dla przyznania odstępstwa. Warunkiem przyznania odstępstwa jest wykazania, że korzystne cele, którym służy inwestycja nie mogą być osiągnięte za pomocą innych działań, znacznie korzystniejszych z punktu widzenia środowiska naturalnego, ze względu na możliwości techniczne lub nieproporcjonalne koszty. Bez znaczenie dla spełnienie warunków przyznania odstępstwa jest fakt czy jakiś dokument wewnętrzny jak np. polityka energetyczna państwa, przewiduje określone działanie. Jedyne warunki uzasadniające przyznanie odstępstwa winny dotyczyć albo braku możliwości technicznych podjęcia </w:t>
            </w:r>
            <w:r w:rsidRPr="0028666F">
              <w:rPr>
                <w:rFonts w:ascii="Calibri" w:eastAsia="Times New Roman" w:hAnsi="Calibri" w:cs="Calibri"/>
                <w:color w:val="000000"/>
                <w:sz w:val="18"/>
                <w:szCs w:val="18"/>
                <w:lang w:eastAsia="pl-PL"/>
              </w:rPr>
              <w:br w:type="page"/>
              <w:t xml:space="preserve">innych działań albo ich nieproporcjonalnie wysokich kosztów. W uzasadnieniu </w:t>
            </w:r>
            <w:r w:rsidRPr="0028666F">
              <w:rPr>
                <w:rFonts w:ascii="Calibri" w:eastAsia="Times New Roman" w:hAnsi="Calibri" w:cs="Calibri"/>
                <w:color w:val="000000"/>
                <w:sz w:val="18"/>
                <w:szCs w:val="18"/>
                <w:lang w:eastAsia="pl-PL"/>
              </w:rPr>
              <w:br w:type="page"/>
              <w:t xml:space="preserve">dla przyznanego odstępstwa brak jest jakichkolwiek argumentów dotyczących braku możliwości technicznych lub nieproporcjonalnie wysokich kosztów.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Niezależnie od powyższego Fundacja wskazuje, że analizy eksperckie pokazują, że opieranie w dalszym ciągu </w:t>
            </w:r>
            <w:r w:rsidRPr="0028666F">
              <w:rPr>
                <w:rFonts w:ascii="Calibri" w:eastAsia="Times New Roman" w:hAnsi="Calibri" w:cs="Calibri"/>
                <w:color w:val="000000"/>
                <w:sz w:val="18"/>
                <w:szCs w:val="18"/>
                <w:lang w:eastAsia="pl-PL"/>
              </w:rPr>
              <w:lastRenderedPageBreak/>
              <w:t xml:space="preserve">energetyki na węglu, tak jak wynika to z Polityki energetycznej polski do 2040 roku (PEP2040), doprowadzi do gwałtownego wzrostu kosztu wytwarzania energii elektrycznej aż o 61 % w latach 2021 – 2030. Zastosowanie zaś scenariusza rozwoju OZE proponowanego przez ekspertów może zmniejszyć ten koszt w 2030 roku o 31-50% w stosunku do PEP2040. W związku z tym wydobywanie węgla do produkcji energii elektrycznej nie jest w żaden sposób korzystniejszą ekonomicznie opcją w </w:t>
            </w:r>
            <w:r w:rsidRPr="0028666F">
              <w:rPr>
                <w:rFonts w:ascii="Calibri" w:eastAsia="Times New Roman" w:hAnsi="Calibri" w:cs="Calibri"/>
                <w:color w:val="000000"/>
                <w:sz w:val="18"/>
                <w:szCs w:val="18"/>
                <w:lang w:eastAsia="pl-PL"/>
              </w:rPr>
              <w:br w:type="page"/>
              <w:t xml:space="preserve">stosunku do innych dostępnych możliwości.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Uwzględniając powyższe stwierdzić należy, iż w przypadku wszystkich wskazanych powyżej odstępstw nie zostało wykazane spełnienie przesłanek do ich przyznania, jak również brak jest dowodu aby przeprowadzona została należyta analiza w tym zakresie. </w:t>
            </w:r>
          </w:p>
        </w:tc>
        <w:tc>
          <w:tcPr>
            <w:tcW w:w="1720" w:type="dxa"/>
            <w:tcBorders>
              <w:top w:val="nil"/>
              <w:left w:val="nil"/>
              <w:bottom w:val="single" w:sz="4" w:space="0" w:color="auto"/>
              <w:right w:val="single" w:sz="4" w:space="0" w:color="auto"/>
            </w:tcBorders>
            <w:shd w:val="clear" w:color="000000" w:fill="FFFFFF"/>
            <w:hideMark/>
          </w:tcPr>
          <w:p w14:paraId="07AE265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FFrankBold_IIaPGW_Odra</w:t>
            </w:r>
          </w:p>
        </w:tc>
        <w:tc>
          <w:tcPr>
            <w:tcW w:w="1014" w:type="dxa"/>
            <w:tcBorders>
              <w:top w:val="nil"/>
              <w:left w:val="nil"/>
              <w:bottom w:val="single" w:sz="4" w:space="0" w:color="auto"/>
              <w:right w:val="single" w:sz="4" w:space="0" w:color="auto"/>
            </w:tcBorders>
            <w:shd w:val="clear" w:color="auto" w:fill="auto"/>
            <w:hideMark/>
          </w:tcPr>
          <w:p w14:paraId="3F0279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D0A7A23" w14:textId="5618901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21164E8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336D13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33</w:t>
            </w:r>
          </w:p>
        </w:tc>
        <w:tc>
          <w:tcPr>
            <w:tcW w:w="970" w:type="dxa"/>
            <w:tcBorders>
              <w:top w:val="nil"/>
              <w:left w:val="nil"/>
              <w:bottom w:val="single" w:sz="4" w:space="0" w:color="auto"/>
              <w:right w:val="nil"/>
            </w:tcBorders>
          </w:tcPr>
          <w:p w14:paraId="19057AE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Galewicach</w:t>
            </w:r>
          </w:p>
        </w:tc>
        <w:tc>
          <w:tcPr>
            <w:tcW w:w="165" w:type="dxa"/>
            <w:tcBorders>
              <w:top w:val="nil"/>
              <w:left w:val="nil"/>
              <w:bottom w:val="single" w:sz="4" w:space="0" w:color="auto"/>
              <w:right w:val="single" w:sz="4" w:space="0" w:color="auto"/>
            </w:tcBorders>
            <w:shd w:val="clear" w:color="auto" w:fill="auto"/>
          </w:tcPr>
          <w:p w14:paraId="0248F23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8123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 działań krajowych</w:t>
            </w:r>
          </w:p>
        </w:tc>
        <w:tc>
          <w:tcPr>
            <w:tcW w:w="5000" w:type="dxa"/>
            <w:tcBorders>
              <w:top w:val="nil"/>
              <w:left w:val="nil"/>
              <w:bottom w:val="single" w:sz="4" w:space="0" w:color="auto"/>
              <w:right w:val="single" w:sz="4" w:space="0" w:color="auto"/>
            </w:tcBorders>
            <w:shd w:val="clear" w:color="auto" w:fill="auto"/>
            <w:hideMark/>
          </w:tcPr>
          <w:p w14:paraId="4C348D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wykazie inwestycji i działań brak informacji o Zbiorniku Okoń, którego budowa jest kluczowa dla Gminy Galewice oraz sąsiednich regionów do walki i zapobieganiu skutkom suszy.</w:t>
            </w:r>
          </w:p>
        </w:tc>
        <w:tc>
          <w:tcPr>
            <w:tcW w:w="2733" w:type="dxa"/>
            <w:tcBorders>
              <w:top w:val="nil"/>
              <w:left w:val="nil"/>
              <w:bottom w:val="single" w:sz="4" w:space="0" w:color="auto"/>
              <w:right w:val="single" w:sz="4" w:space="0" w:color="auto"/>
            </w:tcBorders>
            <w:shd w:val="clear" w:color="auto" w:fill="auto"/>
            <w:hideMark/>
          </w:tcPr>
          <w:p w14:paraId="171800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Dodanie do wykazu inwestycji i działań zadania dot. budowy zbiornika Okoń oraz podjęcie działań w celu jego realizacji</w:t>
            </w:r>
          </w:p>
        </w:tc>
        <w:tc>
          <w:tcPr>
            <w:tcW w:w="3009" w:type="dxa"/>
            <w:tcBorders>
              <w:top w:val="nil"/>
              <w:left w:val="nil"/>
              <w:bottom w:val="single" w:sz="4" w:space="0" w:color="auto"/>
              <w:right w:val="single" w:sz="4" w:space="0" w:color="auto"/>
            </w:tcBorders>
            <w:shd w:val="clear" w:color="auto" w:fill="auto"/>
            <w:hideMark/>
          </w:tcPr>
          <w:p w14:paraId="0EE6D7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 terenie Gminy Galewice występują stałe obszary dotknięte niedoborem wody, który spowodowany jest nikłymi opadami deszczu oraz braku miejsca, które zbierałoby i zatrzymywało wodę. Gmina Galewice od ponad 12 lat stara się o budowę zbiornika retencyjnego na rzece Struga Węglewska, będącą dorzeczem rzeki Prosna, w okolicy m. Okoń. Dokonano już ponad 90% wykupu gruntów potrzebnych pod realizację inwestycji oraz sporządzono Koncepcję konstrukcyjno-budowlaną, obecnie Gmina jest w trakcie opracowywania decyzji środowiskowej dot. oddziaływania zadania na środowisko. Zawiązano współpracę z Lasami Państwowymi oraz zawiązano porozumienie z sąsiednimi gminami w ramach „Lokalnego Partnerstwa ds. Wody”.  Wystąpiono z wnioskiem do programu małej retencji woj. Łódzkiego, Zawiązano z Urzędem Marszałkowskim Województwa Łódzkiego współpracę w ramach której UM zgłosił zbiornik Okoń do Planu przeciwdziałania skutkom suszy., Zbiornik wpisuje się również w nową strategię województwa łódzkiego. </w:t>
            </w:r>
            <w:r w:rsidRPr="0028666F">
              <w:rPr>
                <w:rFonts w:ascii="Calibri" w:eastAsia="Times New Roman" w:hAnsi="Calibri" w:cs="Calibri"/>
                <w:color w:val="000000"/>
                <w:sz w:val="18"/>
                <w:szCs w:val="18"/>
                <w:lang w:eastAsia="pl-PL"/>
              </w:rPr>
              <w:br/>
              <w:t xml:space="preserve">W związku z prognozami ukazującymi pogłębianie się obszarów suchych w przyszłych latach, Gmina Galewice uważa, iż jak najszybsza budowa </w:t>
            </w:r>
            <w:r w:rsidRPr="0028666F">
              <w:rPr>
                <w:rFonts w:ascii="Calibri" w:eastAsia="Times New Roman" w:hAnsi="Calibri" w:cs="Calibri"/>
                <w:color w:val="000000"/>
                <w:sz w:val="18"/>
                <w:szCs w:val="18"/>
                <w:lang w:eastAsia="pl-PL"/>
              </w:rPr>
              <w:lastRenderedPageBreak/>
              <w:t>zbiornika retencyjnego Okoń jest kluczowa w walce ze skutkami suszy na terenie gminy oraz sąsiednich regionów.</w:t>
            </w:r>
          </w:p>
        </w:tc>
        <w:tc>
          <w:tcPr>
            <w:tcW w:w="1720" w:type="dxa"/>
            <w:tcBorders>
              <w:top w:val="nil"/>
              <w:left w:val="nil"/>
              <w:bottom w:val="single" w:sz="4" w:space="0" w:color="auto"/>
              <w:right w:val="single" w:sz="4" w:space="0" w:color="auto"/>
            </w:tcBorders>
            <w:shd w:val="clear" w:color="000000" w:fill="FFFFFF"/>
            <w:hideMark/>
          </w:tcPr>
          <w:p w14:paraId="48EB538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 - </w:t>
            </w:r>
          </w:p>
        </w:tc>
        <w:tc>
          <w:tcPr>
            <w:tcW w:w="1014" w:type="dxa"/>
            <w:tcBorders>
              <w:top w:val="nil"/>
              <w:left w:val="nil"/>
              <w:bottom w:val="single" w:sz="4" w:space="0" w:color="auto"/>
              <w:right w:val="single" w:sz="4" w:space="0" w:color="auto"/>
            </w:tcBorders>
            <w:shd w:val="clear" w:color="auto" w:fill="auto"/>
            <w:hideMark/>
          </w:tcPr>
          <w:p w14:paraId="06EFDD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B1EA1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Wykazie Inwestycji i Działań mogą się znaleźć wyłącznie informacje o nowych przedsięwzięciach, co do których stwierdzono że mogą one uniemożliwić osiągnięcie celów środowiskowych lub/oraz pogorszyć stan wód i dla których ustalono odstępstwo w trybie art. 4 ust. 7 Ramowej Dyrektywy Wodnej (w aPGW z 2016 r. lub w decyzji administracyjnej wydanej z zastosowaniem art. 68 ustawy Prawo wodne). Pozostałe inwestycje nie mogą się znaleźć w Wykazie Inwestycji i Działań (brak prawnej możliwości, brak merytorycznej potrzeby) - warto jednak pamiętać, że brak ujęcia przedsięwzięcia w ww. Wykazie nie oznacza braku możliwości realizacji inwestycji, nie blokuje też możliwości pozyskania środków finansowych z funduszy publicznych.</w:t>
            </w:r>
          </w:p>
        </w:tc>
      </w:tr>
      <w:tr w:rsidR="007C2B40" w:rsidRPr="0028666F" w14:paraId="081341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CFC88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w:t>
            </w:r>
          </w:p>
        </w:tc>
        <w:tc>
          <w:tcPr>
            <w:tcW w:w="970" w:type="dxa"/>
            <w:tcBorders>
              <w:top w:val="nil"/>
              <w:left w:val="nil"/>
              <w:bottom w:val="single" w:sz="4" w:space="0" w:color="auto"/>
              <w:right w:val="nil"/>
            </w:tcBorders>
          </w:tcPr>
          <w:p w14:paraId="114D501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Polska Grupa Górnicza S.A.</w:t>
            </w:r>
          </w:p>
        </w:tc>
        <w:tc>
          <w:tcPr>
            <w:tcW w:w="165" w:type="dxa"/>
            <w:tcBorders>
              <w:top w:val="nil"/>
              <w:left w:val="nil"/>
              <w:bottom w:val="single" w:sz="4" w:space="0" w:color="auto"/>
              <w:right w:val="single" w:sz="4" w:space="0" w:color="auto"/>
            </w:tcBorders>
            <w:shd w:val="clear" w:color="auto" w:fill="auto"/>
          </w:tcPr>
          <w:p w14:paraId="5E075DA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A07F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7471A73" w14:textId="1D8EE2A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planu do którego zgłaszana jest uwaga: Załącznik II aPGW OD Odra cz.1, Załącznik nr 6 — Wykaz działań OD_Odra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 Wnioskujemy o wpisanie do istniejącego wykazu inwestycji i działań inwestycji </w:t>
            </w:r>
            <w:r w:rsidRPr="0028666F">
              <w:rPr>
                <w:rFonts w:ascii="Calibri" w:eastAsia="Times New Roman" w:hAnsi="Calibri" w:cs="Calibri"/>
                <w:color w:val="000000"/>
                <w:sz w:val="18"/>
                <w:szCs w:val="18"/>
                <w:lang w:eastAsia="pl-PL"/>
              </w:rPr>
              <w:br/>
              <w:t xml:space="preserve">prowadzonych przez : </w:t>
            </w:r>
            <w:r w:rsidRPr="0028666F">
              <w:rPr>
                <w:rFonts w:ascii="Calibri" w:eastAsia="Times New Roman" w:hAnsi="Calibri" w:cs="Calibri"/>
                <w:color w:val="000000"/>
                <w:sz w:val="18"/>
                <w:szCs w:val="18"/>
                <w:lang w:eastAsia="pl-PL"/>
              </w:rPr>
              <w:br/>
              <w:t xml:space="preserve">I. PGG S.A Oddział KWK Ruda Ruch Bielszowice, </w:t>
            </w:r>
            <w:r w:rsidRPr="0028666F">
              <w:rPr>
                <w:rFonts w:ascii="Calibri" w:eastAsia="Times New Roman" w:hAnsi="Calibri" w:cs="Calibri"/>
                <w:color w:val="000000"/>
                <w:sz w:val="18"/>
                <w:szCs w:val="18"/>
                <w:lang w:eastAsia="pl-PL"/>
              </w:rPr>
              <w:br/>
              <w:t xml:space="preserve">II. PGG S.A Oddział KWK Ruda Ruch Halemba, </w:t>
            </w:r>
            <w:r w:rsidRPr="0028666F">
              <w:rPr>
                <w:rFonts w:ascii="Calibri" w:eastAsia="Times New Roman" w:hAnsi="Calibri" w:cs="Calibri"/>
                <w:color w:val="000000"/>
                <w:sz w:val="18"/>
                <w:szCs w:val="18"/>
                <w:lang w:eastAsia="pl-PL"/>
              </w:rPr>
              <w:br/>
              <w:t xml:space="preserve">III. PGG S.A Oddział KWK Sośnica, </w:t>
            </w:r>
            <w:r w:rsidRPr="0028666F">
              <w:rPr>
                <w:rFonts w:ascii="Calibri" w:eastAsia="Times New Roman" w:hAnsi="Calibri" w:cs="Calibri"/>
                <w:color w:val="000000"/>
                <w:sz w:val="18"/>
                <w:szCs w:val="18"/>
                <w:lang w:eastAsia="pl-PL"/>
              </w:rPr>
              <w:br/>
              <w:t xml:space="preserve">IV. PGG S.A Oddział KWK ROW Ruch Jankowice, </w:t>
            </w:r>
            <w:r w:rsidRPr="0028666F">
              <w:rPr>
                <w:rFonts w:ascii="Calibri" w:eastAsia="Times New Roman" w:hAnsi="Calibri" w:cs="Calibri"/>
                <w:color w:val="000000"/>
                <w:sz w:val="18"/>
                <w:szCs w:val="18"/>
                <w:lang w:eastAsia="pl-PL"/>
              </w:rPr>
              <w:br/>
              <w:t xml:space="preserve">V. PGG S.A Oddział KWK ROW Ruch Chwałowice, </w:t>
            </w:r>
            <w:r w:rsidRPr="0028666F">
              <w:rPr>
                <w:rFonts w:ascii="Calibri" w:eastAsia="Times New Roman" w:hAnsi="Calibri" w:cs="Calibri"/>
                <w:color w:val="000000"/>
                <w:sz w:val="18"/>
                <w:szCs w:val="18"/>
                <w:lang w:eastAsia="pl-PL"/>
              </w:rPr>
              <w:br/>
              <w:t xml:space="preserve">VI. PGG S.A Oddział KWK ROW Ruch Marcel, </w:t>
            </w:r>
            <w:r w:rsidRPr="0028666F">
              <w:rPr>
                <w:rFonts w:ascii="Calibri" w:eastAsia="Times New Roman" w:hAnsi="Calibri" w:cs="Calibri"/>
                <w:color w:val="000000"/>
                <w:sz w:val="18"/>
                <w:szCs w:val="18"/>
                <w:lang w:eastAsia="pl-PL"/>
              </w:rPr>
              <w:br/>
              <w:t xml:space="preserve">VII. PGG S.A Oddział KWK ROW Ruch Rydułtowy,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 objęcie ich odstępstwem z art.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Uzasadnienie uwagi znajduje się w załączonym pliku.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 Wniosek o zastosowanie odstępstw z art. 4 ust. 5 Ramowej Dyrektywy Wodnej </w:t>
            </w:r>
            <w:r w:rsidRPr="0028666F">
              <w:rPr>
                <w:rFonts w:ascii="Calibri" w:eastAsia="Times New Roman" w:hAnsi="Calibri" w:cs="Calibri"/>
                <w:color w:val="000000"/>
                <w:sz w:val="18"/>
                <w:szCs w:val="18"/>
                <w:lang w:eastAsia="pl-PL"/>
              </w:rPr>
              <w:br/>
              <w:t xml:space="preserve">Załącznik nr 8— wykaz odstępstw _ Odra, Zakładka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Odra </w:t>
            </w:r>
            <w:r w:rsidRPr="0028666F">
              <w:rPr>
                <w:rFonts w:ascii="Calibri" w:eastAsia="Times New Roman" w:hAnsi="Calibri" w:cs="Calibri"/>
                <w:color w:val="000000"/>
                <w:sz w:val="18"/>
                <w:szCs w:val="18"/>
                <w:lang w:eastAsia="pl-PL"/>
              </w:rPr>
              <w:br/>
              <w:t xml:space="preserve">Wnioskujemy o objęcie odstępstwem z art. 4 ust.5 RDW tj. ustalenie mniej rygorystycznych celów środowiskowych ze względu na brak możliwości technicznych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 xml:space="preserve">Nacyna: kod RW600006115645, </w:t>
            </w:r>
            <w:r w:rsidRPr="0028666F">
              <w:rPr>
                <w:rFonts w:ascii="Calibri" w:eastAsia="Times New Roman" w:hAnsi="Calibri" w:cs="Calibri"/>
                <w:color w:val="000000"/>
                <w:sz w:val="18"/>
                <w:szCs w:val="18"/>
                <w:lang w:eastAsia="pl-PL"/>
              </w:rPr>
              <w:br/>
              <w:t xml:space="preserve">Ruda: kod RW600006116519, </w:t>
            </w:r>
            <w:r w:rsidRPr="0028666F">
              <w:rPr>
                <w:rFonts w:ascii="Calibri" w:eastAsia="Times New Roman" w:hAnsi="Calibri" w:cs="Calibri"/>
                <w:color w:val="000000"/>
                <w:sz w:val="18"/>
                <w:szCs w:val="18"/>
                <w:lang w:eastAsia="pl-PL"/>
              </w:rPr>
              <w:br/>
              <w:t xml:space="preserve">Gzel: kod RW600006115651499, </w:t>
            </w:r>
            <w:r w:rsidRPr="0028666F">
              <w:rPr>
                <w:rFonts w:ascii="Calibri" w:eastAsia="Times New Roman" w:hAnsi="Calibri" w:cs="Calibri"/>
                <w:color w:val="000000"/>
                <w:sz w:val="18"/>
                <w:szCs w:val="18"/>
                <w:lang w:eastAsia="pl-PL"/>
              </w:rPr>
              <w:br/>
              <w:t xml:space="preserve">ocenione jako silnie zmieniona część wód, której źródłem presji antropogenicznej </w:t>
            </w:r>
            <w:r w:rsidRPr="0028666F">
              <w:rPr>
                <w:rFonts w:ascii="Calibri" w:eastAsia="Times New Roman" w:hAnsi="Calibri" w:cs="Calibri"/>
                <w:color w:val="000000"/>
                <w:sz w:val="18"/>
                <w:szCs w:val="18"/>
                <w:lang w:eastAsia="pl-PL"/>
              </w:rPr>
              <w:br/>
              <w:t xml:space="preserve">determinującej stan wód jest również przemysł wydobywczy (górnictwo). </w:t>
            </w:r>
            <w:r w:rsidRPr="0028666F">
              <w:rPr>
                <w:rFonts w:ascii="Calibri" w:eastAsia="Times New Roman" w:hAnsi="Calibri" w:cs="Calibri"/>
                <w:color w:val="000000"/>
                <w:sz w:val="18"/>
                <w:szCs w:val="18"/>
                <w:lang w:eastAsia="pl-PL"/>
              </w:rPr>
              <w:br/>
              <w:t xml:space="preserve">Biorąc pod uwagę że: </w:t>
            </w:r>
            <w:r w:rsidRPr="0028666F">
              <w:rPr>
                <w:rFonts w:ascii="Calibri" w:eastAsia="Times New Roman" w:hAnsi="Calibri" w:cs="Calibri"/>
                <w:color w:val="000000"/>
                <w:sz w:val="18"/>
                <w:szCs w:val="18"/>
                <w:lang w:eastAsia="pl-PL"/>
              </w:rPr>
              <w:br/>
              <w:t xml:space="preserve">- zasolenie jest jednym z wielu czynników wpływających na zanieczyszczenie rzek, nie </w:t>
            </w:r>
            <w:r w:rsidRPr="0028666F">
              <w:rPr>
                <w:rFonts w:ascii="Calibri" w:eastAsia="Times New Roman" w:hAnsi="Calibri" w:cs="Calibri"/>
                <w:color w:val="000000"/>
                <w:sz w:val="18"/>
                <w:szCs w:val="18"/>
                <w:lang w:eastAsia="pl-PL"/>
              </w:rPr>
              <w:br/>
              <w:t xml:space="preserve">determinuje jednak życia biologicznego w rzekach, nie wpływa na zahamowanie procesu </w:t>
            </w:r>
            <w:r w:rsidRPr="0028666F">
              <w:rPr>
                <w:rFonts w:ascii="Calibri" w:eastAsia="Times New Roman" w:hAnsi="Calibri" w:cs="Calibri"/>
                <w:color w:val="000000"/>
                <w:sz w:val="18"/>
                <w:szCs w:val="18"/>
                <w:lang w:eastAsia="pl-PL"/>
              </w:rPr>
              <w:br/>
              <w:t xml:space="preserve">samooczyszczania, </w:t>
            </w:r>
            <w:r w:rsidRPr="0028666F">
              <w:rPr>
                <w:rFonts w:ascii="Calibri" w:eastAsia="Times New Roman" w:hAnsi="Calibri" w:cs="Calibri"/>
                <w:color w:val="000000"/>
                <w:sz w:val="18"/>
                <w:szCs w:val="18"/>
                <w:lang w:eastAsia="pl-PL"/>
              </w:rPr>
              <w:br/>
              <w:t xml:space="preserve">- brak jest ekonomicznie uzasadnionych metod utylizacji zawartego w wodach ładunku soli, </w:t>
            </w:r>
            <w:r w:rsidRPr="0028666F">
              <w:rPr>
                <w:rFonts w:ascii="Calibri" w:eastAsia="Times New Roman" w:hAnsi="Calibri" w:cs="Calibri"/>
                <w:color w:val="000000"/>
                <w:sz w:val="18"/>
                <w:szCs w:val="18"/>
                <w:lang w:eastAsia="pl-PL"/>
              </w:rPr>
              <w:br/>
              <w:t xml:space="preserve">- chłonność rzeki Odry i jej dopływów uniemożliwiająca stosowanie metody hydrotechnicznej dla wszystkich wód odprowadzanych z kopalń, </w:t>
            </w:r>
            <w:r w:rsidRPr="0028666F">
              <w:rPr>
                <w:rFonts w:ascii="Calibri" w:eastAsia="Times New Roman" w:hAnsi="Calibri" w:cs="Calibri"/>
                <w:color w:val="000000"/>
                <w:sz w:val="18"/>
                <w:szCs w:val="18"/>
                <w:lang w:eastAsia="pl-PL"/>
              </w:rPr>
              <w:br/>
              <w:t xml:space="preserve">- wody odprowadzane z kopalń PGG S.A. nie powodują dalszego pogorszenia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br/>
              <w:t xml:space="preserve">zasadnym jest objęcie odstępstwem z art. 4. ust. 5 RDW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 kodach: RW600006115645, RW600006116519, RW600006115651499.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Kopalnie PGG S.A. zarówno na etapie projektowania jak również w trakcie prowadzenia działalności polegającej na eksploatacji węgla kamiennego podejmują wszelkie działania, aby łagodzić skutki </w:t>
            </w:r>
            <w:r w:rsidRPr="0028666F">
              <w:rPr>
                <w:rFonts w:ascii="Calibri" w:eastAsia="Times New Roman" w:hAnsi="Calibri" w:cs="Calibri"/>
                <w:color w:val="000000"/>
                <w:sz w:val="18"/>
                <w:szCs w:val="18"/>
                <w:lang w:eastAsia="pl-PL"/>
              </w:rPr>
              <w:lastRenderedPageBreak/>
              <w:t>negatywnych oddziaływań na stan jednolitych części wód poprzez: ograniczanie ilości dopływu wód do wyrobisk podziemnych z wykorzystaniem metod górniczo-geologicznych, w tym możliwość izolacji wyrobisk i stref o znacznym dopływie, zagospodarowania przedmiotowych wód w zrobach poeksploatacyjnych, wykorzystanie części wód dołowych na własne cele przemysłowe w ilości nieprzekraczającej wartości zawartych w pozwoleniu wodnoprawnym, bieżące prowadzenie zabiegów hydrotechnicznych zapobiegających wystąpieniu podtopieńi zalewisk oraz innych zjawisk związanych z zaburzeniem spływu wód podziemnych i powierzchniowych. Ochrona środowiska wodnego, realizowana jest również poprzez prowadzenie monitoringu jakości wód podziemnych i powierzchniowych.</w:t>
            </w:r>
          </w:p>
        </w:tc>
        <w:tc>
          <w:tcPr>
            <w:tcW w:w="2733" w:type="dxa"/>
            <w:tcBorders>
              <w:top w:val="nil"/>
              <w:left w:val="nil"/>
              <w:bottom w:val="single" w:sz="4" w:space="0" w:color="auto"/>
              <w:right w:val="single" w:sz="4" w:space="0" w:color="auto"/>
            </w:tcBorders>
            <w:shd w:val="clear" w:color="auto" w:fill="auto"/>
            <w:hideMark/>
          </w:tcPr>
          <w:p w14:paraId="3DCE91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38A859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2D7A09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34_PolskaGrupaRolnicza_Odra</w:t>
            </w:r>
          </w:p>
        </w:tc>
        <w:tc>
          <w:tcPr>
            <w:tcW w:w="1014" w:type="dxa"/>
            <w:tcBorders>
              <w:top w:val="nil"/>
              <w:left w:val="nil"/>
              <w:bottom w:val="single" w:sz="4" w:space="0" w:color="auto"/>
              <w:right w:val="single" w:sz="4" w:space="0" w:color="auto"/>
            </w:tcBorders>
            <w:shd w:val="clear" w:color="auto" w:fill="auto"/>
            <w:hideMark/>
          </w:tcPr>
          <w:p w14:paraId="3DD7BB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4E1F4B" w14:textId="7BB1DA8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A. W Wykazie Inwestycji i Działań mogą być ujęte (i zostały ujęte) wyłącznie takie NOWE działania i przedsięwzięcia, co do których wiadomo że spowodują one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Nie ma prawnej możliwości (ani rzeczywistej potrzeby) wpisywania innych inwestycji do Wykazu Inwestycji i Działań. Brak tego wpisu nie jest przeszkodą do realizacji przedsięwzięcia lub kontynuowania dotychczasowej działalności.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Odnośnie do odstępstwa w trybie art. 4 us. 5</w:t>
            </w:r>
            <w:r w:rsidRPr="0028666F">
              <w:rPr>
                <w:rFonts w:ascii="Calibri" w:eastAsia="Times New Roman" w:hAnsi="Calibri" w:cs="Calibri"/>
                <w:color w:val="000000"/>
                <w:sz w:val="18"/>
                <w:szCs w:val="18"/>
                <w:lang w:eastAsia="pl-PL"/>
              </w:rPr>
              <w:br/>
              <w:t xml:space="preserve">Po ponownym przeanalizowaniu sytuacji w przedmiotowych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Nacyna: kod RW600006115645 – (błędnie podany nr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uwadze, powinno być RW6000061156545) – brak informacji o źródle presji zasalającej w opracowaniu Analiza presji znaczących… , ale bardzo wysokie przekroczenie wartości granicznej przewodności 921% i informacja przekazana w uwadze dają podstawy do przyznania odstępstwa 4.5. z uwagi na działalność podmiotów Polskiej Grupy Górniczej S.A.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FE0DF6">
              <w:rPr>
                <w:rFonts w:ascii="Calibri" w:eastAsia="Times New Roman" w:hAnsi="Calibri" w:cs="Calibri"/>
                <w:color w:val="000000"/>
                <w:sz w:val="18"/>
                <w:szCs w:val="18"/>
                <w:lang w:eastAsia="pl-PL"/>
              </w:rPr>
              <w:t xml:space="preserve">Ruda: kod RW600006116519 (błędnie podany nr </w:t>
            </w:r>
            <w:r w:rsidR="00370EC8">
              <w:rPr>
                <w:rFonts w:ascii="Calibri" w:eastAsia="Times New Roman" w:hAnsi="Calibri" w:cs="Calibri"/>
                <w:color w:val="000000"/>
                <w:sz w:val="18"/>
                <w:szCs w:val="18"/>
                <w:lang w:eastAsia="pl-PL"/>
              </w:rPr>
              <w:t>JCWP</w:t>
            </w:r>
            <w:r w:rsidRPr="00FE0DF6">
              <w:rPr>
                <w:rFonts w:ascii="Calibri" w:eastAsia="Times New Roman" w:hAnsi="Calibri" w:cs="Calibri"/>
                <w:color w:val="000000"/>
                <w:sz w:val="18"/>
                <w:szCs w:val="18"/>
                <w:lang w:eastAsia="pl-PL"/>
              </w:rPr>
              <w:t>p w uwadze, powinno być RW6000061156519) – dominujące źródło presji zasalającej (źródła przemysłowe oraz źródła bytowe i komunalne (punktowe i rozproszone)) - przekroczenie 73%. Z uwagi na wysokie % przekroczenia szansa na osiągniecie celu środowiskowego dla przewodnictwa w 2027 roku jest ograniczona  -przypisane zostało odstępstwo 4.5.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Gzel: kod RW600006115651499, - brak przekroczenia wartości granicznej PEW – brak podstawy do wyznaczenia odstępstwa</w:t>
            </w:r>
          </w:p>
        </w:tc>
      </w:tr>
      <w:tr w:rsidR="007C2B40" w:rsidRPr="0028666F" w14:paraId="62E97C9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5B97A9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w:t>
            </w:r>
          </w:p>
        </w:tc>
        <w:tc>
          <w:tcPr>
            <w:tcW w:w="970" w:type="dxa"/>
            <w:tcBorders>
              <w:top w:val="nil"/>
              <w:left w:val="nil"/>
              <w:bottom w:val="single" w:sz="4" w:space="0" w:color="auto"/>
              <w:right w:val="nil"/>
            </w:tcBorders>
          </w:tcPr>
          <w:p w14:paraId="17A132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1E192AB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6886627" w14:textId="1933377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5000" w:type="dxa"/>
            <w:tcBorders>
              <w:top w:val="nil"/>
              <w:left w:val="nil"/>
              <w:bottom w:val="single" w:sz="4" w:space="0" w:color="auto"/>
              <w:right w:val="single" w:sz="4" w:space="0" w:color="auto"/>
            </w:tcBorders>
            <w:shd w:val="clear" w:color="auto" w:fill="auto"/>
            <w:hideMark/>
          </w:tcPr>
          <w:p w14:paraId="79C3BE6E" w14:textId="131E976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punkcie 8.1.2. podany jest błędnie nr załącznika - 8 zamiast 7  - do rozporządzenia klasyfikacyjnego, w którym podano, że wartości graniczne dla SZCW zostaną podane w rozporządzeniu z art. 321 </w:t>
            </w:r>
            <w:r w:rsidR="004F7B9E">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t xml:space="preserve">rawa wodnego </w:t>
            </w:r>
          </w:p>
        </w:tc>
        <w:tc>
          <w:tcPr>
            <w:tcW w:w="2733" w:type="dxa"/>
            <w:tcBorders>
              <w:top w:val="nil"/>
              <w:left w:val="nil"/>
              <w:bottom w:val="single" w:sz="4" w:space="0" w:color="auto"/>
              <w:right w:val="single" w:sz="4" w:space="0" w:color="auto"/>
            </w:tcBorders>
            <w:shd w:val="clear" w:color="auto" w:fill="auto"/>
            <w:hideMark/>
          </w:tcPr>
          <w:p w14:paraId="656D81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Zmienić z 8 na 7 </w:t>
            </w:r>
          </w:p>
        </w:tc>
        <w:tc>
          <w:tcPr>
            <w:tcW w:w="3009" w:type="dxa"/>
            <w:tcBorders>
              <w:top w:val="nil"/>
              <w:left w:val="nil"/>
              <w:bottom w:val="single" w:sz="4" w:space="0" w:color="auto"/>
              <w:right w:val="single" w:sz="4" w:space="0" w:color="auto"/>
            </w:tcBorders>
            <w:shd w:val="clear" w:color="auto" w:fill="auto"/>
            <w:hideMark/>
          </w:tcPr>
          <w:p w14:paraId="34FF18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oczywista pomyłka</w:t>
            </w:r>
          </w:p>
        </w:tc>
        <w:tc>
          <w:tcPr>
            <w:tcW w:w="1720" w:type="dxa"/>
            <w:tcBorders>
              <w:top w:val="nil"/>
              <w:left w:val="nil"/>
              <w:bottom w:val="single" w:sz="4" w:space="0" w:color="auto"/>
              <w:right w:val="single" w:sz="4" w:space="0" w:color="auto"/>
            </w:tcBorders>
            <w:shd w:val="clear" w:color="000000" w:fill="FFFFFF"/>
            <w:hideMark/>
          </w:tcPr>
          <w:p w14:paraId="3967D7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FB99D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EDB0205" w14:textId="118DA63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Skorygowano treść wskazaną w uwadze poprzez uzupełnienie odniesienia zarówno do załacznika nr 7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ciekach naturalnych, kanałach lub zbiornikach zaporowych) oraz załącznika nr 8 (dla jezior lub innych zbiorników wodnych).</w:t>
            </w:r>
          </w:p>
        </w:tc>
      </w:tr>
      <w:tr w:rsidR="007C2B40" w:rsidRPr="0028666F" w14:paraId="22286DC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5C9F2B" w14:textId="77777777" w:rsidR="007C2B40" w:rsidRPr="007101ED" w:rsidRDefault="007C2B40" w:rsidP="007C2B40">
            <w:pPr>
              <w:ind w:firstLine="0"/>
              <w:jc w:val="center"/>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36</w:t>
            </w:r>
          </w:p>
        </w:tc>
        <w:tc>
          <w:tcPr>
            <w:tcW w:w="970" w:type="dxa"/>
            <w:tcBorders>
              <w:top w:val="nil"/>
              <w:left w:val="nil"/>
              <w:bottom w:val="single" w:sz="4" w:space="0" w:color="auto"/>
              <w:right w:val="nil"/>
            </w:tcBorders>
          </w:tcPr>
          <w:p w14:paraId="2652FBF4"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5898967B" w14:textId="77777777" w:rsidR="007C2B40" w:rsidRPr="007101ED"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0D1DA87" w14:textId="3804FEC3"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Cele środowiskowe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p</w:t>
            </w:r>
          </w:p>
        </w:tc>
        <w:tc>
          <w:tcPr>
            <w:tcW w:w="5000" w:type="dxa"/>
            <w:tcBorders>
              <w:top w:val="nil"/>
              <w:left w:val="nil"/>
              <w:bottom w:val="single" w:sz="4" w:space="0" w:color="auto"/>
              <w:right w:val="single" w:sz="4" w:space="0" w:color="auto"/>
            </w:tcBorders>
            <w:shd w:val="clear" w:color="auto" w:fill="auto"/>
            <w:hideMark/>
          </w:tcPr>
          <w:p w14:paraId="3DB951D2"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W punkcie 8.1.2. podano, że wartości graniczne dla SZCW są podane w załączniku nr 3.1 do projektu aPGW. Jest to w pełni słuszne wyłącznie w odniesieniu do zbiorników zaporowych, dla których podane są w zakresie wskaźników fizykochemicznych odesłania do konkretnych wartości dla rzek i jezior. Dla wód rzecznych ani pozostałych typów wód tych wartości nie podano co jest niezgodne z z treścią załącznika 7 do rozporządzenia klasyfikacyjnego. Należy oczekiwać, że przepis zawarty w załączniku nr 7 nie został wprowadzony jedynie po to żeby z kolei rozporządzenie z art. 321, w którym wszystkie wartości graniczne dla SZCW powinny zostać określone odsyłało z powrotem do rozporządzenia klasyfikacyjnego, byłoby to niezgodne z zasadami techniki prawodawczej.</w:t>
            </w:r>
          </w:p>
        </w:tc>
        <w:tc>
          <w:tcPr>
            <w:tcW w:w="2733" w:type="dxa"/>
            <w:tcBorders>
              <w:top w:val="nil"/>
              <w:left w:val="nil"/>
              <w:bottom w:val="single" w:sz="4" w:space="0" w:color="auto"/>
              <w:right w:val="single" w:sz="4" w:space="0" w:color="auto"/>
            </w:tcBorders>
            <w:shd w:val="clear" w:color="auto" w:fill="auto"/>
            <w:hideMark/>
          </w:tcPr>
          <w:p w14:paraId="0984CAF8"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Uzupełnić treść załącznika nr 3.1. do aPGW o wartości graniczne wskaźników fizykochemicznych, biorąc przy tym pod uwagę rzeczywisty stan zasolenia Odry i brak wpływu użytkowników położonych w środkowym i dolnym biegu Odry na trwałe przekroczenia wskaźnika przewodność ustalonego na nierealnie niskim poziomie. Przewodność osiąga zakładane wartości - 850 mikrosimensów/cm dopiero w przekroju poniżej ujścia Warty. Proponuje się przyjęcie granicznej wysokości wskaźnika PEW dla dobrego potencjału ekologicznego 1500 mikrosimensów/cm, to jest takiej, która obowiązywała do roku 2016.</w:t>
            </w:r>
          </w:p>
        </w:tc>
        <w:tc>
          <w:tcPr>
            <w:tcW w:w="3009" w:type="dxa"/>
            <w:tcBorders>
              <w:top w:val="nil"/>
              <w:left w:val="nil"/>
              <w:bottom w:val="single" w:sz="4" w:space="0" w:color="auto"/>
              <w:right w:val="single" w:sz="4" w:space="0" w:color="auto"/>
            </w:tcBorders>
            <w:shd w:val="clear" w:color="auto" w:fill="auto"/>
            <w:hideMark/>
          </w:tcPr>
          <w:p w14:paraId="466B523A" w14:textId="63650CB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Polskie górnictwo węgla kamiennego, według danych WIOŚ Katowice, wprowadza do Odry w różny sposób - bezpośrednio i dopływami Odry ok. 1000 t sumy jonów chlorków i siarczanów w ciągu doby. Około 500 t/d wprowadza z wodami Odry górnictwo czeskie. Takie ładunki powodują, że wskaźnik PEW  jest przekroczony do przepływu ok. 75 m3/s. Dostrzegając część tego problemu zaproponowano dla prawie wszystkich </w:t>
            </w:r>
            <w:r w:rsidR="00370EC8">
              <w:rPr>
                <w:rFonts w:ascii="Calibri" w:eastAsia="Times New Roman" w:hAnsi="Calibri" w:cs="Calibri"/>
                <w:color w:val="000000"/>
                <w:sz w:val="18"/>
                <w:szCs w:val="18"/>
                <w:lang w:eastAsia="pl-PL"/>
              </w:rPr>
              <w:t>JCWP</w:t>
            </w:r>
            <w:r w:rsidRPr="007101ED">
              <w:rPr>
                <w:rFonts w:ascii="Calibri" w:eastAsia="Times New Roman" w:hAnsi="Calibri" w:cs="Calibri"/>
                <w:color w:val="000000"/>
                <w:sz w:val="18"/>
                <w:szCs w:val="18"/>
                <w:lang w:eastAsia="pl-PL"/>
              </w:rPr>
              <w:t>P Odry derogacje czasowe lub w postaci celu mniej rygorystycznego co nie rozwiązuje problemu w dłuższej perspektywie. Przyjęto przy tym niezrozumiałe w świetle stanu faktycznego kryteria przyznawania derogacji z art. 4.4 i 4.5 RDW. Żeby uniknąć różnych możliwych perturbacji związanych z uzyskiwaniem pozwoleń wodnoprawnych proponuje się jak wyżej.</w:t>
            </w:r>
          </w:p>
        </w:tc>
        <w:tc>
          <w:tcPr>
            <w:tcW w:w="1720" w:type="dxa"/>
            <w:tcBorders>
              <w:top w:val="nil"/>
              <w:left w:val="nil"/>
              <w:bottom w:val="single" w:sz="4" w:space="0" w:color="auto"/>
              <w:right w:val="single" w:sz="4" w:space="0" w:color="auto"/>
            </w:tcBorders>
            <w:shd w:val="clear" w:color="000000" w:fill="FFFFFF"/>
            <w:hideMark/>
          </w:tcPr>
          <w:p w14:paraId="1E3E5583"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633F48" w14:textId="77777777"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B1380CC" w14:textId="6FC22EB7" w:rsidR="007101ED" w:rsidRPr="00F57DBC" w:rsidRDefault="007C2B40" w:rsidP="007101ED">
            <w:pPr>
              <w:ind w:firstLine="0"/>
              <w:jc w:val="left"/>
              <w:rPr>
                <w:rFonts w:ascii="Calibri" w:eastAsia="Times New Roman" w:hAnsi="Calibri" w:cs="Calibri"/>
                <w:sz w:val="18"/>
                <w:szCs w:val="18"/>
                <w:lang w:eastAsia="pl-PL"/>
              </w:rPr>
            </w:pPr>
            <w:r w:rsidRPr="007101ED">
              <w:rPr>
                <w:rFonts w:ascii="Calibri" w:eastAsia="Times New Roman" w:hAnsi="Calibri" w:cs="Calibri"/>
                <w:color w:val="000000"/>
                <w:sz w:val="18"/>
                <w:szCs w:val="18"/>
                <w:lang w:eastAsia="pl-PL"/>
              </w:rPr>
              <w:t xml:space="preserve">Wartości graniczne dla potencjału ekologicznego prezentowane są w załączniku </w:t>
            </w:r>
            <w:r w:rsidR="007101ED">
              <w:rPr>
                <w:rFonts w:ascii="Calibri" w:eastAsia="Times New Roman" w:hAnsi="Calibri" w:cs="Calibri"/>
                <w:color w:val="000000"/>
                <w:sz w:val="18"/>
                <w:szCs w:val="18"/>
                <w:lang w:eastAsia="pl-PL"/>
              </w:rPr>
              <w:t>Wartości graniczne SCW i SZCW</w:t>
            </w:r>
            <w:r w:rsidRPr="007101ED">
              <w:rPr>
                <w:rFonts w:ascii="Calibri" w:eastAsia="Times New Roman" w:hAnsi="Calibri" w:cs="Calibri"/>
                <w:color w:val="000000"/>
                <w:sz w:val="18"/>
                <w:szCs w:val="18"/>
                <w:lang w:eastAsia="pl-PL"/>
              </w:rPr>
              <w:t xml:space="preserve"> do planów. Głównym dokumentem wskazującym sposoby klasyfikacji potencjału ekologicznego jest rozporządzenie klasyfikacyjne. To ono odnosi, jeżeli chodzi o silnie zmienione i sztuczne części wód i wartości graniczne do tego, że są one wskazywane w Planie gospodarowania wodami. Poszczególne zakładki załącznika są dedykowane kategoriom wód: rzecznym, zbiornikowym i jeziornym oddzielnie, wskazane są w nich, w poszczególnych kolumnach, konkretne wartości, jeżeli chodzi o elementy biologiczne i hydromorfologiczne. </w:t>
            </w:r>
            <w:r w:rsidR="007101ED" w:rsidRPr="00F57DBC">
              <w:rPr>
                <w:rFonts w:ascii="Calibri" w:eastAsia="Times New Roman" w:hAnsi="Calibri" w:cs="Calibri"/>
                <w:sz w:val="18"/>
                <w:szCs w:val="18"/>
                <w:lang w:eastAsia="pl-PL"/>
              </w:rPr>
              <w:t>W przypadku wartości granicznych dot. wskaźników fizykochemicznych zastosowano dwa rodzaje podejścia:</w:t>
            </w:r>
          </w:p>
          <w:p w14:paraId="2640D552" w14:textId="0D7BBC81" w:rsidR="007101ED" w:rsidRPr="00F57DBC" w:rsidRDefault="007101ED" w:rsidP="007101ED">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20448202" w14:textId="6C57EE55" w:rsidR="007101ED" w:rsidRPr="00F57DBC" w:rsidRDefault="007101ED" w:rsidP="007101ED">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7F3C4AAF" w14:textId="79EE5E0D" w:rsidR="007101ED" w:rsidRDefault="007101ED" w:rsidP="007101ED">
            <w:pPr>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p>
          <w:p w14:paraId="727F8BF0" w14:textId="577A0766" w:rsidR="007C2B40" w:rsidRPr="007101ED" w:rsidRDefault="007C2B40" w:rsidP="007C2B40">
            <w:pPr>
              <w:ind w:firstLine="0"/>
              <w:jc w:val="left"/>
              <w:rPr>
                <w:rFonts w:ascii="Calibri" w:eastAsia="Times New Roman" w:hAnsi="Calibri" w:cs="Calibri"/>
                <w:color w:val="000000"/>
                <w:sz w:val="18"/>
                <w:szCs w:val="18"/>
                <w:lang w:eastAsia="pl-PL"/>
              </w:rPr>
            </w:pPr>
            <w:r w:rsidRPr="007101ED">
              <w:rPr>
                <w:rFonts w:ascii="Calibri" w:eastAsia="Times New Roman" w:hAnsi="Calibri" w:cs="Calibri"/>
                <w:color w:val="000000"/>
                <w:sz w:val="18"/>
                <w:szCs w:val="18"/>
                <w:lang w:eastAsia="pl-PL"/>
              </w:rPr>
              <w:t xml:space="preserve">Generalnie załącznik </w:t>
            </w:r>
            <w:r w:rsidR="007101ED">
              <w:rPr>
                <w:rFonts w:ascii="Calibri" w:eastAsia="Times New Roman" w:hAnsi="Calibri" w:cs="Calibri"/>
                <w:color w:val="000000"/>
                <w:sz w:val="18"/>
                <w:szCs w:val="18"/>
                <w:lang w:eastAsia="pl-PL"/>
              </w:rPr>
              <w:t>Wartości graniczne SCW i SZCW</w:t>
            </w:r>
            <w:r w:rsidRPr="007101ED">
              <w:rPr>
                <w:rFonts w:ascii="Calibri" w:eastAsia="Times New Roman" w:hAnsi="Calibri" w:cs="Calibri"/>
                <w:color w:val="000000"/>
                <w:sz w:val="18"/>
                <w:szCs w:val="18"/>
                <w:lang w:eastAsia="pl-PL"/>
              </w:rPr>
              <w:t xml:space="preserve"> to jest załącznik, w którym wskazywane są ustalone wartości graniczne dla elementów, które stanowią element dla oceny potencjału ekologicznego jednolitych wód sztucznych i silnie zmienionych. Jednolite cześci wód są wyznaczone jako silnie zmienione części wód ze względu na zmianę hydromorfologiczną wynikającą ze sposobu użytkowania wód. </w:t>
            </w:r>
          </w:p>
        </w:tc>
      </w:tr>
      <w:tr w:rsidR="007C2B40" w:rsidRPr="0028666F" w14:paraId="5AB6D47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4081AE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37</w:t>
            </w:r>
          </w:p>
        </w:tc>
        <w:tc>
          <w:tcPr>
            <w:tcW w:w="970" w:type="dxa"/>
            <w:tcBorders>
              <w:top w:val="nil"/>
              <w:left w:val="nil"/>
              <w:bottom w:val="single" w:sz="4" w:space="0" w:color="auto"/>
              <w:right w:val="nil"/>
            </w:tcBorders>
          </w:tcPr>
          <w:p w14:paraId="45FBC3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Jastrzębska Spółka Węglowa S.A. - KWK Knurów-Szczygłowice</w:t>
            </w:r>
          </w:p>
        </w:tc>
        <w:tc>
          <w:tcPr>
            <w:tcW w:w="165" w:type="dxa"/>
            <w:tcBorders>
              <w:top w:val="nil"/>
              <w:left w:val="nil"/>
              <w:bottom w:val="single" w:sz="4" w:space="0" w:color="auto"/>
              <w:right w:val="single" w:sz="4" w:space="0" w:color="auto"/>
            </w:tcBorders>
            <w:shd w:val="clear" w:color="auto" w:fill="auto"/>
          </w:tcPr>
          <w:p w14:paraId="6699A43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3E72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9CAF159" w14:textId="7A6613D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 wymienionego powyżej Projektu zgłaszamy następujące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1 wnosimy o zastosowanie odstępstwa na podstawie Art. 4 ust. 5 Ramowej Dyrektywy Wodnej (ustalenie mniej rygorystycznych celów środowiskowych) w zakresie wskaźnika: przewodność elektrolityczna właściwa w 20°C dla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RW600006115835,</w:t>
            </w:r>
            <w:r w:rsidRPr="0028666F">
              <w:rPr>
                <w:rFonts w:ascii="Calibri" w:eastAsia="Times New Roman" w:hAnsi="Calibri" w:cs="Calibri"/>
                <w:color w:val="000000"/>
                <w:sz w:val="18"/>
                <w:szCs w:val="18"/>
                <w:lang w:eastAsia="pl-PL"/>
              </w:rPr>
              <w:br/>
              <w:t xml:space="preserve">• Bierawka od Knurówki do ujścia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RW600011115899;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 wnosimy o zastosowanie odstępstwa na podstawie Art. 4 ust. 5 Ramowej Dyrektywy Wodnej (ustalenie mniej rygorystycznych celów środowiskowych) w zakresie wskaźnika: przewodność elektrolityczna właściwa w 20°C dla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w:t>
            </w:r>
            <w:r w:rsidRPr="0028666F">
              <w:rPr>
                <w:rFonts w:ascii="Calibri" w:eastAsia="Times New Roman" w:hAnsi="Calibri" w:cs="Calibri"/>
                <w:color w:val="000000"/>
                <w:sz w:val="18"/>
                <w:szCs w:val="18"/>
                <w:lang w:eastAsia="pl-PL"/>
              </w:rPr>
              <w:br/>
              <w:t xml:space="preserve">• Odra od Kanału Gliwickiego do Osobłogi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RW60001111759,</w:t>
            </w:r>
            <w:r w:rsidRPr="0028666F">
              <w:rPr>
                <w:rFonts w:ascii="Calibri" w:eastAsia="Times New Roman" w:hAnsi="Calibri" w:cs="Calibri"/>
                <w:color w:val="000000"/>
                <w:sz w:val="18"/>
                <w:szCs w:val="18"/>
                <w:lang w:eastAsia="pl-PL"/>
              </w:rPr>
              <w:br/>
              <w:t xml:space="preserve">• Odra od Nysy Kłodzkiej do Kościelnej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RW600012133119,</w:t>
            </w:r>
            <w:r w:rsidRPr="0028666F">
              <w:rPr>
                <w:rFonts w:ascii="Calibri" w:eastAsia="Times New Roman" w:hAnsi="Calibri" w:cs="Calibri"/>
                <w:color w:val="000000"/>
                <w:sz w:val="18"/>
                <w:szCs w:val="18"/>
                <w:lang w:eastAsia="pl-PL"/>
              </w:rPr>
              <w:br/>
              <w:t xml:space="preserve">• Odra w granicach Wrocławia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RW60001213399,</w:t>
            </w:r>
            <w:r w:rsidRPr="0028666F">
              <w:rPr>
                <w:rFonts w:ascii="Calibri" w:eastAsia="Times New Roman" w:hAnsi="Calibri" w:cs="Calibri"/>
                <w:color w:val="000000"/>
                <w:sz w:val="18"/>
                <w:szCs w:val="18"/>
                <w:lang w:eastAsia="pl-PL"/>
              </w:rPr>
              <w:br/>
              <w:t xml:space="preserve">• Odra od Bystrzycy do Baryczy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RW6000121399,</w:t>
            </w:r>
            <w:r w:rsidRPr="0028666F">
              <w:rPr>
                <w:rFonts w:ascii="Calibri" w:eastAsia="Times New Roman" w:hAnsi="Calibri" w:cs="Calibri"/>
                <w:color w:val="000000"/>
                <w:sz w:val="18"/>
                <w:szCs w:val="18"/>
                <w:lang w:eastAsia="pl-PL"/>
              </w:rPr>
              <w:br/>
              <w:t xml:space="preserve">• Odra od Baryczy do Bobru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RW6000121599,</w:t>
            </w:r>
            <w:r w:rsidRPr="0028666F">
              <w:rPr>
                <w:rFonts w:ascii="Calibri" w:eastAsia="Times New Roman" w:hAnsi="Calibri" w:cs="Calibri"/>
                <w:color w:val="000000"/>
                <w:sz w:val="18"/>
                <w:szCs w:val="18"/>
                <w:lang w:eastAsia="pl-PL"/>
              </w:rPr>
              <w:br/>
              <w:t xml:space="preserve">• Odra od Bobru do Nysy Łużyckiej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RW6000121739,</w:t>
            </w:r>
            <w:r w:rsidRPr="0028666F">
              <w:rPr>
                <w:rFonts w:ascii="Calibri" w:eastAsia="Times New Roman" w:hAnsi="Calibri" w:cs="Calibri"/>
                <w:color w:val="000000"/>
                <w:sz w:val="18"/>
                <w:szCs w:val="18"/>
                <w:lang w:eastAsia="pl-PL"/>
              </w:rPr>
              <w:br/>
              <w:t xml:space="preserve">• Odra od Nysy Łużyckiej do Warty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RW60001217999.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Uzasadnienie uwagi znajduje się w załączonym pliku. </w:t>
            </w:r>
          </w:p>
        </w:tc>
        <w:tc>
          <w:tcPr>
            <w:tcW w:w="2733" w:type="dxa"/>
            <w:tcBorders>
              <w:top w:val="nil"/>
              <w:left w:val="nil"/>
              <w:bottom w:val="single" w:sz="4" w:space="0" w:color="auto"/>
              <w:right w:val="single" w:sz="4" w:space="0" w:color="auto"/>
            </w:tcBorders>
            <w:shd w:val="clear" w:color="auto" w:fill="auto"/>
            <w:hideMark/>
          </w:tcPr>
          <w:p w14:paraId="499986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21C011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06A5E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37_JSW_KWKKnurow_Odra</w:t>
            </w:r>
          </w:p>
        </w:tc>
        <w:tc>
          <w:tcPr>
            <w:tcW w:w="1014" w:type="dxa"/>
            <w:tcBorders>
              <w:top w:val="nil"/>
              <w:left w:val="nil"/>
              <w:bottom w:val="single" w:sz="4" w:space="0" w:color="auto"/>
              <w:right w:val="single" w:sz="4" w:space="0" w:color="auto"/>
            </w:tcBorders>
            <w:shd w:val="clear" w:color="auto" w:fill="auto"/>
            <w:hideMark/>
          </w:tcPr>
          <w:p w14:paraId="6BBAA8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2EBCA25" w14:textId="2CC9B9C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Analizując sytuację w zgłoszonych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proponujemy następujące zmiany:</w:t>
            </w:r>
            <w:r w:rsidRPr="0028666F">
              <w:rPr>
                <w:rFonts w:ascii="Calibri" w:eastAsia="Times New Roman" w:hAnsi="Calibri" w:cs="Calibri"/>
                <w:color w:val="000000"/>
                <w:sz w:val="18"/>
                <w:szCs w:val="18"/>
                <w:lang w:eastAsia="pl-PL"/>
              </w:rPr>
              <w:br/>
              <w:t xml:space="preserve">•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RW600006115835 - przekroczenie 3000% - z uwagi na wysokie przekroczenie ze źródeł przemysłowych i komunalnych, małe prawdopodobieństwo osiągnięcia celu do 2027, więc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można przyznać odstępstwo 4.5.</w:t>
            </w:r>
            <w:r w:rsidRPr="0028666F">
              <w:rPr>
                <w:rFonts w:ascii="Calibri" w:eastAsia="Times New Roman" w:hAnsi="Calibri" w:cs="Calibri"/>
                <w:color w:val="000000"/>
                <w:sz w:val="18"/>
                <w:szCs w:val="18"/>
                <w:lang w:eastAsia="pl-PL"/>
              </w:rPr>
              <w:br/>
              <w:t xml:space="preserve">• Bierawka od Knurówki do ujścia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RW600011115899 - 600% - Główne źródło presji zasalających: presja skumulowana z dopływu/ów – z uwagi na wysokie % przekroczenie w dopływie szansa na osiągniecie celu środowiskowego dla przewodnictwa w 2027 roku jest ograniczona, dlatego można przyznać odstępstwo 4.5. pomimo dominujące presji dopływającej</w:t>
            </w:r>
            <w:r w:rsidRPr="0028666F">
              <w:rPr>
                <w:rFonts w:ascii="Calibri" w:eastAsia="Times New Roman" w:hAnsi="Calibri" w:cs="Calibri"/>
                <w:color w:val="000000"/>
                <w:sz w:val="18"/>
                <w:szCs w:val="18"/>
                <w:lang w:eastAsia="pl-PL"/>
              </w:rPr>
              <w:br/>
              <w:t xml:space="preserve">•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 - 87% - presja skumulowana z dopływu/ów - z uwagi na wysokie % przekroczenie w dopływie szansa na osiągniecie celu środowiskowego dla przewodnictwa w 2027 roku jest ograniczona, dlatego można przyznać odstępstwo 4.5. pomimo dominujące presji dopływającej.</w:t>
            </w:r>
            <w:r w:rsidRPr="0028666F">
              <w:rPr>
                <w:rFonts w:ascii="Calibri" w:eastAsia="Times New Roman" w:hAnsi="Calibri" w:cs="Calibri"/>
                <w:color w:val="000000"/>
                <w:sz w:val="18"/>
                <w:szCs w:val="18"/>
                <w:lang w:eastAsia="pl-PL"/>
              </w:rPr>
              <w:br/>
              <w:t xml:space="preserve">• Odra od Kanału Gliwickiego do Osobłogi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RW60001111759, - 120% - presja skumulowana z dopływu/ów oraz ścieki przemysłowe i komunalne –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Nysy Kłodzkiej do Kościelnej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RW600012133119, - 67% -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w granicach Wrocławia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RW60001213399, - 135%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Bystrzycy do Baryczy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RW6000121399, - 135%-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Baryczy do Bobru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RW6000121599, -142% presja skumulowana z dopływu/ów oraz ścieki przemysłowe i komunalne – z uwagi na wysokie przekroczenie i jednoczesne nałożenie się presji dopływającej </w:t>
            </w:r>
            <w:r w:rsidRPr="0028666F">
              <w:rPr>
                <w:rFonts w:ascii="Calibri" w:eastAsia="Times New Roman" w:hAnsi="Calibri" w:cs="Calibri"/>
                <w:color w:val="000000"/>
                <w:sz w:val="18"/>
                <w:szCs w:val="18"/>
                <w:lang w:eastAsia="pl-PL"/>
              </w:rPr>
              <w:lastRenderedPageBreak/>
              <w:t xml:space="preserve">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Bobru do Nysy Łużyckiej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RW6000121739,- 142%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Nysy Łużyckiej do Warty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RW60001217999. – 148%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p>
        </w:tc>
      </w:tr>
      <w:tr w:rsidR="007C2B40" w:rsidRPr="0028666F" w14:paraId="7FD2B9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301D02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38</w:t>
            </w:r>
          </w:p>
        </w:tc>
        <w:tc>
          <w:tcPr>
            <w:tcW w:w="970" w:type="dxa"/>
            <w:tcBorders>
              <w:top w:val="nil"/>
              <w:left w:val="nil"/>
              <w:bottom w:val="single" w:sz="4" w:space="0" w:color="auto"/>
              <w:right w:val="nil"/>
            </w:tcBorders>
          </w:tcPr>
          <w:p w14:paraId="679AD90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Polska Grupa Górnicza S.A.</w:t>
            </w:r>
          </w:p>
        </w:tc>
        <w:tc>
          <w:tcPr>
            <w:tcW w:w="165" w:type="dxa"/>
            <w:tcBorders>
              <w:top w:val="nil"/>
              <w:left w:val="nil"/>
              <w:bottom w:val="single" w:sz="4" w:space="0" w:color="auto"/>
              <w:right w:val="single" w:sz="4" w:space="0" w:color="auto"/>
            </w:tcBorders>
            <w:shd w:val="clear" w:color="auto" w:fill="auto"/>
          </w:tcPr>
          <w:p w14:paraId="3A84ED9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9B59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ACA2991" w14:textId="28F1E02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Załącznik nr 6 –_ wykazie inwestycji dorzecza Odra.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Charakterystyka planowanej inwestycji lub działania: </w:t>
            </w:r>
            <w:r w:rsidRPr="0028666F">
              <w:rPr>
                <w:rFonts w:ascii="Calibri" w:eastAsia="Times New Roman" w:hAnsi="Calibri" w:cs="Calibri"/>
                <w:color w:val="000000"/>
                <w:sz w:val="18"/>
                <w:szCs w:val="18"/>
                <w:lang w:eastAsia="pl-PL"/>
              </w:rPr>
              <w:br w:type="page"/>
              <w:t>Inwestor lub podmiot realizujący: PGG S.A. Oddział KWK Ruda Ruch Bielszowice</w:t>
            </w:r>
            <w:r w:rsidRPr="0028666F">
              <w:rPr>
                <w:rFonts w:ascii="Calibri" w:eastAsia="Times New Roman" w:hAnsi="Calibri" w:cs="Calibri"/>
                <w:color w:val="000000"/>
                <w:sz w:val="18"/>
                <w:szCs w:val="18"/>
                <w:lang w:eastAsia="pl-PL"/>
              </w:rPr>
              <w:br w:type="page"/>
              <w:t>Nazwa inwestycji lub działania: "Wydobycie węgla kamiennego i metanu jako kopaliny towarzyszacej ze złoża Zabrze-Bielszowice  na podstawie koncesji nr 161/94 z dnia 26.08.1994 r. "</w:t>
            </w:r>
            <w:r w:rsidRPr="0028666F">
              <w:rPr>
                <w:rFonts w:ascii="Calibri" w:eastAsia="Times New Roman" w:hAnsi="Calibri" w:cs="Calibri"/>
                <w:color w:val="000000"/>
                <w:sz w:val="18"/>
                <w:szCs w:val="18"/>
                <w:lang w:eastAsia="pl-PL"/>
              </w:rPr>
              <w:br w:type="page"/>
              <w:t>Nazwa inwestycji wg aPGW z 2016 r. (lub: nie dotyczy): nie dotyczy</w:t>
            </w:r>
            <w:r w:rsidRPr="0028666F">
              <w:rPr>
                <w:rFonts w:ascii="Calibri" w:eastAsia="Times New Roman" w:hAnsi="Calibri" w:cs="Calibri"/>
                <w:color w:val="000000"/>
                <w:sz w:val="18"/>
                <w:szCs w:val="18"/>
                <w:lang w:eastAsia="pl-PL"/>
              </w:rPr>
              <w:br w:type="page"/>
              <w:t>ID inwestycji lub działania wg aPGW z 2016 r. (lub: nie dotyczy): nie dotyczy</w:t>
            </w:r>
            <w:r w:rsidRPr="0028666F">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ype="page"/>
              <w:t>Cel (cele) inwestycji lub działania: Wydobycie węgla kamiennego. Gwarancja bezpieczeństwa enegetycznego kraju.</w:t>
            </w:r>
            <w:r w:rsidRPr="0028666F">
              <w:rPr>
                <w:rFonts w:ascii="Calibri" w:eastAsia="Times New Roman" w:hAnsi="Calibri" w:cs="Calibri"/>
                <w:color w:val="000000"/>
                <w:sz w:val="18"/>
                <w:szCs w:val="18"/>
                <w:lang w:eastAsia="pl-PL"/>
              </w:rPr>
              <w:br w:type="page"/>
              <w:t>Data zakończenia inwestycji lub działania (planowana lub rzeczywista): planowana, 2044-08-31</w:t>
            </w:r>
            <w:r w:rsidRPr="0028666F">
              <w:rPr>
                <w:rFonts w:ascii="Calibri" w:eastAsia="Times New Roman" w:hAnsi="Calibri" w:cs="Calibri"/>
                <w:color w:val="000000"/>
                <w:sz w:val="18"/>
                <w:szCs w:val="18"/>
                <w:lang w:eastAsia="pl-PL"/>
              </w:rPr>
              <w:br w:type="page"/>
              <w:t>Szacunkowe korzyści: Zabezpieczenie energetyczne kraju na okres eksploatacji złoża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Lokalizacja planowanej inwestycji lub działania: Województwo (województwa): śląskie, Powiat (powiaty): Zabrze/ Ruda Śląska/ Mikołów, Gmina (gminy): Zabrze/ Ruda Śląska/ Mikołów, Dorzecze: Odry, Ciek lub zbiornik wodny (nazwa lub "nie dotyczy"): Rzeka Kłodnica, Jednolite części wód powierzchniowych (według podziału z aPGW z 2016 r.), w obrębie których była zaplanowana inwestycja lub działanie: nazwa: Kłodnica, Potok Bielszowicki, Czarnawka,  Potok Promna, kod: RW60006116159, RW6000611632, RWRW6000611634, RW6000611616;  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obowiązującego w perspektywie 2022-2027): nazwa: Kłodnica do Promnej do zb. Dzierżno/Kłodnica od źródeł do Promnej, kod: RW6000061165739,                                    RW600006116159;  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obowiązującego w perspektywie 2022-2027): nazwa: Kłodnica do Promnej do zb. Dzierżno/Kłodnica od źródeł do Promnej, kod: RW6000061165739, RW600006116159;  Jednolite części wód podziemnych, w obrębie której jest lub będzie realizowana inwestycja lub działanie (kod/kody): PLGW6000111, PLGW6000129;  Jednolite części wód podziemnych objęte potencjalnym zasięgiem oddziaływania inwestycji lub działania </w:t>
            </w:r>
            <w:r w:rsidRPr="0028666F">
              <w:rPr>
                <w:rFonts w:ascii="Calibri" w:eastAsia="Times New Roman" w:hAnsi="Calibri" w:cs="Calibri"/>
                <w:color w:val="000000"/>
                <w:sz w:val="18"/>
                <w:szCs w:val="18"/>
                <w:lang w:eastAsia="pl-PL"/>
              </w:rPr>
              <w:lastRenderedPageBreak/>
              <w:t xml:space="preserve">(kod/kody): PLGW6000111, PLGW6000129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ype="page"/>
              <w:t xml:space="preserve">Jakie kroki zostały podjęte (i czy są to wszystkie możliwe kroki) zmierzające do ograniczenia niekorzystnego wpływu na stan części wód?: "Odwadnianie kopalń wpływa bezpośrednio na wody piętra karbońskiego poprzez stopniowe sczerpywanie zasobów wodnych piętra oraz sukcesywne obniżanie poziomu zwierciadła wody (powiększanie leja depresji). Wpływ ten jednak jest powszechny dla rejonu całego Górnego Śląska. Nie powoduje to zakłóceń w wyżej położonych piętrach trzeciorzędowych i czwartorzędowym. Wody karbońskie generalnie są zasolone i nie posiadają cech użytkowych. Obecny reżim hydrologiczny, na skutek zmian spowodowanych wieloletnią eksploatacją górniczą nie różni się od pierwotnego. </w:t>
            </w:r>
            <w:r w:rsidRPr="0028666F">
              <w:rPr>
                <w:rFonts w:ascii="Calibri" w:eastAsia="Times New Roman" w:hAnsi="Calibri" w:cs="Calibri"/>
                <w:color w:val="000000"/>
                <w:sz w:val="18"/>
                <w:szCs w:val="18"/>
                <w:lang w:eastAsia="pl-PL"/>
              </w:rPr>
              <w:br w:type="page"/>
              <w:t>Kopalnie PGG S.A. zarówno na etapie projektowania jak również w trakcie prowadzenia działalności polegającej na eksploatacji węgla kamiennego podejmują wszelkie działania, aby łagodzić skutki negatywnych oddziaływań na stan jednolitych części wód poprzez:</w:t>
            </w:r>
            <w:r w:rsidRPr="0028666F">
              <w:rPr>
                <w:rFonts w:ascii="Calibri" w:eastAsia="Times New Roman" w:hAnsi="Calibri" w:cs="Calibri"/>
                <w:color w:val="000000"/>
                <w:sz w:val="18"/>
                <w:szCs w:val="18"/>
                <w:lang w:eastAsia="pl-PL"/>
              </w:rPr>
              <w:br w:type="page"/>
              <w:t xml:space="preserve">• ograniczanie ilości dopływu wód silnie zasolonych do wyrobisk podziemnych z wykorzystaniem metod górniczo-geologicznych, w tym możliwość izolacji wyrobisk i stref o znacznym dopływie wód charakteryzujących się wysoką zawartością jonów Cl+SO4, zagospodarowania przedmiotowych wód w zrobach poeksploatacyjnych, </w:t>
            </w:r>
            <w:r w:rsidRPr="0028666F">
              <w:rPr>
                <w:rFonts w:ascii="Calibri" w:eastAsia="Times New Roman" w:hAnsi="Calibri" w:cs="Calibri"/>
                <w:color w:val="000000"/>
                <w:sz w:val="18"/>
                <w:szCs w:val="18"/>
                <w:lang w:eastAsia="pl-PL"/>
              </w:rPr>
              <w:br w:type="page"/>
              <w:t xml:space="preserve">• stosowanie technologii oczyszczania wód podziemnych z zawiesiny w chodnikach wodnych oraz w osadnikach powierzchniowych, </w:t>
            </w:r>
            <w:r w:rsidRPr="0028666F">
              <w:rPr>
                <w:rFonts w:ascii="Calibri" w:eastAsia="Times New Roman" w:hAnsi="Calibri" w:cs="Calibri"/>
                <w:color w:val="000000"/>
                <w:sz w:val="18"/>
                <w:szCs w:val="18"/>
                <w:lang w:eastAsia="pl-PL"/>
              </w:rPr>
              <w:br w:type="page"/>
              <w:t>• wykorzystanie części wód dołowych na własne cele przemysłowe w ilości nieprzekraczającej wartości zawartych w pozwoleniu wodnoprawnym,</w:t>
            </w:r>
            <w:r w:rsidRPr="0028666F">
              <w:rPr>
                <w:rFonts w:ascii="Calibri" w:eastAsia="Times New Roman" w:hAnsi="Calibri" w:cs="Calibri"/>
                <w:color w:val="000000"/>
                <w:sz w:val="18"/>
                <w:szCs w:val="18"/>
                <w:lang w:eastAsia="pl-PL"/>
              </w:rPr>
              <w:br w:type="page"/>
              <w:t xml:space="preserve">• bieżące prowadzenie zabiegów hydrotechnicznych zapobiegających wystąpieniu podtopień i zalewisk oraz innych zjawisk związanych z zaburzeniem spływu wód powierzchniowych i podziemnych. </w:t>
            </w:r>
            <w:r w:rsidRPr="0028666F">
              <w:rPr>
                <w:rFonts w:ascii="Calibri" w:eastAsia="Times New Roman" w:hAnsi="Calibri" w:cs="Calibri"/>
                <w:color w:val="000000"/>
                <w:sz w:val="18"/>
                <w:szCs w:val="18"/>
                <w:lang w:eastAsia="pl-PL"/>
              </w:rPr>
              <w:br w:type="page"/>
              <w:t xml:space="preserve">Kopalnie w maksymalnej części wykorzystują wodę do celów własnych, a nadmiar niewykorzystanych wód jest i będzie odprowadzany do cieków powierzchniowych, zgodnie z posiadanymi pozwoleniami na wprowadzanie oczyszczonych wód dołowych pochodzących z odwodnienia zakładów górniczych. Ochrona środowiska wodnego, realizowana jest również poprzez prowadzenie monitoringu jakości wód podziemnych i powierzchniowych, a także wód pochodzących z odwodnienia kopalń, stosowanie sprawnego sprzętu wykluczającego możliwość awarii oraz wzmożonej kontroli jakości wód w rejonach zwiększonego zawodnienia."; </w:t>
            </w:r>
            <w:r w:rsidRPr="0028666F">
              <w:rPr>
                <w:rFonts w:ascii="Calibri" w:eastAsia="Times New Roman" w:hAnsi="Calibri" w:cs="Calibri"/>
                <w:color w:val="000000"/>
                <w:sz w:val="18"/>
                <w:szCs w:val="18"/>
                <w:lang w:eastAsia="pl-PL"/>
              </w:rPr>
              <w:br w:type="page"/>
              <w:t xml:space="preserve">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 "Kopalnie węgla kamiennego są inwestycją nadrzędnego interesu publicznego ze względu na to, że zwiększają bezpieczeństwo energetyczne i surowcowe kraju. Dalsza eksploatacja w ramach koncesji udostępnia źródła wysokoenergetycznego surowca, które zwiększa uniezależnienie od innych importowanych surowców energetycznych. Alternatywą dla energetyki opartej na węglu jest energetyka jądrowa, gazowa  oraz odnawialne źródła energii. Zakłada się stopniowe zwiększanie udziału alternatywnych źródeł energii w </w:t>
            </w:r>
            <w:r w:rsidRPr="0028666F">
              <w:rPr>
                <w:rFonts w:ascii="Calibri" w:eastAsia="Times New Roman" w:hAnsi="Calibri" w:cs="Calibri"/>
                <w:color w:val="000000"/>
                <w:sz w:val="18"/>
                <w:szCs w:val="18"/>
                <w:lang w:eastAsia="pl-PL"/>
              </w:rPr>
              <w:lastRenderedPageBreak/>
              <w:t>wytwarzaniu energii kosztem energetyki węglowej.</w:t>
            </w:r>
            <w:r w:rsidRPr="0028666F">
              <w:rPr>
                <w:rFonts w:ascii="Calibri" w:eastAsia="Times New Roman" w:hAnsi="Calibri" w:cs="Calibri"/>
                <w:color w:val="000000"/>
                <w:sz w:val="18"/>
                <w:szCs w:val="18"/>
                <w:lang w:eastAsia="pl-PL"/>
              </w:rPr>
              <w:br w:type="page"/>
              <w:t xml:space="preserve">Decyzja o eksploatacji w kopalniach PGG S.A.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ype="page"/>
              <w:t>Dlatego za kontynuacją eksploatacji węgla kamiennego ze złóż przemawiają takie czynniki jak:</w:t>
            </w:r>
            <w:r w:rsidRPr="0028666F">
              <w:rPr>
                <w:rFonts w:ascii="Calibri" w:eastAsia="Times New Roman" w:hAnsi="Calibri" w:cs="Calibri"/>
                <w:color w:val="000000"/>
                <w:sz w:val="18"/>
                <w:szCs w:val="18"/>
                <w:lang w:eastAsia="pl-PL"/>
              </w:rPr>
              <w:br w:type="page"/>
              <w:t>• istotne znaczenie eksploatacji węgla kamiennego w kopalniach PGG S.A. dla bezpieczeństwa energetycznego kraju,</w:t>
            </w:r>
            <w:r w:rsidRPr="0028666F">
              <w:rPr>
                <w:rFonts w:ascii="Calibri" w:eastAsia="Times New Roman" w:hAnsi="Calibri" w:cs="Calibri"/>
                <w:color w:val="000000"/>
                <w:sz w:val="18"/>
                <w:szCs w:val="18"/>
                <w:lang w:eastAsia="pl-PL"/>
              </w:rPr>
              <w:br w:type="page"/>
              <w:t>• zapewnienie stabilności kopalń PGG S.A. na kolejne lata, co w sposób bezpośredni przekłada się na gwarancję zatrudnienia oraz na regularne wpływy podatków dla lokalnych samorządów.</w:t>
            </w:r>
            <w:r w:rsidRPr="0028666F">
              <w:rPr>
                <w:rFonts w:ascii="Calibri" w:eastAsia="Times New Roman" w:hAnsi="Calibri" w:cs="Calibri"/>
                <w:color w:val="000000"/>
                <w:sz w:val="18"/>
                <w:szCs w:val="18"/>
                <w:lang w:eastAsia="pl-PL"/>
              </w:rPr>
              <w:br w:type="page"/>
              <w:t>Energia jest podstawowym motorem rozwoju ekonomicznego oraz czynnikiem poprawiającym jakość życia. Górnictwo zrównoważonego rozwoju polega na gospodarowaniu zasobami złóż kopalin w sposób przyjazny dla środowiska, poprawny technicznie, efektywny ekonomicznie i akceptowalny społecznie. Prowadzenie eksploatacji przynosi korzyści dla bezpieczeństwa energetycznego kraju, stabilność zatrudnienia, rozwój regionu gliwickiego, rudzkiego, rybnickiego, wzrost PKB. Nadrzędną korzyścią płynącą z realizacji inwestycji polegającej na Wydobywaniu węgla kamiennego ze złóż na podstawie koncesji z kopalń PGG S.A. jest utrzymanie i zapewnienie bezpieczeństwa energetycznego i surowcowego kraju. Zgodnie z dokumentami: ""Polityka energetyczna Polski do 2040 roku"" oraz przyjętym przez Radę Ministrów Programem ""Śląsk 2.0 Program wsparcia przemysłu Województwa Śląskiego i Małopolski Zachodniej"" zakłada się wykorzystanie węgla jako paliwa dla elektroenergetyki w celu zagwarantowania odpowiedniego stopnia bezpieczeństwa energetycznego kraju. Bezpieczeństwo energetyczne stanowi jeden z głównych czynników poprawnego funkcjonowania kraju. Przez bezpieczeństwo energetyczne państwa, w myśl art. 3, pkt. 16 ustawy Prawo Energetyczne z dnia 10 kwietnia 1997 r. rozumie się stan gospodarki umożliwiający pokrycie bieżącego i perspektywicznego zapotrzebowania odbiorców na paliwa i energię w sposób technicznie i ekonomicznie uzasadniony, przy zachowaniu wymagań ochrony środowiska. Korzyści płynących z realizacji inwestycji należy upatrywać w stabilności potencjału rozwojowego regionu i całego województwa śląskiego, w stabilności wpływów z podatków tytułem realizacji planowanej inwestycji, stabilności zatrudnienia w regionie. Realizacja inwestycji przyczyni się do aktywacji gospodarczej całego regionu, a także do zmniejszenia emigracji ludności (zwłaszcza ludzi młodych). Kontynuacja działalność wydobywczej PGG S.A. wykorzystująca dostępne zasoby węgla kamiennego w obrębie Górnośląskiego Zagłębia Węglowego, przyczyni się do zapewnienia ciągłości bezpieczeństwa energetycznego Polski.";</w:t>
            </w:r>
            <w:r w:rsidRPr="0028666F">
              <w:rPr>
                <w:rFonts w:ascii="Calibri" w:eastAsia="Times New Roman" w:hAnsi="Calibri" w:cs="Calibri"/>
                <w:color w:val="000000"/>
                <w:sz w:val="18"/>
                <w:szCs w:val="18"/>
                <w:lang w:eastAsia="pl-PL"/>
              </w:rPr>
              <w:br w:type="page"/>
              <w:t xml:space="preserve">Dlaczego korzystne cele, którym służą te zmiany lub modyfikacje części wód, nie mogą (ze względu na możliwości techniczne czy nieproporcjonalne koszty) być osiągnięte za pomocą innych działań, znacznie korzystniejszych z punktu widzenia środowiska naturalnego?: "Odnawialne źródła energii nie są w stanie zaspokoić potrzeb energetycznych kraju. Inwestycja polegająca na wydobywaniu węgla ze złóż ma duże </w:t>
            </w:r>
            <w:r w:rsidRPr="0028666F">
              <w:rPr>
                <w:rFonts w:ascii="Calibri" w:eastAsia="Times New Roman" w:hAnsi="Calibri" w:cs="Calibri"/>
                <w:color w:val="000000"/>
                <w:sz w:val="18"/>
                <w:szCs w:val="18"/>
                <w:lang w:eastAsia="pl-PL"/>
              </w:rPr>
              <w:lastRenderedPageBreak/>
              <w:t>znaczenie społeczne i gospodarcze. Jej realizacja odbędzie się z pożytkiem dla całego społeczeństwa. Inwestycja umożliwi nie tylko zatrudnienie miejscowej ludności w regionie ale również przejmie część pracowników sukcesywnie likwidowanych kopalni. Eksploatacja ze złóż będzie kontynuacją wydobycia prowadzonego przez PGG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ype="page"/>
              <w:t>Węgiel ze złóż kopalń PGG S.A.  będzie wykorzystywany do celów energetycznych. Węgiel kamienny energetyczny jest podstawowym paliwem wykorzystywanym w krajowym systemie elektroenergetycznym (KSE). Zgodnie z polityką klimatyczną i energetyczną UE należy spodziewać się znaczącego wzrostu udziału OZE w rynku produkcji energii elektrycznej. W związku ze specyfiką elektrowni wiatrowych i słonecznych, które to będą producentami większości energii odnawialnej w UE, rynek energii wymagać będzie uzupełnienia dostaw energii w tzw. okresach ""ciszy"". Polska energetyka węglowa pełnić będzie rolę stabilizatora rynku energii, a kontynuacja wydobywania węgla przez PGG S.A. jest gwarantem bezpieczeństwa energetycznego oraz bezpieczeństwa dostaw energii w Polsce. Mając na uwadze założenia zawarte w dokumentach ""Polityka energetyczna Polski do 2040 roku"", a także potencjał i charakter polskiego rynku produkcji energii - udział węgla w miksie energetycznym będzie stopniowo spadać, ale wciąż to on będzie stanowić jego podstawę. W związku z powyższym można stwierdzić, że wydobywanie węgla przez PGG S.A. w ściśle określonych terminach, umożliwi realizację energetycznego celu przedsięwzięcia i nie może być osiągnięte innymi, bardziej korzystnymi ze względów środowiskowych metodami, z uwagi na brak możliwości realizacji polityki energetycznej kraju, a tym samym zapewnienia bezpieczeństwa energetycznego Polski.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8A95C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744960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E1882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38-39_PGG_Odra</w:t>
            </w:r>
          </w:p>
        </w:tc>
        <w:tc>
          <w:tcPr>
            <w:tcW w:w="1014" w:type="dxa"/>
            <w:tcBorders>
              <w:top w:val="nil"/>
              <w:left w:val="nil"/>
              <w:bottom w:val="single" w:sz="4" w:space="0" w:color="auto"/>
              <w:right w:val="single" w:sz="4" w:space="0" w:color="auto"/>
            </w:tcBorders>
            <w:shd w:val="clear" w:color="auto" w:fill="auto"/>
            <w:hideMark/>
          </w:tcPr>
          <w:p w14:paraId="4D41DC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AD5C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obecnym stanie prawnym PGW nie ustanawiają odstępstw dla inwestycji, lecz prezentują już ustanowione (w aPGW z 2016 r. lub w decyzjach wydanych po 2017 r.) odstępstwa - jest to zatem forma sprawozdania, a nie forma rozstrzygająca. Szczegółowe analizy dotyczące konkretnych inwestycji będą prowadzone na etapie postępowań administracyjnych, których elementem będzie analiza wpływu na cele środowiskowe oraz analiza konieczności i możliwości zastosowania odstępstw w trybie art. 68 ustawy Prawo wodne (art. 4.7 RDW).</w:t>
            </w:r>
          </w:p>
        </w:tc>
      </w:tr>
      <w:tr w:rsidR="007C2B40" w:rsidRPr="0028666F" w14:paraId="3096F91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2272A2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39</w:t>
            </w:r>
          </w:p>
        </w:tc>
        <w:tc>
          <w:tcPr>
            <w:tcW w:w="970" w:type="dxa"/>
            <w:tcBorders>
              <w:top w:val="nil"/>
              <w:left w:val="nil"/>
              <w:bottom w:val="single" w:sz="4" w:space="0" w:color="auto"/>
              <w:right w:val="nil"/>
            </w:tcBorders>
          </w:tcPr>
          <w:p w14:paraId="4387FE1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Polska Grupa Górnicza S.A.</w:t>
            </w:r>
          </w:p>
        </w:tc>
        <w:tc>
          <w:tcPr>
            <w:tcW w:w="165" w:type="dxa"/>
            <w:tcBorders>
              <w:top w:val="nil"/>
              <w:left w:val="nil"/>
              <w:bottom w:val="single" w:sz="4" w:space="0" w:color="auto"/>
              <w:right w:val="single" w:sz="4" w:space="0" w:color="auto"/>
            </w:tcBorders>
            <w:shd w:val="clear" w:color="auto" w:fill="auto"/>
          </w:tcPr>
          <w:p w14:paraId="532BAAD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D460F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3C5562A" w14:textId="4F4309DD" w:rsidR="007C2B40" w:rsidRPr="0028666F" w:rsidRDefault="007C2B40" w:rsidP="004F7B9E">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Załącznik nr 6 –_ wykazie inwestycji dorzecza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PGG S.A. Oddział KWK Ruda Ruch Bielszowice</w:t>
            </w:r>
            <w:r w:rsidRPr="0028666F">
              <w:rPr>
                <w:rFonts w:ascii="Calibri" w:eastAsia="Times New Roman" w:hAnsi="Calibri" w:cs="Calibri"/>
                <w:color w:val="000000"/>
                <w:sz w:val="18"/>
                <w:szCs w:val="18"/>
                <w:lang w:eastAsia="pl-PL"/>
              </w:rPr>
              <w:br/>
              <w:t>Nazwa inwestycji lub działania: "Wydobycie węgla kamiennego i metanu jako kopaliny towarzyszacej ze złoża Zabrze-Bielszowice  na podstawie koncesji nr 161/94 z dnia 26.08.1994 r. "</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węgla kamiennego. Gwarancja bezpieczeństwa enegetycznego kraju.</w:t>
            </w:r>
            <w:r w:rsidRPr="0028666F">
              <w:rPr>
                <w:rFonts w:ascii="Calibri" w:eastAsia="Times New Roman" w:hAnsi="Calibri" w:cs="Calibri"/>
                <w:color w:val="000000"/>
                <w:sz w:val="18"/>
                <w:szCs w:val="18"/>
                <w:lang w:eastAsia="pl-PL"/>
              </w:rPr>
              <w:br/>
              <w:t>Data zakończenia inwestycji lub działania (planowana lub rzeczywista): planowana, 2044-08-31</w:t>
            </w:r>
            <w:r w:rsidRPr="0028666F">
              <w:rPr>
                <w:rFonts w:ascii="Calibri" w:eastAsia="Times New Roman" w:hAnsi="Calibri" w:cs="Calibri"/>
                <w:color w:val="000000"/>
                <w:sz w:val="18"/>
                <w:szCs w:val="18"/>
                <w:lang w:eastAsia="pl-PL"/>
              </w:rPr>
              <w:br/>
              <w:t>Szacunkowe korzyści: Zabezpieczenie energetyczne kraju na okres eksploatacji złoża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br/>
              <w:t xml:space="preserve">Lokalizacja planowanej inwestycji lub działania: Województwo (województwa): śląskie, Powiat (powiaty): Zabrze/ Ruda Śląska/ Mikołów, Gmina (gminy): Zabrze/ Ruda Śląska/ Mikołów, Dorzecze: Odry, Ciek lub zbiornik wodny (nazwa lub "nie dotyczy"): Rzeka Kłodnica, Jednolite części wód powierzchniowych (według podziału z aPGW z 2016 r.), w obrębie których była zaplanowana inwestycja lub działanie: nazwa: Kłodnica, Potok Bielszowicki, Czarnawka,  Potok Promna, kod: RW60006116159, RW6000611632, RWRW6000611634, RW6000611616;  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obowiązującego w perspektywie 2022-2027): nazwa: Kłodnica do Promnej do zb. Dzierżno/Kłodnica od źródeł do Promnej, kod: RW6000061165739, RW600006116159;  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obowiązującego w perspektywie 2022-2027): nazwa: Kłodnica do Promnej do zb. Dzierżno/Kłodnica od źródeł do Promnej, kod: RW6000061165739, RW600006116159;  Jednolite części wód podziemnych, w obrębie której jest lub będzie realizowana inwestycja lub działanie (kod/kody): PLGW6000111, PLGW6000129; Jednolite części wód podziemnych objęte potencjalnym zasięgiem oddziaływania inwestycji lub działania (kod/kody): PLGW6000111, PLGW6000129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 xml:space="preserve">Jakie kroki zostały podjęte (i czy są to wszystkie możliwe kroki) zmierzające do ograniczenia niekorzystnego wpływu na stan części wód?: "Odwadnianie kopalń wpływa bezpośrednio na wody piętra karbońskiego poprzez stopniowe sczerpywanie zasobów wodnych piętra oraz sukcesywne obniżanie poziomu zwierciadła wody (powiększanie leja depresji). Wpływ ten jednak jest powszechny dla rejonu całego Górnego Śląska. Nie powoduje to zakłóceń w wyżej położonych piętrach trzeciorzędowych i czwartorzędowym. Wody karbońskie generalnie są zasolone i nie posiadają cech użytkowych. Obecny reżim hydrologiczny, na skutek zmian spowodowanych wieloletnią eksploatacją górniczą nie różni się od pierwotnego. </w:t>
            </w:r>
            <w:r w:rsidRPr="0028666F">
              <w:rPr>
                <w:rFonts w:ascii="Calibri" w:eastAsia="Times New Roman" w:hAnsi="Calibri" w:cs="Calibri"/>
                <w:color w:val="000000"/>
                <w:sz w:val="18"/>
                <w:szCs w:val="18"/>
                <w:lang w:eastAsia="pl-PL"/>
              </w:rPr>
              <w:br/>
              <w:t>Kopalnie PGG S.A. zarówno na etapie projektowania jak również w trakcie prowadzenia działalności polegającej na eksploatacji węgla kamiennego podejmują wszelkie działania, aby łagodzić skutki negatywnych oddziaływań na stan jednolitych części wód poprzez:</w:t>
            </w:r>
            <w:r w:rsidRPr="0028666F">
              <w:rPr>
                <w:rFonts w:ascii="Calibri" w:eastAsia="Times New Roman" w:hAnsi="Calibri" w:cs="Calibri"/>
                <w:color w:val="000000"/>
                <w:sz w:val="18"/>
                <w:szCs w:val="18"/>
                <w:lang w:eastAsia="pl-PL"/>
              </w:rPr>
              <w:br/>
              <w:t xml:space="preserve">• ograniczanie ilości dopływu wód silnie zasolonych do wyrobisk podziemnych z wykorzystaniem metod górniczo-geologicznych, w tym możliwość izolacji wyrobisk i stref o znacznym dopływie wód charakteryzujących się wysoką zawartością jonów Cl+SO4, zagospodarowania przedmiotowych wód w zrobach poeksploatacyjnych, </w:t>
            </w:r>
            <w:r w:rsidRPr="0028666F">
              <w:rPr>
                <w:rFonts w:ascii="Calibri" w:eastAsia="Times New Roman" w:hAnsi="Calibri" w:cs="Calibri"/>
                <w:color w:val="000000"/>
                <w:sz w:val="18"/>
                <w:szCs w:val="18"/>
                <w:lang w:eastAsia="pl-PL"/>
              </w:rPr>
              <w:br/>
              <w:t xml:space="preserve">• stosowanie technologii oczyszczania wód podziemnych z zawiesiny w chodnikach wodnych oraz w osadnikach powierzchniowych, </w:t>
            </w:r>
            <w:r w:rsidRPr="0028666F">
              <w:rPr>
                <w:rFonts w:ascii="Calibri" w:eastAsia="Times New Roman" w:hAnsi="Calibri" w:cs="Calibri"/>
                <w:color w:val="000000"/>
                <w:sz w:val="18"/>
                <w:szCs w:val="18"/>
                <w:lang w:eastAsia="pl-PL"/>
              </w:rPr>
              <w:br/>
              <w:t>• wykorzystanie części wód dołowych na własne cele przemysłowe w ilości nieprzekraczającej wartości zawartych w pozwoleniu wodnoprawnym,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 bieżące prowadzenie zabiegów hydrotechnicznych zapobiegających wystąpieniu podtopień i zalewisk oraz innych zjawisk związanych z zaburzeniem spływu wód powierzchniowych i podziemnych. </w:t>
            </w:r>
            <w:r w:rsidRPr="0028666F">
              <w:rPr>
                <w:rFonts w:ascii="Calibri" w:eastAsia="Times New Roman" w:hAnsi="Calibri" w:cs="Calibri"/>
                <w:color w:val="000000"/>
                <w:sz w:val="18"/>
                <w:szCs w:val="18"/>
                <w:lang w:eastAsia="pl-PL"/>
              </w:rPr>
              <w:br/>
              <w:t xml:space="preserve">Kopalnie w maksymalnej części wykorzystują wodę do celów własnych, a nadmiar niewykorzystanych wód jest i będzie odprowadzany do cieków powierzchniowych, zgodnie z posiadanymi pozwoleniami na wprowadzanie oczyszczonych wód dołowych pochodzących z odwodnienia zakładów górniczych. Ochrona środowiska wodnego, realizowana jest również poprzez prowadzenie monitoringu jakości wód podziemnych i powierzchniowych, a także wód pochodzących z odwodnienia kopalń, stosowanie sprawnego sprzętu wykluczającego możliwość awarii oraz wzmożonej kontroli jakości wód w rejonach zwiększonego zawodnienia."; </w:t>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 "Kopalnie węgla kamiennego są inwestycją nadrzędnego interesu publicznego ze względu na to, że zwiększają bezpieczeństwo energetyczne i surowcowe kraju. Dalsza eksploatacja w ramach koncesji udostępnia źródła wysokoenergetycznego surowca, które zwiększa uniezależnienie od innych importowanych surowców energetycznych. Alternatywą dla energetyki opartej na węglu jest energetyka jądrowa, gazowa  oraz odnawialne źródła energii. Zakłada się stopniowe zwiększanie udziału alternatywnych źródeł energii w wytwarzaniu energii kosztem energetyki węglowej.</w:t>
            </w:r>
            <w:r w:rsidRPr="0028666F">
              <w:rPr>
                <w:rFonts w:ascii="Calibri" w:eastAsia="Times New Roman" w:hAnsi="Calibri" w:cs="Calibri"/>
                <w:color w:val="000000"/>
                <w:sz w:val="18"/>
                <w:szCs w:val="18"/>
                <w:lang w:eastAsia="pl-PL"/>
              </w:rPr>
              <w:br/>
              <w:t xml:space="preserve">Decyzja o eksploatacji w kopalniach PGG S.A.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Dlatego za kontynuacją eksploatacji węgla kamiennego ze złóż przemawiają takie czynniki jak:</w:t>
            </w:r>
            <w:r w:rsidRPr="0028666F">
              <w:rPr>
                <w:rFonts w:ascii="Calibri" w:eastAsia="Times New Roman" w:hAnsi="Calibri" w:cs="Calibri"/>
                <w:color w:val="000000"/>
                <w:sz w:val="18"/>
                <w:szCs w:val="18"/>
                <w:lang w:eastAsia="pl-PL"/>
              </w:rPr>
              <w:br/>
              <w:t>• istotne znaczenie eksploatacji węgla kamiennego w kopalniach PGG S.A. dla bezpieczeństwa energetycznego kraju,</w:t>
            </w:r>
            <w:r w:rsidRPr="0028666F">
              <w:rPr>
                <w:rFonts w:ascii="Calibri" w:eastAsia="Times New Roman" w:hAnsi="Calibri" w:cs="Calibri"/>
                <w:color w:val="000000"/>
                <w:sz w:val="18"/>
                <w:szCs w:val="18"/>
                <w:lang w:eastAsia="pl-PL"/>
              </w:rPr>
              <w:br/>
              <w:t>• zapewnienie stabilności kopalń PGG S.A. na kolejne lata, co w sposób bezpośredni przekłada się na gwarancję zatrudnienia oraz na regularne wpływy podatków dla lokalnych samorządów.</w:t>
            </w:r>
            <w:r w:rsidRPr="0028666F">
              <w:rPr>
                <w:rFonts w:ascii="Calibri" w:eastAsia="Times New Roman" w:hAnsi="Calibri" w:cs="Calibri"/>
                <w:color w:val="000000"/>
                <w:sz w:val="18"/>
                <w:szCs w:val="18"/>
                <w:lang w:eastAsia="pl-PL"/>
              </w:rPr>
              <w:br/>
              <w:t xml:space="preserve">Energia jest podstawowym motorem rozwoju ekonomicznego oraz czynnikiem poprawiającym jakość życia. Górnictwo zrównoważonego rozwoju polega na gospodarowaniu zasobami złóż kopalin w sposób przyjazny dla środowiska, poprawny technicznie, efektywny ekonomicznie i akceptowalny społecznie. Prowadzenie eksploatacji przynosi korzyści dla bezpieczeństwa energetycznego kraju, stabilność zatrudnienia, rozwój regionu gliwickiego, rudzkiego, rybnickiego, wzrost PKB. Nadrzędną korzyścią płynącą z realizacji inwestycji polegającej na Wydobywaniu węgla kamiennego ze złóż na podstawie koncesji z kopalń PGG S.A. jest utrzymanie i zapewnienie bezpieczeństwa energetycznego i surowcowego kraju. Zgodnie z dokumentami: ""Polityka energetyczna Polski do 2040 roku"" oraz przyjętym </w:t>
            </w:r>
            <w:r w:rsidRPr="0028666F">
              <w:rPr>
                <w:rFonts w:ascii="Calibri" w:eastAsia="Times New Roman" w:hAnsi="Calibri" w:cs="Calibri"/>
                <w:color w:val="000000"/>
                <w:sz w:val="18"/>
                <w:szCs w:val="18"/>
                <w:lang w:eastAsia="pl-PL"/>
              </w:rPr>
              <w:lastRenderedPageBreak/>
              <w:t>przez Radę Ministrów Programem ""Śląsk 2.0 Program wsparcia przemysłu Województwa Śląskiego i Małopolski Zachodniej"" zakłada się wykorzystanie węgla jako paliwa dla elektroenergetyki w celu zagwarantowania odpowiedniego stopnia bezpieczeństwa energetycznego kraju. Bezpieczeństwo energetyczne stanowi jeden z głównych czynników poprawnego funkcjonowania kraju. Przez bezpieczeństwo energetyczne państwa, w myśl art. 3, pkt. 16 ustawy Prawo Energetyczne z dnia 10 kwietnia 1997 r. rozumie się stan gospodarki umożliwiający pokrycie bieżącego i perspektywicznego zapotrzebowania odbiorców na paliwa i energię w sposób technicznie i ekonomicznie uzasadniony, przy zachowaniu wymagań ochrony środowiska. Korzyści płynących z realizacji inwestycji należy upatrywać w stabilności potencjału rozwojowego regionu i całego województwa śląskiego, w stabilności wpływów z podatków tytułem realizacji planowanej inwestycji, stabilności zatrudnienia w regionie. Realizacja inwestycji przyczyni się do aktywacji gospodarczej całego regionu, a także do zmniejszenia emigracji ludności (zwłaszcza ludzi młodych). Kontynuacja działalność wydobywczej PGG S.A. wykorzystująca dostępne zasoby węgla kamiennego w obrębie Górnośląskiego Zagłębia Węglowego, przyczyni się do zapewnienia ciągłości bezpieczeństwa energetycznego Polski.";</w:t>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"Odnawialne źródła energii nie są w stanie zaspokoić potrzeb energetycznych kraju. 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 Eksploatacja ze złóż będzie kontynuacją wydobycia prowadzonego przez PGG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 xml:space="preserve">Węgiel ze złóż kopalń PGG S.A.  będzie wykorzystywany do celów energetycznych. Węgiel kamienny energetyczny jest podstawowym paliwem wykorzystywanym w krajowym systemie elektroenergetycznym (KSE). Zgodnie z polityką klimatyczną i energetyczną UE należy spodziewać się znaczącego wzrostu udziału OZE w rynku produkcji energii elektrycznej. W związku ze specyfiką elektrowni wiatrowych i słonecznych, które to będą producentami większości energii odnawialnej w UE, rynek energii wymagać będzie uzupełnienia dostaw energii w tzw. okresach ""ciszy"". Polska energetyka węglowa pełnić będzie rolę stabilizatora rynku energii, a kontynuacja wydobywania węgla przez PGG S.A. jest gwarantem bezpieczeństwa energetycznego oraz bezpieczeństwa dostaw energii w Polsce. Mając na uwadze założenia zawarte w dokumentach ""Polityka energetyczna Polski do 2040 roku"", a także potencjał i charakter polskiego rynku produkcji energii - udział węgla w miksie energetycznym będzie stopniowo spadać, ale wciąż to on będzie stanowić jego </w:t>
            </w:r>
            <w:r w:rsidRPr="0028666F">
              <w:rPr>
                <w:rFonts w:ascii="Calibri" w:eastAsia="Times New Roman" w:hAnsi="Calibri" w:cs="Calibri"/>
                <w:color w:val="000000"/>
                <w:sz w:val="18"/>
                <w:szCs w:val="18"/>
                <w:lang w:eastAsia="pl-PL"/>
              </w:rPr>
              <w:lastRenderedPageBreak/>
              <w:t>podstawę. W związku z powyższym można stwierdzić, że wydobywanie węgla przez PGG S.A. w ściśle określonych terminach, umożliwi realizację energetycznego celu przedsięwzięcia i nie może być osiągnięte innymi, bardziej korzystnymi ze względów środowiskowych metodami, z uwagi na brak możliwości realizacji polityki energetycznej kraju, a tym samym zapewnienia bezpieczeństwa energetycznego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148739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22AD8F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777701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38-39_PGG_Odra</w:t>
            </w:r>
          </w:p>
        </w:tc>
        <w:tc>
          <w:tcPr>
            <w:tcW w:w="1014" w:type="dxa"/>
            <w:tcBorders>
              <w:top w:val="nil"/>
              <w:left w:val="nil"/>
              <w:bottom w:val="single" w:sz="4" w:space="0" w:color="auto"/>
              <w:right w:val="single" w:sz="4" w:space="0" w:color="auto"/>
            </w:tcBorders>
            <w:shd w:val="clear" w:color="auto" w:fill="auto"/>
            <w:hideMark/>
          </w:tcPr>
          <w:p w14:paraId="2B81E1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0C5D5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obecnym stanie prawnym PGW nie ustanawiają odstępstw dla inwestycji, lecz prezentują już ustanowione (w aPGW z 2016 r. lub w decyzjach wydanych po 2017 r.) odstępstwa - jest to zatem forma sprawozdania, a nie forma rozstrzygająca. Szczegółowe analizy dotyczące konkretnych inwestycji będą prowadzone na etapie postępowań administracyjnych, których elementem będzie analiza wpływu na cele środowiskowe oraz analiza konieczności i możliwości zastosowania odstępstw w trybie art. 68 ustawy Prawo wodne (art. 4.7 RDW).</w:t>
            </w:r>
          </w:p>
        </w:tc>
      </w:tr>
      <w:tr w:rsidR="007C2B40" w:rsidRPr="0028666F" w14:paraId="32ADD3C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DF034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40</w:t>
            </w:r>
          </w:p>
        </w:tc>
        <w:tc>
          <w:tcPr>
            <w:tcW w:w="970" w:type="dxa"/>
            <w:tcBorders>
              <w:top w:val="nil"/>
              <w:left w:val="nil"/>
              <w:bottom w:val="single" w:sz="4" w:space="0" w:color="auto"/>
              <w:right w:val="nil"/>
            </w:tcBorders>
          </w:tcPr>
          <w:p w14:paraId="488DBA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0042FAB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49864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55129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związku z uciążliwym interfejsem, uwagi do IIaPGW załączamy w formacie PDF i są zgodnie z układem zaproponowanym w ankiecie on-line, czyli: do jakiej części kierowana jest uwaga / treść uwagi / propozycja zmian / uzasadnienie."</w:t>
            </w:r>
          </w:p>
        </w:tc>
        <w:tc>
          <w:tcPr>
            <w:tcW w:w="2733" w:type="dxa"/>
            <w:tcBorders>
              <w:top w:val="nil"/>
              <w:left w:val="nil"/>
              <w:bottom w:val="single" w:sz="4" w:space="0" w:color="auto"/>
              <w:right w:val="single" w:sz="4" w:space="0" w:color="auto"/>
            </w:tcBorders>
            <w:shd w:val="clear" w:color="auto" w:fill="auto"/>
            <w:hideMark/>
          </w:tcPr>
          <w:p w14:paraId="15C41A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F2C75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7A5A5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8D255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8265C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Odpowiedzi na poszczególne uwagi wniesione przez Stepnicką Organizację Turystyczną Nie Tylko Dla Orłów znajdują się w dalszej części zestawienia przy każdej z uwag wydzielonych osobno.</w:t>
            </w:r>
          </w:p>
        </w:tc>
      </w:tr>
      <w:tr w:rsidR="007C2B40" w:rsidRPr="0028666F" w14:paraId="3CAF27C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A31D1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w:t>
            </w:r>
          </w:p>
        </w:tc>
        <w:tc>
          <w:tcPr>
            <w:tcW w:w="970" w:type="dxa"/>
            <w:tcBorders>
              <w:top w:val="nil"/>
              <w:left w:val="nil"/>
              <w:bottom w:val="single" w:sz="4" w:space="0" w:color="auto"/>
              <w:right w:val="nil"/>
            </w:tcBorders>
          </w:tcPr>
          <w:p w14:paraId="799ED47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Nie </w:t>
            </w:r>
            <w:r>
              <w:rPr>
                <w:rFonts w:ascii="Calibri" w:hAnsi="Calibri" w:cs="Calibri"/>
                <w:color w:val="000000"/>
                <w:sz w:val="18"/>
                <w:szCs w:val="18"/>
              </w:rPr>
              <w:lastRenderedPageBreak/>
              <w:t>dla Kopalni Cynku i Ołowiu</w:t>
            </w:r>
          </w:p>
        </w:tc>
        <w:tc>
          <w:tcPr>
            <w:tcW w:w="165" w:type="dxa"/>
            <w:tcBorders>
              <w:top w:val="nil"/>
              <w:left w:val="nil"/>
              <w:bottom w:val="single" w:sz="4" w:space="0" w:color="auto"/>
              <w:right w:val="single" w:sz="4" w:space="0" w:color="auto"/>
            </w:tcBorders>
            <w:shd w:val="clear" w:color="auto" w:fill="auto"/>
          </w:tcPr>
          <w:p w14:paraId="5D4AABE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B1BD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1C81E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PGW zawiera wykaz inwestycji oraz działań, które mogą spowodować nieosiągnięcie dobrego stanu wód lub pogorszenie </w:t>
            </w:r>
            <w:r w:rsidRPr="0028666F">
              <w:rPr>
                <w:rFonts w:ascii="Calibri" w:eastAsia="Times New Roman" w:hAnsi="Calibri" w:cs="Calibri"/>
                <w:color w:val="000000"/>
                <w:sz w:val="18"/>
                <w:szCs w:val="18"/>
                <w:lang w:eastAsia="pl-PL"/>
              </w:rPr>
              <w:lastRenderedPageBreak/>
              <w:t>dobrego stanu wód, spełniających warunki, o których mowa w art. 4 ust. 7 Ramo-wej Dyrektywy Wodnej, wraz z uzasadnieniem spełnienia tych warunków (czyli: ze wskazaniem przesłanek wskazujących na dopuszczalność realizacji tych działań i przedsięwzięć). Jedną z inwestycji, która została wpisana do PGW przyjętego w 2016 r. jest Budowa podziemnej kopalni w celu wydobywania rud cynku i ołowiu ze złoża Zawiercie 3 ID dla II aPGW - A_549_O/A_1810_W. W ocenie Stowarzyszenia przedstawione w PGW przesłanki mające przemawiać za realizacją tego projektu nie czynią zadość wymaganiom art. 4 ust. 7 lit. c RDW</w:t>
            </w:r>
          </w:p>
        </w:tc>
        <w:tc>
          <w:tcPr>
            <w:tcW w:w="2733" w:type="dxa"/>
            <w:tcBorders>
              <w:top w:val="nil"/>
              <w:left w:val="nil"/>
              <w:bottom w:val="single" w:sz="4" w:space="0" w:color="auto"/>
              <w:right w:val="single" w:sz="4" w:space="0" w:color="auto"/>
            </w:tcBorders>
            <w:shd w:val="clear" w:color="auto" w:fill="auto"/>
            <w:hideMark/>
          </w:tcPr>
          <w:p w14:paraId="75563C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Wykreślenie z załącznika nr 6 do II aPGW projektu Budowa </w:t>
            </w:r>
            <w:r w:rsidRPr="0028666F">
              <w:rPr>
                <w:rFonts w:ascii="Calibri" w:eastAsia="Times New Roman" w:hAnsi="Calibri" w:cs="Calibri"/>
                <w:color w:val="000000"/>
                <w:sz w:val="18"/>
                <w:szCs w:val="18"/>
                <w:lang w:eastAsia="pl-PL"/>
              </w:rPr>
              <w:lastRenderedPageBreak/>
              <w:t>podziemnej kopalni w celu wydobywania rud cynku i ołowiu ze złoża Zawiercie 3 ID dla II aPGW - A_549_O/A_1810_W.</w:t>
            </w:r>
          </w:p>
        </w:tc>
        <w:tc>
          <w:tcPr>
            <w:tcW w:w="3009" w:type="dxa"/>
            <w:tcBorders>
              <w:top w:val="nil"/>
              <w:left w:val="nil"/>
              <w:bottom w:val="single" w:sz="4" w:space="0" w:color="auto"/>
              <w:right w:val="single" w:sz="4" w:space="0" w:color="auto"/>
            </w:tcBorders>
            <w:shd w:val="clear" w:color="auto" w:fill="auto"/>
            <w:hideMark/>
          </w:tcPr>
          <w:p w14:paraId="0855A6D5" w14:textId="005BD55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Zgodnie z opracowaniami eksperckimi dotyczącymi budowy kopalni cynku i </w:t>
            </w:r>
            <w:r w:rsidRPr="0028666F">
              <w:rPr>
                <w:rFonts w:ascii="Calibri" w:eastAsia="Times New Roman" w:hAnsi="Calibri" w:cs="Calibri"/>
                <w:color w:val="000000"/>
                <w:sz w:val="18"/>
                <w:szCs w:val="18"/>
                <w:lang w:eastAsia="pl-PL"/>
              </w:rPr>
              <w:lastRenderedPageBreak/>
              <w:t>ołowiu na terenie występowania ww. złóż, wskazano że ewentualna eksploatacja złóż będzie wymagała odwodnienia górotworu, konsekwencją czego będzie naruszenie dotychczasowych stosunków wodnych na terenie Powiatu Zawierciańskiego i spowoduje powstanie leja depresyjnego. W wyniku drenażu górniczego większość obecnie funkcjonujących ujęć wód podziemnych, przeznaczonych do zaopatrzenia ludności i przemysłu, na terenie Powiatu będzie musiała być wyłączona z powodu obniżenia się poziomu wód gruntowych. Konsekwencją tego będzie konieczność znalezienia alternatywnych źródeł zaopatrzenia w wodę dla Powiatu. Innym zagrożeniem w związku z ewentualną eksploatacją górniczą rud cynku i ołowiu, które zalegają na niewielkiej głębokości, mogą być szkody górnicze powstające w infrastrukturze powierzchniowej. Tak m.in. czytamy w „Analizie wpływu potencjalnej budowy kopalni cynku i ołowiu w okolicach Zawiercia na otoczenie”, Multiconsult Polska Sp. z o.o., 2016 r.</w:t>
            </w:r>
            <w:r w:rsidRPr="0028666F">
              <w:rPr>
                <w:rFonts w:ascii="Calibri" w:eastAsia="Times New Roman" w:hAnsi="Calibri" w:cs="Calibri"/>
                <w:color w:val="000000"/>
                <w:sz w:val="18"/>
                <w:szCs w:val="18"/>
                <w:lang w:eastAsia="pl-PL"/>
              </w:rPr>
              <w:br/>
              <w:t>W PGW cel realizacji przedsięwzięcia określono w sposób następujący: „efektywne wykorzystanie surowców mineralnych, kopaliny podstawowe – metale nieżelazne, podziemne wydobycie rud cynku i ołowiu , zapewnienie bezpieczeństwa surowcowego Polski, utrzymanie pozycji Polski jako producenta cynku i ołowiu, stworzenie możliwości dla rozwoju gałęzi przemysłu przetwórczego opartego o nowe technologie wykorzystujące cynk i ołów”. W PGW wskazano również, jaki jest nadrzędny interes publiczny przemawiający za realizacją przedsięwzięcia: „Planowana kopalnia podziemna cynku i ołowiu stanowi nadrzędny interes publiczny o charakterze społecznym i gospodarczym zarówno w skali lokalnej, regionalnej, jak i krajowej itd.</w:t>
            </w:r>
            <w:r w:rsidRPr="0028666F">
              <w:rPr>
                <w:rFonts w:ascii="Calibri" w:eastAsia="Times New Roman" w:hAnsi="Calibri" w:cs="Calibri"/>
                <w:color w:val="000000"/>
                <w:sz w:val="18"/>
                <w:szCs w:val="18"/>
                <w:lang w:eastAsia="pl-PL"/>
              </w:rPr>
              <w:br/>
              <w:t>Należy zwrócić uwagę, że są to zapisy powtórzone z przyjętego w 2016 r. PGW, podczas gdy tworzenie Planów gospodarki wodami w okresach 5-</w:t>
            </w:r>
            <w:r w:rsidRPr="0028666F">
              <w:rPr>
                <w:rFonts w:ascii="Calibri" w:eastAsia="Times New Roman" w:hAnsi="Calibri" w:cs="Calibri"/>
                <w:color w:val="000000"/>
                <w:sz w:val="18"/>
                <w:szCs w:val="18"/>
                <w:lang w:eastAsia="pl-PL"/>
              </w:rPr>
              <w:lastRenderedPageBreak/>
              <w:t xml:space="preserve">letnich ma na celu analizę ryzyka i ocenę planowanych działań z celami środowiskowymi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kontekście art. 4 ust. 7 RDW.  PGW zgodnie z przepisami podlega cyklicznej aktualizacji co 6 lat, w ramach którego m.in. badany jest stan wód, identyfikuje i ocenia się presje na stan wód, analizowany jest status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określane są cele środowiskowe dla nich oraz przeprowadzana jest analiza ryzyka ich nieosiągnięcia i formułowany jest program działań mających zapewnić osiągnięcie tych celów</w:t>
            </w:r>
            <w:r w:rsidRPr="0028666F">
              <w:rPr>
                <w:rFonts w:ascii="Calibri" w:eastAsia="Times New Roman" w:hAnsi="Calibri" w:cs="Calibri"/>
                <w:color w:val="000000"/>
                <w:sz w:val="18"/>
                <w:szCs w:val="18"/>
                <w:lang w:eastAsia="pl-PL"/>
              </w:rPr>
              <w:br/>
              <w:t xml:space="preserve">Niezależnie od powyższego należy krytycznie podejść do argumentów zawartych w projekcie aPGW, a uzasadniających możliwość realizacji wpisanego do aPGW projektu, pomimo że to przedsięwzięcie pogarsza stan wód lub uniemożliwia osiągnięcie celu środowiskowego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Według wytycznych CIS nr 20 i nr 36, o nadrzędnym interesie publicznym można mówić wyłączni wte-dy, gdy projekty lub przedsięwzięcia są niezbędne w ramach:</w:t>
            </w:r>
            <w:r w:rsidRPr="0028666F">
              <w:rPr>
                <w:rFonts w:ascii="Calibri" w:eastAsia="Times New Roman" w:hAnsi="Calibri" w:cs="Calibri"/>
                <w:color w:val="000000"/>
                <w:sz w:val="18"/>
                <w:szCs w:val="18"/>
                <w:lang w:eastAsia="pl-PL"/>
              </w:rPr>
              <w:br/>
              <w:t xml:space="preserve">- działań lub polityk mających na celu ochronę podstawowej wartości życia obywateli (zdrowie, bezpieczeństwo, środowisko); </w:t>
            </w:r>
            <w:r w:rsidRPr="0028666F">
              <w:rPr>
                <w:rFonts w:ascii="Calibri" w:eastAsia="Times New Roman" w:hAnsi="Calibri" w:cs="Calibri"/>
                <w:color w:val="000000"/>
                <w:sz w:val="18"/>
                <w:szCs w:val="18"/>
                <w:lang w:eastAsia="pl-PL"/>
              </w:rPr>
              <w:br/>
              <w:t>- polityk fundamentalnych dla państwa i społeczeństwa;</w:t>
            </w:r>
            <w:r w:rsidRPr="0028666F">
              <w:rPr>
                <w:rFonts w:ascii="Calibri" w:eastAsia="Times New Roman" w:hAnsi="Calibri" w:cs="Calibri"/>
                <w:color w:val="000000"/>
                <w:sz w:val="18"/>
                <w:szCs w:val="18"/>
                <w:lang w:eastAsia="pl-PL"/>
              </w:rPr>
              <w:br/>
              <w:t>- prowadzenia działań o charakterze gospodarczym lub społecznym, podlegających szczególnym wymaganiom związanym ze świadczeniem usług publicznych.</w:t>
            </w:r>
            <w:r w:rsidRPr="0028666F">
              <w:rPr>
                <w:rFonts w:ascii="Calibri" w:eastAsia="Times New Roman" w:hAnsi="Calibri" w:cs="Calibri"/>
                <w:color w:val="000000"/>
                <w:sz w:val="18"/>
                <w:szCs w:val="18"/>
                <w:lang w:eastAsia="pl-PL"/>
              </w:rPr>
              <w:br/>
              <w:t>Treść PGW nie odwołuje się do żadnego z ww. obszarów. Można również założyć, że interes publiczny może być nadrzędny tylko wówczas, gdy jest interesem długofalowym; krótkoterminowe interesy, gospodarcze lub inne, które przyniosłyby społeczeństwu jedynie krótkotrwałe korzyści, wydają się nie być wystarczające, by przeważyć nad długofalowymi interesami ochrony zabezpieczonymi przez RDW.</w:t>
            </w:r>
          </w:p>
        </w:tc>
        <w:tc>
          <w:tcPr>
            <w:tcW w:w="1720" w:type="dxa"/>
            <w:tcBorders>
              <w:top w:val="nil"/>
              <w:left w:val="nil"/>
              <w:bottom w:val="single" w:sz="4" w:space="0" w:color="auto"/>
              <w:right w:val="single" w:sz="4" w:space="0" w:color="auto"/>
            </w:tcBorders>
            <w:shd w:val="clear" w:color="000000" w:fill="FFFFFF"/>
            <w:hideMark/>
          </w:tcPr>
          <w:p w14:paraId="58EE00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41_NieDlaCynkuOłowiu_Odra</w:t>
            </w:r>
          </w:p>
        </w:tc>
        <w:tc>
          <w:tcPr>
            <w:tcW w:w="1014" w:type="dxa"/>
            <w:tcBorders>
              <w:top w:val="nil"/>
              <w:left w:val="nil"/>
              <w:bottom w:val="single" w:sz="4" w:space="0" w:color="auto"/>
              <w:right w:val="single" w:sz="4" w:space="0" w:color="auto"/>
            </w:tcBorders>
            <w:shd w:val="clear" w:color="auto" w:fill="auto"/>
            <w:hideMark/>
          </w:tcPr>
          <w:p w14:paraId="3D843E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55017D6" w14:textId="4BFFAAA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w:t>
            </w:r>
            <w:r w:rsidRPr="0028666F">
              <w:rPr>
                <w:rFonts w:ascii="Calibri" w:eastAsia="Times New Roman" w:hAnsi="Calibri" w:cs="Calibri"/>
                <w:color w:val="000000"/>
                <w:sz w:val="18"/>
                <w:szCs w:val="18"/>
                <w:lang w:eastAsia="pl-PL"/>
              </w:rPr>
              <w:lastRenderedPageBreak/>
              <w:t xml:space="preserve">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2C88587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69628F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42</w:t>
            </w:r>
          </w:p>
        </w:tc>
        <w:tc>
          <w:tcPr>
            <w:tcW w:w="970" w:type="dxa"/>
            <w:tcBorders>
              <w:top w:val="nil"/>
              <w:left w:val="nil"/>
              <w:bottom w:val="single" w:sz="4" w:space="0" w:color="auto"/>
              <w:right w:val="nil"/>
            </w:tcBorders>
          </w:tcPr>
          <w:p w14:paraId="69ADF7C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Mirosław Pezacki</w:t>
            </w:r>
          </w:p>
        </w:tc>
        <w:tc>
          <w:tcPr>
            <w:tcW w:w="165" w:type="dxa"/>
            <w:tcBorders>
              <w:top w:val="nil"/>
              <w:left w:val="nil"/>
              <w:bottom w:val="single" w:sz="4" w:space="0" w:color="auto"/>
              <w:right w:val="single" w:sz="4" w:space="0" w:color="auto"/>
            </w:tcBorders>
            <w:shd w:val="clear" w:color="auto" w:fill="auto"/>
          </w:tcPr>
          <w:p w14:paraId="5208412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1B91C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558E4E66" w14:textId="690552B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dniu 2 września 2021 r. odbyły się  konsultacje społeczne dotyczących drugiej aktualizacji planów gospodarowania wodami zorganizowanymi przez Wody Polskie oddział w Bydgoszczy. Podczas panelu dyskusyjnego przewijał się problem naszej rzeczki </w:t>
            </w:r>
            <w:r w:rsidRPr="0028666F">
              <w:rPr>
                <w:rFonts w:ascii="Calibri" w:eastAsia="Times New Roman" w:hAnsi="Calibri" w:cs="Calibri"/>
                <w:color w:val="000000"/>
                <w:sz w:val="18"/>
                <w:szCs w:val="18"/>
                <w:lang w:eastAsia="pl-PL"/>
              </w:rPr>
              <w:lastRenderedPageBreak/>
              <w:t xml:space="preserve">Kcynki, dla której przewidziano w zestawieniu kierunkowych inwestycji w gospodarce wodnej lub związanej z wodami -  działanie regulacyjne polegające na: Kształtowaniu przekroju podłużnego i poprzecznego rzeki Kcynki - etap II od km 21+302 do km 33+962 – ochrona przed powodzią w okolicach dopływu z Wydartowa. Podczas dyskusji panelowej podnoszony był problem związany z faktem, że jest to jedna z najgorszych regulacji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Noteci, a co podkreślał jeden z uczestników z Fundacji Greenmind chyba najgorsza regulacja w Polsce. Wnioskuję do Pana Ministra Infrastruktury o wpisaniu do działań inwestycyjnych aPGW po dokończeniu powyżej opisanych działań regulacyjnych pakietu działań renaturyzacyjnych i wykonania presji hydromorfologicznej dla tej rzeczki. Stan rzeczki Kcynki w wielu raportach jest określany jako zły, a sama rzeczka jest poddana ogromnej presji silnymi stężeniami azotanów pochodzących z działalności rolniczej w okresie zimowo-wiosennym oraz awariami na naszej oczyszczalni. W związku z faktem, że jest to druga aktualizacja planów na lata 2022-2027 warto by zadbać o ujęcie w tych planach właśnie zaproponowanej przeze mnie inwestycji kierunkowej, która znacząco przyczynić się do udrożnienia i przepływu wody w Kcynce – poprawy przede wszystkim jej hydrologii.</w:t>
            </w:r>
          </w:p>
        </w:tc>
        <w:tc>
          <w:tcPr>
            <w:tcW w:w="2733" w:type="dxa"/>
            <w:tcBorders>
              <w:top w:val="nil"/>
              <w:left w:val="nil"/>
              <w:bottom w:val="single" w:sz="4" w:space="0" w:color="auto"/>
              <w:right w:val="single" w:sz="4" w:space="0" w:color="auto"/>
            </w:tcBorders>
            <w:shd w:val="clear" w:color="auto" w:fill="auto"/>
            <w:hideMark/>
          </w:tcPr>
          <w:p w14:paraId="4F627D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Dopisanie do zestawu kierunkowych inwestycji w gospodarce wodnej lub związanej z wodami - pakietu działań </w:t>
            </w:r>
            <w:r w:rsidRPr="0028666F">
              <w:rPr>
                <w:rFonts w:ascii="Calibri" w:eastAsia="Times New Roman" w:hAnsi="Calibri" w:cs="Calibri"/>
                <w:color w:val="000000"/>
                <w:sz w:val="18"/>
                <w:szCs w:val="18"/>
                <w:lang w:eastAsia="pl-PL"/>
              </w:rPr>
              <w:lastRenderedPageBreak/>
              <w:t>renaturyzacyjnych dla rzeki Kcynki wraz  z wykonaniem dla niej presji hydromorfologicznej.</w:t>
            </w:r>
          </w:p>
        </w:tc>
        <w:tc>
          <w:tcPr>
            <w:tcW w:w="3009" w:type="dxa"/>
            <w:tcBorders>
              <w:top w:val="nil"/>
              <w:left w:val="nil"/>
              <w:bottom w:val="single" w:sz="4" w:space="0" w:color="auto"/>
              <w:right w:val="single" w:sz="4" w:space="0" w:color="auto"/>
            </w:tcBorders>
            <w:shd w:val="clear" w:color="auto" w:fill="auto"/>
            <w:hideMark/>
          </w:tcPr>
          <w:p w14:paraId="106E533C" w14:textId="33D6629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Jest to jedna z najgorszych regulacji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Noteci, a co podkreślał jeden z uczestników z Fundacji Greenmind chyba najgorsza </w:t>
            </w:r>
            <w:r w:rsidRPr="0028666F">
              <w:rPr>
                <w:rFonts w:ascii="Calibri" w:eastAsia="Times New Roman" w:hAnsi="Calibri" w:cs="Calibri"/>
                <w:color w:val="000000"/>
                <w:sz w:val="18"/>
                <w:szCs w:val="18"/>
                <w:lang w:eastAsia="pl-PL"/>
              </w:rPr>
              <w:lastRenderedPageBreak/>
              <w:t>regulacja w Polsce. Wnioskuję do Pana Ministra Infrastruktury o wpisaniu do działań inwestycyjnych aPGW po dokończeniu powyżej opisanych działań regulacyjnych pakietu działań renaturyzacyjnych i wykonania presji hydromorfologicznej dla tej rzeczki. Stan rzeczki Kcynki w wielu raportach jest określany jako zły, a sama rzeczka jest poddana ogromnej presji silnymi stężeniami azotanów pochodzących z działalności rolniczej w okresie zimowo-wiosennym oraz awariami na naszej oczyszczalni. W związku z faktem, że jest to druga aktualizacja planów na lata 2022-2027 warto by zadbać o ujęcie w tych planach właśnie zaproponowanej przeze mnie inwestycji kierunkowej, która znacząco przyczynić się do udrożnienia i przepływu wody w Kcynce – poprawy przede wszystkim jej hydrologii.</w:t>
            </w:r>
          </w:p>
        </w:tc>
        <w:tc>
          <w:tcPr>
            <w:tcW w:w="1720" w:type="dxa"/>
            <w:tcBorders>
              <w:top w:val="nil"/>
              <w:left w:val="nil"/>
              <w:bottom w:val="single" w:sz="4" w:space="0" w:color="auto"/>
              <w:right w:val="single" w:sz="4" w:space="0" w:color="auto"/>
            </w:tcBorders>
            <w:shd w:val="clear" w:color="000000" w:fill="FFFFFF"/>
            <w:hideMark/>
          </w:tcPr>
          <w:p w14:paraId="737BF1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 - </w:t>
            </w:r>
          </w:p>
        </w:tc>
        <w:tc>
          <w:tcPr>
            <w:tcW w:w="1014" w:type="dxa"/>
            <w:tcBorders>
              <w:top w:val="nil"/>
              <w:left w:val="nil"/>
              <w:bottom w:val="single" w:sz="4" w:space="0" w:color="auto"/>
              <w:right w:val="single" w:sz="4" w:space="0" w:color="auto"/>
            </w:tcBorders>
            <w:shd w:val="clear" w:color="auto" w:fill="auto"/>
            <w:hideMark/>
          </w:tcPr>
          <w:p w14:paraId="74E1FC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8EC781" w14:textId="7F0B911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której dotyczy zgłoszona uwaga tj. Kcynka RW600010188529, z uwagi na zidentyfikowane presje i uwarunkowania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IIaPGW zaplanowano działania naprawcze (poza działaniami krajowymi) ukierunkowane na </w:t>
            </w:r>
            <w:r w:rsidRPr="0028666F">
              <w:rPr>
                <w:rFonts w:ascii="Calibri" w:eastAsia="Times New Roman" w:hAnsi="Calibri" w:cs="Calibri"/>
                <w:color w:val="000000"/>
                <w:sz w:val="18"/>
                <w:szCs w:val="18"/>
                <w:lang w:eastAsia="pl-PL"/>
              </w:rPr>
              <w:lastRenderedPageBreak/>
              <w:t>zapewnienie celów dla obszarów chronionych, poprawę stanu elementów biologicznych i przywrócenie ciągłości biologicznej a także działania w zakresie redukcji presji fizykochemicznych. Opis poszczególnych działań zawartych w zestawach działań IIaPGW przedstawiony został poniżej.</w:t>
            </w:r>
            <w:r w:rsidRPr="0028666F">
              <w:rPr>
                <w:rFonts w:ascii="Calibri" w:eastAsia="Times New Roman" w:hAnsi="Calibri" w:cs="Calibri"/>
                <w:color w:val="000000"/>
                <w:sz w:val="18"/>
                <w:szCs w:val="18"/>
                <w:lang w:eastAsia="pl-PL"/>
              </w:rPr>
              <w:br/>
              <w:t>W zakresie celów dla obszarów chronionych:</w:t>
            </w:r>
            <w:r w:rsidRPr="0028666F">
              <w:rPr>
                <w:rFonts w:ascii="Calibri" w:eastAsia="Times New Roman" w:hAnsi="Calibri" w:cs="Calibri"/>
                <w:color w:val="000000"/>
                <w:sz w:val="18"/>
                <w:szCs w:val="18"/>
                <w:lang w:eastAsia="pl-PL"/>
              </w:rPr>
              <w:br/>
              <w:t>1) RWC_02.01 Realizacja działań wynikających z planów ochrony i planów zadań ochronnych dla obszarów chronionych: Ochrona siedliska przed presją związaną z amatorskim połowem ryb - wędkarstwem [3150, wydra, kumak nizinny, piskorz]. Ograniczenie użytkowania wędkarskiego płatów siedliska przyrodniczego 3150 oraz stanowisk piskorza, wydry i kumaka nizinnego poprzez wprowadzenie do regulaminu łowiska ograniczeń w tym zakresie. Działanie trwające od momentu zakończenia waloryzacji, o której mowa w p. 14 i 15 PZO przez pozostały okres obowiązywania planu. (Obszar Natura 2000 Dolina Noteci)</w:t>
            </w:r>
            <w:r w:rsidRPr="0028666F">
              <w:rPr>
                <w:rFonts w:ascii="Calibri" w:eastAsia="Times New Roman" w:hAnsi="Calibri" w:cs="Calibri"/>
                <w:color w:val="000000"/>
                <w:sz w:val="18"/>
                <w:szCs w:val="18"/>
                <w:lang w:eastAsia="pl-PL"/>
              </w:rPr>
              <w:br/>
              <w:t>2) RWC_02.01 Realizacja działań wynikających z planów ochrony i planów zadań ochronnych dla obszarów chronionych. Wyłączenie z użytkowania płatów siedlisk w pasie o szerokości min. 20 m (optymalnie 50 m) od cieków, zbiorników wodnych, źródlisk, bagien i mokradeł [91E0, 91F0]. Działania ciągłe realizowane w okresie obowiązywania planu zadań ochronnych. (Obszar Natura 2000 Dolina Noteci)</w:t>
            </w:r>
            <w:r w:rsidRPr="0028666F">
              <w:rPr>
                <w:rFonts w:ascii="Calibri" w:eastAsia="Times New Roman" w:hAnsi="Calibri" w:cs="Calibri"/>
                <w:color w:val="000000"/>
                <w:sz w:val="18"/>
                <w:szCs w:val="18"/>
                <w:lang w:eastAsia="pl-PL"/>
              </w:rPr>
              <w:br/>
              <w:t>3)RWC_02.01 Realizacja działań wynikających z planów ochrony i planów zadań ochronnych dla obszarów chronionych. Rozpoznanie zasadności, a w przypadku jej stwierdzenia wprowadzenie do ustanawianych PZO/PO działań mających na celu redukcję dopływu zanieczyszczeń. Zalecane w sytuacji stwierdzenia ryzyka presji zrzutów oraz znaczącej presji na elementy fizykochemiczne dla realizacji celów środowiskowych obszarów chronionych przeznaczonych do ochrony siedlisk i gatunków w zakresie kryterium: dopływ zanieczyszczeń (zgodnie z celami środowiskowymi dla obszaru chronionego, adekwatnie do natężenia istniejącej presji) (Obszar Natura 2000 Dolina Środkowej Noteci i Kanału Bydgoskiego)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zakresie poprawy stanu elementów biologicznych i przywrócenia ciągłości biologicznej:</w:t>
            </w:r>
            <w:r w:rsidRPr="0028666F">
              <w:rPr>
                <w:rFonts w:ascii="Calibri" w:eastAsia="Times New Roman" w:hAnsi="Calibri" w:cs="Calibri"/>
                <w:color w:val="000000"/>
                <w:sz w:val="18"/>
                <w:szCs w:val="18"/>
                <w:lang w:eastAsia="pl-PL"/>
              </w:rPr>
              <w:br/>
              <w:t>1) RWHM_02.01 Analiza możliwości przebudowy budowli piętrzących w zakresie zapewniającym ciągłość biologiczną i spełnienie celów środowiskowych. Analiza możliwości przebudowy budowli piętrzących w zakresie zapewniającym ciągłość biologiczną i spełnienie celów środowiskowych z uwzględnieniem wykazu budowli przedstawionym w Zał. 1 Wykaz działań dla budowli. Realizacja działań zgodnie z przeprowadzoną analizą.</w:t>
            </w:r>
            <w:r w:rsidRPr="0028666F">
              <w:rPr>
                <w:rFonts w:ascii="Calibri" w:eastAsia="Times New Roman" w:hAnsi="Calibri" w:cs="Calibri"/>
                <w:color w:val="000000"/>
                <w:sz w:val="18"/>
                <w:szCs w:val="18"/>
                <w:lang w:eastAsia="pl-PL"/>
              </w:rPr>
              <w:br/>
              <w:t xml:space="preserve">2)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analiza możliwości wdrożenia działań zapewniających ciągłość biologiczną i spełnienie celów środowiskowych. Realizacja działań zgodnie z przeprowadzoną analizą. Wykaz budowli </w:t>
            </w:r>
            <w:r w:rsidRPr="0028666F">
              <w:rPr>
                <w:rFonts w:ascii="Calibri" w:eastAsia="Times New Roman" w:hAnsi="Calibri" w:cs="Calibri"/>
                <w:color w:val="000000"/>
                <w:sz w:val="18"/>
                <w:szCs w:val="18"/>
                <w:lang w:eastAsia="pl-PL"/>
              </w:rPr>
              <w:lastRenderedPageBreak/>
              <w:t>objętych działaniem zamieszczono w Zał. 1 Wykaz działań dla budowli.</w:t>
            </w:r>
          </w:p>
        </w:tc>
      </w:tr>
      <w:tr w:rsidR="007C2B40" w:rsidRPr="0028666F" w14:paraId="4F873D3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5B579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43</w:t>
            </w:r>
          </w:p>
        </w:tc>
        <w:tc>
          <w:tcPr>
            <w:tcW w:w="970" w:type="dxa"/>
            <w:tcBorders>
              <w:top w:val="nil"/>
              <w:left w:val="nil"/>
              <w:bottom w:val="single" w:sz="4" w:space="0" w:color="auto"/>
              <w:right w:val="nil"/>
            </w:tcBorders>
          </w:tcPr>
          <w:p w14:paraId="1E0257C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Przedsiębiorstwo Gospodarki Wodnej i Rekultywacji S.A.</w:t>
            </w:r>
          </w:p>
        </w:tc>
        <w:tc>
          <w:tcPr>
            <w:tcW w:w="165" w:type="dxa"/>
            <w:tcBorders>
              <w:top w:val="nil"/>
              <w:left w:val="nil"/>
              <w:bottom w:val="single" w:sz="4" w:space="0" w:color="auto"/>
              <w:right w:val="single" w:sz="4" w:space="0" w:color="auto"/>
            </w:tcBorders>
            <w:shd w:val="clear" w:color="auto" w:fill="auto"/>
          </w:tcPr>
          <w:p w14:paraId="5AED221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6418E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C10C630" w14:textId="27D015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 zapoznaniu się z Projektem drugiej aktualizacji Planu gospodarowania wodami na obszarze dorzecza Odry (IIaPGW) zgłaszamy nasze uwagi do tego dokumentu:</w:t>
            </w:r>
            <w:r w:rsidRPr="0028666F">
              <w:rPr>
                <w:rFonts w:ascii="Calibri" w:eastAsia="Times New Roman" w:hAnsi="Calibri" w:cs="Calibri"/>
                <w:color w:val="000000"/>
                <w:sz w:val="18"/>
                <w:szCs w:val="18"/>
                <w:lang w:eastAsia="pl-PL"/>
              </w:rPr>
              <w:br w:type="page"/>
              <w:t>1. Wnosimy o uwzględnienie w IIaPGW znaczącego wpływu odprowadzania zasolonych wód dołowych pochodzących z odwodnienia kopalń węgla kamiennego do wód powierzchniowych dorzecza Górnej Odry.</w:t>
            </w:r>
            <w:r w:rsidRPr="0028666F">
              <w:rPr>
                <w:rFonts w:ascii="Calibri" w:eastAsia="Times New Roman" w:hAnsi="Calibri" w:cs="Calibri"/>
                <w:color w:val="000000"/>
                <w:sz w:val="18"/>
                <w:szCs w:val="18"/>
                <w:lang w:eastAsia="pl-PL"/>
              </w:rPr>
              <w:br w:type="page"/>
              <w:t>2. Wnosimy o zastosowanie odstępstwa na podstawie art. 4 ust. 4 Ramowej Dyrektywy Wodnej dla następujących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a)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w:t>
            </w:r>
            <w:r w:rsidRPr="0028666F">
              <w:rPr>
                <w:rFonts w:ascii="Calibri" w:eastAsia="Times New Roman" w:hAnsi="Calibri" w:cs="Calibri"/>
                <w:color w:val="000000"/>
                <w:sz w:val="18"/>
                <w:szCs w:val="18"/>
                <w:lang w:eastAsia="pl-PL"/>
              </w:rPr>
              <w:br w:type="page"/>
              <w:t xml:space="preserve">b)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RW600006115835</w:t>
            </w:r>
            <w:r w:rsidRPr="0028666F">
              <w:rPr>
                <w:rFonts w:ascii="Calibri" w:eastAsia="Times New Roman" w:hAnsi="Calibri" w:cs="Calibri"/>
                <w:color w:val="000000"/>
                <w:sz w:val="18"/>
                <w:szCs w:val="18"/>
                <w:lang w:eastAsia="pl-PL"/>
              </w:rPr>
              <w:br w:type="page"/>
              <w:t>w zakresie wskaźnika przewodność elektrolityczna właściwa w 200C, rodzaj odstępstwa 4.4-1 (brak możliwości technicznych) oraz 4.4-2 (nieproporcjonalne koszty). Termin osiągnięcia celów środowiskowych po 2027 r.</w:t>
            </w:r>
            <w:r w:rsidRPr="0028666F">
              <w:rPr>
                <w:rFonts w:ascii="Calibri" w:eastAsia="Times New Roman" w:hAnsi="Calibri" w:cs="Calibri"/>
                <w:color w:val="000000"/>
                <w:sz w:val="18"/>
                <w:szCs w:val="18"/>
                <w:lang w:eastAsia="pl-PL"/>
              </w:rPr>
              <w:br w:type="page"/>
              <w:t>3. Wnosimy o zastosowanie odstępstwa na podstawie art. 4 ust. 5 Ramowej Dyrektywy Wodnej dla następujących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a)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w:t>
            </w:r>
            <w:r w:rsidRPr="0028666F">
              <w:rPr>
                <w:rFonts w:ascii="Calibri" w:eastAsia="Times New Roman" w:hAnsi="Calibri" w:cs="Calibri"/>
                <w:color w:val="000000"/>
                <w:sz w:val="18"/>
                <w:szCs w:val="18"/>
                <w:lang w:eastAsia="pl-PL"/>
              </w:rPr>
              <w:br w:type="page"/>
              <w:t xml:space="preserve">b)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RW600006115835</w:t>
            </w:r>
            <w:r w:rsidRPr="0028666F">
              <w:rPr>
                <w:rFonts w:ascii="Calibri" w:eastAsia="Times New Roman" w:hAnsi="Calibri" w:cs="Calibri"/>
                <w:color w:val="000000"/>
                <w:sz w:val="18"/>
                <w:szCs w:val="18"/>
                <w:lang w:eastAsia="pl-PL"/>
              </w:rPr>
              <w:br w:type="page"/>
              <w:t>w zakresie wskaźnika przewodność elektrolityczna właściwa w 200C, rodzaj odstępstwa 4.5-1 (brak możliwości technicznych) oraz 4.5-2 (nieproporcjonalne koszty). Termin osiągnięcia celów środowiskowych po 2027 r.</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Uzasadnienie uwagi znajduje się w załączonym pliku.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1A8FE6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1D80CB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7104A0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43_PrzedGospWodRekul_Odra</w:t>
            </w:r>
          </w:p>
        </w:tc>
        <w:tc>
          <w:tcPr>
            <w:tcW w:w="1014" w:type="dxa"/>
            <w:tcBorders>
              <w:top w:val="nil"/>
              <w:left w:val="nil"/>
              <w:bottom w:val="single" w:sz="4" w:space="0" w:color="auto"/>
              <w:right w:val="single" w:sz="4" w:space="0" w:color="auto"/>
            </w:tcBorders>
            <w:shd w:val="clear" w:color="auto" w:fill="auto"/>
            <w:hideMark/>
          </w:tcPr>
          <w:p w14:paraId="5989FE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DF4B317" w14:textId="6BAA323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 Wpływ zrzutów zasolonych wód kopalnianych jest uwzględniony w 2aPGW.</w:t>
            </w:r>
            <w:r w:rsidRPr="0028666F">
              <w:rPr>
                <w:rFonts w:ascii="Calibri" w:eastAsia="Times New Roman" w:hAnsi="Calibri" w:cs="Calibri"/>
                <w:color w:val="000000"/>
                <w:sz w:val="18"/>
                <w:szCs w:val="18"/>
                <w:lang w:eastAsia="pl-PL"/>
              </w:rPr>
              <w:br w:type="page"/>
              <w:t>2. Nie można uzasadnić odstępstwa dla danego wskaźnika jednocześnie w trybie art. 4.4 i art. 4.5 RDW, dlatego przypisano odstępstwo w trybie art. 4.5 RDW zgodnie z przedstawioną argumentacją.</w:t>
            </w:r>
            <w:r w:rsidRPr="0028666F">
              <w:rPr>
                <w:rFonts w:ascii="Calibri" w:eastAsia="Times New Roman" w:hAnsi="Calibri" w:cs="Calibri"/>
                <w:color w:val="000000"/>
                <w:sz w:val="18"/>
                <w:szCs w:val="18"/>
                <w:lang w:eastAsia="pl-PL"/>
              </w:rPr>
              <w:br w:type="page"/>
              <w:t xml:space="preserve">3. Analizując sytuację w zgłoszonych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proponujemy następujące zmiany:</w:t>
            </w:r>
            <w:r w:rsidRPr="0028666F">
              <w:rPr>
                <w:rFonts w:ascii="Calibri" w:eastAsia="Times New Roman" w:hAnsi="Calibri" w:cs="Calibri"/>
                <w:color w:val="000000"/>
                <w:sz w:val="18"/>
                <w:szCs w:val="18"/>
                <w:lang w:eastAsia="pl-PL"/>
              </w:rPr>
              <w:br w:type="page"/>
              <w:t xml:space="preserve">a)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RW600011117159 - 87% - presja skumulowana z dopływu/ów - z uwagi na wysokie % przekroczenie w dopływie szansa na osiągniecie celu środowiskowego dla przewodnictwa w 2027 roku jest ograniczona, dlatego można przyznać odstępstwo 4.5. pomimo dominujące presji dopływającej.</w:t>
            </w:r>
            <w:r w:rsidRPr="0028666F">
              <w:rPr>
                <w:rFonts w:ascii="Calibri" w:eastAsia="Times New Roman" w:hAnsi="Calibri" w:cs="Calibri"/>
                <w:color w:val="000000"/>
                <w:sz w:val="18"/>
                <w:szCs w:val="18"/>
                <w:lang w:eastAsia="pl-PL"/>
              </w:rPr>
              <w:br w:type="page"/>
              <w:t xml:space="preserve">b)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RW600006115835 - przekroczenie 3000% - z uwagi na wysokie przekroczenieze źródeł przemysłowych i komunalnych, małe prawdopodobieństwo osiągnięcia celu do 2027, więc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można przyznać odstępstwo 4.5.</w:t>
            </w:r>
          </w:p>
        </w:tc>
      </w:tr>
      <w:tr w:rsidR="007C2B40" w:rsidRPr="0028666F" w14:paraId="0F301D9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2453CB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w:t>
            </w:r>
          </w:p>
        </w:tc>
        <w:tc>
          <w:tcPr>
            <w:tcW w:w="970" w:type="dxa"/>
            <w:tcBorders>
              <w:top w:val="nil"/>
              <w:left w:val="nil"/>
              <w:bottom w:val="single" w:sz="4" w:space="0" w:color="auto"/>
              <w:right w:val="nil"/>
            </w:tcBorders>
          </w:tcPr>
          <w:p w14:paraId="053797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GiEK S.A. Oddział Kopalnia Węgla Brunatnego Bełchatów</w:t>
            </w:r>
          </w:p>
        </w:tc>
        <w:tc>
          <w:tcPr>
            <w:tcW w:w="165" w:type="dxa"/>
            <w:tcBorders>
              <w:top w:val="nil"/>
              <w:left w:val="nil"/>
              <w:bottom w:val="single" w:sz="4" w:space="0" w:color="auto"/>
              <w:right w:val="single" w:sz="4" w:space="0" w:color="auto"/>
            </w:tcBorders>
            <w:shd w:val="clear" w:color="auto" w:fill="auto"/>
          </w:tcPr>
          <w:p w14:paraId="40AF202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971D9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FAE1EB5" w14:textId="70A65C4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 uwagi na obszerność zgłoszonej uwagi poniżej zamieszczony został jej fragment, natomiast pełna treść uwagi stanowi załącznik do zestawienia.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Pismem z dnia 16.06.2020 r. (znak G/185/GS/0712/2020/-/2554A) Zarząd PGE Górnictwo i Energetyka Konwencjonalna S.A. zgłosił wykaz przedsięwzięć zidentyfikowanych w Oddziałach PGE GiEK S.A., dla których wnioskował o ujęcie w planie inwestycji zgodnie z załącznikiem. Pismo wraz z załącznikiem przesyłam w załączeniu. W zakresie Oddziału Kopalnia Węgla Brunatnego Bełchatów zostało zgłoszone między innymi przedsięwzięcie pn. wydobycie węgla brunatnego ze złoża Złoczew obejmującego swoim wpływem następujące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 obszarze Dorzecza Odry: PLGW600081, PLGW600082, RW6000171887, RW600016181892, RW6000168899, RW600017184389, RW600017183129, RW60001618198, RW60001718194, 19181999, RW6000171818898, RW6000161818896, RW600019181779, RW600016181929. Dla wymienionych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wskazano prognozowany wpływ na możliwość nieosiągnięcia celów środowiskowych i możliwe pogorszenie stanu zarówno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 ramach planowanego przedsięwzięcia dot. wydobycia węgla brunatnego ze złoża WB470 (Złoczew, węgle brunatne). W załączonym piśmie opisano ogólną charakterystykę przedsięwzięcia polegającego na wydobywaniu węgla brunatnego ze złoża „Złoczew” metodą odkrywkowej eksploatacji górniczej, w wyniku której następuje zdejmowanie nadkładu (skały płonej) zalegającego nad złożem oraz wybieranie kopaliny w otwartym wyrobisku górniczym. Obszar udokumentowanego złoża „Złoczew” położony jest w południowo-zachodniej części </w:t>
            </w:r>
            <w:r w:rsidRPr="0028666F">
              <w:rPr>
                <w:rFonts w:ascii="Calibri" w:eastAsia="Times New Roman" w:hAnsi="Calibri" w:cs="Calibri"/>
                <w:color w:val="000000"/>
                <w:sz w:val="18"/>
                <w:szCs w:val="18"/>
                <w:lang w:eastAsia="pl-PL"/>
              </w:rPr>
              <w:lastRenderedPageBreak/>
              <w:t xml:space="preserve">województwa łódzkiego, na terenie powiatu sieradzkiego (gmina Złoczew i Burzenin) oraz powiatu wieluńskiego (gmina Ostrówek). Teren wyznaczonego obszaru górniczego obejmuje również niewielką cześć gminy Lututów znajdującej się w powiecie wieruszowskim. Powierzchnia wyznaczonego obszaru górniczego wyniesie 6 080 ha, natomiast powierzchnia wyznaczonego terenu górniczego 32 960,6 ha. Roboty górnicze poprzedzone będą usunięciem kolizji z elementami zagospodarowania terenu, budową systemu odwodnienia wgłębnego i powierzchniowego wraz z przystosowaniem koryt rzek do odbioru wód kopalnianych oraz innymi pracami przygotowawczymi. W wyniku prowadzonej eksploatacji powstanie wyrobisko górnicze o końcowej powierzchni ok. 2700 ha, które po wypłyceniu i uformowaniu zboczy zrekultywowane zostanie w kierunku wodnym, w wyniku czego powstanie zbiornik wodny o pojemności około 2250 mln m3. Planuje się, iż napełnianie zbiornika wodą rozpocznie się około 41 roku aż do jego końcowego napełnienia w 63 roku od rozpoczęcia eksploatacji. </w:t>
            </w:r>
            <w:r w:rsidRPr="0028666F">
              <w:rPr>
                <w:rFonts w:ascii="Calibri" w:eastAsia="Times New Roman" w:hAnsi="Calibri" w:cs="Calibri"/>
                <w:color w:val="000000"/>
                <w:sz w:val="18"/>
                <w:szCs w:val="18"/>
                <w:lang w:eastAsia="pl-PL"/>
              </w:rPr>
              <w:br/>
              <w:t xml:space="preserve">Eksploatacja złoża „Złoczew” będzie wymagała realizacji systemu odwadniania wgłębnego i powierzchniowego kopalni oraz zwałowiska zewnętrznego, a ponadto wprowadzenia zmian w sieci hydrograficznej polegających na likwidacji odcinków rzek będących w kolizji z wyrobiskiem lub zwałowiskiem wewnętrznym, przełożeniu odcinka rzeki Oleśnica oraz uszczelnieniu odcinków jej koryta. Konieczność odwadniania wyrobiska, spowoduje powstanie leja depresji, który będzie zmienny, ściśle zależny od postępu frontu eksploatacyjnego oraz warunków hydrogeologicznych występujących na danym terenie. Na podstawie przewidywanego zasięgu leja depresji określony został teren górniczy, określający maksymalny zasięg przewidywanych szkodliwych wpływów kopalni </w:t>
            </w:r>
            <w:r w:rsidRPr="0028666F">
              <w:rPr>
                <w:rFonts w:ascii="Calibri" w:eastAsia="Times New Roman" w:hAnsi="Calibri" w:cs="Calibri"/>
                <w:color w:val="000000"/>
                <w:sz w:val="18"/>
                <w:szCs w:val="18"/>
                <w:lang w:eastAsia="pl-PL"/>
              </w:rPr>
              <w:br/>
              <w:t>odkrywkowej. Budowa systemu odwodnienia wgłębnego i powierzchniowego kopalni będzie realizowana sukcesywnie z odpowiednim wyprzedzeniem w stosunku do postępu robót górniczych. Eksploatacja złoża będzie prowadzona z zachodu na wschód i tak też będzie przebiegać realizacja systemu odwodnienia wgłębnego i powierzchniowego, który będzie wpływał na kształt i zasięg leja depresji, oddziałując w konsekwencji na Jednolite Części Wód Powierzchniowych.</w:t>
            </w:r>
            <w:r w:rsidRPr="0028666F">
              <w:rPr>
                <w:rFonts w:ascii="Calibri" w:eastAsia="Times New Roman" w:hAnsi="Calibri" w:cs="Calibri"/>
                <w:color w:val="000000"/>
                <w:sz w:val="18"/>
                <w:szCs w:val="18"/>
                <w:lang w:eastAsia="pl-PL"/>
              </w:rPr>
              <w:br/>
              <w:t xml:space="preserve">System odwadniania wgłębnego będą stanowiły wielkośrednicowe studnie głębinowe, realizowane początkowo z powierzchni terenu, a w miarę rozwoju wyrobiska również z poziomów odkrywki, ich głębokość będzie uzależniona od prowadzonej eksploatacji górniczej i warunków hydrogeologicznych. </w:t>
            </w:r>
            <w:r w:rsidRPr="0028666F">
              <w:rPr>
                <w:rFonts w:ascii="Calibri" w:eastAsia="Times New Roman" w:hAnsi="Calibri" w:cs="Calibri"/>
                <w:color w:val="000000"/>
                <w:sz w:val="18"/>
                <w:szCs w:val="18"/>
                <w:lang w:eastAsia="pl-PL"/>
              </w:rPr>
              <w:br/>
              <w:t xml:space="preserve">Wody z odwodnienia wgłębnego będą wodami czystymi, o kategorii wód słodkich o niskiej mineralizacji, co je kwalifikuje do II klasy o średniej jakości wg klasyfikacji zwykłych wód podziemnych. Własności fizyko-chemiczne wód będą kontrolowane zgodnie z obowiązującymi przepisami w tym zakresie i ustaleniami wynikającymi z przyszłego pozwolenia wodnoprawnego. Zakłada się, że wody z odwodnienia wgłębnego będą odprowadzane bezpośrednio do lokalnej sieci hydrograficznej przez system rurociągów zbiorczych, kanałów oraz rowów budowanych sukcesywnie w miarę rozbudowy systemu odwodnienia. </w:t>
            </w:r>
          </w:p>
        </w:tc>
        <w:tc>
          <w:tcPr>
            <w:tcW w:w="2733" w:type="dxa"/>
            <w:tcBorders>
              <w:top w:val="nil"/>
              <w:left w:val="nil"/>
              <w:bottom w:val="single" w:sz="4" w:space="0" w:color="auto"/>
              <w:right w:val="single" w:sz="4" w:space="0" w:color="auto"/>
            </w:tcBorders>
            <w:shd w:val="clear" w:color="auto" w:fill="auto"/>
            <w:hideMark/>
          </w:tcPr>
          <w:p w14:paraId="15DCDA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54C5840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86744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44_PGE GiEK_Odra</w:t>
            </w:r>
          </w:p>
        </w:tc>
        <w:tc>
          <w:tcPr>
            <w:tcW w:w="1014" w:type="dxa"/>
            <w:tcBorders>
              <w:top w:val="nil"/>
              <w:left w:val="nil"/>
              <w:bottom w:val="single" w:sz="4" w:space="0" w:color="auto"/>
              <w:right w:val="single" w:sz="4" w:space="0" w:color="auto"/>
            </w:tcBorders>
            <w:shd w:val="clear" w:color="auto" w:fill="auto"/>
            <w:hideMark/>
          </w:tcPr>
          <w:p w14:paraId="6CAC9C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3508018C" w14:textId="35EE036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6A88FA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ED145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45</w:t>
            </w:r>
          </w:p>
        </w:tc>
        <w:tc>
          <w:tcPr>
            <w:tcW w:w="970" w:type="dxa"/>
            <w:tcBorders>
              <w:top w:val="nil"/>
              <w:left w:val="nil"/>
              <w:bottom w:val="single" w:sz="4" w:space="0" w:color="auto"/>
              <w:right w:val="nil"/>
            </w:tcBorders>
          </w:tcPr>
          <w:p w14:paraId="7932DEB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2F9715C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2A6F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411560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Nieprecyzyjny zapis:  W tekście wpisane jest: "Aktualny program PMŚ obowiązuje na lata 2020-2025 i zastępuje program PMŚ na lata 2016-2020."</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Rozdział 5. Monitoring wód; str. 73</w:t>
            </w:r>
          </w:p>
        </w:tc>
        <w:tc>
          <w:tcPr>
            <w:tcW w:w="2733" w:type="dxa"/>
            <w:tcBorders>
              <w:top w:val="nil"/>
              <w:left w:val="nil"/>
              <w:bottom w:val="single" w:sz="4" w:space="0" w:color="auto"/>
              <w:right w:val="single" w:sz="4" w:space="0" w:color="auto"/>
            </w:tcBorders>
            <w:shd w:val="clear" w:color="auto" w:fill="auto"/>
            <w:hideMark/>
          </w:tcPr>
          <w:p w14:paraId="6C2F29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Powinno być: Aktualny strategiczny program PMŚ obowiązuje na lata 2020-2025 i zastępuje strategiczny program PMŚ na lata 2016-2020."</w:t>
            </w:r>
          </w:p>
        </w:tc>
        <w:tc>
          <w:tcPr>
            <w:tcW w:w="3009" w:type="dxa"/>
            <w:tcBorders>
              <w:top w:val="nil"/>
              <w:left w:val="nil"/>
              <w:bottom w:val="single" w:sz="4" w:space="0" w:color="auto"/>
              <w:right w:val="single" w:sz="4" w:space="0" w:color="auto"/>
            </w:tcBorders>
            <w:shd w:val="clear" w:color="auto" w:fill="auto"/>
            <w:hideMark/>
          </w:tcPr>
          <w:p w14:paraId="685176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używać pełnej nazwy aby nie pomylić z  programi PMŚ, które są  projektami sieci monitoringu wód w poszczególnych cyklach planistycznych, i które to nie pokrywają się latami ze strategicznymi programami PMŚ  (np. Program PMŚ na lata 2022-2027).</w:t>
            </w:r>
          </w:p>
        </w:tc>
        <w:tc>
          <w:tcPr>
            <w:tcW w:w="1720" w:type="dxa"/>
            <w:tcBorders>
              <w:top w:val="nil"/>
              <w:left w:val="nil"/>
              <w:bottom w:val="single" w:sz="4" w:space="0" w:color="auto"/>
              <w:right w:val="single" w:sz="4" w:space="0" w:color="auto"/>
            </w:tcBorders>
            <w:shd w:val="clear" w:color="000000" w:fill="FFFFFF"/>
            <w:hideMark/>
          </w:tcPr>
          <w:p w14:paraId="18437C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FFFD1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41B68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zasadna - skorygowano.</w:t>
            </w:r>
          </w:p>
        </w:tc>
      </w:tr>
      <w:tr w:rsidR="007C2B40" w:rsidRPr="0028666F" w14:paraId="10D21FC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3F5FB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w:t>
            </w:r>
          </w:p>
        </w:tc>
        <w:tc>
          <w:tcPr>
            <w:tcW w:w="970" w:type="dxa"/>
            <w:tcBorders>
              <w:top w:val="nil"/>
              <w:left w:val="nil"/>
              <w:bottom w:val="single" w:sz="4" w:space="0" w:color="auto"/>
              <w:right w:val="nil"/>
            </w:tcBorders>
          </w:tcPr>
          <w:p w14:paraId="2EBDBCC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3FFF29D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AF586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7824BC92" w14:textId="5222575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Błędny zapis: "Podstawę oceny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stanowią zawsze elementy biologiczne, zaś elementy fizykochemiczne i hydromorfologiczne pełnią jedynie rolę wspomagającą w dokonywanej ocenie stanu" </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"Rozdział 5.1.3.1.Sposób klasyfikacji i interpretacji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str. 89"</w:t>
            </w:r>
          </w:p>
        </w:tc>
        <w:tc>
          <w:tcPr>
            <w:tcW w:w="2733" w:type="dxa"/>
            <w:tcBorders>
              <w:top w:val="nil"/>
              <w:left w:val="nil"/>
              <w:bottom w:val="single" w:sz="4" w:space="0" w:color="auto"/>
              <w:right w:val="single" w:sz="4" w:space="0" w:color="auto"/>
            </w:tcBorders>
            <w:shd w:val="clear" w:color="auto" w:fill="auto"/>
            <w:hideMark/>
          </w:tcPr>
          <w:p w14:paraId="3463260D" w14:textId="08692F9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Powinno być: Podstawę oceny stanu/potencjału ekologicznego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 zawsze elementy biologiczne, zaś elementy fizykochemiczne i hydromorfologiczne pełnią jedynie rolę wspomagającą w dokonywanej ocenie stanu</w:t>
            </w:r>
          </w:p>
        </w:tc>
        <w:tc>
          <w:tcPr>
            <w:tcW w:w="3009" w:type="dxa"/>
            <w:tcBorders>
              <w:top w:val="nil"/>
              <w:left w:val="nil"/>
              <w:bottom w:val="single" w:sz="4" w:space="0" w:color="auto"/>
              <w:right w:val="single" w:sz="4" w:space="0" w:color="auto"/>
            </w:tcBorders>
            <w:shd w:val="clear" w:color="auto" w:fill="auto"/>
            <w:hideMark/>
          </w:tcPr>
          <w:p w14:paraId="5AB781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Elementy biologiczne są podstawą oceny stanu/potencjału ekologicznego</w:t>
            </w:r>
          </w:p>
        </w:tc>
        <w:tc>
          <w:tcPr>
            <w:tcW w:w="1720" w:type="dxa"/>
            <w:tcBorders>
              <w:top w:val="nil"/>
              <w:left w:val="nil"/>
              <w:bottom w:val="single" w:sz="4" w:space="0" w:color="auto"/>
              <w:right w:val="single" w:sz="4" w:space="0" w:color="auto"/>
            </w:tcBorders>
            <w:shd w:val="clear" w:color="000000" w:fill="FFFFFF"/>
            <w:hideMark/>
          </w:tcPr>
          <w:p w14:paraId="4CF702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37E4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A3BBD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zasadna - skorygowano.</w:t>
            </w:r>
          </w:p>
        </w:tc>
      </w:tr>
      <w:tr w:rsidR="007C2B40" w:rsidRPr="0028666F" w14:paraId="1B8C48D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819076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w:t>
            </w:r>
          </w:p>
        </w:tc>
        <w:tc>
          <w:tcPr>
            <w:tcW w:w="970" w:type="dxa"/>
            <w:tcBorders>
              <w:top w:val="nil"/>
              <w:left w:val="nil"/>
              <w:bottom w:val="single" w:sz="4" w:space="0" w:color="auto"/>
              <w:right w:val="nil"/>
            </w:tcBorders>
          </w:tcPr>
          <w:p w14:paraId="233CED0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735E08B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8274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IDENTYFIKACJI ZNACZĄCYCH ODDZIAŁYWAŃ ANTROPOGENICZNYCH I OCENY ICH WPŁYWU NA STAN WÓD POWIERZCHNIOWYCH I PODZIEMNYCH</w:t>
            </w:r>
          </w:p>
        </w:tc>
        <w:tc>
          <w:tcPr>
            <w:tcW w:w="5000" w:type="dxa"/>
            <w:tcBorders>
              <w:top w:val="nil"/>
              <w:left w:val="nil"/>
              <w:bottom w:val="single" w:sz="4" w:space="0" w:color="auto"/>
              <w:right w:val="single" w:sz="4" w:space="0" w:color="auto"/>
            </w:tcBorders>
            <w:shd w:val="clear" w:color="auto" w:fill="auto"/>
            <w:hideMark/>
          </w:tcPr>
          <w:p w14:paraId="1CAD1F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Niespójne dane między tekstem, tabelą 7-1 i wykresem 7-1. W tabeli podano udział presji na cechy chemiczne (CHEM) na poziomie 61%, natomiast w tekście oraz na wykresie 7-1 udział 61% przypisano do presji na elementy fizykochemiczne (FIZ).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Rozdział 7.1., strona 143-144</w:t>
            </w:r>
          </w:p>
        </w:tc>
        <w:tc>
          <w:tcPr>
            <w:tcW w:w="2733" w:type="dxa"/>
            <w:tcBorders>
              <w:top w:val="nil"/>
              <w:left w:val="nil"/>
              <w:bottom w:val="single" w:sz="4" w:space="0" w:color="auto"/>
              <w:right w:val="single" w:sz="4" w:space="0" w:color="auto"/>
            </w:tcBorders>
            <w:shd w:val="clear" w:color="auto" w:fill="auto"/>
            <w:hideMark/>
          </w:tcPr>
          <w:p w14:paraId="3893D1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ustalić, które dane są prawidłowe poprawić błędne zapisy.</w:t>
            </w:r>
          </w:p>
        </w:tc>
        <w:tc>
          <w:tcPr>
            <w:tcW w:w="3009" w:type="dxa"/>
            <w:tcBorders>
              <w:top w:val="nil"/>
              <w:left w:val="nil"/>
              <w:bottom w:val="single" w:sz="4" w:space="0" w:color="auto"/>
              <w:right w:val="single" w:sz="4" w:space="0" w:color="auto"/>
            </w:tcBorders>
            <w:shd w:val="clear" w:color="auto" w:fill="auto"/>
            <w:hideMark/>
          </w:tcPr>
          <w:p w14:paraId="19E4AE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Poprawienie błędnych zapisów</w:t>
            </w:r>
          </w:p>
        </w:tc>
        <w:tc>
          <w:tcPr>
            <w:tcW w:w="1720" w:type="dxa"/>
            <w:tcBorders>
              <w:top w:val="nil"/>
              <w:left w:val="nil"/>
              <w:bottom w:val="single" w:sz="4" w:space="0" w:color="auto"/>
              <w:right w:val="single" w:sz="4" w:space="0" w:color="auto"/>
            </w:tcBorders>
            <w:shd w:val="clear" w:color="000000" w:fill="FFFFFF"/>
            <w:hideMark/>
          </w:tcPr>
          <w:p w14:paraId="750AC0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87993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B23E8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Zweryfikowano wskazane w uwadze zagadnienia i uspójniono dane.</w:t>
            </w:r>
          </w:p>
        </w:tc>
      </w:tr>
      <w:tr w:rsidR="007C2B40" w:rsidRPr="0028666F" w14:paraId="17EB331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D37C0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w:t>
            </w:r>
          </w:p>
        </w:tc>
        <w:tc>
          <w:tcPr>
            <w:tcW w:w="970" w:type="dxa"/>
            <w:tcBorders>
              <w:top w:val="nil"/>
              <w:left w:val="nil"/>
              <w:bottom w:val="single" w:sz="4" w:space="0" w:color="auto"/>
              <w:right w:val="nil"/>
            </w:tcBorders>
          </w:tcPr>
          <w:p w14:paraId="1F4A188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789B897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1F4C0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IDENTYFIKACJI ZNACZĄCYCH ODDZIAŁYWAŃ ANTROPOGENICZNYCH I OCENY ICH WPŁYWU NA STAN WÓD POWIERZCHNIOWYCH I PODZIEMNYCH</w:t>
            </w:r>
          </w:p>
        </w:tc>
        <w:tc>
          <w:tcPr>
            <w:tcW w:w="5000" w:type="dxa"/>
            <w:tcBorders>
              <w:top w:val="nil"/>
              <w:left w:val="nil"/>
              <w:bottom w:val="single" w:sz="4" w:space="0" w:color="auto"/>
              <w:right w:val="single" w:sz="4" w:space="0" w:color="auto"/>
            </w:tcBorders>
            <w:shd w:val="clear" w:color="auto" w:fill="auto"/>
            <w:hideMark/>
          </w:tcPr>
          <w:p w14:paraId="257CFEE0" w14:textId="1D39F48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"Niespójne dane między tekstem i tabelą 7-2. W tekście jest: ""W 377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wskazano jednocześnie presję znaczącą umiarkowaną lub silną na elementy biologiczne zależne zarówno od hydromorfologii, </w:t>
            </w:r>
            <w:r w:rsidRPr="0028666F">
              <w:rPr>
                <w:rFonts w:ascii="Calibri" w:eastAsia="Times New Roman" w:hAnsi="Calibri" w:cs="Calibri"/>
                <w:color w:val="000000"/>
                <w:sz w:val="18"/>
                <w:szCs w:val="18"/>
                <w:lang w:eastAsia="pl-PL"/>
              </w:rPr>
              <w:br/>
              <w:t xml:space="preserve">jak i od trofii (tabela 7-2)"". Natomiast po zsumowaniu danych z tabeli 7-2 wychodzi 375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wskazano presję znaczącą umiarkowaną lub silną na elementy biologiczne zależne zarówno od hydromorfologii, jak i od trofii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Rozdział 7.1., strona 144</w:t>
            </w:r>
          </w:p>
        </w:tc>
        <w:tc>
          <w:tcPr>
            <w:tcW w:w="2733" w:type="dxa"/>
            <w:tcBorders>
              <w:top w:val="nil"/>
              <w:left w:val="nil"/>
              <w:bottom w:val="single" w:sz="4" w:space="0" w:color="auto"/>
              <w:right w:val="single" w:sz="4" w:space="0" w:color="auto"/>
            </w:tcBorders>
            <w:shd w:val="clear" w:color="auto" w:fill="auto"/>
            <w:hideMark/>
          </w:tcPr>
          <w:p w14:paraId="474A95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ustalić, które dane są prawidłowe i poprawić błędne zapisy.</w:t>
            </w:r>
          </w:p>
        </w:tc>
        <w:tc>
          <w:tcPr>
            <w:tcW w:w="3009" w:type="dxa"/>
            <w:tcBorders>
              <w:top w:val="nil"/>
              <w:left w:val="nil"/>
              <w:bottom w:val="single" w:sz="4" w:space="0" w:color="auto"/>
              <w:right w:val="single" w:sz="4" w:space="0" w:color="auto"/>
            </w:tcBorders>
            <w:shd w:val="clear" w:color="auto" w:fill="auto"/>
            <w:hideMark/>
          </w:tcPr>
          <w:p w14:paraId="134D43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Poprawienie błędnych zapisów</w:t>
            </w:r>
          </w:p>
        </w:tc>
        <w:tc>
          <w:tcPr>
            <w:tcW w:w="1720" w:type="dxa"/>
            <w:tcBorders>
              <w:top w:val="nil"/>
              <w:left w:val="nil"/>
              <w:bottom w:val="single" w:sz="4" w:space="0" w:color="auto"/>
              <w:right w:val="single" w:sz="4" w:space="0" w:color="auto"/>
            </w:tcBorders>
            <w:shd w:val="clear" w:color="000000" w:fill="FFFFFF"/>
            <w:hideMark/>
          </w:tcPr>
          <w:p w14:paraId="16327B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9AACA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8267F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Zweryfikowano wskazane w uwadze zagadnienia i uspójniono dane.</w:t>
            </w:r>
          </w:p>
        </w:tc>
      </w:tr>
      <w:tr w:rsidR="007C2B40" w:rsidRPr="0028666F" w14:paraId="784B00C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514494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w:t>
            </w:r>
          </w:p>
        </w:tc>
        <w:tc>
          <w:tcPr>
            <w:tcW w:w="970" w:type="dxa"/>
            <w:tcBorders>
              <w:top w:val="nil"/>
              <w:left w:val="nil"/>
              <w:bottom w:val="single" w:sz="4" w:space="0" w:color="auto"/>
              <w:right w:val="nil"/>
            </w:tcBorders>
          </w:tcPr>
          <w:p w14:paraId="664C2B0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Jastrzębska Spółka Węglowa S.A. - KWK "Budryk"</w:t>
            </w:r>
          </w:p>
        </w:tc>
        <w:tc>
          <w:tcPr>
            <w:tcW w:w="165" w:type="dxa"/>
            <w:tcBorders>
              <w:top w:val="nil"/>
              <w:left w:val="nil"/>
              <w:bottom w:val="single" w:sz="4" w:space="0" w:color="auto"/>
              <w:right w:val="single" w:sz="4" w:space="0" w:color="auto"/>
            </w:tcBorders>
            <w:shd w:val="clear" w:color="auto" w:fill="auto"/>
          </w:tcPr>
          <w:p w14:paraId="131B2CD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932B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CEAB60E" w14:textId="295CD4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 związku z prowadzonymi konsultacjami społecznymi Projektów drugiej aktualizacji Planów Gospodarowania Wodami, Jastrzębska Spółka Węglowa S.A. Kopalnia Węgla Kamiennego „Budryk” zgłasza niżej wymienione uwagi do przedstawionego: „Projektu Drugiej Aktualizacji Planu Gospodarowania Wodami na Obszarze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1 wnosimy o wprowadzenie odstępstwa na podstawie art. 4 ust. 5 Ramowej Dyrektywy Wodnej (ustalenie mniej rygorystycznych celów środowiskowych) w zakresie wskaźnika: przewodność elektrolityczna właściwa w 20°C dla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RW600006115835,</w:t>
            </w:r>
            <w:r w:rsidRPr="0028666F">
              <w:rPr>
                <w:rFonts w:ascii="Calibri" w:eastAsia="Times New Roman" w:hAnsi="Calibri" w:cs="Calibri"/>
                <w:color w:val="000000"/>
                <w:sz w:val="18"/>
                <w:szCs w:val="18"/>
                <w:lang w:eastAsia="pl-PL"/>
              </w:rPr>
              <w:br/>
              <w:t xml:space="preserve">• Bierawka od Knurówki do ujścia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RW600011115899;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 wnosimy o wprowadzenie odstępstwa na podstawie art. 4 ust. 5 Ramowej Dyrektywy Wodnej (ustalenie mniej rygorystycznych celów środowiskowych) w zakresie wskaźnika: przewodność elektrolityczna właściwa w 20°C dla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lastRenderedPageBreak/>
              <w:t>RW600011117159,</w:t>
            </w:r>
            <w:r w:rsidRPr="0028666F">
              <w:rPr>
                <w:rFonts w:ascii="Calibri" w:eastAsia="Times New Roman" w:hAnsi="Calibri" w:cs="Calibri"/>
                <w:color w:val="000000"/>
                <w:sz w:val="18"/>
                <w:szCs w:val="18"/>
                <w:lang w:eastAsia="pl-PL"/>
              </w:rPr>
              <w:br/>
              <w:t xml:space="preserve">• Odra od Kanału Gliwickiego do Osobłogi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RW60001111759,</w:t>
            </w:r>
            <w:r w:rsidRPr="0028666F">
              <w:rPr>
                <w:rFonts w:ascii="Calibri" w:eastAsia="Times New Roman" w:hAnsi="Calibri" w:cs="Calibri"/>
                <w:color w:val="000000"/>
                <w:sz w:val="18"/>
                <w:szCs w:val="18"/>
                <w:lang w:eastAsia="pl-PL"/>
              </w:rPr>
              <w:br/>
              <w:t xml:space="preserve">• Odra od Nysy Kłodzkiej do Kościelnej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RW600012133119,</w:t>
            </w:r>
            <w:r w:rsidRPr="0028666F">
              <w:rPr>
                <w:rFonts w:ascii="Calibri" w:eastAsia="Times New Roman" w:hAnsi="Calibri" w:cs="Calibri"/>
                <w:color w:val="000000"/>
                <w:sz w:val="18"/>
                <w:szCs w:val="18"/>
                <w:lang w:eastAsia="pl-PL"/>
              </w:rPr>
              <w:br/>
              <w:t xml:space="preserve">• Odra w granicach Wrocławia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RW60001213399,</w:t>
            </w:r>
            <w:r w:rsidRPr="0028666F">
              <w:rPr>
                <w:rFonts w:ascii="Calibri" w:eastAsia="Times New Roman" w:hAnsi="Calibri" w:cs="Calibri"/>
                <w:color w:val="000000"/>
                <w:sz w:val="18"/>
                <w:szCs w:val="18"/>
                <w:lang w:eastAsia="pl-PL"/>
              </w:rPr>
              <w:br/>
              <w:t xml:space="preserve">• Odra od Bystrzycy do Baryczy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RW6000121399,</w:t>
            </w:r>
            <w:r w:rsidRPr="0028666F">
              <w:rPr>
                <w:rFonts w:ascii="Calibri" w:eastAsia="Times New Roman" w:hAnsi="Calibri" w:cs="Calibri"/>
                <w:color w:val="000000"/>
                <w:sz w:val="18"/>
                <w:szCs w:val="18"/>
                <w:lang w:eastAsia="pl-PL"/>
              </w:rPr>
              <w:br/>
              <w:t xml:space="preserve">• Odra od Baryczy do Bobru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RW6000121599,</w:t>
            </w:r>
            <w:r w:rsidRPr="0028666F">
              <w:rPr>
                <w:rFonts w:ascii="Calibri" w:eastAsia="Times New Roman" w:hAnsi="Calibri" w:cs="Calibri"/>
                <w:color w:val="000000"/>
                <w:sz w:val="18"/>
                <w:szCs w:val="18"/>
                <w:lang w:eastAsia="pl-PL"/>
              </w:rPr>
              <w:br/>
              <w:t xml:space="preserve">• Odra od Bobru do Nysy Łużyckiej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RW6000121739,</w:t>
            </w:r>
            <w:r w:rsidRPr="0028666F">
              <w:rPr>
                <w:rFonts w:ascii="Calibri" w:eastAsia="Times New Roman" w:hAnsi="Calibri" w:cs="Calibri"/>
                <w:color w:val="000000"/>
                <w:sz w:val="18"/>
                <w:szCs w:val="18"/>
                <w:lang w:eastAsia="pl-PL"/>
              </w:rPr>
              <w:br/>
              <w:t xml:space="preserve">• Odra od Nysy Łużyckiej do Warty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RW60001217999.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Uzasadnienie uwagi znajduje się w załączonym pliku. </w:t>
            </w:r>
          </w:p>
        </w:tc>
        <w:tc>
          <w:tcPr>
            <w:tcW w:w="2733" w:type="dxa"/>
            <w:tcBorders>
              <w:top w:val="nil"/>
              <w:left w:val="nil"/>
              <w:bottom w:val="single" w:sz="4" w:space="0" w:color="auto"/>
              <w:right w:val="single" w:sz="4" w:space="0" w:color="auto"/>
            </w:tcBorders>
            <w:shd w:val="clear" w:color="auto" w:fill="auto"/>
            <w:hideMark/>
          </w:tcPr>
          <w:p w14:paraId="035716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t>
            </w:r>
          </w:p>
        </w:tc>
        <w:tc>
          <w:tcPr>
            <w:tcW w:w="3009" w:type="dxa"/>
            <w:tcBorders>
              <w:top w:val="nil"/>
              <w:left w:val="nil"/>
              <w:bottom w:val="single" w:sz="4" w:space="0" w:color="auto"/>
              <w:right w:val="single" w:sz="4" w:space="0" w:color="auto"/>
            </w:tcBorders>
            <w:shd w:val="clear" w:color="auto" w:fill="auto"/>
            <w:hideMark/>
          </w:tcPr>
          <w:p w14:paraId="3F143B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06433D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49_JSW_KWKBudryk_Odra</w:t>
            </w:r>
          </w:p>
        </w:tc>
        <w:tc>
          <w:tcPr>
            <w:tcW w:w="1014" w:type="dxa"/>
            <w:tcBorders>
              <w:top w:val="nil"/>
              <w:left w:val="nil"/>
              <w:bottom w:val="single" w:sz="4" w:space="0" w:color="auto"/>
              <w:right w:val="single" w:sz="4" w:space="0" w:color="auto"/>
            </w:tcBorders>
            <w:shd w:val="clear" w:color="auto" w:fill="auto"/>
            <w:hideMark/>
          </w:tcPr>
          <w:p w14:paraId="5C8A4C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09391BE" w14:textId="4B14C33D" w:rsidR="007C2B40" w:rsidRPr="0028666F" w:rsidRDefault="007C2B40" w:rsidP="004F7B9E">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Analizując sytuację w zgłoszonych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4F7B9E">
              <w:rPr>
                <w:rFonts w:ascii="Calibri" w:eastAsia="Times New Roman" w:hAnsi="Calibri" w:cs="Calibri"/>
                <w:color w:val="000000"/>
                <w:sz w:val="18"/>
                <w:szCs w:val="18"/>
                <w:lang w:eastAsia="pl-PL"/>
              </w:rPr>
              <w:t>wprowadzono</w:t>
            </w:r>
            <w:r w:rsidR="004F7B9E" w:rsidRPr="0028666F">
              <w:rPr>
                <w:rFonts w:ascii="Calibri" w:eastAsia="Times New Roman" w:hAnsi="Calibri" w:cs="Calibri"/>
                <w:color w:val="000000"/>
                <w:sz w:val="18"/>
                <w:szCs w:val="18"/>
                <w:lang w:eastAsia="pl-PL"/>
              </w:rPr>
              <w:t xml:space="preserve"> </w:t>
            </w:r>
            <w:r w:rsidRPr="0028666F">
              <w:rPr>
                <w:rFonts w:ascii="Calibri" w:eastAsia="Times New Roman" w:hAnsi="Calibri" w:cs="Calibri"/>
                <w:color w:val="000000"/>
                <w:sz w:val="18"/>
                <w:szCs w:val="18"/>
                <w:lang w:eastAsia="pl-PL"/>
              </w:rPr>
              <w:t>następujące zmiany:</w:t>
            </w:r>
            <w:r w:rsidRPr="0028666F">
              <w:rPr>
                <w:rFonts w:ascii="Calibri" w:eastAsia="Times New Roman" w:hAnsi="Calibri" w:cs="Calibri"/>
                <w:color w:val="000000"/>
                <w:sz w:val="18"/>
                <w:szCs w:val="18"/>
                <w:lang w:eastAsia="pl-PL"/>
              </w:rPr>
              <w:br/>
              <w:t xml:space="preserve">• Bierawka od źródeł do Knurówki wraz z Knurówką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RW600006115835 - przekroczenie 3000% - z uwagi na wysokie przekroczenieze źródeł przemysłowych i komunalnych, małe prawdopodobieństwo osiągnięcia celu do 2027, więc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można przyznać odstępstwo 4.5.</w:t>
            </w:r>
            <w:r w:rsidRPr="0028666F">
              <w:rPr>
                <w:rFonts w:ascii="Calibri" w:eastAsia="Times New Roman" w:hAnsi="Calibri" w:cs="Calibri"/>
                <w:color w:val="000000"/>
                <w:sz w:val="18"/>
                <w:szCs w:val="18"/>
                <w:lang w:eastAsia="pl-PL"/>
              </w:rPr>
              <w:br/>
              <w:t xml:space="preserve">• Bierawka od Knurówki do ujścia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RW600011115899 - 600% - Główne źródło presji zasalających: presja skumulowana z dopływu/ów – z uwagi na wysokie % przekroczenie w dopływie szansa na osiągniecie celu środowiskowego dla przewodnictwa w 2027 roku jest ograniczona, dlatego można przyznać odstępstwo 4.5. pomimo dominujące presji dopływającej</w:t>
            </w:r>
            <w:r w:rsidRPr="0028666F">
              <w:rPr>
                <w:rFonts w:ascii="Calibri" w:eastAsia="Times New Roman" w:hAnsi="Calibri" w:cs="Calibri"/>
                <w:color w:val="000000"/>
                <w:sz w:val="18"/>
                <w:szCs w:val="18"/>
                <w:lang w:eastAsia="pl-PL"/>
              </w:rPr>
              <w:br/>
              <w:t xml:space="preserve">• Odra od granicy do Kanału Gliwickiego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RW600011117159, - 87% - presja skumulowana z dopływu/ów - z uwagi na wysokie % przekroczenie w dopływie szansa na osiągniecie celu środowiskowego dla przewodnictwa w 2027 roku jest ograniczona, dlatego można przyznać odstępstwo 4.5. pomimo dominujące presji dopływającej.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 Odra od Kanału Gliwickiego do Osobłogi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RW60001111759, - 120% - presja skumulowana z dopływu/ów oraz ścieki przemysłowe i komunalne –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Nysy Kłodzkiej do Kościelnej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RW600012133119, - 67% -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w granicach Wrocławia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RW60001213399, - 135% -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Bystrzycy do Baryczy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RW6000121399, - 135%-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Baryczy do Bobru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RW6000121599, -142%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Bobru do Nysy Łużyckiej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RW6000121739,- 142%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r w:rsidRPr="0028666F">
              <w:rPr>
                <w:rFonts w:ascii="Calibri" w:eastAsia="Times New Roman" w:hAnsi="Calibri" w:cs="Calibri"/>
                <w:color w:val="000000"/>
                <w:sz w:val="18"/>
                <w:szCs w:val="18"/>
                <w:lang w:eastAsia="pl-PL"/>
              </w:rPr>
              <w:br/>
              <w:t xml:space="preserve">• Odra od Nysy Łużyckiej do Warty -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RW60001217999. – 148% presja skumulowana z dopływu/ów oraz ścieki przemysłowe i komunalne – z uwagi na wysokie przekroczenie i jednoczesne nałożenie się presji dopływającej i znajdującej się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niskie prawdopodobieństwo osiągnięcia celu dla przewodnictwa do 2027 roku - można przyznać odstępstwo 4.5.</w:t>
            </w:r>
          </w:p>
        </w:tc>
      </w:tr>
      <w:tr w:rsidR="007C2B40" w:rsidRPr="0028666F" w14:paraId="737593B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069116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50</w:t>
            </w:r>
          </w:p>
        </w:tc>
        <w:tc>
          <w:tcPr>
            <w:tcW w:w="970" w:type="dxa"/>
            <w:tcBorders>
              <w:top w:val="nil"/>
              <w:left w:val="nil"/>
              <w:bottom w:val="single" w:sz="4" w:space="0" w:color="auto"/>
              <w:right w:val="nil"/>
            </w:tcBorders>
          </w:tcPr>
          <w:p w14:paraId="09CD913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w:t>
            </w:r>
            <w:r>
              <w:rPr>
                <w:rFonts w:ascii="Calibri" w:hAnsi="Calibri" w:cs="Calibri"/>
                <w:color w:val="000000"/>
                <w:sz w:val="18"/>
                <w:szCs w:val="18"/>
              </w:rPr>
              <w:lastRenderedPageBreak/>
              <w:t xml:space="preserve">ŚRODOWISKA </w:t>
            </w:r>
          </w:p>
        </w:tc>
        <w:tc>
          <w:tcPr>
            <w:tcW w:w="165" w:type="dxa"/>
            <w:tcBorders>
              <w:top w:val="nil"/>
              <w:left w:val="nil"/>
              <w:bottom w:val="single" w:sz="4" w:space="0" w:color="auto"/>
              <w:right w:val="single" w:sz="4" w:space="0" w:color="auto"/>
            </w:tcBorders>
            <w:shd w:val="clear" w:color="auto" w:fill="auto"/>
          </w:tcPr>
          <w:p w14:paraId="2E49652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0BAE9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PODSUMOWANIE IDENTYFIKACJI ZNACZĄCYCH ODDZIAŁYWAŃ ANTROPOGENICZNYCH I OCENY ICH WPŁYWU NA </w:t>
            </w:r>
            <w:r w:rsidRPr="0028666F">
              <w:rPr>
                <w:rFonts w:ascii="Calibri" w:eastAsia="Times New Roman" w:hAnsi="Calibri" w:cs="Calibri"/>
                <w:color w:val="000000"/>
                <w:sz w:val="18"/>
                <w:szCs w:val="18"/>
                <w:lang w:eastAsia="pl-PL"/>
              </w:rPr>
              <w:lastRenderedPageBreak/>
              <w:t>STAN WÓD POWIERZCHNIOWYCH I PODZIEMNYCH</w:t>
            </w:r>
          </w:p>
        </w:tc>
        <w:tc>
          <w:tcPr>
            <w:tcW w:w="5000" w:type="dxa"/>
            <w:tcBorders>
              <w:top w:val="nil"/>
              <w:left w:val="nil"/>
              <w:bottom w:val="single" w:sz="4" w:space="0" w:color="auto"/>
              <w:right w:val="single" w:sz="4" w:space="0" w:color="auto"/>
            </w:tcBorders>
            <w:shd w:val="clear" w:color="auto" w:fill="auto"/>
            <w:hideMark/>
          </w:tcPr>
          <w:p w14:paraId="2D914DC7" w14:textId="53B711A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Niespójne dane między tabelami 7-5 i 7-6. W tabeli 7-5 podano, że na obszarze Odry są 304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zagrożone, natomista w tabeli 7-6, po zsumowaniu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zagrożonych nieosiągnięciem celów środowiskowych wychodzi 287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Dane z tabeli 7-6 nie zgadzają się z danymi zawartymi w załączniku 1 (zestawienie </w:t>
            </w:r>
            <w:r w:rsidRPr="0028666F">
              <w:rPr>
                <w:rFonts w:ascii="Calibri" w:eastAsia="Times New Roman" w:hAnsi="Calibri" w:cs="Calibri"/>
                <w:color w:val="000000"/>
                <w:sz w:val="18"/>
                <w:szCs w:val="18"/>
                <w:lang w:eastAsia="pl-PL"/>
              </w:rPr>
              <w:lastRenderedPageBreak/>
              <w:t>ogólne)</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Rozdział 7.1., tabela 7-5 na str. 155 oraz tabela 7-6 na str. 157</w:t>
            </w:r>
          </w:p>
        </w:tc>
        <w:tc>
          <w:tcPr>
            <w:tcW w:w="2733" w:type="dxa"/>
            <w:tcBorders>
              <w:top w:val="nil"/>
              <w:left w:val="nil"/>
              <w:bottom w:val="single" w:sz="4" w:space="0" w:color="auto"/>
              <w:right w:val="single" w:sz="4" w:space="0" w:color="auto"/>
            </w:tcBorders>
            <w:shd w:val="clear" w:color="auto" w:fill="auto"/>
            <w:hideMark/>
          </w:tcPr>
          <w:p w14:paraId="3A6195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Należy ustalić, które dane są prawidłowe i poprawić błędne zapisy.</w:t>
            </w:r>
          </w:p>
        </w:tc>
        <w:tc>
          <w:tcPr>
            <w:tcW w:w="3009" w:type="dxa"/>
            <w:tcBorders>
              <w:top w:val="nil"/>
              <w:left w:val="nil"/>
              <w:bottom w:val="single" w:sz="4" w:space="0" w:color="auto"/>
              <w:right w:val="single" w:sz="4" w:space="0" w:color="auto"/>
            </w:tcBorders>
            <w:shd w:val="clear" w:color="auto" w:fill="auto"/>
            <w:hideMark/>
          </w:tcPr>
          <w:p w14:paraId="4CB5D5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Poprawienie błędnych zapisów</w:t>
            </w:r>
          </w:p>
        </w:tc>
        <w:tc>
          <w:tcPr>
            <w:tcW w:w="1720" w:type="dxa"/>
            <w:tcBorders>
              <w:top w:val="nil"/>
              <w:left w:val="nil"/>
              <w:bottom w:val="single" w:sz="4" w:space="0" w:color="auto"/>
              <w:right w:val="single" w:sz="4" w:space="0" w:color="auto"/>
            </w:tcBorders>
            <w:shd w:val="clear" w:color="000000" w:fill="FFFFFF"/>
            <w:hideMark/>
          </w:tcPr>
          <w:p w14:paraId="76D7AF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B692B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CAEA8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Zweryfikowano wskazane w uwadze zagadnienia i uspójniono dane.</w:t>
            </w:r>
          </w:p>
        </w:tc>
      </w:tr>
      <w:tr w:rsidR="007C2B40" w:rsidRPr="0028666F" w14:paraId="771806C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B0D2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51</w:t>
            </w:r>
          </w:p>
        </w:tc>
        <w:tc>
          <w:tcPr>
            <w:tcW w:w="970" w:type="dxa"/>
            <w:tcBorders>
              <w:top w:val="nil"/>
              <w:left w:val="nil"/>
              <w:bottom w:val="single" w:sz="4" w:space="0" w:color="auto"/>
              <w:right w:val="nil"/>
            </w:tcBorders>
          </w:tcPr>
          <w:p w14:paraId="1A87B4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Koronowie</w:t>
            </w:r>
          </w:p>
        </w:tc>
        <w:tc>
          <w:tcPr>
            <w:tcW w:w="165" w:type="dxa"/>
            <w:tcBorders>
              <w:top w:val="nil"/>
              <w:left w:val="nil"/>
              <w:bottom w:val="single" w:sz="4" w:space="0" w:color="auto"/>
              <w:right w:val="single" w:sz="4" w:space="0" w:color="auto"/>
            </w:tcBorders>
            <w:shd w:val="clear" w:color="auto" w:fill="auto"/>
          </w:tcPr>
          <w:p w14:paraId="632035E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C088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634A00E" w14:textId="125A9F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Uwagi do II aPGW w zakresie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Martwa Brda:</w:t>
            </w:r>
            <w:r w:rsidRPr="0028666F">
              <w:rPr>
                <w:rFonts w:ascii="Calibri" w:eastAsia="Times New Roman" w:hAnsi="Calibri" w:cs="Calibri"/>
                <w:color w:val="000000"/>
                <w:sz w:val="18"/>
                <w:szCs w:val="18"/>
                <w:lang w:eastAsia="pl-PL"/>
              </w:rPr>
              <w:br/>
              <w:t xml:space="preserve">RW200010292949 (silnie zmieniona część wód z uwagi na brak możliwości skutecznego odwrócenia zmian hydromorfologicznych i brak alternatyw dla pełnionych funkcji). </w:t>
            </w:r>
            <w:r w:rsidRPr="0028666F">
              <w:rPr>
                <w:rFonts w:ascii="Calibri" w:eastAsia="Times New Roman" w:hAnsi="Calibri" w:cs="Calibri"/>
                <w:color w:val="000000"/>
                <w:sz w:val="18"/>
                <w:szCs w:val="18"/>
                <w:lang w:eastAsia="pl-PL"/>
              </w:rPr>
              <w:br/>
              <w:t xml:space="preserve">Wnosimy o wykreślenie z zestawu działań wskazanych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RW200010292949 jako umożliwiających osiągnięcie wymaganego potencjału :</w:t>
            </w:r>
            <w:r w:rsidRPr="0028666F">
              <w:rPr>
                <w:rFonts w:ascii="Calibri" w:eastAsia="Times New Roman" w:hAnsi="Calibri" w:cs="Calibri"/>
                <w:color w:val="000000"/>
                <w:sz w:val="18"/>
                <w:szCs w:val="18"/>
                <w:lang w:eastAsia="pl-PL"/>
              </w:rPr>
              <w:br/>
              <w:t>-  RWHM_02.02 opracowanie wariantowej analizy sposobu udrożnienia budowli piętrzących na odcinku cieku istotnego - Brda wraz ze wskazaniem wariantu do realizacji oraz Opracowaniem dokumentacji projektowej z perspektywą do  2024 roku</w:t>
            </w:r>
            <w:r w:rsidRPr="0028666F">
              <w:rPr>
                <w:rFonts w:ascii="Calibri" w:eastAsia="Times New Roman" w:hAnsi="Calibri" w:cs="Calibri"/>
                <w:color w:val="000000"/>
                <w:sz w:val="18"/>
                <w:szCs w:val="18"/>
                <w:lang w:eastAsia="pl-PL"/>
              </w:rPr>
              <w:br/>
              <w:t>- RWHM_02.03 realizację wybranego wariantu udrożnienia cieku - działanie inwestycyjne z perspektywą do 2027 roku.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Uzasadnienie uwagi znajduje się w załączonym pliku. </w:t>
            </w:r>
          </w:p>
        </w:tc>
        <w:tc>
          <w:tcPr>
            <w:tcW w:w="2733" w:type="dxa"/>
            <w:tcBorders>
              <w:top w:val="nil"/>
              <w:left w:val="nil"/>
              <w:bottom w:val="single" w:sz="4" w:space="0" w:color="auto"/>
              <w:right w:val="single" w:sz="4" w:space="0" w:color="auto"/>
            </w:tcBorders>
            <w:shd w:val="clear" w:color="auto" w:fill="auto"/>
            <w:hideMark/>
          </w:tcPr>
          <w:p w14:paraId="4BED09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5F8070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5D75C8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51_UM_Koronów</w:t>
            </w:r>
          </w:p>
        </w:tc>
        <w:tc>
          <w:tcPr>
            <w:tcW w:w="1014" w:type="dxa"/>
            <w:tcBorders>
              <w:top w:val="nil"/>
              <w:left w:val="nil"/>
              <w:bottom w:val="single" w:sz="4" w:space="0" w:color="auto"/>
              <w:right w:val="single" w:sz="4" w:space="0" w:color="auto"/>
            </w:tcBorders>
            <w:shd w:val="clear" w:color="auto" w:fill="auto"/>
            <w:hideMark/>
          </w:tcPr>
          <w:p w14:paraId="0A9567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0AF107B" w14:textId="7712B59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Zgodnie z opracowaniem "Ocena potrzeb i priorytetów udrożnienia ciągłości morfologicznej rzek na obszarach dorzeczy w kontekście osiągnięcia dobrego stanu i potencjału ekologicznego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(Błachuta i in., 2010), Brda w przeszłości była rzeką tarliskową dla łososi i troci, obecnie sporadycznie wstępują do niej trocie. Jest także rzeką tarliskową dla minogów rzecznych, a potencjalnie dla minogów morskich oraz szlakiem spływania węgorzy. Na odcinku od ujścia do Wisły do zbiornika Koronowo są znaczące powierzchnie tarlisk dla diadromicznych ryb litofilnych. W środkowym i górnym biegu jest stabilna ichtiofauna z pstrągiem potokowym i lipieniem, które w głównym stopniu wpłyną na ocenę stanu ekologicznego tej rzeki. Dodatkowo Brda na odcinku od ujścia do zbiornika Koronowo została wskazana jako obszar przeznaczonych do ochrony gatunków ryb o znaczeniu gospodarczym (dla troci wędrownej). Zgodnie z wymaganiami wynikającymi z art. 85 ust. 2 ustawy Prawo wodne, w obszarach przeznaczonych do ochrony gatunków zwierząt wodnych o znaczeniu gospodarczym zapewnia się efektywną migrację gatunków zwierząt wodnych o znaczeniu gospodarczym, w tym ryb dwuśrodowiskowych. W związku z powyższym, po przeprowadzonej w ramach IIaPGW aktualizacji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Stare koryto Brdy jako cele środowiskowe wskazuje się: dobry potencjał ekologiczny; zapewnienie drożności cieku dla migracji ichtiofauny na odcinku cieku istotnego Stare koryto Brdy w obrębie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łososia); zapewnienie drożności cieku dla migracji gatunków o znaczeniu gospodarczym na odcinku cieku głównego Brda od ujścia do zapory zbiornika Koronowo (dla troci wędrownej). Wobec tego Stare koryto Brdy powinno zostać udrożnione w celu osiągnięcia celów środowiskowych (zgodnie z RDW), oraz zapewnienia drożności cieku dla gatunków ryb o znaczeniu gospodarczym (zgodnie z ustawą Prawo wodne). Pozostawiono zaplanowane działania udrożnieniowe.</w:t>
            </w:r>
          </w:p>
        </w:tc>
      </w:tr>
      <w:tr w:rsidR="007C2B40" w:rsidRPr="0028666F" w14:paraId="7BF5D81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C85D0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52</w:t>
            </w:r>
          </w:p>
        </w:tc>
        <w:tc>
          <w:tcPr>
            <w:tcW w:w="970" w:type="dxa"/>
            <w:tcBorders>
              <w:top w:val="nil"/>
              <w:left w:val="nil"/>
              <w:bottom w:val="single" w:sz="4" w:space="0" w:color="auto"/>
              <w:right w:val="nil"/>
            </w:tcBorders>
          </w:tcPr>
          <w:p w14:paraId="74A4B41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Zapolice</w:t>
            </w:r>
          </w:p>
        </w:tc>
        <w:tc>
          <w:tcPr>
            <w:tcW w:w="165" w:type="dxa"/>
            <w:tcBorders>
              <w:top w:val="nil"/>
              <w:left w:val="nil"/>
              <w:bottom w:val="single" w:sz="4" w:space="0" w:color="auto"/>
              <w:right w:val="single" w:sz="4" w:space="0" w:color="auto"/>
            </w:tcBorders>
            <w:shd w:val="clear" w:color="auto" w:fill="auto"/>
          </w:tcPr>
          <w:p w14:paraId="6D9D061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C0025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Katalogi działań poszczególnych kategorii wód</w:t>
            </w:r>
          </w:p>
        </w:tc>
        <w:tc>
          <w:tcPr>
            <w:tcW w:w="5000" w:type="dxa"/>
            <w:tcBorders>
              <w:top w:val="nil"/>
              <w:left w:val="nil"/>
              <w:bottom w:val="single" w:sz="4" w:space="0" w:color="auto"/>
              <w:right w:val="single" w:sz="4" w:space="0" w:color="auto"/>
            </w:tcBorders>
            <w:shd w:val="clear" w:color="auto" w:fill="auto"/>
            <w:hideMark/>
          </w:tcPr>
          <w:p w14:paraId="6CAABA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 pogłębienie i poszerzenie koryta rzeki Widełki  od m. Rembieszów do m. Pstrokonie, gm. Zapolice woj. łódzkie, powiat zduńskowolski</w:t>
            </w:r>
            <w:r w:rsidRPr="0028666F">
              <w:rPr>
                <w:rFonts w:ascii="Calibri" w:eastAsia="Times New Roman" w:hAnsi="Calibri" w:cs="Calibri"/>
                <w:color w:val="000000"/>
                <w:sz w:val="18"/>
                <w:szCs w:val="18"/>
                <w:lang w:eastAsia="pl-PL"/>
              </w:rPr>
              <w:br w:type="page"/>
              <w:t>2. regulacja (wzmocnienie) brzegów Widawki na odcinku od m. Kalinowa do m. Pstrokonie, gm. Zapolice woj. łódzkie, powiat zduńskowolski</w:t>
            </w:r>
            <w:r w:rsidRPr="0028666F">
              <w:rPr>
                <w:rFonts w:ascii="Calibri" w:eastAsia="Times New Roman" w:hAnsi="Calibri" w:cs="Calibri"/>
                <w:color w:val="000000"/>
                <w:sz w:val="18"/>
                <w:szCs w:val="18"/>
                <w:lang w:eastAsia="pl-PL"/>
              </w:rPr>
              <w:br w:type="page"/>
              <w:t>3. budowa zbiornika retencyjnego przy rzecze Widełce</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CB8DA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skuteczniejszą metodą zapobiegania powodziom jest przekształcenie naturalnego koryta rzecznego przez zmianę jego kształtu, długości, głębokości, spadku podłużnego,  wzmacnianie brzegów skutkuje zanikiem podcięć brzegowych, odsypisku, utrzymywanie i zwiększanie naturalnej retencji i budowa zbiorników retencyjnych</w:t>
            </w:r>
          </w:p>
        </w:tc>
        <w:tc>
          <w:tcPr>
            <w:tcW w:w="3009" w:type="dxa"/>
            <w:tcBorders>
              <w:top w:val="nil"/>
              <w:left w:val="nil"/>
              <w:bottom w:val="single" w:sz="4" w:space="0" w:color="auto"/>
              <w:right w:val="single" w:sz="4" w:space="0" w:color="auto"/>
            </w:tcBorders>
            <w:shd w:val="clear" w:color="auto" w:fill="auto"/>
            <w:hideMark/>
          </w:tcPr>
          <w:p w14:paraId="0A9247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powyższe zadania  mają na celu przeciwdziałanie wylewaniu rzek w przypadku podnoszenia się poziomu wód,  ww. działania będą prowadziły do zapobiegania powodziom</w:t>
            </w:r>
          </w:p>
        </w:tc>
        <w:tc>
          <w:tcPr>
            <w:tcW w:w="1720" w:type="dxa"/>
            <w:tcBorders>
              <w:top w:val="nil"/>
              <w:left w:val="nil"/>
              <w:bottom w:val="single" w:sz="4" w:space="0" w:color="auto"/>
              <w:right w:val="single" w:sz="4" w:space="0" w:color="auto"/>
            </w:tcBorders>
            <w:shd w:val="clear" w:color="000000" w:fill="FFFFFF"/>
            <w:hideMark/>
          </w:tcPr>
          <w:p w14:paraId="28E0AD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E65F8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90125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konsultowanego dokumentu i powinna zostać zgłoszona w ramach konsultacji aktualizacji planów zarządzania ryzykiem powodziowym (aPZRP), które zostały przeprowadzone w teminie od 22 grudnia 2020 r. do 22 września 2021 r. Zestaw działań naprawczych zawartych w IIaPGW ukierunkowany jest na utrzymanie lub osiągnięcie dobrego stanu wód i ekosystemów od wód zależych, a więc spełnienie celów środowiskowych określonych w Ramowej Dyrektywie Wodnej i ustawie Prawo wodne.</w:t>
            </w:r>
          </w:p>
        </w:tc>
      </w:tr>
      <w:tr w:rsidR="007C2B40" w:rsidRPr="0028666F" w14:paraId="44418D0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16F580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53</w:t>
            </w:r>
          </w:p>
        </w:tc>
        <w:tc>
          <w:tcPr>
            <w:tcW w:w="970" w:type="dxa"/>
            <w:tcBorders>
              <w:top w:val="nil"/>
              <w:left w:val="nil"/>
              <w:bottom w:val="single" w:sz="4" w:space="0" w:color="auto"/>
              <w:right w:val="nil"/>
            </w:tcBorders>
          </w:tcPr>
          <w:p w14:paraId="478FBEA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Eko Thinktank - organizacja</w:t>
            </w:r>
          </w:p>
        </w:tc>
        <w:tc>
          <w:tcPr>
            <w:tcW w:w="165" w:type="dxa"/>
            <w:tcBorders>
              <w:top w:val="nil"/>
              <w:left w:val="nil"/>
              <w:bottom w:val="single" w:sz="4" w:space="0" w:color="auto"/>
              <w:right w:val="single" w:sz="4" w:space="0" w:color="auto"/>
            </w:tcBorders>
            <w:shd w:val="clear" w:color="auto" w:fill="auto"/>
          </w:tcPr>
          <w:p w14:paraId="709217E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AB25A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3D118F7" w14:textId="44789C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Zal nr 8, arkusz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zawiera jedynie ok. 20 pozycji (czyli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Powinno być wszystkie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t>
            </w:r>
          </w:p>
        </w:tc>
        <w:tc>
          <w:tcPr>
            <w:tcW w:w="2733" w:type="dxa"/>
            <w:tcBorders>
              <w:top w:val="nil"/>
              <w:left w:val="nil"/>
              <w:bottom w:val="single" w:sz="4" w:space="0" w:color="auto"/>
              <w:right w:val="single" w:sz="4" w:space="0" w:color="auto"/>
            </w:tcBorders>
            <w:shd w:val="clear" w:color="auto" w:fill="auto"/>
            <w:hideMark/>
          </w:tcPr>
          <w:p w14:paraId="17B7A1A3" w14:textId="1462E26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Dodać wszystkie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do zal. nr 8.</w:t>
            </w:r>
          </w:p>
        </w:tc>
        <w:tc>
          <w:tcPr>
            <w:tcW w:w="3009" w:type="dxa"/>
            <w:tcBorders>
              <w:top w:val="nil"/>
              <w:left w:val="nil"/>
              <w:bottom w:val="single" w:sz="4" w:space="0" w:color="auto"/>
              <w:right w:val="single" w:sz="4" w:space="0" w:color="auto"/>
            </w:tcBorders>
            <w:shd w:val="clear" w:color="auto" w:fill="auto"/>
            <w:hideMark/>
          </w:tcPr>
          <w:p w14:paraId="7AC09EE3" w14:textId="309365B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zal nr 8 odnosi się do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Powinno być to same podejście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t>
            </w:r>
          </w:p>
        </w:tc>
        <w:tc>
          <w:tcPr>
            <w:tcW w:w="1720" w:type="dxa"/>
            <w:tcBorders>
              <w:top w:val="nil"/>
              <w:left w:val="nil"/>
              <w:bottom w:val="single" w:sz="4" w:space="0" w:color="auto"/>
              <w:right w:val="single" w:sz="4" w:space="0" w:color="auto"/>
            </w:tcBorders>
            <w:shd w:val="clear" w:color="000000" w:fill="FFFFFF"/>
            <w:hideMark/>
          </w:tcPr>
          <w:p w14:paraId="4A9C5E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BF1A8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0D05B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załączniku nr 8 powinny się znaleźć (i znalazły się) tylko te jednolite części wód, dla których ustanowiono odstępstwo w trybie art. 4 ust. 4-5 Ramowej Dyrektywy Wodnej.</w:t>
            </w:r>
          </w:p>
        </w:tc>
      </w:tr>
      <w:tr w:rsidR="007C2B40" w:rsidRPr="0028666F" w14:paraId="1273E07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1CC7C8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54</w:t>
            </w:r>
          </w:p>
        </w:tc>
        <w:tc>
          <w:tcPr>
            <w:tcW w:w="970" w:type="dxa"/>
            <w:tcBorders>
              <w:top w:val="nil"/>
              <w:left w:val="nil"/>
              <w:bottom w:val="single" w:sz="4" w:space="0" w:color="auto"/>
              <w:right w:val="nil"/>
            </w:tcBorders>
          </w:tcPr>
          <w:p w14:paraId="3CD1C38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5646B0E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0FDD4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4D0135E" w14:textId="59630D71"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Budorądzanka RW60001017494</w:t>
            </w:r>
            <w:r w:rsidR="007C2B40" w:rsidRPr="0028666F">
              <w:rPr>
                <w:rFonts w:ascii="Calibri" w:eastAsia="Times New Roman" w:hAnsi="Calibri" w:cs="Calibri"/>
                <w:color w:val="000000"/>
                <w:sz w:val="18"/>
                <w:szCs w:val="18"/>
                <w:lang w:eastAsia="pl-PL"/>
              </w:rPr>
              <w:br/>
              <w:t>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załaczniku_IIaPGW_OD_Odra_cz1, zakładka 1_</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P_RW, poz. 645"</w:t>
            </w:r>
          </w:p>
        </w:tc>
        <w:tc>
          <w:tcPr>
            <w:tcW w:w="2733" w:type="dxa"/>
            <w:tcBorders>
              <w:top w:val="nil"/>
              <w:left w:val="nil"/>
              <w:bottom w:val="single" w:sz="4" w:space="0" w:color="auto"/>
              <w:right w:val="single" w:sz="4" w:space="0" w:color="auto"/>
            </w:tcBorders>
            <w:shd w:val="clear" w:color="auto" w:fill="auto"/>
            <w:hideMark/>
          </w:tcPr>
          <w:p w14:paraId="4D83D796" w14:textId="63035A0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p>
        </w:tc>
        <w:tc>
          <w:tcPr>
            <w:tcW w:w="3009" w:type="dxa"/>
            <w:tcBorders>
              <w:top w:val="nil"/>
              <w:left w:val="nil"/>
              <w:bottom w:val="single" w:sz="4" w:space="0" w:color="auto"/>
              <w:right w:val="single" w:sz="4" w:space="0" w:color="auto"/>
            </w:tcBorders>
            <w:shd w:val="clear" w:color="auto" w:fill="auto"/>
            <w:hideMark/>
          </w:tcPr>
          <w:p w14:paraId="55F278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prowadzonego w 2021 r. monitoringu stwierdzono brak wody w cieku (potwierdziły to comiesięczne badania prowadzone od miesiąca stycznia do września)</w:t>
            </w:r>
          </w:p>
        </w:tc>
        <w:tc>
          <w:tcPr>
            <w:tcW w:w="1720" w:type="dxa"/>
            <w:tcBorders>
              <w:top w:val="nil"/>
              <w:left w:val="nil"/>
              <w:bottom w:val="single" w:sz="4" w:space="0" w:color="auto"/>
              <w:right w:val="single" w:sz="4" w:space="0" w:color="auto"/>
            </w:tcBorders>
            <w:shd w:val="clear" w:color="000000" w:fill="FFFFFF"/>
            <w:hideMark/>
          </w:tcPr>
          <w:p w14:paraId="520771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29F98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F9D59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Na etapie opracowywania IIaPGW uwzględniane były dane GIOŚ dot. zaniku przepływów, co odzwierciedla się w zidentyfikowanej presji na zasoby wodne.</w:t>
            </w:r>
          </w:p>
        </w:tc>
      </w:tr>
      <w:tr w:rsidR="007C2B40" w:rsidRPr="0028666F" w14:paraId="683BE4B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77AF3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55</w:t>
            </w:r>
          </w:p>
        </w:tc>
        <w:tc>
          <w:tcPr>
            <w:tcW w:w="970" w:type="dxa"/>
            <w:tcBorders>
              <w:top w:val="nil"/>
              <w:left w:val="nil"/>
              <w:bottom w:val="single" w:sz="4" w:space="0" w:color="auto"/>
              <w:right w:val="nil"/>
            </w:tcBorders>
          </w:tcPr>
          <w:p w14:paraId="4488C2D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Eko Thinktank - organizacja</w:t>
            </w:r>
          </w:p>
        </w:tc>
        <w:tc>
          <w:tcPr>
            <w:tcW w:w="165" w:type="dxa"/>
            <w:tcBorders>
              <w:top w:val="nil"/>
              <w:left w:val="nil"/>
              <w:bottom w:val="single" w:sz="4" w:space="0" w:color="auto"/>
              <w:right w:val="single" w:sz="4" w:space="0" w:color="auto"/>
            </w:tcBorders>
            <w:shd w:val="clear" w:color="auto" w:fill="auto"/>
          </w:tcPr>
          <w:p w14:paraId="4DA79C5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2262F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DF0263B" w14:textId="4D87A43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Zal nr 8, arkusz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brak informacji dotyczących rodzaju odstępstw z art. 4.5 wfd: czy to z uwagi na warunki techniczne, czy koszty, czy warunki naturalne? </w:t>
            </w:r>
          </w:p>
        </w:tc>
        <w:tc>
          <w:tcPr>
            <w:tcW w:w="2733" w:type="dxa"/>
            <w:tcBorders>
              <w:top w:val="nil"/>
              <w:left w:val="nil"/>
              <w:bottom w:val="single" w:sz="4" w:space="0" w:color="auto"/>
              <w:right w:val="single" w:sz="4" w:space="0" w:color="auto"/>
            </w:tcBorders>
            <w:shd w:val="clear" w:color="auto" w:fill="auto"/>
            <w:hideMark/>
          </w:tcPr>
          <w:p w14:paraId="00F7A0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Dodać taką informację do zal. nr 8., Załącznik 8 </w:t>
            </w:r>
          </w:p>
        </w:tc>
        <w:tc>
          <w:tcPr>
            <w:tcW w:w="3009" w:type="dxa"/>
            <w:tcBorders>
              <w:top w:val="nil"/>
              <w:left w:val="nil"/>
              <w:bottom w:val="single" w:sz="4" w:space="0" w:color="auto"/>
              <w:right w:val="single" w:sz="4" w:space="0" w:color="auto"/>
            </w:tcBorders>
            <w:shd w:val="clear" w:color="auto" w:fill="auto"/>
            <w:hideMark/>
          </w:tcPr>
          <w:p w14:paraId="36C859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Brakuje podstawowej informacji. </w:t>
            </w:r>
          </w:p>
        </w:tc>
        <w:tc>
          <w:tcPr>
            <w:tcW w:w="1720" w:type="dxa"/>
            <w:tcBorders>
              <w:top w:val="nil"/>
              <w:left w:val="nil"/>
              <w:bottom w:val="single" w:sz="4" w:space="0" w:color="auto"/>
              <w:right w:val="single" w:sz="4" w:space="0" w:color="auto"/>
            </w:tcBorders>
            <w:shd w:val="clear" w:color="000000" w:fill="FFFFFF"/>
            <w:hideMark/>
          </w:tcPr>
          <w:p w14:paraId="3F1D7E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98DD0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07A20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Informacja wskazana w uwadze jako brakująca podana w nagłówkach kolumn AH i AK.</w:t>
            </w:r>
          </w:p>
        </w:tc>
      </w:tr>
      <w:tr w:rsidR="007C2B40" w:rsidRPr="0028666F" w14:paraId="3914ACB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CC34EB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56</w:t>
            </w:r>
          </w:p>
        </w:tc>
        <w:tc>
          <w:tcPr>
            <w:tcW w:w="970" w:type="dxa"/>
            <w:tcBorders>
              <w:top w:val="nil"/>
              <w:left w:val="nil"/>
              <w:bottom w:val="single" w:sz="4" w:space="0" w:color="auto"/>
              <w:right w:val="nil"/>
            </w:tcBorders>
          </w:tcPr>
          <w:p w14:paraId="4BB0049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3AAE137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2C9B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14573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barier zaburzających ciągłość biologiczną i morfologiczną cieków.</w:t>
            </w:r>
          </w:p>
        </w:tc>
        <w:tc>
          <w:tcPr>
            <w:tcW w:w="2733" w:type="dxa"/>
            <w:tcBorders>
              <w:top w:val="nil"/>
              <w:left w:val="nil"/>
              <w:bottom w:val="single" w:sz="4" w:space="0" w:color="auto"/>
              <w:right w:val="single" w:sz="4" w:space="0" w:color="auto"/>
            </w:tcBorders>
            <w:shd w:val="clear" w:color="auto" w:fill="auto"/>
            <w:hideMark/>
          </w:tcPr>
          <w:p w14:paraId="006AFD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2383B2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0E6AC3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56_OsFiz_Odra</w:t>
            </w:r>
          </w:p>
        </w:tc>
        <w:tc>
          <w:tcPr>
            <w:tcW w:w="1014" w:type="dxa"/>
            <w:tcBorders>
              <w:top w:val="nil"/>
              <w:left w:val="nil"/>
              <w:bottom w:val="single" w:sz="4" w:space="0" w:color="auto"/>
              <w:right w:val="single" w:sz="4" w:space="0" w:color="auto"/>
            </w:tcBorders>
            <w:shd w:val="clear" w:color="auto" w:fill="auto"/>
            <w:hideMark/>
          </w:tcPr>
          <w:p w14:paraId="30D19E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4BE06B8" w14:textId="0344EF1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Zgodnie z przesłaną uwagą skorygowano działania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Wełna od Nielby do ujścia (RW60001618699).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Flinta zaplanowano działanie RWHM_04.05 Realizacja programu renaturyzacji dla obszaru priorytetowego wyznaczonego w KPRWP (odcinek objęty badaniami pilotażowymi), które uwzględnia swoim zakresem przebudowę jazu Piłka-Młyn. Zaplanowano także działanie RWHM_02.01 dla wskazanego obiektu zlokalizowanego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Mała Wełna (RW6000181966979).</w:t>
            </w:r>
          </w:p>
        </w:tc>
      </w:tr>
      <w:tr w:rsidR="007C2B40" w:rsidRPr="0028666F" w14:paraId="56B6CCD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9324E2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57</w:t>
            </w:r>
          </w:p>
        </w:tc>
        <w:tc>
          <w:tcPr>
            <w:tcW w:w="970" w:type="dxa"/>
            <w:tcBorders>
              <w:top w:val="nil"/>
              <w:left w:val="nil"/>
              <w:bottom w:val="single" w:sz="4" w:space="0" w:color="auto"/>
              <w:right w:val="nil"/>
            </w:tcBorders>
          </w:tcPr>
          <w:p w14:paraId="49EE1DE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4EFE86B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5837C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705BF3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wprowadzenia stałego monitoringu źródeł zanieczyszcenia wód kanału Dzwonowskiego oraz rzeki Małej Wełny w Gminie Skoki (pow. Wągrowiecki).</w:t>
            </w:r>
          </w:p>
        </w:tc>
        <w:tc>
          <w:tcPr>
            <w:tcW w:w="2733" w:type="dxa"/>
            <w:tcBorders>
              <w:top w:val="nil"/>
              <w:left w:val="nil"/>
              <w:bottom w:val="single" w:sz="4" w:space="0" w:color="auto"/>
              <w:right w:val="single" w:sz="4" w:space="0" w:color="auto"/>
            </w:tcBorders>
            <w:shd w:val="clear" w:color="auto" w:fill="auto"/>
            <w:hideMark/>
          </w:tcPr>
          <w:p w14:paraId="12A0F9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44A132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77286D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57_OsFiz_Odra</w:t>
            </w:r>
          </w:p>
        </w:tc>
        <w:tc>
          <w:tcPr>
            <w:tcW w:w="1014" w:type="dxa"/>
            <w:tcBorders>
              <w:top w:val="nil"/>
              <w:left w:val="nil"/>
              <w:bottom w:val="single" w:sz="4" w:space="0" w:color="auto"/>
              <w:right w:val="single" w:sz="4" w:space="0" w:color="auto"/>
            </w:tcBorders>
            <w:shd w:val="clear" w:color="auto" w:fill="auto"/>
            <w:hideMark/>
          </w:tcPr>
          <w:p w14:paraId="64F6CF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B7DDDE7" w14:textId="1CEBA8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zakresie presji oddziałujących na wody wskazane w uwadze oraz przyjętych działań wyjaśnia się, iż zgodnie z wynikami opracowania „Analiza znaczących oddziaływań antropogenicznych wraz z oceną ich wpływu na stan wód oraz ryzykiem nieosiągnięcia celów środowiskowych” główne źródła ładunków zanieczyszczeń dla wskaźników fizykochemicznych pochodzą z części wód (RW600016186675 Mała Wełna od jez. Gorzuchowskiego do Dopływu z Rejowca) dopływającej do wskazanej przedmiotowej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(RW600016186675 Mała Wełna od Dopł. z Rejowca do ujścia).</w:t>
            </w:r>
            <w:r w:rsidRPr="0028666F">
              <w:rPr>
                <w:rFonts w:ascii="Calibri" w:eastAsia="Times New Roman" w:hAnsi="Calibri" w:cs="Calibri"/>
                <w:color w:val="000000"/>
                <w:sz w:val="18"/>
                <w:szCs w:val="18"/>
                <w:lang w:eastAsia="pl-PL"/>
              </w:rPr>
              <w:br/>
              <w:t xml:space="preserve">W celu poprawy jakości wody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dopływającym do przedmiotowego zaplanowane są działania mające ograniczyć głównie źródła zanieczyszczeń – czyli pochodzenia rolniczego (działanie RWP_02.01 „Działania kontrolne przestrzegania przez rolników rozporządzenia z dnia 12 lutego 2020 r w sprawie przyjęcia „Programu działań mających na celu zmniejszenie zanieczyszczenia wód azotanami pochodzącymi ze źródeł rolniczych oraz zapobieganie dalszemu zanieczyszczeniu” zgodnie z art. 108 pr. w., tj.: 1) stosowania programu działań, 2) spełnienia obowiązku posiadania planu nawożenia azotem, 3) stosowania nawozów zgodnie z planem nawożenia azotem” oraz działanie RWP_04.01. „Promocja działań wynikających ze: „Zbioru zaleceń dobrej praktyki rolniczej” dla ograniczenia zanieczyszczenia wód związkami azotu i fosforu, których źródłem jest działalność rolnicza, w tym w szczególności działania ograniczające migrację biogenów wraz ze spływem powierzchniowym (przeciwdziałanie erozji, strefy buforowe i inne). Promocja działań wynikających z „Kodeksu doradczego dobrej praktyki rolniczej dotyczącej ograniczenia emisji amoniaku”. Działania doradcze ukierunkowane są na: doradztwo technologiczne, pomoc rolnikom w ubieganiu się o przyznanie pomocy finansowej ze środków pochodzących z funduszy UE lub innych instytucji krajowych i zagranicznych”), </w:t>
            </w:r>
            <w:r w:rsidRPr="0028666F">
              <w:rPr>
                <w:rFonts w:ascii="Calibri" w:eastAsia="Times New Roman" w:hAnsi="Calibri" w:cs="Calibri"/>
                <w:color w:val="000000"/>
                <w:sz w:val="18"/>
                <w:szCs w:val="18"/>
                <w:lang w:eastAsia="pl-PL"/>
              </w:rPr>
              <w:lastRenderedPageBreak/>
              <w:t xml:space="preserve">a także działanie związane z poprawą jakości ścieków odprowadzanych przez oczyszczalnię ścieków – RWP_01.00 „Rozbudowa i modernizacja oczyszczalni ścieków w aglomeracji Kcynia w celu poprawy jakości odprowadzanych ścieków (ID oczyszczalni: PLKP0330)”.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którego dotyczy uwaga obowiązują działania z katalogu krajowego, który zawiera działania do realizacji we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kraju, ukierunkowanych na osiągnięcie celów środowiskowych poprzez eliminację presji wpływającej na stan wód. W katalogu znalazły się zarówno działania techniczne, jak i szereg działań wspomagających (nietechnicznych), bez których osiągnięcie celów środowiskowych byłoby niemożliwe. W zakresie jakości wód są to m.in. działania: lp. 1 „Obowiązek zapewnienia, iż nie są przekroczone wartości dopuszczalne zanieczyszczeń w ściekach wprowadzanych do wód i do ziemi”, lp. 12 „Obowiązek uzyskania pozwolenia wodnoprawnego na usługę wodną obejmującą wprowadzanie ścieków do wód lub urządzeń wodnych”, lp. 18 „Ewidencja zbiorników bezodpływowych w celu kontroli częstotliwości ich opróżniania oraz w celu opracowania planu rozwoju sieci kanalizacyjnej”, lp. 19 „Ewidencja przydomowych oczyszczalni ścieków w celu kontroli częstotliwości i sposobu pozbywania się komunalnych osadów ściekowych oraz w celu opracowania planu rozwoju sieci kanalizacyjnej”.</w:t>
            </w:r>
            <w:r w:rsidRPr="0028666F">
              <w:rPr>
                <w:rFonts w:ascii="Calibri" w:eastAsia="Times New Roman" w:hAnsi="Calibri" w:cs="Calibri"/>
                <w:color w:val="000000"/>
                <w:sz w:val="18"/>
                <w:szCs w:val="18"/>
                <w:lang w:eastAsia="pl-PL"/>
              </w:rPr>
              <w:br/>
              <w:t xml:space="preserve">W zakresie prowadzenia monitoringu obowiązują działania krajowe: lp. 102 „Projektowanie pomiarów monitoringowych, prowadzenie monitoringu i sprawozdawczości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podstawie obowiązującego rozporządzenia ministra właściwego ds. gospodarki wodnej”, lp. 105 „Kontrola dotycząca przestrzegania decyzji ustalających warunki korzystania ze środowiska oraz przestrzegania zakresu, częstotliwości i sposobu prowadzenia pomiarów wielkości emisji i jej wpływu na stan środowiska”. Monitoring jakości wód powierzchniowych prowadzony jest w ramach Państwowego Monitoringu Środowiska i wynika z ustawy z dnia 20 lipca 2017 r. Badania jakości wód powierzchniowych w zakresie elementów fizykochemicznych, chemicznych i biologicznych należą do kompetencji właściwego organu Inspekcji Ochrony Środowiska. Monitoring wód, w tym stanu fizykochemicznego i chemicznego, zaplanowany jest w taki sposób, aby w uzasadniony organizacyjnie i kosztowo sposób ocenić stan wód na obszarze dorzeczy. Monitoring diagnostyczny ma za zadanie umożliwić ocenę w wystarczającej liczbie jednolitych części wód powierzchniowych - w obrębie każdej zlewni lub podzlewni na obszarze dorzecza. Realizacja programów monitoringu wód dostarcza również informacji na temat długoterminowych zmian naturalnych i wynikających z działalności antropogenicznej. W przypadku występowania ryzyka, iż cele środowiskowe wyznaczone dla danej części wód nie zostaną osiągnięte, bądź występują przekroczenia środowiskowych norm substancji priorytetowych - stosuje się monitoring operacyjny. Dalej, w sytuacjach gdy niezbędne jest określenie skutków przypadkowego zanieczyszczenia lub uzupełnienia informacji o stanie wód - stosowany jest </w:t>
            </w:r>
            <w:r w:rsidRPr="0028666F">
              <w:rPr>
                <w:rFonts w:ascii="Calibri" w:eastAsia="Times New Roman" w:hAnsi="Calibri" w:cs="Calibri"/>
                <w:color w:val="000000"/>
                <w:sz w:val="18"/>
                <w:szCs w:val="18"/>
                <w:lang w:eastAsia="pl-PL"/>
              </w:rPr>
              <w:lastRenderedPageBreak/>
              <w:t>monitoring badawczy. Kolejne cykle monitoringu stale poszerzają wiedzę i bazę danych o stanie chemicznym wód. Planowanie dalszych działań w tym zakresie realizowane jest przez organy inspekcji ochrony środowiska - odpowiadając na potrzeby w danej części wód w zakresie kontroli i oceny ich stanu.</w:t>
            </w:r>
          </w:p>
        </w:tc>
      </w:tr>
      <w:tr w:rsidR="007C2B40" w:rsidRPr="0028666F" w14:paraId="6666395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DDC6F5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58</w:t>
            </w:r>
          </w:p>
        </w:tc>
        <w:tc>
          <w:tcPr>
            <w:tcW w:w="970" w:type="dxa"/>
            <w:tcBorders>
              <w:top w:val="nil"/>
              <w:left w:val="nil"/>
              <w:bottom w:val="single" w:sz="4" w:space="0" w:color="auto"/>
              <w:right w:val="nil"/>
            </w:tcBorders>
          </w:tcPr>
          <w:p w14:paraId="4CA7B79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593B000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7D2D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846F4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nie usuwania powalonych drzew z rzeki Wełny i Małej Wełny</w:t>
            </w:r>
          </w:p>
        </w:tc>
        <w:tc>
          <w:tcPr>
            <w:tcW w:w="2733" w:type="dxa"/>
            <w:tcBorders>
              <w:top w:val="nil"/>
              <w:left w:val="nil"/>
              <w:bottom w:val="single" w:sz="4" w:space="0" w:color="auto"/>
              <w:right w:val="single" w:sz="4" w:space="0" w:color="auto"/>
            </w:tcBorders>
            <w:shd w:val="clear" w:color="auto" w:fill="auto"/>
            <w:hideMark/>
          </w:tcPr>
          <w:p w14:paraId="452054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04459B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7D7C33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58_OsFiz_Odra</w:t>
            </w:r>
          </w:p>
        </w:tc>
        <w:tc>
          <w:tcPr>
            <w:tcW w:w="1014" w:type="dxa"/>
            <w:tcBorders>
              <w:top w:val="nil"/>
              <w:left w:val="nil"/>
              <w:bottom w:val="single" w:sz="4" w:space="0" w:color="auto"/>
              <w:right w:val="single" w:sz="4" w:space="0" w:color="auto"/>
            </w:tcBorders>
            <w:shd w:val="clear" w:color="auto" w:fill="auto"/>
            <w:hideMark/>
          </w:tcPr>
          <w:p w14:paraId="20DF3B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F0B7A79" w14:textId="0B5BCC7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Przywołany w uwadze ciek obejmuje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RW6000181966979 oraz RW60001618699 dla których wskazano działania wynikające z przepisów Dyrektywy Parlamentu Europejskiego i Rady 2000/60/WE z dnia 23 października 2000 r. ustanawiającej ramy wspólnotowego działania w dziedzinie polityki wodnej (Dz. U. UE L 327 z dnia 22 grudnia 2000 r.). Działania te stanowią działania na poziomie krajowym będąc elementem katalogu działań krajowych IIaPGW: w zakresie prac utrzymaniowych jest to działanie: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t xml:space="preserve">Dodatkowo na poziomie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RW6000181966979 zaplanowano działania naprawcze w zakresie prac utrzymaniowych dla Parku krajobrazowego Puszcza Zielonka: Realizacja działań naprawczych dla obszarów chronionych w zakresie utrzymania naturalnego charakteru koryta. Opis działania: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(Park Krajobrazowy Puszcza Zielonka).</w:t>
            </w:r>
            <w:r w:rsidRPr="0028666F">
              <w:rPr>
                <w:rFonts w:ascii="Calibri" w:eastAsia="Times New Roman" w:hAnsi="Calibri" w:cs="Calibri"/>
                <w:color w:val="000000"/>
                <w:sz w:val="18"/>
                <w:szCs w:val="18"/>
                <w:lang w:eastAsia="pl-PL"/>
              </w:rPr>
              <w:br/>
              <w:t xml:space="preserve">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RW60001618699 Wełna od Nielby do ujścia wskazano działania dla obszarów chronionych rez. Wełna, Obszar Natura 2000 Dolina Wełny, rez. Słonawy: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w:t>
            </w:r>
          </w:p>
        </w:tc>
      </w:tr>
      <w:tr w:rsidR="007C2B40" w:rsidRPr="0028666F" w14:paraId="4CE9DE6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AB2A01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59</w:t>
            </w:r>
          </w:p>
        </w:tc>
        <w:tc>
          <w:tcPr>
            <w:tcW w:w="970" w:type="dxa"/>
            <w:tcBorders>
              <w:top w:val="nil"/>
              <w:left w:val="nil"/>
              <w:bottom w:val="single" w:sz="4" w:space="0" w:color="auto"/>
              <w:right w:val="nil"/>
            </w:tcBorders>
          </w:tcPr>
          <w:p w14:paraId="31B451E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6DB6993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1213A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42CE71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ochrony retencji oraz jakości wód w strefie zlewni jezior i rzek.</w:t>
            </w:r>
          </w:p>
        </w:tc>
        <w:tc>
          <w:tcPr>
            <w:tcW w:w="2733" w:type="dxa"/>
            <w:tcBorders>
              <w:top w:val="nil"/>
              <w:left w:val="nil"/>
              <w:bottom w:val="single" w:sz="4" w:space="0" w:color="auto"/>
              <w:right w:val="single" w:sz="4" w:space="0" w:color="auto"/>
            </w:tcBorders>
            <w:shd w:val="clear" w:color="auto" w:fill="auto"/>
            <w:hideMark/>
          </w:tcPr>
          <w:p w14:paraId="04E736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352BEE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717963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59_OsFiz_Odra</w:t>
            </w:r>
          </w:p>
        </w:tc>
        <w:tc>
          <w:tcPr>
            <w:tcW w:w="1014" w:type="dxa"/>
            <w:tcBorders>
              <w:top w:val="nil"/>
              <w:left w:val="nil"/>
              <w:bottom w:val="single" w:sz="4" w:space="0" w:color="auto"/>
              <w:right w:val="single" w:sz="4" w:space="0" w:color="auto"/>
            </w:tcBorders>
            <w:shd w:val="clear" w:color="auto" w:fill="auto"/>
            <w:hideMark/>
          </w:tcPr>
          <w:p w14:paraId="58E412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09C72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związane z poprawą retencji w zlewni i tym samym ograniczenia powierzchniowego spływu zanieczyszczeń zawarte są w katalogu działań krajowych, m.in. działanie 146 pt.: "Realizacja działań zawartych w planie przeciwdziałania skutkom suszy w zakresie poprawy naturalnej retencji" oraz 165 "Analiza możliwości zwiększania retencji w zlewni wraz z opracowaniem programu poprawy retencji w zlewni i </w:t>
            </w:r>
            <w:r w:rsidRPr="0028666F">
              <w:rPr>
                <w:rFonts w:ascii="Calibri" w:eastAsia="Times New Roman" w:hAnsi="Calibri" w:cs="Calibri"/>
                <w:color w:val="000000"/>
                <w:sz w:val="18"/>
                <w:szCs w:val="18"/>
                <w:lang w:eastAsia="pl-PL"/>
              </w:rPr>
              <w:lastRenderedPageBreak/>
              <w:t>realizacją przedsięwzięć zmierzających do zwiększania lub odtwarzania naturalnej retencji w zlewni". W przypadku depozycji zanieczyszczeń z powietrza, obowujązują odrębne od gospodarki wodnej przepisy, których celem jest ograniczenie tych zanieczyszczeń, co pośrednio wpłynie na ograniczenie ich ilości w wodach powierzchniowych. Społeczny udział w kontroli egzekwowania tych przepisów jest ważnym i cennym uzupełnieniem państwowego systemu nadzoru i kontroli ww. działań.</w:t>
            </w:r>
          </w:p>
        </w:tc>
      </w:tr>
      <w:tr w:rsidR="007C2B40" w:rsidRPr="0028666F" w14:paraId="04536D3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05DBE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60</w:t>
            </w:r>
          </w:p>
        </w:tc>
        <w:tc>
          <w:tcPr>
            <w:tcW w:w="970" w:type="dxa"/>
            <w:tcBorders>
              <w:top w:val="nil"/>
              <w:left w:val="nil"/>
              <w:bottom w:val="single" w:sz="4" w:space="0" w:color="auto"/>
              <w:right w:val="nil"/>
            </w:tcBorders>
          </w:tcPr>
          <w:p w14:paraId="52D2EA0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006869E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0B3A3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4697246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poprawy jakości wód odprowadzanych przez oczyszczalnie ścieków oraz uporządkowania gospodarki wodno ściekowej.</w:t>
            </w:r>
          </w:p>
        </w:tc>
        <w:tc>
          <w:tcPr>
            <w:tcW w:w="2733" w:type="dxa"/>
            <w:tcBorders>
              <w:top w:val="nil"/>
              <w:left w:val="nil"/>
              <w:bottom w:val="single" w:sz="4" w:space="0" w:color="auto"/>
              <w:right w:val="single" w:sz="4" w:space="0" w:color="auto"/>
            </w:tcBorders>
            <w:shd w:val="clear" w:color="auto" w:fill="auto"/>
            <w:hideMark/>
          </w:tcPr>
          <w:p w14:paraId="2F5B8D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665545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704550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60_OsFiz_Odra</w:t>
            </w:r>
          </w:p>
        </w:tc>
        <w:tc>
          <w:tcPr>
            <w:tcW w:w="1014" w:type="dxa"/>
            <w:tcBorders>
              <w:top w:val="nil"/>
              <w:left w:val="nil"/>
              <w:bottom w:val="single" w:sz="4" w:space="0" w:color="auto"/>
              <w:right w:val="single" w:sz="4" w:space="0" w:color="auto"/>
            </w:tcBorders>
            <w:shd w:val="clear" w:color="auto" w:fill="auto"/>
            <w:hideMark/>
          </w:tcPr>
          <w:p w14:paraId="2E347C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E86CC2C" w14:textId="375FE13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dotyczące gospodarki ściekowej zostały przypisane w obszarach aglomeracji zgodnie z inwestycjami z VIaKPOŚK (wersja z dnia 30-08-2021). W przypadu obszarów poza agloemracjami przypisano dwa działania RWP_01.01 i RWP_01.05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kórych opracowanie „Analiza znaczących oddziaływań antropogenicznych wraz z oceną ich wpływu na stan wód oraz ryzykiem nieosiągnięcia celów środowiskowych” wykazało, że rozproszone zanieczyszczenia komunalne są źródłem zanieczyszczeń i przyczyną nieosiągnięcia dobrego stanu wód w analizowanej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477F8BC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F92419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61</w:t>
            </w:r>
          </w:p>
        </w:tc>
        <w:tc>
          <w:tcPr>
            <w:tcW w:w="970" w:type="dxa"/>
            <w:tcBorders>
              <w:top w:val="nil"/>
              <w:left w:val="nil"/>
              <w:bottom w:val="single" w:sz="4" w:space="0" w:color="auto"/>
              <w:right w:val="nil"/>
            </w:tcBorders>
          </w:tcPr>
          <w:p w14:paraId="78EAC0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60D8908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F2D07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D8664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pływania jednostek z napędem motorowym na jeziorach stanowiących własność Skarbu Państwa</w:t>
            </w:r>
          </w:p>
        </w:tc>
        <w:tc>
          <w:tcPr>
            <w:tcW w:w="2733" w:type="dxa"/>
            <w:tcBorders>
              <w:top w:val="nil"/>
              <w:left w:val="nil"/>
              <w:bottom w:val="single" w:sz="4" w:space="0" w:color="auto"/>
              <w:right w:val="single" w:sz="4" w:space="0" w:color="auto"/>
            </w:tcBorders>
            <w:shd w:val="clear" w:color="auto" w:fill="auto"/>
            <w:hideMark/>
          </w:tcPr>
          <w:p w14:paraId="17DA38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29B867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22625B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61_OsFiz_Odra</w:t>
            </w:r>
          </w:p>
        </w:tc>
        <w:tc>
          <w:tcPr>
            <w:tcW w:w="1014" w:type="dxa"/>
            <w:tcBorders>
              <w:top w:val="nil"/>
              <w:left w:val="nil"/>
              <w:bottom w:val="single" w:sz="4" w:space="0" w:color="auto"/>
              <w:right w:val="single" w:sz="4" w:space="0" w:color="auto"/>
            </w:tcBorders>
            <w:shd w:val="clear" w:color="auto" w:fill="auto"/>
            <w:hideMark/>
          </w:tcPr>
          <w:p w14:paraId="325AAC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BA441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Odcięcie zanieczyszczeń przestrzennych do jezior nie jest możliwe, można jedynie ograniczyć wielkość ładunku biogenów i innych zanieczyszczeń dopływających ze zlewni. W praktyce nie zaleca się rekultywacji jezior w przypadku dopływu istotnego ładunku zanieczyszczeń punktowych. W przypadku wspomnianych jezior zanieczyszczenia punktowe (ścieki z miejscowości Skoki i Rogoźno) zostały odcięte kilka lat przed rozpoczęciem rekultywacji i nie docierają do jezior nawet po oczyszczeniu. Ponieważ głównym źródłem zanieczyszczenia tych jezior w okresie letnim jest ładunek zanieczyszczeń odłożonych w osadach dennych powracający do toni wodnej w postaci tzw. zasilania wewnętrznego, konieczne było podjęcie rekultywacji a obecnie niezbędne jest jej kontynuowanie, by poprawić stan ekologiczny tych jezior. Oczywiście ważne będzie ograniczanie dopływu zanieczyszczeń z całej zlewni, co przewidziano dla jednolitych części wód rzecznych, położonych powyżej tych jezior.</w:t>
            </w:r>
          </w:p>
        </w:tc>
      </w:tr>
      <w:tr w:rsidR="007C2B40" w:rsidRPr="0028666F" w14:paraId="761FCC1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216E7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62</w:t>
            </w:r>
          </w:p>
        </w:tc>
        <w:tc>
          <w:tcPr>
            <w:tcW w:w="970" w:type="dxa"/>
            <w:tcBorders>
              <w:top w:val="nil"/>
              <w:left w:val="nil"/>
              <w:bottom w:val="single" w:sz="4" w:space="0" w:color="auto"/>
              <w:right w:val="nil"/>
            </w:tcBorders>
          </w:tcPr>
          <w:p w14:paraId="34978EA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3548FBE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BF3DB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654050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rekultywacji jezior na przykładzie rekultywacji Jeziora Rogoźno i Jeziora Budziszewskiego</w:t>
            </w:r>
          </w:p>
        </w:tc>
        <w:tc>
          <w:tcPr>
            <w:tcW w:w="2733" w:type="dxa"/>
            <w:tcBorders>
              <w:top w:val="nil"/>
              <w:left w:val="nil"/>
              <w:bottom w:val="single" w:sz="4" w:space="0" w:color="auto"/>
              <w:right w:val="single" w:sz="4" w:space="0" w:color="auto"/>
            </w:tcBorders>
            <w:shd w:val="clear" w:color="auto" w:fill="auto"/>
            <w:hideMark/>
          </w:tcPr>
          <w:p w14:paraId="6F61C1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144907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50C09F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62_OsFiz_Odra</w:t>
            </w:r>
          </w:p>
        </w:tc>
        <w:tc>
          <w:tcPr>
            <w:tcW w:w="1014" w:type="dxa"/>
            <w:tcBorders>
              <w:top w:val="nil"/>
              <w:left w:val="nil"/>
              <w:bottom w:val="single" w:sz="4" w:space="0" w:color="auto"/>
              <w:right w:val="single" w:sz="4" w:space="0" w:color="auto"/>
            </w:tcBorders>
            <w:shd w:val="clear" w:color="auto" w:fill="auto"/>
            <w:hideMark/>
          </w:tcPr>
          <w:p w14:paraId="08AA49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7E1A2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Efekt resuspensji osadów rzeczywiście powoduje chwilowy wzrost stężeń biogenów w toni wodnej, w wyniku kontaktu cząstek osadu z wodą. Może również nieznacznie obniżyć zawartość tlenu w toni wodnej, wskutek jego poboru przez bakterie znajdujące się na poderwanym z dna osadzie. Zasięg oddziaływania falowania jest jednak bardzo zmienny – uzależniony od szybkości i wielkości łodzi oraz intensywności ich użytkowania. Zwykle dotyczy jedynie płytkiego litoralu, porośniętego przez roślinność oczeretową (trzcina, pałka). Jeżeli jezioro ma dobrze rozwinięty pas roślinności przybrzeżnej, efekt resuspensji jest niewielki. Niekorzystny wpływ łodzi jest widoczny przez stosunkowo krótki czas, gdyż poderwane z dna cząstki osadu ponownie sedymentują na dno jeziora. W wyniku kontaktu z tonią wodną zachodzi proces adsorpcji fosforu na cząstkach mineralnych i organicznych, w wyniku którego odprowadzany jest on ponownie do osadów dennych. Jeżeli jezioro jest w trakcie rekultywacji, to prowadzone zabiegi inaktywacji fosforu w toni wodnej dodatkowo ograniczają negatywny wpływ resuspensji na jakość wody. Ponieważ jakość wód w </w:t>
            </w:r>
            <w:r w:rsidRPr="0028666F">
              <w:rPr>
                <w:rFonts w:ascii="Calibri" w:eastAsia="Times New Roman" w:hAnsi="Calibri" w:cs="Calibri"/>
                <w:color w:val="000000"/>
                <w:sz w:val="18"/>
                <w:szCs w:val="18"/>
                <w:lang w:eastAsia="pl-PL"/>
              </w:rPr>
              <w:lastRenderedPageBreak/>
              <w:t>wymienionych jeziorach jest monitorowana, w przypadku zauważenia jej pogorszenia się, jest możliwość podjęcia niezbędnych działań eliminujących ten wpływ.</w:t>
            </w:r>
          </w:p>
        </w:tc>
      </w:tr>
      <w:tr w:rsidR="007C2B40" w:rsidRPr="0028666F" w14:paraId="1836BC9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CE6630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63</w:t>
            </w:r>
          </w:p>
        </w:tc>
        <w:tc>
          <w:tcPr>
            <w:tcW w:w="970" w:type="dxa"/>
            <w:tcBorders>
              <w:top w:val="nil"/>
              <w:left w:val="nil"/>
              <w:bottom w:val="single" w:sz="4" w:space="0" w:color="auto"/>
              <w:right w:val="nil"/>
            </w:tcBorders>
          </w:tcPr>
          <w:p w14:paraId="6D72E6E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Przemysław Benz</w:t>
            </w:r>
          </w:p>
        </w:tc>
        <w:tc>
          <w:tcPr>
            <w:tcW w:w="165" w:type="dxa"/>
            <w:tcBorders>
              <w:top w:val="nil"/>
              <w:left w:val="nil"/>
              <w:bottom w:val="single" w:sz="4" w:space="0" w:color="auto"/>
              <w:right w:val="single" w:sz="4" w:space="0" w:color="auto"/>
            </w:tcBorders>
            <w:shd w:val="clear" w:color="auto" w:fill="auto"/>
          </w:tcPr>
          <w:p w14:paraId="6C11FFF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994A5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269D2C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r w:rsidRPr="0028666F">
              <w:rPr>
                <w:rFonts w:ascii="Calibri" w:eastAsia="Times New Roman" w:hAnsi="Calibri" w:cs="Calibri"/>
                <w:color w:val="000000"/>
                <w:sz w:val="18"/>
                <w:szCs w:val="18"/>
                <w:lang w:eastAsia="pl-PL"/>
              </w:rPr>
              <w:br/>
              <w:t>Dotyczy retencji i oczyszczania wód opadowych i roztopowych</w:t>
            </w:r>
          </w:p>
        </w:tc>
        <w:tc>
          <w:tcPr>
            <w:tcW w:w="2733" w:type="dxa"/>
            <w:tcBorders>
              <w:top w:val="nil"/>
              <w:left w:val="nil"/>
              <w:bottom w:val="single" w:sz="4" w:space="0" w:color="auto"/>
              <w:right w:val="single" w:sz="4" w:space="0" w:color="auto"/>
            </w:tcBorders>
            <w:shd w:val="clear" w:color="auto" w:fill="auto"/>
            <w:hideMark/>
          </w:tcPr>
          <w:p w14:paraId="76D1B1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3009" w:type="dxa"/>
            <w:tcBorders>
              <w:top w:val="nil"/>
              <w:left w:val="nil"/>
              <w:bottom w:val="single" w:sz="4" w:space="0" w:color="auto"/>
              <w:right w:val="single" w:sz="4" w:space="0" w:color="auto"/>
            </w:tcBorders>
            <w:shd w:val="clear" w:color="auto" w:fill="auto"/>
            <w:hideMark/>
          </w:tcPr>
          <w:p w14:paraId="658327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738D69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63_OsFiz_Odra</w:t>
            </w:r>
          </w:p>
        </w:tc>
        <w:tc>
          <w:tcPr>
            <w:tcW w:w="1014" w:type="dxa"/>
            <w:tcBorders>
              <w:top w:val="nil"/>
              <w:left w:val="nil"/>
              <w:bottom w:val="single" w:sz="4" w:space="0" w:color="auto"/>
              <w:right w:val="single" w:sz="4" w:space="0" w:color="auto"/>
            </w:tcBorders>
            <w:shd w:val="clear" w:color="auto" w:fill="auto"/>
            <w:hideMark/>
          </w:tcPr>
          <w:p w14:paraId="130AB8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671FAC" w14:textId="5BDA35D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dotyczące retencji i zasad odprowadzania wód opadowych i roztopowych zawarte są w katalogu działań krajowych, który obejmuje wszystkie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kraju. I tak w nawiązaniu do uwagi w katalogu krajowym są:</w:t>
            </w:r>
            <w:r w:rsidRPr="0028666F">
              <w:rPr>
                <w:rFonts w:ascii="Calibri" w:eastAsia="Times New Roman" w:hAnsi="Calibri" w:cs="Calibri"/>
                <w:color w:val="000000"/>
                <w:sz w:val="18"/>
                <w:szCs w:val="18"/>
                <w:lang w:eastAsia="pl-PL"/>
              </w:rPr>
              <w:br/>
              <w:t>• działanie Lp. 26 dotyczy „Zrównoważone gospodarowanie wodą opadową i szarą” jest to działanie „nowe”</w:t>
            </w:r>
            <w:r w:rsidRPr="0028666F">
              <w:rPr>
                <w:rFonts w:ascii="Calibri" w:eastAsia="Times New Roman" w:hAnsi="Calibri" w:cs="Calibri"/>
                <w:color w:val="000000"/>
                <w:sz w:val="18"/>
                <w:szCs w:val="18"/>
                <w:lang w:eastAsia="pl-PL"/>
              </w:rPr>
              <w:br/>
              <w:t>• działanie Lp. 54 dotyczące „Spełnienie warunków wprowadzania wód opadowych lub roztopowych do wód, do ziemi lub do urządzeń wodnych”</w:t>
            </w:r>
            <w:r w:rsidRPr="0028666F">
              <w:rPr>
                <w:rFonts w:ascii="Calibri" w:eastAsia="Times New Roman" w:hAnsi="Calibri" w:cs="Calibri"/>
                <w:color w:val="000000"/>
                <w:sz w:val="18"/>
                <w:szCs w:val="18"/>
                <w:lang w:eastAsia="pl-PL"/>
              </w:rPr>
              <w:br/>
              <w:t>• działanie Lp. 55 pt.: „Obowiązek zapewnienia, iż nie są przekroczone wartości dopuszczalne zanieczyszczeń w wodach opadowych lub roztopowych, ujęte w otwarte lub zamknięte systemy kanalizacyjne, pochodzących z zanieczyszczonej powierzchni szczelnej (wymienione w § 17. ust. 1 pkt 1 i 2 wg pr.w.), wprowadzanych do wód lub do urządzeń wodnych”</w:t>
            </w:r>
            <w:r w:rsidRPr="0028666F">
              <w:rPr>
                <w:rFonts w:ascii="Calibri" w:eastAsia="Times New Roman" w:hAnsi="Calibri" w:cs="Calibri"/>
                <w:color w:val="000000"/>
                <w:sz w:val="18"/>
                <w:szCs w:val="18"/>
                <w:lang w:eastAsia="pl-PL"/>
              </w:rPr>
              <w:br/>
              <w:t>• działanie Lp. 56 pt.: „Obowiązek zapewnienia, iż wprowadzanie wód opadowych z istniejących przelewów kanalizacji deszczowej do jezior i ich dopływów oraz do innych zbiorników wodnych o ciągłym dopływie lub odpływie wód powierzchniowych, a także do wód znajdujących się w sztucznych zbiornikach wodnych usytuowanych na wodach płynących, jeżeli średnia roczna liczba zrzutów z poszczególnych przelewów kanalizacji deszczowej nie jest większa niż 5”</w:t>
            </w:r>
            <w:r w:rsidRPr="0028666F">
              <w:rPr>
                <w:rFonts w:ascii="Calibri" w:eastAsia="Times New Roman" w:hAnsi="Calibri" w:cs="Calibri"/>
                <w:color w:val="000000"/>
                <w:sz w:val="18"/>
                <w:szCs w:val="18"/>
                <w:lang w:eastAsia="pl-PL"/>
              </w:rPr>
              <w:br/>
              <w:t>• działanie Lp. 57 pt.: „Obowiazek uzyskania pozwolnenia wodnoprawnego na odprowadzanie do wód lub do urządzeń wodnych - wód opadowych lub roztopowych, ujętych w otwarte lub zamknięte systemy kanalizacji deszczowej służące do odprowadzania opadów atmosferycznych albo w systemy kanalizacji zbiorczej w granicach administracyjnych miast”</w:t>
            </w:r>
            <w:r w:rsidRPr="0028666F">
              <w:rPr>
                <w:rFonts w:ascii="Calibri" w:eastAsia="Times New Roman" w:hAnsi="Calibri" w:cs="Calibri"/>
                <w:color w:val="000000"/>
                <w:sz w:val="18"/>
                <w:szCs w:val="18"/>
                <w:lang w:eastAsia="pl-PL"/>
              </w:rPr>
              <w:br/>
              <w:t>• działanie Lp. 106 „Kontrola przestrzegania warunków wprowadzania wód opadowych lub roztopowych do wód, do ziemi lub do urządzeń wodnych”</w:t>
            </w:r>
            <w:r w:rsidRPr="0028666F">
              <w:rPr>
                <w:rFonts w:ascii="Calibri" w:eastAsia="Times New Roman" w:hAnsi="Calibri" w:cs="Calibri"/>
                <w:color w:val="000000"/>
                <w:sz w:val="18"/>
                <w:szCs w:val="18"/>
                <w:lang w:eastAsia="pl-PL"/>
              </w:rPr>
              <w:br/>
              <w:t>Zatem działania wspomniane w uwadze powinny być realizowane zgodnie z obowiązującymi przepisami, a społeczny udział w kontroli egzekwowania tych przepisów jest ważnym i cennym uzupełnieniem państwowego systemu nadzoru i kontroli ww. działań.</w:t>
            </w:r>
          </w:p>
        </w:tc>
      </w:tr>
      <w:tr w:rsidR="007C2B40" w:rsidRPr="0028666F" w14:paraId="095A48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6ED9BB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64</w:t>
            </w:r>
          </w:p>
        </w:tc>
        <w:tc>
          <w:tcPr>
            <w:tcW w:w="970" w:type="dxa"/>
            <w:tcBorders>
              <w:top w:val="nil"/>
              <w:left w:val="nil"/>
              <w:bottom w:val="single" w:sz="4" w:space="0" w:color="auto"/>
              <w:right w:val="nil"/>
            </w:tcBorders>
          </w:tcPr>
          <w:p w14:paraId="647A769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9238B6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3A758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6023E36" w14:textId="1287759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projektu IIaPGW - ODRA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Plan gospodarowania wodami w dorzeczu (dalej PGW) jest głównym dokumentem planistycznym, na podstawie którego paostwa członkowskie mają osiągnąd wyznaczone tam cele środowiskowe dla wód i obszarów chronionych od wód zależnych. Cele środowiskowe zgodnie z Ramową Dyrektywą Wodną (RDW) powinny byd co do zasady osiągnięte do 2027 r. Aby to zrealizowad plany wskazują na presje oraz sposoby ich likwidacji poprzez realizacje działao ochronnych. Wskazane są też odstępstwa od celów dyrektywy dla konkretnych części wód – te musza byd jednak właściwie uzasadnione i opisane, w sposób nie budzący zastrzeżeo. Projekt PGW i każda jego aktualizacja powinna podlegad przynajmniej półrocznym konsultacjom </w:t>
            </w:r>
            <w:r w:rsidRPr="0028666F">
              <w:rPr>
                <w:rFonts w:ascii="Calibri" w:eastAsia="Times New Roman" w:hAnsi="Calibri" w:cs="Calibri"/>
                <w:color w:val="000000"/>
                <w:sz w:val="18"/>
                <w:szCs w:val="18"/>
                <w:lang w:eastAsia="pl-PL"/>
              </w:rPr>
              <w:lastRenderedPageBreak/>
              <w:t>społecznym, a proces ten powinien byd przejrzysty, umożliwiający rzeczywisty i skuteczny udział. Paostwa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Odry, a sam proces udziału społecznego budzi wiele zastrzeżeo. Bez wyraźnych zmian w dokumentach i poprawienia możliwości udziału społeczeostwa w jego ustanowieniu dokument ten nie spełni swojej podstawowej funkcji – osiągnięcia celów środowiskowych w zgodzie z Ramową Dyrektywą Wodną. Należy mied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w zakresie wszystkich wymagao (stan wód określono w nich jako dobry).</w:t>
            </w:r>
            <w:r w:rsidRPr="0028666F">
              <w:rPr>
                <w:rFonts w:ascii="Calibri" w:eastAsia="Times New Roman" w:hAnsi="Calibri" w:cs="Calibri"/>
                <w:color w:val="000000"/>
                <w:sz w:val="18"/>
                <w:szCs w:val="18"/>
                <w:lang w:eastAsia="pl-PL"/>
              </w:rPr>
              <w:br w:type="page"/>
              <w:t>W kolejnych uwagach przedstawiono szczegółowe odniesienia do ww. obszarów problemowych.</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F199B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Uwzględnienie zastrzeżeo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247216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PGW muszą w sposób uzasadniony przedstawiad i legalizowad podział wód, cele środowiskowe, rozpoznanie presji i dobór środków je likwidujących lub łagodzących. Wszelkie odstępstwa od osiągnięcia lub obniżenia celów środowiskowych muszą byd indywidualnie opisane i byd weryfikowalne. PGW musi gwarantowad wykonanie działao zapobiegających presji (środków) i kontrolę ich postępu. Wreszcie </w:t>
            </w:r>
            <w:r w:rsidRPr="0028666F">
              <w:rPr>
                <w:rFonts w:ascii="Calibri" w:eastAsia="Times New Roman" w:hAnsi="Calibri" w:cs="Calibri"/>
                <w:color w:val="000000"/>
                <w:sz w:val="18"/>
                <w:szCs w:val="18"/>
                <w:lang w:eastAsia="pl-PL"/>
              </w:rPr>
              <w:lastRenderedPageBreak/>
              <w:t>powinien byd zapewniony udział społeczeostwa zgodny z zapisami RDW, a Paostwo powinno zachęcad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47E5F7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SOT_NieTylkoDlaOrłów_Odra</w:t>
            </w:r>
          </w:p>
        </w:tc>
        <w:tc>
          <w:tcPr>
            <w:tcW w:w="1014" w:type="dxa"/>
            <w:tcBorders>
              <w:top w:val="nil"/>
              <w:left w:val="nil"/>
              <w:bottom w:val="single" w:sz="4" w:space="0" w:color="auto"/>
              <w:right w:val="single" w:sz="4" w:space="0" w:color="auto"/>
            </w:tcBorders>
            <w:shd w:val="clear" w:color="auto" w:fill="auto"/>
            <w:hideMark/>
          </w:tcPr>
          <w:p w14:paraId="5C6464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70B8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7D5585E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9FD00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65</w:t>
            </w:r>
          </w:p>
        </w:tc>
        <w:tc>
          <w:tcPr>
            <w:tcW w:w="970" w:type="dxa"/>
            <w:tcBorders>
              <w:top w:val="nil"/>
              <w:left w:val="nil"/>
              <w:bottom w:val="single" w:sz="4" w:space="0" w:color="auto"/>
              <w:right w:val="nil"/>
            </w:tcBorders>
          </w:tcPr>
          <w:p w14:paraId="78FC6A1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067EF47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F7603E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D807A00" w14:textId="0EF1E63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Niedopuszczalna była nagła i znacząca zmiana zapisów projektów IIaPGW jedynie na dwa tygodnie przed koocem „przynajmniej półrocznych” konsultacji w trybie przepisów RDW (30 września – publikacja zmian; 14 października – koniec konsultacji). Termin ten bezwzględnie powinien być przedłużony.</w:t>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i kolejną w ciągu przeznaczonych do ochrony gatunków zwierząt wodnych o znaczeniu gospodarczym i kolejną w ciągu propozycję projektu VI aKPOŚK. Zmiany wymagają m.in. ponownej analizy działao zaplanowanych w dorzeczach, a odnoszących się do</w:t>
            </w:r>
            <w:r w:rsidRPr="0028666F">
              <w:rPr>
                <w:rFonts w:ascii="Calibri" w:eastAsia="Times New Roman" w:hAnsi="Calibri" w:cs="Calibri"/>
                <w:color w:val="000000"/>
                <w:sz w:val="18"/>
                <w:szCs w:val="18"/>
                <w:lang w:eastAsia="pl-PL"/>
              </w:rPr>
              <w:br/>
              <w:t>udrożnieo budowli piętrzących oraz do konkretnych zapisów głównie uszczuplających zestaw działao likwidujących presje zanieczyszczeo komunalnych.</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działao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działao poprawiających ich drożnośd (Zał. 4 do „erraty” wcześniej zał. 1 do zał. 7 IIaPGW). Społeczeostwo zostało zmuszone do dokonania ponownej weryfikacji tego zestawienia (obecnie 2220 działao na konkretnych budowlach), chodby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 xml:space="preserve">Wszystkie ww. zmiany są znaczące i powinny byd weryfikowalne </w:t>
            </w:r>
            <w:r w:rsidRPr="0028666F">
              <w:rPr>
                <w:rFonts w:ascii="Calibri" w:eastAsia="Times New Roman" w:hAnsi="Calibri" w:cs="Calibri"/>
                <w:color w:val="000000"/>
                <w:sz w:val="18"/>
                <w:szCs w:val="18"/>
                <w:lang w:eastAsia="pl-PL"/>
              </w:rPr>
              <w:lastRenderedPageBreak/>
              <w:t>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44D53D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działao z kategorii gospodarka ściekowa na możliwośd osiągnięcia celów RDW.</w:t>
            </w:r>
            <w:r w:rsidRPr="0028666F">
              <w:rPr>
                <w:rFonts w:ascii="Calibri" w:eastAsia="Times New Roman" w:hAnsi="Calibri" w:cs="Calibri"/>
                <w:color w:val="000000"/>
                <w:sz w:val="18"/>
                <w:szCs w:val="18"/>
                <w:lang w:eastAsia="pl-PL"/>
              </w:rPr>
              <w:br/>
              <w:t>Minimalny termin pozwalający na chodby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43B749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w:t>
            </w:r>
            <w:r w:rsidRPr="0028666F">
              <w:rPr>
                <w:rFonts w:ascii="Calibri" w:eastAsia="Times New Roman" w:hAnsi="Calibri" w:cs="Calibri"/>
                <w:color w:val="000000"/>
                <w:sz w:val="18"/>
                <w:szCs w:val="18"/>
                <w:lang w:eastAsia="pl-PL"/>
              </w:rPr>
              <w:br/>
              <w:t xml:space="preserve">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społeczeostwo ma się do tych zagadnieo odnieśd jedynie w dwa tygodnie? Termin publikacji rozporządzenia mógł byd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w:t>
            </w:r>
            <w:r w:rsidRPr="0028666F">
              <w:rPr>
                <w:rFonts w:ascii="Calibri" w:eastAsia="Times New Roman" w:hAnsi="Calibri" w:cs="Calibri"/>
                <w:color w:val="000000"/>
                <w:sz w:val="18"/>
                <w:szCs w:val="18"/>
                <w:lang w:eastAsia="pl-PL"/>
              </w:rPr>
              <w:lastRenderedPageBreak/>
              <w:t xml:space="preserve">br.) ponowne konsultacje.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698DAD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SOT_NieTylkoDlaOrłów_Odra</w:t>
            </w:r>
          </w:p>
        </w:tc>
        <w:tc>
          <w:tcPr>
            <w:tcW w:w="1014" w:type="dxa"/>
            <w:tcBorders>
              <w:top w:val="nil"/>
              <w:left w:val="nil"/>
              <w:bottom w:val="single" w:sz="4" w:space="0" w:color="auto"/>
              <w:right w:val="single" w:sz="4" w:space="0" w:color="auto"/>
            </w:tcBorders>
            <w:shd w:val="clear" w:color="auto" w:fill="auto"/>
            <w:hideMark/>
          </w:tcPr>
          <w:p w14:paraId="7B3649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CB881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t xml:space="preserve">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w:t>
            </w:r>
            <w:r w:rsidRPr="0028666F">
              <w:rPr>
                <w:rFonts w:ascii="Calibri" w:eastAsia="Times New Roman" w:hAnsi="Calibri" w:cs="Calibri"/>
                <w:color w:val="000000"/>
                <w:sz w:val="18"/>
                <w:szCs w:val="18"/>
                <w:lang w:eastAsia="pl-PL"/>
              </w:rPr>
              <w:lastRenderedPageBreak/>
              <w:t>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2. Konsultacje społeczne w ramach SOOŚ wymagane ustawą o udostępnianiu informacji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t>W związku z przygotowaniem i przeprowadzeniem konsultacji społecznych zgodnie</w:t>
            </w:r>
            <w:r w:rsidRPr="0028666F">
              <w:rPr>
                <w:rFonts w:ascii="Calibri" w:eastAsia="Times New Roman" w:hAnsi="Calibri" w:cs="Calibri"/>
                <w:color w:val="000000"/>
                <w:sz w:val="18"/>
                <w:szCs w:val="18"/>
                <w:lang w:eastAsia="pl-PL"/>
              </w:rPr>
              <w:br/>
              <w:t>z przepisami prawa oraz przy zapewnieniu możliwie pełnego i aktywnego udziału społeczeństwa</w:t>
            </w:r>
            <w:r w:rsidRPr="0028666F">
              <w:rPr>
                <w:rFonts w:ascii="Calibri" w:eastAsia="Times New Roman" w:hAnsi="Calibri" w:cs="Calibri"/>
                <w:color w:val="000000"/>
                <w:sz w:val="18"/>
                <w:szCs w:val="18"/>
                <w:lang w:eastAsia="pl-PL"/>
              </w:rPr>
              <w:br/>
              <w:t xml:space="preserve">w konsultacjach społecznych (pomimo utrudnień </w:t>
            </w:r>
            <w:r w:rsidRPr="0028666F">
              <w:rPr>
                <w:rFonts w:ascii="Calibri" w:eastAsia="Times New Roman" w:hAnsi="Calibri" w:cs="Calibri"/>
                <w:color w:val="000000"/>
                <w:sz w:val="18"/>
                <w:szCs w:val="18"/>
                <w:lang w:eastAsia="pl-PL"/>
              </w:rPr>
              <w:lastRenderedPageBreak/>
              <w:t>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Jednocześnie zwracamy uwagę, iż zainteresowane strony miały możliwość zapoznania się</w:t>
            </w:r>
            <w:r w:rsidRPr="0028666F">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32D1C63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4FFA85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66</w:t>
            </w:r>
          </w:p>
        </w:tc>
        <w:tc>
          <w:tcPr>
            <w:tcW w:w="970" w:type="dxa"/>
            <w:tcBorders>
              <w:top w:val="nil"/>
              <w:left w:val="nil"/>
              <w:bottom w:val="single" w:sz="4" w:space="0" w:color="auto"/>
              <w:right w:val="nil"/>
            </w:tcBorders>
          </w:tcPr>
          <w:p w14:paraId="6EEA0A5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239A90C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B1FE7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67CB8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Zgodnie z komunikatem na stronie internetowej poświęconej konsultacjom IIaPGW https://apgw.gov.pl/ z kooca września 2021 r. od 30 września miały być opublikowane prognozy ooś oraz projekty IIaPGW wraz z „erratami” i do tych wszystkich dokumentów można składać uwagi do 20 października. Jednak juz 1 października opublikowano inny komunikat, że to ostatni dzwonek, by wziąd udział w konsultacjach społecznych w ramach drugiej</w:t>
            </w:r>
            <w:r w:rsidRPr="0028666F">
              <w:rPr>
                <w:rFonts w:ascii="Calibri" w:eastAsia="Times New Roman" w:hAnsi="Calibri" w:cs="Calibri"/>
                <w:color w:val="000000"/>
                <w:sz w:val="18"/>
                <w:szCs w:val="18"/>
                <w:lang w:eastAsia="pl-PL"/>
              </w:rPr>
              <w:br/>
              <w:t>aktualizacji planów gospodarowania wodami, które trwają tylko do 14 października”.</w:t>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składad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29AFD4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wyjaśnid różnice pomiędzy oboma procesami konsultacji (szczególnie co do losu i skutków składanych uwag i wniosków), zintegrowad je tak bardzo jak to tylko możliwe. Powinny mied wspólny, przedłużony czas konsultacji przynajmniej do 31 października. Powinno zostad jednoznacznie wyjaśnione, czy uwagi złożone w jednym z procesów będą brane pod uwagę w obu procedurach, czy trzeba powielad składanie uwag w obu procesach.</w:t>
            </w:r>
          </w:p>
        </w:tc>
        <w:tc>
          <w:tcPr>
            <w:tcW w:w="3009" w:type="dxa"/>
            <w:tcBorders>
              <w:top w:val="nil"/>
              <w:left w:val="nil"/>
              <w:bottom w:val="single" w:sz="4" w:space="0" w:color="auto"/>
              <w:right w:val="single" w:sz="4" w:space="0" w:color="auto"/>
            </w:tcBorders>
            <w:shd w:val="clear" w:color="auto" w:fill="auto"/>
            <w:hideMark/>
          </w:tcPr>
          <w:p w14:paraId="5980B3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składad, na jakich formularzach i jakie to ma konsekwencje – który tryb jest ważniejszy i czy uwagi trzeba złożyd dwukrotnie.</w:t>
            </w:r>
            <w:r w:rsidRPr="0028666F">
              <w:rPr>
                <w:rFonts w:ascii="Calibri" w:eastAsia="Times New Roman" w:hAnsi="Calibri" w:cs="Calibri"/>
                <w:color w:val="000000"/>
                <w:sz w:val="18"/>
                <w:szCs w:val="18"/>
                <w:lang w:eastAsia="pl-PL"/>
              </w:rPr>
              <w:br/>
              <w:t>Jedynym rozwiązaniem jest ujednolicenie trybu składania uwag i rozszerzenie terminów ich składania.</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zostad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396848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0AE88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AB5B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t xml:space="preserve">1. Półroczne konsultacje społeczne projektów IIaPGW (sześciomiesięczne) wynikające z przepisów Ramowej Dyrektywy Wodnej (2000/60/WE) oraz ustawy pr.w. – mają na celu zaangażowanie wszystkich zainteresowanych stron do aktywnego udziału w opracowywaniu, przeglądzie i </w:t>
            </w:r>
            <w:r w:rsidRPr="0028666F">
              <w:rPr>
                <w:rFonts w:ascii="Calibri" w:eastAsia="Times New Roman" w:hAnsi="Calibri" w:cs="Calibri"/>
                <w:color w:val="000000"/>
                <w:sz w:val="18"/>
                <w:szCs w:val="18"/>
                <w:lang w:eastAsia="pl-PL"/>
              </w:rPr>
              <w:lastRenderedPageBreak/>
              <w:t>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 xml:space="preserve">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w:t>
            </w:r>
            <w:r w:rsidRPr="0028666F">
              <w:rPr>
                <w:rFonts w:ascii="Calibri" w:eastAsia="Times New Roman" w:hAnsi="Calibri" w:cs="Calibri"/>
                <w:color w:val="000000"/>
                <w:sz w:val="18"/>
                <w:szCs w:val="18"/>
                <w:lang w:eastAsia="pl-PL"/>
              </w:rPr>
              <w:lastRenderedPageBreak/>
              <w:t>zostały do publicznej wiadomości w dniu 30.09.2021 r.</w:t>
            </w:r>
            <w:r w:rsidRPr="0028666F">
              <w:rPr>
                <w:rFonts w:ascii="Calibri" w:eastAsia="Times New Roman" w:hAnsi="Calibri" w:cs="Calibri"/>
                <w:color w:val="000000"/>
                <w:sz w:val="18"/>
                <w:szCs w:val="18"/>
                <w:lang w:eastAsia="pl-PL"/>
              </w:rPr>
              <w:br/>
              <w:t>2. Konsultacje społeczne w ramach SOOŚ wymagane ustawą o udostępnianiu informacji</w:t>
            </w:r>
            <w:r w:rsidRPr="0028666F">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t>W związku z przygotowaniem i przeprowadzeniem konsultacji społecznych zgodnie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z przepisami prawa oraz przy zapewnieniu możliwie pełnego i aktywnego udziału społeczeństwa</w:t>
            </w:r>
            <w:r w:rsidRPr="0028666F">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Jednocześnie zwracamy uwagę, iż zainteresowane strony miały możliwość zapoznania się</w:t>
            </w:r>
            <w:r w:rsidRPr="0028666F">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6AB4B8D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4AEE00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67</w:t>
            </w:r>
          </w:p>
        </w:tc>
        <w:tc>
          <w:tcPr>
            <w:tcW w:w="970" w:type="dxa"/>
            <w:tcBorders>
              <w:top w:val="nil"/>
              <w:left w:val="nil"/>
              <w:bottom w:val="single" w:sz="4" w:space="0" w:color="auto"/>
              <w:right w:val="nil"/>
            </w:tcBorders>
          </w:tcPr>
          <w:p w14:paraId="33D4A25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7F65AA5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A45B72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F905FA8" w14:textId="23F51C9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sied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podkreślid, że stworzenie bazy danych czy nawet zobrazowanie warstw GIS było możliwe, na co wskazuje chodby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 xml:space="preserve">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częśd danych przestrzennych chod jest w ich posiadaniu, nie zostanie udostępnionych (sied monitoringu). Jest to naruszenie przepisów </w:t>
            </w:r>
            <w:r w:rsidRPr="0028666F">
              <w:rPr>
                <w:rFonts w:ascii="Calibri" w:eastAsia="Times New Roman" w:hAnsi="Calibri" w:cs="Calibri"/>
                <w:color w:val="000000"/>
                <w:sz w:val="18"/>
                <w:szCs w:val="18"/>
                <w:lang w:eastAsia="pl-PL"/>
              </w:rPr>
              <w:lastRenderedPageBreak/>
              <w:t>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40B2A00D" w14:textId="6071121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wyznaczaniu wód „nienaturalnych” (SZCW i SCW) dane te powinny byd upowszechnione na ogólnodostępnej platformie (jak w przypadku konsultacji aPZRP) oraz dostępne na wniosek.</w:t>
            </w:r>
          </w:p>
        </w:tc>
        <w:tc>
          <w:tcPr>
            <w:tcW w:w="3009" w:type="dxa"/>
            <w:tcBorders>
              <w:top w:val="nil"/>
              <w:left w:val="nil"/>
              <w:bottom w:val="single" w:sz="4" w:space="0" w:color="auto"/>
              <w:right w:val="single" w:sz="4" w:space="0" w:color="auto"/>
            </w:tcBorders>
            <w:shd w:val="clear" w:color="auto" w:fill="auto"/>
            <w:hideMark/>
          </w:tcPr>
          <w:p w14:paraId="1FB2DB68" w14:textId="1512B11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czy działao ochronnych) znacząco obniża jakośd konsultacji publicznych. Uwaga składana wielokrotnie m.in. w trakcie spotkao konsultacyjnych nie doczekała się żadnej reakcji.</w:t>
            </w:r>
            <w:r w:rsidRPr="0028666F">
              <w:rPr>
                <w:rFonts w:ascii="Calibri" w:eastAsia="Times New Roman" w:hAnsi="Calibri" w:cs="Calibri"/>
                <w:color w:val="000000"/>
                <w:sz w:val="18"/>
                <w:szCs w:val="18"/>
                <w:lang w:eastAsia="pl-PL"/>
              </w:rPr>
              <w:br/>
              <w:t>Mapy udostępnione wraz z projektem IIaPGW nie są ani czytelne ani możliwe do wykorzystania przez osoby uczestniczące w konsultacjach.</w:t>
            </w:r>
            <w:r w:rsidRPr="0028666F">
              <w:rPr>
                <w:rFonts w:ascii="Calibri" w:eastAsia="Times New Roman" w:hAnsi="Calibri" w:cs="Calibri"/>
                <w:color w:val="000000"/>
                <w:sz w:val="18"/>
                <w:szCs w:val="18"/>
                <w:lang w:eastAsia="pl-PL"/>
              </w:rPr>
              <w:br/>
              <w:t>Działanie Wód Polskich w tym zakresie jest sprzeczne z:</w:t>
            </w:r>
            <w:r w:rsidRPr="0028666F">
              <w:rPr>
                <w:rFonts w:ascii="Calibri" w:eastAsia="Times New Roman" w:hAnsi="Calibri" w:cs="Calibri"/>
                <w:color w:val="000000"/>
                <w:sz w:val="18"/>
                <w:szCs w:val="18"/>
                <w:lang w:eastAsia="pl-PL"/>
              </w:rPr>
              <w:br/>
              <w:t>art. 14 RDW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p>
        </w:tc>
        <w:tc>
          <w:tcPr>
            <w:tcW w:w="1720" w:type="dxa"/>
            <w:tcBorders>
              <w:top w:val="nil"/>
              <w:left w:val="nil"/>
              <w:bottom w:val="single" w:sz="4" w:space="0" w:color="auto"/>
              <w:right w:val="single" w:sz="4" w:space="0" w:color="auto"/>
            </w:tcBorders>
            <w:shd w:val="clear" w:color="000000" w:fill="FFFFFF"/>
            <w:hideMark/>
          </w:tcPr>
          <w:p w14:paraId="2B97DF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C69E0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4E89BFC" w14:textId="17BF19B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obszaerne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w:t>
            </w:r>
            <w:r w:rsidRPr="0028666F">
              <w:rPr>
                <w:rFonts w:ascii="Calibri" w:eastAsia="Times New Roman" w:hAnsi="Calibri" w:cs="Calibri"/>
                <w:color w:val="000000"/>
                <w:sz w:val="18"/>
                <w:szCs w:val="18"/>
                <w:lang w:eastAsia="pl-PL"/>
              </w:rPr>
              <w:lastRenderedPageBreak/>
              <w:t xml:space="preserve">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043698D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23BC9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68</w:t>
            </w:r>
          </w:p>
        </w:tc>
        <w:tc>
          <w:tcPr>
            <w:tcW w:w="970" w:type="dxa"/>
            <w:tcBorders>
              <w:top w:val="nil"/>
              <w:left w:val="nil"/>
              <w:bottom w:val="single" w:sz="4" w:space="0" w:color="auto"/>
              <w:right w:val="nil"/>
            </w:tcBorders>
          </w:tcPr>
          <w:p w14:paraId="2007A8D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60E4A60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C252A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FE9B1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projektu IIaPGW - ODRA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nieskooczonych”.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type="page"/>
              <w:t>Takie podejście jest niezgodne z przepisami prawa krajowego i wspólnotowego.</w:t>
            </w:r>
            <w:r w:rsidRPr="0028666F">
              <w:rPr>
                <w:rFonts w:ascii="Calibri" w:eastAsia="Times New Roman" w:hAnsi="Calibri" w:cs="Calibri"/>
                <w:color w:val="000000"/>
                <w:sz w:val="18"/>
                <w:szCs w:val="18"/>
                <w:lang w:eastAsia="pl-PL"/>
              </w:rPr>
              <w:br w:type="page"/>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w:t>
            </w:r>
            <w:r w:rsidRPr="0028666F">
              <w:rPr>
                <w:rFonts w:ascii="Calibri" w:eastAsia="Times New Roman" w:hAnsi="Calibri" w:cs="Calibri"/>
                <w:color w:val="000000"/>
                <w:sz w:val="18"/>
                <w:szCs w:val="18"/>
                <w:lang w:eastAsia="pl-PL"/>
              </w:rPr>
              <w:lastRenderedPageBreak/>
              <w:t>https://circabc.europa.eu/sd/a/0fc804ff-5fe6-4874-8e0d- de3e47637a63/Guidance%20No%208%20- %20Public%20participation%20%28WG%202.9%29.pdf (rozdział 5.2.). Już w 2003 r. wytyczne te precyzowały, że dostęp do materiałów/dokumentów źródłowych powinien byd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stanowid to technicznego problemu (po 18 latach nie powinno stanowid go nadal).</w:t>
            </w:r>
            <w:r w:rsidRPr="0028666F">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mówid o prawidłowym</w:t>
            </w:r>
            <w:r w:rsidRPr="0028666F">
              <w:rPr>
                <w:rFonts w:ascii="Calibri" w:eastAsia="Times New Roman" w:hAnsi="Calibri" w:cs="Calibri"/>
                <w:color w:val="000000"/>
                <w:sz w:val="18"/>
                <w:szCs w:val="18"/>
                <w:lang w:eastAsia="pl-PL"/>
              </w:rPr>
              <w:br w:type="page"/>
              <w:t>Należy bezzwłocznie udostępnid dokumenty źródłowe IIaPGW w domenie publicznej – nawet udostępnienie objętości kilkadziesiąt GB nie stanowi aktualnie żadnego technicznego problemu.</w:t>
            </w:r>
            <w:r w:rsidRPr="0028666F">
              <w:rPr>
                <w:rFonts w:ascii="Calibri" w:eastAsia="Times New Roman" w:hAnsi="Calibri" w:cs="Calibri"/>
                <w:color w:val="000000"/>
                <w:sz w:val="18"/>
                <w:szCs w:val="18"/>
                <w:lang w:eastAsia="pl-PL"/>
              </w:rPr>
              <w:br w:type="page"/>
              <w:t>Jak w treści uwagi.</w:t>
            </w:r>
            <w:r w:rsidRPr="0028666F">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postanowieo Konwencji Aarhus i Dyrektywy 2003/4/WE, a co za tym idzie, również ustawy ooś (Dz. U. 2008 Nr 199 poz. 1227 z późn. zm.) i ustawy o dostępie do informacji publicznej.</w:t>
            </w:r>
            <w:r w:rsidRPr="0028666F">
              <w:rPr>
                <w:rFonts w:ascii="Calibri" w:eastAsia="Times New Roman" w:hAnsi="Calibri" w:cs="Calibri"/>
                <w:color w:val="000000"/>
                <w:sz w:val="18"/>
                <w:szCs w:val="18"/>
                <w:lang w:eastAsia="pl-PL"/>
              </w:rPr>
              <w:br w:type="page"/>
              <w:t>przeprowadzeniu konsultacji publicznych. Szczególnie traktowanie tych dokumentów jako nieskooczonych (możliwe zastosowanie odmowy udostępnienia z art. 16 uoś), a mimo tego przygotowanych do obowiązkowych półrocznych konsultacji publicznych (wymienione w projekcie IIaPGW) powoduje, że konsultacje te nie mogą byd uznane za przeprowadzone w trybie art. 14 ust. 1 RDW.</w:t>
            </w:r>
            <w:r w:rsidRPr="0028666F">
              <w:rPr>
                <w:rFonts w:ascii="Calibri" w:eastAsia="Times New Roman" w:hAnsi="Calibri" w:cs="Calibri"/>
                <w:color w:val="000000"/>
                <w:sz w:val="18"/>
                <w:szCs w:val="18"/>
                <w:lang w:eastAsia="pl-PL"/>
              </w:rPr>
              <w:br w:type="page"/>
              <w:t>Odnieśd można wrażenie, że nieopublikowanie dokumentów w domenie publicznej to celowe ograniczanie udziału interesariuszy. Warto w tym miejscu przytoczyd słowa Dyrektora Departamentu Zarządzania Środowiskiem Wodnym Przemysława Gruszeckiego wygłoszone na spotkaniu konsultacyjnym w Zielonej Górze, że dokumenty źródłowe są udostępniane na indywidualny wniosek, ale nie mogą podlegad dalszemu rozpowszechnianiu nawet w niezmienionej formie, gdyż Wody Polskie „muszą wiedzied jak te dokumenty krążą”.</w:t>
            </w:r>
          </w:p>
        </w:tc>
        <w:tc>
          <w:tcPr>
            <w:tcW w:w="2733" w:type="dxa"/>
            <w:tcBorders>
              <w:top w:val="nil"/>
              <w:left w:val="nil"/>
              <w:bottom w:val="single" w:sz="4" w:space="0" w:color="auto"/>
              <w:right w:val="single" w:sz="4" w:space="0" w:color="auto"/>
            </w:tcBorders>
            <w:shd w:val="clear" w:color="auto" w:fill="auto"/>
            <w:hideMark/>
          </w:tcPr>
          <w:p w14:paraId="033923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Należy bezzwłocznie udostępnid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421963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postanowieo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630861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539C18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6757C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ype="page"/>
              <w:t xml:space="preserve">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w:t>
            </w:r>
            <w:r w:rsidRPr="0028666F">
              <w:rPr>
                <w:rFonts w:ascii="Calibri" w:eastAsia="Times New Roman" w:hAnsi="Calibri" w:cs="Calibri"/>
                <w:color w:val="000000"/>
                <w:sz w:val="18"/>
                <w:szCs w:val="18"/>
                <w:lang w:eastAsia="pl-PL"/>
              </w:rPr>
              <w:lastRenderedPageBreak/>
              <w:t>oddziaływania na środowisko (tekst jednolity Dz. U. z 2021 r.poz. 247, ze zm.).</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7DA547D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D913AA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69</w:t>
            </w:r>
          </w:p>
        </w:tc>
        <w:tc>
          <w:tcPr>
            <w:tcW w:w="970" w:type="dxa"/>
            <w:tcBorders>
              <w:top w:val="nil"/>
              <w:left w:val="nil"/>
              <w:bottom w:val="single" w:sz="4" w:space="0" w:color="auto"/>
              <w:right w:val="nil"/>
            </w:tcBorders>
          </w:tcPr>
          <w:p w14:paraId="07830EE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9DE7F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D94F1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6BCC0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Niezrozumiałe jest przedstawienie do konsultacji formularza utrudniającego składanie większej ilości uwag., przy jednoczesnej sugestii, że to jedyny sposób składania uwag pocztą e-mail. Uwagi mają byd złożone w formularzu tekstowym, jedna pod drugą: UWAGA, PROPONOWANE ZMIANY i UZASADNIENIE. Aby złożyd więcej uwag, należy kopiowad pola. Lepszym, bardziej przyjaznym użytkownikom i wcześniej praktykowanym przez Wody Polskie sposobem było składanie uwag na formularzu w formie tabeli – z ww. tematycznymi kolumnami.</w:t>
            </w:r>
          </w:p>
        </w:tc>
        <w:tc>
          <w:tcPr>
            <w:tcW w:w="2733" w:type="dxa"/>
            <w:tcBorders>
              <w:top w:val="nil"/>
              <w:left w:val="nil"/>
              <w:bottom w:val="single" w:sz="4" w:space="0" w:color="auto"/>
              <w:right w:val="single" w:sz="4" w:space="0" w:color="auto"/>
            </w:tcBorders>
            <w:shd w:val="clear" w:color="auto" w:fill="auto"/>
            <w:hideMark/>
          </w:tcPr>
          <w:p w14:paraId="7223C5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Umożliwić składanie uwag również w innych formach niż załączony na stronach konsultacji formularz, w tym w formie tabelarycznej. Stosowna informacja powinna znaleźd się na stronie https://apgw.gov.pl/pl/konsultacje</w:t>
            </w:r>
          </w:p>
        </w:tc>
        <w:tc>
          <w:tcPr>
            <w:tcW w:w="3009" w:type="dxa"/>
            <w:tcBorders>
              <w:top w:val="nil"/>
              <w:left w:val="nil"/>
              <w:bottom w:val="single" w:sz="4" w:space="0" w:color="auto"/>
              <w:right w:val="single" w:sz="4" w:space="0" w:color="auto"/>
            </w:tcBorders>
            <w:shd w:val="clear" w:color="auto" w:fill="auto"/>
            <w:hideMark/>
          </w:tcPr>
          <w:p w14:paraId="616EB1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6E95D5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053173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5356D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projektów IIaPGW wraz z załącznikami.</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7C2B40" w:rsidRPr="0028666F" w14:paraId="2F2B141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8C0EA5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70</w:t>
            </w:r>
          </w:p>
        </w:tc>
        <w:tc>
          <w:tcPr>
            <w:tcW w:w="970" w:type="dxa"/>
            <w:tcBorders>
              <w:top w:val="nil"/>
              <w:left w:val="nil"/>
              <w:bottom w:val="single" w:sz="4" w:space="0" w:color="auto"/>
              <w:right w:val="nil"/>
            </w:tcBorders>
          </w:tcPr>
          <w:p w14:paraId="2BEA646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5A1B36C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11195A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AA749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7EC1CD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dane z poprzedniego okresu planistycznego, dostępne pod starym adresem konsultacji www.apgw.kzgw.gov.pl</w:t>
            </w:r>
          </w:p>
        </w:tc>
        <w:tc>
          <w:tcPr>
            <w:tcW w:w="3009" w:type="dxa"/>
            <w:tcBorders>
              <w:top w:val="nil"/>
              <w:left w:val="nil"/>
              <w:bottom w:val="single" w:sz="4" w:space="0" w:color="auto"/>
              <w:right w:val="single" w:sz="4" w:space="0" w:color="auto"/>
            </w:tcBorders>
            <w:shd w:val="clear" w:color="auto" w:fill="auto"/>
            <w:hideMark/>
          </w:tcPr>
          <w:p w14:paraId="6BF00A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2D866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2DB4A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B31B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[https://apgw.gov.pl/pl/II-cykl-informacje-ogolne](../../../pl/II-cykl-informacje-ogolne); [https://apgw.gov.pl/pl/II-cykl-konsultacje-spoleczne](../../../pl/II-cykl-konsultacje-spoleczne); [https://apgw.gov.pl/pl/II-cykl-materialy-do-pobrania](../../../pl/II-cykl-materialy-do-pobrania).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4C16DF5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AE9C4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71</w:t>
            </w:r>
          </w:p>
        </w:tc>
        <w:tc>
          <w:tcPr>
            <w:tcW w:w="970" w:type="dxa"/>
            <w:tcBorders>
              <w:top w:val="nil"/>
              <w:left w:val="nil"/>
              <w:bottom w:val="single" w:sz="4" w:space="0" w:color="auto"/>
              <w:right w:val="nil"/>
            </w:tcBorders>
          </w:tcPr>
          <w:p w14:paraId="1FAD6B0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5AEF468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8718D3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74397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67283F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dane z poprzedniego okresu planistycznego, dostępne pod starym adresem konsultacji www.apgw.kzgw.gov.pl</w:t>
            </w:r>
          </w:p>
        </w:tc>
        <w:tc>
          <w:tcPr>
            <w:tcW w:w="3009" w:type="dxa"/>
            <w:tcBorders>
              <w:top w:val="nil"/>
              <w:left w:val="nil"/>
              <w:bottom w:val="single" w:sz="4" w:space="0" w:color="auto"/>
              <w:right w:val="single" w:sz="4" w:space="0" w:color="auto"/>
            </w:tcBorders>
            <w:shd w:val="clear" w:color="auto" w:fill="auto"/>
            <w:hideMark/>
          </w:tcPr>
          <w:p w14:paraId="0E0E96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09D30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094C29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9DA05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76A6C23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482A4A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72</w:t>
            </w:r>
          </w:p>
        </w:tc>
        <w:tc>
          <w:tcPr>
            <w:tcW w:w="970" w:type="dxa"/>
            <w:tcBorders>
              <w:top w:val="nil"/>
              <w:left w:val="nil"/>
              <w:bottom w:val="single" w:sz="4" w:space="0" w:color="auto"/>
              <w:right w:val="nil"/>
            </w:tcBorders>
          </w:tcPr>
          <w:p w14:paraId="42F3A6A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184C7A6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8FFB9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587A9CB" w14:textId="0A22E6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w:t>
            </w:r>
            <w:r w:rsidRPr="0028666F">
              <w:rPr>
                <w:rFonts w:ascii="Calibri" w:eastAsia="Times New Roman" w:hAnsi="Calibri" w:cs="Calibri"/>
                <w:color w:val="000000"/>
                <w:sz w:val="18"/>
                <w:szCs w:val="18"/>
                <w:lang w:eastAsia="pl-PL"/>
              </w:rPr>
              <w:lastRenderedPageBreak/>
              <w:t xml:space="preserve">tych zabiegów średnia długośd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Zarządzanie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jest bardzo mało efektywna. Przyczyna takiego podejścia (takich zmian), nie została wyjaśniona w projekcie IIaPGW.</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zostad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zostad poddane pełnej kontroli publicznej. Nawet jeśli któryś z dokumentów, na podstawie którego dokonano zmian, był przedstawiony do konsultacji publicznych, to informacja o ich wynikach powinna znaleźd się w projekcie IIaPGW. Nie powinno się też wykluczad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10898CB1" w14:textId="6159C26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zweryfikowad zasadnośd wyłączeo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zweryfikowad </w:t>
            </w:r>
            <w:r w:rsidR="00370EC8">
              <w:rPr>
                <w:rFonts w:ascii="Calibri" w:eastAsia="Times New Roman" w:hAnsi="Calibri" w:cs="Calibri"/>
                <w:color w:val="000000"/>
                <w:sz w:val="18"/>
                <w:szCs w:val="18"/>
                <w:lang w:eastAsia="pl-PL"/>
              </w:rPr>
              <w:lastRenderedPageBreak/>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Zweryfikowad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byd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07E721C5" w14:textId="46E72A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t>
            </w:r>
            <w:r w:rsidRPr="0028666F">
              <w:rPr>
                <w:rFonts w:ascii="Calibri" w:eastAsia="Times New Roman" w:hAnsi="Calibri" w:cs="Calibri"/>
                <w:color w:val="000000"/>
                <w:sz w:val="18"/>
                <w:szCs w:val="18"/>
                <w:lang w:eastAsia="pl-PL"/>
              </w:rPr>
              <w:lastRenderedPageBreak/>
              <w:t xml:space="preserve">mogły byd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częśd wód. IIaPGW powinno zawierad dowód, że za nowym podziałem stoją racjonalne przesłanki, inne niż np. oszczędności na rozbudowie sieci monitoringowej i chęd realizacji większej ilości przedsięwzięć wykazujących presje na wody - znacząco negatywnie oddziałujących na stan wód i obszary chronione zależne od wód. Dziwnym zbiegiem okoliczności, nagle żadne z przedsięwzięd spełniających według Wód Polskich warunki derogacji art. 4.7 nie wykazuje negatywnych oddziaływao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niż te, na których jest czy ma byd położone.</w:t>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„giganty” o długościach łącznych powyżej 200 km, a także bardzo długie odcinki pojedynczych cieków, których monitorowanie w jednym miejscu (punkcie) jest kompletnie niemiarodajne.</w:t>
            </w:r>
          </w:p>
        </w:tc>
        <w:tc>
          <w:tcPr>
            <w:tcW w:w="1720" w:type="dxa"/>
            <w:tcBorders>
              <w:top w:val="nil"/>
              <w:left w:val="nil"/>
              <w:bottom w:val="single" w:sz="4" w:space="0" w:color="auto"/>
              <w:right w:val="single" w:sz="4" w:space="0" w:color="auto"/>
            </w:tcBorders>
            <w:shd w:val="clear" w:color="000000" w:fill="FFFFFF"/>
            <w:hideMark/>
          </w:tcPr>
          <w:p w14:paraId="490730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SOT_NieTylkoDlaOrłów_Odra</w:t>
            </w:r>
          </w:p>
        </w:tc>
        <w:tc>
          <w:tcPr>
            <w:tcW w:w="1014" w:type="dxa"/>
            <w:tcBorders>
              <w:top w:val="nil"/>
              <w:left w:val="nil"/>
              <w:bottom w:val="single" w:sz="4" w:space="0" w:color="auto"/>
              <w:right w:val="single" w:sz="4" w:space="0" w:color="auto"/>
            </w:tcBorders>
            <w:shd w:val="clear" w:color="auto" w:fill="auto"/>
            <w:hideMark/>
          </w:tcPr>
          <w:p w14:paraId="33D3BF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D6B40EE" w14:textId="25B72B0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7371138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675134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73</w:t>
            </w:r>
          </w:p>
        </w:tc>
        <w:tc>
          <w:tcPr>
            <w:tcW w:w="970" w:type="dxa"/>
            <w:tcBorders>
              <w:top w:val="nil"/>
              <w:left w:val="nil"/>
              <w:bottom w:val="single" w:sz="4" w:space="0" w:color="auto"/>
              <w:right w:val="nil"/>
            </w:tcBorders>
          </w:tcPr>
          <w:p w14:paraId="0470F18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7BEF333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28DB1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0EDF55B" w14:textId="6D5AB41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projektu IIaPGW - ODRA</w:t>
            </w:r>
            <w:r w:rsidRPr="0028666F">
              <w:rPr>
                <w:rFonts w:ascii="Calibri" w:eastAsia="Times New Roman" w:hAnsi="Calibri" w:cs="Calibri"/>
                <w:color w:val="000000"/>
                <w:sz w:val="18"/>
                <w:szCs w:val="18"/>
                <w:lang w:eastAsia="pl-PL"/>
              </w:rPr>
              <w:b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w:t>
            </w:r>
            <w:r w:rsidRPr="0028666F">
              <w:rPr>
                <w:rFonts w:ascii="Calibri" w:eastAsia="Times New Roman" w:hAnsi="Calibri" w:cs="Calibri"/>
                <w:color w:val="000000"/>
                <w:sz w:val="18"/>
                <w:szCs w:val="18"/>
                <w:lang w:eastAsia="pl-PL"/>
              </w:rPr>
              <w:br/>
              <w:t>Rozdz. 3, 5.1. oraz 8.1.</w:t>
            </w:r>
            <w:r w:rsidRPr="0028666F">
              <w:rPr>
                <w:rFonts w:ascii="Calibri" w:eastAsia="Times New Roman" w:hAnsi="Calibri" w:cs="Calibri"/>
                <w:color w:val="000000"/>
                <w:sz w:val="18"/>
                <w:szCs w:val="18"/>
                <w:lang w:eastAsia="pl-PL"/>
              </w:rPr>
              <w:br/>
              <w:t>Zał. 3.1. oraz 8.</w:t>
            </w:r>
            <w:r w:rsidRPr="0028666F">
              <w:rPr>
                <w:rFonts w:ascii="Calibri" w:eastAsia="Times New Roman" w:hAnsi="Calibri" w:cs="Calibri"/>
                <w:color w:val="000000"/>
                <w:sz w:val="18"/>
                <w:szCs w:val="18"/>
                <w:lang w:eastAsia="pl-PL"/>
              </w:rPr>
              <w:br/>
              <w:t xml:space="preserve">Zał. mapowe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oznaczad,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33EA7E20" w14:textId="1B884D3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Wyłączyd z wyznaczeo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45F551D7" w14:textId="4678EA5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Takie podejście nie może byd usprawiedliwieniem dla znaczących negatywnych zmian w cennych siedliskach związanych z cofkami niektórych zbiorników wodnych.</w:t>
            </w:r>
          </w:p>
        </w:tc>
        <w:tc>
          <w:tcPr>
            <w:tcW w:w="1720" w:type="dxa"/>
            <w:tcBorders>
              <w:top w:val="nil"/>
              <w:left w:val="nil"/>
              <w:bottom w:val="single" w:sz="4" w:space="0" w:color="auto"/>
              <w:right w:val="single" w:sz="4" w:space="0" w:color="auto"/>
            </w:tcBorders>
            <w:shd w:val="clear" w:color="000000" w:fill="FFFFFF"/>
            <w:hideMark/>
          </w:tcPr>
          <w:p w14:paraId="6F5172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229451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F0F27A8" w14:textId="4DC3E2A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w:t>
            </w:r>
            <w:r w:rsidRPr="0028666F">
              <w:rPr>
                <w:rFonts w:ascii="Calibri" w:eastAsia="Times New Roman" w:hAnsi="Calibri" w:cs="Calibri"/>
                <w:color w:val="000000"/>
                <w:sz w:val="18"/>
                <w:szCs w:val="18"/>
                <w:lang w:eastAsia="pl-PL"/>
              </w:rPr>
              <w:lastRenderedPageBreak/>
              <w:t>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41E27C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406DE0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74</w:t>
            </w:r>
          </w:p>
        </w:tc>
        <w:tc>
          <w:tcPr>
            <w:tcW w:w="970" w:type="dxa"/>
            <w:tcBorders>
              <w:top w:val="nil"/>
              <w:left w:val="nil"/>
              <w:bottom w:val="single" w:sz="4" w:space="0" w:color="auto"/>
              <w:right w:val="nil"/>
            </w:tcBorders>
          </w:tcPr>
          <w:p w14:paraId="2681D2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5D6E6AB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00070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BDD5B8C" w14:textId="2299CD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projektu IIaPGW - ODRA</w:t>
            </w:r>
            <w:r w:rsidRPr="0028666F">
              <w:rPr>
                <w:rFonts w:ascii="Calibri" w:eastAsia="Times New Roman" w:hAnsi="Calibri" w:cs="Calibri"/>
                <w:color w:val="000000"/>
                <w:sz w:val="18"/>
                <w:szCs w:val="18"/>
                <w:lang w:eastAsia="pl-PL"/>
              </w:rPr>
              <w:br w:type="page"/>
              <w:t>Rozdz. 3.1.SZCW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nienaturalnej części wód”, a wszelkie niepewności, w tym brak danych, nie pozwalają na obniżenie wymogów celów środowiskowych (potencjał ekologiczny zamiast stanu).</w:t>
            </w:r>
            <w:r w:rsidRPr="0028666F">
              <w:rPr>
                <w:rFonts w:ascii="Calibri" w:eastAsia="Times New Roman" w:hAnsi="Calibri" w:cs="Calibri"/>
                <w:color w:val="000000"/>
                <w:sz w:val="18"/>
                <w:szCs w:val="18"/>
                <w:lang w:eastAsia="pl-PL"/>
              </w:rPr>
              <w:br w:type="page"/>
              <w:t>Zgodnie z art. 4.3. RDW Paostwa Członkowskie mogą wyznaczyd częśd wód powierzchniowych jako sztucznie lub silnie zmienioną, gdy:</w:t>
            </w:r>
            <w:r w:rsidRPr="0028666F">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wywrzed znaczący niekorzystny wpływ na: środowisko w szerszym znaczeniu; żeglugę, włączając urządzenia portowe, lub rekreację; działalnośd, do której celów woda jest magazynowana, takie jak zaopatrzenie w wodę do spożycia, wytwarzanie prądu lub nawadnianie; regulację wód, zapobieganie powodzi, odwadnianie ziemi; lub inną jednakowo ważną działalnośd człowieka związaną ze zrównoważonym rozwojem;</w:t>
            </w:r>
            <w:r w:rsidRPr="0028666F">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byd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sześd lat.”</w:t>
            </w:r>
            <w:r w:rsidRPr="0028666F">
              <w:rPr>
                <w:rFonts w:ascii="Calibri" w:eastAsia="Times New Roman" w:hAnsi="Calibri" w:cs="Calibri"/>
                <w:color w:val="000000"/>
                <w:sz w:val="18"/>
                <w:szCs w:val="18"/>
                <w:lang w:eastAsia="pl-PL"/>
              </w:rPr>
              <w:br w:type="page"/>
              <w:t>Zgodnie z dokumentem</w:t>
            </w:r>
            <w:r w:rsidRPr="0028666F">
              <w:rPr>
                <w:rFonts w:ascii="Calibri" w:eastAsia="Times New Roman" w:hAnsi="Calibri" w:cs="Calibri"/>
                <w:color w:val="000000"/>
                <w:sz w:val="18"/>
                <w:szCs w:val="18"/>
                <w:lang w:eastAsia="pl-PL"/>
              </w:rPr>
              <w:br w:type="page"/>
              <w:t>DOKUMENT ROBOCZY SŁUŻB KOMISJI Drugie plany gospodarowania wodami w dorzeczu – paostwo członkowskie: Polska –</w:t>
            </w:r>
            <w:r w:rsidRPr="0028666F">
              <w:rPr>
                <w:rFonts w:ascii="Calibri" w:eastAsia="Times New Roman" w:hAnsi="Calibri" w:cs="Calibri"/>
                <w:color w:val="000000"/>
                <w:sz w:val="18"/>
                <w:szCs w:val="18"/>
                <w:lang w:eastAsia="pl-PL"/>
              </w:rPr>
              <w:br w:type="page"/>
              <w:t>- dostępny np. na stronie konsultacji IIaPGW https://www.apgw.gov.pl/pl/news/show/90</w:t>
            </w:r>
            <w:r w:rsidRPr="0028666F">
              <w:rPr>
                <w:rFonts w:ascii="Calibri" w:eastAsia="Times New Roman" w:hAnsi="Calibri" w:cs="Calibri"/>
                <w:color w:val="000000"/>
                <w:sz w:val="18"/>
                <w:szCs w:val="18"/>
                <w:lang w:eastAsia="pl-PL"/>
              </w:rPr>
              <w:br w:type="page"/>
              <w:t>Zalecenie z 2012 r.:</w:t>
            </w:r>
            <w:r w:rsidRPr="0028666F">
              <w:rPr>
                <w:rFonts w:ascii="Calibri" w:eastAsia="Times New Roman" w:hAnsi="Calibri" w:cs="Calibri"/>
                <w:color w:val="000000"/>
                <w:sz w:val="18"/>
                <w:szCs w:val="18"/>
                <w:lang w:eastAsia="pl-PL"/>
              </w:rPr>
              <w:br w:type="page"/>
              <w:t>Wyznaczenie silnie zmienionych jednolitych części wód powinno byd zgodne ze wszystkimi wymogami określonymi w art. 4 ust. 3. W planach gospodarowania wodami w dorzeczach należy położyd szczególny nacisk na ocenę „znaczącego niekorzystnego wpływu” na sposób korzystania z wód lub środowisko naturalne oraz brak „opcji znacznie korzystniejszych środowiskowo”. Jest to konieczne do zapewnienia przejrzystości procesu wyznaczania.</w:t>
            </w:r>
            <w:r w:rsidRPr="0028666F">
              <w:rPr>
                <w:rFonts w:ascii="Calibri" w:eastAsia="Times New Roman" w:hAnsi="Calibri" w:cs="Calibri"/>
                <w:color w:val="000000"/>
                <w:sz w:val="18"/>
                <w:szCs w:val="18"/>
                <w:lang w:eastAsia="pl-PL"/>
              </w:rPr>
              <w:br w:type="page"/>
              <w:t>Powyższe zalecenie zostało wykonane w IIaPGW tylko częściowo.</w:t>
            </w:r>
            <w:r w:rsidRPr="0028666F">
              <w:rPr>
                <w:rFonts w:ascii="Calibri" w:eastAsia="Times New Roman" w:hAnsi="Calibri" w:cs="Calibri"/>
                <w:color w:val="000000"/>
                <w:sz w:val="18"/>
                <w:szCs w:val="18"/>
                <w:lang w:eastAsia="pl-PL"/>
              </w:rPr>
              <w:br w:type="page"/>
              <w:t xml:space="preserve">Dane przedstawione w IIaPGW, w tym w załączniku 1 dla Odry (Zestawienie Główne), nie pozwalają w sposób przejrzysty ocenid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w:t>
            </w:r>
            <w:r w:rsidRPr="0028666F">
              <w:rPr>
                <w:rFonts w:ascii="Calibri" w:eastAsia="Times New Roman" w:hAnsi="Calibri" w:cs="Calibri"/>
                <w:color w:val="000000"/>
                <w:sz w:val="18"/>
                <w:szCs w:val="18"/>
                <w:lang w:eastAsia="pl-PL"/>
              </w:rPr>
              <w:lastRenderedPageBreak/>
              <w:t>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28666F">
              <w:rPr>
                <w:rFonts w:ascii="Calibri" w:eastAsia="Times New Roman" w:hAnsi="Calibri" w:cs="Calibri"/>
                <w:color w:val="000000"/>
                <w:sz w:val="18"/>
                <w:szCs w:val="18"/>
                <w:lang w:eastAsia="pl-PL"/>
              </w:rPr>
              <w:br w:type="page"/>
              <w:t>Na tej podstawie nie można ani potwierdzid ani zaprzeczyd, że zmian hydromorfologicznych nie można odwrócid bez szkody dla pełnionych funkcji i nie ma żadnych rozwiązao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ype="page"/>
              <w:t xml:space="preserve">Jeśli zaś, zachodzi niepewnośd, co do możliwości wyznaczenia SZCW, wyznaczenie takie było nieuprawnione. </w:t>
            </w:r>
          </w:p>
        </w:tc>
        <w:tc>
          <w:tcPr>
            <w:tcW w:w="2733" w:type="dxa"/>
            <w:tcBorders>
              <w:top w:val="nil"/>
              <w:left w:val="nil"/>
              <w:bottom w:val="single" w:sz="4" w:space="0" w:color="auto"/>
              <w:right w:val="single" w:sz="4" w:space="0" w:color="auto"/>
            </w:tcBorders>
            <w:shd w:val="clear" w:color="auto" w:fill="auto"/>
            <w:hideMark/>
          </w:tcPr>
          <w:p w14:paraId="560DEFFC" w14:textId="05C37D6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Każdorazowo udowodnid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brak wątpliwości przy wyznaczeniu SZCW, szczególnie udowodnid zmiany charakterystyk hydromorfologicznych tej części wód, które byłyby konieczne dla osiągnięcia dobrego stanu ekologicznego, mogłyby wywrzed znaczący niekorzystny wpływ na dane cele działalności opisanej w RDW, oraz że faktycznie nie było innych opcji znacznie korzystniejszych środowiskowo. Należy przy tym wziąd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 Na tej podstawie należy nadad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6FBC86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1720" w:type="dxa"/>
            <w:tcBorders>
              <w:top w:val="nil"/>
              <w:left w:val="nil"/>
              <w:bottom w:val="single" w:sz="4" w:space="0" w:color="auto"/>
              <w:right w:val="single" w:sz="4" w:space="0" w:color="auto"/>
            </w:tcBorders>
            <w:shd w:val="clear" w:color="000000" w:fill="FFFFFF"/>
            <w:hideMark/>
          </w:tcPr>
          <w:p w14:paraId="2E8051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0BC2E7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F351138" w14:textId="5CDE20E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1D8E0AA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8C61E4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75</w:t>
            </w:r>
          </w:p>
        </w:tc>
        <w:tc>
          <w:tcPr>
            <w:tcW w:w="970" w:type="dxa"/>
            <w:tcBorders>
              <w:top w:val="nil"/>
              <w:left w:val="nil"/>
              <w:bottom w:val="single" w:sz="4" w:space="0" w:color="auto"/>
              <w:right w:val="nil"/>
            </w:tcBorders>
          </w:tcPr>
          <w:p w14:paraId="5383B6D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7F0A79B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FED89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6B54A42" w14:textId="53CE943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3.1.SZCW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2.1.) nie jest prawidłowym utworzenie jednej dużej SZCW z mniejszych o mieszanym statucie.</w:t>
            </w:r>
            <w:r w:rsidRPr="0028666F">
              <w:rPr>
                <w:rFonts w:ascii="Calibri" w:eastAsia="Times New Roman" w:hAnsi="Calibri" w:cs="Calibri"/>
                <w:color w:val="000000"/>
                <w:sz w:val="18"/>
                <w:szCs w:val="18"/>
                <w:lang w:eastAsia="pl-PL"/>
              </w:rPr>
              <w:br/>
              <w:t xml:space="preserve">Przykładem mogą byd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Takich przykładów, szczególnie w częściach źródłowych jest wiele, również poza Sudetami. W analogicznej sytuacji, np. dopływy Kłodnicy.</w:t>
            </w:r>
          </w:p>
        </w:tc>
        <w:tc>
          <w:tcPr>
            <w:tcW w:w="2733" w:type="dxa"/>
            <w:tcBorders>
              <w:top w:val="nil"/>
              <w:left w:val="nil"/>
              <w:bottom w:val="single" w:sz="4" w:space="0" w:color="auto"/>
              <w:right w:val="single" w:sz="4" w:space="0" w:color="auto"/>
            </w:tcBorders>
            <w:shd w:val="clear" w:color="auto" w:fill="auto"/>
            <w:hideMark/>
          </w:tcPr>
          <w:p w14:paraId="53EEB2EC" w14:textId="06354AA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przywrócid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0752E5A0" w14:textId="5AC2D0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wymagao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123FCF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34F886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D48666C" w14:textId="553CE81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6D300D3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D3ADB0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76</w:t>
            </w:r>
          </w:p>
        </w:tc>
        <w:tc>
          <w:tcPr>
            <w:tcW w:w="970" w:type="dxa"/>
            <w:tcBorders>
              <w:top w:val="nil"/>
              <w:left w:val="nil"/>
              <w:bottom w:val="single" w:sz="4" w:space="0" w:color="auto"/>
              <w:right w:val="nil"/>
            </w:tcBorders>
          </w:tcPr>
          <w:p w14:paraId="05F207F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3127856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43502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0BA4D05" w14:textId="7DBEA6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3.1. SZCW Wyznaczenie SZCW niezgodnie z metodyką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które zgodnie z przyjętą metodyką powinny mied status NATuralnych.</w:t>
            </w:r>
            <w:r w:rsidRPr="0028666F">
              <w:rPr>
                <w:rFonts w:ascii="Calibri" w:eastAsia="Times New Roman" w:hAnsi="Calibri" w:cs="Calibri"/>
                <w:color w:val="000000"/>
                <w:sz w:val="18"/>
                <w:szCs w:val="18"/>
                <w:lang w:eastAsia="pl-PL"/>
              </w:rPr>
              <w:br/>
              <w:t xml:space="preserve">W dorzeczu Odry jest to sześd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Noted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w:t>
            </w:r>
            <w:r w:rsidRPr="0028666F">
              <w:rPr>
                <w:rFonts w:ascii="Calibri" w:eastAsia="Times New Roman" w:hAnsi="Calibri" w:cs="Calibri"/>
                <w:color w:val="000000"/>
                <w:sz w:val="18"/>
                <w:szCs w:val="18"/>
                <w:lang w:eastAsia="pl-PL"/>
              </w:rPr>
              <w:br/>
              <w:t>cieku: rzeka Noted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dróg wodnych jest wbrew metodyce i wytycznych KE CIS No4 „Identification and Designation of Heavily Modified and Artificial Water Bodies”, według których podstawą do uznania za SCZW jest hydromorfologiczna jakośd wód, a w następnej kolejności pod uwagę brane jest dopiero jej użytkowanie.</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2733" w:type="dxa"/>
            <w:tcBorders>
              <w:top w:val="nil"/>
              <w:left w:val="nil"/>
              <w:bottom w:val="single" w:sz="4" w:space="0" w:color="auto"/>
              <w:right w:val="single" w:sz="4" w:space="0" w:color="auto"/>
            </w:tcBorders>
            <w:shd w:val="clear" w:color="auto" w:fill="auto"/>
            <w:hideMark/>
          </w:tcPr>
          <w:p w14:paraId="56296F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Przywrócid dla:</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Noted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t>naturalny status wody (NAT).</w:t>
            </w:r>
          </w:p>
        </w:tc>
        <w:tc>
          <w:tcPr>
            <w:tcW w:w="3009" w:type="dxa"/>
            <w:tcBorders>
              <w:top w:val="nil"/>
              <w:left w:val="nil"/>
              <w:bottom w:val="single" w:sz="4" w:space="0" w:color="auto"/>
              <w:right w:val="single" w:sz="4" w:space="0" w:color="auto"/>
            </w:tcBorders>
            <w:shd w:val="clear" w:color="auto" w:fill="auto"/>
            <w:hideMark/>
          </w:tcPr>
          <w:p w14:paraId="0EADA51A" w14:textId="3BCC08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możliwośd osiągnięcia celów środowiskowych.</w:t>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w:t>
            </w:r>
            <w:r w:rsidRPr="0028666F">
              <w:rPr>
                <w:rFonts w:ascii="Calibri" w:eastAsia="Times New Roman" w:hAnsi="Calibri" w:cs="Calibri"/>
                <w:color w:val="000000"/>
                <w:sz w:val="18"/>
                <w:szCs w:val="18"/>
                <w:lang w:eastAsia="pl-PL"/>
              </w:rPr>
              <w:lastRenderedPageBreak/>
              <w:t xml:space="preserve">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uznad za manipulację.</w:t>
            </w:r>
          </w:p>
        </w:tc>
        <w:tc>
          <w:tcPr>
            <w:tcW w:w="1720" w:type="dxa"/>
            <w:tcBorders>
              <w:top w:val="nil"/>
              <w:left w:val="nil"/>
              <w:bottom w:val="single" w:sz="4" w:space="0" w:color="auto"/>
              <w:right w:val="single" w:sz="4" w:space="0" w:color="auto"/>
            </w:tcBorders>
            <w:shd w:val="clear" w:color="000000" w:fill="FFFFFF"/>
            <w:hideMark/>
          </w:tcPr>
          <w:p w14:paraId="36A38F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SOT_NieTylkoDlaOrłów_Odra</w:t>
            </w:r>
          </w:p>
        </w:tc>
        <w:tc>
          <w:tcPr>
            <w:tcW w:w="1014" w:type="dxa"/>
            <w:tcBorders>
              <w:top w:val="nil"/>
              <w:left w:val="nil"/>
              <w:bottom w:val="single" w:sz="4" w:space="0" w:color="auto"/>
              <w:right w:val="single" w:sz="4" w:space="0" w:color="auto"/>
            </w:tcBorders>
            <w:shd w:val="clear" w:color="auto" w:fill="auto"/>
            <w:hideMark/>
          </w:tcPr>
          <w:p w14:paraId="3BD20A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3DDC089" w14:textId="585D495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w:t>
            </w:r>
            <w:r w:rsidRPr="0028666F">
              <w:rPr>
                <w:rFonts w:ascii="Calibri" w:eastAsia="Times New Roman" w:hAnsi="Calibri" w:cs="Calibri"/>
                <w:color w:val="000000"/>
                <w:sz w:val="18"/>
                <w:szCs w:val="18"/>
                <w:lang w:eastAsia="pl-PL"/>
              </w:rPr>
              <w:lastRenderedPageBreak/>
              <w:t xml:space="preserve">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0132560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78528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77</w:t>
            </w:r>
          </w:p>
        </w:tc>
        <w:tc>
          <w:tcPr>
            <w:tcW w:w="970" w:type="dxa"/>
            <w:tcBorders>
              <w:top w:val="nil"/>
              <w:left w:val="nil"/>
              <w:bottom w:val="single" w:sz="4" w:space="0" w:color="auto"/>
              <w:right w:val="nil"/>
            </w:tcBorders>
          </w:tcPr>
          <w:p w14:paraId="0E029A4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14E44C3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54D82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9932C47" w14:textId="6EA8D1E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Sied monitoringu wód powierzchniowych można ocenid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oraz obszarów chronionych w rozumieniu RDW. Dane te nie są udostępniane przez Wody Polskie nawet na wniosek, mimo że organ ten jest w posiadaniu owych danych (odpowiedź na wniosek jednej z organizacji ekologicznych).</w:t>
            </w:r>
          </w:p>
        </w:tc>
        <w:tc>
          <w:tcPr>
            <w:tcW w:w="2733" w:type="dxa"/>
            <w:tcBorders>
              <w:top w:val="nil"/>
              <w:left w:val="nil"/>
              <w:bottom w:val="single" w:sz="4" w:space="0" w:color="auto"/>
              <w:right w:val="single" w:sz="4" w:space="0" w:color="auto"/>
            </w:tcBorders>
            <w:shd w:val="clear" w:color="auto" w:fill="auto"/>
            <w:hideMark/>
          </w:tcPr>
          <w:p w14:paraId="7E1695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sied ma monitorowad.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4366DD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5C5CDE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1E336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4A03587" w14:textId="71BCF9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obszary odpowiedzialności GIOŚ, IIaPGW nie jest dokumentem ustalającym sieć monitoringu.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199E1A9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1B508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78</w:t>
            </w:r>
          </w:p>
        </w:tc>
        <w:tc>
          <w:tcPr>
            <w:tcW w:w="970" w:type="dxa"/>
            <w:tcBorders>
              <w:top w:val="nil"/>
              <w:left w:val="nil"/>
              <w:bottom w:val="single" w:sz="4" w:space="0" w:color="auto"/>
              <w:right w:val="nil"/>
            </w:tcBorders>
          </w:tcPr>
          <w:p w14:paraId="49ECA9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172024E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352E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E376AE6" w14:textId="457CCD3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byd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wynosid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w:t>
            </w:r>
            <w:r w:rsidRPr="0028666F">
              <w:rPr>
                <w:rFonts w:ascii="Calibri" w:eastAsia="Times New Roman" w:hAnsi="Calibri" w:cs="Calibri"/>
                <w:color w:val="000000"/>
                <w:sz w:val="18"/>
                <w:szCs w:val="18"/>
                <w:lang w:eastAsia="pl-PL"/>
              </w:rPr>
              <w:lastRenderedPageBreak/>
              <w:t xml:space="preserve">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Sied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wzmoncnid sied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p>
        </w:tc>
        <w:tc>
          <w:tcPr>
            <w:tcW w:w="2733" w:type="dxa"/>
            <w:tcBorders>
              <w:top w:val="nil"/>
              <w:left w:val="nil"/>
              <w:bottom w:val="single" w:sz="4" w:space="0" w:color="auto"/>
              <w:right w:val="single" w:sz="4" w:space="0" w:color="auto"/>
            </w:tcBorders>
            <w:shd w:val="clear" w:color="auto" w:fill="auto"/>
            <w:hideMark/>
          </w:tcPr>
          <w:p w14:paraId="0F0CDB44" w14:textId="522DAD0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Należy objąć monitoringiem (chodby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wzmocnid sied MD dla RW, uzupełnid sied monitoringu dla LW oraz wprowadzid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7B446D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Uzupełnienie sieci monitoringu nie będzie powodowad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0B3486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9202A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F89CA4" w14:textId="23888C9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 xml:space="preserve">Monitoring, w tym ustalenia sieci monitoringu to obszary odpowiedzialności GIOŚ, IIaPGW nie jest dokumentem ustalającym sieć monitoringu.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w:t>
            </w:r>
            <w:r w:rsidRPr="0028666F">
              <w:rPr>
                <w:rFonts w:ascii="Calibri" w:eastAsia="Times New Roman" w:hAnsi="Calibri" w:cs="Calibri"/>
                <w:color w:val="000000"/>
                <w:sz w:val="18"/>
                <w:szCs w:val="18"/>
                <w:lang w:eastAsia="pl-PL"/>
              </w:rPr>
              <w:lastRenderedPageBreak/>
              <w:t xml:space="preserve">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Przy projektowaniu sieci monitoringu wykorzystuje się także aktualne wykazy obszarów chronionych. 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monitorowania oraz ppk określają załączniki nr 1 i 2 do rozporządzenia Ministra Infrastruktury z dnia 13 lipca 2021 r. w sprawie form i sposobu prowadzenia monitoringu jednolitych części wód powierzchniowych i jednolitych części wód podziemnych.</w:t>
            </w:r>
          </w:p>
        </w:tc>
      </w:tr>
      <w:tr w:rsidR="007C2B40" w:rsidRPr="0028666F" w14:paraId="3AAC5BB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6FED7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79</w:t>
            </w:r>
          </w:p>
        </w:tc>
        <w:tc>
          <w:tcPr>
            <w:tcW w:w="970" w:type="dxa"/>
            <w:tcBorders>
              <w:top w:val="nil"/>
              <w:left w:val="nil"/>
              <w:bottom w:val="single" w:sz="4" w:space="0" w:color="auto"/>
              <w:right w:val="nil"/>
            </w:tcBorders>
          </w:tcPr>
          <w:p w14:paraId="1DF61F2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061555F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8E91F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7823F91" w14:textId="06FEE9A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Streszczenie niespecjalistyczne; IIaPGW Rozdział 7, 8, 9</w:t>
            </w:r>
            <w:r w:rsidRPr="0028666F">
              <w:rPr>
                <w:rFonts w:ascii="Calibri" w:eastAsia="Times New Roman" w:hAnsi="Calibri" w:cs="Calibri"/>
                <w:color w:val="000000"/>
                <w:sz w:val="18"/>
                <w:szCs w:val="18"/>
                <w:lang w:eastAsia="pl-PL"/>
              </w:rPr>
              <w:br w:type="page"/>
              <w:t>Presja, Cele środowiskowe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(rozdz. 7 IIaPGW). Istotne jest w tej materii, że zestaw działao likwidujących presje hydromorfologiczne w dorzeczu Odry na lata 2016-2021 nie istniał w przypadku działao renaturyzacyjnych innych niż udrożnienie budowli piętrzących. Dla tych ostatnich zaplanowano 226 działao, czyli 10 razy mniej niż w obecnym cyklu, ale i tak wiele z nich nie zostało wykonanych, w niektórych dorzeczach praktycznie wcale. Temat podjęty jest też poniżej w dalszej części uwag.</w:t>
            </w:r>
          </w:p>
        </w:tc>
        <w:tc>
          <w:tcPr>
            <w:tcW w:w="2733" w:type="dxa"/>
            <w:tcBorders>
              <w:top w:val="nil"/>
              <w:left w:val="nil"/>
              <w:bottom w:val="single" w:sz="4" w:space="0" w:color="auto"/>
              <w:right w:val="single" w:sz="4" w:space="0" w:color="auto"/>
            </w:tcBorders>
            <w:shd w:val="clear" w:color="auto" w:fill="auto"/>
            <w:hideMark/>
          </w:tcPr>
          <w:p w14:paraId="4ACD7651" w14:textId="00041A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wymaga podjęcia radykalnych działao: właściwego, szerokiego doboru działao realizujących cele środowiskowe i znacznej redukcji presji, zwłaszcza hydromorfologicznej na wody. Sprowadza się to powinno do realizacji KPRWP w pełnej formie, uzupełnionego o „reakcje” na rozpoznane nowe presje. Należy przy tym ograniczyd wszystkie działania powodujące te presje – działania inwestycyjne i tzw. prace utrzymaniowe.</w:t>
            </w:r>
            <w:r w:rsidRPr="0028666F">
              <w:rPr>
                <w:rFonts w:ascii="Calibri" w:eastAsia="Times New Roman" w:hAnsi="Calibri" w:cs="Calibri"/>
                <w:color w:val="000000"/>
                <w:sz w:val="18"/>
                <w:szCs w:val="18"/>
                <w:lang w:eastAsia="pl-PL"/>
              </w:rPr>
              <w:br w:type="page"/>
              <w:t>Należy wykreślid z planów IIaPGW, PPSS i aPZRP, i im podobnych z zakresu gospodarki wodnej, te działania które powodują dalsze przekształcenia hydromorfologiczne, a które już teraz nie zostały zweryfikowane pod kątem oddziaływania na stan wód. Bezwzględnie należy usunąd tego typu działania z listy działao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4740D6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1D7939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4E96AD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59B8790" w14:textId="0645FF6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ype="page"/>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ype="page"/>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ype="page"/>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ype="page"/>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ype="page"/>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t>
            </w:r>
            <w:r w:rsidRPr="0028666F">
              <w:rPr>
                <w:rFonts w:ascii="Calibri" w:eastAsia="Times New Roman" w:hAnsi="Calibri" w:cs="Calibri"/>
                <w:color w:val="000000"/>
                <w:sz w:val="18"/>
                <w:szCs w:val="18"/>
                <w:lang w:eastAsia="pl-PL"/>
              </w:rPr>
              <w:lastRenderedPageBreak/>
              <w:t xml:space="preserve">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ype="page"/>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w:t>
            </w:r>
            <w:r w:rsidRPr="0028666F">
              <w:rPr>
                <w:rFonts w:ascii="Calibri" w:eastAsia="Times New Roman" w:hAnsi="Calibri" w:cs="Calibri"/>
                <w:color w:val="000000"/>
                <w:sz w:val="18"/>
                <w:szCs w:val="18"/>
                <w:lang w:eastAsia="pl-PL"/>
              </w:rPr>
              <w:lastRenderedPageBreak/>
              <w:t xml:space="preserve">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1E57301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146F1A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80</w:t>
            </w:r>
          </w:p>
        </w:tc>
        <w:tc>
          <w:tcPr>
            <w:tcW w:w="970" w:type="dxa"/>
            <w:tcBorders>
              <w:top w:val="nil"/>
              <w:left w:val="nil"/>
              <w:bottom w:val="single" w:sz="4" w:space="0" w:color="auto"/>
              <w:right w:val="nil"/>
            </w:tcBorders>
          </w:tcPr>
          <w:p w14:paraId="19B1E87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592FF1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5754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43F47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9</w:t>
            </w:r>
            <w:r w:rsidRPr="0028666F">
              <w:rPr>
                <w:rFonts w:ascii="Calibri" w:eastAsia="Times New Roman" w:hAnsi="Calibri" w:cs="Calibri"/>
                <w:color w:val="000000"/>
                <w:sz w:val="18"/>
                <w:szCs w:val="18"/>
                <w:lang w:eastAsia="pl-PL"/>
              </w:rPr>
              <w:br/>
              <w:t>Postęp i wdrożenie działań 2016-2021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udrożnienie przegród było w dorzeczu Odry nie było).. Co do udrożnieo budowli – można jedynie posiłkowad się wykazem budowli do udrożnienia (w „erracie” zał. 4). Działao z aPWŚK wymieniono tam dla dorzecza Odry 380 (różnica między zapisami aPWŚK i IIaPGW wynika z innego podejścia – tutaj zidentyfikowano każde piętrzenie), Wśród nich niewykonanych zadao (z cyklu 2016-2021) jest przynajmniej 291. Na tej podstawie można stwierdzid, że w dorzeczu Odry ponad 3⁄4 działao zaplanowanych na barierach (na lata 2016-2021) nie zostało wykonanych! W przypadku Kaczawy, rzeki istotnej dla ryb dwuśrodowiskowych (trod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udrożnieo, a w przypadku Elektrowni Żagao I nie zrealizowano żadnych działao,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3AB99E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IIaPGW należy uzupełnić o stopień wykonania działań z aPWŚK w dorzeczu Odry w odniesieniu do wszystkich kategorii i grup.</w:t>
            </w:r>
          </w:p>
        </w:tc>
        <w:tc>
          <w:tcPr>
            <w:tcW w:w="3009" w:type="dxa"/>
            <w:tcBorders>
              <w:top w:val="nil"/>
              <w:left w:val="nil"/>
              <w:bottom w:val="single" w:sz="4" w:space="0" w:color="auto"/>
              <w:right w:val="single" w:sz="4" w:space="0" w:color="auto"/>
            </w:tcBorders>
            <w:shd w:val="clear" w:color="auto" w:fill="auto"/>
            <w:hideMark/>
          </w:tcPr>
          <w:p w14:paraId="7E0792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działao na najbardziej istotną w skali dorzecza presję – hydromorfologiczną, niemożliwa jest ocena doboru działao na lata 2021-2027. Możliwe do wykonania oceny wskazują, że działania w znakomitej większości nie zostały wykonane, trudno więc mówid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037BF2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450BDA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C5839E" w14:textId="4F59B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wdrożenia programów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(2018). Dobór działań prolongowanych do IIaPGW (niezrealizowanych w aPWŚK) obejmował szczegółową weryfikacjię zasadności realizacji tych działań, zgodnie z metodyką opracowania zestawu działań (materiał źródłowy do IIaPGW), na podstawie wyników analizy presji oraz wyników monitoringu stanu wód GIOŚ 2019 i zidentyfikowane ryzyko nieosiągniecia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w:t>
            </w:r>
            <w:r w:rsidRPr="0028666F">
              <w:rPr>
                <w:rFonts w:ascii="Calibri" w:eastAsia="Times New Roman" w:hAnsi="Calibri" w:cs="Calibri"/>
                <w:color w:val="000000"/>
                <w:sz w:val="18"/>
                <w:szCs w:val="18"/>
                <w:lang w:eastAsia="pl-PL"/>
              </w:rPr>
              <w:lastRenderedPageBreak/>
              <w:t xml:space="preserve">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zapewianjącym drożność biologiczną.</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3C53ABE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DBFD2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81</w:t>
            </w:r>
          </w:p>
        </w:tc>
        <w:tc>
          <w:tcPr>
            <w:tcW w:w="970" w:type="dxa"/>
            <w:tcBorders>
              <w:top w:val="nil"/>
              <w:left w:val="nil"/>
              <w:bottom w:val="single" w:sz="4" w:space="0" w:color="auto"/>
              <w:right w:val="nil"/>
            </w:tcBorders>
          </w:tcPr>
          <w:p w14:paraId="3F8AA59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50074F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D93138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E60CA94" w14:textId="38AEF8A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10 Działania 2aPGW KPRWP – raport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Jednym z działao krajowych wpisanych do aPWŚK było stworzenie Krajowego Programu Renaturyzacji Wód Powierzchniowych (KPRWP). Jego utworzenie i realizacja była jednym z argumentów strony polskiej w dyskusji z KE dot. wypełnienie postanowieo RDW (patrz s. 13 Dokument roboczy... https://www.apgw.gov.pl/pl/news/show/90) i właściwe wdrożenie działao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zapisy KPRWP wdrożono w IIaPGW jedynie częściowo. Ponadto, w wyniku planowanych działań w ramach IIaPGW (inwestycje uznane za spełniające przesłanki art. 4.7 RDW), PPSS i aPZRP, dodatkowa presja</w:t>
            </w:r>
            <w:r w:rsidRPr="0028666F">
              <w:rPr>
                <w:rFonts w:ascii="Calibri" w:eastAsia="Times New Roman" w:hAnsi="Calibri" w:cs="Calibri"/>
                <w:color w:val="000000"/>
                <w:sz w:val="18"/>
                <w:szCs w:val="18"/>
                <w:lang w:eastAsia="pl-PL"/>
              </w:rPr>
              <w:br/>
              <w:t xml:space="preserve">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w:t>
            </w:r>
            <w:r w:rsidRPr="0028666F">
              <w:rPr>
                <w:rFonts w:ascii="Calibri" w:eastAsia="Times New Roman" w:hAnsi="Calibri" w:cs="Calibri"/>
                <w:color w:val="000000"/>
                <w:sz w:val="18"/>
                <w:szCs w:val="18"/>
                <w:lang w:eastAsia="pl-PL"/>
              </w:rPr>
              <w:br/>
              <w:t xml:space="preserve"> KPRWP, ale i jego uzupełnienia. Z powyższego wynika, że KPRWP został potraktowany jako „zestaw działań zalecanych”, a nie podstawa do likwidacji znaczących presji. Jest to niedopuszczalne, szczególnie, że jest to dokument późniejszy, Przegląd i weryfikacja metodyk wyznaczania silnie zmienionych i sztucznych części wód </w:t>
            </w:r>
            <w:r w:rsidRPr="0028666F">
              <w:rPr>
                <w:rFonts w:ascii="Calibri" w:eastAsia="Times New Roman" w:hAnsi="Calibri" w:cs="Calibri"/>
                <w:color w:val="000000"/>
                <w:sz w:val="18"/>
                <w:szCs w:val="18"/>
                <w:lang w:eastAsia="pl-PL"/>
              </w:rPr>
              <w:lastRenderedPageBreak/>
              <w:t xml:space="preserve">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 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 https://hektarydlanatury.pl/downloads/Raport_dla_WWF_zalaczniki.pdf</w:t>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skutkowad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724873DE" w14:textId="5F19DB6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Uzupełnić katalog działao o zapisy KPRWP, wraz z analizą dodatkowych działao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6091FF43" w14:textId="139F6D5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ustalid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5BFA91A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36B32F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3298EB0" w14:textId="079EFC5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w:t>
            </w:r>
            <w:r w:rsidRPr="0028666F">
              <w:rPr>
                <w:rFonts w:ascii="Calibri" w:eastAsia="Times New Roman" w:hAnsi="Calibri" w:cs="Calibri"/>
                <w:color w:val="000000"/>
                <w:sz w:val="18"/>
                <w:szCs w:val="18"/>
                <w:lang w:eastAsia="pl-PL"/>
              </w:rPr>
              <w:lastRenderedPageBreak/>
              <w:t xml:space="preserve">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p>
        </w:tc>
      </w:tr>
      <w:tr w:rsidR="007C2B40" w:rsidRPr="0028666F" w14:paraId="638C14B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0F5F4E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82</w:t>
            </w:r>
          </w:p>
        </w:tc>
        <w:tc>
          <w:tcPr>
            <w:tcW w:w="970" w:type="dxa"/>
            <w:tcBorders>
              <w:top w:val="nil"/>
              <w:left w:val="nil"/>
              <w:bottom w:val="single" w:sz="4" w:space="0" w:color="auto"/>
              <w:right w:val="nil"/>
            </w:tcBorders>
          </w:tcPr>
          <w:p w14:paraId="26C179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675EB18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6CCC7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90117D4" w14:textId="4D3C34D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stosunku do aPGW (2016-2021) w IIaPGW znacznie zwiększona została ilośd „przyznanych” odstępstw z art. 4.5 RDW (złagodzenie celów środowiskowych).) 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687/1272 = 54%. 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 xml:space="preserve">Przyznanie derogacji odstępstwa złagodzenia celów (4.5) możne nastąpid tylko wtedy gdy osiągnięcie celów środowiskowych byłoby niemożliwe lub nieproporcjonalnie (do korzyści) kosztowne, przy jednoczesnym wdrożeniu wszystkich realnych działao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mied miejsca.</w:t>
            </w:r>
          </w:p>
        </w:tc>
        <w:tc>
          <w:tcPr>
            <w:tcW w:w="2733" w:type="dxa"/>
            <w:tcBorders>
              <w:top w:val="nil"/>
              <w:left w:val="nil"/>
              <w:bottom w:val="single" w:sz="4" w:space="0" w:color="auto"/>
              <w:right w:val="single" w:sz="4" w:space="0" w:color="auto"/>
            </w:tcBorders>
            <w:shd w:val="clear" w:color="auto" w:fill="auto"/>
            <w:hideMark/>
          </w:tcPr>
          <w:p w14:paraId="69FC1919" w14:textId="0E9F4C8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działao naprawczych.</w:t>
            </w:r>
          </w:p>
        </w:tc>
        <w:tc>
          <w:tcPr>
            <w:tcW w:w="3009" w:type="dxa"/>
            <w:tcBorders>
              <w:top w:val="nil"/>
              <w:left w:val="nil"/>
              <w:bottom w:val="single" w:sz="4" w:space="0" w:color="auto"/>
              <w:right w:val="single" w:sz="4" w:space="0" w:color="auto"/>
            </w:tcBorders>
            <w:shd w:val="clear" w:color="auto" w:fill="auto"/>
            <w:hideMark/>
          </w:tcPr>
          <w:p w14:paraId="075BC2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639E5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561BD9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057138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Dane w Wykazie Odstępstw podlegają weryfikacji w przypadku zmian w zakresie skuteczności zestawów działań.</w:t>
            </w:r>
          </w:p>
        </w:tc>
      </w:tr>
      <w:tr w:rsidR="007C2B40" w:rsidRPr="0028666F" w14:paraId="4388ACA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0045F0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83</w:t>
            </w:r>
          </w:p>
        </w:tc>
        <w:tc>
          <w:tcPr>
            <w:tcW w:w="970" w:type="dxa"/>
            <w:tcBorders>
              <w:top w:val="nil"/>
              <w:left w:val="nil"/>
              <w:bottom w:val="single" w:sz="4" w:space="0" w:color="auto"/>
              <w:right w:val="nil"/>
            </w:tcBorders>
          </w:tcPr>
          <w:p w14:paraId="12BEEE4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1C900D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7326E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4D3A239" w14:textId="77F9020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Kryteria użyte do ustanowienia odstępstw z art. 4.4 i 4.5 powinny byd przejrzyste, jednoznaczne i odpowiednie oraz powinny zostad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uzasadnione w PGW (patrz CIS Guidance No. 20).</w:t>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działalnośd człowieka np. rolnicza uniemożliwia wdrożenie działao naprawczych typu renaturyzacja czy udrożnienie piętrzeo. W związku z niewdrożeniem wielu działao naprawczych, opisy te wydają się byd nieodpowiednie.</w:t>
            </w:r>
          </w:p>
        </w:tc>
        <w:tc>
          <w:tcPr>
            <w:tcW w:w="2733" w:type="dxa"/>
            <w:tcBorders>
              <w:top w:val="nil"/>
              <w:left w:val="nil"/>
              <w:bottom w:val="single" w:sz="4" w:space="0" w:color="auto"/>
              <w:right w:val="single" w:sz="4" w:space="0" w:color="auto"/>
            </w:tcBorders>
            <w:shd w:val="clear" w:color="auto" w:fill="auto"/>
            <w:hideMark/>
          </w:tcPr>
          <w:p w14:paraId="060336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Poprawić opis odstępstw tak, aby było możliwe sprawdzenie czy jego ustanowienie było właściwe.</w:t>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444720C2" w14:textId="7CA090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odstępstwem wyklucza jego ustanowienie.</w:t>
            </w:r>
          </w:p>
        </w:tc>
        <w:tc>
          <w:tcPr>
            <w:tcW w:w="1720" w:type="dxa"/>
            <w:tcBorders>
              <w:top w:val="nil"/>
              <w:left w:val="nil"/>
              <w:bottom w:val="single" w:sz="4" w:space="0" w:color="auto"/>
              <w:right w:val="single" w:sz="4" w:space="0" w:color="auto"/>
            </w:tcBorders>
            <w:shd w:val="clear" w:color="000000" w:fill="FFFFFF"/>
            <w:hideMark/>
          </w:tcPr>
          <w:p w14:paraId="77C084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2FB45E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588288E" w14:textId="0DD5008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w:t>
            </w:r>
            <w:r w:rsidRPr="0028666F">
              <w:rPr>
                <w:rFonts w:ascii="Calibri" w:eastAsia="Times New Roman" w:hAnsi="Calibri" w:cs="Calibri"/>
                <w:color w:val="000000"/>
                <w:sz w:val="18"/>
                <w:szCs w:val="18"/>
                <w:lang w:eastAsia="pl-PL"/>
              </w:rPr>
              <w:lastRenderedPageBreak/>
              <w:t xml:space="preserve">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799F42B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D5426B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84</w:t>
            </w:r>
          </w:p>
        </w:tc>
        <w:tc>
          <w:tcPr>
            <w:tcW w:w="970" w:type="dxa"/>
            <w:tcBorders>
              <w:top w:val="nil"/>
              <w:left w:val="nil"/>
              <w:bottom w:val="single" w:sz="4" w:space="0" w:color="auto"/>
              <w:right w:val="nil"/>
            </w:tcBorders>
          </w:tcPr>
          <w:p w14:paraId="505DD5C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5" w:type="dxa"/>
            <w:tcBorders>
              <w:top w:val="nil"/>
              <w:left w:val="nil"/>
              <w:bottom w:val="single" w:sz="4" w:space="0" w:color="auto"/>
              <w:right w:val="single" w:sz="4" w:space="0" w:color="auto"/>
            </w:tcBorders>
            <w:shd w:val="clear" w:color="auto" w:fill="auto"/>
          </w:tcPr>
          <w:p w14:paraId="3ADE2B7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35A8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STRUKTURA DOKUMENTU</w:t>
            </w:r>
          </w:p>
        </w:tc>
        <w:tc>
          <w:tcPr>
            <w:tcW w:w="5000" w:type="dxa"/>
            <w:tcBorders>
              <w:top w:val="nil"/>
              <w:left w:val="nil"/>
              <w:bottom w:val="single" w:sz="4" w:space="0" w:color="auto"/>
              <w:right w:val="single" w:sz="4" w:space="0" w:color="auto"/>
            </w:tcBorders>
            <w:shd w:val="clear" w:color="auto" w:fill="auto"/>
            <w:hideMark/>
          </w:tcPr>
          <w:p w14:paraId="3D9017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związku z uciążliwym interfejsem, uwagi do IIaPGW załączamy w formacie PDF. Są one zgodne z układem zaproponowanym w ankiecie on-line.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,,Część projektu planu, do którego zgłaszana jest uwaga": jest to UWAGA OGÓLNA</w:t>
            </w:r>
          </w:p>
        </w:tc>
        <w:tc>
          <w:tcPr>
            <w:tcW w:w="2733" w:type="dxa"/>
            <w:tcBorders>
              <w:top w:val="nil"/>
              <w:left w:val="nil"/>
              <w:bottom w:val="single" w:sz="4" w:space="0" w:color="auto"/>
              <w:right w:val="single" w:sz="4" w:space="0" w:color="auto"/>
            </w:tcBorders>
            <w:shd w:val="clear" w:color="auto" w:fill="auto"/>
            <w:hideMark/>
          </w:tcPr>
          <w:p w14:paraId="5BF16A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5793A1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5B74D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84_EKO-UNIA_Odra</w:t>
            </w:r>
          </w:p>
        </w:tc>
        <w:tc>
          <w:tcPr>
            <w:tcW w:w="1014" w:type="dxa"/>
            <w:tcBorders>
              <w:top w:val="nil"/>
              <w:left w:val="nil"/>
              <w:bottom w:val="single" w:sz="4" w:space="0" w:color="auto"/>
              <w:right w:val="single" w:sz="4" w:space="0" w:color="auto"/>
            </w:tcBorders>
            <w:shd w:val="clear" w:color="auto" w:fill="auto"/>
            <w:hideMark/>
          </w:tcPr>
          <w:p w14:paraId="74186F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87C0A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Odniesienie do zgłoszonych w formie załącznika uwag przedstawione zostało dla każdej uwagi odrębnie w niniejszym zestawieniu.</w:t>
            </w:r>
          </w:p>
        </w:tc>
      </w:tr>
      <w:tr w:rsidR="007C2B40" w:rsidRPr="0028666F" w14:paraId="7997481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DCFC65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85</w:t>
            </w:r>
          </w:p>
        </w:tc>
        <w:tc>
          <w:tcPr>
            <w:tcW w:w="970" w:type="dxa"/>
            <w:tcBorders>
              <w:top w:val="nil"/>
              <w:left w:val="nil"/>
              <w:bottom w:val="single" w:sz="4" w:space="0" w:color="auto"/>
              <w:right w:val="nil"/>
            </w:tcBorders>
          </w:tcPr>
          <w:p w14:paraId="56F9D41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94A95B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D5EE7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CF048A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Rozdz. 16, Zał. 6</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projekcie IIaPGW opublikowano listę przedsięwzięd, która zgodnie z art. 436 PW, powinna spełniad w sposób obiektywny kryteria art. 68 PW, czyli spełniad warunki art. 4.7 RDW do udzielenia derogacji.</w:t>
            </w:r>
            <w:r w:rsidRPr="0028666F">
              <w:rPr>
                <w:rFonts w:ascii="Calibri" w:eastAsia="Times New Roman" w:hAnsi="Calibri" w:cs="Calibri"/>
                <w:color w:val="000000"/>
                <w:sz w:val="18"/>
                <w:szCs w:val="18"/>
                <w:lang w:eastAsia="pl-PL"/>
              </w:rPr>
              <w:br w:type="page"/>
              <w:t>Spośród 160 przedsięwzięd rzekomo spełniających ww. kryteria, takie podejście zastosowano jedynie do 2 nowych przedsięwzięd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w:t>
            </w:r>
            <w:r w:rsidRPr="0028666F">
              <w:rPr>
                <w:rFonts w:ascii="Calibri" w:eastAsia="Times New Roman" w:hAnsi="Calibri" w:cs="Calibri"/>
                <w:color w:val="000000"/>
                <w:sz w:val="18"/>
                <w:szCs w:val="18"/>
                <w:lang w:eastAsia="pl-PL"/>
              </w:rPr>
              <w:br w:type="page"/>
              <w:t>Reszta przedsięwzięd - 158 - została przepisanych z poprzedniego aPGW, tylko na podstawie deklaracji inwestorów chęci kontynuacji ich realizacji. Takie odmienne podejście do „starych” przedsięwzięd jest niedopuszczalne. Zmiana w trybie ujmowania w IIaPGW tego typu przedsięwzięd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zapewnid, aby stosowanie wyłączeo na mocy art. 4 ust. 7 opierało się na dogłębnej ocenie wszystkich etapów wymaganych zgodnie z RDW, w szczególności na ocenie, czy realizacja projektu stanowi nadrzędny interes publiczny i czy korzyści dla społeczeostwa przeważają nad degradacją środowiska, przy uwzględnieniu braku realnych rozwiązao alternatywnych stanowiących korzystniejszą opcję środowiskową. Ponadto projekty te mogą byd realizowane jedynie wówczas, gdy zostaną zastosowane wszystkie możliwe środki w celu złagodzenia negatywnego wpływu na stan/potencjał jednolitych części wód.</w:t>
            </w:r>
            <w:r w:rsidRPr="0028666F">
              <w:rPr>
                <w:rFonts w:ascii="Calibri" w:eastAsia="Times New Roman" w:hAnsi="Calibri" w:cs="Calibri"/>
                <w:color w:val="000000"/>
                <w:sz w:val="18"/>
                <w:szCs w:val="18"/>
                <w:lang w:eastAsia="pl-PL"/>
              </w:rPr>
              <w:br w:type="page"/>
              <w:t>Spośród 158 „starych” przedsięwzięd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ype="page"/>
              <w:t>· „Rewitalizacja szlaku żeglownego Kanału Bydgoskiego i Noteci</w:t>
            </w:r>
            <w:r w:rsidRPr="0028666F">
              <w:rPr>
                <w:rFonts w:ascii="Calibri" w:eastAsia="Times New Roman" w:hAnsi="Calibri" w:cs="Calibri"/>
                <w:color w:val="000000"/>
                <w:sz w:val="18"/>
                <w:szCs w:val="18"/>
                <w:lang w:eastAsia="pl-PL"/>
              </w:rPr>
              <w:br w:type="page"/>
              <w:t>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ype="page"/>
              <w:t xml:space="preserve">· Zbiornik Piłka na rz. Miała (w </w:t>
            </w:r>
            <w:r w:rsidRPr="0028666F">
              <w:rPr>
                <w:rFonts w:ascii="Calibri" w:eastAsia="Times New Roman" w:hAnsi="Calibri" w:cs="Calibri"/>
                <w:color w:val="000000"/>
                <w:sz w:val="18"/>
                <w:szCs w:val="18"/>
                <w:lang w:eastAsia="pl-PL"/>
              </w:rPr>
              <w:lastRenderedPageBreak/>
              <w:t>grudniu 2016 dostał ODMOWĘ wydania dśu).</w:t>
            </w:r>
            <w:r w:rsidRPr="0028666F">
              <w:rPr>
                <w:rFonts w:ascii="Calibri" w:eastAsia="Times New Roman" w:hAnsi="Calibri" w:cs="Calibri"/>
                <w:color w:val="000000"/>
                <w:sz w:val="18"/>
                <w:szCs w:val="18"/>
                <w:lang w:eastAsia="pl-PL"/>
              </w:rPr>
              <w:br w:type="page"/>
              <w:t>Dotyczy to też około 100 regulacji rzek, w tym w obszarach Natura 2000, rezerwatach, parkach krajobrazowych (PK) czy obszarach przeznaczonych dla gatunków o znaczeniu gospodarczym: · Zestaw 16 inwestycji w Kotlinie Kłodzkiej obejmujących rzeki w obszarach Natura 2000 i PK, w tym m.in.:</w:t>
            </w:r>
            <w:r w:rsidRPr="0028666F">
              <w:rPr>
                <w:rFonts w:ascii="Calibri" w:eastAsia="Times New Roman" w:hAnsi="Calibri" w:cs="Calibri"/>
                <w:color w:val="000000"/>
                <w:sz w:val="18"/>
                <w:szCs w:val="18"/>
                <w:lang w:eastAsia="pl-PL"/>
              </w:rPr>
              <w:br w:type="page"/>
              <w:t>ochrona przed powodzią Kotliny Kłodzkiej - Potok Wilczka ochrona przed powodzią Kotliny Kłodzkiej - Bystrzyca Kłodzka ochrona przed powodzią doliny rzeki Białej Lądeckiej i rzeki Morawki</w:t>
            </w:r>
            <w:r w:rsidRPr="0028666F">
              <w:rPr>
                <w:rFonts w:ascii="Calibri" w:eastAsia="Times New Roman" w:hAnsi="Calibri" w:cs="Calibri"/>
                <w:color w:val="000000"/>
                <w:sz w:val="18"/>
                <w:szCs w:val="18"/>
                <w:lang w:eastAsia="pl-PL"/>
              </w:rPr>
              <w:br w:type="page"/>
              <w:t>· Zbiorniki i poldery, zbiornik Jeziorsko, zwiększenie przepustowości wlotu do zbiornika – rezerwat i obszar Natura 2000 ustanowiony dla ochrony ptaków; inwestycja może znacząco negatywnie oddziaływad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ype="page"/>
              <w:t>· Regulacja rzeki Warty w rejonie miasta Koła - obszar istotny dla ochrony troci wędrownej</w:t>
            </w:r>
            <w:r w:rsidRPr="0028666F">
              <w:rPr>
                <w:rFonts w:ascii="Calibri" w:eastAsia="Times New Roman" w:hAnsi="Calibri" w:cs="Calibri"/>
                <w:color w:val="000000"/>
                <w:sz w:val="18"/>
                <w:szCs w:val="18"/>
                <w:lang w:eastAsia="pl-PL"/>
              </w:rPr>
              <w:br w:type="page"/>
              <w:t>Wśród pozostałych 19 inwestycji, aż 7 posiada dśu starszą niż 8 lat, co jest obecnie granicą ważności dokumentu, nie można tu mówid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type="page"/>
              <w:t>Z 12 pozostałych dla przynajmniej jednego z przedsięwzięd dśu została uchylona, czego świadomośd mają Wody Polskie (wpis w IIaPGW):</w:t>
            </w:r>
            <w:r w:rsidRPr="0028666F">
              <w:rPr>
                <w:rFonts w:ascii="Calibri" w:eastAsia="Times New Roman" w:hAnsi="Calibri" w:cs="Calibri"/>
                <w:color w:val="000000"/>
                <w:sz w:val="18"/>
                <w:szCs w:val="18"/>
                <w:lang w:eastAsia="pl-PL"/>
              </w:rPr>
              <w:br w:type="page"/>
              <w:t>Jawornik-Myślibórz, gm. Paszowice</w:t>
            </w:r>
            <w:r w:rsidRPr="0028666F">
              <w:rPr>
                <w:rFonts w:ascii="Calibri" w:eastAsia="Times New Roman" w:hAnsi="Calibri" w:cs="Calibri"/>
                <w:color w:val="000000"/>
                <w:sz w:val="18"/>
                <w:szCs w:val="18"/>
                <w:lang w:eastAsia="pl-PL"/>
              </w:rPr>
              <w:br w:type="page"/>
              <w:t>A dla kilku toczy się procedura odwoławcza, w tym m.in. dla:</w:t>
            </w:r>
            <w:r w:rsidRPr="0028666F">
              <w:rPr>
                <w:rFonts w:ascii="Calibri" w:eastAsia="Times New Roman" w:hAnsi="Calibri" w:cs="Calibri"/>
                <w:color w:val="000000"/>
                <w:sz w:val="18"/>
                <w:szCs w:val="18"/>
                <w:lang w:eastAsia="pl-PL"/>
              </w:rPr>
              <w:br w:type="page"/>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ype="page"/>
              <w:t>Przedsięwzięciami wykazującymi oddziaływania skumulowane z wyżej wymienionymi to:</w:t>
            </w:r>
            <w:r w:rsidRPr="0028666F">
              <w:rPr>
                <w:rFonts w:ascii="Calibri" w:eastAsia="Times New Roman" w:hAnsi="Calibri" w:cs="Calibri"/>
                <w:color w:val="000000"/>
                <w:sz w:val="18"/>
                <w:szCs w:val="18"/>
                <w:lang w:eastAsia="pl-PL"/>
              </w:rPr>
              <w:br w:type="page"/>
              <w:t>„Remont i modernizacja pozostałej zabudowy regulacyjnej na Odrze granicznej”,</w:t>
            </w:r>
            <w:r w:rsidRPr="0028666F">
              <w:rPr>
                <w:rFonts w:ascii="Calibri" w:eastAsia="Times New Roman" w:hAnsi="Calibri" w:cs="Calibri"/>
                <w:color w:val="000000"/>
                <w:sz w:val="18"/>
                <w:szCs w:val="18"/>
                <w:lang w:eastAsia="pl-PL"/>
              </w:rPr>
              <w:br w:type="page"/>
              <w:t>i będąca w realizacji „Modernizacja toru wodnego Świnoujście- Szczecin do głębokości 12,5 m.” Wśród przedsięwzięd pozostałych, posiadających dśu nie starszą niż 8 lat na uwagę zasługuje: Budowa zbiornika wodnego Wielowieś Klasztorna. Jest to jedno z najbardziej ingerujących w środowisko przedsięwzięd planowanych obecnie na rzekach w Polsce (znacząco negatywnie oddziaływałoby na dorzecze Warty), obejmuje jeden z lepiej zachowanych odcinków rzek w Wielkopolsce. Inwestycja generuje duże koszty społeczne, bo jej realizacja wymaga przesiedleo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w:t>
            </w:r>
            <w:r w:rsidRPr="0028666F">
              <w:rPr>
                <w:rFonts w:ascii="Calibri" w:eastAsia="Times New Roman" w:hAnsi="Calibri" w:cs="Calibri"/>
                <w:color w:val="000000"/>
                <w:sz w:val="18"/>
                <w:szCs w:val="18"/>
                <w:lang w:eastAsia="pl-PL"/>
              </w:rPr>
              <w:br w:type="page"/>
              <w:t>Należy dodad, że dla pozostałych (wyżej nie wymienionych) przedsięwzięd organizacje społeczne przeprowadziły (w roku 2015 i 2016) analizy zasadności derogacji, a ich wyniki przedstawiły w konsultacjach aPGW. W IIaPGW opisy derogacji dla tych działao praktycznie się nie zmieniły.</w:t>
            </w:r>
            <w:r w:rsidRPr="0028666F">
              <w:rPr>
                <w:rFonts w:ascii="Calibri" w:eastAsia="Times New Roman" w:hAnsi="Calibri" w:cs="Calibri"/>
                <w:color w:val="000000"/>
                <w:sz w:val="18"/>
                <w:szCs w:val="18"/>
                <w:lang w:eastAsia="pl-PL"/>
              </w:rPr>
              <w:br w:type="page"/>
              <w:t>Ponadto, w IIaPGW brak jest aktualnych danych o statusach inwestycji – częśd z nich jest obecnie realizowana lub nawet ukooczona, np. „Modernizacja toru wodnego Świnoujście- Szczecin do głębokości 12,5 m” czy „Odbudowa Kanału Małgosia”.</w:t>
            </w:r>
          </w:p>
        </w:tc>
        <w:tc>
          <w:tcPr>
            <w:tcW w:w="2733" w:type="dxa"/>
            <w:tcBorders>
              <w:top w:val="nil"/>
              <w:left w:val="nil"/>
              <w:bottom w:val="single" w:sz="4" w:space="0" w:color="auto"/>
              <w:right w:val="single" w:sz="4" w:space="0" w:color="auto"/>
            </w:tcBorders>
            <w:shd w:val="clear" w:color="auto" w:fill="auto"/>
            <w:hideMark/>
          </w:tcPr>
          <w:p w14:paraId="392098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Należy usunąć z listy przedsięwzięd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sprawdzid,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type="page"/>
              <w:t>Przedsięwzięcia niespełniające wymogów art. 436 PW powinny się znaleźd na innej liście inwestycji i działao, które mogą spowodowad nieosiągnięcie dobrego stanu wód lub pogorszenie dobrego stanu wód – liście działao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skooczone.</w:t>
            </w:r>
          </w:p>
        </w:tc>
        <w:tc>
          <w:tcPr>
            <w:tcW w:w="3009" w:type="dxa"/>
            <w:tcBorders>
              <w:top w:val="nil"/>
              <w:left w:val="nil"/>
              <w:bottom w:val="single" w:sz="4" w:space="0" w:color="auto"/>
              <w:right w:val="single" w:sz="4" w:space="0" w:color="auto"/>
            </w:tcBorders>
            <w:shd w:val="clear" w:color="auto" w:fill="auto"/>
            <w:hideMark/>
          </w:tcPr>
          <w:p w14:paraId="32909B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t>Przynajmniej 253 z 272 przedsięwzięd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70BB74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62700C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F9B0838" w14:textId="70449F9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3322078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BB6D02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86</w:t>
            </w:r>
          </w:p>
        </w:tc>
        <w:tc>
          <w:tcPr>
            <w:tcW w:w="970" w:type="dxa"/>
            <w:tcBorders>
              <w:top w:val="nil"/>
              <w:left w:val="nil"/>
              <w:bottom w:val="single" w:sz="4" w:space="0" w:color="auto"/>
              <w:right w:val="nil"/>
            </w:tcBorders>
          </w:tcPr>
          <w:p w14:paraId="6F5C9B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w:t>
            </w:r>
            <w:r>
              <w:rPr>
                <w:rFonts w:ascii="Calibri" w:hAnsi="Calibri" w:cs="Calibri"/>
                <w:color w:val="000000"/>
                <w:sz w:val="18"/>
                <w:szCs w:val="18"/>
              </w:rPr>
              <w:lastRenderedPageBreak/>
              <w:t xml:space="preserve">a Turystyczna Nie Tylko Dla Orłów </w:t>
            </w:r>
          </w:p>
        </w:tc>
        <w:tc>
          <w:tcPr>
            <w:tcW w:w="165" w:type="dxa"/>
            <w:tcBorders>
              <w:top w:val="nil"/>
              <w:left w:val="nil"/>
              <w:bottom w:val="single" w:sz="4" w:space="0" w:color="auto"/>
              <w:right w:val="single" w:sz="4" w:space="0" w:color="auto"/>
            </w:tcBorders>
            <w:shd w:val="clear" w:color="auto" w:fill="auto"/>
          </w:tcPr>
          <w:p w14:paraId="4EBF7E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5AE8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18D4713" w14:textId="61DC701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16, Zał. 6</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lastRenderedPageBreak/>
              <w:br/>
              <w:t>Dotyczy:</w:t>
            </w:r>
            <w:r w:rsidRPr="0028666F">
              <w:rPr>
                <w:rFonts w:ascii="Calibri" w:eastAsia="Times New Roman" w:hAnsi="Calibri" w:cs="Calibri"/>
                <w:color w:val="000000"/>
                <w:sz w:val="18"/>
                <w:szCs w:val="18"/>
                <w:lang w:eastAsia="pl-PL"/>
              </w:rPr>
              <w:br/>
              <w:t>Katalogi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 xml:space="preserve">Ochrona i zwiększanie retencji na obszarach rolniczych. </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t xml:space="preserve"> Zgodnie z opisem załączników IIaPGW (Zał 7.2. - 1) działania te RWC_01.07 oraz RWC_01.05. to również realizacja konkretnych inwestycji do nich przypisanych. </w:t>
            </w:r>
            <w:r w:rsidRPr="0028666F">
              <w:rPr>
                <w:rFonts w:ascii="Calibri" w:eastAsia="Times New Roman" w:hAnsi="Calibri" w:cs="Calibri"/>
                <w:color w:val="000000"/>
                <w:sz w:val="18"/>
                <w:szCs w:val="18"/>
                <w:lang w:eastAsia="pl-PL"/>
              </w:rPr>
              <w:br/>
              <w:t>RWC_01.07 Realizacja działań wskazanych w etapie I (działanie RWC_01.06.)</w:t>
            </w:r>
            <w:r w:rsidRPr="0028666F">
              <w:rPr>
                <w:rFonts w:ascii="Calibri" w:eastAsia="Times New Roman" w:hAnsi="Calibri" w:cs="Calibri"/>
                <w:color w:val="000000"/>
                <w:sz w:val="18"/>
                <w:szCs w:val="18"/>
                <w:lang w:eastAsia="pl-PL"/>
              </w:rPr>
              <w:br/>
              <w:t>polegających na zwiększeniu poziomu retencji wody w zlewni w obszarach rolniczych dla ograniczenia wymywania zanieczyszczeń  obszarowych w celu poprawy stany wód i osiągnięcia wyznaczonych celów środowiskowych – dobrego stanu wód. Dodatkowo wzrost</w:t>
            </w:r>
            <w:r w:rsidRPr="0028666F">
              <w:rPr>
                <w:rFonts w:ascii="Calibri" w:eastAsia="Times New Roman" w:hAnsi="Calibri" w:cs="Calibri"/>
                <w:color w:val="000000"/>
                <w:sz w:val="18"/>
                <w:szCs w:val="18"/>
                <w:lang w:eastAsia="pl-PL"/>
              </w:rPr>
              <w:br/>
              <w:t xml:space="preserve">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Realizacja działao wskazanych w etapie I (działanie RWC_01.04.)</w:t>
            </w:r>
            <w:r w:rsidRPr="0028666F">
              <w:rPr>
                <w:rFonts w:ascii="Calibri" w:eastAsia="Times New Roman" w:hAnsi="Calibri" w:cs="Calibri"/>
                <w:color w:val="000000"/>
                <w:sz w:val="18"/>
                <w:szCs w:val="18"/>
                <w:lang w:eastAsia="pl-PL"/>
              </w:rPr>
              <w:br/>
              <w:t>polegających na zwiększeniu poziomu retencji wody w zlewni w</w:t>
            </w:r>
            <w:r w:rsidRPr="0028666F">
              <w:rPr>
                <w:rFonts w:ascii="Calibri" w:eastAsia="Times New Roman" w:hAnsi="Calibri" w:cs="Calibri"/>
                <w:color w:val="000000"/>
                <w:sz w:val="18"/>
                <w:szCs w:val="18"/>
                <w:lang w:eastAsia="pl-PL"/>
              </w:rPr>
              <w:br/>
              <w:t>obszarach leśnych dla ograniczenia wymywania zanieczyszczeo</w:t>
            </w:r>
            <w:r w:rsidRPr="0028666F">
              <w:rPr>
                <w:rFonts w:ascii="Calibri" w:eastAsia="Times New Roman" w:hAnsi="Calibri" w:cs="Calibri"/>
                <w:color w:val="000000"/>
                <w:sz w:val="18"/>
                <w:szCs w:val="18"/>
                <w:lang w:eastAsia="pl-PL"/>
              </w:rPr>
              <w:br/>
              <w:t>obszarowych w celu poprawy stany wód i osiągnięcia wyznaczonych</w:t>
            </w:r>
            <w:r w:rsidRPr="0028666F">
              <w:rPr>
                <w:rFonts w:ascii="Calibri" w:eastAsia="Times New Roman" w:hAnsi="Calibri" w:cs="Calibri"/>
                <w:color w:val="000000"/>
                <w:sz w:val="18"/>
                <w:szCs w:val="18"/>
                <w:lang w:eastAsia="pl-PL"/>
              </w:rPr>
              <w:br/>
              <w:t>celów środowiskowych – dobrego stanu wód. Dodatkowo wzrost</w:t>
            </w:r>
            <w:r w:rsidRPr="0028666F">
              <w:rPr>
                <w:rFonts w:ascii="Calibri" w:eastAsia="Times New Roman" w:hAnsi="Calibri" w:cs="Calibri"/>
                <w:color w:val="000000"/>
                <w:sz w:val="18"/>
                <w:szCs w:val="18"/>
                <w:lang w:eastAsia="pl-PL"/>
              </w:rPr>
              <w:br/>
              <w:t xml:space="preserve">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w:t>
            </w:r>
            <w:r w:rsidRPr="0028666F">
              <w:rPr>
                <w:rFonts w:ascii="Calibri" w:eastAsia="Times New Roman" w:hAnsi="Calibri" w:cs="Calibri"/>
                <w:color w:val="000000"/>
                <w:sz w:val="18"/>
                <w:szCs w:val="18"/>
                <w:lang w:eastAsia="pl-PL"/>
              </w:rPr>
              <w:br/>
              <w:t>ramach programu PPSS.</w:t>
            </w:r>
            <w:r w:rsidRPr="0028666F">
              <w:rPr>
                <w:rFonts w:ascii="Calibri" w:eastAsia="Times New Roman" w:hAnsi="Calibri" w:cs="Calibri"/>
                <w:color w:val="000000"/>
                <w:sz w:val="18"/>
                <w:szCs w:val="18"/>
                <w:lang w:eastAsia="pl-PL"/>
              </w:rPr>
              <w:br/>
              <w:t xml:space="preserve"> Zastosowanie RWC_01.07 (rolnicze) to Budowa oraz przebudowa</w:t>
            </w:r>
            <w:r w:rsidRPr="0028666F">
              <w:rPr>
                <w:rFonts w:ascii="Calibri" w:eastAsia="Times New Roman" w:hAnsi="Calibri" w:cs="Calibri"/>
                <w:color w:val="000000"/>
                <w:sz w:val="18"/>
                <w:szCs w:val="18"/>
                <w:lang w:eastAsia="pl-PL"/>
              </w:rPr>
              <w:br/>
              <w:t xml:space="preserve"> urządzeo melioracji wodnych dla zwiększania retencji glebowej (w</w:t>
            </w:r>
            <w:r w:rsidRPr="0028666F">
              <w:rPr>
                <w:rFonts w:ascii="Calibri" w:eastAsia="Times New Roman" w:hAnsi="Calibri" w:cs="Calibri"/>
                <w:color w:val="000000"/>
                <w:sz w:val="18"/>
                <w:szCs w:val="18"/>
                <w:lang w:eastAsia="pl-PL"/>
              </w:rPr>
              <w:br/>
              <w:t xml:space="preserve"> zakresie budowy/przebudowy) oraz inne metody zwiększenia ilości i</w:t>
            </w:r>
            <w:r w:rsidRPr="0028666F">
              <w:rPr>
                <w:rFonts w:ascii="Calibri" w:eastAsia="Times New Roman" w:hAnsi="Calibri" w:cs="Calibri"/>
                <w:color w:val="000000"/>
                <w:sz w:val="18"/>
                <w:szCs w:val="18"/>
                <w:lang w:eastAsia="pl-PL"/>
              </w:rPr>
              <w:br/>
              <w:t xml:space="preserve"> czasu retencji wód na gruntach rolnych.</w:t>
            </w:r>
            <w:r w:rsidRPr="0028666F">
              <w:rPr>
                <w:rFonts w:ascii="Calibri" w:eastAsia="Times New Roman" w:hAnsi="Calibri" w:cs="Calibri"/>
                <w:color w:val="000000"/>
                <w:sz w:val="18"/>
                <w:szCs w:val="18"/>
                <w:lang w:eastAsia="pl-PL"/>
              </w:rPr>
              <w:br/>
              <w:t xml:space="preserve"> A implementacja działao leśnych RWC_01.05 ma polegad na realizacji</w:t>
            </w:r>
            <w:r w:rsidRPr="0028666F">
              <w:rPr>
                <w:rFonts w:ascii="Calibri" w:eastAsia="Times New Roman" w:hAnsi="Calibri" w:cs="Calibri"/>
                <w:color w:val="000000"/>
                <w:sz w:val="18"/>
                <w:szCs w:val="18"/>
                <w:lang w:eastAsia="pl-PL"/>
              </w:rPr>
              <w:br/>
              <w:t xml:space="preserve"> przedsięwzięć w ramach tzw. małej retencji górskiej i nizinnej.</w:t>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28666F">
              <w:rPr>
                <w:rFonts w:ascii="Calibri" w:eastAsia="Times New Roman" w:hAnsi="Calibri" w:cs="Calibri"/>
                <w:color w:val="000000"/>
                <w:sz w:val="18"/>
                <w:szCs w:val="18"/>
                <w:lang w:eastAsia="pl-PL"/>
              </w:rPr>
              <w:br/>
              <w:t xml:space="preserve">Działania z zakresu małej retencji polegają obecnie na budowie zbiorników małej retencji – również w dolinach naturalnych rzek i potoków, wraz z ich przegradzaniem i likwidacją siedlisk przybrzeżnych. Kolejne realizowane obecnie przez Lasy Państwowe działania to: zabudowa przeciwerozyjna dróg, szlaków zrywkowych oraz zabezpieczenie obiektów infrastruktury leśnej przed skutkami nadmiernej erozji wodnej związanej z gwałtownymi opadami i spływami wód (m.in. wodospusty, płotki </w:t>
            </w:r>
            <w:r w:rsidRPr="0028666F">
              <w:rPr>
                <w:rFonts w:ascii="Calibri" w:eastAsia="Times New Roman" w:hAnsi="Calibri" w:cs="Calibri"/>
                <w:color w:val="000000"/>
                <w:sz w:val="18"/>
                <w:szCs w:val="18"/>
                <w:lang w:eastAsia="pl-PL"/>
              </w:rPr>
              <w:lastRenderedPageBreak/>
              <w:t>drewniane, kaszyce, narzut kamienny).</w:t>
            </w:r>
            <w:r w:rsidRPr="0028666F">
              <w:rPr>
                <w:rFonts w:ascii="Calibri" w:eastAsia="Times New Roman" w:hAnsi="Calibri" w:cs="Calibri"/>
                <w:color w:val="000000"/>
                <w:sz w:val="18"/>
                <w:szCs w:val="18"/>
                <w:lang w:eastAsia="pl-PL"/>
              </w:rPr>
              <w:br/>
              <w:t>Są to zwykłe regulacje rzek i potoków płynących np. w sąsiedztwie dróg leśnych wybudowanych wzdłuż cieków.</w:t>
            </w:r>
            <w:r w:rsidRPr="0028666F">
              <w:rPr>
                <w:rFonts w:ascii="Calibri" w:eastAsia="Times New Roman" w:hAnsi="Calibri" w:cs="Calibri"/>
                <w:color w:val="000000"/>
                <w:sz w:val="18"/>
                <w:szCs w:val="18"/>
                <w:lang w:eastAsia="pl-PL"/>
              </w:rPr>
              <w:br/>
              <w:t>Występuje tu niezgodnośd z celami RDW, celami związanymi z ochroną bioróżnorodności. Wymienione rodzaje działao inwestycyjnych z PPSS, i Małej retencji powinny podlegad ocenom z art. 4.7 a nie byd działaniem mającym spełniad cele RDW, z którymi (w większości) są sprzeczne.</w:t>
            </w:r>
            <w:r w:rsidRPr="0028666F">
              <w:rPr>
                <w:rFonts w:ascii="Calibri" w:eastAsia="Times New Roman" w:hAnsi="Calibri" w:cs="Calibri"/>
                <w:color w:val="000000"/>
                <w:sz w:val="18"/>
                <w:szCs w:val="18"/>
                <w:lang w:eastAsia="pl-PL"/>
              </w:rPr>
              <w:br/>
              <w:t>Jeśli mają zostad w IIaPGW, musi powstad zapis uniemożliwiający realizacji działao mogących pogorszyd hydromorfologię rzek i potoków oraz wpływad negatywnie na siedliska przyrodnicze z nimi związane. Należałoby wykreślid możliwośd budowy urządzeo technicznych na naturalnych ciekach oraz przekształcanie tych cieków. Należy wprowadzid działania renaturyzacyjne, wpisane w KPRWP.</w:t>
            </w:r>
          </w:p>
        </w:tc>
        <w:tc>
          <w:tcPr>
            <w:tcW w:w="2733" w:type="dxa"/>
            <w:tcBorders>
              <w:top w:val="nil"/>
              <w:left w:val="nil"/>
              <w:bottom w:val="single" w:sz="4" w:space="0" w:color="auto"/>
              <w:right w:val="single" w:sz="4" w:space="0" w:color="auto"/>
            </w:tcBorders>
            <w:shd w:val="clear" w:color="auto" w:fill="auto"/>
            <w:hideMark/>
          </w:tcPr>
          <w:p w14:paraId="53ECA3F4"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Usunąć zapisy pozwalające na realizacji działań polegających na </w:t>
            </w:r>
            <w:r w:rsidRPr="0028666F">
              <w:rPr>
                <w:rFonts w:ascii="Calibri" w:eastAsia="Times New Roman" w:hAnsi="Calibri" w:cs="Calibri"/>
                <w:color w:val="000000"/>
                <w:sz w:val="18"/>
                <w:szCs w:val="18"/>
                <w:lang w:eastAsia="pl-PL"/>
              </w:rPr>
              <w:lastRenderedPageBreak/>
              <w:t xml:space="preserve">pogorszeniu hydromorfologii rzek i pogorszeniu stanu obszarów mokradłowych z nimi związanych. Wykreślid działania RWC_01.05 i RWC_01.07 lub diametralnie zmienić ich planowany zakres, zgodnie z KPRWP. </w:t>
            </w:r>
          </w:p>
        </w:tc>
        <w:tc>
          <w:tcPr>
            <w:tcW w:w="3009" w:type="dxa"/>
            <w:tcBorders>
              <w:top w:val="nil"/>
              <w:left w:val="nil"/>
              <w:bottom w:val="single" w:sz="4" w:space="0" w:color="auto"/>
              <w:right w:val="single" w:sz="4" w:space="0" w:color="auto"/>
            </w:tcBorders>
            <w:shd w:val="clear" w:color="auto" w:fill="auto"/>
            <w:hideMark/>
          </w:tcPr>
          <w:p w14:paraId="385AB1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Jak w treści uwagi.</w:t>
            </w:r>
            <w:r w:rsidRPr="0028666F">
              <w:rPr>
                <w:rFonts w:ascii="Calibri" w:eastAsia="Times New Roman" w:hAnsi="Calibri" w:cs="Calibri"/>
                <w:color w:val="000000"/>
                <w:sz w:val="18"/>
                <w:szCs w:val="18"/>
                <w:lang w:eastAsia="pl-PL"/>
              </w:rPr>
              <w:br/>
              <w:t xml:space="preserve">Pod szyldem adaptacji do zmian </w:t>
            </w:r>
            <w:r w:rsidRPr="0028666F">
              <w:rPr>
                <w:rFonts w:ascii="Calibri" w:eastAsia="Times New Roman" w:hAnsi="Calibri" w:cs="Calibri"/>
                <w:color w:val="000000"/>
                <w:sz w:val="18"/>
                <w:szCs w:val="18"/>
                <w:lang w:eastAsia="pl-PL"/>
              </w:rPr>
              <w:lastRenderedPageBreak/>
              <w:t>klimatu wprowadza się działania w większości zwiększające presję hydromorfologiczną oraz presję na siedliska i gatunki od wód zależne (także w obszarach chronionych). Jest to sprzeczne z postanowieniami RDW (powinny podlegad ocenie spłeniania warunków 4.7).</w:t>
            </w:r>
          </w:p>
        </w:tc>
        <w:tc>
          <w:tcPr>
            <w:tcW w:w="1720" w:type="dxa"/>
            <w:tcBorders>
              <w:top w:val="nil"/>
              <w:left w:val="nil"/>
              <w:bottom w:val="single" w:sz="4" w:space="0" w:color="auto"/>
              <w:right w:val="single" w:sz="4" w:space="0" w:color="auto"/>
            </w:tcBorders>
            <w:shd w:val="clear" w:color="000000" w:fill="FFFFFF"/>
            <w:hideMark/>
          </w:tcPr>
          <w:p w14:paraId="0A6461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SOT_NieTylkoDlaOrłów_Odra</w:t>
            </w:r>
          </w:p>
        </w:tc>
        <w:tc>
          <w:tcPr>
            <w:tcW w:w="1014" w:type="dxa"/>
            <w:tcBorders>
              <w:top w:val="nil"/>
              <w:left w:val="nil"/>
              <w:bottom w:val="single" w:sz="4" w:space="0" w:color="auto"/>
              <w:right w:val="single" w:sz="4" w:space="0" w:color="auto"/>
            </w:tcBorders>
            <w:shd w:val="clear" w:color="auto" w:fill="auto"/>
            <w:hideMark/>
          </w:tcPr>
          <w:p w14:paraId="47F051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977C7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te, jak wspomniano w uwadze są powiązane z Planem przeciwdziałania skutkom suszy (PPSS) </w:t>
            </w:r>
            <w:r w:rsidRPr="0028666F">
              <w:rPr>
                <w:rFonts w:ascii="Calibri" w:eastAsia="Times New Roman" w:hAnsi="Calibri" w:cs="Calibri"/>
                <w:color w:val="000000"/>
                <w:sz w:val="18"/>
                <w:szCs w:val="18"/>
                <w:lang w:eastAsia="pl-PL"/>
              </w:rPr>
              <w:lastRenderedPageBreak/>
              <w:t>wprowadzonym Rozporządzenie Ministra Infrastruktury z dnia 15 lipca 2021 r. w sprawie przyjęcia Planu przeciwdziałania skutkom suszy (Dz.U. 2021 poz. 1615). Dotyczą szeroko rozumianej retencji krajobrazowej i nie są związane z tworzeniem barier na rzekach i pogorszeniem obszarów mokradłowych. Zgodnie z zapisami PPSS:</w:t>
            </w:r>
            <w:r w:rsidRPr="0028666F">
              <w:rPr>
                <w:rFonts w:ascii="Calibri" w:eastAsia="Times New Roman" w:hAnsi="Calibri" w:cs="Calibri"/>
                <w:color w:val="000000"/>
                <w:sz w:val="18"/>
                <w:szCs w:val="18"/>
                <w:lang w:eastAsia="pl-PL"/>
              </w:rPr>
              <w:br/>
              <w:t>Działanie „Zwiększenie ilości i czasu retencji wód na gruntach rolnych.”</w:t>
            </w:r>
            <w:r w:rsidRPr="0028666F">
              <w:rPr>
                <w:rFonts w:ascii="Calibri" w:eastAsia="Times New Roman" w:hAnsi="Calibri" w:cs="Calibri"/>
                <w:color w:val="000000"/>
                <w:sz w:val="18"/>
                <w:szCs w:val="18"/>
                <w:lang w:eastAsia="pl-PL"/>
              </w:rPr>
              <w:br/>
              <w:t>Polega na (Opis działania z PPSS):</w:t>
            </w:r>
            <w:r w:rsidRPr="0028666F">
              <w:rPr>
                <w:rFonts w:ascii="Calibri" w:eastAsia="Times New Roman" w:hAnsi="Calibri" w:cs="Calibri"/>
                <w:color w:val="000000"/>
                <w:sz w:val="18"/>
                <w:szCs w:val="18"/>
                <w:lang w:eastAsia="pl-PL"/>
              </w:rPr>
              <w:br/>
              <w:t>Działanie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Działanie: „Zwiększenie retencji naturalnej i sztucznej na gruntach leśnych.”</w:t>
            </w:r>
            <w:r w:rsidRPr="0028666F">
              <w:rPr>
                <w:rFonts w:ascii="Calibri" w:eastAsia="Times New Roman" w:hAnsi="Calibri" w:cs="Calibri"/>
                <w:color w:val="000000"/>
                <w:sz w:val="18"/>
                <w:szCs w:val="18"/>
                <w:lang w:eastAsia="pl-PL"/>
              </w:rPr>
              <w:br/>
              <w:t>Polega na:</w:t>
            </w:r>
            <w:r w:rsidRPr="0028666F">
              <w:rPr>
                <w:rFonts w:ascii="Calibri" w:eastAsia="Times New Roman" w:hAnsi="Calibri" w:cs="Calibri"/>
                <w:color w:val="000000"/>
                <w:sz w:val="18"/>
                <w:szCs w:val="18"/>
                <w:lang w:eastAsia="pl-PL"/>
              </w:rPr>
              <w:br/>
              <w:t>Działanie obejmuje zarówno opracowanie analizy potrzeb i możliwości zwiększania retencji na gruntach leśnych oraz przyjęcie do realizacji wskazanych w analizie możliwych rozwiązań służących zwiększeniu retencji. Rozwiązania te realizują następujące cele:</w:t>
            </w:r>
            <w:r w:rsidRPr="0028666F">
              <w:rPr>
                <w:rFonts w:ascii="Calibri" w:eastAsia="Times New Roman" w:hAnsi="Calibri" w:cs="Calibri"/>
                <w:color w:val="000000"/>
                <w:sz w:val="18"/>
                <w:szCs w:val="18"/>
                <w:lang w:eastAsia="pl-PL"/>
              </w:rPr>
              <w:br/>
              <w:t xml:space="preserve">a) spowolnienie lub zatrzymywanie odpływu wód na gruntach leśnych w obrębie małych zlewni, tj. stosowania technicznych rozwiązań w zakresie realizacji budowy i przebudowy urządzeń wodnych, takich jak urządzenia </w:t>
            </w:r>
            <w:r w:rsidRPr="0028666F">
              <w:rPr>
                <w:rFonts w:ascii="Calibri" w:eastAsia="Times New Roman" w:hAnsi="Calibri" w:cs="Calibri"/>
                <w:color w:val="000000"/>
                <w:sz w:val="18"/>
                <w:szCs w:val="18"/>
                <w:lang w:eastAsia="pl-PL"/>
              </w:rPr>
              <w:lastRenderedPageBreak/>
              <w:t>piętrzące, zastawki, progi, jazy, groble,</w:t>
            </w:r>
            <w:r w:rsidRPr="0028666F">
              <w:rPr>
                <w:rFonts w:ascii="Calibri" w:eastAsia="Times New Roman" w:hAnsi="Calibri" w:cs="Calibri"/>
                <w:color w:val="000000"/>
                <w:sz w:val="18"/>
                <w:szCs w:val="18"/>
                <w:lang w:eastAsia="pl-PL"/>
              </w:rPr>
              <w:br/>
              <w:t>b) utrzymanie cieków oraz związanej z nimi infrastruktury w dobrym stanie,</w:t>
            </w:r>
            <w:r w:rsidRPr="0028666F">
              <w:rPr>
                <w:rFonts w:ascii="Calibri" w:eastAsia="Times New Roman" w:hAnsi="Calibri" w:cs="Calibri"/>
                <w:color w:val="000000"/>
                <w:sz w:val="18"/>
                <w:szCs w:val="18"/>
                <w:lang w:eastAsia="pl-PL"/>
              </w:rPr>
              <w:br/>
              <w:t>c) jednoczesne zachowanie krajobrazu jak najbardziej zbliżonego do naturalnego,</w:t>
            </w:r>
            <w:r w:rsidRPr="0028666F">
              <w:rPr>
                <w:rFonts w:ascii="Calibri" w:eastAsia="Times New Roman" w:hAnsi="Calibri" w:cs="Calibri"/>
                <w:color w:val="000000"/>
                <w:sz w:val="18"/>
                <w:szCs w:val="18"/>
                <w:lang w:eastAsia="pl-PL"/>
              </w:rPr>
              <w:br/>
              <w:t>d) renaturyzacja cieków, odtwarzanie obszarów wodno-błotnych,</w:t>
            </w:r>
            <w:r w:rsidRPr="0028666F">
              <w:rPr>
                <w:rFonts w:ascii="Calibri" w:eastAsia="Times New Roman" w:hAnsi="Calibri" w:cs="Calibri"/>
                <w:color w:val="000000"/>
                <w:sz w:val="18"/>
                <w:szCs w:val="18"/>
                <w:lang w:eastAsia="pl-PL"/>
              </w:rPr>
              <w:br/>
              <w:t>e) zwiększanie możliwości retencyjnych oraz przeciwdziałanie powodzi i suszy w ekosystemach leśnych na terenach nizinnych,</w:t>
            </w:r>
            <w:r w:rsidRPr="0028666F">
              <w:rPr>
                <w:rFonts w:ascii="Calibri" w:eastAsia="Times New Roman" w:hAnsi="Calibri" w:cs="Calibri"/>
                <w:color w:val="000000"/>
                <w:sz w:val="18"/>
                <w:szCs w:val="18"/>
                <w:lang w:eastAsia="pl-PL"/>
              </w:rPr>
              <w:br/>
              <w:t>f) przeciwdziałanie erozji wodnej gleb na terenach górskich związanej ze spływem wód opadowych. Utrzymanie potoków górskich i związanej z nimi infrastruktury w dobrym stanie,</w:t>
            </w:r>
            <w:r w:rsidRPr="0028666F">
              <w:rPr>
                <w:rFonts w:ascii="Calibri" w:eastAsia="Times New Roman" w:hAnsi="Calibri" w:cs="Calibri"/>
                <w:color w:val="000000"/>
                <w:sz w:val="18"/>
                <w:szCs w:val="18"/>
                <w:lang w:eastAsia="pl-PL"/>
              </w:rPr>
              <w:br/>
              <w:t>g) kompleksowy projekt adaptacji lasów i leśnictwa do zmian klimatu – mała retencja oraz przeciwdziałanie erozji wodnej na terenach górskich,</w:t>
            </w:r>
            <w:r w:rsidRPr="0028666F">
              <w:rPr>
                <w:rFonts w:ascii="Calibri" w:eastAsia="Times New Roman" w:hAnsi="Calibri" w:cs="Calibri"/>
                <w:color w:val="000000"/>
                <w:sz w:val="18"/>
                <w:szCs w:val="18"/>
                <w:lang w:eastAsia="pl-PL"/>
              </w:rPr>
              <w:br/>
              <w:t>h) kompleksowy projekt adaptacji lasów i leśnictwa do zmian klimatu – mała retencja.</w:t>
            </w:r>
          </w:p>
        </w:tc>
      </w:tr>
      <w:tr w:rsidR="007C2B40" w:rsidRPr="0028666F" w14:paraId="5D15E48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B88C17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87</w:t>
            </w:r>
          </w:p>
        </w:tc>
        <w:tc>
          <w:tcPr>
            <w:tcW w:w="970" w:type="dxa"/>
            <w:tcBorders>
              <w:top w:val="nil"/>
              <w:left w:val="nil"/>
              <w:bottom w:val="single" w:sz="4" w:space="0" w:color="auto"/>
              <w:right w:val="nil"/>
            </w:tcBorders>
          </w:tcPr>
          <w:p w14:paraId="08735EE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4D0DA2B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28CA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AF5555F" w14:textId="210FDE0D"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Działania udrożnienia barier migracyjnych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Należy zmienid zakres działao przypisanych budowlom piętrzącym, aby umożliwid realizację celów środowiskowych RDW.</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ciągłośd biologiczną i spełnienie celów środowiskowych. Realizacja działao zgodnie z przeprowadzoną analizą.</w:t>
            </w:r>
            <w:r w:rsidRPr="0028666F">
              <w:rPr>
                <w:rFonts w:ascii="Calibri" w:eastAsia="Times New Roman" w:hAnsi="Calibri" w:cs="Calibri"/>
                <w:color w:val="000000"/>
                <w:sz w:val="18"/>
                <w:szCs w:val="18"/>
                <w:lang w:eastAsia="pl-PL"/>
              </w:rPr>
              <w:br/>
              <w:t>lub Analiza możliwości likwidacji budowli poprzecznych...lub</w:t>
            </w:r>
            <w:r w:rsidRPr="0028666F">
              <w:rPr>
                <w:rFonts w:ascii="Calibri" w:eastAsia="Times New Roman" w:hAnsi="Calibri" w:cs="Calibri"/>
                <w:color w:val="000000"/>
                <w:sz w:val="18"/>
                <w:szCs w:val="18"/>
                <w:lang w:eastAsia="pl-PL"/>
              </w:rPr>
              <w:br/>
              <w:t>Analiza możliwości likwidacji budowli poprzecznych/przebudowa budowli poprzecznych</w:t>
            </w:r>
            <w:r w:rsidRPr="0028666F">
              <w:rPr>
                <w:rFonts w:ascii="Calibri" w:eastAsia="Times New Roman" w:hAnsi="Calibri" w:cs="Calibri"/>
                <w:color w:val="000000"/>
                <w:sz w:val="18"/>
                <w:szCs w:val="18"/>
                <w:lang w:eastAsia="pl-PL"/>
              </w:rPr>
              <w:br/>
              <w:t>należy zmienid zapis z „Analiza możliwości...” na „Analiza sposobu...” – pozostawienie działania na poziomie badania możliwości nie gwarantuje podjęcia kroków na rzecz przedsięwzięd sprzyjających osiąganiu celów środowiskowych.</w:t>
            </w:r>
            <w:r w:rsidRPr="0028666F">
              <w:rPr>
                <w:rFonts w:ascii="Calibri" w:eastAsia="Times New Roman" w:hAnsi="Calibri" w:cs="Calibri"/>
                <w:color w:val="000000"/>
                <w:sz w:val="18"/>
                <w:szCs w:val="18"/>
                <w:lang w:eastAsia="pl-PL"/>
              </w:rPr>
              <w:br/>
              <w:t>Tam gdzie jest: „Analiza możliwości przebudowy budowli poprzecznych...„</w:t>
            </w:r>
            <w:r w:rsidRPr="0028666F">
              <w:rPr>
                <w:rFonts w:ascii="Calibri" w:eastAsia="Times New Roman" w:hAnsi="Calibri" w:cs="Calibri"/>
                <w:color w:val="000000"/>
                <w:sz w:val="18"/>
                <w:szCs w:val="18"/>
                <w:lang w:eastAsia="pl-PL"/>
              </w:rPr>
              <w:br/>
              <w:t>należy dokonać zmiany na „Analiza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„Monitoring skuteczności istniejących urządzeo do migracji ryb.” i/lub „Kontrola funkcjonowania urządzeo do migracji ryb.”</w:t>
            </w:r>
            <w:r w:rsidRPr="0028666F">
              <w:rPr>
                <w:rFonts w:ascii="Calibri" w:eastAsia="Times New Roman" w:hAnsi="Calibri" w:cs="Calibri"/>
                <w:color w:val="000000"/>
                <w:sz w:val="18"/>
                <w:szCs w:val="18"/>
                <w:lang w:eastAsia="pl-PL"/>
              </w:rPr>
              <w:br/>
              <w:t>należy dodad kolejne działanie (Działanie I lub Działanie II): „Przebudowa lub budowa nowego urządzenia dla migracji organizmów wodnych w wypadku jego braku lub nieskutecznego działania / Przegląd zgód wodnoprawnych w przypadku zaniechania działao udrożnieniowych.”</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ciągłośd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dodad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realizacja </w:t>
            </w:r>
            <w:r w:rsidRPr="0028666F">
              <w:rPr>
                <w:rFonts w:ascii="Calibri" w:eastAsia="Times New Roman" w:hAnsi="Calibri" w:cs="Calibri"/>
                <w:color w:val="000000"/>
                <w:sz w:val="18"/>
                <w:szCs w:val="18"/>
                <w:lang w:eastAsia="pl-PL"/>
              </w:rPr>
              <w:lastRenderedPageBreak/>
              <w:t>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0D912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Jak w treści uwagi.</w:t>
            </w:r>
          </w:p>
        </w:tc>
        <w:tc>
          <w:tcPr>
            <w:tcW w:w="3009" w:type="dxa"/>
            <w:tcBorders>
              <w:top w:val="nil"/>
              <w:left w:val="nil"/>
              <w:bottom w:val="single" w:sz="4" w:space="0" w:color="auto"/>
              <w:right w:val="single" w:sz="4" w:space="0" w:color="auto"/>
            </w:tcBorders>
            <w:shd w:val="clear" w:color="auto" w:fill="auto"/>
            <w:hideMark/>
          </w:tcPr>
          <w:p w14:paraId="12AC5A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7913A4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019ED4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4539FFC4" w14:textId="0E4F246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7D6FD8E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BEC408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88</w:t>
            </w:r>
          </w:p>
        </w:tc>
        <w:tc>
          <w:tcPr>
            <w:tcW w:w="970" w:type="dxa"/>
            <w:tcBorders>
              <w:top w:val="nil"/>
              <w:left w:val="nil"/>
              <w:bottom w:val="single" w:sz="4" w:space="0" w:color="auto"/>
              <w:right w:val="nil"/>
            </w:tcBorders>
          </w:tcPr>
          <w:p w14:paraId="2173FA5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7958CFF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F3060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DEEFF25" w14:textId="4AF4535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Działania - udrożnienia</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Odry) na dwa tygodnie przed koocem półrocznych konsultacji publicznych nie pozwala na pełne odniesienie się do jego zapisów. Poniżej przedstawiono podstawowe braki w programie działao udrożnieniowych, mogących mied skutki nie tylko lokalnego nieosiągnięcia celów środowiskowych, ale także - w skali całego dorzecza. Zidentyfikowano m.in. zaniechanie realizacji działao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t>Zaniechania i braki mogące skutkowad nieosiągnięciem celów środowiskowych w rozumieniu RDW, w tym celów dla obszarów Natura 2000, to m.in.:</w:t>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zadao dla obszarów chronionych, ale już nie w działaniach na budowlach piętrzących – żadnych działao nie przeprowadzono.</w:t>
            </w:r>
            <w:r w:rsidRPr="0028666F">
              <w:rPr>
                <w:rFonts w:ascii="Calibri" w:eastAsia="Times New Roman" w:hAnsi="Calibri" w:cs="Calibri"/>
                <w:color w:val="000000"/>
                <w:sz w:val="18"/>
                <w:szCs w:val="18"/>
                <w:lang w:eastAsia="pl-PL"/>
              </w:rPr>
              <w:br/>
              <w:t>W IIaPGW zaproponowano realizację działao wynikających z analizy drożności, ale tylko dla 3 piętrzeo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oddziaływad na obszar Natura 2000.</w:t>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pozostad nieudrożnionych. Wyłącznie „ocenę wpływu” zaproponowano dla piętrzeo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 xml:space="preserve">Piława – niedrożne piętrzenie nr 2914 (celem środowiskowym jest zapewnienie drożności cieku dla migracji ichtiofauny, o ile jest </w:t>
            </w:r>
            <w:r w:rsidRPr="0028666F">
              <w:rPr>
                <w:rFonts w:ascii="Calibri" w:eastAsia="Times New Roman" w:hAnsi="Calibri" w:cs="Calibri"/>
                <w:color w:val="000000"/>
                <w:sz w:val="18"/>
                <w:szCs w:val="18"/>
                <w:lang w:eastAsia="pl-PL"/>
              </w:rPr>
              <w:lastRenderedPageBreak/>
              <w:t>monitorowany wskaźnik diadromiczny D). W ramach IIapGW zaproponowano tylko ocenę wpływu, brak działao udrożnieniowych.</w:t>
            </w:r>
            <w:r w:rsidRPr="0028666F">
              <w:rPr>
                <w:rFonts w:ascii="Calibri" w:eastAsia="Times New Roman" w:hAnsi="Calibri" w:cs="Calibri"/>
                <w:color w:val="000000"/>
                <w:sz w:val="18"/>
                <w:szCs w:val="18"/>
                <w:lang w:eastAsia="pl-PL"/>
              </w:rPr>
              <w:br/>
              <w:t xml:space="preserve">· Zbiorniki zaporowe - Jeziorsko 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mied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Załęczaoskiego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IRS i WWF Polska, s. 82 Warta powyżej zbiornika była wskazana jako rzeka istotna dla ww. gatunków diadromicznych. Umożliwienie migracji przez zaporę Zb. Jeziorsko (właśnie remontowaną za dziesiątki mln zł) jest też istotne dla innych dalekodystansowych migrantów, jak boleo.</w:t>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działao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 xml:space="preserve">IIaPGW proponuje działania „Kontrola...” i „Monitoring...”, a piętrzenie wymaga pilnej przebudowy (istotne z punktu widzenia ochrony obszaru Natura 2000 i ryb dwuśrodowiskowych). </w:t>
            </w:r>
          </w:p>
        </w:tc>
        <w:tc>
          <w:tcPr>
            <w:tcW w:w="2733" w:type="dxa"/>
            <w:tcBorders>
              <w:top w:val="nil"/>
              <w:left w:val="nil"/>
              <w:bottom w:val="single" w:sz="4" w:space="0" w:color="auto"/>
              <w:right w:val="single" w:sz="4" w:space="0" w:color="auto"/>
            </w:tcBorders>
            <w:shd w:val="clear" w:color="auto" w:fill="auto"/>
            <w:hideMark/>
          </w:tcPr>
          <w:p w14:paraId="34BF235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Uzupełnić listę działao inwestycyjnych – faktycznych udrożnieo o wszystkie wynikające z PZO i innych planów dla cennych przyrodniczo obszarów chronionych.</w:t>
            </w:r>
            <w:r w:rsidRPr="0028666F">
              <w:rPr>
                <w:rFonts w:ascii="Calibri" w:eastAsia="Times New Roman" w:hAnsi="Calibri" w:cs="Calibri"/>
                <w:color w:val="000000"/>
                <w:sz w:val="18"/>
                <w:szCs w:val="18"/>
                <w:lang w:eastAsia="pl-PL"/>
              </w:rPr>
              <w:br/>
              <w:t>Uzupełnić działania inwestycyjne według wymagao dla ryb (kolumny – X-AD w zał. 4 „erraty”).</w:t>
            </w:r>
            <w:r w:rsidRPr="0028666F">
              <w:rPr>
                <w:rFonts w:ascii="Calibri" w:eastAsia="Times New Roman" w:hAnsi="Calibri" w:cs="Calibri"/>
                <w:color w:val="000000"/>
                <w:sz w:val="18"/>
                <w:szCs w:val="18"/>
                <w:lang w:eastAsia="pl-PL"/>
              </w:rPr>
              <w:br/>
              <w:t>Dokonać ponownej weryfikacji drożności budowli na podstawie faktycznego stanu budowli, a nie tylko ankietyzacji właściciela lub użytkownika budowli.</w:t>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 xml:space="preserve">Udrożnid dla ryb zaporę Zb. Jeziorsko odcinającą całą górna zlewnię Warty. </w:t>
            </w:r>
          </w:p>
        </w:tc>
        <w:tc>
          <w:tcPr>
            <w:tcW w:w="3009" w:type="dxa"/>
            <w:tcBorders>
              <w:top w:val="nil"/>
              <w:left w:val="nil"/>
              <w:bottom w:val="single" w:sz="4" w:space="0" w:color="auto"/>
              <w:right w:val="single" w:sz="4" w:space="0" w:color="auto"/>
            </w:tcBorders>
            <w:shd w:val="clear" w:color="auto" w:fill="auto"/>
            <w:hideMark/>
          </w:tcPr>
          <w:p w14:paraId="23BB35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1720" w:type="dxa"/>
            <w:tcBorders>
              <w:top w:val="nil"/>
              <w:left w:val="nil"/>
              <w:bottom w:val="single" w:sz="4" w:space="0" w:color="auto"/>
              <w:right w:val="single" w:sz="4" w:space="0" w:color="auto"/>
            </w:tcBorders>
            <w:shd w:val="clear" w:color="000000" w:fill="FFFFFF"/>
            <w:hideMark/>
          </w:tcPr>
          <w:p w14:paraId="5FF287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7655BE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26EBDB0" w14:textId="6C9CB54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w:t>
            </w:r>
            <w:r w:rsidRPr="0028666F">
              <w:rPr>
                <w:rFonts w:ascii="Calibri" w:eastAsia="Times New Roman" w:hAnsi="Calibri" w:cs="Calibri"/>
                <w:color w:val="000000"/>
                <w:sz w:val="18"/>
                <w:szCs w:val="18"/>
                <w:lang w:eastAsia="pl-PL"/>
              </w:rPr>
              <w:lastRenderedPageBreak/>
              <w:t xml:space="preserve">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przebudowy budowli piętrzących w zakresie zapewniającym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4E259A2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E04F0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89</w:t>
            </w:r>
          </w:p>
        </w:tc>
        <w:tc>
          <w:tcPr>
            <w:tcW w:w="970" w:type="dxa"/>
            <w:tcBorders>
              <w:top w:val="nil"/>
              <w:left w:val="nil"/>
              <w:bottom w:val="single" w:sz="4" w:space="0" w:color="auto"/>
              <w:right w:val="nil"/>
            </w:tcBorders>
          </w:tcPr>
          <w:p w14:paraId="2644ECB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3D39867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2E84B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49B2B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Działania - udrożnienia</w:t>
            </w:r>
            <w:r w:rsidRPr="0028666F">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ype="page"/>
              <w:t>ODBUDOWA PIĘTRZEŃ</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zał. 4 do „Erraty” nr 1 niesłusznie znalazły się zadania polegające na odbudowie lub budowie nowych barier migracyjnych. W dorzeczu Odry znalazło się 10 takich działao, z czego większośd z budowli do odbudowy/przebudowy prawdopodobnie nie istnieje albo istnieją one w stanie umożliwiającym gatunkom wodnym migrację. Odbudowa jazów, czy to na cele rolnicze, czy w ramach budowy MEW powinny byd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ype="page"/>
              <w:t>Szczególnie bulwersujące jest wprowadzenie do IIaPGW działania (prolongacja z aPWŚK):</w:t>
            </w:r>
            <w:r w:rsidRPr="0028666F">
              <w:rPr>
                <w:rFonts w:ascii="Calibri" w:eastAsia="Times New Roman" w:hAnsi="Calibri" w:cs="Calibri"/>
                <w:color w:val="000000"/>
                <w:sz w:val="18"/>
                <w:szCs w:val="18"/>
                <w:lang w:eastAsia="pl-PL"/>
              </w:rPr>
              <w:br w:type="page"/>
              <w:t>wykonanie przepławki dla ryb w ramach zadania "Odbudowa urządzeo piętrzących na rzecze Bukowa - 8 szt. (w km: 17+451 wraz z przepławką- Kocieo W., 22+52, 22+63, 22+915 - Górnica, 24+239-Biernatowo, 32+611-Smolarnia, 36+338, 36+768-Straduo"</w:t>
            </w:r>
            <w:r w:rsidRPr="0028666F">
              <w:rPr>
                <w:rFonts w:ascii="Calibri" w:eastAsia="Times New Roman" w:hAnsi="Calibri" w:cs="Calibri"/>
                <w:color w:val="000000"/>
                <w:sz w:val="18"/>
                <w:szCs w:val="18"/>
                <w:lang w:eastAsia="pl-PL"/>
              </w:rPr>
              <w:br w:type="page"/>
              <w:t xml:space="preserve">Realizacja tego przedsięwzięcia to budowa nowych barier migracyjnych i behawioralnych na rzece, równoznaczna z wprowadzeniem nowej </w:t>
            </w:r>
            <w:r w:rsidRPr="0028666F">
              <w:rPr>
                <w:rFonts w:ascii="Calibri" w:eastAsia="Times New Roman" w:hAnsi="Calibri" w:cs="Calibri"/>
                <w:color w:val="000000"/>
                <w:sz w:val="18"/>
                <w:szCs w:val="18"/>
                <w:lang w:eastAsia="pl-PL"/>
              </w:rPr>
              <w:lastRenderedPageBreak/>
              <w:t>silnej presji hydromorfologicznej. Częśd piętrzeo sąsiaduje z obszarem Natura 2000 utworzonych dla ochrony ryb „Dolina Bukówki”, planowane budowle kumulują oddziaływania z innymi istniejącymi piętrzeniami na rzece, które nomen-omen mają byd udrożnione dla migracji. Odcinek, gdzie planowane są nowe budowle jest regularnie odmulany (miało to miejsce także w tym roku), co jest usprawiedliwiane utrzymaniem urządzeo wodnych i cieku we właściwym stanie (kumulacja presji).</w:t>
            </w:r>
            <w:r w:rsidRPr="0028666F">
              <w:rPr>
                <w:rFonts w:ascii="Calibri" w:eastAsia="Times New Roman" w:hAnsi="Calibri" w:cs="Calibri"/>
                <w:color w:val="000000"/>
                <w:sz w:val="18"/>
                <w:szCs w:val="18"/>
                <w:lang w:eastAsia="pl-PL"/>
              </w:rPr>
              <w:br w:type="page"/>
              <w:t>Także zaplanowane w ramach IIaPGW wykonanie przepławki dla ryb w ramach zadania "Odbudowa jazu Klawek" może byd niewłaściwe i znacząco oddziaływać na obszar Natura 2000 „Dolina Łobżonki”. Lepszą środowiskowo opcją może byd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FF378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Wykreślić z zał. 4 do „erraty” 1 działania które polegają na odbudowie nieistniejących obecnie barier migracyjnych. Odbudowa bądź przebudowa tych, które nie są obecnie barierami powinna byd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przepławką-Kocieo W., 22+52, 22+63, 22+915 - Górnica, 24+239- Biernatowo, 32+611-Smolarnia, 36+338, 36+768-Straduo" jako próbę </w:t>
            </w:r>
            <w:r w:rsidRPr="0028666F">
              <w:rPr>
                <w:rFonts w:ascii="Calibri" w:eastAsia="Times New Roman" w:hAnsi="Calibri" w:cs="Calibri"/>
                <w:color w:val="000000"/>
                <w:sz w:val="18"/>
                <w:szCs w:val="18"/>
                <w:lang w:eastAsia="pl-PL"/>
              </w:rPr>
              <w:lastRenderedPageBreak/>
              <w:t>„podpięcia” pod działania ochronne budowy nowych piętrzeo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4A508C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Realizacja działania polegającego na odbudowie piętrzeo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ype="page"/>
              <w:t>Inne odbudowy/przebudowy urządzeń piętrzących zaplanowane w IIaPGW też wymagają weryfikacji, bo mogą wykazywać podobne znaczące negatywne oddziaływania.</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0F324E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17FD22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5321A3E" w14:textId="788F5D6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obrębie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p>
        </w:tc>
      </w:tr>
      <w:tr w:rsidR="007C2B40" w:rsidRPr="0028666F" w14:paraId="567A98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98D8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90</w:t>
            </w:r>
          </w:p>
        </w:tc>
        <w:tc>
          <w:tcPr>
            <w:tcW w:w="970" w:type="dxa"/>
            <w:tcBorders>
              <w:top w:val="nil"/>
              <w:left w:val="nil"/>
              <w:bottom w:val="single" w:sz="4" w:space="0" w:color="auto"/>
              <w:right w:val="nil"/>
            </w:tcBorders>
          </w:tcPr>
          <w:p w14:paraId="69C45D5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2D3CCDC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0AE63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D29C956" w14:textId="2196550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prawne i administracyjne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Bez zmian prawnych oraz rewizji planów inwestycyjnych wynikających z programów sektorowych – PPSS, PZRP i innych, nie ma możliwości osiągnięcia celów IIaPGW i celów RDW.</w:t>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działao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 tych dokumentów. PPSS jest przyjęty rozporządzeniem, jego nieprzeanalizowanie działania będą wykazywać (w większości przypadków) znaczące negatywne oddziaływania na.</w:t>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 xml:space="preserve">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 </w:t>
            </w:r>
          </w:p>
        </w:tc>
        <w:tc>
          <w:tcPr>
            <w:tcW w:w="2733" w:type="dxa"/>
            <w:tcBorders>
              <w:top w:val="nil"/>
              <w:left w:val="nil"/>
              <w:bottom w:val="single" w:sz="4" w:space="0" w:color="auto"/>
              <w:right w:val="single" w:sz="4" w:space="0" w:color="auto"/>
            </w:tcBorders>
            <w:shd w:val="clear" w:color="auto" w:fill="auto"/>
            <w:hideMark/>
          </w:tcPr>
          <w:p w14:paraId="171D8F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640BA91C" w14:textId="1C594C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byd spójne z IIaPGW. Jest to wymóg RDW.</w:t>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działao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2E6394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3D48B4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93AF94C" w14:textId="591B2ED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zgodnie z uwagą, powinno stanowić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w:t>
            </w:r>
            <w:r w:rsidRPr="0028666F">
              <w:rPr>
                <w:rFonts w:ascii="Calibri" w:eastAsia="Times New Roman" w:hAnsi="Calibri" w:cs="Calibri"/>
                <w:color w:val="000000"/>
                <w:sz w:val="18"/>
                <w:szCs w:val="18"/>
                <w:lang w:eastAsia="pl-PL"/>
              </w:rPr>
              <w:lastRenderedPageBreak/>
              <w:t xml:space="preserve">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 Obecnie opracowany PPSS oraz aPZRP zawierają działania planowane których realizacja przyczynić się może do powstania potencjalnych źródeł presji będących uwzględnionymi w kolejnych pracach planistycznych.</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7A16971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4B636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91</w:t>
            </w:r>
          </w:p>
        </w:tc>
        <w:tc>
          <w:tcPr>
            <w:tcW w:w="970" w:type="dxa"/>
            <w:tcBorders>
              <w:top w:val="nil"/>
              <w:left w:val="nil"/>
              <w:bottom w:val="single" w:sz="4" w:space="0" w:color="auto"/>
              <w:right w:val="nil"/>
            </w:tcBorders>
          </w:tcPr>
          <w:p w14:paraId="3F31ED5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796B0AE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8E3A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D58C15A" w14:textId="77FB0F7D"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Konkretne zmiany prawne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prace utrzymaniowe – należy ująd w Prawie wodnym koniecznośd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 xml:space="preserve">-stosowanie „wytycznych” KDP https://www.gov.pl/web/klimat/katalog- dobrych-praktyk-w-zakresie-robot-hydrotechnicznych powinno byd prawnym obowiązkiem zarządców wód i mied na celu ograniczanie praktyk szkodliwych (i przeskalowanych) działao typu usuwanie namulisk z całej długości rzeki, przepychanie i pobór żwiru z koryt potoków, wycinka roślinności porastającej brzegi, uniemożliwiająca </w:t>
            </w:r>
            <w:r w:rsidRPr="0028666F">
              <w:rPr>
                <w:rFonts w:ascii="Calibri" w:eastAsia="Times New Roman" w:hAnsi="Calibri" w:cs="Calibri"/>
                <w:color w:val="000000"/>
                <w:sz w:val="18"/>
                <w:szCs w:val="18"/>
                <w:lang w:eastAsia="pl-PL"/>
              </w:rPr>
              <w:lastRenderedPageBreak/>
              <w:t>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oddziaływać tylko, gdy jedno z działao „łapie się” do oceny) i powinny</w:t>
            </w:r>
            <w:r w:rsidRPr="0028666F">
              <w:rPr>
                <w:rFonts w:ascii="Calibri" w:eastAsia="Times New Roman" w:hAnsi="Calibri" w:cs="Calibri"/>
                <w:color w:val="000000"/>
                <w:sz w:val="18"/>
                <w:szCs w:val="18"/>
                <w:lang w:eastAsia="pl-PL"/>
              </w:rPr>
              <w:br/>
              <w:t>byd znacząco obniżone; należy zaznaczyd,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odwoład;</w:t>
            </w:r>
            <w:r w:rsidRPr="0028666F">
              <w:rPr>
                <w:rFonts w:ascii="Calibri" w:eastAsia="Times New Roman" w:hAnsi="Calibri" w:cs="Calibri"/>
                <w:color w:val="000000"/>
                <w:sz w:val="18"/>
                <w:szCs w:val="18"/>
                <w:lang w:eastAsia="pl-PL"/>
              </w:rPr>
              <w:br/>
              <w:t>- należy uzupełnić art. 416.2 PW o cykliczne przeglądy spełniania wymogów pozwoleo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 xml:space="preserve">- katalog o którym mowa w art. 435 PW powinien byd również publikowany w PGW, a nie tylko te przedsięwzięcia, które zgodnie z art. 436 spełniają wymogi określone w art. 4.7 RDW. </w:t>
            </w:r>
          </w:p>
        </w:tc>
        <w:tc>
          <w:tcPr>
            <w:tcW w:w="2733" w:type="dxa"/>
            <w:tcBorders>
              <w:top w:val="nil"/>
              <w:left w:val="nil"/>
              <w:bottom w:val="single" w:sz="4" w:space="0" w:color="auto"/>
              <w:right w:val="single" w:sz="4" w:space="0" w:color="auto"/>
            </w:tcBorders>
            <w:shd w:val="clear" w:color="auto" w:fill="auto"/>
            <w:hideMark/>
          </w:tcPr>
          <w:p w14:paraId="30FE90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Jak w treści uwagi.</w:t>
            </w:r>
          </w:p>
        </w:tc>
        <w:tc>
          <w:tcPr>
            <w:tcW w:w="3009" w:type="dxa"/>
            <w:tcBorders>
              <w:top w:val="nil"/>
              <w:left w:val="nil"/>
              <w:bottom w:val="single" w:sz="4" w:space="0" w:color="auto"/>
              <w:right w:val="single" w:sz="4" w:space="0" w:color="auto"/>
            </w:tcBorders>
            <w:shd w:val="clear" w:color="auto" w:fill="auto"/>
            <w:hideMark/>
          </w:tcPr>
          <w:p w14:paraId="31070D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6AC23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44E204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DD5B1E6" w14:textId="68D61A5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Dziale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t xml:space="preserve">W orzecznictwie uwypukla się także, że realizacja celów środowiskowych następuje przez podejmowanie działań zawartych w planie gospodarowania wodami na obszarze dorzecza, jak też że przewidziany w PGW zorganizowany i </w:t>
            </w:r>
            <w:r w:rsidRPr="0028666F">
              <w:rPr>
                <w:rFonts w:ascii="Calibri" w:eastAsia="Times New Roman" w:hAnsi="Calibri" w:cs="Calibri"/>
                <w:color w:val="000000"/>
                <w:sz w:val="18"/>
                <w:szCs w:val="18"/>
                <w:lang w:eastAsia="pl-PL"/>
              </w:rPr>
              <w:lastRenderedPageBreak/>
              <w:t>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t>Odnośnie do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t xml:space="preserve">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w:t>
            </w:r>
            <w:r w:rsidRPr="0028666F">
              <w:rPr>
                <w:rFonts w:ascii="Calibri" w:eastAsia="Times New Roman" w:hAnsi="Calibri" w:cs="Calibri"/>
                <w:color w:val="000000"/>
                <w:sz w:val="18"/>
                <w:szCs w:val="18"/>
                <w:lang w:eastAsia="pl-PL"/>
              </w:rPr>
              <w:lastRenderedPageBreak/>
              <w:t>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37D163C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FB086E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92</w:t>
            </w:r>
          </w:p>
        </w:tc>
        <w:tc>
          <w:tcPr>
            <w:tcW w:w="970" w:type="dxa"/>
            <w:tcBorders>
              <w:top w:val="nil"/>
              <w:left w:val="nil"/>
              <w:bottom w:val="single" w:sz="4" w:space="0" w:color="auto"/>
              <w:right w:val="nil"/>
            </w:tcBorders>
          </w:tcPr>
          <w:p w14:paraId="42345BD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6DB4B7C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8FB11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2D1BA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w funkcjonowaniu zarządzania wód</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22FA785E" w14:textId="1E1A42A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7DE87D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oddziaływać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5B3497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0BB4AE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D8A90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są ogólnodostepne i powszechnie obowiązujące.</w:t>
            </w:r>
          </w:p>
        </w:tc>
      </w:tr>
      <w:tr w:rsidR="007C2B40" w:rsidRPr="0028666F" w14:paraId="16DB884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6EEA0C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93</w:t>
            </w:r>
          </w:p>
        </w:tc>
        <w:tc>
          <w:tcPr>
            <w:tcW w:w="970" w:type="dxa"/>
            <w:tcBorders>
              <w:top w:val="nil"/>
              <w:left w:val="nil"/>
              <w:bottom w:val="single" w:sz="4" w:space="0" w:color="auto"/>
              <w:right w:val="nil"/>
            </w:tcBorders>
          </w:tcPr>
          <w:p w14:paraId="3B9A4B4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2945E48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5D59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D3F5566" w14:textId="17BBDF24"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Gnilica RW60001016912</w:t>
            </w:r>
            <w:r w:rsidR="007C2B40"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 2 dokumentu ""PROJEKT DRUGIEJ AKTUALIZACJI PLANU GOSPODAROWANIA WODAMI </w:t>
            </w:r>
            <w:r w:rsidR="007C2B40" w:rsidRPr="0028666F">
              <w:rPr>
                <w:rFonts w:ascii="Calibri" w:eastAsia="Times New Roman" w:hAnsi="Calibri" w:cs="Calibri"/>
                <w:color w:val="000000"/>
                <w:sz w:val="18"/>
                <w:szCs w:val="18"/>
                <w:lang w:eastAsia="pl-PL"/>
              </w:rPr>
              <w:br/>
              <w:t>NA OBSZARZE DORZECZA ODRY</w:t>
            </w:r>
            <w:r w:rsidR="007C2B40" w:rsidRPr="0028666F">
              <w:rPr>
                <w:rFonts w:ascii="Calibri" w:eastAsia="Times New Roman" w:hAnsi="Calibri" w:cs="Calibri"/>
                <w:color w:val="000000"/>
                <w:sz w:val="18"/>
                <w:szCs w:val="18"/>
                <w:lang w:eastAsia="pl-PL"/>
              </w:rPr>
              <w:br/>
              <w:t>WERSJA NIESPECJALISTYCZNA"" dot. wykazu jednolitych części wód powierzchniowych i podziemnych, wykaz zawarty w załaczniku_IIaPGW_OD_Odra_cz1, zakładka 1_</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P_RW, poz. 212"</w:t>
            </w:r>
          </w:p>
        </w:tc>
        <w:tc>
          <w:tcPr>
            <w:tcW w:w="2733" w:type="dxa"/>
            <w:tcBorders>
              <w:top w:val="nil"/>
              <w:left w:val="nil"/>
              <w:bottom w:val="single" w:sz="4" w:space="0" w:color="auto"/>
              <w:right w:val="single" w:sz="4" w:space="0" w:color="auto"/>
            </w:tcBorders>
            <w:shd w:val="clear" w:color="auto" w:fill="auto"/>
            <w:hideMark/>
          </w:tcPr>
          <w:p w14:paraId="51BBF20F" w14:textId="586C9C9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p>
        </w:tc>
        <w:tc>
          <w:tcPr>
            <w:tcW w:w="3009" w:type="dxa"/>
            <w:tcBorders>
              <w:top w:val="nil"/>
              <w:left w:val="nil"/>
              <w:bottom w:val="single" w:sz="4" w:space="0" w:color="auto"/>
              <w:right w:val="single" w:sz="4" w:space="0" w:color="auto"/>
            </w:tcBorders>
            <w:shd w:val="clear" w:color="auto" w:fill="auto"/>
            <w:hideMark/>
          </w:tcPr>
          <w:p w14:paraId="324218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prowadzonego w 2021 r. monitoringu stwierdzono brak wody w cieku (potwierdziły to comiesięczne badania prowadzone od miesiąca stycznia do września)</w:t>
            </w:r>
          </w:p>
        </w:tc>
        <w:tc>
          <w:tcPr>
            <w:tcW w:w="1720" w:type="dxa"/>
            <w:tcBorders>
              <w:top w:val="nil"/>
              <w:left w:val="nil"/>
              <w:bottom w:val="single" w:sz="4" w:space="0" w:color="auto"/>
              <w:right w:val="single" w:sz="4" w:space="0" w:color="auto"/>
            </w:tcBorders>
            <w:shd w:val="clear" w:color="000000" w:fill="FFFFFF"/>
            <w:hideMark/>
          </w:tcPr>
          <w:p w14:paraId="2CB83A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2B0A6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DFC65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Na etapie opracowywania IIaPGW uwzględniane były dane GIOŚ dot. zaniku przepływów, co odzwierciedla się w zidentyfikowanej presji na zasoby wodne.</w:t>
            </w:r>
          </w:p>
        </w:tc>
      </w:tr>
      <w:tr w:rsidR="007C2B40" w:rsidRPr="0028666F" w14:paraId="483B6D6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07D4D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94</w:t>
            </w:r>
          </w:p>
        </w:tc>
        <w:tc>
          <w:tcPr>
            <w:tcW w:w="970" w:type="dxa"/>
            <w:tcBorders>
              <w:top w:val="nil"/>
              <w:left w:val="nil"/>
              <w:bottom w:val="single" w:sz="4" w:space="0" w:color="auto"/>
              <w:right w:val="nil"/>
            </w:tcBorders>
          </w:tcPr>
          <w:p w14:paraId="6A7D667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Stepnicka Organizacja Turystyczna Nie Tylko Dla Orłów </w:t>
            </w:r>
          </w:p>
        </w:tc>
        <w:tc>
          <w:tcPr>
            <w:tcW w:w="165" w:type="dxa"/>
            <w:tcBorders>
              <w:top w:val="nil"/>
              <w:left w:val="nil"/>
              <w:bottom w:val="single" w:sz="4" w:space="0" w:color="auto"/>
              <w:right w:val="single" w:sz="4" w:space="0" w:color="auto"/>
            </w:tcBorders>
            <w:shd w:val="clear" w:color="auto" w:fill="auto"/>
          </w:tcPr>
          <w:p w14:paraId="67D1CBB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680DA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83B57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w ocenie postępu działao – co 2 lata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przypadku budowli do udrożnienia, dla których nie sporządzono dokumentacji, powinny być ustalone następujące maksymalne terminy do oceny postępu działań: 2 lata – analiza sposobu udrożnienia/ 2 lata – projekt i decyzje / 2 lata – wykonanie. </w:t>
            </w:r>
          </w:p>
        </w:tc>
        <w:tc>
          <w:tcPr>
            <w:tcW w:w="2733" w:type="dxa"/>
            <w:tcBorders>
              <w:top w:val="nil"/>
              <w:left w:val="nil"/>
              <w:bottom w:val="single" w:sz="4" w:space="0" w:color="auto"/>
              <w:right w:val="single" w:sz="4" w:space="0" w:color="auto"/>
            </w:tcBorders>
            <w:shd w:val="clear" w:color="auto" w:fill="auto"/>
            <w:hideMark/>
          </w:tcPr>
          <w:p w14:paraId="278899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3009" w:type="dxa"/>
            <w:tcBorders>
              <w:top w:val="nil"/>
              <w:left w:val="nil"/>
              <w:bottom w:val="single" w:sz="4" w:space="0" w:color="auto"/>
              <w:right w:val="single" w:sz="4" w:space="0" w:color="auto"/>
            </w:tcBorders>
            <w:shd w:val="clear" w:color="auto" w:fill="auto"/>
            <w:hideMark/>
          </w:tcPr>
          <w:p w14:paraId="3E7281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49CEA2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SOT_NieTylkoDlaOrłów_Odra</w:t>
            </w:r>
          </w:p>
        </w:tc>
        <w:tc>
          <w:tcPr>
            <w:tcW w:w="1014" w:type="dxa"/>
            <w:tcBorders>
              <w:top w:val="nil"/>
              <w:left w:val="nil"/>
              <w:bottom w:val="single" w:sz="4" w:space="0" w:color="auto"/>
              <w:right w:val="single" w:sz="4" w:space="0" w:color="auto"/>
            </w:tcBorders>
            <w:shd w:val="clear" w:color="auto" w:fill="auto"/>
            <w:hideMark/>
          </w:tcPr>
          <w:p w14:paraId="17419D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B34EB8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w:t>
            </w:r>
            <w:r w:rsidRPr="0028666F">
              <w:rPr>
                <w:rFonts w:ascii="Calibri" w:eastAsia="Times New Roman" w:hAnsi="Calibri" w:cs="Calibri"/>
                <w:color w:val="000000"/>
                <w:sz w:val="18"/>
                <w:szCs w:val="18"/>
                <w:lang w:eastAsia="pl-PL"/>
              </w:rPr>
              <w:lastRenderedPageBreak/>
              <w:t>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7A727CB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E11BC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95</w:t>
            </w:r>
          </w:p>
        </w:tc>
        <w:tc>
          <w:tcPr>
            <w:tcW w:w="970" w:type="dxa"/>
            <w:tcBorders>
              <w:top w:val="nil"/>
              <w:left w:val="nil"/>
              <w:bottom w:val="single" w:sz="4" w:space="0" w:color="auto"/>
              <w:right w:val="nil"/>
            </w:tcBorders>
          </w:tcPr>
          <w:p w14:paraId="18F46C5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73EC98B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6ABD2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8BBAFF9" w14:textId="3B25450C"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Kanał Dychowski RW60000016969</w:t>
            </w:r>
            <w:r w:rsidR="007C2B40"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 2 dokumentu ""PROJEKT DRUGIEJ AKTUALIZACJI PLANU GOSPODAROWANIA WODAMI </w:t>
            </w:r>
            <w:r w:rsidR="007C2B40" w:rsidRPr="0028666F">
              <w:rPr>
                <w:rFonts w:ascii="Calibri" w:eastAsia="Times New Roman" w:hAnsi="Calibri" w:cs="Calibri"/>
                <w:color w:val="000000"/>
                <w:sz w:val="18"/>
                <w:szCs w:val="18"/>
                <w:lang w:eastAsia="pl-PL"/>
              </w:rPr>
              <w:br/>
              <w:t>NA OBSZARZE DORZECZA ODRY</w:t>
            </w:r>
            <w:r w:rsidR="007C2B40" w:rsidRPr="0028666F">
              <w:rPr>
                <w:rFonts w:ascii="Calibri" w:eastAsia="Times New Roman" w:hAnsi="Calibri" w:cs="Calibri"/>
                <w:color w:val="000000"/>
                <w:sz w:val="18"/>
                <w:szCs w:val="18"/>
                <w:lang w:eastAsia="pl-PL"/>
              </w:rPr>
              <w:br/>
              <w:t>WERSJA NIESPECJALISTYCZNA"" dot. wykazu jednolitych części wód powierzchniowych i podziemnych, wykaz zawarty w załaczniku_IIaPGW_OD_Odra_cz1, zakładka 1_</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P_RW, poz. 3"</w:t>
            </w:r>
          </w:p>
        </w:tc>
        <w:tc>
          <w:tcPr>
            <w:tcW w:w="2733" w:type="dxa"/>
            <w:tcBorders>
              <w:top w:val="nil"/>
              <w:left w:val="nil"/>
              <w:bottom w:val="single" w:sz="4" w:space="0" w:color="auto"/>
              <w:right w:val="single" w:sz="4" w:space="0" w:color="auto"/>
            </w:tcBorders>
            <w:shd w:val="clear" w:color="auto" w:fill="auto"/>
            <w:hideMark/>
          </w:tcPr>
          <w:p w14:paraId="735A9C40" w14:textId="08D2242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p>
        </w:tc>
        <w:tc>
          <w:tcPr>
            <w:tcW w:w="3009" w:type="dxa"/>
            <w:tcBorders>
              <w:top w:val="nil"/>
              <w:left w:val="nil"/>
              <w:bottom w:val="single" w:sz="4" w:space="0" w:color="auto"/>
              <w:right w:val="single" w:sz="4" w:space="0" w:color="auto"/>
            </w:tcBorders>
            <w:shd w:val="clear" w:color="auto" w:fill="auto"/>
            <w:hideMark/>
          </w:tcPr>
          <w:p w14:paraId="76293750" w14:textId="6176F7C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uzasadniania wyznaczenia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podano "Zakwalifikowana jako SCW ze względu na genezę". Jest to sztuczny kanał derywacyjny zasilający Zbiornik Dychowski, którego typu nieokreślono. W związku z tym, że jest to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zagrożona nieosiągnieciem celów środowiskowych powinien być na niej prowadzony monitoring operacyjny.W związku z nieokreśleniem typu abiotycznego, nie będzie mozna dokonać oceny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Zatem bezcelowe jest prowadzenie na nim monitoringu.</w:t>
            </w:r>
          </w:p>
        </w:tc>
        <w:tc>
          <w:tcPr>
            <w:tcW w:w="1720" w:type="dxa"/>
            <w:tcBorders>
              <w:top w:val="nil"/>
              <w:left w:val="nil"/>
              <w:bottom w:val="single" w:sz="4" w:space="0" w:color="auto"/>
              <w:right w:val="single" w:sz="4" w:space="0" w:color="auto"/>
            </w:tcBorders>
            <w:shd w:val="clear" w:color="000000" w:fill="FFFFFF"/>
            <w:hideMark/>
          </w:tcPr>
          <w:p w14:paraId="263BDF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20704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248B5C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39464A9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527682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96</w:t>
            </w:r>
          </w:p>
        </w:tc>
        <w:tc>
          <w:tcPr>
            <w:tcW w:w="970" w:type="dxa"/>
            <w:tcBorders>
              <w:top w:val="nil"/>
              <w:left w:val="nil"/>
              <w:bottom w:val="single" w:sz="4" w:space="0" w:color="auto"/>
              <w:right w:val="nil"/>
            </w:tcBorders>
          </w:tcPr>
          <w:p w14:paraId="23D25FF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58B8D72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623E5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A3AF26D" w14:textId="4260D31A"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Kanał Dychowski RW60000016969</w:t>
            </w:r>
            <w:r w:rsidR="007C2B40"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"str. 2 dokumentu ""PROJEKT DRUGIEJ AKTUALIZACJI PLANU GOSPODAROWANIA WODAMI </w:t>
            </w:r>
            <w:r w:rsidR="007C2B40" w:rsidRPr="0028666F">
              <w:rPr>
                <w:rFonts w:ascii="Calibri" w:eastAsia="Times New Roman" w:hAnsi="Calibri" w:cs="Calibri"/>
                <w:color w:val="000000"/>
                <w:sz w:val="18"/>
                <w:szCs w:val="18"/>
                <w:lang w:eastAsia="pl-PL"/>
              </w:rPr>
              <w:br w:type="page"/>
              <w:t>NA OBSZARZE DORZECZA ODRY</w:t>
            </w:r>
            <w:r w:rsidR="007C2B40" w:rsidRPr="0028666F">
              <w:rPr>
                <w:rFonts w:ascii="Calibri" w:eastAsia="Times New Roman" w:hAnsi="Calibri" w:cs="Calibri"/>
                <w:color w:val="000000"/>
                <w:sz w:val="18"/>
                <w:szCs w:val="18"/>
                <w:lang w:eastAsia="pl-PL"/>
              </w:rPr>
              <w:br w:type="page"/>
              <w:t>WERSJA NIESPECJALISTYCZNA"" dot. wykazu jednolitych części wód powierzchniowych i podziemnych, wykaz zawarty w załaczniku_IIaPGW_OD_Odra_cz1, zakładka 1_</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P_RW, poz. 3"</w:t>
            </w:r>
            <w:r w:rsidR="007C2B40"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72731F6E" w14:textId="73E949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4589A503" w14:textId="24940FC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uzasadniania wyznaczenia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podano "Zakwalifikowana jako SCW ze względu na genezę". Jest to sztuczny kanał derywacyjny zasilający Zbiornik Dychowski, którego typu nieokreślono. W związku z tym, że jest to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zagrożona nieosiągnieciem celów środowiskowych powinien być na niej prowadzony monitoring operacyjny.W związku z nieokreśleniem typu abiotycznego, nie będzie mozna dokonać oceny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Zatem bezcelowe jest prowadzenie na nim monitoringu.</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4C8C4D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D7B0A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45844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7363A23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8A93F4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97</w:t>
            </w:r>
          </w:p>
        </w:tc>
        <w:tc>
          <w:tcPr>
            <w:tcW w:w="970" w:type="dxa"/>
            <w:tcBorders>
              <w:top w:val="nil"/>
              <w:left w:val="nil"/>
              <w:bottom w:val="single" w:sz="4" w:space="0" w:color="auto"/>
              <w:right w:val="nil"/>
            </w:tcBorders>
          </w:tcPr>
          <w:p w14:paraId="6FED634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0105940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0B80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A4685BC" w14:textId="747BE731"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Błeszno (Bronków) LW10058</w:t>
            </w:r>
            <w:r w:rsidR="007C2B40" w:rsidRPr="0028666F">
              <w:rPr>
                <w:rFonts w:ascii="Calibri" w:eastAsia="Times New Roman" w:hAnsi="Calibri" w:cs="Calibri"/>
                <w:color w:val="000000"/>
                <w:sz w:val="18"/>
                <w:szCs w:val="18"/>
                <w:lang w:eastAsia="pl-PL"/>
              </w:rPr>
              <w:br/>
              <w:t>Część projektu planu, do którego zgłaszana jest uwaga (numer rozdziału, strona dokumentu, nr załącznika): -</w:t>
            </w:r>
          </w:p>
        </w:tc>
        <w:tc>
          <w:tcPr>
            <w:tcW w:w="2733" w:type="dxa"/>
            <w:tcBorders>
              <w:top w:val="nil"/>
              <w:left w:val="nil"/>
              <w:bottom w:val="single" w:sz="4" w:space="0" w:color="auto"/>
              <w:right w:val="single" w:sz="4" w:space="0" w:color="auto"/>
            </w:tcBorders>
            <w:shd w:val="clear" w:color="auto" w:fill="auto"/>
            <w:hideMark/>
          </w:tcPr>
          <w:p w14:paraId="6E854839" w14:textId="3F87E15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dodanie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wykazów</w:t>
            </w:r>
          </w:p>
        </w:tc>
        <w:tc>
          <w:tcPr>
            <w:tcW w:w="3009" w:type="dxa"/>
            <w:tcBorders>
              <w:top w:val="nil"/>
              <w:left w:val="nil"/>
              <w:bottom w:val="single" w:sz="4" w:space="0" w:color="auto"/>
              <w:right w:val="single" w:sz="4" w:space="0" w:color="auto"/>
            </w:tcBorders>
            <w:shd w:val="clear" w:color="auto" w:fill="auto"/>
            <w:hideMark/>
          </w:tcPr>
          <w:p w14:paraId="0A30A520" w14:textId="67B1AC1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Uwzględniając dotychczasowe dane morfometryczne (powierzchnia przekraczająca 50 ha), długoletnie badania, wartość gospodarczo-rekreacyjną oraz stan zagrożenia, a przede wszystkim najnowsze dane satelitarne proponuję przywrócić jezioro do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1720" w:type="dxa"/>
            <w:tcBorders>
              <w:top w:val="nil"/>
              <w:left w:val="nil"/>
              <w:bottom w:val="single" w:sz="4" w:space="0" w:color="auto"/>
              <w:right w:val="single" w:sz="4" w:space="0" w:color="auto"/>
            </w:tcBorders>
            <w:shd w:val="clear" w:color="000000" w:fill="FFFFFF"/>
            <w:hideMark/>
          </w:tcPr>
          <w:p w14:paraId="073B7E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064CE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65E86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699DD0F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053734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98</w:t>
            </w:r>
          </w:p>
        </w:tc>
        <w:tc>
          <w:tcPr>
            <w:tcW w:w="970" w:type="dxa"/>
            <w:tcBorders>
              <w:top w:val="nil"/>
              <w:left w:val="nil"/>
              <w:bottom w:val="single" w:sz="4" w:space="0" w:color="auto"/>
              <w:right w:val="nil"/>
            </w:tcBorders>
          </w:tcPr>
          <w:p w14:paraId="2C7AF79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047817B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E31CC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79146F9" w14:textId="50495EA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Biela od jez. Głębokiego do ujścia RW6000111729 oraz Lińska Struga RW600010172839</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w:t>
            </w:r>
            <w:r w:rsidRPr="0028666F">
              <w:rPr>
                <w:rFonts w:ascii="Calibri" w:eastAsia="Times New Roman" w:hAnsi="Calibri" w:cs="Calibri"/>
                <w:color w:val="000000"/>
                <w:sz w:val="18"/>
                <w:szCs w:val="18"/>
                <w:lang w:eastAsia="pl-PL"/>
              </w:rPr>
              <w:lastRenderedPageBreak/>
              <w:t>załaczniku_IIaPGW_OD_Odra_cz1, zakładka 1_</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P_RW, poz. 958 oraz poz. 625"</w:t>
            </w:r>
          </w:p>
        </w:tc>
        <w:tc>
          <w:tcPr>
            <w:tcW w:w="2733" w:type="dxa"/>
            <w:tcBorders>
              <w:top w:val="nil"/>
              <w:left w:val="nil"/>
              <w:bottom w:val="single" w:sz="4" w:space="0" w:color="auto"/>
              <w:right w:val="single" w:sz="4" w:space="0" w:color="auto"/>
            </w:tcBorders>
            <w:shd w:val="clear" w:color="auto" w:fill="auto"/>
            <w:hideMark/>
          </w:tcPr>
          <w:p w14:paraId="0B5C821F" w14:textId="74CEC2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zmiana przebiegu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3009" w:type="dxa"/>
            <w:tcBorders>
              <w:top w:val="nil"/>
              <w:left w:val="nil"/>
              <w:bottom w:val="single" w:sz="4" w:space="0" w:color="auto"/>
              <w:right w:val="single" w:sz="4" w:space="0" w:color="auto"/>
            </w:tcBorders>
            <w:shd w:val="clear" w:color="auto" w:fill="auto"/>
            <w:hideMark/>
          </w:tcPr>
          <w:p w14:paraId="76F8938F" w14:textId="2D9A2E8D"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 xml:space="preserve">p Biela od jez. Głębokiego do ujścia wyznaczona została w taki sposób, że obejmuje swoim zasięgiem również rzekę Lińską Strugę, będącą dopływem rzeki Bieli oraz osobną </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 xml:space="preserve">p, co wyraźnie widać w MPHP. Proponuję ponownie wyznaczyć i wyraźnie rozdzielić te 2 </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w:t>
            </w:r>
          </w:p>
        </w:tc>
        <w:tc>
          <w:tcPr>
            <w:tcW w:w="1720" w:type="dxa"/>
            <w:tcBorders>
              <w:top w:val="nil"/>
              <w:left w:val="nil"/>
              <w:bottom w:val="single" w:sz="4" w:space="0" w:color="auto"/>
              <w:right w:val="single" w:sz="4" w:space="0" w:color="auto"/>
            </w:tcBorders>
            <w:shd w:val="clear" w:color="000000" w:fill="FFFFFF"/>
            <w:hideMark/>
          </w:tcPr>
          <w:p w14:paraId="3941CC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C5ED9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DBD13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081E76C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665CA2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99</w:t>
            </w:r>
          </w:p>
        </w:tc>
        <w:tc>
          <w:tcPr>
            <w:tcW w:w="970" w:type="dxa"/>
            <w:tcBorders>
              <w:top w:val="nil"/>
              <w:left w:val="nil"/>
              <w:bottom w:val="single" w:sz="4" w:space="0" w:color="auto"/>
              <w:right w:val="nil"/>
            </w:tcBorders>
          </w:tcPr>
          <w:p w14:paraId="6A0905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772F3AF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9F625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2FEA931" w14:textId="73BF1AB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Gniła Obra do jez. Wojnowskiego Zach. z jez. Wojnowskim Wsch. i jez. Różańskim RW60001015687</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załaczniku_IIaPGW_OD_Odra_cz1, zakładka 1_</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P_RW, poz. 597"</w:t>
            </w:r>
          </w:p>
        </w:tc>
        <w:tc>
          <w:tcPr>
            <w:tcW w:w="2733" w:type="dxa"/>
            <w:tcBorders>
              <w:top w:val="nil"/>
              <w:left w:val="nil"/>
              <w:bottom w:val="single" w:sz="4" w:space="0" w:color="auto"/>
              <w:right w:val="single" w:sz="4" w:space="0" w:color="auto"/>
            </w:tcBorders>
            <w:shd w:val="clear" w:color="auto" w:fill="auto"/>
            <w:hideMark/>
          </w:tcPr>
          <w:p w14:paraId="1EAD7A18" w14:textId="64474E1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zmiana przebiegu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3009" w:type="dxa"/>
            <w:tcBorders>
              <w:top w:val="nil"/>
              <w:left w:val="nil"/>
              <w:bottom w:val="single" w:sz="4" w:space="0" w:color="auto"/>
              <w:right w:val="single" w:sz="4" w:space="0" w:color="auto"/>
            </w:tcBorders>
            <w:shd w:val="clear" w:color="auto" w:fill="auto"/>
            <w:hideMark/>
          </w:tcPr>
          <w:p w14:paraId="0031B487" w14:textId="47915631" w:rsidR="007C2B40" w:rsidRPr="0028666F" w:rsidRDefault="00370EC8"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 xml:space="preserve">p została wyznaczona w taki, że nie obejmuje odcinka rzeki Gniła Obra wypływającego z jez. Wojnowskiego Zachodniego i uchodzącego do rzeki Obrzyca. Odcinek ten obecnie należy do </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 xml:space="preserve">p Obrzyca od Ciekącej do ujścia z jez. Rudno RW60001115699. Proponuję włączyć go do </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 xml:space="preserve">p obejmującą rzekę Gniłą Obrę z jeziorami i zmienić nazwę </w:t>
            </w:r>
            <w:r>
              <w:rPr>
                <w:rFonts w:ascii="Calibri" w:eastAsia="Times New Roman" w:hAnsi="Calibri" w:cs="Calibri"/>
                <w:color w:val="000000"/>
                <w:sz w:val="18"/>
                <w:szCs w:val="18"/>
                <w:lang w:eastAsia="pl-PL"/>
              </w:rPr>
              <w:t>JCWP</w:t>
            </w:r>
            <w:r w:rsidR="007C2B40" w:rsidRPr="0028666F">
              <w:rPr>
                <w:rFonts w:ascii="Calibri" w:eastAsia="Times New Roman" w:hAnsi="Calibri" w:cs="Calibri"/>
                <w:color w:val="000000"/>
                <w:sz w:val="18"/>
                <w:szCs w:val="18"/>
                <w:lang w:eastAsia="pl-PL"/>
              </w:rPr>
              <w:t>p na Gniła Obra z jez. Wojnowskim Wsch. i jez. Różańskim</w:t>
            </w:r>
          </w:p>
        </w:tc>
        <w:tc>
          <w:tcPr>
            <w:tcW w:w="1720" w:type="dxa"/>
            <w:tcBorders>
              <w:top w:val="nil"/>
              <w:left w:val="nil"/>
              <w:bottom w:val="single" w:sz="4" w:space="0" w:color="auto"/>
              <w:right w:val="single" w:sz="4" w:space="0" w:color="auto"/>
            </w:tcBorders>
            <w:shd w:val="clear" w:color="000000" w:fill="FFFFFF"/>
            <w:hideMark/>
          </w:tcPr>
          <w:p w14:paraId="0DE74F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DD9EF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CC7CD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1445694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BF6BC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100</w:t>
            </w:r>
          </w:p>
        </w:tc>
        <w:tc>
          <w:tcPr>
            <w:tcW w:w="970" w:type="dxa"/>
            <w:tcBorders>
              <w:top w:val="nil"/>
              <w:left w:val="nil"/>
              <w:bottom w:val="single" w:sz="4" w:space="0" w:color="auto"/>
              <w:right w:val="nil"/>
            </w:tcBorders>
          </w:tcPr>
          <w:p w14:paraId="3196E06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042B95D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7209C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9130A03" w14:textId="16816D9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Kanał Moczar RW60001015489</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załaczniku_IIaPGW_OD_Odra_cz1, zakładka 1_</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P_RW, poz. 590"</w:t>
            </w:r>
          </w:p>
        </w:tc>
        <w:tc>
          <w:tcPr>
            <w:tcW w:w="2733" w:type="dxa"/>
            <w:tcBorders>
              <w:top w:val="nil"/>
              <w:left w:val="nil"/>
              <w:bottom w:val="single" w:sz="4" w:space="0" w:color="auto"/>
              <w:right w:val="single" w:sz="4" w:space="0" w:color="auto"/>
            </w:tcBorders>
            <w:shd w:val="clear" w:color="auto" w:fill="auto"/>
            <w:hideMark/>
          </w:tcPr>
          <w:p w14:paraId="4A73F55F" w14:textId="4597D85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p>
        </w:tc>
        <w:tc>
          <w:tcPr>
            <w:tcW w:w="3009" w:type="dxa"/>
            <w:tcBorders>
              <w:top w:val="nil"/>
              <w:left w:val="nil"/>
              <w:bottom w:val="single" w:sz="4" w:space="0" w:color="auto"/>
              <w:right w:val="single" w:sz="4" w:space="0" w:color="auto"/>
            </w:tcBorders>
            <w:shd w:val="clear" w:color="auto" w:fill="auto"/>
            <w:hideMark/>
          </w:tcPr>
          <w:p w14:paraId="5D992702" w14:textId="3C25802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2020 r., podczas planowania sieci monitoringu na lata 2022-2027 i lokalizowania nowego ppk w terenie, stwierdzono brak wody w korycie. W 2021 r. kontynuwane są obserwacje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stwierdzony został  całkowity brak wody w każdym kwartale roku, co zostało udokumentowane w postaci zdjęć</w:t>
            </w:r>
          </w:p>
        </w:tc>
        <w:tc>
          <w:tcPr>
            <w:tcW w:w="1720" w:type="dxa"/>
            <w:tcBorders>
              <w:top w:val="nil"/>
              <w:left w:val="nil"/>
              <w:bottom w:val="single" w:sz="4" w:space="0" w:color="auto"/>
              <w:right w:val="single" w:sz="4" w:space="0" w:color="auto"/>
            </w:tcBorders>
            <w:shd w:val="clear" w:color="000000" w:fill="FFFFFF"/>
            <w:hideMark/>
          </w:tcPr>
          <w:p w14:paraId="577A6E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E7C7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CE47A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Na etapie opracowywania IIaPGW uwzględniane były dane GIOŚ dot. zaniku przepływów, co odzwierciedla się w zidentyfikowanej presji na zasoby wodne.</w:t>
            </w:r>
          </w:p>
        </w:tc>
      </w:tr>
      <w:tr w:rsidR="007C2B40" w:rsidRPr="0028666F" w14:paraId="0A11F7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5E54AC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101</w:t>
            </w:r>
          </w:p>
        </w:tc>
        <w:tc>
          <w:tcPr>
            <w:tcW w:w="970" w:type="dxa"/>
            <w:tcBorders>
              <w:top w:val="nil"/>
              <w:left w:val="nil"/>
              <w:bottom w:val="single" w:sz="4" w:space="0" w:color="auto"/>
              <w:right w:val="nil"/>
            </w:tcBorders>
          </w:tcPr>
          <w:p w14:paraId="087250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24800AB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F27FF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C8C1AFC" w14:textId="0F188D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Stobrzyca RW600010169149</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załaczniku_IIaPGW_OD_Odra_cz1, zakładka 1_</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P_RW, poz. 621"</w:t>
            </w:r>
          </w:p>
        </w:tc>
        <w:tc>
          <w:tcPr>
            <w:tcW w:w="2733" w:type="dxa"/>
            <w:tcBorders>
              <w:top w:val="nil"/>
              <w:left w:val="nil"/>
              <w:bottom w:val="single" w:sz="4" w:space="0" w:color="auto"/>
              <w:right w:val="single" w:sz="4" w:space="0" w:color="auto"/>
            </w:tcBorders>
            <w:shd w:val="clear" w:color="auto" w:fill="auto"/>
            <w:hideMark/>
          </w:tcPr>
          <w:p w14:paraId="45F3F709" w14:textId="5712509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usunięcie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wykazów</w:t>
            </w:r>
          </w:p>
        </w:tc>
        <w:tc>
          <w:tcPr>
            <w:tcW w:w="3009" w:type="dxa"/>
            <w:tcBorders>
              <w:top w:val="nil"/>
              <w:left w:val="nil"/>
              <w:bottom w:val="single" w:sz="4" w:space="0" w:color="auto"/>
              <w:right w:val="single" w:sz="4" w:space="0" w:color="auto"/>
            </w:tcBorders>
            <w:shd w:val="clear" w:color="auto" w:fill="auto"/>
            <w:hideMark/>
          </w:tcPr>
          <w:p w14:paraId="3B58E4AB" w14:textId="7EA36B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2020 r., podczas planowania sieci monitoringu na lata 2022-2027 i lokalizowania nowego ppk w terenie, stwierdzono brak wody w korycie. W 2021 r. kontynuwane są obserwacje tej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stwierdzony został  całkowity brak wody w każdym kwartale roku, co zostało udokumentowane w postaci zdjęć</w:t>
            </w:r>
          </w:p>
        </w:tc>
        <w:tc>
          <w:tcPr>
            <w:tcW w:w="1720" w:type="dxa"/>
            <w:tcBorders>
              <w:top w:val="nil"/>
              <w:left w:val="nil"/>
              <w:bottom w:val="single" w:sz="4" w:space="0" w:color="auto"/>
              <w:right w:val="single" w:sz="4" w:space="0" w:color="auto"/>
            </w:tcBorders>
            <w:shd w:val="clear" w:color="000000" w:fill="FFFFFF"/>
            <w:hideMark/>
          </w:tcPr>
          <w:p w14:paraId="5C494A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2AE0E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A7448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Na etapie opracowywania IIaPGW uwzględniane były dane GIOŚ dot. zaniku przepływów, co odzwierciedla się w zidentyfikowanej presji na zasoby wodne.</w:t>
            </w:r>
          </w:p>
        </w:tc>
      </w:tr>
      <w:tr w:rsidR="007C2B40" w:rsidRPr="0028666F" w14:paraId="3478A34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E401DB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102</w:t>
            </w:r>
          </w:p>
        </w:tc>
        <w:tc>
          <w:tcPr>
            <w:tcW w:w="970" w:type="dxa"/>
            <w:tcBorders>
              <w:top w:val="nil"/>
              <w:left w:val="nil"/>
              <w:bottom w:val="single" w:sz="4" w:space="0" w:color="auto"/>
              <w:right w:val="nil"/>
            </w:tcBorders>
          </w:tcPr>
          <w:p w14:paraId="2CC0EDD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007039F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C6CF7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B5FAE83" w14:textId="48B1369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Zimny Potok do Łączej RW600010159659</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"str. 2 dokumentu ""PROJEKT DRUGIEJ AKTUALIZACJI PLANU GOSPODAROWANIA WODAMI NA OBSZARZE DORZECZA ODRY WERSJA NIESPECJALISTYCZNA"" dot. wykazu jednolitych części wód powierzchniowych i podziemnych, wykaz zawarty w załaczniku_IIaPGW_OD_Odra_cz1, zakładka 1_</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P_RW, poz. 606"</w:t>
            </w:r>
          </w:p>
        </w:tc>
        <w:tc>
          <w:tcPr>
            <w:tcW w:w="2733" w:type="dxa"/>
            <w:tcBorders>
              <w:top w:val="nil"/>
              <w:left w:val="nil"/>
              <w:bottom w:val="single" w:sz="4" w:space="0" w:color="auto"/>
              <w:right w:val="single" w:sz="4" w:space="0" w:color="auto"/>
            </w:tcBorders>
            <w:shd w:val="clear" w:color="auto" w:fill="auto"/>
            <w:hideMark/>
          </w:tcPr>
          <w:p w14:paraId="10B6A1D9" w14:textId="59C9B56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zmiana nazwy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3009" w:type="dxa"/>
            <w:tcBorders>
              <w:top w:val="nil"/>
              <w:left w:val="nil"/>
              <w:bottom w:val="single" w:sz="4" w:space="0" w:color="auto"/>
              <w:right w:val="single" w:sz="4" w:space="0" w:color="auto"/>
            </w:tcBorders>
            <w:shd w:val="clear" w:color="auto" w:fill="auto"/>
            <w:hideMark/>
          </w:tcPr>
          <w:p w14:paraId="496BB588" w14:textId="3A9E59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Druga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rzeki Zimny Potok nosi nazwę Zimny Potok od Łączy do ujścia, a zatem analogicznie ta powinna się nazywać Zimny Potok do Łączy </w:t>
            </w:r>
          </w:p>
        </w:tc>
        <w:tc>
          <w:tcPr>
            <w:tcW w:w="1720" w:type="dxa"/>
            <w:tcBorders>
              <w:top w:val="nil"/>
              <w:left w:val="nil"/>
              <w:bottom w:val="single" w:sz="4" w:space="0" w:color="auto"/>
              <w:right w:val="single" w:sz="4" w:space="0" w:color="auto"/>
            </w:tcBorders>
            <w:shd w:val="clear" w:color="000000" w:fill="FFFFFF"/>
            <w:hideMark/>
          </w:tcPr>
          <w:p w14:paraId="442008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C0578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EF6E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5919C52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1D9B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103</w:t>
            </w:r>
          </w:p>
        </w:tc>
        <w:tc>
          <w:tcPr>
            <w:tcW w:w="970" w:type="dxa"/>
            <w:tcBorders>
              <w:top w:val="nil"/>
              <w:left w:val="nil"/>
              <w:bottom w:val="single" w:sz="4" w:space="0" w:color="auto"/>
              <w:right w:val="nil"/>
            </w:tcBorders>
          </w:tcPr>
          <w:p w14:paraId="71F12D6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4C6874A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E5024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4398098C" w14:textId="6C68B42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Sieć ppk, na którą składają się reprezentatywne ppk wyznaczone na potrzeby prowadzenia monitoringu diagnostycznego i operacyjnego, stanowi podstawę oceny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"Projekt drugiej aktualizacji planu gospodarowania wodami na obszarze dorzecza Odry, rozdz. 5.1.1. Monitoring Wód powierzchniowych, str. 74"</w:t>
            </w:r>
          </w:p>
        </w:tc>
        <w:tc>
          <w:tcPr>
            <w:tcW w:w="2733" w:type="dxa"/>
            <w:tcBorders>
              <w:top w:val="nil"/>
              <w:left w:val="nil"/>
              <w:bottom w:val="single" w:sz="4" w:space="0" w:color="auto"/>
              <w:right w:val="single" w:sz="4" w:space="0" w:color="auto"/>
            </w:tcBorders>
            <w:shd w:val="clear" w:color="auto" w:fill="auto"/>
            <w:hideMark/>
          </w:tcPr>
          <w:p w14:paraId="3AB31A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ppk, na którą składają się reprezentatywne ppk wyznaczone na potrzeby prowadzenia monitoringu diagnostycznego i operacyjnego, stanowi postawę do przeprowadzenia badań, których wyniki posłużą do wykonania oceny stanu wód,</w:t>
            </w:r>
          </w:p>
        </w:tc>
        <w:tc>
          <w:tcPr>
            <w:tcW w:w="3009" w:type="dxa"/>
            <w:tcBorders>
              <w:top w:val="nil"/>
              <w:left w:val="nil"/>
              <w:bottom w:val="single" w:sz="4" w:space="0" w:color="auto"/>
              <w:right w:val="single" w:sz="4" w:space="0" w:color="auto"/>
            </w:tcBorders>
            <w:shd w:val="clear" w:color="auto" w:fill="auto"/>
            <w:hideMark/>
          </w:tcPr>
          <w:p w14:paraId="03FEF8E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Postawę oceny stanowią wyniki badań a nie sieć sama w sobie.</w:t>
            </w:r>
          </w:p>
        </w:tc>
        <w:tc>
          <w:tcPr>
            <w:tcW w:w="1720" w:type="dxa"/>
            <w:tcBorders>
              <w:top w:val="nil"/>
              <w:left w:val="nil"/>
              <w:bottom w:val="single" w:sz="4" w:space="0" w:color="auto"/>
              <w:right w:val="single" w:sz="4" w:space="0" w:color="auto"/>
            </w:tcBorders>
            <w:shd w:val="clear" w:color="000000" w:fill="FFFFFF"/>
            <w:hideMark/>
          </w:tcPr>
          <w:p w14:paraId="67A05C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1375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B885B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Wprowadzono zmianę zgodnie ze zgłoszoną uwagą.</w:t>
            </w:r>
          </w:p>
        </w:tc>
      </w:tr>
      <w:tr w:rsidR="007C2B40" w:rsidRPr="0028666F" w14:paraId="446DD58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CAD7BA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104</w:t>
            </w:r>
          </w:p>
        </w:tc>
        <w:tc>
          <w:tcPr>
            <w:tcW w:w="970" w:type="dxa"/>
            <w:tcBorders>
              <w:top w:val="nil"/>
              <w:left w:val="nil"/>
              <w:bottom w:val="single" w:sz="4" w:space="0" w:color="auto"/>
              <w:right w:val="nil"/>
            </w:tcBorders>
          </w:tcPr>
          <w:p w14:paraId="366D93A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24C558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1EBF3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13F9D44B" w14:textId="37384A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wyboru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monitoringu diagnostycznego zgodnie z r.w.</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 do 31 grudnia 2021 r. (zalącznik nr 8 do r.m.</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 drugiej aktualizacji planu gospodarowania wodami na obszarze dorzecza </w:t>
            </w:r>
            <w:r w:rsidRPr="0028666F">
              <w:rPr>
                <w:rFonts w:ascii="Calibri" w:eastAsia="Times New Roman" w:hAnsi="Calibri" w:cs="Calibri"/>
                <w:color w:val="000000"/>
                <w:sz w:val="18"/>
                <w:szCs w:val="18"/>
                <w:lang w:eastAsia="pl-PL"/>
              </w:rPr>
              <w:lastRenderedPageBreak/>
              <w:t>Odry, rozdz. 5.1.1. Monitoring Wód powierzchniowych str. 75 Tabela 5-1"</w:t>
            </w:r>
          </w:p>
        </w:tc>
        <w:tc>
          <w:tcPr>
            <w:tcW w:w="2733" w:type="dxa"/>
            <w:tcBorders>
              <w:top w:val="nil"/>
              <w:left w:val="nil"/>
              <w:bottom w:val="single" w:sz="4" w:space="0" w:color="auto"/>
              <w:right w:val="single" w:sz="4" w:space="0" w:color="auto"/>
            </w:tcBorders>
            <w:shd w:val="clear" w:color="auto" w:fill="auto"/>
            <w:hideMark/>
          </w:tcPr>
          <w:p w14:paraId="72520B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usunąć</w:t>
            </w:r>
          </w:p>
        </w:tc>
        <w:tc>
          <w:tcPr>
            <w:tcW w:w="3009" w:type="dxa"/>
            <w:tcBorders>
              <w:top w:val="nil"/>
              <w:left w:val="nil"/>
              <w:bottom w:val="single" w:sz="4" w:space="0" w:color="auto"/>
              <w:right w:val="single" w:sz="4" w:space="0" w:color="auto"/>
            </w:tcBorders>
            <w:shd w:val="clear" w:color="auto" w:fill="auto"/>
            <w:hideMark/>
          </w:tcPr>
          <w:p w14:paraId="5081A836" w14:textId="0086D56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Czy celowe jest cytowanie w tym dokumencie kryteriów wyboru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monitoringu diagnostycznego obowiązujących do 31 grufdnia 2021 r. , skoro aktualizacja odnosi do kolejnego cyklu planbowania i w tym </w:t>
            </w:r>
            <w:r w:rsidRPr="0028666F">
              <w:rPr>
                <w:rFonts w:ascii="Calibri" w:eastAsia="Times New Roman" w:hAnsi="Calibri" w:cs="Calibri"/>
                <w:color w:val="000000"/>
                <w:sz w:val="18"/>
                <w:szCs w:val="18"/>
                <w:lang w:eastAsia="pl-PL"/>
              </w:rPr>
              <w:lastRenderedPageBreak/>
              <w:t>momencie te zapisy będą już miały tylko wartość historyczną?</w:t>
            </w:r>
          </w:p>
        </w:tc>
        <w:tc>
          <w:tcPr>
            <w:tcW w:w="1720" w:type="dxa"/>
            <w:tcBorders>
              <w:top w:val="nil"/>
              <w:left w:val="nil"/>
              <w:bottom w:val="single" w:sz="4" w:space="0" w:color="auto"/>
              <w:right w:val="single" w:sz="4" w:space="0" w:color="auto"/>
            </w:tcBorders>
            <w:shd w:val="clear" w:color="000000" w:fill="FFFFFF"/>
            <w:hideMark/>
          </w:tcPr>
          <w:p w14:paraId="191EF4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 - </w:t>
            </w:r>
          </w:p>
        </w:tc>
        <w:tc>
          <w:tcPr>
            <w:tcW w:w="1014" w:type="dxa"/>
            <w:tcBorders>
              <w:top w:val="nil"/>
              <w:left w:val="nil"/>
              <w:bottom w:val="single" w:sz="4" w:space="0" w:color="auto"/>
              <w:right w:val="single" w:sz="4" w:space="0" w:color="auto"/>
            </w:tcBorders>
            <w:shd w:val="clear" w:color="auto" w:fill="auto"/>
            <w:hideMark/>
          </w:tcPr>
          <w:p w14:paraId="539717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6757DF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Skorygowano treść wskazaną w uwadze poprzez usunięcie odniesień do kryteriów obowiązujących do 31.12.2021 r.</w:t>
            </w:r>
          </w:p>
        </w:tc>
      </w:tr>
      <w:tr w:rsidR="007C2B40" w:rsidRPr="0028666F" w14:paraId="5769ACF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4A483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105</w:t>
            </w:r>
          </w:p>
        </w:tc>
        <w:tc>
          <w:tcPr>
            <w:tcW w:w="970" w:type="dxa"/>
            <w:tcBorders>
              <w:top w:val="nil"/>
              <w:left w:val="nil"/>
              <w:bottom w:val="single" w:sz="4" w:space="0" w:color="auto"/>
              <w:right w:val="nil"/>
            </w:tcBorders>
          </w:tcPr>
          <w:p w14:paraId="7663927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64F7EA7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5EB2A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79BD0038" w14:textId="22F4BDB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wyboru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monitoringu operacyjnego zgodnie z r.w.</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 do 31 grudnia 2021 r. (zalącznik nr 8 do r.m.</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"Projekt drugiej aktualizacji planu gospodarowania wodami na obszarze dorzecza Odry, rozdz. 5.1.1. Monitoring Wód powierzchniowych  str. 77 Tabela 5-2"</w:t>
            </w:r>
          </w:p>
        </w:tc>
        <w:tc>
          <w:tcPr>
            <w:tcW w:w="2733" w:type="dxa"/>
            <w:tcBorders>
              <w:top w:val="nil"/>
              <w:left w:val="nil"/>
              <w:bottom w:val="single" w:sz="4" w:space="0" w:color="auto"/>
              <w:right w:val="single" w:sz="4" w:space="0" w:color="auto"/>
            </w:tcBorders>
            <w:shd w:val="clear" w:color="auto" w:fill="auto"/>
            <w:hideMark/>
          </w:tcPr>
          <w:p w14:paraId="62BE4D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w:t>
            </w:r>
          </w:p>
        </w:tc>
        <w:tc>
          <w:tcPr>
            <w:tcW w:w="3009" w:type="dxa"/>
            <w:tcBorders>
              <w:top w:val="nil"/>
              <w:left w:val="nil"/>
              <w:bottom w:val="single" w:sz="4" w:space="0" w:color="auto"/>
              <w:right w:val="single" w:sz="4" w:space="0" w:color="auto"/>
            </w:tcBorders>
            <w:shd w:val="clear" w:color="auto" w:fill="auto"/>
            <w:hideMark/>
          </w:tcPr>
          <w:p w14:paraId="39A908B3" w14:textId="20F984E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Czy celowe jest cytowanie w tym dokumencie kryteriów wyboru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monitoringu diagnostycznego obowiązujących do 31 grufdnia 2021 r. , skoro aktualizacja odnosi do kolejnego cyklu planbowania i w tym momencie te zapisy będą już miały tylko wartość historyczną?</w:t>
            </w:r>
          </w:p>
        </w:tc>
        <w:tc>
          <w:tcPr>
            <w:tcW w:w="1720" w:type="dxa"/>
            <w:tcBorders>
              <w:top w:val="nil"/>
              <w:left w:val="nil"/>
              <w:bottom w:val="single" w:sz="4" w:space="0" w:color="auto"/>
              <w:right w:val="single" w:sz="4" w:space="0" w:color="auto"/>
            </w:tcBorders>
            <w:shd w:val="clear" w:color="000000" w:fill="FFFFFF"/>
            <w:hideMark/>
          </w:tcPr>
          <w:p w14:paraId="24BF80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1B3DD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C403C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Skorygowano treść wskazaną w uwadze poprzez usunięcie odniesień do kryteriów obowiązujących do 31.12.2021 r.</w:t>
            </w:r>
          </w:p>
        </w:tc>
      </w:tr>
      <w:tr w:rsidR="007C2B40" w:rsidRPr="0028666F" w14:paraId="4C55C5E4" w14:textId="77777777" w:rsidTr="000B16E5">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C1E2CF2" w14:textId="77777777" w:rsidR="007C2B40" w:rsidRPr="000B16E5" w:rsidRDefault="007C2B40" w:rsidP="007C2B40">
            <w:pPr>
              <w:ind w:firstLine="0"/>
              <w:jc w:val="center"/>
              <w:rPr>
                <w:rFonts w:ascii="Calibri" w:eastAsia="Times New Roman" w:hAnsi="Calibri" w:cs="Calibri"/>
                <w:color w:val="000000"/>
                <w:sz w:val="18"/>
                <w:szCs w:val="18"/>
                <w:highlight w:val="red"/>
                <w:lang w:eastAsia="pl-PL"/>
              </w:rPr>
            </w:pPr>
            <w:r w:rsidRPr="000B16E5">
              <w:rPr>
                <w:rFonts w:ascii="Calibri" w:eastAsia="Times New Roman" w:hAnsi="Calibri" w:cs="Calibri"/>
                <w:color w:val="000000"/>
                <w:sz w:val="18"/>
                <w:szCs w:val="18"/>
                <w:highlight w:val="red"/>
                <w:lang w:eastAsia="pl-PL"/>
              </w:rPr>
              <w:t>106</w:t>
            </w:r>
          </w:p>
        </w:tc>
        <w:tc>
          <w:tcPr>
            <w:tcW w:w="970" w:type="dxa"/>
            <w:tcBorders>
              <w:top w:val="nil"/>
              <w:left w:val="nil"/>
              <w:bottom w:val="single" w:sz="4" w:space="0" w:color="auto"/>
              <w:right w:val="nil"/>
            </w:tcBorders>
            <w:shd w:val="clear" w:color="auto" w:fill="auto"/>
          </w:tcPr>
          <w:p w14:paraId="7CAEFAE1"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5FDB8811" w14:textId="77777777" w:rsidR="007C2B40" w:rsidRPr="000B16E5"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FFD79C" w14:textId="47959DA9"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 xml:space="preserve">Cele środowiskowe </w:t>
            </w:r>
            <w:r w:rsidR="00370EC8">
              <w:rPr>
                <w:rFonts w:ascii="Calibri" w:eastAsia="Times New Roman" w:hAnsi="Calibri" w:cs="Calibri"/>
                <w:color w:val="000000"/>
                <w:sz w:val="18"/>
                <w:szCs w:val="18"/>
                <w:lang w:eastAsia="pl-PL"/>
              </w:rPr>
              <w:t>JCWP</w:t>
            </w:r>
            <w:r w:rsidRPr="000B16E5">
              <w:rPr>
                <w:rFonts w:ascii="Calibri" w:eastAsia="Times New Roman" w:hAnsi="Calibri" w:cs="Calibri"/>
                <w:color w:val="000000"/>
                <w:sz w:val="18"/>
                <w:szCs w:val="18"/>
                <w:lang w:eastAsia="pl-PL"/>
              </w:rPr>
              <w:t>p</w:t>
            </w:r>
          </w:p>
        </w:tc>
        <w:tc>
          <w:tcPr>
            <w:tcW w:w="5000" w:type="dxa"/>
            <w:tcBorders>
              <w:top w:val="nil"/>
              <w:left w:val="nil"/>
              <w:bottom w:val="single" w:sz="4" w:space="0" w:color="auto"/>
              <w:right w:val="single" w:sz="4" w:space="0" w:color="auto"/>
            </w:tcBorders>
            <w:shd w:val="clear" w:color="auto" w:fill="auto"/>
            <w:hideMark/>
          </w:tcPr>
          <w:p w14:paraId="08FF3093"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W uzupełnieniu poprzedniej uwagi, alternatywnie wobec wyznaczenia granicznej wielkości wskaźnika PEW 1500 mikrosiemensów/cm z wpisaniem tych wartości do załącznika nr 3.1. proponuje się zrezygnowanie z ustalania tej wartości.</w:t>
            </w:r>
          </w:p>
        </w:tc>
        <w:tc>
          <w:tcPr>
            <w:tcW w:w="2733" w:type="dxa"/>
            <w:tcBorders>
              <w:top w:val="nil"/>
              <w:left w:val="nil"/>
              <w:bottom w:val="single" w:sz="4" w:space="0" w:color="auto"/>
              <w:right w:val="single" w:sz="4" w:space="0" w:color="auto"/>
            </w:tcBorders>
            <w:shd w:val="clear" w:color="auto" w:fill="auto"/>
            <w:hideMark/>
          </w:tcPr>
          <w:p w14:paraId="40F73405"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 xml:space="preserve">Nie wpisywać wielkości granicznej przewodności w załączniku nr 3.1. . </w:t>
            </w:r>
          </w:p>
        </w:tc>
        <w:tc>
          <w:tcPr>
            <w:tcW w:w="3009" w:type="dxa"/>
            <w:tcBorders>
              <w:top w:val="nil"/>
              <w:left w:val="nil"/>
              <w:bottom w:val="single" w:sz="4" w:space="0" w:color="auto"/>
              <w:right w:val="single" w:sz="4" w:space="0" w:color="auto"/>
            </w:tcBorders>
            <w:shd w:val="clear" w:color="auto" w:fill="auto"/>
            <w:hideMark/>
          </w:tcPr>
          <w:p w14:paraId="66937BA1"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Z treści punktu 1.2.5. załącznika nr V do RDW wynika, że państwa członkowskie nie muszą ustalać granicznej wielkości wskaźnika zasolenia dla dobrego potencjału ekologicznego. Kontrolę nad poziomem zasolenia zapewnią przepisy rozporządzenia o warunkach jakim powinny odpowiadać ścieki .....</w:t>
            </w:r>
          </w:p>
        </w:tc>
        <w:tc>
          <w:tcPr>
            <w:tcW w:w="1720" w:type="dxa"/>
            <w:tcBorders>
              <w:top w:val="nil"/>
              <w:left w:val="nil"/>
              <w:bottom w:val="single" w:sz="4" w:space="0" w:color="auto"/>
              <w:right w:val="single" w:sz="4" w:space="0" w:color="auto"/>
            </w:tcBorders>
            <w:shd w:val="clear" w:color="auto" w:fill="auto"/>
            <w:hideMark/>
          </w:tcPr>
          <w:p w14:paraId="42FACB32"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A5212BC" w14:textId="77777777"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EE526D5" w14:textId="7C857516" w:rsid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 xml:space="preserve">Brak podstaw do pominięcia wskaźnika przewodności w zał. </w:t>
            </w:r>
            <w:r w:rsidR="000B16E5">
              <w:rPr>
                <w:rFonts w:ascii="Calibri" w:eastAsia="Times New Roman" w:hAnsi="Calibri" w:cs="Calibri"/>
                <w:color w:val="000000"/>
                <w:sz w:val="18"/>
                <w:szCs w:val="18"/>
                <w:lang w:eastAsia="pl-PL"/>
              </w:rPr>
              <w:t>Wartości graniczne SCW i SZCW</w:t>
            </w:r>
            <w:r w:rsidRPr="000B16E5">
              <w:rPr>
                <w:rFonts w:ascii="Calibri" w:eastAsia="Times New Roman" w:hAnsi="Calibri" w:cs="Calibri"/>
                <w:color w:val="000000"/>
                <w:sz w:val="18"/>
                <w:szCs w:val="18"/>
                <w:lang w:eastAsia="pl-PL"/>
              </w:rPr>
              <w:t xml:space="preserve">. </w:t>
            </w:r>
          </w:p>
          <w:p w14:paraId="080F7537" w14:textId="77777777" w:rsidR="000B16E5" w:rsidRPr="00F57DBC" w:rsidRDefault="000B16E5" w:rsidP="000B16E5">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W przypadku wartości granicznych dot. wskaźników fizykochemicznych zastosowano dwa rodzaje podejścia:</w:t>
            </w:r>
          </w:p>
          <w:p w14:paraId="541060CF" w14:textId="6D70FF92" w:rsidR="000B16E5" w:rsidRPr="00F57DBC" w:rsidRDefault="000B16E5" w:rsidP="000B16E5">
            <w:pPr>
              <w:pStyle w:val="Akapitzlist"/>
              <w:numPr>
                <w:ilvl w:val="0"/>
                <w:numId w:val="1"/>
              </w:numPr>
              <w:ind w:left="354" w:hanging="283"/>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135ED2A3" w14:textId="3F4B4E76" w:rsidR="000B16E5" w:rsidRPr="00F57DBC" w:rsidRDefault="000B16E5" w:rsidP="000B16E5">
            <w:pPr>
              <w:pStyle w:val="Akapitzlist"/>
              <w:numPr>
                <w:ilvl w:val="0"/>
                <w:numId w:val="1"/>
              </w:numPr>
              <w:ind w:left="354" w:hanging="283"/>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37C36286" w14:textId="77777777" w:rsidR="000B16E5" w:rsidRDefault="000B16E5" w:rsidP="000B16E5">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p>
          <w:p w14:paraId="29A57A69" w14:textId="73FE7710" w:rsidR="007C2B40" w:rsidRPr="000B16E5" w:rsidRDefault="007C2B40" w:rsidP="007C2B40">
            <w:pPr>
              <w:ind w:firstLine="0"/>
              <w:jc w:val="left"/>
              <w:rPr>
                <w:rFonts w:ascii="Calibri" w:eastAsia="Times New Roman" w:hAnsi="Calibri" w:cs="Calibri"/>
                <w:color w:val="000000"/>
                <w:sz w:val="18"/>
                <w:szCs w:val="18"/>
                <w:lang w:eastAsia="pl-PL"/>
              </w:rPr>
            </w:pPr>
            <w:r w:rsidRPr="000B16E5">
              <w:rPr>
                <w:rFonts w:ascii="Calibri" w:eastAsia="Times New Roman" w:hAnsi="Calibri" w:cs="Calibri"/>
                <w:color w:val="000000"/>
                <w:sz w:val="18"/>
                <w:szCs w:val="18"/>
                <w:lang w:eastAsia="pl-PL"/>
              </w:rPr>
              <w:t>.</w:t>
            </w:r>
          </w:p>
        </w:tc>
      </w:tr>
      <w:tr w:rsidR="007C2B40" w:rsidRPr="0028666F" w14:paraId="5041F59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959B1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107</w:t>
            </w:r>
          </w:p>
        </w:tc>
        <w:tc>
          <w:tcPr>
            <w:tcW w:w="970" w:type="dxa"/>
            <w:tcBorders>
              <w:top w:val="nil"/>
              <w:left w:val="nil"/>
              <w:bottom w:val="single" w:sz="4" w:space="0" w:color="auto"/>
              <w:right w:val="nil"/>
            </w:tcBorders>
          </w:tcPr>
          <w:p w14:paraId="336A897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1929174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86E4E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1AC7DE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operacyjny jest prowadzony dwa razy w sześcioletnim cyklu wodnym (co 3 lata), z wyjątkiem pomiarów substancji szczególnie szkodliwych dla środowiska wodnego (pomiary corocznie, z częstotliwością co miesiąc)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"Projekt drugiej aktualizacji planu gospodarowania wodami na obszarze dorzecza Odry, rozdz. 5.1.1. Monitoring Wód powierzchniowych str. 78"</w:t>
            </w:r>
          </w:p>
        </w:tc>
        <w:tc>
          <w:tcPr>
            <w:tcW w:w="2733" w:type="dxa"/>
            <w:tcBorders>
              <w:top w:val="nil"/>
              <w:left w:val="nil"/>
              <w:bottom w:val="single" w:sz="4" w:space="0" w:color="auto"/>
              <w:right w:val="single" w:sz="4" w:space="0" w:color="auto"/>
            </w:tcBorders>
            <w:shd w:val="clear" w:color="auto" w:fill="auto"/>
            <w:hideMark/>
          </w:tcPr>
          <w:p w14:paraId="00BDE9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operacyjny jest prowadzony dwa razy w sześcioletnim cyklu wodnym (co 3 lata), z wyjątkiem pomiarów stężeń tych substancji szczególnie szkodliwych, dla których w wyniku monitoringu diagnostycznego lub analizy występowanai ich zrzutów w zlewni stwierdzono przekroczenie wartości dopuszczalnych (pomiary corocznie, z częstotliwością co miesiąc) ...</w:t>
            </w:r>
          </w:p>
        </w:tc>
        <w:tc>
          <w:tcPr>
            <w:tcW w:w="3009" w:type="dxa"/>
            <w:tcBorders>
              <w:top w:val="nil"/>
              <w:left w:val="nil"/>
              <w:bottom w:val="single" w:sz="4" w:space="0" w:color="auto"/>
              <w:right w:val="single" w:sz="4" w:space="0" w:color="auto"/>
            </w:tcBorders>
            <w:shd w:val="clear" w:color="auto" w:fill="auto"/>
            <w:hideMark/>
          </w:tcPr>
          <w:p w14:paraId="10B6A1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poprzedni zapis jest nieprecyzyjny i sugeruje wykonywanie bliżej nieokreśloych substacji szczególnie szkodliwych w ramach monitoringu operacyjnego i to corocznie</w:t>
            </w:r>
          </w:p>
        </w:tc>
        <w:tc>
          <w:tcPr>
            <w:tcW w:w="1720" w:type="dxa"/>
            <w:tcBorders>
              <w:top w:val="nil"/>
              <w:left w:val="nil"/>
              <w:bottom w:val="single" w:sz="4" w:space="0" w:color="auto"/>
              <w:right w:val="single" w:sz="4" w:space="0" w:color="auto"/>
            </w:tcBorders>
            <w:shd w:val="clear" w:color="000000" w:fill="FFFFFF"/>
            <w:hideMark/>
          </w:tcPr>
          <w:p w14:paraId="494DDB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AF9D9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E29AF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Skorygowano treść zgodnie z sugestią wskazaną w uwadze.</w:t>
            </w:r>
          </w:p>
        </w:tc>
      </w:tr>
      <w:tr w:rsidR="007C2B40" w:rsidRPr="0028666F" w14:paraId="1F9FF53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D76A10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108</w:t>
            </w:r>
          </w:p>
        </w:tc>
        <w:tc>
          <w:tcPr>
            <w:tcW w:w="970" w:type="dxa"/>
            <w:tcBorders>
              <w:top w:val="nil"/>
              <w:left w:val="nil"/>
              <w:bottom w:val="single" w:sz="4" w:space="0" w:color="auto"/>
              <w:right w:val="nil"/>
            </w:tcBorders>
          </w:tcPr>
          <w:p w14:paraId="1B0D66B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6C2A18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60186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238E0A71" w14:textId="2904315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wyboru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monitoringu obszarów chronionych zgodnie z r.w.</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 do 31 grudnia 2021 r. (zalącznik nr 8 do r.m.</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tabela 5-3</w:t>
            </w:r>
          </w:p>
        </w:tc>
        <w:tc>
          <w:tcPr>
            <w:tcW w:w="2733" w:type="dxa"/>
            <w:tcBorders>
              <w:top w:val="nil"/>
              <w:left w:val="nil"/>
              <w:bottom w:val="single" w:sz="4" w:space="0" w:color="auto"/>
              <w:right w:val="single" w:sz="4" w:space="0" w:color="auto"/>
            </w:tcBorders>
            <w:shd w:val="clear" w:color="auto" w:fill="auto"/>
            <w:hideMark/>
          </w:tcPr>
          <w:p w14:paraId="1B334F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w:t>
            </w:r>
          </w:p>
        </w:tc>
        <w:tc>
          <w:tcPr>
            <w:tcW w:w="3009" w:type="dxa"/>
            <w:tcBorders>
              <w:top w:val="nil"/>
              <w:left w:val="nil"/>
              <w:bottom w:val="single" w:sz="4" w:space="0" w:color="auto"/>
              <w:right w:val="single" w:sz="4" w:space="0" w:color="auto"/>
            </w:tcBorders>
            <w:shd w:val="clear" w:color="auto" w:fill="auto"/>
            <w:hideMark/>
          </w:tcPr>
          <w:p w14:paraId="1A7F4D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dla lp. 2. i 3.</w:t>
            </w:r>
          </w:p>
        </w:tc>
        <w:tc>
          <w:tcPr>
            <w:tcW w:w="1720" w:type="dxa"/>
            <w:tcBorders>
              <w:top w:val="nil"/>
              <w:left w:val="nil"/>
              <w:bottom w:val="single" w:sz="4" w:space="0" w:color="auto"/>
              <w:right w:val="single" w:sz="4" w:space="0" w:color="auto"/>
            </w:tcBorders>
            <w:shd w:val="clear" w:color="000000" w:fill="FFFFFF"/>
            <w:hideMark/>
          </w:tcPr>
          <w:p w14:paraId="20D4D3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CE18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07D3D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Skorygowano treść wskazaną w uwadze poprzez usunięcie odniesień do kryteriów obowiązujących do 31.12.2021 r.</w:t>
            </w:r>
          </w:p>
        </w:tc>
      </w:tr>
      <w:tr w:rsidR="007C2B40" w:rsidRPr="0028666F" w14:paraId="768BEDD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68FC02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109</w:t>
            </w:r>
          </w:p>
        </w:tc>
        <w:tc>
          <w:tcPr>
            <w:tcW w:w="970" w:type="dxa"/>
            <w:tcBorders>
              <w:top w:val="nil"/>
              <w:left w:val="nil"/>
              <w:bottom w:val="single" w:sz="4" w:space="0" w:color="auto"/>
              <w:right w:val="nil"/>
            </w:tcBorders>
          </w:tcPr>
          <w:p w14:paraId="63CAC12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w:t>
            </w:r>
            <w:r>
              <w:rPr>
                <w:rFonts w:ascii="Calibri" w:hAnsi="Calibri" w:cs="Calibri"/>
                <w:color w:val="000000"/>
                <w:sz w:val="18"/>
                <w:szCs w:val="18"/>
              </w:rPr>
              <w:lastRenderedPageBreak/>
              <w:t xml:space="preserve">ŚRODOWISKA </w:t>
            </w:r>
          </w:p>
        </w:tc>
        <w:tc>
          <w:tcPr>
            <w:tcW w:w="165" w:type="dxa"/>
            <w:tcBorders>
              <w:top w:val="nil"/>
              <w:left w:val="nil"/>
              <w:bottom w:val="single" w:sz="4" w:space="0" w:color="auto"/>
              <w:right w:val="single" w:sz="4" w:space="0" w:color="auto"/>
            </w:tcBorders>
            <w:shd w:val="clear" w:color="auto" w:fill="auto"/>
          </w:tcPr>
          <w:p w14:paraId="7461B99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41A5C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PODSUMOWANIE IDENTYFIKACJI ZNACZĄCYCH ODDZIAŁYWAŃ ANTROPOGENICZNYCH I </w:t>
            </w:r>
            <w:r w:rsidRPr="0028666F">
              <w:rPr>
                <w:rFonts w:ascii="Calibri" w:eastAsia="Times New Roman" w:hAnsi="Calibri" w:cs="Calibri"/>
                <w:color w:val="000000"/>
                <w:sz w:val="18"/>
                <w:szCs w:val="18"/>
                <w:lang w:eastAsia="pl-PL"/>
              </w:rPr>
              <w:lastRenderedPageBreak/>
              <w:t>OCENY ICH WPŁYWU NA STAN WÓD POWIERZCHNIOWYCH I PODZIEMNYCH</w:t>
            </w:r>
          </w:p>
        </w:tc>
        <w:tc>
          <w:tcPr>
            <w:tcW w:w="5000" w:type="dxa"/>
            <w:tcBorders>
              <w:top w:val="nil"/>
              <w:left w:val="nil"/>
              <w:bottom w:val="single" w:sz="4" w:space="0" w:color="auto"/>
              <w:right w:val="single" w:sz="4" w:space="0" w:color="auto"/>
            </w:tcBorders>
            <w:shd w:val="clear" w:color="auto" w:fill="auto"/>
            <w:hideMark/>
          </w:tcPr>
          <w:p w14:paraId="625AA7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wartości słupków na wykresie</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 drugiej </w:t>
            </w:r>
            <w:r w:rsidRPr="0028666F">
              <w:rPr>
                <w:rFonts w:ascii="Calibri" w:eastAsia="Times New Roman" w:hAnsi="Calibri" w:cs="Calibri"/>
                <w:color w:val="000000"/>
                <w:sz w:val="18"/>
                <w:szCs w:val="18"/>
                <w:lang w:eastAsia="pl-PL"/>
              </w:rPr>
              <w:lastRenderedPageBreak/>
              <w:t>aktualizacji planu gospodarowania wodami na obszarze dorzecza Odry, rozdz. 7.1 Wody powierzchniowe str. 153 wykres 7-8"</w:t>
            </w:r>
          </w:p>
        </w:tc>
        <w:tc>
          <w:tcPr>
            <w:tcW w:w="2733" w:type="dxa"/>
            <w:tcBorders>
              <w:top w:val="nil"/>
              <w:left w:val="nil"/>
              <w:bottom w:val="single" w:sz="4" w:space="0" w:color="auto"/>
              <w:right w:val="single" w:sz="4" w:space="0" w:color="auto"/>
            </w:tcBorders>
            <w:shd w:val="clear" w:color="auto" w:fill="auto"/>
            <w:hideMark/>
          </w:tcPr>
          <w:p w14:paraId="4ACCA1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zwiększyć wartości procentowe do jednego miejsca po przecinku</w:t>
            </w:r>
          </w:p>
        </w:tc>
        <w:tc>
          <w:tcPr>
            <w:tcW w:w="3009" w:type="dxa"/>
            <w:tcBorders>
              <w:top w:val="nil"/>
              <w:left w:val="nil"/>
              <w:bottom w:val="single" w:sz="4" w:space="0" w:color="auto"/>
              <w:right w:val="single" w:sz="4" w:space="0" w:color="auto"/>
            </w:tcBorders>
            <w:shd w:val="clear" w:color="auto" w:fill="auto"/>
            <w:hideMark/>
          </w:tcPr>
          <w:p w14:paraId="275797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 'oko' widać że dwa słupki z wartością 97% nie są jednakowe</w:t>
            </w:r>
          </w:p>
        </w:tc>
        <w:tc>
          <w:tcPr>
            <w:tcW w:w="1720" w:type="dxa"/>
            <w:tcBorders>
              <w:top w:val="nil"/>
              <w:left w:val="nil"/>
              <w:bottom w:val="single" w:sz="4" w:space="0" w:color="auto"/>
              <w:right w:val="single" w:sz="4" w:space="0" w:color="auto"/>
            </w:tcBorders>
            <w:shd w:val="clear" w:color="000000" w:fill="FFFFFF"/>
            <w:hideMark/>
          </w:tcPr>
          <w:p w14:paraId="665DAE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2EDDA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9E0F7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Zweryfikowano wskazany wykres dla wyeliminowania błędnego odbioru prezentowanych danych na wykresie - zwiększono dokładność danych do 1 miejsca po przecinku.</w:t>
            </w:r>
          </w:p>
        </w:tc>
      </w:tr>
      <w:tr w:rsidR="007C2B40" w:rsidRPr="0028666F" w14:paraId="4858C1B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1301A1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110</w:t>
            </w:r>
          </w:p>
        </w:tc>
        <w:tc>
          <w:tcPr>
            <w:tcW w:w="970" w:type="dxa"/>
            <w:tcBorders>
              <w:top w:val="nil"/>
              <w:left w:val="nil"/>
              <w:bottom w:val="single" w:sz="4" w:space="0" w:color="auto"/>
              <w:right w:val="nil"/>
            </w:tcBorders>
          </w:tcPr>
          <w:p w14:paraId="5D6594D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1D0B9D4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19E58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2B07C8B" w14:textId="084AC64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zmienić odniesienia do rozporządzeń:</w:t>
            </w:r>
            <w:r w:rsidRPr="0028666F">
              <w:rPr>
                <w:rFonts w:ascii="Calibri" w:eastAsia="Times New Roman" w:hAnsi="Calibri" w:cs="Calibri"/>
                <w:color w:val="000000"/>
                <w:sz w:val="18"/>
                <w:szCs w:val="18"/>
                <w:lang w:eastAsia="pl-PL"/>
              </w:rPr>
              <w:br/>
              <w:t>- z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 na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z 2021 r. poz. 1475);</w:t>
            </w:r>
            <w:r w:rsidRPr="0028666F">
              <w:rPr>
                <w:rFonts w:ascii="Calibri" w:eastAsia="Times New Roman" w:hAnsi="Calibri" w:cs="Calibri"/>
                <w:color w:val="000000"/>
                <w:sz w:val="18"/>
                <w:szCs w:val="18"/>
                <w:lang w:eastAsia="pl-PL"/>
              </w:rPr>
              <w:br/>
              <w:t>- z rozporządzenia Ministra Gospodarki Morskiej i Żeglugi Śródlądowej z dnia 9 października 2019 r. w sprawie form i sposobu prowadzenia monitoringu jednolitych części wód powierzchniowych i jednolitych części wód podziemnych (Dz.U. z 2019 r. poz. 2147) na rozporządzenie Ministra Infrastruktury z dnia 13 lipca 2021 r. w sprawie form i sposobu prowadzenia monitoringu jednolitych części wód powierzchniowych i jednolitych części wód podziemnych (Dz. U. z 2021 r. poz. 1576).</w:t>
            </w:r>
            <w:r w:rsidRPr="0028666F">
              <w:rPr>
                <w:rFonts w:ascii="Calibri" w:eastAsia="Times New Roman" w:hAnsi="Calibri" w:cs="Calibri"/>
                <w:color w:val="000000"/>
                <w:sz w:val="18"/>
                <w:szCs w:val="18"/>
                <w:lang w:eastAsia="pl-PL"/>
              </w:rPr>
              <w:br/>
              <w:t xml:space="preserve">Wyjątkiem są te fragmenty dokumentów, które mówią o ocenie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 2019 r. (na podstawie danych za lata 2014-2019) oraz monitoringu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latach 2020-2021 - tu podstawą były rozporządzenia MGMiŻŚ z 2019 r."</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Uwaga ogólna do plików "Projekt_IIaPGW_OD_..." oraz do plików "Wersja niespecjalistyczna projektu II aPGW dla obszaru dorzecza …"</w:t>
            </w:r>
          </w:p>
        </w:tc>
        <w:tc>
          <w:tcPr>
            <w:tcW w:w="2733" w:type="dxa"/>
            <w:tcBorders>
              <w:top w:val="nil"/>
              <w:left w:val="nil"/>
              <w:bottom w:val="single" w:sz="4" w:space="0" w:color="auto"/>
              <w:right w:val="single" w:sz="4" w:space="0" w:color="auto"/>
            </w:tcBorders>
            <w:shd w:val="clear" w:color="auto" w:fill="auto"/>
            <w:hideMark/>
          </w:tcPr>
          <w:p w14:paraId="17A6A00A" w14:textId="2808D17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słowniku skrótów i w zasadniczym tekście dokumentów:</w:t>
            </w:r>
            <w:r w:rsidRPr="0028666F">
              <w:rPr>
                <w:rFonts w:ascii="Calibri" w:eastAsia="Times New Roman" w:hAnsi="Calibri" w:cs="Calibri"/>
                <w:color w:val="000000"/>
                <w:sz w:val="18"/>
                <w:szCs w:val="18"/>
                <w:lang w:eastAsia="pl-PL"/>
              </w:rPr>
              <w:br/>
              <w:t>- skrót ""r.kl.</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powinien oznaczać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z 2021 r. poz. 1475);</w:t>
            </w:r>
            <w:r w:rsidRPr="0028666F">
              <w:rPr>
                <w:rFonts w:ascii="Calibri" w:eastAsia="Times New Roman" w:hAnsi="Calibri" w:cs="Calibri"/>
                <w:color w:val="000000"/>
                <w:sz w:val="18"/>
                <w:szCs w:val="18"/>
                <w:lang w:eastAsia="pl-PL"/>
              </w:rPr>
              <w:br/>
              <w:t>- skrót ""r.m.</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powinien oznaczać rozporządzenie Ministra Infrastruktury z dnia 13 lipca 2021 r. w sprawie form i sposobu prowadzenia monitoringu jednolitych części wód powierzchniowych i jednolitych części wód podziemnych (Dz. U. z 2021 r. poz. 1576);</w:t>
            </w:r>
            <w:r w:rsidRPr="0028666F">
              <w:rPr>
                <w:rFonts w:ascii="Calibri" w:eastAsia="Times New Roman" w:hAnsi="Calibri" w:cs="Calibri"/>
                <w:color w:val="000000"/>
                <w:sz w:val="18"/>
                <w:szCs w:val="18"/>
                <w:lang w:eastAsia="pl-PL"/>
              </w:rPr>
              <w:br/>
              <w:t xml:space="preserve">- rozporządzeniom MGMiŻŚ z 2019 r. powinny odpowiadać skróty, odpowiednio: ""s.r.kl. (2019)"" i ""s.r.m.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(2019)"".</w:t>
            </w:r>
            <w:r w:rsidRPr="0028666F">
              <w:rPr>
                <w:rFonts w:ascii="Calibri" w:eastAsia="Times New Roman" w:hAnsi="Calibri" w:cs="Calibri"/>
                <w:color w:val="000000"/>
                <w:sz w:val="18"/>
                <w:szCs w:val="18"/>
                <w:lang w:eastAsia="pl-PL"/>
              </w:rPr>
              <w:br/>
              <w:t>Wszędzie tam, gdzie podaje się pełne tytuły rozporządzeń jako aktów obecnie obowiązujących, należy zmienić je z tytułów rozporządzeń MGMiŻŚ z 2019 r. na tytuły rozporządzeń MI z 2021 r.</w:t>
            </w:r>
            <w:r w:rsidRPr="0028666F">
              <w:rPr>
                <w:rFonts w:ascii="Calibri" w:eastAsia="Times New Roman" w:hAnsi="Calibri" w:cs="Calibri"/>
                <w:color w:val="000000"/>
                <w:sz w:val="18"/>
                <w:szCs w:val="18"/>
                <w:lang w:eastAsia="pl-PL"/>
              </w:rPr>
              <w:br/>
              <w:t xml:space="preserve">Wyjątkiem są te fragmenty dokumentów, które mówią o ocenie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 2019 r. (na podstawie danych za lata 2014-2019) oraz monitoringu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latach 2020-2021 - tu podstawą były rozporządzenia MGMiŻŚ z 2019 r."</w:t>
            </w:r>
          </w:p>
        </w:tc>
        <w:tc>
          <w:tcPr>
            <w:tcW w:w="3009" w:type="dxa"/>
            <w:tcBorders>
              <w:top w:val="nil"/>
              <w:left w:val="nil"/>
              <w:bottom w:val="single" w:sz="4" w:space="0" w:color="auto"/>
              <w:right w:val="single" w:sz="4" w:space="0" w:color="auto"/>
            </w:tcBorders>
            <w:shd w:val="clear" w:color="auto" w:fill="auto"/>
            <w:hideMark/>
          </w:tcPr>
          <w:p w14:paraId="6E56544E" w14:textId="001885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Rozporządzenia: klasyfikacyjne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MGMiŻŚ oraz monitoringowe MGMiŻŚ utraciły moc 24.05.2021 i zostały zastąpione przez odpowiednie rozporządzenia MI.</w:t>
            </w:r>
          </w:p>
        </w:tc>
        <w:tc>
          <w:tcPr>
            <w:tcW w:w="1720" w:type="dxa"/>
            <w:tcBorders>
              <w:top w:val="nil"/>
              <w:left w:val="nil"/>
              <w:bottom w:val="single" w:sz="4" w:space="0" w:color="auto"/>
              <w:right w:val="single" w:sz="4" w:space="0" w:color="auto"/>
            </w:tcBorders>
            <w:shd w:val="clear" w:color="000000" w:fill="FFFFFF"/>
            <w:hideMark/>
          </w:tcPr>
          <w:p w14:paraId="00ED28C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4218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3A97E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aktualizacyjne treści IIaPGW w zakresie wskazanym w uwadze zostały wprowadzone. Uzupełniono wykaz skrótów o s.r.kl (2019) oraz s.r.m (2019).</w:t>
            </w:r>
          </w:p>
        </w:tc>
      </w:tr>
      <w:tr w:rsidR="007C2B40" w:rsidRPr="0028666F" w14:paraId="0B0501B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00D811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111</w:t>
            </w:r>
          </w:p>
        </w:tc>
        <w:tc>
          <w:tcPr>
            <w:tcW w:w="970" w:type="dxa"/>
            <w:tcBorders>
              <w:top w:val="nil"/>
              <w:left w:val="nil"/>
              <w:bottom w:val="single" w:sz="4" w:space="0" w:color="auto"/>
              <w:right w:val="nil"/>
            </w:tcBorders>
          </w:tcPr>
          <w:p w14:paraId="711E653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5" w:type="dxa"/>
            <w:tcBorders>
              <w:top w:val="nil"/>
              <w:left w:val="nil"/>
              <w:bottom w:val="single" w:sz="4" w:space="0" w:color="auto"/>
              <w:right w:val="single" w:sz="4" w:space="0" w:color="auto"/>
            </w:tcBorders>
            <w:shd w:val="clear" w:color="auto" w:fill="auto"/>
          </w:tcPr>
          <w:p w14:paraId="361DAD3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8C21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9F2EBDD" w14:textId="5332E44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zmienić szrafury dla potencjału ekologicznego sztucznej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oraz potencjału ekologicznego silnie zmienionej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Według załącznika 17, tabeli nr 2 r.kl., maksymalny lub dobry potencjał ekologiczny dla sztucznej części wód powierzchniowych powinien zostać zaprezentowany poprzez zielono-jasnoszare pasy równej szerokości.</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Uwaga do załączników graficznych - mapy stanu/potencjału ekologicznego jednolitych części wód powierzchniowych rzecznych</w:t>
            </w:r>
          </w:p>
        </w:tc>
        <w:tc>
          <w:tcPr>
            <w:tcW w:w="2733" w:type="dxa"/>
            <w:tcBorders>
              <w:top w:val="nil"/>
              <w:left w:val="nil"/>
              <w:bottom w:val="single" w:sz="4" w:space="0" w:color="auto"/>
              <w:right w:val="single" w:sz="4" w:space="0" w:color="auto"/>
            </w:tcBorders>
            <w:shd w:val="clear" w:color="auto" w:fill="auto"/>
            <w:hideMark/>
          </w:tcPr>
          <w:p w14:paraId="374F56FA" w14:textId="01C83A0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Zmienić szrafury dla potencjału ekologicznego sztucznej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oraz potencjału ekologicznego silnie zmienionej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według schematu: w przypadku maksymalnego lub dobrego potencjału ekologicznego dla sztucznej części wód powierzchniowych trzeba zmienić szrafurę z jasnoszarych linii na zielonym tle na zielono-jasnoszare </w:t>
            </w:r>
            <w:r w:rsidRPr="0028666F">
              <w:rPr>
                <w:rFonts w:ascii="Calibri" w:eastAsia="Times New Roman" w:hAnsi="Calibri" w:cs="Calibri"/>
                <w:color w:val="000000"/>
                <w:sz w:val="18"/>
                <w:szCs w:val="18"/>
                <w:lang w:eastAsia="pl-PL"/>
              </w:rPr>
              <w:lastRenderedPageBreak/>
              <w:t>pasy równej szerokości. Analogicznie dla umiarkowanego, słabego, złego potencjału.</w:t>
            </w:r>
          </w:p>
        </w:tc>
        <w:tc>
          <w:tcPr>
            <w:tcW w:w="3009" w:type="dxa"/>
            <w:tcBorders>
              <w:top w:val="nil"/>
              <w:left w:val="nil"/>
              <w:bottom w:val="single" w:sz="4" w:space="0" w:color="auto"/>
              <w:right w:val="single" w:sz="4" w:space="0" w:color="auto"/>
            </w:tcBorders>
            <w:shd w:val="clear" w:color="auto" w:fill="auto"/>
            <w:hideMark/>
          </w:tcPr>
          <w:p w14:paraId="79C8788D" w14:textId="07FBAA0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 xml:space="preserve">Sposób prezentacji wyników klasyfikacji stanu/potencjału ekologicznego nie jest zgodny z rozporządzeniem klasyfikacyjnym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MGMiŻŚ</w:t>
            </w:r>
          </w:p>
        </w:tc>
        <w:tc>
          <w:tcPr>
            <w:tcW w:w="1720" w:type="dxa"/>
            <w:tcBorders>
              <w:top w:val="nil"/>
              <w:left w:val="nil"/>
              <w:bottom w:val="single" w:sz="4" w:space="0" w:color="auto"/>
              <w:right w:val="single" w:sz="4" w:space="0" w:color="auto"/>
            </w:tcBorders>
            <w:shd w:val="clear" w:color="000000" w:fill="FFFFFF"/>
            <w:hideMark/>
          </w:tcPr>
          <w:p w14:paraId="1AC5C1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924E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AE980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Wprowadzono zmianę zgodnie ze zgłoszoną uwagą.</w:t>
            </w:r>
          </w:p>
        </w:tc>
      </w:tr>
      <w:tr w:rsidR="007C2B40" w:rsidRPr="0028666F" w14:paraId="45D0A1E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1F5A4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112</w:t>
            </w:r>
          </w:p>
        </w:tc>
        <w:tc>
          <w:tcPr>
            <w:tcW w:w="970" w:type="dxa"/>
            <w:tcBorders>
              <w:top w:val="nil"/>
              <w:left w:val="nil"/>
              <w:bottom w:val="single" w:sz="4" w:space="0" w:color="auto"/>
              <w:right w:val="nil"/>
            </w:tcBorders>
          </w:tcPr>
          <w:p w14:paraId="7FD6B08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Przyjaciół Dorzecza Gwdy</w:t>
            </w:r>
          </w:p>
        </w:tc>
        <w:tc>
          <w:tcPr>
            <w:tcW w:w="165" w:type="dxa"/>
            <w:tcBorders>
              <w:top w:val="nil"/>
              <w:left w:val="nil"/>
              <w:bottom w:val="single" w:sz="4" w:space="0" w:color="auto"/>
              <w:right w:val="single" w:sz="4" w:space="0" w:color="auto"/>
            </w:tcBorders>
            <w:shd w:val="clear" w:color="auto" w:fill="auto"/>
          </w:tcPr>
          <w:p w14:paraId="6A4006D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55406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 działań krajowych</w:t>
            </w:r>
          </w:p>
        </w:tc>
        <w:tc>
          <w:tcPr>
            <w:tcW w:w="5000" w:type="dxa"/>
            <w:tcBorders>
              <w:top w:val="nil"/>
              <w:left w:val="nil"/>
              <w:bottom w:val="single" w:sz="4" w:space="0" w:color="auto"/>
              <w:right w:val="single" w:sz="4" w:space="0" w:color="auto"/>
            </w:tcBorders>
            <w:shd w:val="clear" w:color="auto" w:fill="auto"/>
            <w:hideMark/>
          </w:tcPr>
          <w:p w14:paraId="739021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Istniejące znaczne utrudnienia migracyjne i bariery w dorzeczu dolnej Gwdy. </w:t>
            </w:r>
            <w:r w:rsidRPr="0028666F">
              <w:rPr>
                <w:rFonts w:ascii="Calibri" w:eastAsia="Times New Roman" w:hAnsi="Calibri" w:cs="Calibri"/>
                <w:color w:val="000000"/>
                <w:sz w:val="18"/>
                <w:szCs w:val="18"/>
                <w:lang w:eastAsia="pl-PL"/>
              </w:rPr>
              <w:br w:type="page"/>
              <w:t>Dopływy rzeki Gwdy, stanowiące w przeszłości naturalne tarliska wędrownych ryb łososiowatych mają w swoich ciągach bariery migracyjne nie do pokonania przez wyżej wymienione ryby oraz minogi. Bariery te zlokalizowane są na różnych obiektach hydrotechnicznych ( często zupełnie pozbawionych przepławek lub są to przepławki zupełnie nie funkcjonalne). Szczególną uwagę zwracają piętrzenia:</w:t>
            </w:r>
            <w:r w:rsidRPr="0028666F">
              <w:rPr>
                <w:rFonts w:ascii="Calibri" w:eastAsia="Times New Roman" w:hAnsi="Calibri" w:cs="Calibri"/>
                <w:color w:val="000000"/>
                <w:sz w:val="18"/>
                <w:szCs w:val="18"/>
                <w:lang w:eastAsia="pl-PL"/>
              </w:rPr>
              <w:br w:type="page"/>
              <w:t>1. Na rzece Głomi w m. Dobrzyca - dwa piętrzenia w dolnym biegu na których przepławki są zupełnie nie funkcjonalne</w:t>
            </w:r>
            <w:r w:rsidRPr="0028666F">
              <w:rPr>
                <w:rFonts w:ascii="Calibri" w:eastAsia="Times New Roman" w:hAnsi="Calibri" w:cs="Calibri"/>
                <w:color w:val="000000"/>
                <w:sz w:val="18"/>
                <w:szCs w:val="18"/>
                <w:lang w:eastAsia="pl-PL"/>
              </w:rPr>
              <w:br w:type="page"/>
              <w:t>2. Na rzece Piławie w m. Zabrodzie - zupełny brak przepławki i możliwości migracji</w:t>
            </w:r>
            <w:r w:rsidRPr="0028666F">
              <w:rPr>
                <w:rFonts w:ascii="Calibri" w:eastAsia="Times New Roman" w:hAnsi="Calibri" w:cs="Calibri"/>
                <w:color w:val="000000"/>
                <w:sz w:val="18"/>
                <w:szCs w:val="18"/>
                <w:lang w:eastAsia="pl-PL"/>
              </w:rPr>
              <w:br w:type="page"/>
              <w:t>3. Na rzece Rurzycy w m. Krępsko - zupełny brak przepławki i możliwości migracji</w:t>
            </w:r>
            <w:r w:rsidRPr="0028666F">
              <w:rPr>
                <w:rFonts w:ascii="Calibri" w:eastAsia="Times New Roman" w:hAnsi="Calibri" w:cs="Calibri"/>
                <w:color w:val="000000"/>
                <w:sz w:val="18"/>
                <w:szCs w:val="18"/>
                <w:lang w:eastAsia="pl-PL"/>
              </w:rPr>
              <w:br w:type="page"/>
              <w:t>4. Na rzece Dobrzycy w m. Tarnowo - zgłaszany często brak możliwości migracji przy niższych stanach wody</w:t>
            </w:r>
            <w:r w:rsidRPr="0028666F">
              <w:rPr>
                <w:rFonts w:ascii="Calibri" w:eastAsia="Times New Roman" w:hAnsi="Calibri" w:cs="Calibri"/>
                <w:color w:val="000000"/>
                <w:sz w:val="18"/>
                <w:szCs w:val="18"/>
                <w:lang w:eastAsia="pl-PL"/>
              </w:rPr>
              <w:br w:type="page"/>
              <w:t>5. Na rzece Płytnicy na zbiorniku zaporowym Smolary - zgłaszany często brak możliwości migracji na piętrzeniu</w:t>
            </w:r>
          </w:p>
        </w:tc>
        <w:tc>
          <w:tcPr>
            <w:tcW w:w="2733" w:type="dxa"/>
            <w:tcBorders>
              <w:top w:val="nil"/>
              <w:left w:val="nil"/>
              <w:bottom w:val="single" w:sz="4" w:space="0" w:color="auto"/>
              <w:right w:val="single" w:sz="4" w:space="0" w:color="auto"/>
            </w:tcBorders>
            <w:shd w:val="clear" w:color="auto" w:fill="auto"/>
            <w:hideMark/>
          </w:tcPr>
          <w:p w14:paraId="7B6661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Udrożnienie całkowite barier oraz ich przebudowa.</w:t>
            </w:r>
          </w:p>
        </w:tc>
        <w:tc>
          <w:tcPr>
            <w:tcW w:w="3009" w:type="dxa"/>
            <w:tcBorders>
              <w:top w:val="nil"/>
              <w:left w:val="nil"/>
              <w:bottom w:val="single" w:sz="4" w:space="0" w:color="auto"/>
              <w:right w:val="single" w:sz="4" w:space="0" w:color="auto"/>
            </w:tcBorders>
            <w:shd w:val="clear" w:color="auto" w:fill="auto"/>
            <w:hideMark/>
          </w:tcPr>
          <w:p w14:paraId="21C765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Umożliwienie ponownej migracji ryb wędrownych oraz minogów w celu odbycia tarła.</w:t>
            </w:r>
          </w:p>
        </w:tc>
        <w:tc>
          <w:tcPr>
            <w:tcW w:w="1720" w:type="dxa"/>
            <w:tcBorders>
              <w:top w:val="nil"/>
              <w:left w:val="nil"/>
              <w:bottom w:val="single" w:sz="4" w:space="0" w:color="auto"/>
              <w:right w:val="single" w:sz="4" w:space="0" w:color="auto"/>
            </w:tcBorders>
            <w:shd w:val="clear" w:color="000000" w:fill="FFFFFF"/>
            <w:hideMark/>
          </w:tcPr>
          <w:p w14:paraId="797FD7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88645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2C3A98" w14:textId="1D300EC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podkreślić, iż w ramach IIaPGW działania ukierunkowane na przywrócenie i określenie problemów związanych z ciągłością biologiczną zaplanowano w pierwszej kolejności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najważniejszych pod względem potrzeb migracji ryb dwuśrodowiskowych;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dla których wskazano cel środowiskowy w zakresie drożności dla gatunków chronionych;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dla których ichtiofauna jest jedynym elementem oceny stanu ekologicznego pozostającym w stanie złym (o ile wskaźnik diadromiczny jest mniejszy niż 0,5);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które wskazano, jako obszary przeznaczone do ochrony gatunków o znaczeniu gospodarczym. W związku z powyższym, oraz ze względu na efektywność ekonomiczną szerokich potrzeb udrożnienia cieków, nie zaplanowano bezpośrednich działań z przywracania ciągłości biologicznej dla Głomii, Rurzycy, czy Dobrzycy. Należy jednak dodać,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obrębie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Dotyczy to np. Rurzycy.</w:t>
            </w:r>
          </w:p>
        </w:tc>
      </w:tr>
      <w:tr w:rsidR="007C2B40" w:rsidRPr="0028666F" w14:paraId="415944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DFD5B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113</w:t>
            </w:r>
          </w:p>
        </w:tc>
        <w:tc>
          <w:tcPr>
            <w:tcW w:w="970" w:type="dxa"/>
            <w:tcBorders>
              <w:top w:val="nil"/>
              <w:left w:val="nil"/>
              <w:bottom w:val="single" w:sz="4" w:space="0" w:color="auto"/>
              <w:right w:val="nil"/>
            </w:tcBorders>
          </w:tcPr>
          <w:p w14:paraId="79177DB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153DB47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40DF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2CBC431" w14:textId="3BAEEC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 xml:space="preserve">Niestety uważam, że warunki te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w:t>
            </w:r>
            <w:r w:rsidRPr="0028666F">
              <w:rPr>
                <w:rFonts w:ascii="Calibri" w:eastAsia="Times New Roman" w:hAnsi="Calibri" w:cs="Calibri"/>
                <w:color w:val="000000"/>
                <w:sz w:val="18"/>
                <w:szCs w:val="18"/>
                <w:lang w:eastAsia="pl-PL"/>
              </w:rPr>
              <w:lastRenderedPageBreak/>
              <w:t>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w zakresie wszystkich wymagań (stan wód określono w nich jako dobry).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Jako, że konstrukcja ankiety uniemożliwia zbiorcze złożenie większej ilości uwag w rozsądnym czasie i przy rozsądnym nakładzie pracy, kolejne szczegółowe uwagi zawierające odniesienia do ww. obszarów problemowych przedstawiam w załączeniu - w układzie jak w ankiecie.</w:t>
            </w:r>
          </w:p>
        </w:tc>
        <w:tc>
          <w:tcPr>
            <w:tcW w:w="2733" w:type="dxa"/>
            <w:tcBorders>
              <w:top w:val="nil"/>
              <w:left w:val="nil"/>
              <w:bottom w:val="single" w:sz="4" w:space="0" w:color="auto"/>
              <w:right w:val="single" w:sz="4" w:space="0" w:color="auto"/>
            </w:tcBorders>
            <w:shd w:val="clear" w:color="auto" w:fill="auto"/>
            <w:hideMark/>
          </w:tcPr>
          <w:p w14:paraId="5E323B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481CDF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16AB3B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113_OsFiz_Odra</w:t>
            </w:r>
          </w:p>
        </w:tc>
        <w:tc>
          <w:tcPr>
            <w:tcW w:w="1014" w:type="dxa"/>
            <w:tcBorders>
              <w:top w:val="nil"/>
              <w:left w:val="nil"/>
              <w:bottom w:val="single" w:sz="4" w:space="0" w:color="auto"/>
              <w:right w:val="single" w:sz="4" w:space="0" w:color="auto"/>
            </w:tcBorders>
            <w:shd w:val="clear" w:color="auto" w:fill="auto"/>
            <w:hideMark/>
          </w:tcPr>
          <w:p w14:paraId="420F1D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8F4C5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4D78B4D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8B3246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114</w:t>
            </w:r>
          </w:p>
        </w:tc>
        <w:tc>
          <w:tcPr>
            <w:tcW w:w="970" w:type="dxa"/>
            <w:tcBorders>
              <w:top w:val="nil"/>
              <w:left w:val="nil"/>
              <w:bottom w:val="single" w:sz="4" w:space="0" w:color="auto"/>
              <w:right w:val="nil"/>
            </w:tcBorders>
          </w:tcPr>
          <w:p w14:paraId="2B89638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Aquanet S.A., ul. Dolna Wilda 126, 61-492 Poznań</w:t>
            </w:r>
          </w:p>
        </w:tc>
        <w:tc>
          <w:tcPr>
            <w:tcW w:w="165" w:type="dxa"/>
            <w:tcBorders>
              <w:top w:val="nil"/>
              <w:left w:val="nil"/>
              <w:bottom w:val="single" w:sz="4" w:space="0" w:color="auto"/>
              <w:right w:val="single" w:sz="4" w:space="0" w:color="auto"/>
            </w:tcBorders>
            <w:shd w:val="clear" w:color="auto" w:fill="auto"/>
          </w:tcPr>
          <w:p w14:paraId="50BB3A0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9AD39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Informacje o zezwoleniach na wprowadzanie zanieczyszczeń bezpośrednio do wód podziemnych</w:t>
            </w:r>
          </w:p>
        </w:tc>
        <w:tc>
          <w:tcPr>
            <w:tcW w:w="5000" w:type="dxa"/>
            <w:tcBorders>
              <w:top w:val="nil"/>
              <w:left w:val="nil"/>
              <w:bottom w:val="single" w:sz="4" w:space="0" w:color="auto"/>
              <w:right w:val="single" w:sz="4" w:space="0" w:color="auto"/>
            </w:tcBorders>
            <w:shd w:val="clear" w:color="auto" w:fill="auto"/>
            <w:hideMark/>
          </w:tcPr>
          <w:p w14:paraId="457123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Zakaz wprowadzania zanieczyszczeń bezpośrednio do wód podziemnych rozumiane jako wprowadzanie w inny sposób niż przez przesiąkanie przez glebę i podglebie do wód podziemnych uniemożliwia zastosowanie studni chłonnych oraz skrzynek rozsączających, będących urządzeniami wodnymi służącymi do wprowadzania wód opadowych do ziemi, gdyż wody wprowadzane za pomocą tych urządzeń omijają glebę i podglebie a często takie rozwiązania stosowane są na terenach miejskich z uwagi na ograniczenia terenowe i brak innych odbiorników tych wód.</w:t>
            </w:r>
          </w:p>
        </w:tc>
        <w:tc>
          <w:tcPr>
            <w:tcW w:w="2733" w:type="dxa"/>
            <w:tcBorders>
              <w:top w:val="nil"/>
              <w:left w:val="nil"/>
              <w:bottom w:val="single" w:sz="4" w:space="0" w:color="auto"/>
              <w:right w:val="single" w:sz="4" w:space="0" w:color="auto"/>
            </w:tcBorders>
            <w:shd w:val="clear" w:color="auto" w:fill="auto"/>
            <w:hideMark/>
          </w:tcPr>
          <w:p w14:paraId="206E7F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Proponuje się trzy warianty zmiany zapisu jako:</w:t>
            </w:r>
            <w:r w:rsidRPr="0028666F">
              <w:rPr>
                <w:rFonts w:ascii="Calibri" w:eastAsia="Times New Roman" w:hAnsi="Calibri" w:cs="Calibri"/>
                <w:color w:val="000000"/>
                <w:sz w:val="18"/>
                <w:szCs w:val="18"/>
                <w:lang w:eastAsia="pl-PL"/>
              </w:rPr>
              <w:br/>
              <w:t xml:space="preserve">- zakaz wprowadzania nieoczyszczonych wód opadowych bezpośrednio do pierwszego użytkowego poziomu wodonośnego </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 xml:space="preserve">- zakaz wprowadzania wód opadowych bezpośrednio do wód podziemnych rozumia-ne jako wprowadzanie w inny sposób niż przez przesiąkanie przez glebę i podglebie poza granicami miast, </w:t>
            </w:r>
            <w:r w:rsidRPr="0028666F">
              <w:rPr>
                <w:rFonts w:ascii="Calibri" w:eastAsia="Times New Roman" w:hAnsi="Calibri" w:cs="Calibri"/>
                <w:color w:val="000000"/>
                <w:sz w:val="18"/>
                <w:szCs w:val="18"/>
                <w:lang w:eastAsia="pl-PL"/>
              </w:rPr>
              <w:br/>
              <w:t xml:space="preserve">albo </w:t>
            </w:r>
            <w:r w:rsidRPr="0028666F">
              <w:rPr>
                <w:rFonts w:ascii="Calibri" w:eastAsia="Times New Roman" w:hAnsi="Calibri" w:cs="Calibri"/>
                <w:color w:val="000000"/>
                <w:sz w:val="18"/>
                <w:szCs w:val="18"/>
                <w:lang w:eastAsia="pl-PL"/>
              </w:rPr>
              <w:br/>
              <w:t>- zakaz wprowadzania nieoczyszczonych wód opadowych bezpośrednio do wód  podziemnych rozumiane jako wprowadzanie w inny sposób niż przez przesiąkanie przez glebę.</w:t>
            </w:r>
          </w:p>
        </w:tc>
        <w:tc>
          <w:tcPr>
            <w:tcW w:w="3009" w:type="dxa"/>
            <w:tcBorders>
              <w:top w:val="nil"/>
              <w:left w:val="nil"/>
              <w:bottom w:val="single" w:sz="4" w:space="0" w:color="auto"/>
              <w:right w:val="single" w:sz="4" w:space="0" w:color="auto"/>
            </w:tcBorders>
            <w:shd w:val="clear" w:color="auto" w:fill="auto"/>
            <w:hideMark/>
          </w:tcPr>
          <w:p w14:paraId="4A0D7F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Wody opadowe z miejskiego systemu kanalizacji deszczowej odprowadzane są często do ziemi za pomocą urządzeń wodnych w postaci studni chłonnych lub skrzynek rozsączających co sprawia, że wody nie infiltrują przez glebę i podglebie, a trafiają bezpośrednio do gruntu. W przypadku, gdy zwierciadło wód gruntowych położone jest płytko, wody te trafiają bezpośrednio do wód gruntowych, które jednak nie stanowią w szczególności na terenach miejskich użytkowego poziomu wodonośnego. Ponieważ wody opadowe oprowadzane z terenów miejskichm zgodnie z §  17 ust 1 pkt 1 Rozporządzenia (Dz.U.2019.1311) muszą być oczyszczone przed wprowadzeniem do wód lub do ziemi co eliminuje ich negatywne oddziaływanie na wody podziemne a z racji ograniczeń terenowych urządzenia takie rozwiązania są ekonomicznie uzasadnione. Wykluczenie zastosowania urządzeń wymienionych jw. uniemożliwiłoby odprowadzanie wód opadowych za pomocą istniejących urządzeń wodnych i spowodowałoby konieczność przeprowadzenia kosztownych inwestycji w celu wykonania alternatywnego sposobu odprowadzania wód co w terenach miejskich może w niektórych przypadkach nie być możliwe.</w:t>
            </w:r>
          </w:p>
        </w:tc>
        <w:tc>
          <w:tcPr>
            <w:tcW w:w="1720" w:type="dxa"/>
            <w:tcBorders>
              <w:top w:val="nil"/>
              <w:left w:val="nil"/>
              <w:bottom w:val="single" w:sz="4" w:space="0" w:color="auto"/>
              <w:right w:val="single" w:sz="4" w:space="0" w:color="auto"/>
            </w:tcBorders>
            <w:shd w:val="clear" w:color="000000" w:fill="FFFFFF"/>
            <w:hideMark/>
          </w:tcPr>
          <w:p w14:paraId="02E6E0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E3760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D84DF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Zakaz wprowadzania wód opadowych lub roztopowych bezpośrednio do wód podziemnych wynika z art. 75a ustawy Prawo wodne. Proponowane zmiany nie odnoszą się do dokumentów IIaPGW lecz stanowią propozycję zmian w ustawie Prawo wodne.</w:t>
            </w:r>
          </w:p>
        </w:tc>
      </w:tr>
      <w:tr w:rsidR="007C2B40" w:rsidRPr="0028666F" w14:paraId="235B738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BE8AB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115</w:t>
            </w:r>
          </w:p>
        </w:tc>
        <w:tc>
          <w:tcPr>
            <w:tcW w:w="970" w:type="dxa"/>
            <w:tcBorders>
              <w:top w:val="nil"/>
              <w:left w:val="nil"/>
              <w:bottom w:val="single" w:sz="4" w:space="0" w:color="auto"/>
              <w:right w:val="nil"/>
            </w:tcBorders>
          </w:tcPr>
          <w:p w14:paraId="6ADBD2C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Aquanet S.A., ul. Dolna Wilda 126, 61-492 Poznań</w:t>
            </w:r>
          </w:p>
        </w:tc>
        <w:tc>
          <w:tcPr>
            <w:tcW w:w="165" w:type="dxa"/>
            <w:tcBorders>
              <w:top w:val="nil"/>
              <w:left w:val="nil"/>
              <w:bottom w:val="single" w:sz="4" w:space="0" w:color="auto"/>
              <w:right w:val="single" w:sz="4" w:space="0" w:color="auto"/>
            </w:tcBorders>
            <w:shd w:val="clear" w:color="auto" w:fill="auto"/>
          </w:tcPr>
          <w:p w14:paraId="0E31659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1361A5" w14:textId="4588DAC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3A95C039" w14:textId="03D0673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3.1.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 str. 42</w:t>
            </w:r>
            <w:r w:rsidRPr="0028666F">
              <w:rPr>
                <w:rFonts w:ascii="Calibri" w:eastAsia="Times New Roman" w:hAnsi="Calibri" w:cs="Calibri"/>
                <w:color w:val="000000"/>
                <w:sz w:val="18"/>
                <w:szCs w:val="18"/>
                <w:lang w:eastAsia="pl-PL"/>
              </w:rPr>
              <w:br/>
              <w:t>Ograniczona czytelność wymienionego w treści dokumentu, załącznika graficznego nr 1</w:t>
            </w:r>
          </w:p>
        </w:tc>
        <w:tc>
          <w:tcPr>
            <w:tcW w:w="2733" w:type="dxa"/>
            <w:tcBorders>
              <w:top w:val="nil"/>
              <w:left w:val="nil"/>
              <w:bottom w:val="single" w:sz="4" w:space="0" w:color="auto"/>
              <w:right w:val="single" w:sz="4" w:space="0" w:color="auto"/>
            </w:tcBorders>
            <w:shd w:val="clear" w:color="auto" w:fill="auto"/>
            <w:hideMark/>
          </w:tcPr>
          <w:p w14:paraId="1DFC16E9" w14:textId="202CAE2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Wprowadzenie do dokumentu bardziej szczegółowych map pokazujących nowy i stary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lub odwołanie do lokalizacji (np. Hydroportal, gdzie istniałaby możliwość zapoznania się ze szczegółowym przebiegiem granic, Wprowadzenie do załącznika graficznego nr 1 numerów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3009" w:type="dxa"/>
            <w:tcBorders>
              <w:top w:val="nil"/>
              <w:left w:val="nil"/>
              <w:bottom w:val="single" w:sz="4" w:space="0" w:color="auto"/>
              <w:right w:val="single" w:sz="4" w:space="0" w:color="auto"/>
            </w:tcBorders>
            <w:shd w:val="clear" w:color="auto" w:fill="auto"/>
            <w:hideMark/>
          </w:tcPr>
          <w:p w14:paraId="6B07B8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Poprawa jakości graficznej dokumentu i jego przejrzystości.</w:t>
            </w:r>
          </w:p>
        </w:tc>
        <w:tc>
          <w:tcPr>
            <w:tcW w:w="1720" w:type="dxa"/>
            <w:tcBorders>
              <w:top w:val="nil"/>
              <w:left w:val="nil"/>
              <w:bottom w:val="single" w:sz="4" w:space="0" w:color="auto"/>
              <w:right w:val="single" w:sz="4" w:space="0" w:color="auto"/>
            </w:tcBorders>
            <w:shd w:val="clear" w:color="000000" w:fill="FFFFFF"/>
            <w:hideMark/>
          </w:tcPr>
          <w:p w14:paraId="222D52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FCA4D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F0C3BB5" w14:textId="689D7FC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Zgodnie z treścią IIaPGW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występujących na obszarze dorzecza Odry przedstawiono w załączniku nr 1 (Zestawienie główne), który prezentuje szczegółowe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wraz z informacjami dotyczącymi starego układu jednostek planistycznych (stare nazwy i kody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co umożliwia łatwą identyfikację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Załączniki graficzne do IIaPGW mają charakter uzupełniający, poglądowo prezentując informacje w zakresie poszczególnych zagadnień.</w:t>
            </w:r>
            <w:r w:rsidRPr="0028666F">
              <w:rPr>
                <w:rFonts w:ascii="Calibri" w:eastAsia="Times New Roman" w:hAnsi="Calibri" w:cs="Calibri"/>
                <w:color w:val="000000"/>
                <w:sz w:val="18"/>
                <w:szCs w:val="18"/>
                <w:lang w:eastAsia="pl-PL"/>
              </w:rPr>
              <w:br/>
              <w:t xml:space="preserve">Oficjalnie funkcjonującym portalem mapowym jest HYDROPORTAL, gdzie publikowane są aktualne podkłady </w:t>
            </w:r>
            <w:r w:rsidRPr="0028666F">
              <w:rPr>
                <w:rFonts w:ascii="Calibri" w:eastAsia="Times New Roman" w:hAnsi="Calibri" w:cs="Calibri"/>
                <w:color w:val="000000"/>
                <w:sz w:val="18"/>
                <w:szCs w:val="18"/>
                <w:lang w:eastAsia="pl-PL"/>
              </w:rPr>
              <w:lastRenderedPageBreak/>
              <w:t xml:space="preserve">mapowe w zakresie gospodarki wodnej (co wynika również z ustawy pr.w.). Po publikacji IIaPGW w formie rozporządzenia dostępne będą dla użytkowników dane przestrzenne IIaPGW udostępnione docelowo na Hydroportalu oraz karty charakterystyk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przygotowywane poza samym rozporządzeniem.</w:t>
            </w:r>
          </w:p>
        </w:tc>
      </w:tr>
      <w:tr w:rsidR="007C2B40" w:rsidRPr="0028666F" w14:paraId="725D745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66C0E0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116</w:t>
            </w:r>
          </w:p>
        </w:tc>
        <w:tc>
          <w:tcPr>
            <w:tcW w:w="970" w:type="dxa"/>
            <w:tcBorders>
              <w:top w:val="nil"/>
              <w:left w:val="nil"/>
              <w:bottom w:val="single" w:sz="4" w:space="0" w:color="auto"/>
              <w:right w:val="nil"/>
            </w:tcBorders>
          </w:tcPr>
          <w:p w14:paraId="7A62484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Aquanet S.A., ul. Dolna Wilda 126, 61-492 Poznań</w:t>
            </w:r>
          </w:p>
        </w:tc>
        <w:tc>
          <w:tcPr>
            <w:tcW w:w="165" w:type="dxa"/>
            <w:tcBorders>
              <w:top w:val="nil"/>
              <w:left w:val="nil"/>
              <w:bottom w:val="single" w:sz="4" w:space="0" w:color="auto"/>
              <w:right w:val="single" w:sz="4" w:space="0" w:color="auto"/>
            </w:tcBorders>
            <w:shd w:val="clear" w:color="auto" w:fill="auto"/>
          </w:tcPr>
          <w:p w14:paraId="277AC42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C4AE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obszarów chronionych, o których mowa w art. 317 ust. 4 ustawy</w:t>
            </w:r>
          </w:p>
        </w:tc>
        <w:tc>
          <w:tcPr>
            <w:tcW w:w="5000" w:type="dxa"/>
            <w:tcBorders>
              <w:top w:val="nil"/>
              <w:left w:val="nil"/>
              <w:bottom w:val="single" w:sz="4" w:space="0" w:color="auto"/>
              <w:right w:val="single" w:sz="4" w:space="0" w:color="auto"/>
            </w:tcBorders>
            <w:shd w:val="clear" w:color="auto" w:fill="auto"/>
            <w:hideMark/>
          </w:tcPr>
          <w:p w14:paraId="337351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3.3. Wykaz obszarów chronionych, o których mowa w art. 317 ust. 4  ustawy Prawo wodne, str. 53 </w:t>
            </w:r>
          </w:p>
        </w:tc>
        <w:tc>
          <w:tcPr>
            <w:tcW w:w="2733" w:type="dxa"/>
            <w:tcBorders>
              <w:top w:val="nil"/>
              <w:left w:val="nil"/>
              <w:bottom w:val="single" w:sz="4" w:space="0" w:color="auto"/>
              <w:right w:val="single" w:sz="4" w:space="0" w:color="auto"/>
            </w:tcBorders>
            <w:shd w:val="clear" w:color="auto" w:fill="auto"/>
            <w:hideMark/>
          </w:tcPr>
          <w:p w14:paraId="6A1629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Wskazane byłoby sporządzenie osobnego wykazu terenów perspektywicznych pod budowę przyszłych ujęć dla potrzeb zaopatrzenia ludności w wodę do picia (obszary chronione)</w:t>
            </w:r>
          </w:p>
        </w:tc>
        <w:tc>
          <w:tcPr>
            <w:tcW w:w="3009" w:type="dxa"/>
            <w:tcBorders>
              <w:top w:val="nil"/>
              <w:left w:val="nil"/>
              <w:bottom w:val="single" w:sz="4" w:space="0" w:color="auto"/>
              <w:right w:val="single" w:sz="4" w:space="0" w:color="auto"/>
            </w:tcBorders>
            <w:shd w:val="clear" w:color="auto" w:fill="auto"/>
            <w:hideMark/>
          </w:tcPr>
          <w:p w14:paraId="6F3FE90D" w14:textId="1D337C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Działanie takie jest istotne w kontekście zamieszczenia terenów perspektywicznych pod budowę przyszłych ujęć (jako obszarów chronionych) w dokumentach planistycznych. Poruszanie się na poziomie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może być zbyt ogólne</w:t>
            </w:r>
          </w:p>
        </w:tc>
        <w:tc>
          <w:tcPr>
            <w:tcW w:w="1720" w:type="dxa"/>
            <w:tcBorders>
              <w:top w:val="nil"/>
              <w:left w:val="nil"/>
              <w:bottom w:val="single" w:sz="4" w:space="0" w:color="auto"/>
              <w:right w:val="single" w:sz="4" w:space="0" w:color="auto"/>
            </w:tcBorders>
            <w:shd w:val="clear" w:color="000000" w:fill="FFFFFF"/>
            <w:hideMark/>
          </w:tcPr>
          <w:p w14:paraId="01DC89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489CA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51E9C43" w14:textId="2DE1BCE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stanowi dokument planistyczny którego zakres wynika z przepisów prawa, w tym ustawy Prawo wodne oraz rozporządzenia Rady Ministrów z dnia 4 października 2019 r. w sprawie szczegółowego zakresu opracowywania planów gospodarowania wodami na obszarach dorzeczy (Dz.U. z 2019, poz. 2150).</w:t>
            </w:r>
            <w:r w:rsidRPr="0028666F">
              <w:rPr>
                <w:rFonts w:ascii="Calibri" w:eastAsia="Times New Roman" w:hAnsi="Calibri" w:cs="Calibri"/>
                <w:color w:val="000000"/>
                <w:sz w:val="18"/>
                <w:szCs w:val="18"/>
                <w:lang w:eastAsia="pl-PL"/>
              </w:rPr>
              <w:br/>
              <w:t xml:space="preserve">Pomimo, iż wskazane w uwadze zagadnienie stanowi cenną (zwłaszcza z punktu widzenia potencjalnych Inwestorów) informację, nie jest zagadnieniem wymaganym dla planów gospodarowania wodami. IIaPGW nie ustala ujeć wód, analizowane są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przeznaczone na cele zaopatrzenia w wodę do spożycia pod kątem spełnienia przez nie dodatkowych celów związanych z tym rodzajem obszarów chronionych.</w:t>
            </w:r>
          </w:p>
        </w:tc>
      </w:tr>
      <w:tr w:rsidR="007C2B40" w:rsidRPr="0028666F" w14:paraId="79CC3A7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6463A6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117</w:t>
            </w:r>
          </w:p>
        </w:tc>
        <w:tc>
          <w:tcPr>
            <w:tcW w:w="970" w:type="dxa"/>
            <w:tcBorders>
              <w:top w:val="nil"/>
              <w:left w:val="nil"/>
              <w:bottom w:val="single" w:sz="4" w:space="0" w:color="auto"/>
              <w:right w:val="nil"/>
            </w:tcBorders>
          </w:tcPr>
          <w:p w14:paraId="4F3AD05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Aquanet S.A., ul. Dolna Wilda 126, 61-492 Poznań</w:t>
            </w:r>
          </w:p>
        </w:tc>
        <w:tc>
          <w:tcPr>
            <w:tcW w:w="165" w:type="dxa"/>
            <w:tcBorders>
              <w:top w:val="nil"/>
              <w:left w:val="nil"/>
              <w:bottom w:val="single" w:sz="4" w:space="0" w:color="auto"/>
              <w:right w:val="single" w:sz="4" w:space="0" w:color="auto"/>
            </w:tcBorders>
            <w:shd w:val="clear" w:color="auto" w:fill="auto"/>
          </w:tcPr>
          <w:p w14:paraId="1E57746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1A0C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 działań krajowych</w:t>
            </w:r>
          </w:p>
        </w:tc>
        <w:tc>
          <w:tcPr>
            <w:tcW w:w="5000" w:type="dxa"/>
            <w:tcBorders>
              <w:top w:val="nil"/>
              <w:left w:val="nil"/>
              <w:bottom w:val="single" w:sz="4" w:space="0" w:color="auto"/>
              <w:right w:val="single" w:sz="4" w:space="0" w:color="auto"/>
            </w:tcBorders>
            <w:shd w:val="clear" w:color="auto" w:fill="auto"/>
            <w:hideMark/>
          </w:tcPr>
          <w:p w14:paraId="2E5ABBF6" w14:textId="174E32A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12.2.5. Katalog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(GW) str. 296 oraz załącznik nr 7.2 (Katalog działań dla poszczególnych kategorii wód)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obecnym cyklu planistycznym działania ukierunkowane na redukcję presji che-micznej, związane z opracowaniem wniosków na potrzeby ustanawiania obszarów ochronnych zbiorników wód śródlądowych (w tym GZWP) oraz rozporządzeń ustanawiających te obszary wraz ze wsparciem merytorycznym, nie obejmują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60 oraz zbiorników GZWP 144 i 150</w:t>
            </w:r>
          </w:p>
        </w:tc>
        <w:tc>
          <w:tcPr>
            <w:tcW w:w="2733" w:type="dxa"/>
            <w:tcBorders>
              <w:top w:val="nil"/>
              <w:left w:val="nil"/>
              <w:bottom w:val="single" w:sz="4" w:space="0" w:color="auto"/>
              <w:right w:val="single" w:sz="4" w:space="0" w:color="auto"/>
            </w:tcBorders>
            <w:shd w:val="clear" w:color="auto" w:fill="auto"/>
            <w:hideMark/>
          </w:tcPr>
          <w:p w14:paraId="69E99F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Wskazane byłoby ustanowienie w aktualnym cyklu planistycznym, rozporządzeń w tym zakresie  przynajmniej dla fragmentów zbiorników 144 i 150 (obszarów bilansowych tych zbiorników) obciążonych zwiększoną eksploatacją wód dla potrzeb zbiorowego zaopatrzenia ludności w wodę do picia – duże ujęcia aglomeracyjne</w:t>
            </w:r>
          </w:p>
        </w:tc>
        <w:tc>
          <w:tcPr>
            <w:tcW w:w="3009" w:type="dxa"/>
            <w:tcBorders>
              <w:top w:val="nil"/>
              <w:left w:val="nil"/>
              <w:bottom w:val="single" w:sz="4" w:space="0" w:color="auto"/>
              <w:right w:val="single" w:sz="4" w:space="0" w:color="auto"/>
            </w:tcBorders>
            <w:shd w:val="clear" w:color="auto" w:fill="auto"/>
            <w:hideMark/>
          </w:tcPr>
          <w:p w14:paraId="42975C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Działanie takie stanowiłoby wsparcie ochrony fragmentów odcinków GZWP szczególnie istotnych dla zaopatrzenia ludności wodę do picia dla dużych aglomeracji.</w:t>
            </w:r>
          </w:p>
        </w:tc>
        <w:tc>
          <w:tcPr>
            <w:tcW w:w="1720" w:type="dxa"/>
            <w:tcBorders>
              <w:top w:val="nil"/>
              <w:left w:val="nil"/>
              <w:bottom w:val="single" w:sz="4" w:space="0" w:color="auto"/>
              <w:right w:val="single" w:sz="4" w:space="0" w:color="auto"/>
            </w:tcBorders>
            <w:shd w:val="clear" w:color="000000" w:fill="FFFFFF"/>
            <w:hideMark/>
          </w:tcPr>
          <w:p w14:paraId="43C6F3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71B0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E889B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IIaPGW nie przewidziano działań związanych z ustanowieniem obszaru ochronnego dla GZWP 144 i 150. Lista priorytetowych GZWP, dla których przewidziano ustanowienie obszarów ochronnych w latach 2022-2027 została opracowana na podstawie uzyskanych danych źródłowych. Na ich podstawie ustalono listę 21 zbiorników i wśród nich nie ma GZWP 144 i 150.</w:t>
            </w:r>
          </w:p>
        </w:tc>
      </w:tr>
      <w:tr w:rsidR="007C2B40" w:rsidRPr="0028666F" w14:paraId="2959E70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ECC58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118</w:t>
            </w:r>
          </w:p>
        </w:tc>
        <w:tc>
          <w:tcPr>
            <w:tcW w:w="970" w:type="dxa"/>
            <w:tcBorders>
              <w:top w:val="nil"/>
              <w:left w:val="nil"/>
              <w:bottom w:val="single" w:sz="4" w:space="0" w:color="auto"/>
              <w:right w:val="nil"/>
            </w:tcBorders>
          </w:tcPr>
          <w:p w14:paraId="58625FB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Aquanet S.A., ul. Dolna Wilda 126, 61-492 Poznań</w:t>
            </w:r>
          </w:p>
        </w:tc>
        <w:tc>
          <w:tcPr>
            <w:tcW w:w="165" w:type="dxa"/>
            <w:tcBorders>
              <w:top w:val="nil"/>
              <w:left w:val="nil"/>
              <w:bottom w:val="single" w:sz="4" w:space="0" w:color="auto"/>
              <w:right w:val="single" w:sz="4" w:space="0" w:color="auto"/>
            </w:tcBorders>
            <w:shd w:val="clear" w:color="auto" w:fill="auto"/>
          </w:tcPr>
          <w:p w14:paraId="510019D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BEB7B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3F3CB39" w14:textId="1E67111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Poruszanie sie po zestawieniach tabelacznych z zakodowanymi zestawieniami działań uniemożliwia jednoznaczne określenie działań w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Brakuje kart z opisem działań przepisanych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i wytycznych gospodarowania wodami w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co przyczyniłoby się zwiększenia czytelności tego dokumentu. Przykłady takich Kart były prezentowane na spotkaniach konsultacyjnych. </w:t>
            </w:r>
          </w:p>
        </w:tc>
        <w:tc>
          <w:tcPr>
            <w:tcW w:w="2733" w:type="dxa"/>
            <w:tcBorders>
              <w:top w:val="nil"/>
              <w:left w:val="nil"/>
              <w:bottom w:val="single" w:sz="4" w:space="0" w:color="auto"/>
              <w:right w:val="single" w:sz="4" w:space="0" w:color="auto"/>
            </w:tcBorders>
            <w:shd w:val="clear" w:color="auto" w:fill="auto"/>
            <w:hideMark/>
          </w:tcPr>
          <w:p w14:paraId="1AC838D4" w14:textId="71B5722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Uzupełnienie dokumentu o Karty z ustaleń PGW przypisane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lub wskazanie źródła, gdzie byłoby możliwe pozyskanie takich danych - np. Hydroportal.</w:t>
            </w:r>
          </w:p>
        </w:tc>
        <w:tc>
          <w:tcPr>
            <w:tcW w:w="3009" w:type="dxa"/>
            <w:tcBorders>
              <w:top w:val="nil"/>
              <w:left w:val="nil"/>
              <w:bottom w:val="single" w:sz="4" w:space="0" w:color="auto"/>
              <w:right w:val="single" w:sz="4" w:space="0" w:color="auto"/>
            </w:tcBorders>
            <w:shd w:val="clear" w:color="auto" w:fill="auto"/>
            <w:hideMark/>
          </w:tcPr>
          <w:p w14:paraId="0E38DE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Kartach Informacyjnych różnych przedsięwzięć inwestycyjnych należy odnosić się do ustaleń m.in. z PGW i wskazać, że dane przedsięzięcie nie narusza tych ustaleń. </w:t>
            </w:r>
          </w:p>
        </w:tc>
        <w:tc>
          <w:tcPr>
            <w:tcW w:w="1720" w:type="dxa"/>
            <w:tcBorders>
              <w:top w:val="nil"/>
              <w:left w:val="nil"/>
              <w:bottom w:val="single" w:sz="4" w:space="0" w:color="auto"/>
              <w:right w:val="single" w:sz="4" w:space="0" w:color="auto"/>
            </w:tcBorders>
            <w:shd w:val="clear" w:color="000000" w:fill="FFFFFF"/>
            <w:hideMark/>
          </w:tcPr>
          <w:p w14:paraId="36C84A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CE846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5F594CA" w14:textId="4104387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dokumentami prezentującymi zakres danych i informacji wymagany zarówno ustawą pr.w., rozporządzeniem dot. szczegółowego zakresu planów gospodarowania wodami jak również wymogami raportowymi Komisji Europejskiej.</w:t>
            </w:r>
            <w:r w:rsidRPr="0028666F">
              <w:rPr>
                <w:rFonts w:ascii="Calibri" w:eastAsia="Times New Roman" w:hAnsi="Calibri" w:cs="Calibri"/>
                <w:color w:val="000000"/>
                <w:sz w:val="18"/>
                <w:szCs w:val="18"/>
                <w:lang w:eastAsia="pl-PL"/>
              </w:rPr>
              <w:br/>
              <w:t>Plany to dokumenty strategiczne przyjmowane w formie rozporządzenia, a tym samym uwzględniające w swojej strukturze docelowy sposób prezentowania danych.</w:t>
            </w:r>
            <w:r w:rsidRPr="0028666F">
              <w:rPr>
                <w:rFonts w:ascii="Calibri" w:eastAsia="Times New Roman" w:hAnsi="Calibri" w:cs="Calibri"/>
                <w:color w:val="000000"/>
                <w:sz w:val="18"/>
                <w:szCs w:val="18"/>
                <w:lang w:eastAsia="pl-PL"/>
              </w:rPr>
              <w:br/>
              <w:t>Z uwagi na wymagany poziom szczegółowości danych i zagadnień przyjęta struktura dokumentów obejmuje:</w:t>
            </w:r>
            <w:r w:rsidRPr="0028666F">
              <w:rPr>
                <w:rFonts w:ascii="Calibri" w:eastAsia="Times New Roman" w:hAnsi="Calibri" w:cs="Calibri"/>
                <w:color w:val="000000"/>
                <w:sz w:val="18"/>
                <w:szCs w:val="18"/>
                <w:lang w:eastAsia="pl-PL"/>
              </w:rPr>
              <w:br/>
              <w:t xml:space="preserve">- prezentację w treści głównej IIaPGW danych na poziomie obszaru dorzecza i poszczególnych regionów wodnych: dane i informacje charakteryzujące obszar dorzecza i regionów wodnych oraz prezentujące omówienie wszystkich zagadnień wymaganych dla IIaPGW z odniesieniem w treści do odpowiednich załączników zawierających dane szczegółowe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xml:space="preserve">- prezentację całości danych IIaPGW na poziomie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poszczególnych załącznikach przywołanych w treści IIaPGW. Załączniki to zestawienia excel umożliwiające łatwe poruszanie się po prezentowanych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Dodatkowym elementem wprowadzonym w IIaPGW jest załącznik nr 1 stanowiący zestawienie wszystkich najistotniejszych danych prezentowanych w IIaPGW dla poszczególnej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a zatem stanowiący zbiorcze </w:t>
            </w:r>
            <w:r w:rsidRPr="0028666F">
              <w:rPr>
                <w:rFonts w:ascii="Calibri" w:eastAsia="Times New Roman" w:hAnsi="Calibri" w:cs="Calibri"/>
                <w:color w:val="000000"/>
                <w:sz w:val="18"/>
                <w:szCs w:val="18"/>
                <w:lang w:eastAsia="pl-PL"/>
              </w:rPr>
              <w:lastRenderedPageBreak/>
              <w:t xml:space="preserve">podsumowanie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prezentację danych przestrzennie w formie załączników mapowych. Skala stosowanych map dostosowana została do wymogów prezentacji i publikacji danych w formie rozporządzenia. Dla wyeliminowania publikacji map w treści (wówczas format dopuszczalny to A4) przyjęto przeniesienie wszystkich map do załączników przy zastosowaniu jednocześnie formatu maksymalnie dopuszczalnego czyli A3.</w:t>
            </w:r>
            <w:r w:rsidRPr="0028666F">
              <w:rPr>
                <w:rFonts w:ascii="Calibri" w:eastAsia="Times New Roman" w:hAnsi="Calibri" w:cs="Calibri"/>
                <w:color w:val="000000"/>
                <w:sz w:val="18"/>
                <w:szCs w:val="18"/>
                <w:lang w:eastAsia="pl-PL"/>
              </w:rPr>
              <w:br/>
              <w:t xml:space="preserve">Publikacja IIaPGW w formie rozporządzenia niesie ze sobą konieczność dostosowania dokumentu do zasad praktyki legislacyjnej. Niemniej jednak poza publikacją IIaPGW w formie rozporządzenia dostępne będą dla użytkowników dane przestrzenne IIaPGW udostępnione docelowo na Hydroportalu oraz karty charakterystyk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przygotowywane poza samym rozporządzeniem.</w:t>
            </w:r>
          </w:p>
        </w:tc>
      </w:tr>
      <w:tr w:rsidR="007C2B40" w:rsidRPr="0028666F" w14:paraId="3E5377D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9016CC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119</w:t>
            </w:r>
          </w:p>
        </w:tc>
        <w:tc>
          <w:tcPr>
            <w:tcW w:w="970" w:type="dxa"/>
            <w:tcBorders>
              <w:top w:val="nil"/>
              <w:left w:val="nil"/>
              <w:bottom w:val="single" w:sz="4" w:space="0" w:color="auto"/>
              <w:right w:val="nil"/>
            </w:tcBorders>
          </w:tcPr>
          <w:p w14:paraId="46B722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7AA22E0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ACDA7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E8E81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załączniki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Na etapie projektu drugiej aktualizacji Planu gospodarowania wodami na obszarze dorzecza Odry zaistniała wątpliwość co do nazwy cieku, zasilającego Zbiornik „Lipówka”, który znajduje się w okolicy zarządzanego przez KGHM Polska Miedź S.A. Obiektu Unieszkodliwiania Odpadów Wydobywczych Żelazny Most.</w:t>
            </w:r>
            <w:r w:rsidRPr="0028666F">
              <w:rPr>
                <w:rFonts w:ascii="Calibri" w:eastAsia="Times New Roman" w:hAnsi="Calibri" w:cs="Calibri"/>
                <w:color w:val="000000"/>
                <w:sz w:val="18"/>
                <w:szCs w:val="18"/>
                <w:lang w:eastAsia="pl-PL"/>
              </w:rPr>
              <w:br/>
              <w:t>Według informacji uzyskanych od RZGW we Wrocławiu, zgodnie z Mapą Podziału Hydrograficznego Polski, nie stwierdzono na tym terenie cieku Lipówka. Wskazany ciek powyżej i poniżej zbiornika „Lipówka” wg ww. mapy to ciek Kalinówka.</w:t>
            </w:r>
            <w:r w:rsidRPr="0028666F">
              <w:rPr>
                <w:rFonts w:ascii="Calibri" w:eastAsia="Times New Roman" w:hAnsi="Calibri" w:cs="Calibri"/>
                <w:color w:val="000000"/>
                <w:sz w:val="18"/>
                <w:szCs w:val="18"/>
                <w:lang w:eastAsia="pl-PL"/>
              </w:rPr>
              <w:br/>
              <w:t>Podkreślić należy, że zarówno z informacji zawartych w operacie wodnoprawnym, na podstawie którego Wojewoda Dolnośląski wydał decyzję z dnia 30 października 2001 r., znak: OŚ.le.I.6811-2/8/2001, udzielającą pozwolenia wodnoprawnego na szczególne korzystanie z wód w zakresie poboru, gromadzenia i odprowadzania wód ze zbiornika „Lipówka” do potoku Kalinówka, obowiązującą do dnia 31.12.2022 r jak również w samej decyzji, widnieje informacja, że ciek dopływający do zbiornika „Lipówka”, to ciek o nazwie Lipówka, a nie Kalinówka. Wszystkie materiały będące w zasobach Spółki wskazują na to, że prawidłowa nazwa cieku to Lipówka, a nie Kalinówka, stąd zachodzi potrzeba wyjaśnienia przedmiotowej sprawy.</w:t>
            </w:r>
            <w:r w:rsidRPr="0028666F">
              <w:rPr>
                <w:rFonts w:ascii="Calibri" w:eastAsia="Times New Roman" w:hAnsi="Calibri" w:cs="Calibri"/>
                <w:color w:val="000000"/>
                <w:sz w:val="18"/>
                <w:szCs w:val="18"/>
                <w:lang w:eastAsia="pl-PL"/>
              </w:rPr>
              <w:br/>
              <w:t>Uzasadnienie uwagi oraz mapy znajdują się w załączonym pliku.</w:t>
            </w:r>
            <w:r w:rsidRPr="0028666F">
              <w:rPr>
                <w:rFonts w:ascii="Calibri" w:eastAsia="Times New Roman" w:hAnsi="Calibri" w:cs="Calibri"/>
                <w:color w:val="000000"/>
                <w:sz w:val="18"/>
                <w:szCs w:val="18"/>
                <w:lang w:eastAsia="pl-PL"/>
              </w:rPr>
              <w:br/>
              <w:t xml:space="preserve"> </w:t>
            </w:r>
          </w:p>
        </w:tc>
        <w:tc>
          <w:tcPr>
            <w:tcW w:w="2733" w:type="dxa"/>
            <w:tcBorders>
              <w:top w:val="nil"/>
              <w:left w:val="nil"/>
              <w:bottom w:val="single" w:sz="4" w:space="0" w:color="auto"/>
              <w:right w:val="single" w:sz="4" w:space="0" w:color="auto"/>
            </w:tcBorders>
            <w:shd w:val="clear" w:color="auto" w:fill="auto"/>
            <w:hideMark/>
          </w:tcPr>
          <w:p w14:paraId="3BFD90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099AAF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0E3BEB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KGHM_Lipówka_Odra</w:t>
            </w:r>
          </w:p>
        </w:tc>
        <w:tc>
          <w:tcPr>
            <w:tcW w:w="1014" w:type="dxa"/>
            <w:tcBorders>
              <w:top w:val="nil"/>
              <w:left w:val="nil"/>
              <w:bottom w:val="single" w:sz="4" w:space="0" w:color="auto"/>
              <w:right w:val="single" w:sz="4" w:space="0" w:color="auto"/>
            </w:tcBorders>
            <w:shd w:val="clear" w:color="auto" w:fill="auto"/>
            <w:hideMark/>
          </w:tcPr>
          <w:p w14:paraId="2BB75E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4A879C0" w14:textId="137FE7F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Opracowane w ramach IIaPGW załączniki graficzne, w tym dane dotyczące nazw poszczególnych cieków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bazują na danych hydrograficznych oraz zaktualizowanej bazie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Przywołany w uwadze ciek zgodnie z Mapą Podziału Hydrograficznego Polski w skali 1:10 000 to:</w:t>
            </w:r>
            <w:r w:rsidRPr="0028666F">
              <w:rPr>
                <w:rFonts w:ascii="Calibri" w:eastAsia="Times New Roman" w:hAnsi="Calibri" w:cs="Calibri"/>
                <w:color w:val="000000"/>
                <w:sz w:val="18"/>
                <w:szCs w:val="18"/>
                <w:lang w:eastAsia="pl-PL"/>
              </w:rPr>
              <w:br/>
              <w:t>Warstwa cieki wyróżnione</w:t>
            </w:r>
            <w:r w:rsidRPr="0028666F">
              <w:rPr>
                <w:rFonts w:ascii="Calibri" w:eastAsia="Times New Roman" w:hAnsi="Calibri" w:cs="Calibri"/>
                <w:color w:val="000000"/>
                <w:sz w:val="18"/>
                <w:szCs w:val="18"/>
                <w:lang w:eastAsia="pl-PL"/>
              </w:rPr>
              <w:br/>
              <w:t>• Nazwa cieku: Kalinówka</w:t>
            </w:r>
            <w:r w:rsidRPr="0028666F">
              <w:rPr>
                <w:rFonts w:ascii="Calibri" w:eastAsia="Times New Roman" w:hAnsi="Calibri" w:cs="Calibri"/>
                <w:color w:val="000000"/>
                <w:sz w:val="18"/>
                <w:szCs w:val="18"/>
                <w:lang w:eastAsia="pl-PL"/>
              </w:rPr>
              <w:br/>
              <w:t>• identyfikator hydrograficzny cieku: 1522</w:t>
            </w:r>
            <w:r w:rsidRPr="0028666F">
              <w:rPr>
                <w:rFonts w:ascii="Calibri" w:eastAsia="Times New Roman" w:hAnsi="Calibri" w:cs="Calibri"/>
                <w:color w:val="000000"/>
                <w:sz w:val="18"/>
                <w:szCs w:val="18"/>
                <w:lang w:eastAsia="pl-PL"/>
              </w:rPr>
              <w:br/>
              <w:t>Warstwa jeziora i zbiorniki wyróżnione (sztuczny zbiornik na cieku Kalinówka)</w:t>
            </w:r>
            <w:r w:rsidRPr="0028666F">
              <w:rPr>
                <w:rFonts w:ascii="Calibri" w:eastAsia="Times New Roman" w:hAnsi="Calibri" w:cs="Calibri"/>
                <w:color w:val="000000"/>
                <w:sz w:val="18"/>
                <w:szCs w:val="18"/>
                <w:lang w:eastAsia="pl-PL"/>
              </w:rPr>
              <w:br/>
              <w:t>• nazwa sztucznego zbiornika: brak nazwy</w:t>
            </w:r>
            <w:r w:rsidRPr="0028666F">
              <w:rPr>
                <w:rFonts w:ascii="Calibri" w:eastAsia="Times New Roman" w:hAnsi="Calibri" w:cs="Calibri"/>
                <w:color w:val="000000"/>
                <w:sz w:val="18"/>
                <w:szCs w:val="18"/>
                <w:lang w:eastAsia="pl-PL"/>
              </w:rPr>
              <w:br/>
              <w:t>• Identyfikator hydrograficzny zlewni jeziora lub sztucznego zbiornika: 15221</w:t>
            </w:r>
            <w:r w:rsidRPr="0028666F">
              <w:rPr>
                <w:rFonts w:ascii="Calibri" w:eastAsia="Times New Roman" w:hAnsi="Calibri" w:cs="Calibri"/>
                <w:color w:val="000000"/>
                <w:sz w:val="18"/>
                <w:szCs w:val="18"/>
                <w:lang w:eastAsia="pl-PL"/>
              </w:rPr>
              <w:br/>
              <w:t xml:space="preserve">W aPGW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Żelazny Most = Zbiornik Lipówka, zbiornik poflotacyjny, Europejski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PLRW6000015223.</w:t>
            </w:r>
            <w:r w:rsidRPr="0028666F">
              <w:rPr>
                <w:rFonts w:ascii="Calibri" w:eastAsia="Times New Roman" w:hAnsi="Calibri" w:cs="Calibri"/>
                <w:color w:val="000000"/>
                <w:sz w:val="18"/>
                <w:szCs w:val="18"/>
                <w:lang w:eastAsia="pl-PL"/>
              </w:rPr>
              <w:br/>
              <w:t xml:space="preserve">W ramach prac związanych z aktualizacją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IIaPGW dokonana została zmiana (warstwa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 segmenty, Nazwa rzeki: Kalinówka) na:</w:t>
            </w:r>
            <w:r w:rsidRPr="0028666F">
              <w:rPr>
                <w:rFonts w:ascii="Calibri" w:eastAsia="Times New Roman" w:hAnsi="Calibri" w:cs="Calibri"/>
                <w:color w:val="000000"/>
                <w:sz w:val="18"/>
                <w:szCs w:val="18"/>
                <w:lang w:eastAsia="pl-PL"/>
              </w:rPr>
              <w:br/>
              <w:t xml:space="preserve">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w:t>
            </w:r>
            <w:r w:rsidRPr="0028666F">
              <w:rPr>
                <w:rFonts w:ascii="Calibri" w:eastAsia="Times New Roman" w:hAnsi="Calibri" w:cs="Calibri"/>
                <w:color w:val="000000"/>
                <w:sz w:val="18"/>
                <w:szCs w:val="18"/>
                <w:lang w:eastAsia="pl-PL"/>
              </w:rPr>
              <w:br/>
              <w:t xml:space="preserve">•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Kalinówka z Żelaznym Mostem</w:t>
            </w:r>
            <w:r w:rsidRPr="0028666F">
              <w:rPr>
                <w:rFonts w:ascii="Calibri" w:eastAsia="Times New Roman" w:hAnsi="Calibri" w:cs="Calibri"/>
                <w:color w:val="000000"/>
                <w:sz w:val="18"/>
                <w:szCs w:val="18"/>
                <w:lang w:eastAsia="pl-PL"/>
              </w:rPr>
              <w:br/>
              <w:t xml:space="preserve">• Europejski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PLRW6000015223Warstwa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 segmenty</w:t>
            </w:r>
            <w:r w:rsidRPr="0028666F">
              <w:rPr>
                <w:rFonts w:ascii="Calibri" w:eastAsia="Times New Roman" w:hAnsi="Calibri" w:cs="Calibri"/>
                <w:color w:val="000000"/>
                <w:sz w:val="18"/>
                <w:szCs w:val="18"/>
                <w:lang w:eastAsia="pl-PL"/>
              </w:rPr>
              <w:br/>
              <w:t>• Nazwa rzeki: Kalinówka.</w:t>
            </w:r>
            <w:r w:rsidRPr="0028666F">
              <w:rPr>
                <w:rFonts w:ascii="Calibri" w:eastAsia="Times New Roman" w:hAnsi="Calibri" w:cs="Calibri"/>
                <w:color w:val="000000"/>
                <w:sz w:val="18"/>
                <w:szCs w:val="18"/>
                <w:lang w:eastAsia="pl-PL"/>
              </w:rPr>
              <w:br/>
              <w:t xml:space="preserve">Biorąc powyższe pod uwagę zastosowana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odpowiada udokumentowanej nazwie rzeki Kalinówka.</w:t>
            </w:r>
          </w:p>
        </w:tc>
      </w:tr>
      <w:tr w:rsidR="007C2B40" w:rsidRPr="0028666F" w14:paraId="2605D8A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328683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120</w:t>
            </w:r>
          </w:p>
        </w:tc>
        <w:tc>
          <w:tcPr>
            <w:tcW w:w="970" w:type="dxa"/>
            <w:tcBorders>
              <w:top w:val="nil"/>
              <w:left w:val="nil"/>
              <w:bottom w:val="single" w:sz="4" w:space="0" w:color="auto"/>
              <w:right w:val="nil"/>
            </w:tcBorders>
          </w:tcPr>
          <w:p w14:paraId="6031DC6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Zakład Wodociągów i Kanalizacji Sp. z o.o. w Świnoujściu</w:t>
            </w:r>
          </w:p>
        </w:tc>
        <w:tc>
          <w:tcPr>
            <w:tcW w:w="165" w:type="dxa"/>
            <w:tcBorders>
              <w:top w:val="nil"/>
              <w:left w:val="nil"/>
              <w:bottom w:val="single" w:sz="4" w:space="0" w:color="auto"/>
              <w:right w:val="single" w:sz="4" w:space="0" w:color="auto"/>
            </w:tcBorders>
            <w:shd w:val="clear" w:color="auto" w:fill="auto"/>
          </w:tcPr>
          <w:p w14:paraId="73E1CCA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87651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E190CCD" w14:textId="5B90CC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Budowa rurociągu przesyłowego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5 (działanie uzupełniające)</w:t>
            </w:r>
            <w:r w:rsidRPr="0028666F">
              <w:rPr>
                <w:rFonts w:ascii="Calibri" w:eastAsia="Times New Roman" w:hAnsi="Calibri" w:cs="Calibri"/>
                <w:color w:val="000000"/>
                <w:sz w:val="18"/>
                <w:szCs w:val="18"/>
                <w:lang w:eastAsia="pl-PL"/>
              </w:rPr>
              <w:br w:type="page"/>
              <w:t xml:space="preserve">Budowa rurociągu w celu przerzutu wód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5 z ujęcia Kodrąbek do Świnoujścia.</w:t>
            </w:r>
            <w:r w:rsidRPr="0028666F">
              <w:rPr>
                <w:rFonts w:ascii="Calibri" w:eastAsia="Times New Roman" w:hAnsi="Calibri" w:cs="Calibri"/>
                <w:color w:val="000000"/>
                <w:sz w:val="18"/>
                <w:szCs w:val="18"/>
                <w:lang w:eastAsia="pl-PL"/>
              </w:rPr>
              <w:br w:type="page"/>
              <w:t xml:space="preserve">Zmiana daty realizacji w/w inwestycji. </w:t>
            </w:r>
            <w:r w:rsidRPr="0028666F">
              <w:rPr>
                <w:rFonts w:ascii="Calibri" w:eastAsia="Times New Roman" w:hAnsi="Calibri" w:cs="Calibri"/>
                <w:color w:val="000000"/>
                <w:sz w:val="18"/>
                <w:szCs w:val="18"/>
                <w:lang w:eastAsia="pl-PL"/>
              </w:rPr>
              <w:br w:type="page"/>
              <w:t>2023 r</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tabela 13-9 Proponowane działania uzupełniające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str.333 - 336</w:t>
            </w:r>
          </w:p>
        </w:tc>
        <w:tc>
          <w:tcPr>
            <w:tcW w:w="2733" w:type="dxa"/>
            <w:tcBorders>
              <w:top w:val="nil"/>
              <w:left w:val="nil"/>
              <w:bottom w:val="single" w:sz="4" w:space="0" w:color="auto"/>
              <w:right w:val="single" w:sz="4" w:space="0" w:color="auto"/>
            </w:tcBorders>
            <w:shd w:val="clear" w:color="auto" w:fill="auto"/>
            <w:hideMark/>
          </w:tcPr>
          <w:p w14:paraId="120CDF8E" w14:textId="24C0D0A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Budowa rurociągu przesyłowego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5 (działanie uzupełniające)</w:t>
            </w:r>
            <w:r w:rsidRPr="0028666F">
              <w:rPr>
                <w:rFonts w:ascii="Calibri" w:eastAsia="Times New Roman" w:hAnsi="Calibri" w:cs="Calibri"/>
                <w:color w:val="000000"/>
                <w:sz w:val="18"/>
                <w:szCs w:val="18"/>
                <w:lang w:eastAsia="pl-PL"/>
              </w:rPr>
              <w:br w:type="page"/>
              <w:t xml:space="preserve">Budowa rurociągu w celu przerzutu wód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5 z ujęcia Kodrąbek do Świnoujścia. 2030r</w:t>
            </w:r>
          </w:p>
        </w:tc>
        <w:tc>
          <w:tcPr>
            <w:tcW w:w="3009" w:type="dxa"/>
            <w:tcBorders>
              <w:top w:val="nil"/>
              <w:left w:val="nil"/>
              <w:bottom w:val="single" w:sz="4" w:space="0" w:color="auto"/>
              <w:right w:val="single" w:sz="4" w:space="0" w:color="auto"/>
            </w:tcBorders>
            <w:shd w:val="clear" w:color="auto" w:fill="auto"/>
            <w:hideMark/>
          </w:tcPr>
          <w:p w14:paraId="12E8FE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Brak możliwości zrealizowania inwestycji w w/w terminie. Inwestycja znajduje się na etapie uzyskiwania decyzji środowiskowej. Do jej realizacji wymagane jest dokonanie uzgodnień trasy przesyłu, wykonanie projektu budowlanego, oraz pozyskanie środków finansowych na realizację.</w:t>
            </w:r>
          </w:p>
        </w:tc>
        <w:tc>
          <w:tcPr>
            <w:tcW w:w="1720" w:type="dxa"/>
            <w:tcBorders>
              <w:top w:val="nil"/>
              <w:left w:val="nil"/>
              <w:bottom w:val="single" w:sz="4" w:space="0" w:color="auto"/>
              <w:right w:val="single" w:sz="4" w:space="0" w:color="auto"/>
            </w:tcBorders>
            <w:shd w:val="clear" w:color="000000" w:fill="FFFFFF"/>
            <w:hideMark/>
          </w:tcPr>
          <w:p w14:paraId="0F6D3D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120-122_ZWiK_Świnoujście</w:t>
            </w:r>
          </w:p>
        </w:tc>
        <w:tc>
          <w:tcPr>
            <w:tcW w:w="1014" w:type="dxa"/>
            <w:tcBorders>
              <w:top w:val="nil"/>
              <w:left w:val="nil"/>
              <w:bottom w:val="single" w:sz="4" w:space="0" w:color="auto"/>
              <w:right w:val="single" w:sz="4" w:space="0" w:color="auto"/>
            </w:tcBorders>
            <w:shd w:val="clear" w:color="auto" w:fill="auto"/>
            <w:hideMark/>
          </w:tcPr>
          <w:p w14:paraId="6CD2AB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68FF5251" w14:textId="567D85F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zakresie wód podziemnych ustalono połączenie dwóch działań: [1] poszukiwanie alternatywnych źródeł wody do spożycia (woda powierzchniowa) oraz [2] budowa rurociągu przesyłowego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5 i zastąpienie ich jednym działaniem o nazwie "poszukiwanie alternatywnych źródeł zaopatrzenia w wodę", obejmującego przeprowadzenie analizy możliwości pozyskania wody do spożycia z alternatywnych źródeł (innych niż wody podziemne. Połączenie tych działań zostało uzgodnione w toku konsultacji społecznych projektów planów oraz strategicznej oceny oddziaływania na środowisko.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Ustalono, że wobec toczącego się postępowania w zakresie oceny oddziaływania na środowisko oraz braku środków na realizację inwestycji (na co również wskazuje ZWiK w treści uwagi) w zestawie </w:t>
            </w:r>
            <w:r w:rsidRPr="0028666F">
              <w:rPr>
                <w:rFonts w:ascii="Calibri" w:eastAsia="Times New Roman" w:hAnsi="Calibri" w:cs="Calibri"/>
                <w:color w:val="000000"/>
                <w:sz w:val="18"/>
                <w:szCs w:val="18"/>
                <w:lang w:eastAsia="pl-PL"/>
              </w:rPr>
              <w:lastRenderedPageBreak/>
              <w:t xml:space="preserve">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1 nie będą wyszczególniane konkretne inwestycje realizowane w ramach odrębnych procedur.</w:t>
            </w:r>
          </w:p>
        </w:tc>
      </w:tr>
      <w:tr w:rsidR="007C2B40" w:rsidRPr="0028666F" w14:paraId="305C5A1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9552F5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lastRenderedPageBreak/>
              <w:t>121</w:t>
            </w:r>
          </w:p>
        </w:tc>
        <w:tc>
          <w:tcPr>
            <w:tcW w:w="970" w:type="dxa"/>
            <w:tcBorders>
              <w:top w:val="nil"/>
              <w:left w:val="nil"/>
              <w:bottom w:val="single" w:sz="4" w:space="0" w:color="auto"/>
              <w:right w:val="nil"/>
            </w:tcBorders>
          </w:tcPr>
          <w:p w14:paraId="64072BE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Zakład Wodociągów i Kanalizacji Sp. z o.o. w Świnoujściu</w:t>
            </w:r>
          </w:p>
        </w:tc>
        <w:tc>
          <w:tcPr>
            <w:tcW w:w="165" w:type="dxa"/>
            <w:tcBorders>
              <w:top w:val="nil"/>
              <w:left w:val="nil"/>
              <w:bottom w:val="single" w:sz="4" w:space="0" w:color="auto"/>
              <w:right w:val="single" w:sz="4" w:space="0" w:color="auto"/>
            </w:tcBorders>
            <w:shd w:val="clear" w:color="auto" w:fill="auto"/>
          </w:tcPr>
          <w:p w14:paraId="022BEEF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A7B86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FF00142" w14:textId="2198835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Wstawienie do tabeli dodatkowego działania:</w:t>
            </w:r>
            <w:r w:rsidRPr="0028666F">
              <w:rPr>
                <w:rFonts w:ascii="Calibri" w:eastAsia="Times New Roman" w:hAnsi="Calibri" w:cs="Calibri"/>
                <w:color w:val="000000"/>
                <w:sz w:val="18"/>
                <w:szCs w:val="18"/>
                <w:lang w:eastAsia="pl-PL"/>
              </w:rPr>
              <w:br/>
              <w:t>Budowa ujęcia wody powierzchniowej ze starorzecza Mulnik (TWVWB8)</w:t>
            </w:r>
            <w:r w:rsidRPr="0028666F">
              <w:rPr>
                <w:rFonts w:ascii="Calibri" w:eastAsia="Times New Roman" w:hAnsi="Calibri" w:cs="Calibri"/>
                <w:color w:val="000000"/>
                <w:sz w:val="18"/>
                <w:szCs w:val="18"/>
                <w:lang w:eastAsia="pl-PL"/>
              </w:rPr>
              <w:br/>
              <w:t>Budowa ujęcia wód powierzchniowych, wraz ze stacją uzdatniania wody na potrzeby zaopatrzenia w wodę przeznaczoną do spożycia miasta Świnoujścia.</w:t>
            </w:r>
            <w:r w:rsidRPr="0028666F">
              <w:rPr>
                <w:rFonts w:ascii="Calibri" w:eastAsia="Times New Roman" w:hAnsi="Calibri" w:cs="Calibri"/>
                <w:color w:val="000000"/>
                <w:sz w:val="18"/>
                <w:szCs w:val="18"/>
                <w:lang w:eastAsia="pl-PL"/>
              </w:rPr>
              <w:br/>
              <w:t>2025 r</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tabela 13-9 Proponowane działania uzupełniające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str.333 - 336</w:t>
            </w:r>
          </w:p>
        </w:tc>
        <w:tc>
          <w:tcPr>
            <w:tcW w:w="2733" w:type="dxa"/>
            <w:tcBorders>
              <w:top w:val="nil"/>
              <w:left w:val="nil"/>
              <w:bottom w:val="single" w:sz="4" w:space="0" w:color="auto"/>
              <w:right w:val="single" w:sz="4" w:space="0" w:color="auto"/>
            </w:tcBorders>
            <w:shd w:val="clear" w:color="auto" w:fill="auto"/>
            <w:hideMark/>
          </w:tcPr>
          <w:p w14:paraId="556CF8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508EB07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 względu na deficyt zasobów wód podziemnych na Wyspie Uznam, zachodzi konieczność zapewnienia dodatkowego źródła wody pitnej dla miasta Świnoujścia. od 2016 r prowadzone są prace dokumentacyjno - projektowe mające na celu wskazanie możliwości wykorzystania otaczających wyspę wód powierzchniowych do celów zbiorowego zaopatrzenia w wodę. W wyniku tych prac podjęto decyzję o realizacji ujęcia ( wraz ze stacją uzdatniania) ze Starorzecza Mulnik. Obecnie wyłoniono wykonawcę na część związaną z wykonaniem ujęcia, natomiast realizacji części związanej z budową stacji oczekuje na decyzję o finansowaniu z programu rządowego.</w:t>
            </w:r>
          </w:p>
        </w:tc>
        <w:tc>
          <w:tcPr>
            <w:tcW w:w="1720" w:type="dxa"/>
            <w:tcBorders>
              <w:top w:val="nil"/>
              <w:left w:val="nil"/>
              <w:bottom w:val="single" w:sz="4" w:space="0" w:color="auto"/>
              <w:right w:val="single" w:sz="4" w:space="0" w:color="auto"/>
            </w:tcBorders>
            <w:shd w:val="clear" w:color="000000" w:fill="FFFFFF"/>
            <w:hideMark/>
          </w:tcPr>
          <w:p w14:paraId="0D13B3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120-122_ZWiK_Świnoujście</w:t>
            </w:r>
          </w:p>
        </w:tc>
        <w:tc>
          <w:tcPr>
            <w:tcW w:w="1014" w:type="dxa"/>
            <w:tcBorders>
              <w:top w:val="nil"/>
              <w:left w:val="nil"/>
              <w:bottom w:val="single" w:sz="4" w:space="0" w:color="auto"/>
              <w:right w:val="single" w:sz="4" w:space="0" w:color="auto"/>
            </w:tcBorders>
            <w:shd w:val="clear" w:color="auto" w:fill="auto"/>
            <w:hideMark/>
          </w:tcPr>
          <w:p w14:paraId="47E27D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6F2816F" w14:textId="4363081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Biorąc pod uwagę ograniczone zasoby słodkich wód podziemnych na obszarze Wyspy Uznam, a jednocześnie uwzględniając potrzebę zaopatrzenia ludności w wodę do spożycia,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nt 1 przewidziano działanie pn.: „poszukiwanie alternatywnych źródeł zaopatrzenia w wodę” obejmujące przeprowadzenie analizy możliwości pozyskania wody do spożycia z alternatywnych źródeł (innych niż wody podziemne). W zestawie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1 nie wyszczególniono konkretnych inwestycji związanych z budową konkretnych ujęć wód powierzchniowych realizowanych w ramach odrębnych procedur.</w:t>
            </w:r>
          </w:p>
        </w:tc>
      </w:tr>
      <w:tr w:rsidR="007C2B40" w:rsidRPr="0028666F" w14:paraId="277BC3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F7F06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122</w:t>
            </w:r>
          </w:p>
        </w:tc>
        <w:tc>
          <w:tcPr>
            <w:tcW w:w="970" w:type="dxa"/>
            <w:tcBorders>
              <w:top w:val="nil"/>
              <w:left w:val="nil"/>
              <w:bottom w:val="single" w:sz="4" w:space="0" w:color="auto"/>
              <w:right w:val="nil"/>
            </w:tcBorders>
          </w:tcPr>
          <w:p w14:paraId="7FCD878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Zakład Wodociągów i Kanalizacji Sp. z o.o. w Świnoujściu</w:t>
            </w:r>
          </w:p>
        </w:tc>
        <w:tc>
          <w:tcPr>
            <w:tcW w:w="165" w:type="dxa"/>
            <w:tcBorders>
              <w:top w:val="nil"/>
              <w:left w:val="nil"/>
              <w:bottom w:val="single" w:sz="4" w:space="0" w:color="auto"/>
              <w:right w:val="single" w:sz="4" w:space="0" w:color="auto"/>
            </w:tcBorders>
            <w:shd w:val="clear" w:color="auto" w:fill="auto"/>
          </w:tcPr>
          <w:p w14:paraId="0AD58BD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D6318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DAC7BC4" w14:textId="05C70F7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Dopisanie do tabeli 13-8 zadania polegającego na inwentaryzacji czynnych i nieczynnych zbiorników na nieczystości bytowe ( szamb)</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tabela 13- 8 Proponowane działania krajowe, wspólne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obszar dorzecza Odry str.332 - 333</w:t>
            </w:r>
          </w:p>
        </w:tc>
        <w:tc>
          <w:tcPr>
            <w:tcW w:w="2733" w:type="dxa"/>
            <w:tcBorders>
              <w:top w:val="nil"/>
              <w:left w:val="nil"/>
              <w:bottom w:val="single" w:sz="4" w:space="0" w:color="auto"/>
              <w:right w:val="single" w:sz="4" w:space="0" w:color="auto"/>
            </w:tcBorders>
            <w:shd w:val="clear" w:color="auto" w:fill="auto"/>
            <w:hideMark/>
          </w:tcPr>
          <w:p w14:paraId="7D14DF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24C38E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Zbiorniki bezodpływowe na ścieki w przypadku niewłaściwego stanu technicznego mogą mieć wpływ na stan wód podziemnych. Należy mieć na uwadze, iż często są lokalizowane w niedalekiej odległości od indywidualnych ( kopanych/wierconych) studni głębinowych, wykonywane bez wymaganych zgłoszeń, z niewłaściwych ( niespełniających wymagań) materiałów, bez corocznych testów szczelności, przez co stanowią potencjalne zagrożenie dla jakości wód ( bakteriologiczne, fizykochemiczne).</w:t>
            </w:r>
          </w:p>
        </w:tc>
        <w:tc>
          <w:tcPr>
            <w:tcW w:w="1720" w:type="dxa"/>
            <w:tcBorders>
              <w:top w:val="nil"/>
              <w:left w:val="nil"/>
              <w:bottom w:val="single" w:sz="4" w:space="0" w:color="auto"/>
              <w:right w:val="single" w:sz="4" w:space="0" w:color="auto"/>
            </w:tcBorders>
            <w:shd w:val="clear" w:color="000000" w:fill="FFFFFF"/>
            <w:hideMark/>
          </w:tcPr>
          <w:p w14:paraId="7D4F0D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120-122_ZWiK_Świnoujście</w:t>
            </w:r>
          </w:p>
        </w:tc>
        <w:tc>
          <w:tcPr>
            <w:tcW w:w="1014" w:type="dxa"/>
            <w:tcBorders>
              <w:top w:val="nil"/>
              <w:left w:val="nil"/>
              <w:bottom w:val="single" w:sz="4" w:space="0" w:color="auto"/>
              <w:right w:val="single" w:sz="4" w:space="0" w:color="auto"/>
            </w:tcBorders>
            <w:shd w:val="clear" w:color="auto" w:fill="auto"/>
            <w:hideMark/>
          </w:tcPr>
          <w:p w14:paraId="5CC263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87EE7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Odpowiednie działanie znajduje się w Katalogu działań krajowych, Lp. 18. Nazwa działania: "Ewidencja zbiorników bezodpływowych w celu kontroli częstotliwości ich opróżniania oraz w celu opracowania planu rozwoju sieci kanalizacyjnej" oraz powiązane z tym zagadnieniem działanie Lp. 20 "Ewidencja umów zawartych na odbieranie odpadów komunalnych od właścicieli nieruchomości w celu kontroli wykonywania przez właścicieli nieruchomości i przedsiębiorców obowiązków wynikających z ustawy o utrzymaniu czystości i porządku w gminach". Uzupełniono tabelę 13-8 o wskazane w odpowiedzi działania.</w:t>
            </w:r>
          </w:p>
        </w:tc>
      </w:tr>
      <w:tr w:rsidR="007C2B40" w:rsidRPr="0028666F" w14:paraId="2639CE8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219E2E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123</w:t>
            </w:r>
          </w:p>
        </w:tc>
        <w:tc>
          <w:tcPr>
            <w:tcW w:w="970" w:type="dxa"/>
            <w:tcBorders>
              <w:top w:val="nil"/>
              <w:left w:val="nil"/>
              <w:bottom w:val="single" w:sz="4" w:space="0" w:color="auto"/>
              <w:right w:val="nil"/>
            </w:tcBorders>
          </w:tcPr>
          <w:p w14:paraId="462186C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0F3CBDF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84F6F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A7F61F0" w14:textId="0B9C4A3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ogólna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53DCDC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5AFE29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639C7D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59543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A43CD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27B7CE8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2B4708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124</w:t>
            </w:r>
          </w:p>
        </w:tc>
        <w:tc>
          <w:tcPr>
            <w:tcW w:w="970" w:type="dxa"/>
            <w:tcBorders>
              <w:top w:val="nil"/>
              <w:left w:val="nil"/>
              <w:bottom w:val="single" w:sz="4" w:space="0" w:color="auto"/>
              <w:right w:val="nil"/>
            </w:tcBorders>
          </w:tcPr>
          <w:p w14:paraId="2F4DA4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50BE5AD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1B0C6E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5CB2DA2" w14:textId="559894B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3EA296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7E61DC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 </w:t>
            </w:r>
          </w:p>
        </w:tc>
        <w:tc>
          <w:tcPr>
            <w:tcW w:w="1720" w:type="dxa"/>
            <w:tcBorders>
              <w:top w:val="nil"/>
              <w:left w:val="nil"/>
              <w:bottom w:val="single" w:sz="4" w:space="0" w:color="auto"/>
              <w:right w:val="single" w:sz="4" w:space="0" w:color="auto"/>
            </w:tcBorders>
            <w:shd w:val="clear" w:color="000000" w:fill="FFFFFF"/>
            <w:hideMark/>
          </w:tcPr>
          <w:p w14:paraId="0B4520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5FD50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10C0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Konsultacje społeczne w ramach SOOŚ wymagane ustawą o udostępnianiu informacji</w:t>
            </w:r>
            <w:r w:rsidRPr="0028666F">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związku z przygotowaniem i przeprowadzeniem konsultacji społecznych SOOŚ zgodnie</w:t>
            </w:r>
            <w:r w:rsidRPr="0028666F">
              <w:rPr>
                <w:rFonts w:ascii="Calibri" w:eastAsia="Times New Roman" w:hAnsi="Calibri" w:cs="Calibri"/>
                <w:color w:val="000000"/>
                <w:sz w:val="18"/>
                <w:szCs w:val="18"/>
                <w:lang w:eastAsia="pl-PL"/>
              </w:rPr>
              <w:br/>
              <w:t>z przepisami prawa oraz przy zapewnieniu możliwie pełnego i aktywnego udziału społeczeństwa</w:t>
            </w:r>
            <w:r w:rsidRPr="0028666F">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 SOOŚ.</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oraz przez 21 dni w przypadku Prognoz. Osoby zainteresowane projektem IIaPGW mają dostęp do bieżącej informacji</w:t>
            </w:r>
            <w:r w:rsidRPr="0028666F">
              <w:rPr>
                <w:rFonts w:ascii="Calibri" w:eastAsia="Times New Roman" w:hAnsi="Calibri" w:cs="Calibri"/>
                <w:color w:val="000000"/>
                <w:sz w:val="18"/>
                <w:szCs w:val="18"/>
                <w:lang w:eastAsia="pl-PL"/>
              </w:rPr>
              <w:br/>
              <w:t>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2176635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7B84D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125</w:t>
            </w:r>
          </w:p>
        </w:tc>
        <w:tc>
          <w:tcPr>
            <w:tcW w:w="970" w:type="dxa"/>
            <w:tcBorders>
              <w:top w:val="nil"/>
              <w:left w:val="nil"/>
              <w:bottom w:val="single" w:sz="4" w:space="0" w:color="auto"/>
              <w:right w:val="nil"/>
            </w:tcBorders>
          </w:tcPr>
          <w:p w14:paraId="0AA4C80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E99D7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EF232B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C8FD6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Konsultacje chaos</w:t>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452754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10EE7F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28A29D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72AE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79BDC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Konsultacje społeczne w ramach SOOŚ wymagane ustawą o udostępnianiu informacji</w:t>
            </w:r>
            <w:r w:rsidRPr="0028666F">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związku z przygotowaniem i przeprowadzeniem konsultacji społecznych SOOŚ zgodnie</w:t>
            </w:r>
            <w:r w:rsidRPr="0028666F">
              <w:rPr>
                <w:rFonts w:ascii="Calibri" w:eastAsia="Times New Roman" w:hAnsi="Calibri" w:cs="Calibri"/>
                <w:color w:val="000000"/>
                <w:sz w:val="18"/>
                <w:szCs w:val="18"/>
                <w:lang w:eastAsia="pl-PL"/>
              </w:rPr>
              <w:br/>
              <w:t>z przepisami prawa oraz przy zapewnieniu możliwie pełnego i aktywnego udziału społeczeństwa</w:t>
            </w:r>
            <w:r w:rsidRPr="0028666F">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 SOOŚ.</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oraz przez 21 dni w przypadku Prognoz. Osoby zainteresowane projektem IIaPGW mają dostęp do bieżącej informacji</w:t>
            </w:r>
            <w:r w:rsidRPr="0028666F">
              <w:rPr>
                <w:rFonts w:ascii="Calibri" w:eastAsia="Times New Roman" w:hAnsi="Calibri" w:cs="Calibri"/>
                <w:color w:val="000000"/>
                <w:sz w:val="18"/>
                <w:szCs w:val="18"/>
                <w:lang w:eastAsia="pl-PL"/>
              </w:rPr>
              <w:br/>
              <w:t>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41ED6DD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5CCA76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126</w:t>
            </w:r>
          </w:p>
        </w:tc>
        <w:tc>
          <w:tcPr>
            <w:tcW w:w="970" w:type="dxa"/>
            <w:tcBorders>
              <w:top w:val="nil"/>
              <w:left w:val="nil"/>
              <w:bottom w:val="single" w:sz="4" w:space="0" w:color="auto"/>
              <w:right w:val="nil"/>
            </w:tcBorders>
          </w:tcPr>
          <w:p w14:paraId="273FDB0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57C15B6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DD48E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7438E41" w14:textId="345215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Konsultacje geobaza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55B52B81" w14:textId="5385D76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2252D02D" w14:textId="7634906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Działanie Wód Polskich w tym zakresie jest sprzeczne z: </w:t>
            </w:r>
            <w:r w:rsidRPr="0028666F">
              <w:rPr>
                <w:rFonts w:ascii="Calibri" w:eastAsia="Times New Roman" w:hAnsi="Calibri" w:cs="Calibri"/>
                <w:color w:val="000000"/>
                <w:sz w:val="18"/>
                <w:szCs w:val="18"/>
                <w:lang w:eastAsia="pl-PL"/>
              </w:rPr>
              <w:br w:type="page"/>
              <w:t xml:space="preserve">art. 14 RDW – </w:t>
            </w:r>
            <w:r w:rsidRPr="0028666F">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ype="page"/>
              <w:t>Zał. VII – pkt 1, 3, 4</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5E091F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1599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AB236CF" w14:textId="46A78FF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obszaerne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ype="page"/>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6A374CA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C9B348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127</w:t>
            </w:r>
          </w:p>
        </w:tc>
        <w:tc>
          <w:tcPr>
            <w:tcW w:w="970" w:type="dxa"/>
            <w:tcBorders>
              <w:top w:val="nil"/>
              <w:left w:val="nil"/>
              <w:bottom w:val="single" w:sz="4" w:space="0" w:color="auto"/>
              <w:right w:val="nil"/>
            </w:tcBorders>
          </w:tcPr>
          <w:p w14:paraId="793C23E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133AE3A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53BA20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BC3E1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Konsultacje dokumenty źródłowe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2733" w:type="dxa"/>
            <w:tcBorders>
              <w:top w:val="nil"/>
              <w:left w:val="nil"/>
              <w:bottom w:val="single" w:sz="4" w:space="0" w:color="auto"/>
              <w:right w:val="single" w:sz="4" w:space="0" w:color="auto"/>
            </w:tcBorders>
            <w:shd w:val="clear" w:color="auto" w:fill="auto"/>
            <w:hideMark/>
          </w:tcPr>
          <w:p w14:paraId="54A068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28DFB6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295A55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A1DA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1558E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7B0A018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685A5B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128</w:t>
            </w:r>
          </w:p>
        </w:tc>
        <w:tc>
          <w:tcPr>
            <w:tcW w:w="970" w:type="dxa"/>
            <w:tcBorders>
              <w:top w:val="nil"/>
              <w:left w:val="nil"/>
              <w:bottom w:val="single" w:sz="4" w:space="0" w:color="auto"/>
              <w:right w:val="nil"/>
            </w:tcBorders>
          </w:tcPr>
          <w:p w14:paraId="303477D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7E72D3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ABE0E8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83FA3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Konsultacje formularz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1C757B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620475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602324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F29BA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ED7E2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7C2B40" w:rsidRPr="0028666F" w14:paraId="076F562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9E931B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129</w:t>
            </w:r>
          </w:p>
        </w:tc>
        <w:tc>
          <w:tcPr>
            <w:tcW w:w="970" w:type="dxa"/>
            <w:tcBorders>
              <w:top w:val="nil"/>
              <w:left w:val="nil"/>
              <w:bottom w:val="single" w:sz="4" w:space="0" w:color="auto"/>
              <w:right w:val="nil"/>
            </w:tcBorders>
          </w:tcPr>
          <w:p w14:paraId="12262B8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5D619EC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515415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B7862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Konsultacje dane ze strony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74697A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0D94860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5E5CD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BF91D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EE522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58B185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5490F2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130</w:t>
            </w:r>
          </w:p>
        </w:tc>
        <w:tc>
          <w:tcPr>
            <w:tcW w:w="970" w:type="dxa"/>
            <w:tcBorders>
              <w:top w:val="nil"/>
              <w:left w:val="nil"/>
              <w:bottom w:val="single" w:sz="4" w:space="0" w:color="auto"/>
              <w:right w:val="nil"/>
            </w:tcBorders>
          </w:tcPr>
          <w:p w14:paraId="6ED8189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73348AF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1C3D01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011E7C8" w14:textId="66B3BE3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19F5A1B3" w14:textId="714058B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7F4912C9" w14:textId="4E41A7E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3162A3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019EC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D7FBE39" w14:textId="0D33784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544D28E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D4AE0D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131</w:t>
            </w:r>
          </w:p>
        </w:tc>
        <w:tc>
          <w:tcPr>
            <w:tcW w:w="970" w:type="dxa"/>
            <w:tcBorders>
              <w:top w:val="nil"/>
              <w:left w:val="nil"/>
              <w:bottom w:val="single" w:sz="4" w:space="0" w:color="auto"/>
              <w:right w:val="nil"/>
            </w:tcBorders>
          </w:tcPr>
          <w:p w14:paraId="2C9FDDF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0C13020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040BFD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F0BC4DD" w14:textId="41ECCF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RWr Zbiornikowe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Rozdz. 3, 5.1. oraz 8.1.</w:t>
            </w:r>
            <w:r w:rsidRPr="0028666F">
              <w:rPr>
                <w:rFonts w:ascii="Calibri" w:eastAsia="Times New Roman" w:hAnsi="Calibri" w:cs="Calibri"/>
                <w:color w:val="000000"/>
                <w:sz w:val="18"/>
                <w:szCs w:val="18"/>
                <w:lang w:eastAsia="pl-PL"/>
              </w:rPr>
              <w:br/>
              <w:t xml:space="preserve">Zał. 3.1. oraz 8.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Zał. mapowe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618C2980" w14:textId="7178356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5920FDD2" w14:textId="2F4A9B5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61B657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B5421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587C2E8" w14:textId="7161E3A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75B5E44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F2711F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132</w:t>
            </w:r>
          </w:p>
        </w:tc>
        <w:tc>
          <w:tcPr>
            <w:tcW w:w="970" w:type="dxa"/>
            <w:tcBorders>
              <w:top w:val="nil"/>
              <w:left w:val="nil"/>
              <w:bottom w:val="single" w:sz="4" w:space="0" w:color="auto"/>
              <w:right w:val="nil"/>
            </w:tcBorders>
          </w:tcPr>
          <w:p w14:paraId="08E907B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EDA199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015EBA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3FE98D3" w14:textId="425ABC8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Rozdz. 3.1.SZCW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Zgodnie z dokumentem  </w:t>
            </w:r>
            <w:r w:rsidRPr="0028666F">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ype="page"/>
              <w:t>- dostępny np. na stronie konsultacji IIaPGW https://www.apgw.gov.pl/pl/news/show/90</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793995BD" w14:textId="0180184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ype="page"/>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313271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73D7A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CA125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2A2ABA" w14:textId="28132F6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513C8A4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E0284C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133</w:t>
            </w:r>
          </w:p>
        </w:tc>
        <w:tc>
          <w:tcPr>
            <w:tcW w:w="970" w:type="dxa"/>
            <w:tcBorders>
              <w:top w:val="nil"/>
              <w:left w:val="nil"/>
              <w:bottom w:val="single" w:sz="4" w:space="0" w:color="auto"/>
              <w:right w:val="nil"/>
            </w:tcBorders>
          </w:tcPr>
          <w:p w14:paraId="21ACA72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77963DD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9D0434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5B25F67" w14:textId="0D4D9D0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3.1.SZCW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4702AD03" w14:textId="4AF61F6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4CB42794" w14:textId="6C107EA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365F2A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BE624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70CCDB6" w14:textId="19ED0E3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4004F57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A915A0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134</w:t>
            </w:r>
          </w:p>
        </w:tc>
        <w:tc>
          <w:tcPr>
            <w:tcW w:w="970" w:type="dxa"/>
            <w:tcBorders>
              <w:top w:val="nil"/>
              <w:left w:val="nil"/>
              <w:bottom w:val="single" w:sz="4" w:space="0" w:color="auto"/>
              <w:right w:val="nil"/>
            </w:tcBorders>
          </w:tcPr>
          <w:p w14:paraId="553773A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4B5D38A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52DD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0044228" w14:textId="0E2DBC5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3.1. SZCW</w:t>
            </w:r>
            <w:r w:rsidRPr="0028666F">
              <w:rPr>
                <w:rFonts w:ascii="Calibri" w:eastAsia="Times New Roman" w:hAnsi="Calibri" w:cs="Calibri"/>
                <w:color w:val="000000"/>
                <w:sz w:val="18"/>
                <w:szCs w:val="18"/>
                <w:lang w:eastAsia="pl-PL"/>
              </w:rPr>
              <w:br/>
              <w:t>Wyznaczenie SZCW niezgodnie z metodyką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p>
        </w:tc>
        <w:tc>
          <w:tcPr>
            <w:tcW w:w="2733" w:type="dxa"/>
            <w:tcBorders>
              <w:top w:val="nil"/>
              <w:left w:val="nil"/>
              <w:bottom w:val="single" w:sz="4" w:space="0" w:color="auto"/>
              <w:right w:val="single" w:sz="4" w:space="0" w:color="auto"/>
            </w:tcBorders>
            <w:shd w:val="clear" w:color="auto" w:fill="auto"/>
            <w:hideMark/>
          </w:tcPr>
          <w:p w14:paraId="4E6AE9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p>
        </w:tc>
        <w:tc>
          <w:tcPr>
            <w:tcW w:w="3009" w:type="dxa"/>
            <w:tcBorders>
              <w:top w:val="nil"/>
              <w:left w:val="nil"/>
              <w:bottom w:val="single" w:sz="4" w:space="0" w:color="auto"/>
              <w:right w:val="single" w:sz="4" w:space="0" w:color="auto"/>
            </w:tcBorders>
            <w:shd w:val="clear" w:color="auto" w:fill="auto"/>
            <w:hideMark/>
          </w:tcPr>
          <w:p w14:paraId="769BEF92" w14:textId="182EE14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5742BE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684EF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4D950FE" w14:textId="418F750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47A21EF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49C43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135</w:t>
            </w:r>
          </w:p>
        </w:tc>
        <w:tc>
          <w:tcPr>
            <w:tcW w:w="970" w:type="dxa"/>
            <w:tcBorders>
              <w:top w:val="nil"/>
              <w:left w:val="nil"/>
              <w:bottom w:val="single" w:sz="4" w:space="0" w:color="auto"/>
              <w:right w:val="nil"/>
            </w:tcBorders>
          </w:tcPr>
          <w:p w14:paraId="3DF9B16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2F18599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43202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D9699A8" w14:textId="41CDE04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5</w:t>
            </w:r>
            <w:r w:rsidRPr="0028666F">
              <w:rPr>
                <w:rFonts w:ascii="Calibri" w:eastAsia="Times New Roman" w:hAnsi="Calibri" w:cs="Calibri"/>
                <w:color w:val="000000"/>
                <w:sz w:val="18"/>
                <w:szCs w:val="18"/>
                <w:lang w:eastAsia="pl-PL"/>
              </w:rPr>
              <w:br/>
              <w:t>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p>
        </w:tc>
        <w:tc>
          <w:tcPr>
            <w:tcW w:w="2733" w:type="dxa"/>
            <w:tcBorders>
              <w:top w:val="nil"/>
              <w:left w:val="nil"/>
              <w:bottom w:val="single" w:sz="4" w:space="0" w:color="auto"/>
              <w:right w:val="single" w:sz="4" w:space="0" w:color="auto"/>
            </w:tcBorders>
            <w:shd w:val="clear" w:color="auto" w:fill="auto"/>
            <w:hideMark/>
          </w:tcPr>
          <w:p w14:paraId="35917B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293BC3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74C9E1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FD127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5DFD95A" w14:textId="771B9A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2A485BE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18A0E2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136</w:t>
            </w:r>
          </w:p>
        </w:tc>
        <w:tc>
          <w:tcPr>
            <w:tcW w:w="970" w:type="dxa"/>
            <w:tcBorders>
              <w:top w:val="nil"/>
              <w:left w:val="nil"/>
              <w:bottom w:val="single" w:sz="4" w:space="0" w:color="auto"/>
              <w:right w:val="nil"/>
            </w:tcBorders>
          </w:tcPr>
          <w:p w14:paraId="184E62D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12317B3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50A28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378F68F" w14:textId="1081080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5</w:t>
            </w:r>
            <w:r w:rsidRPr="0028666F">
              <w:rPr>
                <w:rFonts w:ascii="Calibri" w:eastAsia="Times New Roman" w:hAnsi="Calibri" w:cs="Calibri"/>
                <w:color w:val="000000"/>
                <w:sz w:val="18"/>
                <w:szCs w:val="18"/>
                <w:lang w:eastAsia="pl-PL"/>
              </w:rPr>
              <w:br/>
              <w:t>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p>
        </w:tc>
        <w:tc>
          <w:tcPr>
            <w:tcW w:w="2733" w:type="dxa"/>
            <w:tcBorders>
              <w:top w:val="nil"/>
              <w:left w:val="nil"/>
              <w:bottom w:val="single" w:sz="4" w:space="0" w:color="auto"/>
              <w:right w:val="single" w:sz="4" w:space="0" w:color="auto"/>
            </w:tcBorders>
            <w:shd w:val="clear" w:color="auto" w:fill="auto"/>
            <w:hideMark/>
          </w:tcPr>
          <w:p w14:paraId="72977EAC" w14:textId="620E5F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38E38B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0C6DEF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08BBE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C1FC7FF" w14:textId="06CAA0E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obszary odpowiedzialności GIOŚ, IIaPGW nie jest dokumentem ustalającym sieć monitoringu.</w:t>
            </w:r>
          </w:p>
        </w:tc>
      </w:tr>
      <w:tr w:rsidR="007C2B40" w:rsidRPr="0028666F" w14:paraId="5FA8B94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4FB683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137</w:t>
            </w:r>
          </w:p>
        </w:tc>
        <w:tc>
          <w:tcPr>
            <w:tcW w:w="970" w:type="dxa"/>
            <w:tcBorders>
              <w:top w:val="nil"/>
              <w:left w:val="nil"/>
              <w:bottom w:val="single" w:sz="4" w:space="0" w:color="auto"/>
              <w:right w:val="nil"/>
            </w:tcBorders>
          </w:tcPr>
          <w:p w14:paraId="2BD9ED0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266363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63A1F8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ED7CE63" w14:textId="3359C58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 xml:space="preserve">Streszczenie niespecjalistyczne; IIaPGW Rozdział 7, 8, 9 </w:t>
            </w:r>
            <w:r w:rsidRPr="0028666F">
              <w:rPr>
                <w:rFonts w:ascii="Calibri" w:eastAsia="Times New Roman" w:hAnsi="Calibri" w:cs="Calibri"/>
                <w:color w:val="000000"/>
                <w:sz w:val="18"/>
                <w:szCs w:val="18"/>
                <w:lang w:eastAsia="pl-PL"/>
              </w:rPr>
              <w:br w:type="page"/>
              <w:t xml:space="preserve">Presja, Cele środowiskowe,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8159816" w14:textId="683052D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ype="page"/>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ype="page"/>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2F7862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8557E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EEA3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816041D" w14:textId="712404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ype="page"/>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ype="page"/>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ype="page"/>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ype="page"/>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ype="page"/>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ype="page"/>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30F0C6A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6D7E1F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138</w:t>
            </w:r>
          </w:p>
        </w:tc>
        <w:tc>
          <w:tcPr>
            <w:tcW w:w="970" w:type="dxa"/>
            <w:tcBorders>
              <w:top w:val="nil"/>
              <w:left w:val="nil"/>
              <w:bottom w:val="single" w:sz="4" w:space="0" w:color="auto"/>
              <w:right w:val="nil"/>
            </w:tcBorders>
          </w:tcPr>
          <w:p w14:paraId="03044AB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56B26E9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648C41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0966F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 xml:space="preserve">Rozdz. 9 </w:t>
            </w:r>
            <w:r w:rsidRPr="0028666F">
              <w:rPr>
                <w:rFonts w:ascii="Calibri" w:eastAsia="Times New Roman" w:hAnsi="Calibri" w:cs="Calibri"/>
                <w:color w:val="000000"/>
                <w:sz w:val="18"/>
                <w:szCs w:val="18"/>
                <w:lang w:eastAsia="pl-PL"/>
              </w:rPr>
              <w:br/>
              <w:t>Postęp i wdrożenie działań 2016-2021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2638E6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p>
        </w:tc>
        <w:tc>
          <w:tcPr>
            <w:tcW w:w="3009" w:type="dxa"/>
            <w:tcBorders>
              <w:top w:val="nil"/>
              <w:left w:val="nil"/>
              <w:bottom w:val="single" w:sz="4" w:space="0" w:color="auto"/>
              <w:right w:val="single" w:sz="4" w:space="0" w:color="auto"/>
            </w:tcBorders>
            <w:shd w:val="clear" w:color="auto" w:fill="auto"/>
            <w:hideMark/>
          </w:tcPr>
          <w:p w14:paraId="6FFCA8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4AD2D5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5595B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0247031" w14:textId="1C0E8D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wdrożenia programów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(2018). Dobór działań prolongowanych do IIaPGW (niezrealizowanych w aPWŚK) obejmował szczegółową weryfikacjię zasadności realizacji tych działań, zgodnie z metodyką opracowania zestawu działań (materiał źródłowy do IIaPGW), na podstawie wyników analizy presji oraz wyników monitoringu stanu wód GIOŚ 2019 i zidentyfikowane ryzyko nieoiągniecia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2apgw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zapewianjącym drożność biologiczną.</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5F528E5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0250C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139</w:t>
            </w:r>
          </w:p>
        </w:tc>
        <w:tc>
          <w:tcPr>
            <w:tcW w:w="970" w:type="dxa"/>
            <w:tcBorders>
              <w:top w:val="nil"/>
              <w:left w:val="nil"/>
              <w:bottom w:val="single" w:sz="4" w:space="0" w:color="auto"/>
              <w:right w:val="nil"/>
            </w:tcBorders>
          </w:tcPr>
          <w:p w14:paraId="13E2E20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0204FAD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16A4C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3BB3384" w14:textId="4870DA0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10</w:t>
            </w:r>
            <w:r w:rsidRPr="0028666F">
              <w:rPr>
                <w:rFonts w:ascii="Calibri" w:eastAsia="Times New Roman" w:hAnsi="Calibri" w:cs="Calibri"/>
                <w:color w:val="000000"/>
                <w:sz w:val="18"/>
                <w:szCs w:val="18"/>
                <w:lang w:eastAsia="pl-PL"/>
              </w:rPr>
              <w:br/>
              <w:t xml:space="preserve">Działania 2aPGW KPRWP – raport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7FB430A8" w14:textId="7D513E33"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3EBB97D7" w14:textId="73FD4F1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3DBCE1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3164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BF20911" w14:textId="07156F4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769D7A5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D2A9BA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140</w:t>
            </w:r>
          </w:p>
        </w:tc>
        <w:tc>
          <w:tcPr>
            <w:tcW w:w="970" w:type="dxa"/>
            <w:tcBorders>
              <w:top w:val="nil"/>
              <w:left w:val="nil"/>
              <w:bottom w:val="single" w:sz="4" w:space="0" w:color="auto"/>
              <w:right w:val="nil"/>
            </w:tcBorders>
          </w:tcPr>
          <w:p w14:paraId="66A25AE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7D85B52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D84126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EC1F279" w14:textId="776CDEB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p>
        </w:tc>
        <w:tc>
          <w:tcPr>
            <w:tcW w:w="2733" w:type="dxa"/>
            <w:tcBorders>
              <w:top w:val="nil"/>
              <w:left w:val="nil"/>
              <w:bottom w:val="single" w:sz="4" w:space="0" w:color="auto"/>
              <w:right w:val="single" w:sz="4" w:space="0" w:color="auto"/>
            </w:tcBorders>
            <w:shd w:val="clear" w:color="auto" w:fill="auto"/>
            <w:hideMark/>
          </w:tcPr>
          <w:p w14:paraId="117FE0A1" w14:textId="19FA227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p>
        </w:tc>
        <w:tc>
          <w:tcPr>
            <w:tcW w:w="3009" w:type="dxa"/>
            <w:tcBorders>
              <w:top w:val="nil"/>
              <w:left w:val="nil"/>
              <w:bottom w:val="single" w:sz="4" w:space="0" w:color="auto"/>
              <w:right w:val="single" w:sz="4" w:space="0" w:color="auto"/>
            </w:tcBorders>
            <w:shd w:val="clear" w:color="auto" w:fill="auto"/>
            <w:hideMark/>
          </w:tcPr>
          <w:p w14:paraId="71D93D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36210B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CC67A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559F1C8" w14:textId="68D7CA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5A7F554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26A6E8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141</w:t>
            </w:r>
          </w:p>
        </w:tc>
        <w:tc>
          <w:tcPr>
            <w:tcW w:w="970" w:type="dxa"/>
            <w:tcBorders>
              <w:top w:val="nil"/>
              <w:left w:val="nil"/>
              <w:bottom w:val="single" w:sz="4" w:space="0" w:color="auto"/>
              <w:right w:val="nil"/>
            </w:tcBorders>
          </w:tcPr>
          <w:p w14:paraId="181E5F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04079A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4888C7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5823216" w14:textId="7EE6CF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0EC842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33BD064C" w14:textId="7EE0295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75A756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BE4F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30B7B20" w14:textId="6F71174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42AD5C0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F7C97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142</w:t>
            </w:r>
          </w:p>
        </w:tc>
        <w:tc>
          <w:tcPr>
            <w:tcW w:w="970" w:type="dxa"/>
            <w:tcBorders>
              <w:top w:val="nil"/>
              <w:left w:val="nil"/>
              <w:bottom w:val="single" w:sz="4" w:space="0" w:color="auto"/>
              <w:right w:val="nil"/>
            </w:tcBorders>
          </w:tcPr>
          <w:p w14:paraId="79F946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B034C2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8D65F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38E4B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Rozdz. 16,</w:t>
            </w:r>
            <w:r w:rsidRPr="0028666F">
              <w:rPr>
                <w:rFonts w:ascii="Calibri" w:eastAsia="Times New Roman" w:hAnsi="Calibri" w:cs="Calibri"/>
                <w:color w:val="000000"/>
                <w:sz w:val="18"/>
                <w:szCs w:val="18"/>
                <w:lang w:eastAsia="pl-PL"/>
              </w:rPr>
              <w:br w:type="page"/>
              <w:t xml:space="preserve">Zał. 6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4E383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0734DC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11F3BC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E936E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9029225" w14:textId="07BEF4D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0F058E3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FB0301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143</w:t>
            </w:r>
          </w:p>
        </w:tc>
        <w:tc>
          <w:tcPr>
            <w:tcW w:w="970" w:type="dxa"/>
            <w:tcBorders>
              <w:top w:val="nil"/>
              <w:left w:val="nil"/>
              <w:bottom w:val="single" w:sz="4" w:space="0" w:color="auto"/>
              <w:right w:val="nil"/>
            </w:tcBorders>
          </w:tcPr>
          <w:p w14:paraId="7530C6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6B3C23E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D39EAB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1EE8FA7" w14:textId="4B86672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Katalogi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p>
        </w:tc>
        <w:tc>
          <w:tcPr>
            <w:tcW w:w="2733" w:type="dxa"/>
            <w:tcBorders>
              <w:top w:val="nil"/>
              <w:left w:val="nil"/>
              <w:bottom w:val="single" w:sz="4" w:space="0" w:color="auto"/>
              <w:right w:val="single" w:sz="4" w:space="0" w:color="auto"/>
            </w:tcBorders>
            <w:shd w:val="clear" w:color="auto" w:fill="auto"/>
            <w:hideMark/>
          </w:tcPr>
          <w:p w14:paraId="2809C8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1A5A87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1DFB60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A38F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0B6C7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759556A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32D391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144</w:t>
            </w:r>
          </w:p>
        </w:tc>
        <w:tc>
          <w:tcPr>
            <w:tcW w:w="970" w:type="dxa"/>
            <w:tcBorders>
              <w:top w:val="nil"/>
              <w:left w:val="nil"/>
              <w:bottom w:val="single" w:sz="4" w:space="0" w:color="auto"/>
              <w:right w:val="nil"/>
            </w:tcBorders>
          </w:tcPr>
          <w:p w14:paraId="58F3AC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172B9F1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F8394C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5EFFC3F" w14:textId="76D3ADA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Działania udrożnienia barier migracyjnych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 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12ACE8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3009" w:type="dxa"/>
            <w:tcBorders>
              <w:top w:val="nil"/>
              <w:left w:val="nil"/>
              <w:bottom w:val="single" w:sz="4" w:space="0" w:color="auto"/>
              <w:right w:val="single" w:sz="4" w:space="0" w:color="auto"/>
            </w:tcBorders>
            <w:shd w:val="clear" w:color="auto" w:fill="auto"/>
            <w:hideMark/>
          </w:tcPr>
          <w:p w14:paraId="0E57110F"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3D3621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0A476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0659F19" w14:textId="34EE9D2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Prawo wodne (dalej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4683F40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D2B077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145</w:t>
            </w:r>
          </w:p>
        </w:tc>
        <w:tc>
          <w:tcPr>
            <w:tcW w:w="970" w:type="dxa"/>
            <w:tcBorders>
              <w:top w:val="nil"/>
              <w:left w:val="nil"/>
              <w:bottom w:val="single" w:sz="4" w:space="0" w:color="auto"/>
              <w:right w:val="nil"/>
            </w:tcBorders>
          </w:tcPr>
          <w:p w14:paraId="76CA00D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3E8E791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AC84A7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0DE5C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 xml:space="preserve">Działania -udrożnienia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Zał. 4 do erraty nr 1 Zaktualizowany wykaz budowli dla których zaplanowane zostały działania</w:t>
            </w:r>
            <w:r w:rsidRPr="0028666F">
              <w:rPr>
                <w:rFonts w:ascii="Calibri" w:eastAsia="Times New Roman" w:hAnsi="Calibri" w:cs="Calibri"/>
                <w:color w:val="000000"/>
                <w:sz w:val="18"/>
                <w:szCs w:val="18"/>
                <w:lang w:eastAsia="pl-PL"/>
              </w:rPr>
              <w:br/>
              <w:t>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p>
        </w:tc>
        <w:tc>
          <w:tcPr>
            <w:tcW w:w="2733" w:type="dxa"/>
            <w:tcBorders>
              <w:top w:val="nil"/>
              <w:left w:val="nil"/>
              <w:bottom w:val="single" w:sz="4" w:space="0" w:color="auto"/>
              <w:right w:val="single" w:sz="4" w:space="0" w:color="auto"/>
            </w:tcBorders>
            <w:shd w:val="clear" w:color="auto" w:fill="auto"/>
            <w:hideMark/>
          </w:tcPr>
          <w:p w14:paraId="1D9AF1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Udrożnić dla ryb zaporę Zb. Jeziorsko odcinającą całą górna zlewnię Warty.</w:t>
            </w:r>
          </w:p>
        </w:tc>
        <w:tc>
          <w:tcPr>
            <w:tcW w:w="3009" w:type="dxa"/>
            <w:tcBorders>
              <w:top w:val="nil"/>
              <w:left w:val="nil"/>
              <w:bottom w:val="single" w:sz="4" w:space="0" w:color="auto"/>
              <w:right w:val="single" w:sz="4" w:space="0" w:color="auto"/>
            </w:tcBorders>
            <w:shd w:val="clear" w:color="auto" w:fill="auto"/>
            <w:hideMark/>
          </w:tcPr>
          <w:p w14:paraId="5C382A8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1C4AB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047A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3EF184C" w14:textId="59A3165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0AA1699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F3570E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146</w:t>
            </w:r>
          </w:p>
        </w:tc>
        <w:tc>
          <w:tcPr>
            <w:tcW w:w="970" w:type="dxa"/>
            <w:tcBorders>
              <w:top w:val="nil"/>
              <w:left w:val="nil"/>
              <w:bottom w:val="single" w:sz="4" w:space="0" w:color="auto"/>
              <w:right w:val="nil"/>
            </w:tcBorders>
          </w:tcPr>
          <w:p w14:paraId="50394F3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41A1EAF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C0FA9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559AD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 xml:space="preserve">Działania -udrożnienia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Zał. 4 do erraty nr 1 Zaktualizowany wykaz budowli dla których zaplanowane zostały działania</w:t>
            </w:r>
            <w:r w:rsidRPr="0028666F">
              <w:rPr>
                <w:rFonts w:ascii="Calibri" w:eastAsia="Times New Roman" w:hAnsi="Calibri" w:cs="Calibri"/>
                <w:color w:val="000000"/>
                <w:sz w:val="18"/>
                <w:szCs w:val="18"/>
                <w:lang w:eastAsia="pl-PL"/>
              </w:rPr>
              <w:br w:type="page"/>
              <w:t>w projekcie IIaPGW – obszar dorzecza Odry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ODBUDOWA PIĘTRZEŃ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ype="page"/>
              <w:t>Szczególnie bulwersujące jest wprowadzenie do IIaPGW działania (prolongacja z aPWŚK):</w:t>
            </w:r>
            <w:r w:rsidRPr="0028666F">
              <w:rPr>
                <w:rFonts w:ascii="Calibri" w:eastAsia="Times New Roman" w:hAnsi="Calibri" w:cs="Calibri"/>
                <w:color w:val="000000"/>
                <w:sz w:val="18"/>
                <w:szCs w:val="18"/>
                <w:lang w:eastAsia="pl-PL"/>
              </w:rPr>
              <w:br w:type="page"/>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ype="page"/>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4C582D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DDAD7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ype="page"/>
              <w:t xml:space="preserve">Inne odbudowy/przebudowy urządzeń piętrzących zaplanowane w IIaPGW też wymagają weryfikacji, bo mogą wykazywać podobne znaczące negatywne oddziaływania. </w:t>
            </w:r>
          </w:p>
        </w:tc>
        <w:tc>
          <w:tcPr>
            <w:tcW w:w="1720" w:type="dxa"/>
            <w:tcBorders>
              <w:top w:val="nil"/>
              <w:left w:val="nil"/>
              <w:bottom w:val="single" w:sz="4" w:space="0" w:color="auto"/>
              <w:right w:val="single" w:sz="4" w:space="0" w:color="auto"/>
            </w:tcBorders>
            <w:shd w:val="clear" w:color="000000" w:fill="FFFFFF"/>
            <w:hideMark/>
          </w:tcPr>
          <w:p w14:paraId="7F7D85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D7699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9DB3C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0BA92DD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D5D73E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147</w:t>
            </w:r>
          </w:p>
        </w:tc>
        <w:tc>
          <w:tcPr>
            <w:tcW w:w="970" w:type="dxa"/>
            <w:tcBorders>
              <w:top w:val="nil"/>
              <w:left w:val="nil"/>
              <w:bottom w:val="single" w:sz="4" w:space="0" w:color="auto"/>
              <w:right w:val="nil"/>
            </w:tcBorders>
          </w:tcPr>
          <w:p w14:paraId="3533D31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2035C42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9B268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C4EA5CB" w14:textId="5E7B696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prawne i administracyjne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503B4C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0DE8A4CB" w14:textId="59AF129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3106B1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8C307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F55ACD" w14:textId="49F045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zgodnie z uwagą, powinno stanowić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 Obecnie opracowany PPSS oraz aPZRP zawierają działania planowane których realizacja przyczynić się może do powstania potencjalnych źródeł presji będących uwzględnionymi w kolejnych pracach planistycznych.</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4F153D8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450298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148</w:t>
            </w:r>
          </w:p>
        </w:tc>
        <w:tc>
          <w:tcPr>
            <w:tcW w:w="970" w:type="dxa"/>
            <w:tcBorders>
              <w:top w:val="nil"/>
              <w:left w:val="nil"/>
              <w:bottom w:val="single" w:sz="4" w:space="0" w:color="auto"/>
              <w:right w:val="nil"/>
            </w:tcBorders>
          </w:tcPr>
          <w:p w14:paraId="4256287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7E5C146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D87C12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C0AF506" w14:textId="09317F3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Konkretne zmiany prawne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5B66D5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329AA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07B32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14551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B4B9EBA" w14:textId="22B233C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550A231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CE65CE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149</w:t>
            </w:r>
          </w:p>
        </w:tc>
        <w:tc>
          <w:tcPr>
            <w:tcW w:w="970" w:type="dxa"/>
            <w:tcBorders>
              <w:top w:val="nil"/>
              <w:left w:val="nil"/>
              <w:bottom w:val="single" w:sz="4" w:space="0" w:color="auto"/>
              <w:right w:val="nil"/>
            </w:tcBorders>
          </w:tcPr>
          <w:p w14:paraId="2C86E33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4DC83C0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5B4B4F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08F0C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w funkcjonowaniu zarządzania wód</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1AF16A80" w14:textId="2EB0573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3A8F73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2C45A5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6DBFF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0F368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73D0E65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F06C5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150</w:t>
            </w:r>
          </w:p>
        </w:tc>
        <w:tc>
          <w:tcPr>
            <w:tcW w:w="970" w:type="dxa"/>
            <w:tcBorders>
              <w:top w:val="nil"/>
              <w:left w:val="nil"/>
              <w:bottom w:val="single" w:sz="4" w:space="0" w:color="auto"/>
              <w:right w:val="nil"/>
            </w:tcBorders>
          </w:tcPr>
          <w:p w14:paraId="227A0B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5" w:type="dxa"/>
            <w:tcBorders>
              <w:top w:val="nil"/>
              <w:left w:val="nil"/>
              <w:bottom w:val="single" w:sz="4" w:space="0" w:color="auto"/>
              <w:right w:val="single" w:sz="4" w:space="0" w:color="auto"/>
            </w:tcBorders>
            <w:shd w:val="clear" w:color="auto" w:fill="auto"/>
          </w:tcPr>
          <w:p w14:paraId="3F0B533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84BEE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F9CC2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 xml:space="preserve">Zmiany w ocenie postępu działań – co 2 lata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6BEE75C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3009" w:type="dxa"/>
            <w:tcBorders>
              <w:top w:val="nil"/>
              <w:left w:val="nil"/>
              <w:bottom w:val="single" w:sz="4" w:space="0" w:color="auto"/>
              <w:right w:val="single" w:sz="4" w:space="0" w:color="auto"/>
            </w:tcBorders>
            <w:shd w:val="clear" w:color="auto" w:fill="auto"/>
            <w:hideMark/>
          </w:tcPr>
          <w:p w14:paraId="36294D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69894B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21D3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B8CE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7A60C85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020EE9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151</w:t>
            </w:r>
          </w:p>
        </w:tc>
        <w:tc>
          <w:tcPr>
            <w:tcW w:w="970" w:type="dxa"/>
            <w:tcBorders>
              <w:top w:val="nil"/>
              <w:left w:val="nil"/>
              <w:bottom w:val="single" w:sz="4" w:space="0" w:color="auto"/>
              <w:right w:val="nil"/>
            </w:tcBorders>
          </w:tcPr>
          <w:p w14:paraId="7A6F15F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Starostwo Powiatowe w Bydgoszczy</w:t>
            </w:r>
          </w:p>
        </w:tc>
        <w:tc>
          <w:tcPr>
            <w:tcW w:w="165" w:type="dxa"/>
            <w:tcBorders>
              <w:top w:val="nil"/>
              <w:left w:val="nil"/>
              <w:bottom w:val="single" w:sz="4" w:space="0" w:color="auto"/>
              <w:right w:val="single" w:sz="4" w:space="0" w:color="auto"/>
            </w:tcBorders>
            <w:shd w:val="clear" w:color="auto" w:fill="auto"/>
          </w:tcPr>
          <w:p w14:paraId="12AA742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36EA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5D638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drugiej  aktualizacji  Planów gospodarowania wodami na obszarach dorzeczy - IIa 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Treść uwagi: </w:t>
            </w:r>
            <w:r w:rsidRPr="0028666F">
              <w:rPr>
                <w:rFonts w:ascii="Calibri" w:eastAsia="Times New Roman" w:hAnsi="Calibri" w:cs="Calibri"/>
                <w:color w:val="000000"/>
                <w:sz w:val="18"/>
                <w:szCs w:val="18"/>
                <w:lang w:eastAsia="pl-PL"/>
              </w:rPr>
              <w:br w:type="page"/>
              <w:t>W związku ze złożeniem przez ENEA Nowa Energia Sp. z o.o. wniosku o zmianę</w:t>
            </w:r>
            <w:r w:rsidRPr="0028666F">
              <w:rPr>
                <w:rFonts w:ascii="Calibri" w:eastAsia="Times New Roman" w:hAnsi="Calibri" w:cs="Calibri"/>
                <w:color w:val="000000"/>
                <w:sz w:val="18"/>
                <w:szCs w:val="18"/>
                <w:lang w:eastAsia="pl-PL"/>
              </w:rPr>
              <w:br w:type="page"/>
              <w:t>zapisów w projekcie II aktualizacji planów gospodarowania wodami na obszarach dorzeczy</w:t>
            </w:r>
            <w:r w:rsidRPr="0028666F">
              <w:rPr>
                <w:rFonts w:ascii="Calibri" w:eastAsia="Times New Roman" w:hAnsi="Calibri" w:cs="Calibri"/>
                <w:color w:val="000000"/>
                <w:sz w:val="18"/>
                <w:szCs w:val="18"/>
                <w:lang w:eastAsia="pl-PL"/>
              </w:rPr>
              <w:br w:type="page"/>
              <w:t>oraz Planów Zarządzania Ryzykiem Powodziowym (załącznik: pismo</w:t>
            </w:r>
            <w:r w:rsidRPr="0028666F">
              <w:rPr>
                <w:rFonts w:ascii="Calibri" w:eastAsia="Times New Roman" w:hAnsi="Calibri" w:cs="Calibri"/>
                <w:color w:val="000000"/>
                <w:sz w:val="18"/>
                <w:szCs w:val="18"/>
                <w:lang w:eastAsia="pl-PL"/>
              </w:rPr>
              <w:br w:type="page"/>
              <w:t>nr OWZ.LI.283.2.2021 z dnia 07.09.2021 r. w załączeniu) informujemy Pana Ministra,</w:t>
            </w:r>
            <w:r w:rsidRPr="0028666F">
              <w:rPr>
                <w:rFonts w:ascii="Calibri" w:eastAsia="Times New Roman" w:hAnsi="Calibri" w:cs="Calibri"/>
                <w:color w:val="000000"/>
                <w:sz w:val="18"/>
                <w:szCs w:val="18"/>
                <w:lang w:eastAsia="pl-PL"/>
              </w:rPr>
              <w:br w:type="page"/>
              <w:t>iż z uwagi na konieczność zmniejszenia zagrożenia powodziowego obszarów leżących</w:t>
            </w:r>
            <w:r w:rsidRPr="0028666F">
              <w:rPr>
                <w:rFonts w:ascii="Calibri" w:eastAsia="Times New Roman" w:hAnsi="Calibri" w:cs="Calibri"/>
                <w:color w:val="000000"/>
                <w:sz w:val="18"/>
                <w:szCs w:val="18"/>
                <w:lang w:eastAsia="pl-PL"/>
              </w:rPr>
              <w:br w:type="page"/>
              <w:t>w granicach naszych samorządów tj. Miasta Bydgoszczy i Gminy Koronowo wyrażamy</w:t>
            </w:r>
            <w:r w:rsidRPr="0028666F">
              <w:rPr>
                <w:rFonts w:ascii="Calibri" w:eastAsia="Times New Roman" w:hAnsi="Calibri" w:cs="Calibri"/>
                <w:color w:val="000000"/>
                <w:sz w:val="18"/>
                <w:szCs w:val="18"/>
                <w:lang w:eastAsia="pl-PL"/>
              </w:rPr>
              <w:br w:type="page"/>
              <w:t>nasze poparcie dla działań ENEA Nowa Energia Sp. z o.o., zmierzających do rozpoczęcia</w:t>
            </w:r>
            <w:r w:rsidRPr="0028666F">
              <w:rPr>
                <w:rFonts w:ascii="Calibri" w:eastAsia="Times New Roman" w:hAnsi="Calibri" w:cs="Calibri"/>
                <w:color w:val="000000"/>
                <w:sz w:val="18"/>
                <w:szCs w:val="18"/>
                <w:lang w:eastAsia="pl-PL"/>
              </w:rPr>
              <w:br w:type="page"/>
              <w:t>procesu przebudowy zapory ziemnej w m. Pieczyska pn. „Analiza wariantowej przebudowy</w:t>
            </w:r>
            <w:r w:rsidRPr="0028666F">
              <w:rPr>
                <w:rFonts w:ascii="Calibri" w:eastAsia="Times New Roman" w:hAnsi="Calibri" w:cs="Calibri"/>
                <w:color w:val="000000"/>
                <w:sz w:val="18"/>
                <w:szCs w:val="18"/>
                <w:lang w:eastAsia="pl-PL"/>
              </w:rPr>
              <w:br w:type="page"/>
              <w:t>zapory ziemnej w Pieczyskach".</w:t>
            </w:r>
            <w:r w:rsidRPr="0028666F">
              <w:rPr>
                <w:rFonts w:ascii="Calibri" w:eastAsia="Times New Roman" w:hAnsi="Calibri" w:cs="Calibri"/>
                <w:color w:val="000000"/>
                <w:sz w:val="18"/>
                <w:szCs w:val="18"/>
                <w:lang w:eastAsia="pl-PL"/>
              </w:rPr>
              <w:br w:type="page"/>
              <w:t>Uważamy, iż zainicjowany przez ENEA Nowa Energia Sp. z o.o. proces z uwagi na okres</w:t>
            </w:r>
            <w:r w:rsidRPr="0028666F">
              <w:rPr>
                <w:rFonts w:ascii="Calibri" w:eastAsia="Times New Roman" w:hAnsi="Calibri" w:cs="Calibri"/>
                <w:color w:val="000000"/>
                <w:sz w:val="18"/>
                <w:szCs w:val="18"/>
                <w:lang w:eastAsia="pl-PL"/>
              </w:rPr>
              <w:br w:type="page"/>
              <w:t>budowy zapory (lata 50-siąte), rozwój technologii i standardów budowy takich obiektów,</w:t>
            </w:r>
            <w:r w:rsidRPr="0028666F">
              <w:rPr>
                <w:rFonts w:ascii="Calibri" w:eastAsia="Times New Roman" w:hAnsi="Calibri" w:cs="Calibri"/>
                <w:color w:val="000000"/>
                <w:sz w:val="18"/>
                <w:szCs w:val="18"/>
                <w:lang w:eastAsia="pl-PL"/>
              </w:rPr>
              <w:br w:type="page"/>
              <w:t>występujące na tym obiekcie awarie w konstrukcji jest w pełni uzasadniony</w:t>
            </w:r>
            <w:r w:rsidRPr="0028666F">
              <w:rPr>
                <w:rFonts w:ascii="Calibri" w:eastAsia="Times New Roman" w:hAnsi="Calibri" w:cs="Calibri"/>
                <w:color w:val="000000"/>
                <w:sz w:val="18"/>
                <w:szCs w:val="18"/>
                <w:lang w:eastAsia="pl-PL"/>
              </w:rPr>
              <w:br w:type="page"/>
              <w:t>Jednocześnie w przeciwieństwie do wniosku ENEA Nowa Energia Sp. z o.o.</w:t>
            </w:r>
            <w:r w:rsidRPr="0028666F">
              <w:rPr>
                <w:rFonts w:ascii="Calibri" w:eastAsia="Times New Roman" w:hAnsi="Calibri" w:cs="Calibri"/>
                <w:color w:val="000000"/>
                <w:sz w:val="18"/>
                <w:szCs w:val="18"/>
                <w:lang w:eastAsia="pl-PL"/>
              </w:rPr>
              <w:br w:type="page"/>
              <w:t>proponujemy aktualizację Planu Zarządzania Ryzykiem Powodziowym poprzez dodanie</w:t>
            </w:r>
            <w:r w:rsidRPr="0028666F">
              <w:rPr>
                <w:rFonts w:ascii="Calibri" w:eastAsia="Times New Roman" w:hAnsi="Calibri" w:cs="Calibri"/>
                <w:color w:val="000000"/>
                <w:sz w:val="18"/>
                <w:szCs w:val="18"/>
                <w:lang w:eastAsia="pl-PL"/>
              </w:rPr>
              <w:br w:type="page"/>
              <w:t>nowego zadania pn. „Analiza wariantowa przebudowy zapory ziemnej w Pieczyskach"</w:t>
            </w:r>
            <w:r w:rsidRPr="0028666F">
              <w:rPr>
                <w:rFonts w:ascii="Calibri" w:eastAsia="Times New Roman" w:hAnsi="Calibri" w:cs="Calibri"/>
                <w:color w:val="000000"/>
                <w:sz w:val="18"/>
                <w:szCs w:val="18"/>
                <w:lang w:eastAsia="pl-PL"/>
              </w:rPr>
              <w:br w:type="page"/>
              <w:t>bez konieczności wykreślania ujętego już wcześniej działania W_DW_l 1 pn. „Analiza</w:t>
            </w:r>
            <w:r w:rsidRPr="0028666F">
              <w:rPr>
                <w:rFonts w:ascii="Calibri" w:eastAsia="Times New Roman" w:hAnsi="Calibri" w:cs="Calibri"/>
                <w:color w:val="000000"/>
                <w:sz w:val="18"/>
                <w:szCs w:val="18"/>
                <w:lang w:eastAsia="pl-PL"/>
              </w:rPr>
              <w:br w:type="page"/>
              <w:t>wariantowa zmiany Instrukcji Gospodarowania Wodą" i działań:</w:t>
            </w:r>
            <w:r w:rsidRPr="0028666F">
              <w:rPr>
                <w:rFonts w:ascii="Calibri" w:eastAsia="Times New Roman" w:hAnsi="Calibri" w:cs="Calibri"/>
                <w:color w:val="000000"/>
                <w:sz w:val="18"/>
                <w:szCs w:val="18"/>
                <w:lang w:eastAsia="pl-PL"/>
              </w:rPr>
              <w:br w:type="page"/>
              <w:t>W _ DW_ 121 tj. „Rewitalizacja Brdy skanalizowanej wraz z przebudową obiektów</w:t>
            </w:r>
            <w:r w:rsidRPr="0028666F">
              <w:rPr>
                <w:rFonts w:ascii="Calibri" w:eastAsia="Times New Roman" w:hAnsi="Calibri" w:cs="Calibri"/>
                <w:color w:val="000000"/>
                <w:sz w:val="18"/>
                <w:szCs w:val="18"/>
                <w:lang w:eastAsia="pl-PL"/>
              </w:rPr>
              <w:br w:type="page"/>
              <w:t>Bydgoskiego Węzła Wodnego — etap II: Stopień Bydgoszcz",</w:t>
            </w:r>
            <w:r w:rsidRPr="0028666F">
              <w:rPr>
                <w:rFonts w:ascii="Calibri" w:eastAsia="Times New Roman" w:hAnsi="Calibri" w:cs="Calibri"/>
                <w:color w:val="000000"/>
                <w:sz w:val="18"/>
                <w:szCs w:val="18"/>
                <w:lang w:eastAsia="pl-PL"/>
              </w:rPr>
              <w:br w:type="page"/>
              <w:t>W DW 122 tj. „Rewitalizacja Brdy skanalizowanej wraz z przebudową obiektów</w:t>
            </w:r>
            <w:r w:rsidRPr="0028666F">
              <w:rPr>
                <w:rFonts w:ascii="Calibri" w:eastAsia="Times New Roman" w:hAnsi="Calibri" w:cs="Calibri"/>
                <w:color w:val="000000"/>
                <w:sz w:val="18"/>
                <w:szCs w:val="18"/>
                <w:lang w:eastAsia="pl-PL"/>
              </w:rPr>
              <w:br w:type="page"/>
              <w:t>Bydgoskiego Węzła Wodnego —II etap: Stopień Czersko Polskie".</w:t>
            </w:r>
          </w:p>
        </w:tc>
        <w:tc>
          <w:tcPr>
            <w:tcW w:w="2733" w:type="dxa"/>
            <w:tcBorders>
              <w:top w:val="nil"/>
              <w:left w:val="nil"/>
              <w:bottom w:val="single" w:sz="4" w:space="0" w:color="auto"/>
              <w:right w:val="single" w:sz="4" w:space="0" w:color="auto"/>
            </w:tcBorders>
            <w:shd w:val="clear" w:color="auto" w:fill="auto"/>
            <w:hideMark/>
          </w:tcPr>
          <w:p w14:paraId="464A38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Uzasadnienie uwagi znajduje się w załączonym pliku.</w:t>
            </w:r>
          </w:p>
        </w:tc>
        <w:tc>
          <w:tcPr>
            <w:tcW w:w="3009" w:type="dxa"/>
            <w:tcBorders>
              <w:top w:val="nil"/>
              <w:left w:val="nil"/>
              <w:bottom w:val="single" w:sz="4" w:space="0" w:color="auto"/>
              <w:right w:val="single" w:sz="4" w:space="0" w:color="auto"/>
            </w:tcBorders>
            <w:shd w:val="clear" w:color="auto" w:fill="auto"/>
            <w:hideMark/>
          </w:tcPr>
          <w:p w14:paraId="285D71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Uzasadnienie uwagi znajduje się w załączonym pliku.</w:t>
            </w:r>
          </w:p>
        </w:tc>
        <w:tc>
          <w:tcPr>
            <w:tcW w:w="1720" w:type="dxa"/>
            <w:tcBorders>
              <w:top w:val="nil"/>
              <w:left w:val="nil"/>
              <w:bottom w:val="single" w:sz="4" w:space="0" w:color="auto"/>
              <w:right w:val="single" w:sz="4" w:space="0" w:color="auto"/>
            </w:tcBorders>
            <w:shd w:val="clear" w:color="000000" w:fill="FFFFFF"/>
            <w:hideMark/>
          </w:tcPr>
          <w:p w14:paraId="23DC06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151_StarPow_Bydgoszcz_Odra</w:t>
            </w:r>
          </w:p>
        </w:tc>
        <w:tc>
          <w:tcPr>
            <w:tcW w:w="1014" w:type="dxa"/>
            <w:tcBorders>
              <w:top w:val="nil"/>
              <w:left w:val="nil"/>
              <w:bottom w:val="single" w:sz="4" w:space="0" w:color="auto"/>
              <w:right w:val="single" w:sz="4" w:space="0" w:color="auto"/>
            </w:tcBorders>
            <w:shd w:val="clear" w:color="auto" w:fill="auto"/>
            <w:hideMark/>
          </w:tcPr>
          <w:p w14:paraId="4AE5AF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878B9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projektów IIaPGW. Zagadnienia inwestycji mających na celu przeciwdziałanie skutkom powodzi stanowią przedmiot aPZRP, który poddawany był odrębnym konsultacjom społecznym, w ramach których możliwe było składanie uwag i wniosków do ustaleń aPZRP.</w:t>
            </w:r>
          </w:p>
        </w:tc>
      </w:tr>
      <w:tr w:rsidR="007C2B40" w:rsidRPr="0028666F" w14:paraId="5C0CE67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DF2CBE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152</w:t>
            </w:r>
          </w:p>
        </w:tc>
        <w:tc>
          <w:tcPr>
            <w:tcW w:w="970" w:type="dxa"/>
            <w:tcBorders>
              <w:top w:val="nil"/>
              <w:left w:val="nil"/>
              <w:bottom w:val="single" w:sz="4" w:space="0" w:color="auto"/>
              <w:right w:val="nil"/>
            </w:tcBorders>
          </w:tcPr>
          <w:p w14:paraId="168476F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72D3CD4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277BC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699405A" w14:textId="11C816AA"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"Borynia-Zofiówka"</w:t>
            </w:r>
            <w:r w:rsidRPr="0028666F">
              <w:rPr>
                <w:rFonts w:ascii="Calibri" w:eastAsia="Times New Roman" w:hAnsi="Calibri" w:cs="Calibri"/>
                <w:color w:val="000000"/>
                <w:sz w:val="18"/>
                <w:szCs w:val="18"/>
                <w:lang w:eastAsia="pl-PL"/>
              </w:rPr>
              <w:br/>
              <w:t>Nazwa inwestycji lub działania: "Wydobycie węgla kamiennego i metanu jako kopaliny towarzyszacej ze złoża ""Borynia""  na podstawie koncesji nr 7/2009 z dnia 27.10.2009 r. "</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2025-12-31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 Data wydania decyzji- 23.11.2016 r., Organ wydający decyzję- Regionalny Dyrektor Ochrony Środowiska w Katowicach, Znak- WOOŚ.4235.2.2016.AS3.15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Jastrzębie-Zdrój, wodzisławski, rybnicki, pszczyński</w:t>
            </w:r>
            <w:r w:rsidRPr="0028666F">
              <w:rPr>
                <w:rFonts w:ascii="Calibri" w:eastAsia="Times New Roman" w:hAnsi="Calibri" w:cs="Calibri"/>
                <w:color w:val="000000"/>
                <w:sz w:val="18"/>
                <w:szCs w:val="18"/>
                <w:lang w:eastAsia="pl-PL"/>
              </w:rPr>
              <w:br/>
              <w:t>Gmina (gminy): Jastrzębie-Zdrój, Mszana, Świerklany, Pawłowice,</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Jednolite części wód powierzchniowych (według podziału z aPGW z 2016 r.), w obrębie których była zaplanowana inwestycja lub działanie: nazwa - "Szotkówka bez Lesznicy, Ruda do zbiornika Rybnik bez Potoków: z Przegędzy i Kamienia", kod - "PLRW6000611489, PLRW60006115651"</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Ruda od źródeł do zb.Rybnickiego", kod - "RW60000611489, RW6000061156519"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Ruda od źródeł do zb.Rybnickiego", kod - "RW60000611489, RW6000061156519"</w:t>
            </w:r>
            <w:r w:rsidRPr="0028666F">
              <w:rPr>
                <w:rFonts w:ascii="Calibri" w:eastAsia="Times New Roman" w:hAnsi="Calibri" w:cs="Calibri"/>
                <w:color w:val="000000"/>
                <w:sz w:val="18"/>
                <w:szCs w:val="18"/>
                <w:lang w:eastAsia="pl-PL"/>
              </w:rPr>
              <w:br/>
              <w:t>Jednolite części wód podziemnych, w obrębie której jest lub będzie realizowana inwestycja lub działanie (kod/kody): "PLGW 6000155, PLGW 6000144"</w:t>
            </w:r>
            <w:r w:rsidRPr="0028666F">
              <w:rPr>
                <w:rFonts w:ascii="Calibri" w:eastAsia="Times New Roman" w:hAnsi="Calibri" w:cs="Calibri"/>
                <w:color w:val="000000"/>
                <w:sz w:val="18"/>
                <w:szCs w:val="18"/>
                <w:lang w:eastAsia="pl-PL"/>
              </w:rPr>
              <w:br/>
              <w:t xml:space="preserve">Jednolite części wód podziemnych objęte potencjalnym zasięgiem oddziaływania inwestycji lub działania (kod/kody): "PLGW 6000155, </w:t>
            </w:r>
            <w:r w:rsidRPr="0028666F">
              <w:rPr>
                <w:rFonts w:ascii="Calibri" w:eastAsia="Times New Roman" w:hAnsi="Calibri" w:cs="Calibri"/>
                <w:color w:val="000000"/>
                <w:sz w:val="18"/>
                <w:szCs w:val="18"/>
                <w:lang w:eastAsia="pl-PL"/>
              </w:rPr>
              <w:br/>
              <w:t>PLGW 6000144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 </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04670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6952B9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259A59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D58BD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05A1C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79850EC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5F1FD0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153</w:t>
            </w:r>
          </w:p>
        </w:tc>
        <w:tc>
          <w:tcPr>
            <w:tcW w:w="970" w:type="dxa"/>
            <w:tcBorders>
              <w:top w:val="nil"/>
              <w:left w:val="nil"/>
              <w:bottom w:val="single" w:sz="4" w:space="0" w:color="auto"/>
              <w:right w:val="nil"/>
            </w:tcBorders>
          </w:tcPr>
          <w:p w14:paraId="5F83FBC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655F219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D977F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80185CC" w14:textId="22B4D4FE"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"Borynia-Zofiówka"</w:t>
            </w:r>
            <w:r w:rsidRPr="0028666F">
              <w:rPr>
                <w:rFonts w:ascii="Calibri" w:eastAsia="Times New Roman" w:hAnsi="Calibri" w:cs="Calibri"/>
                <w:color w:val="000000"/>
                <w:sz w:val="18"/>
                <w:szCs w:val="18"/>
                <w:lang w:eastAsia="pl-PL"/>
              </w:rPr>
              <w:br/>
              <w:t>Nazwa inwestycji lub działania:  "Wydobycie węgla kamiennego i metanu jako kopaliny towarzyszacej ze złoża ""Zofiówka"" na podstawie koncesji nr 5/2010 z dnia 14.05.2010 r. "</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2042-12-3,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 Data wydania decyzji - 24.11.2017 r., Organ wydający decyzję- Regionalny Dyrektor Ochrony Środowiska w Katowicach, Znak - WOOŚ.4235.3.2017.AS3.15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Jastrzębie-Zdrój, wodzisławski, pszczyński</w:t>
            </w:r>
            <w:r w:rsidRPr="0028666F">
              <w:rPr>
                <w:rFonts w:ascii="Calibri" w:eastAsia="Times New Roman" w:hAnsi="Calibri" w:cs="Calibri"/>
                <w:color w:val="000000"/>
                <w:sz w:val="18"/>
                <w:szCs w:val="18"/>
                <w:lang w:eastAsia="pl-PL"/>
              </w:rPr>
              <w:br/>
              <w:t>Gmina (gminy): Jastrzębie-Zdrój, Mszana, Pawłowice</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Jednolite części wód powierzchniowych (według podziału z aPGW z 2016 r.), w obrębie których była zaplanowana inwestycja lub działanie: nazwa- "Szotkówka bez Lesznicy, Piotrówka z dopływami", kod - "PLRW6000611489, PLRW600061146999"</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Piotrówka ", kod - "RW60000611489, RW6000061146999"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Piotrówka ", kod - "RW60000611489, RW6000061146999"</w:t>
            </w:r>
            <w:r w:rsidRPr="0028666F">
              <w:rPr>
                <w:rFonts w:ascii="Calibri" w:eastAsia="Times New Roman" w:hAnsi="Calibri" w:cs="Calibri"/>
                <w:color w:val="000000"/>
                <w:sz w:val="18"/>
                <w:szCs w:val="18"/>
                <w:lang w:eastAsia="pl-PL"/>
              </w:rPr>
              <w:br/>
              <w:t>Jednolite części wód podziemnych, w obrębie której jest lub będzie realizowana inwestycja lub działanie (kod/kody): PLGW6000155</w:t>
            </w:r>
            <w:r w:rsidRPr="0028666F">
              <w:rPr>
                <w:rFonts w:ascii="Calibri" w:eastAsia="Times New Roman" w:hAnsi="Calibri" w:cs="Calibri"/>
                <w:color w:val="000000"/>
                <w:sz w:val="18"/>
                <w:szCs w:val="18"/>
                <w:lang w:eastAsia="pl-PL"/>
              </w:rPr>
              <w:br/>
              <w:t>Jednolite części wód podziemnych objęte potencjalnym zasięgiem oddziaływania inwestycji lub działania (kod/kody): PLGW6000155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D7691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08C6B2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9B3778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4FD9F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0E698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04913B8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94532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154</w:t>
            </w:r>
          </w:p>
        </w:tc>
        <w:tc>
          <w:tcPr>
            <w:tcW w:w="970" w:type="dxa"/>
            <w:tcBorders>
              <w:top w:val="nil"/>
              <w:left w:val="nil"/>
              <w:bottom w:val="single" w:sz="4" w:space="0" w:color="auto"/>
              <w:right w:val="nil"/>
            </w:tcBorders>
          </w:tcPr>
          <w:p w14:paraId="554743B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29FD3B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2D679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8F4F598" w14:textId="7FCB4AF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"Jastrzębie-Bzie"</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"Bzie-Dębina 2 - Zachód" na podstawie koncesji nr 15/2008 z dnia 01.12.2008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2042-12-31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 xml:space="preserve">Decyzja (decyzje) o środowiskowych uwarunkowaniach: Data wydania decyzji: </w:t>
            </w:r>
            <w:r w:rsidRPr="0028666F">
              <w:rPr>
                <w:rFonts w:ascii="Calibri" w:eastAsia="Times New Roman" w:hAnsi="Calibri" w:cs="Calibri"/>
                <w:color w:val="000000"/>
                <w:sz w:val="18"/>
                <w:szCs w:val="18"/>
                <w:lang w:eastAsia="pl-PL"/>
              </w:rPr>
              <w:br/>
              <w:t xml:space="preserve">"10.10.2008 r. </w:t>
            </w:r>
            <w:r w:rsidRPr="0028666F">
              <w:rPr>
                <w:rFonts w:ascii="Calibri" w:eastAsia="Times New Roman" w:hAnsi="Calibri" w:cs="Calibri"/>
                <w:color w:val="000000"/>
                <w:sz w:val="18"/>
                <w:szCs w:val="18"/>
                <w:lang w:eastAsia="pl-PL"/>
              </w:rPr>
              <w:br/>
              <w:t>26.02.2014 r.</w:t>
            </w:r>
            <w:r w:rsidRPr="0028666F">
              <w:rPr>
                <w:rFonts w:ascii="Calibri" w:eastAsia="Times New Roman" w:hAnsi="Calibri" w:cs="Calibri"/>
                <w:color w:val="000000"/>
                <w:sz w:val="18"/>
                <w:szCs w:val="18"/>
                <w:lang w:eastAsia="pl-PL"/>
              </w:rPr>
              <w:br/>
              <w:t>03.07.2018 r."</w:t>
            </w:r>
            <w:r w:rsidRPr="0028666F">
              <w:rPr>
                <w:rFonts w:ascii="Calibri" w:eastAsia="Times New Roman" w:hAnsi="Calibri" w:cs="Calibri"/>
                <w:color w:val="000000"/>
                <w:sz w:val="18"/>
                <w:szCs w:val="18"/>
                <w:lang w:eastAsia="pl-PL"/>
              </w:rPr>
              <w:br/>
              <w:t>Organ wydający decyzję:</w:t>
            </w:r>
            <w:r w:rsidRPr="0028666F">
              <w:rPr>
                <w:rFonts w:ascii="Calibri" w:eastAsia="Times New Roman" w:hAnsi="Calibri" w:cs="Calibri"/>
                <w:color w:val="000000"/>
                <w:sz w:val="18"/>
                <w:szCs w:val="18"/>
                <w:lang w:eastAsia="pl-PL"/>
              </w:rPr>
              <w:br/>
              <w:t>"Prezydent Miasta Jastrzębie-Zdrój</w:t>
            </w:r>
            <w:r w:rsidRPr="0028666F">
              <w:rPr>
                <w:rFonts w:ascii="Calibri" w:eastAsia="Times New Roman" w:hAnsi="Calibri" w:cs="Calibri"/>
                <w:color w:val="000000"/>
                <w:sz w:val="18"/>
                <w:szCs w:val="18"/>
                <w:lang w:eastAsia="pl-PL"/>
              </w:rPr>
              <w:br/>
              <w:t>Prezydent Miasta Jastrzębie-Zdrój</w:t>
            </w:r>
            <w:r w:rsidRPr="0028666F">
              <w:rPr>
                <w:rFonts w:ascii="Calibri" w:eastAsia="Times New Roman" w:hAnsi="Calibri" w:cs="Calibri"/>
                <w:color w:val="000000"/>
                <w:sz w:val="18"/>
                <w:szCs w:val="18"/>
                <w:lang w:eastAsia="pl-PL"/>
              </w:rPr>
              <w:br/>
              <w:t>Regionalny Dyrektor Ochrony Środowiska w Katowicach"</w:t>
            </w:r>
            <w:r w:rsidRPr="0028666F">
              <w:rPr>
                <w:rFonts w:ascii="Calibri" w:eastAsia="Times New Roman" w:hAnsi="Calibri" w:cs="Calibri"/>
                <w:color w:val="000000"/>
                <w:sz w:val="18"/>
                <w:szCs w:val="18"/>
                <w:lang w:eastAsia="pl-PL"/>
              </w:rPr>
              <w:br/>
              <w:t>Znak:</w:t>
            </w:r>
            <w:r w:rsidRPr="0028666F">
              <w:rPr>
                <w:rFonts w:ascii="Calibri" w:eastAsia="Times New Roman" w:hAnsi="Calibri" w:cs="Calibri"/>
                <w:color w:val="000000"/>
                <w:sz w:val="18"/>
                <w:szCs w:val="18"/>
                <w:lang w:eastAsia="pl-PL"/>
              </w:rPr>
              <w:br/>
              <w:t>"OŚ.II.76240-24/08</w:t>
            </w:r>
            <w:r w:rsidRPr="0028666F">
              <w:rPr>
                <w:rFonts w:ascii="Calibri" w:eastAsia="Times New Roman" w:hAnsi="Calibri" w:cs="Calibri"/>
                <w:color w:val="000000"/>
                <w:sz w:val="18"/>
                <w:szCs w:val="18"/>
                <w:lang w:eastAsia="pl-PL"/>
              </w:rPr>
              <w:br/>
              <w:t>OŚ-II.6220.33.2013</w:t>
            </w:r>
            <w:r w:rsidRPr="0028666F">
              <w:rPr>
                <w:rFonts w:ascii="Calibri" w:eastAsia="Times New Roman" w:hAnsi="Calibri" w:cs="Calibri"/>
                <w:color w:val="000000"/>
                <w:sz w:val="18"/>
                <w:szCs w:val="18"/>
                <w:lang w:eastAsia="pl-PL"/>
              </w:rPr>
              <w:br/>
              <w:t>WOOŚ.4235.11.2017.AS3.15"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Jastrzębie-Zdrój</w:t>
            </w:r>
            <w:r w:rsidRPr="0028666F">
              <w:rPr>
                <w:rFonts w:ascii="Calibri" w:eastAsia="Times New Roman" w:hAnsi="Calibri" w:cs="Calibri"/>
                <w:color w:val="000000"/>
                <w:sz w:val="18"/>
                <w:szCs w:val="18"/>
                <w:lang w:eastAsia="pl-PL"/>
              </w:rPr>
              <w:br/>
              <w:t>Gmina (gminy): Jastrzębie-Zdrój</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w:t>
            </w:r>
            <w:r w:rsidRPr="0028666F">
              <w:rPr>
                <w:rFonts w:ascii="Calibri" w:eastAsia="Times New Roman" w:hAnsi="Calibri" w:cs="Calibri"/>
                <w:color w:val="000000"/>
                <w:sz w:val="18"/>
                <w:szCs w:val="18"/>
                <w:lang w:eastAsia="pl-PL"/>
              </w:rPr>
              <w:br/>
              <w:t>nazwa - "Szotkówka bez Lesznicy, Piotrówka z dopływami", kod - "PLRW6000611489, PLRW600061146999"</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Piotrówka ", kod - "RW60000611489, RW6000061146999"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Piotrówka ", kod - "RW60000611489, RW6000061146999"</w:t>
            </w:r>
            <w:r w:rsidRPr="0028666F">
              <w:rPr>
                <w:rFonts w:ascii="Calibri" w:eastAsia="Times New Roman" w:hAnsi="Calibri" w:cs="Calibri"/>
                <w:color w:val="000000"/>
                <w:sz w:val="18"/>
                <w:szCs w:val="18"/>
                <w:lang w:eastAsia="pl-PL"/>
              </w:rPr>
              <w:br/>
              <w:t>Jednolite części wód podziemnych, w obrębie której jest lub będzie realizowana inwestycja lub działanie (kod/kody): PLGW6000155</w:t>
            </w:r>
            <w:r w:rsidRPr="0028666F">
              <w:rPr>
                <w:rFonts w:ascii="Calibri" w:eastAsia="Times New Roman" w:hAnsi="Calibri" w:cs="Calibri"/>
                <w:color w:val="000000"/>
                <w:sz w:val="18"/>
                <w:szCs w:val="18"/>
                <w:lang w:eastAsia="pl-PL"/>
              </w:rPr>
              <w:br/>
              <w:t>Jednolite części wód podziemnych objęte potencjalnym zasięgiem oddziaływania inwestycji lub działania (kod/kody): PLGW6000155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87E8E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0A1F4D8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DEDD6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53C7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12ADD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6580682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2A5366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155</w:t>
            </w:r>
          </w:p>
        </w:tc>
        <w:tc>
          <w:tcPr>
            <w:tcW w:w="970" w:type="dxa"/>
            <w:tcBorders>
              <w:top w:val="nil"/>
              <w:left w:val="nil"/>
              <w:bottom w:val="single" w:sz="4" w:space="0" w:color="auto"/>
              <w:right w:val="nil"/>
            </w:tcBorders>
          </w:tcPr>
          <w:p w14:paraId="27250C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535D405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7B6D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91F04AB" w14:textId="2DDBDA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ype="page"/>
              <w:t xml:space="preserve">Charakterystyka planowanej inwestycji lub działania </w:t>
            </w:r>
            <w:r w:rsidRPr="0028666F">
              <w:rPr>
                <w:rFonts w:ascii="Calibri" w:eastAsia="Times New Roman" w:hAnsi="Calibri" w:cs="Calibri"/>
                <w:color w:val="000000"/>
                <w:sz w:val="18"/>
                <w:szCs w:val="18"/>
                <w:lang w:eastAsia="pl-PL"/>
              </w:rPr>
              <w:br w:type="page"/>
              <w:t>Inwestor lub podmiot realizujący: JSW S.A. KWK "Jastrzębie-Bzie"</w:t>
            </w:r>
            <w:r w:rsidRPr="0028666F">
              <w:rPr>
                <w:rFonts w:ascii="Calibri" w:eastAsia="Times New Roman" w:hAnsi="Calibri" w:cs="Calibri"/>
                <w:color w:val="000000"/>
                <w:sz w:val="18"/>
                <w:szCs w:val="18"/>
                <w:lang w:eastAsia="pl-PL"/>
              </w:rPr>
              <w:br w:type="page"/>
              <w:t>Nazwa inwestycji lub działania: Wydobycie węgla kamiennego i metanu jako kopaliny towarzyszącej ze złoża "Bzie -Dębina 1 - Zachód" na podstawie koncesji nr 2/2019 z dnia 23.05.2019 r.</w:t>
            </w:r>
            <w:r w:rsidRPr="0028666F">
              <w:rPr>
                <w:rFonts w:ascii="Calibri" w:eastAsia="Times New Roman" w:hAnsi="Calibri" w:cs="Calibri"/>
                <w:color w:val="000000"/>
                <w:sz w:val="18"/>
                <w:szCs w:val="18"/>
                <w:lang w:eastAsia="pl-PL"/>
              </w:rPr>
              <w:br w:type="page"/>
              <w:t>Nazwa inwestycji wg aPGW z 2016 r. (lub: nie dotyczy); nie dotyczy</w:t>
            </w:r>
            <w:r w:rsidRPr="0028666F">
              <w:rPr>
                <w:rFonts w:ascii="Calibri" w:eastAsia="Times New Roman" w:hAnsi="Calibri" w:cs="Calibri"/>
                <w:color w:val="000000"/>
                <w:sz w:val="18"/>
                <w:szCs w:val="18"/>
                <w:lang w:eastAsia="pl-PL"/>
              </w:rPr>
              <w:br w:type="page"/>
              <w:t>ID inwestycji lub działania wg aPGW z 2016 r. (lub: nie dotyczy): nie dotyczy</w:t>
            </w:r>
            <w:r w:rsidRPr="0028666F">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ype="page"/>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ype="page"/>
              <w:t>Data zakończenia inwestycji lub działania (planowana lub rzeczywista): 2051-12-31 planowana</w:t>
            </w:r>
            <w:r w:rsidRPr="0028666F">
              <w:rPr>
                <w:rFonts w:ascii="Calibri" w:eastAsia="Times New Roman" w:hAnsi="Calibri" w:cs="Calibri"/>
                <w:color w:val="000000"/>
                <w:sz w:val="18"/>
                <w:szCs w:val="18"/>
                <w:lang w:eastAsia="pl-PL"/>
              </w:rPr>
              <w:br w:type="page"/>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ype="page"/>
              <w:t>Decyzja (decyzje) o środowiskowych uwarunkowaniach:</w:t>
            </w:r>
            <w:r w:rsidRPr="0028666F">
              <w:rPr>
                <w:rFonts w:ascii="Calibri" w:eastAsia="Times New Roman" w:hAnsi="Calibri" w:cs="Calibri"/>
                <w:color w:val="000000"/>
                <w:sz w:val="18"/>
                <w:szCs w:val="18"/>
                <w:lang w:eastAsia="pl-PL"/>
              </w:rPr>
              <w:br w:type="page"/>
              <w:t>Data wydania decyzji: 29.06.2018r., Organ wydający decyzję: Regionalny Dyrektor Ochrony Środowiska w Katowicach, Znak: WOOŚ.4235.10.2016.KC.33</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Lokalizacja planowanej inwestycji lub działania </w:t>
            </w:r>
            <w:r w:rsidRPr="0028666F">
              <w:rPr>
                <w:rFonts w:ascii="Calibri" w:eastAsia="Times New Roman" w:hAnsi="Calibri" w:cs="Calibri"/>
                <w:color w:val="000000"/>
                <w:sz w:val="18"/>
                <w:szCs w:val="18"/>
                <w:lang w:eastAsia="pl-PL"/>
              </w:rPr>
              <w:br w:type="page"/>
              <w:t>Województwo (województwa): śląskie</w:t>
            </w:r>
            <w:r w:rsidRPr="0028666F">
              <w:rPr>
                <w:rFonts w:ascii="Calibri" w:eastAsia="Times New Roman" w:hAnsi="Calibri" w:cs="Calibri"/>
                <w:color w:val="000000"/>
                <w:sz w:val="18"/>
                <w:szCs w:val="18"/>
                <w:lang w:eastAsia="pl-PL"/>
              </w:rPr>
              <w:br w:type="page"/>
              <w:t>Powiat (powiaty): Jastrzębie-Zdrój, pszczyński, cieszyński</w:t>
            </w:r>
            <w:r w:rsidRPr="0028666F">
              <w:rPr>
                <w:rFonts w:ascii="Calibri" w:eastAsia="Times New Roman" w:hAnsi="Calibri" w:cs="Calibri"/>
                <w:color w:val="000000"/>
                <w:sz w:val="18"/>
                <w:szCs w:val="18"/>
                <w:lang w:eastAsia="pl-PL"/>
              </w:rPr>
              <w:br w:type="page"/>
              <w:t>Gmina (gminy): Jastrzębie-Zdrój, Pawłowice, Zebrzydowice</w:t>
            </w:r>
            <w:r w:rsidRPr="0028666F">
              <w:rPr>
                <w:rFonts w:ascii="Calibri" w:eastAsia="Times New Roman" w:hAnsi="Calibri" w:cs="Calibri"/>
                <w:color w:val="000000"/>
                <w:sz w:val="18"/>
                <w:szCs w:val="18"/>
                <w:lang w:eastAsia="pl-PL"/>
              </w:rPr>
              <w:br w:type="page"/>
              <w:t>Dorzecze: Odry</w:t>
            </w:r>
            <w:r w:rsidRPr="0028666F">
              <w:rPr>
                <w:rFonts w:ascii="Calibri" w:eastAsia="Times New Roman" w:hAnsi="Calibri" w:cs="Calibri"/>
                <w:color w:val="000000"/>
                <w:sz w:val="18"/>
                <w:szCs w:val="18"/>
                <w:lang w:eastAsia="pl-PL"/>
              </w:rPr>
              <w:br w:type="page"/>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ype="page"/>
              <w:t xml:space="preserve">Jednolite części wód powierzchniowych (według podziału z aPGW z 2016 r.), w obrębie których była zaplanowana inwestycja lub działanie: nazwa- </w:t>
            </w:r>
            <w:r w:rsidRPr="0028666F">
              <w:rPr>
                <w:rFonts w:ascii="Calibri" w:eastAsia="Times New Roman" w:hAnsi="Calibri" w:cs="Calibri"/>
                <w:color w:val="000000"/>
                <w:sz w:val="18"/>
                <w:szCs w:val="18"/>
                <w:lang w:eastAsia="pl-PL"/>
              </w:rPr>
              <w:br w:type="page"/>
              <w:t>Piotrówka z dopływami, kod - PLRW600061146999</w:t>
            </w:r>
            <w:r w:rsidRPr="0028666F">
              <w:rPr>
                <w:rFonts w:ascii="Calibri" w:eastAsia="Times New Roman" w:hAnsi="Calibri" w:cs="Calibri"/>
                <w:color w:val="000000"/>
                <w:sz w:val="18"/>
                <w:szCs w:val="18"/>
                <w:lang w:eastAsia="pl-PL"/>
              </w:rPr>
              <w:br w:type="page"/>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Piotrówka, kod - RW6000061146999</w:t>
            </w:r>
            <w:r w:rsidRPr="0028666F">
              <w:rPr>
                <w:rFonts w:ascii="Calibri" w:eastAsia="Times New Roman" w:hAnsi="Calibri" w:cs="Calibri"/>
                <w:color w:val="000000"/>
                <w:sz w:val="18"/>
                <w:szCs w:val="18"/>
                <w:lang w:eastAsia="pl-PL"/>
              </w:rPr>
              <w:br w:type="page"/>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Piotrówka, kod - RW6000061146999</w:t>
            </w:r>
            <w:r w:rsidRPr="0028666F">
              <w:rPr>
                <w:rFonts w:ascii="Calibri" w:eastAsia="Times New Roman" w:hAnsi="Calibri" w:cs="Calibri"/>
                <w:color w:val="000000"/>
                <w:sz w:val="18"/>
                <w:szCs w:val="18"/>
                <w:lang w:eastAsia="pl-PL"/>
              </w:rPr>
              <w:br w:type="page"/>
              <w:t>Jednolite części wód podziemnych, w obrębie której jest lub będzie realizowana inwestycja lub działanie (kod/kody): PLGW6000155</w:t>
            </w:r>
            <w:r w:rsidRPr="0028666F">
              <w:rPr>
                <w:rFonts w:ascii="Calibri" w:eastAsia="Times New Roman" w:hAnsi="Calibri" w:cs="Calibri"/>
                <w:color w:val="000000"/>
                <w:sz w:val="18"/>
                <w:szCs w:val="18"/>
                <w:lang w:eastAsia="pl-PL"/>
              </w:rPr>
              <w:br w:type="page"/>
              <w:t>Jednolite części wód podziemnych objęte potencjalnym zasięgiem oddziaływania inwestycji lub działania (kod/kody): PLGW6000155</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ype="page"/>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ype="page"/>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ype="page"/>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ype="page"/>
              <w:t>- zagospodarowania niewykorzystanych wód z odwodnienia kopalń Grupy poprzez:</w:t>
            </w:r>
            <w:r w:rsidRPr="0028666F">
              <w:rPr>
                <w:rFonts w:ascii="Calibri" w:eastAsia="Times New Roman" w:hAnsi="Calibri" w:cs="Calibri"/>
                <w:color w:val="000000"/>
                <w:sz w:val="18"/>
                <w:szCs w:val="18"/>
                <w:lang w:eastAsia="pl-PL"/>
              </w:rPr>
              <w:br w:type="page"/>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ype="page"/>
              <w:t xml:space="preserve">  - odsalanie w zakładzie odsalania w Dębieńsku (kopalnia „Budryk”),</w:t>
            </w:r>
            <w:r w:rsidRPr="0028666F">
              <w:rPr>
                <w:rFonts w:ascii="Calibri" w:eastAsia="Times New Roman" w:hAnsi="Calibri" w:cs="Calibri"/>
                <w:color w:val="000000"/>
                <w:sz w:val="18"/>
                <w:szCs w:val="18"/>
                <w:lang w:eastAsia="pl-PL"/>
              </w:rPr>
              <w:br w:type="page"/>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ype="page"/>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ype="page"/>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ype="page"/>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ype="page"/>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ype="page"/>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ype="page"/>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ype="page"/>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ype="page"/>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ype="page"/>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ype="page"/>
              <w:t>Wobec powyższego należy uznać, że rozwój przemysłu wydobywczego leży w interesie społecznym."</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ype="page"/>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ype="page"/>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ype="page"/>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0602C7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33BE69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2AE64A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FC33A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FAC06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2869865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2996F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156</w:t>
            </w:r>
          </w:p>
        </w:tc>
        <w:tc>
          <w:tcPr>
            <w:tcW w:w="970" w:type="dxa"/>
            <w:tcBorders>
              <w:top w:val="nil"/>
              <w:left w:val="nil"/>
              <w:bottom w:val="single" w:sz="4" w:space="0" w:color="auto"/>
              <w:right w:val="nil"/>
            </w:tcBorders>
          </w:tcPr>
          <w:p w14:paraId="7891249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7334E0A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9AA0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D1620B3" w14:textId="54762F8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"Jastrzębie-Bzie"</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"Jastrzębie 1" na podstawie koncesji nr 1/2019 z dnia 05.02.2019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Data zakończenia inwestycji lub działania (planowana lub rzeczywista): 2025-12-31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 xml:space="preserve">Decyzja (decyzje) o środowiskowych uwarunkowaniach: </w:t>
            </w:r>
            <w:r w:rsidRPr="0028666F">
              <w:rPr>
                <w:rFonts w:ascii="Calibri" w:eastAsia="Times New Roman" w:hAnsi="Calibri" w:cs="Calibri"/>
                <w:color w:val="000000"/>
                <w:sz w:val="18"/>
                <w:szCs w:val="18"/>
                <w:lang w:eastAsia="pl-PL"/>
              </w:rPr>
              <w:br/>
              <w:t>Data wydania decyzji: 02.10.2018 r.</w:t>
            </w:r>
            <w:r w:rsidRPr="0028666F">
              <w:rPr>
                <w:rFonts w:ascii="Calibri" w:eastAsia="Times New Roman" w:hAnsi="Calibri" w:cs="Calibri"/>
                <w:color w:val="000000"/>
                <w:sz w:val="18"/>
                <w:szCs w:val="18"/>
                <w:lang w:eastAsia="pl-PL"/>
              </w:rPr>
              <w:br/>
              <w:t>Organ wydający decyzję: Regionalny Dyrektor Ochrony Środowiska w Katowicach</w:t>
            </w:r>
            <w:r w:rsidRPr="0028666F">
              <w:rPr>
                <w:rFonts w:ascii="Calibri" w:eastAsia="Times New Roman" w:hAnsi="Calibri" w:cs="Calibri"/>
                <w:color w:val="000000"/>
                <w:sz w:val="18"/>
                <w:szCs w:val="18"/>
                <w:lang w:eastAsia="pl-PL"/>
              </w:rPr>
              <w:br/>
              <w:t>Znak: WOOŚ.4235.10.2017.AS3.13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Jastrzębie-Zdrój, wodzisławski</w:t>
            </w:r>
            <w:r w:rsidRPr="0028666F">
              <w:rPr>
                <w:rFonts w:ascii="Calibri" w:eastAsia="Times New Roman" w:hAnsi="Calibri" w:cs="Calibri"/>
                <w:color w:val="000000"/>
                <w:sz w:val="18"/>
                <w:szCs w:val="18"/>
                <w:lang w:eastAsia="pl-PL"/>
              </w:rPr>
              <w:br/>
              <w:t>Gmina (gminy): Jastrzębie-Zdrój, Mszana</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w:t>
            </w:r>
            <w:r w:rsidRPr="0028666F">
              <w:rPr>
                <w:rFonts w:ascii="Calibri" w:eastAsia="Times New Roman" w:hAnsi="Calibri" w:cs="Calibri"/>
                <w:color w:val="000000"/>
                <w:sz w:val="18"/>
                <w:szCs w:val="18"/>
                <w:lang w:eastAsia="pl-PL"/>
              </w:rPr>
              <w:br/>
              <w:t xml:space="preserve">nazwa - Szotkówka bez Lesznicy, kod - PLRW6000611489, </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kod - RW60000611489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 nazwa - Szotkówka, kod - RW60000611489</w:t>
            </w:r>
            <w:r w:rsidRPr="0028666F">
              <w:rPr>
                <w:rFonts w:ascii="Calibri" w:eastAsia="Times New Roman" w:hAnsi="Calibri" w:cs="Calibri"/>
                <w:color w:val="000000"/>
                <w:sz w:val="18"/>
                <w:szCs w:val="18"/>
                <w:lang w:eastAsia="pl-PL"/>
              </w:rPr>
              <w:br/>
              <w:t>Jednolite części wód podziemnych, w obrębie której jest lub będzie realizowana inwestycja lub działanie (kod/kody): PLGW6000155</w:t>
            </w:r>
            <w:r w:rsidRPr="0028666F">
              <w:rPr>
                <w:rFonts w:ascii="Calibri" w:eastAsia="Times New Roman" w:hAnsi="Calibri" w:cs="Calibri"/>
                <w:color w:val="000000"/>
                <w:sz w:val="18"/>
                <w:szCs w:val="18"/>
                <w:lang w:eastAsia="pl-PL"/>
              </w:rPr>
              <w:br/>
              <w:t>Jednolite części wód podziemnych objęte potencjalnym zasięgiem oddziaływania inwestycji lub działania (kod/kody): PLGW6000155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4F12D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637B87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1512F8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3D0A8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6CC58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3DEC1B7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354C18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157</w:t>
            </w:r>
          </w:p>
        </w:tc>
        <w:tc>
          <w:tcPr>
            <w:tcW w:w="970" w:type="dxa"/>
            <w:tcBorders>
              <w:top w:val="nil"/>
              <w:left w:val="nil"/>
              <w:bottom w:val="single" w:sz="4" w:space="0" w:color="auto"/>
              <w:right w:val="nil"/>
            </w:tcBorders>
          </w:tcPr>
          <w:p w14:paraId="1590474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5B0B71B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11579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FE8DA28" w14:textId="2C372D9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"Budryk"</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"Budryk" na podstawie koncesji nr 13/94 z dnia 23.03.1994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2043-12-31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w:t>
            </w:r>
            <w:r w:rsidRPr="0028666F">
              <w:rPr>
                <w:rFonts w:ascii="Calibri" w:eastAsia="Times New Roman" w:hAnsi="Calibri" w:cs="Calibri"/>
                <w:color w:val="000000"/>
                <w:sz w:val="18"/>
                <w:szCs w:val="18"/>
                <w:lang w:eastAsia="pl-PL"/>
              </w:rPr>
              <w:br/>
              <w:t>Data wydania decyzji: 02.07.2018 r.</w:t>
            </w:r>
            <w:r w:rsidRPr="0028666F">
              <w:rPr>
                <w:rFonts w:ascii="Calibri" w:eastAsia="Times New Roman" w:hAnsi="Calibri" w:cs="Calibri"/>
                <w:color w:val="000000"/>
                <w:sz w:val="18"/>
                <w:szCs w:val="18"/>
                <w:lang w:eastAsia="pl-PL"/>
              </w:rPr>
              <w:br/>
              <w:t>Organ wydający decyzję: Regionalny Dyrektor Ochrony Środowiska w Katowicach</w:t>
            </w:r>
            <w:r w:rsidRPr="0028666F">
              <w:rPr>
                <w:rFonts w:ascii="Calibri" w:eastAsia="Times New Roman" w:hAnsi="Calibri" w:cs="Calibri"/>
                <w:color w:val="000000"/>
                <w:sz w:val="18"/>
                <w:szCs w:val="18"/>
                <w:lang w:eastAsia="pl-PL"/>
              </w:rPr>
              <w:br/>
              <w:t>Znak: WOOŚ.4235.7.2017.MK2.19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mikołowski, gliwicki, rybnicki</w:t>
            </w:r>
            <w:r w:rsidRPr="0028666F">
              <w:rPr>
                <w:rFonts w:ascii="Calibri" w:eastAsia="Times New Roman" w:hAnsi="Calibri" w:cs="Calibri"/>
                <w:color w:val="000000"/>
                <w:sz w:val="18"/>
                <w:szCs w:val="18"/>
                <w:lang w:eastAsia="pl-PL"/>
              </w:rPr>
              <w:br/>
              <w:t>Gmina (gminy): Ornontowice, Gierałtowice, Mikołów, Knurów, Czerwionka-Leszczyny</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ZAKŁADU ODSALANIA w Dębieńsku na podstawie umowy zawartej z PGWiR S.A. Jastrzębie- Zdrój</w:t>
            </w:r>
            <w:r w:rsidRPr="0028666F">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"Bierawka do Knurówki włącznie (bez Dopływu z Podlesia i Potoku Szczygłowickiego),</w:t>
            </w:r>
            <w:r w:rsidRPr="0028666F">
              <w:rPr>
                <w:rFonts w:ascii="Calibri" w:eastAsia="Times New Roman" w:hAnsi="Calibri" w:cs="Calibri"/>
                <w:color w:val="000000"/>
                <w:sz w:val="18"/>
                <w:szCs w:val="18"/>
                <w:lang w:eastAsia="pl-PL"/>
              </w:rPr>
              <w:br/>
              <w:t>Potok Szczygłowicki,</w:t>
            </w:r>
            <w:r w:rsidRPr="0028666F">
              <w:rPr>
                <w:rFonts w:ascii="Calibri" w:eastAsia="Times New Roman" w:hAnsi="Calibri" w:cs="Calibri"/>
                <w:color w:val="000000"/>
                <w:sz w:val="18"/>
                <w:szCs w:val="18"/>
                <w:lang w:eastAsia="pl-PL"/>
              </w:rPr>
              <w:br/>
              <w:t>Jasienica do Ornontowickiego Potoku włącznie</w:t>
            </w:r>
            <w:r w:rsidRPr="0028666F">
              <w:rPr>
                <w:rFonts w:ascii="Calibri" w:eastAsia="Times New Roman" w:hAnsi="Calibri" w:cs="Calibri"/>
                <w:color w:val="000000"/>
                <w:sz w:val="18"/>
                <w:szCs w:val="18"/>
                <w:lang w:eastAsia="pl-PL"/>
              </w:rPr>
              <w:br/>
              <w:t>Jasienica od Ornontowickiego Potoku do ujścia, Kłodnica od Promnej do Kozłówki,</w:t>
            </w:r>
            <w:r w:rsidRPr="0028666F">
              <w:rPr>
                <w:rFonts w:ascii="Calibri" w:eastAsia="Times New Roman" w:hAnsi="Calibri" w:cs="Calibri"/>
                <w:color w:val="000000"/>
                <w:sz w:val="18"/>
                <w:szCs w:val="18"/>
                <w:lang w:eastAsia="pl-PL"/>
              </w:rPr>
              <w:br/>
              <w:t>Kłodnica do Promnej (bez),</w:t>
            </w:r>
            <w:r w:rsidRPr="0028666F">
              <w:rPr>
                <w:rFonts w:ascii="Calibri" w:eastAsia="Times New Roman" w:hAnsi="Calibri" w:cs="Calibri"/>
                <w:color w:val="000000"/>
                <w:sz w:val="18"/>
                <w:szCs w:val="18"/>
                <w:lang w:eastAsia="pl-PL"/>
              </w:rPr>
              <w:br/>
              <w:t>Promna"</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"PLRW60006115838, PLRW600061158329,</w:t>
            </w:r>
            <w:r w:rsidRPr="0028666F">
              <w:rPr>
                <w:rFonts w:ascii="Calibri" w:eastAsia="Times New Roman" w:hAnsi="Calibri" w:cs="Calibri"/>
                <w:color w:val="000000"/>
                <w:sz w:val="18"/>
                <w:szCs w:val="18"/>
                <w:lang w:eastAsia="pl-PL"/>
              </w:rPr>
              <w:br/>
              <w:t>PLRW600061162299</w:t>
            </w:r>
            <w:r w:rsidRPr="0028666F">
              <w:rPr>
                <w:rFonts w:ascii="Calibri" w:eastAsia="Times New Roman" w:hAnsi="Calibri" w:cs="Calibri"/>
                <w:color w:val="000000"/>
                <w:sz w:val="18"/>
                <w:szCs w:val="18"/>
                <w:lang w:eastAsia="pl-PL"/>
              </w:rPr>
              <w:br/>
              <w:t xml:space="preserve">PLRW6000611629, </w:t>
            </w:r>
            <w:r w:rsidRPr="0028666F">
              <w:rPr>
                <w:rFonts w:ascii="Calibri" w:eastAsia="Times New Roman" w:hAnsi="Calibri" w:cs="Calibri"/>
                <w:color w:val="000000"/>
                <w:sz w:val="18"/>
                <w:szCs w:val="18"/>
                <w:lang w:eastAsia="pl-PL"/>
              </w:rPr>
              <w:br/>
              <w:t xml:space="preserve">PLRW6000911655, </w:t>
            </w:r>
            <w:r w:rsidRPr="0028666F">
              <w:rPr>
                <w:rFonts w:ascii="Calibri" w:eastAsia="Times New Roman" w:hAnsi="Calibri" w:cs="Calibri"/>
                <w:color w:val="000000"/>
                <w:sz w:val="18"/>
                <w:szCs w:val="18"/>
                <w:lang w:eastAsia="pl-PL"/>
              </w:rPr>
              <w:br/>
              <w:t>PLRW60006116159,</w:t>
            </w:r>
            <w:r w:rsidRPr="0028666F">
              <w:rPr>
                <w:rFonts w:ascii="Calibri" w:eastAsia="Times New Roman" w:hAnsi="Calibri" w:cs="Calibri"/>
                <w:color w:val="000000"/>
                <w:sz w:val="18"/>
                <w:szCs w:val="18"/>
                <w:lang w:eastAsia="pl-PL"/>
              </w:rPr>
              <w:br/>
              <w:t>PLRW6000611616"</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"Bierawka od źródeł do Knurówki wraz z Knurówką</w:t>
            </w:r>
            <w:r w:rsidRPr="0028666F">
              <w:rPr>
                <w:rFonts w:ascii="Calibri" w:eastAsia="Times New Roman" w:hAnsi="Calibri" w:cs="Calibri"/>
                <w:color w:val="000000"/>
                <w:sz w:val="18"/>
                <w:szCs w:val="18"/>
                <w:lang w:eastAsia="pl-PL"/>
              </w:rPr>
              <w:br/>
              <w:t xml:space="preserve">Jasienica </w:t>
            </w:r>
            <w:r w:rsidRPr="0028666F">
              <w:rPr>
                <w:rFonts w:ascii="Calibri" w:eastAsia="Times New Roman" w:hAnsi="Calibri" w:cs="Calibri"/>
                <w:color w:val="000000"/>
                <w:sz w:val="18"/>
                <w:szCs w:val="18"/>
                <w:lang w:eastAsia="pl-PL"/>
              </w:rPr>
              <w:br/>
              <w:t>Kłodnica od Promnej do zb. Dzierżno Duże</w:t>
            </w:r>
            <w:r w:rsidRPr="0028666F">
              <w:rPr>
                <w:rFonts w:ascii="Calibri" w:eastAsia="Times New Roman" w:hAnsi="Calibri" w:cs="Calibri"/>
                <w:color w:val="000000"/>
                <w:sz w:val="18"/>
                <w:szCs w:val="18"/>
                <w:lang w:eastAsia="pl-PL"/>
              </w:rPr>
              <w:br/>
              <w:t>Kłodnica od źródeł do Promnej"</w:t>
            </w:r>
            <w:r w:rsidRPr="0028666F">
              <w:rPr>
                <w:rFonts w:ascii="Calibri" w:eastAsia="Times New Roman" w:hAnsi="Calibri" w:cs="Calibri"/>
                <w:color w:val="000000"/>
                <w:sz w:val="18"/>
                <w:szCs w:val="18"/>
                <w:lang w:eastAsia="pl-PL"/>
              </w:rPr>
              <w:br/>
              <w:t xml:space="preserve">kod: </w:t>
            </w:r>
            <w:r w:rsidRPr="0028666F">
              <w:rPr>
                <w:rFonts w:ascii="Calibri" w:eastAsia="Times New Roman" w:hAnsi="Calibri" w:cs="Calibri"/>
                <w:color w:val="000000"/>
                <w:sz w:val="18"/>
                <w:szCs w:val="18"/>
                <w:lang w:eastAsia="pl-PL"/>
              </w:rPr>
              <w:br/>
              <w:t>"RW600006115835</w:t>
            </w:r>
            <w:r w:rsidRPr="0028666F">
              <w:rPr>
                <w:rFonts w:ascii="Calibri" w:eastAsia="Times New Roman" w:hAnsi="Calibri" w:cs="Calibri"/>
                <w:color w:val="000000"/>
                <w:sz w:val="18"/>
                <w:szCs w:val="18"/>
                <w:lang w:eastAsia="pl-PL"/>
              </w:rPr>
              <w:br/>
              <w:t xml:space="preserve">RW60000644785 </w:t>
            </w:r>
            <w:r w:rsidRPr="0028666F">
              <w:rPr>
                <w:rFonts w:ascii="Calibri" w:eastAsia="Times New Roman" w:hAnsi="Calibri" w:cs="Calibri"/>
                <w:color w:val="000000"/>
                <w:sz w:val="18"/>
                <w:szCs w:val="18"/>
                <w:lang w:eastAsia="pl-PL"/>
              </w:rPr>
              <w:br/>
              <w:t>RW6000061165739</w:t>
            </w:r>
            <w:r w:rsidRPr="0028666F">
              <w:rPr>
                <w:rFonts w:ascii="Calibri" w:eastAsia="Times New Roman" w:hAnsi="Calibri" w:cs="Calibri"/>
                <w:color w:val="000000"/>
                <w:sz w:val="18"/>
                <w:szCs w:val="18"/>
                <w:lang w:eastAsia="pl-PL"/>
              </w:rPr>
              <w:br/>
              <w:t>RW600006116159"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w:t>
            </w:r>
            <w:r w:rsidRPr="0028666F">
              <w:rPr>
                <w:rFonts w:ascii="Calibri" w:eastAsia="Times New Roman" w:hAnsi="Calibri" w:cs="Calibri"/>
                <w:color w:val="000000"/>
                <w:sz w:val="18"/>
                <w:szCs w:val="18"/>
                <w:lang w:eastAsia="pl-PL"/>
              </w:rPr>
              <w:br/>
              <w:t>Bierawka od źródeł do Knurówki wraz z Knurówką</w:t>
            </w:r>
            <w:r w:rsidRPr="0028666F">
              <w:rPr>
                <w:rFonts w:ascii="Calibri" w:eastAsia="Times New Roman" w:hAnsi="Calibri" w:cs="Calibri"/>
                <w:color w:val="000000"/>
                <w:sz w:val="18"/>
                <w:szCs w:val="18"/>
                <w:lang w:eastAsia="pl-PL"/>
              </w:rPr>
              <w:br/>
              <w:t xml:space="preserve">Jasienica  </w:t>
            </w:r>
            <w:r w:rsidRPr="0028666F">
              <w:rPr>
                <w:rFonts w:ascii="Calibri" w:eastAsia="Times New Roman" w:hAnsi="Calibri" w:cs="Calibri"/>
                <w:color w:val="000000"/>
                <w:sz w:val="18"/>
                <w:szCs w:val="18"/>
                <w:lang w:eastAsia="pl-PL"/>
              </w:rPr>
              <w:br/>
              <w:t>Kłodnica od źródeł do Promnej"</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"RW600006115835</w:t>
            </w:r>
            <w:r w:rsidRPr="0028666F">
              <w:rPr>
                <w:rFonts w:ascii="Calibri" w:eastAsia="Times New Roman" w:hAnsi="Calibri" w:cs="Calibri"/>
                <w:color w:val="000000"/>
                <w:sz w:val="18"/>
                <w:szCs w:val="18"/>
                <w:lang w:eastAsia="pl-PL"/>
              </w:rPr>
              <w:br/>
              <w:t xml:space="preserve">RW60000644785 </w:t>
            </w:r>
            <w:r w:rsidRPr="0028666F">
              <w:rPr>
                <w:rFonts w:ascii="Calibri" w:eastAsia="Times New Roman" w:hAnsi="Calibri" w:cs="Calibri"/>
                <w:color w:val="000000"/>
                <w:sz w:val="18"/>
                <w:szCs w:val="18"/>
                <w:lang w:eastAsia="pl-PL"/>
              </w:rPr>
              <w:br/>
              <w:t>RW600006116159"</w:t>
            </w:r>
            <w:r w:rsidRPr="0028666F">
              <w:rPr>
                <w:rFonts w:ascii="Calibri" w:eastAsia="Times New Roman" w:hAnsi="Calibri" w:cs="Calibri"/>
                <w:color w:val="000000"/>
                <w:sz w:val="18"/>
                <w:szCs w:val="18"/>
                <w:lang w:eastAsia="pl-PL"/>
              </w:rPr>
              <w:br/>
              <w:t xml:space="preserve">Jednolite części wód podziemnych, w obrębie której jest lub będzie realizowana inwestycja lub działanie (kod/kody): PLGW6000143,  PLGW6000129 </w:t>
            </w:r>
            <w:r w:rsidRPr="0028666F">
              <w:rPr>
                <w:rFonts w:ascii="Calibri" w:eastAsia="Times New Roman" w:hAnsi="Calibri" w:cs="Calibri"/>
                <w:color w:val="000000"/>
                <w:sz w:val="18"/>
                <w:szCs w:val="18"/>
                <w:lang w:eastAsia="pl-PL"/>
              </w:rPr>
              <w:br/>
              <w:t xml:space="preserve">Jednolite części wód podziemnych objęte potencjalnym zasięgiem oddziaływania inwestycji lub działania (kod/kody): PLGW6000143, PLGW6000129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305E5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4450CF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B2863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788F4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C1BB4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7449780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5E65B7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158</w:t>
            </w:r>
          </w:p>
        </w:tc>
        <w:tc>
          <w:tcPr>
            <w:tcW w:w="970" w:type="dxa"/>
            <w:tcBorders>
              <w:top w:val="nil"/>
              <w:left w:val="nil"/>
              <w:bottom w:val="single" w:sz="4" w:space="0" w:color="auto"/>
              <w:right w:val="nil"/>
            </w:tcBorders>
          </w:tcPr>
          <w:p w14:paraId="114F45F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293BB98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34904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335CCEB" w14:textId="3CE3237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"Budryk"</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"Chudów-Paniowy 1" na podstawie koncesji nr 3/2005 z dnia 18.04.2005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2044-12-31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w:t>
            </w:r>
            <w:r w:rsidRPr="0028666F">
              <w:rPr>
                <w:rFonts w:ascii="Calibri" w:eastAsia="Times New Roman" w:hAnsi="Calibri" w:cs="Calibri"/>
                <w:color w:val="000000"/>
                <w:sz w:val="18"/>
                <w:szCs w:val="18"/>
                <w:lang w:eastAsia="pl-PL"/>
              </w:rPr>
              <w:br/>
              <w:t>Data wydania decyzji: 30.11.2016 r.</w:t>
            </w:r>
            <w:r w:rsidRPr="0028666F">
              <w:rPr>
                <w:rFonts w:ascii="Calibri" w:eastAsia="Times New Roman" w:hAnsi="Calibri" w:cs="Calibri"/>
                <w:color w:val="000000"/>
                <w:sz w:val="18"/>
                <w:szCs w:val="18"/>
                <w:lang w:eastAsia="pl-PL"/>
              </w:rPr>
              <w:br/>
              <w:t>Organ wydający decyzję: Regionalny Dyrektor Ochrony Środowiska w Katowicach</w:t>
            </w:r>
            <w:r w:rsidRPr="0028666F">
              <w:rPr>
                <w:rFonts w:ascii="Calibri" w:eastAsia="Times New Roman" w:hAnsi="Calibri" w:cs="Calibri"/>
                <w:color w:val="000000"/>
                <w:sz w:val="18"/>
                <w:szCs w:val="18"/>
                <w:lang w:eastAsia="pl-PL"/>
              </w:rPr>
              <w:br/>
              <w:t>Znak: WOOŚ.4235.1.2016.AM.13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mikołowski</w:t>
            </w:r>
            <w:r w:rsidRPr="0028666F">
              <w:rPr>
                <w:rFonts w:ascii="Calibri" w:eastAsia="Times New Roman" w:hAnsi="Calibri" w:cs="Calibri"/>
                <w:color w:val="000000"/>
                <w:sz w:val="18"/>
                <w:szCs w:val="18"/>
                <w:lang w:eastAsia="pl-PL"/>
              </w:rPr>
              <w:br/>
              <w:t>Gmina (gminy): Mikołów</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ZAKŁADU ODSALANIA w Dębieńsku na podstawie umowy zawartej z PGWiR S.A. Jastrzębie- Zdrój</w:t>
            </w:r>
            <w:r w:rsidRPr="0028666F">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"Jasienica do Ornontowickiego Potoku włącznie,</w:t>
            </w:r>
            <w:r w:rsidRPr="0028666F">
              <w:rPr>
                <w:rFonts w:ascii="Calibri" w:eastAsia="Times New Roman" w:hAnsi="Calibri" w:cs="Calibri"/>
                <w:color w:val="000000"/>
                <w:sz w:val="18"/>
                <w:szCs w:val="18"/>
                <w:lang w:eastAsia="pl-PL"/>
              </w:rPr>
              <w:br/>
              <w:t>Promna"</w:t>
            </w:r>
            <w:r w:rsidRPr="0028666F">
              <w:rPr>
                <w:rFonts w:ascii="Calibri" w:eastAsia="Times New Roman" w:hAnsi="Calibri" w:cs="Calibri"/>
                <w:color w:val="000000"/>
                <w:sz w:val="18"/>
                <w:szCs w:val="18"/>
                <w:lang w:eastAsia="pl-PL"/>
              </w:rPr>
              <w:br/>
              <w:t xml:space="preserve">kod: </w:t>
            </w:r>
            <w:r w:rsidRPr="0028666F">
              <w:rPr>
                <w:rFonts w:ascii="Calibri" w:eastAsia="Times New Roman" w:hAnsi="Calibri" w:cs="Calibri"/>
                <w:color w:val="000000"/>
                <w:sz w:val="18"/>
                <w:szCs w:val="18"/>
                <w:lang w:eastAsia="pl-PL"/>
              </w:rPr>
              <w:br/>
              <w:t>"PLRW600061162299,</w:t>
            </w:r>
            <w:r w:rsidRPr="0028666F">
              <w:rPr>
                <w:rFonts w:ascii="Calibri" w:eastAsia="Times New Roman" w:hAnsi="Calibri" w:cs="Calibri"/>
                <w:color w:val="000000"/>
                <w:sz w:val="18"/>
                <w:szCs w:val="18"/>
                <w:lang w:eastAsia="pl-PL"/>
              </w:rPr>
              <w:br/>
              <w:t>PLRW6000611616"</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 xml:space="preserve">nazwa: </w:t>
            </w:r>
            <w:r w:rsidRPr="0028666F">
              <w:rPr>
                <w:rFonts w:ascii="Calibri" w:eastAsia="Times New Roman" w:hAnsi="Calibri" w:cs="Calibri"/>
                <w:color w:val="000000"/>
                <w:sz w:val="18"/>
                <w:szCs w:val="18"/>
                <w:lang w:eastAsia="pl-PL"/>
              </w:rPr>
              <w:br/>
              <w:t xml:space="preserve">"Jasienica </w:t>
            </w:r>
            <w:r w:rsidRPr="0028666F">
              <w:rPr>
                <w:rFonts w:ascii="Calibri" w:eastAsia="Times New Roman" w:hAnsi="Calibri" w:cs="Calibri"/>
                <w:color w:val="000000"/>
                <w:sz w:val="18"/>
                <w:szCs w:val="18"/>
                <w:lang w:eastAsia="pl-PL"/>
              </w:rPr>
              <w:br/>
              <w:t>Kłodnica od źródeł do Promnej"</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"RW60000644785</w:t>
            </w:r>
            <w:r w:rsidRPr="0028666F">
              <w:rPr>
                <w:rFonts w:ascii="Calibri" w:eastAsia="Times New Roman" w:hAnsi="Calibri" w:cs="Calibri"/>
                <w:color w:val="000000"/>
                <w:sz w:val="18"/>
                <w:szCs w:val="18"/>
                <w:lang w:eastAsia="pl-PL"/>
              </w:rPr>
              <w:br/>
              <w:t>RW600006116159"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 xml:space="preserve">"Jasienica </w:t>
            </w:r>
            <w:r w:rsidRPr="0028666F">
              <w:rPr>
                <w:rFonts w:ascii="Calibri" w:eastAsia="Times New Roman" w:hAnsi="Calibri" w:cs="Calibri"/>
                <w:color w:val="000000"/>
                <w:sz w:val="18"/>
                <w:szCs w:val="18"/>
                <w:lang w:eastAsia="pl-PL"/>
              </w:rPr>
              <w:br/>
              <w:t>Kłodnica od źródeł do Promnej"</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"RW60000644785</w:t>
            </w:r>
            <w:r w:rsidRPr="0028666F">
              <w:rPr>
                <w:rFonts w:ascii="Calibri" w:eastAsia="Times New Roman" w:hAnsi="Calibri" w:cs="Calibri"/>
                <w:color w:val="000000"/>
                <w:sz w:val="18"/>
                <w:szCs w:val="18"/>
                <w:lang w:eastAsia="pl-PL"/>
              </w:rPr>
              <w:br/>
              <w:t>RW600006116159"</w:t>
            </w:r>
            <w:r w:rsidRPr="0028666F">
              <w:rPr>
                <w:rFonts w:ascii="Calibri" w:eastAsia="Times New Roman" w:hAnsi="Calibri" w:cs="Calibri"/>
                <w:color w:val="000000"/>
                <w:sz w:val="18"/>
                <w:szCs w:val="18"/>
                <w:lang w:eastAsia="pl-PL"/>
              </w:rPr>
              <w:br/>
              <w:t xml:space="preserve">Jednolite części wód podziemnych, w obrębie której jest lub będzie realizowana inwestycja lub działanie (kod/kody): PLGW6000129 </w:t>
            </w:r>
            <w:r w:rsidRPr="0028666F">
              <w:rPr>
                <w:rFonts w:ascii="Calibri" w:eastAsia="Times New Roman" w:hAnsi="Calibri" w:cs="Calibri"/>
                <w:color w:val="000000"/>
                <w:sz w:val="18"/>
                <w:szCs w:val="18"/>
                <w:lang w:eastAsia="pl-PL"/>
              </w:rPr>
              <w:br/>
              <w:t xml:space="preserve">Jednolite części wód podziemnych objęte potencjalnym zasięgiem oddziaływania inwestycji lub działania (kod/kody): PLGW6000129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20324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5DAE10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79BC6A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46D7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4C067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1B30239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18E954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159</w:t>
            </w:r>
          </w:p>
        </w:tc>
        <w:tc>
          <w:tcPr>
            <w:tcW w:w="970" w:type="dxa"/>
            <w:tcBorders>
              <w:top w:val="nil"/>
              <w:left w:val="nil"/>
              <w:bottom w:val="single" w:sz="4" w:space="0" w:color="auto"/>
              <w:right w:val="nil"/>
            </w:tcBorders>
          </w:tcPr>
          <w:p w14:paraId="1602DFC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074F943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2F68B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750A9D3" w14:textId="7CDEA50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ype="page"/>
              <w:t xml:space="preserve">Charakterystyka planowanej inwestycji lub działania </w:t>
            </w:r>
            <w:r w:rsidRPr="0028666F">
              <w:rPr>
                <w:rFonts w:ascii="Calibri" w:eastAsia="Times New Roman" w:hAnsi="Calibri" w:cs="Calibri"/>
                <w:color w:val="000000"/>
                <w:sz w:val="18"/>
                <w:szCs w:val="18"/>
                <w:lang w:eastAsia="pl-PL"/>
              </w:rPr>
              <w:br w:type="page"/>
              <w:t>Inwestor lub podmiot realizujący: JSW S.A. KWK "Knurów-Szczygłowice"</w:t>
            </w:r>
            <w:r w:rsidRPr="0028666F">
              <w:rPr>
                <w:rFonts w:ascii="Calibri" w:eastAsia="Times New Roman" w:hAnsi="Calibri" w:cs="Calibri"/>
                <w:color w:val="000000"/>
                <w:sz w:val="18"/>
                <w:szCs w:val="18"/>
                <w:lang w:eastAsia="pl-PL"/>
              </w:rPr>
              <w:br w:type="page"/>
              <w:t>Nazwa inwestycji lub działania: Wydobycie węgla kamiennego i metanu jako kopaliny towarzyszącej z części złoża "Szczygłowice"  na podstawie koncesji nr 4/2019 z dnia 30.08.2019 r. (obowiązauje od 01.01.2020 r.)</w:t>
            </w:r>
            <w:r w:rsidRPr="0028666F">
              <w:rPr>
                <w:rFonts w:ascii="Calibri" w:eastAsia="Times New Roman" w:hAnsi="Calibri" w:cs="Calibri"/>
                <w:color w:val="000000"/>
                <w:sz w:val="18"/>
                <w:szCs w:val="18"/>
                <w:lang w:eastAsia="pl-PL"/>
              </w:rPr>
              <w:br w:type="page"/>
              <w:t>Nazwa inwestycji wg aPGW z 2016 r. (lub: nie dotyczy): nie dotyczy</w:t>
            </w:r>
            <w:r w:rsidRPr="0028666F">
              <w:rPr>
                <w:rFonts w:ascii="Calibri" w:eastAsia="Times New Roman" w:hAnsi="Calibri" w:cs="Calibri"/>
                <w:color w:val="000000"/>
                <w:sz w:val="18"/>
                <w:szCs w:val="18"/>
                <w:lang w:eastAsia="pl-PL"/>
              </w:rPr>
              <w:br w:type="page"/>
              <w:t>ID inwestycji lub działania wg aPGW z 2016 r. (lub: nie dotyczy): nie dotyczy</w:t>
            </w:r>
            <w:r w:rsidRPr="0028666F">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ype="page"/>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ype="page"/>
              <w:t>Data zakończenia inwestycji lub działania (planowana lub rzeczywista): 2040-12-31 planowana</w:t>
            </w:r>
            <w:r w:rsidRPr="0028666F">
              <w:rPr>
                <w:rFonts w:ascii="Calibri" w:eastAsia="Times New Roman" w:hAnsi="Calibri" w:cs="Calibri"/>
                <w:color w:val="000000"/>
                <w:sz w:val="18"/>
                <w:szCs w:val="18"/>
                <w:lang w:eastAsia="pl-PL"/>
              </w:rPr>
              <w:br w:type="page"/>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ype="page"/>
              <w:t>Decyzja (decyzje) o środowiskowych uwarunkowaniach:</w:t>
            </w:r>
            <w:r w:rsidRPr="0028666F">
              <w:rPr>
                <w:rFonts w:ascii="Calibri" w:eastAsia="Times New Roman" w:hAnsi="Calibri" w:cs="Calibri"/>
                <w:color w:val="000000"/>
                <w:sz w:val="18"/>
                <w:szCs w:val="18"/>
                <w:lang w:eastAsia="pl-PL"/>
              </w:rPr>
              <w:br w:type="page"/>
              <w:t>Data wydania decyzji: 29.05.2018 r.</w:t>
            </w:r>
            <w:r w:rsidRPr="0028666F">
              <w:rPr>
                <w:rFonts w:ascii="Calibri" w:eastAsia="Times New Roman" w:hAnsi="Calibri" w:cs="Calibri"/>
                <w:color w:val="000000"/>
                <w:sz w:val="18"/>
                <w:szCs w:val="18"/>
                <w:lang w:eastAsia="pl-PL"/>
              </w:rPr>
              <w:br w:type="page"/>
              <w:t>Organ wydający decyzję: Regionalny Dyrektor Ochrony Środowiska w Katowicach</w:t>
            </w:r>
            <w:r w:rsidRPr="0028666F">
              <w:rPr>
                <w:rFonts w:ascii="Calibri" w:eastAsia="Times New Roman" w:hAnsi="Calibri" w:cs="Calibri"/>
                <w:color w:val="000000"/>
                <w:sz w:val="18"/>
                <w:szCs w:val="18"/>
                <w:lang w:eastAsia="pl-PL"/>
              </w:rPr>
              <w:br w:type="page"/>
              <w:t>Znak: WOOŚ.4235.5.2017.KM.20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Lokalizacja planowanej inwestycji lub działania </w:t>
            </w:r>
            <w:r w:rsidRPr="0028666F">
              <w:rPr>
                <w:rFonts w:ascii="Calibri" w:eastAsia="Times New Roman" w:hAnsi="Calibri" w:cs="Calibri"/>
                <w:color w:val="000000"/>
                <w:sz w:val="18"/>
                <w:szCs w:val="18"/>
                <w:lang w:eastAsia="pl-PL"/>
              </w:rPr>
              <w:br w:type="page"/>
              <w:t>Województwo (województwa): śląskie</w:t>
            </w:r>
            <w:r w:rsidRPr="0028666F">
              <w:rPr>
                <w:rFonts w:ascii="Calibri" w:eastAsia="Times New Roman" w:hAnsi="Calibri" w:cs="Calibri"/>
                <w:color w:val="000000"/>
                <w:sz w:val="18"/>
                <w:szCs w:val="18"/>
                <w:lang w:eastAsia="pl-PL"/>
              </w:rPr>
              <w:br w:type="page"/>
              <w:t>Powiat (powiaty): "gliwicki, rybnicki"</w:t>
            </w:r>
            <w:r w:rsidRPr="0028666F">
              <w:rPr>
                <w:rFonts w:ascii="Calibri" w:eastAsia="Times New Roman" w:hAnsi="Calibri" w:cs="Calibri"/>
                <w:color w:val="000000"/>
                <w:sz w:val="18"/>
                <w:szCs w:val="18"/>
                <w:lang w:eastAsia="pl-PL"/>
              </w:rPr>
              <w:br w:type="page"/>
              <w:t>Gmina (gminy): "Pilchowice, Czerwionka-Leszczyny, Knurów"</w:t>
            </w:r>
            <w:r w:rsidRPr="0028666F">
              <w:rPr>
                <w:rFonts w:ascii="Calibri" w:eastAsia="Times New Roman" w:hAnsi="Calibri" w:cs="Calibri"/>
                <w:color w:val="000000"/>
                <w:sz w:val="18"/>
                <w:szCs w:val="18"/>
                <w:lang w:eastAsia="pl-PL"/>
              </w:rPr>
              <w:br w:type="page"/>
              <w:t>Dorzecze: Odry</w:t>
            </w:r>
            <w:r w:rsidRPr="0028666F">
              <w:rPr>
                <w:rFonts w:ascii="Calibri" w:eastAsia="Times New Roman" w:hAnsi="Calibri" w:cs="Calibri"/>
                <w:color w:val="000000"/>
                <w:sz w:val="18"/>
                <w:szCs w:val="18"/>
                <w:lang w:eastAsia="pl-PL"/>
              </w:rPr>
              <w:br w:type="page"/>
              <w:t>Ciek lub zbiornik wodny (nazwa lub "nie dotyczy"): Wody dołowe - Potok Książenicki, rzeka Bierawka</w:t>
            </w:r>
            <w:r w:rsidRPr="0028666F">
              <w:rPr>
                <w:rFonts w:ascii="Calibri" w:eastAsia="Times New Roman" w:hAnsi="Calibri" w:cs="Calibri"/>
                <w:color w:val="000000"/>
                <w:sz w:val="18"/>
                <w:szCs w:val="18"/>
                <w:lang w:eastAsia="pl-PL"/>
              </w:rPr>
              <w:br w:type="page"/>
              <w:t>Jednolite części wód powierzchniowych (według podziału z aPGW z 2016 r.), w obrębie których była zaplanowana inwestycja lub działanie:</w:t>
            </w:r>
            <w:r w:rsidRPr="0028666F">
              <w:rPr>
                <w:rFonts w:ascii="Calibri" w:eastAsia="Times New Roman" w:hAnsi="Calibri" w:cs="Calibri"/>
                <w:color w:val="000000"/>
                <w:sz w:val="18"/>
                <w:szCs w:val="18"/>
                <w:lang w:eastAsia="pl-PL"/>
              </w:rPr>
              <w:br w:type="page"/>
              <w:t>nazwa:</w:t>
            </w:r>
            <w:r w:rsidRPr="0028666F">
              <w:rPr>
                <w:rFonts w:ascii="Calibri" w:eastAsia="Times New Roman" w:hAnsi="Calibri" w:cs="Calibri"/>
                <w:color w:val="000000"/>
                <w:sz w:val="18"/>
                <w:szCs w:val="18"/>
                <w:lang w:eastAsia="pl-PL"/>
              </w:rPr>
              <w:br w:type="page"/>
              <w:t>"Bierawka do Knurówki włącznie (bez Dopływu z Podlesia i Potoku Szczygłowickiego),</w:t>
            </w:r>
            <w:r w:rsidRPr="0028666F">
              <w:rPr>
                <w:rFonts w:ascii="Calibri" w:eastAsia="Times New Roman" w:hAnsi="Calibri" w:cs="Calibri"/>
                <w:color w:val="000000"/>
                <w:sz w:val="18"/>
                <w:szCs w:val="18"/>
                <w:lang w:eastAsia="pl-PL"/>
              </w:rPr>
              <w:br w:type="page"/>
              <w:t>Potok Szczygłowicki"</w:t>
            </w:r>
            <w:r w:rsidRPr="0028666F">
              <w:rPr>
                <w:rFonts w:ascii="Calibri" w:eastAsia="Times New Roman" w:hAnsi="Calibri" w:cs="Calibri"/>
                <w:color w:val="000000"/>
                <w:sz w:val="18"/>
                <w:szCs w:val="18"/>
                <w:lang w:eastAsia="pl-PL"/>
              </w:rPr>
              <w:br w:type="page"/>
              <w:t>kod:</w:t>
            </w:r>
            <w:r w:rsidRPr="0028666F">
              <w:rPr>
                <w:rFonts w:ascii="Calibri" w:eastAsia="Times New Roman" w:hAnsi="Calibri" w:cs="Calibri"/>
                <w:color w:val="000000"/>
                <w:sz w:val="18"/>
                <w:szCs w:val="18"/>
                <w:lang w:eastAsia="pl-PL"/>
              </w:rPr>
              <w:br w:type="page"/>
              <w:t xml:space="preserve">"PLRW60006115838  </w:t>
            </w:r>
            <w:r w:rsidRPr="0028666F">
              <w:rPr>
                <w:rFonts w:ascii="Calibri" w:eastAsia="Times New Roman" w:hAnsi="Calibri" w:cs="Calibri"/>
                <w:color w:val="000000"/>
                <w:sz w:val="18"/>
                <w:szCs w:val="18"/>
                <w:lang w:eastAsia="pl-PL"/>
              </w:rPr>
              <w:br w:type="page"/>
              <w:t>PLRW600061158329 "</w:t>
            </w:r>
            <w:r w:rsidRPr="0028666F">
              <w:rPr>
                <w:rFonts w:ascii="Calibri" w:eastAsia="Times New Roman" w:hAnsi="Calibri" w:cs="Calibri"/>
                <w:color w:val="000000"/>
                <w:sz w:val="18"/>
                <w:szCs w:val="18"/>
                <w:lang w:eastAsia="pl-PL"/>
              </w:rPr>
              <w:br w:type="page"/>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ype="page"/>
              <w:t>nazwa: Bierawka od źródeł do Knurówki wraz z Knurówką</w:t>
            </w:r>
            <w:r w:rsidRPr="0028666F">
              <w:rPr>
                <w:rFonts w:ascii="Calibri" w:eastAsia="Times New Roman" w:hAnsi="Calibri" w:cs="Calibri"/>
                <w:color w:val="000000"/>
                <w:sz w:val="18"/>
                <w:szCs w:val="18"/>
                <w:lang w:eastAsia="pl-PL"/>
              </w:rPr>
              <w:br w:type="page"/>
              <w:t xml:space="preserve">kod: RW600006115835 </w:t>
            </w:r>
            <w:r w:rsidRPr="0028666F">
              <w:rPr>
                <w:rFonts w:ascii="Calibri" w:eastAsia="Times New Roman" w:hAnsi="Calibri" w:cs="Calibri"/>
                <w:color w:val="000000"/>
                <w:sz w:val="18"/>
                <w:szCs w:val="18"/>
                <w:lang w:eastAsia="pl-PL"/>
              </w:rPr>
              <w:br w:type="page"/>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ype="page"/>
              <w:t>nazwa: Bierawka od źródeł do Knurówki wraz z Knurówką</w:t>
            </w:r>
            <w:r w:rsidRPr="0028666F">
              <w:rPr>
                <w:rFonts w:ascii="Calibri" w:eastAsia="Times New Roman" w:hAnsi="Calibri" w:cs="Calibri"/>
                <w:color w:val="000000"/>
                <w:sz w:val="18"/>
                <w:szCs w:val="18"/>
                <w:lang w:eastAsia="pl-PL"/>
              </w:rPr>
              <w:br w:type="page"/>
              <w:t xml:space="preserve">kod: RW600006115835 </w:t>
            </w:r>
            <w:r w:rsidRPr="0028666F">
              <w:rPr>
                <w:rFonts w:ascii="Calibri" w:eastAsia="Times New Roman" w:hAnsi="Calibri" w:cs="Calibri"/>
                <w:color w:val="000000"/>
                <w:sz w:val="18"/>
                <w:szCs w:val="18"/>
                <w:lang w:eastAsia="pl-PL"/>
              </w:rPr>
              <w:br w:type="page"/>
              <w:t xml:space="preserve">Jednolite części wód podziemnych, w obrębie której jest lub będzie realizowana inwestycja lub działanie (kod/kody): PLGW6000143 </w:t>
            </w:r>
            <w:r w:rsidRPr="0028666F">
              <w:rPr>
                <w:rFonts w:ascii="Calibri" w:eastAsia="Times New Roman" w:hAnsi="Calibri" w:cs="Calibri"/>
                <w:color w:val="000000"/>
                <w:sz w:val="18"/>
                <w:szCs w:val="18"/>
                <w:lang w:eastAsia="pl-PL"/>
              </w:rPr>
              <w:br w:type="page"/>
              <w:t xml:space="preserve">Jednolite części wód podziemnych objęte potencjalnym zasięgiem oddziaływania inwestycji lub działania (kod/kody): PLGW6000143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ype="page"/>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ype="page"/>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ype="page"/>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ype="page"/>
              <w:t>- zagospodarowania niewykorzystanych wód z odwodnienia kopalń Grupy poprzez:</w:t>
            </w:r>
            <w:r w:rsidRPr="0028666F">
              <w:rPr>
                <w:rFonts w:ascii="Calibri" w:eastAsia="Times New Roman" w:hAnsi="Calibri" w:cs="Calibri"/>
                <w:color w:val="000000"/>
                <w:sz w:val="18"/>
                <w:szCs w:val="18"/>
                <w:lang w:eastAsia="pl-PL"/>
              </w:rPr>
              <w:br w:type="page"/>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ype="page"/>
              <w:t xml:space="preserve">  - odsalanie w zakładzie odsalania w Dębieńsku (kopalnia „Budryk”),</w:t>
            </w:r>
            <w:r w:rsidRPr="0028666F">
              <w:rPr>
                <w:rFonts w:ascii="Calibri" w:eastAsia="Times New Roman" w:hAnsi="Calibri" w:cs="Calibri"/>
                <w:color w:val="000000"/>
                <w:sz w:val="18"/>
                <w:szCs w:val="18"/>
                <w:lang w:eastAsia="pl-PL"/>
              </w:rPr>
              <w:br w:type="page"/>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ype="page"/>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ype="page"/>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ype="page"/>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ype="page"/>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ype="page"/>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ype="page"/>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ype="page"/>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ype="page"/>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ype="page"/>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ype="page"/>
              <w:t>Wobec powyższego należy uznać, że rozwój przemysłu wydobywczego leży w interesie społecznym."</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28666F">
              <w:rPr>
                <w:rFonts w:ascii="Calibri" w:eastAsia="Times New Roman" w:hAnsi="Calibri" w:cs="Calibri"/>
                <w:color w:val="000000"/>
                <w:sz w:val="18"/>
                <w:szCs w:val="18"/>
                <w:lang w:eastAsia="pl-PL"/>
              </w:rPr>
              <w:br w:type="page"/>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ype="page"/>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ype="page"/>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0C8FBE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018AF1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A723C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B774B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A8995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32DB93D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D292E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160</w:t>
            </w:r>
          </w:p>
        </w:tc>
        <w:tc>
          <w:tcPr>
            <w:tcW w:w="970" w:type="dxa"/>
            <w:tcBorders>
              <w:top w:val="nil"/>
              <w:left w:val="nil"/>
              <w:bottom w:val="single" w:sz="4" w:space="0" w:color="auto"/>
              <w:right w:val="nil"/>
            </w:tcBorders>
          </w:tcPr>
          <w:p w14:paraId="4959839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0A1A77D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4739B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210A49B" w14:textId="01CF2D7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"Knurów-Szczygłowice"</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"Knurów" na podstawie koncesji nr 60/94 z dnia 21.04.1994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2044-04-15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w:t>
            </w:r>
            <w:r w:rsidRPr="0028666F">
              <w:rPr>
                <w:rFonts w:ascii="Calibri" w:eastAsia="Times New Roman" w:hAnsi="Calibri" w:cs="Calibri"/>
                <w:color w:val="000000"/>
                <w:sz w:val="18"/>
                <w:szCs w:val="18"/>
                <w:lang w:eastAsia="pl-PL"/>
              </w:rPr>
              <w:br/>
              <w:t>Data wydania decyzji: 06.11.2017 r.</w:t>
            </w:r>
            <w:r w:rsidRPr="0028666F">
              <w:rPr>
                <w:rFonts w:ascii="Calibri" w:eastAsia="Times New Roman" w:hAnsi="Calibri" w:cs="Calibri"/>
                <w:color w:val="000000"/>
                <w:sz w:val="18"/>
                <w:szCs w:val="18"/>
                <w:lang w:eastAsia="pl-PL"/>
              </w:rPr>
              <w:br/>
              <w:t>Organ wydający decyzję: Regionalny Dyrektor Ochrony Środowiska w Katowicach</w:t>
            </w:r>
            <w:r w:rsidRPr="0028666F">
              <w:rPr>
                <w:rFonts w:ascii="Calibri" w:eastAsia="Times New Roman" w:hAnsi="Calibri" w:cs="Calibri"/>
                <w:color w:val="000000"/>
                <w:sz w:val="18"/>
                <w:szCs w:val="18"/>
                <w:lang w:eastAsia="pl-PL"/>
              </w:rPr>
              <w:br/>
              <w:t>Znak: WOOŚ.4235.14.2016.KM.23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"gliwicki, rybnicki, mikołowski"</w:t>
            </w:r>
            <w:r w:rsidRPr="0028666F">
              <w:rPr>
                <w:rFonts w:ascii="Calibri" w:eastAsia="Times New Roman" w:hAnsi="Calibri" w:cs="Calibri"/>
                <w:color w:val="000000"/>
                <w:sz w:val="18"/>
                <w:szCs w:val="18"/>
                <w:lang w:eastAsia="pl-PL"/>
              </w:rPr>
              <w:br/>
              <w:t>Gmina (gminy): Knurów, Gliwice, Czerwionka-Leszczyny, Pilchowice, Gierałtowice, Ornontowice</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 xml:space="preserve">Ciek lub zbiornik wodny (nazwa lub "nie dotyczy"): Wody dołowe -Czarnawka, Bierawka, </w:t>
            </w:r>
            <w:r w:rsidRPr="0028666F">
              <w:rPr>
                <w:rFonts w:ascii="Calibri" w:eastAsia="Times New Roman" w:hAnsi="Calibri" w:cs="Calibri"/>
                <w:color w:val="000000"/>
                <w:sz w:val="18"/>
                <w:szCs w:val="18"/>
                <w:lang w:eastAsia="pl-PL"/>
              </w:rPr>
              <w:br/>
              <w:t>Jednolite części wód powierzchniowych (według podziału z aPGW z 2016 r.), w obrębie których była zaplanowana inwestycja lub działanie:</w:t>
            </w:r>
            <w:r w:rsidRPr="0028666F">
              <w:rPr>
                <w:rFonts w:ascii="Calibri" w:eastAsia="Times New Roman" w:hAnsi="Calibri" w:cs="Calibri"/>
                <w:color w:val="000000"/>
                <w:sz w:val="18"/>
                <w:szCs w:val="18"/>
                <w:lang w:eastAsia="pl-PL"/>
              </w:rPr>
              <w:br/>
              <w:t xml:space="preserve">nazwa: </w:t>
            </w:r>
            <w:r w:rsidRPr="0028666F">
              <w:rPr>
                <w:rFonts w:ascii="Calibri" w:eastAsia="Times New Roman" w:hAnsi="Calibri" w:cs="Calibri"/>
                <w:color w:val="000000"/>
                <w:sz w:val="18"/>
                <w:szCs w:val="18"/>
                <w:lang w:eastAsia="pl-PL"/>
              </w:rPr>
              <w:br/>
              <w:t>"Bierawka od Knurówki do ujścia,</w:t>
            </w:r>
            <w:r w:rsidRPr="0028666F">
              <w:rPr>
                <w:rFonts w:ascii="Calibri" w:eastAsia="Times New Roman" w:hAnsi="Calibri" w:cs="Calibri"/>
                <w:color w:val="000000"/>
                <w:sz w:val="18"/>
                <w:szCs w:val="18"/>
                <w:lang w:eastAsia="pl-PL"/>
              </w:rPr>
              <w:br/>
              <w:t>Bierawka do Knurówki włącznie (bez Dopływu z Podlesia i Potoku Szczygłowickiego),</w:t>
            </w:r>
            <w:r w:rsidRPr="0028666F">
              <w:rPr>
                <w:rFonts w:ascii="Calibri" w:eastAsia="Times New Roman" w:hAnsi="Calibri" w:cs="Calibri"/>
                <w:color w:val="000000"/>
                <w:sz w:val="18"/>
                <w:szCs w:val="18"/>
                <w:lang w:eastAsia="pl-PL"/>
              </w:rPr>
              <w:br/>
              <w:t>Potok Szczygłowicki,</w:t>
            </w:r>
            <w:r w:rsidRPr="0028666F">
              <w:rPr>
                <w:rFonts w:ascii="Calibri" w:eastAsia="Times New Roman" w:hAnsi="Calibri" w:cs="Calibri"/>
                <w:color w:val="000000"/>
                <w:sz w:val="18"/>
                <w:szCs w:val="18"/>
                <w:lang w:eastAsia="pl-PL"/>
              </w:rPr>
              <w:br/>
              <w:t>Jasienica do Ornontowickiego Potoku włącznie"</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"PLRW600019115899,</w:t>
            </w:r>
            <w:r w:rsidRPr="0028666F">
              <w:rPr>
                <w:rFonts w:ascii="Calibri" w:eastAsia="Times New Roman" w:hAnsi="Calibri" w:cs="Calibri"/>
                <w:color w:val="000000"/>
                <w:sz w:val="18"/>
                <w:szCs w:val="18"/>
                <w:lang w:eastAsia="pl-PL"/>
              </w:rPr>
              <w:br/>
              <w:t xml:space="preserve">PLRW60006115838, </w:t>
            </w:r>
            <w:r w:rsidRPr="0028666F">
              <w:rPr>
                <w:rFonts w:ascii="Calibri" w:eastAsia="Times New Roman" w:hAnsi="Calibri" w:cs="Calibri"/>
                <w:color w:val="000000"/>
                <w:sz w:val="18"/>
                <w:szCs w:val="18"/>
                <w:lang w:eastAsia="pl-PL"/>
              </w:rPr>
              <w:br/>
              <w:t>PLRW600061158329,</w:t>
            </w:r>
            <w:r w:rsidRPr="0028666F">
              <w:rPr>
                <w:rFonts w:ascii="Calibri" w:eastAsia="Times New Roman" w:hAnsi="Calibri" w:cs="Calibri"/>
                <w:color w:val="000000"/>
                <w:sz w:val="18"/>
                <w:szCs w:val="18"/>
                <w:lang w:eastAsia="pl-PL"/>
              </w:rPr>
              <w:br/>
              <w:t>PLRW600061162299"</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"Bierawka od Knurówki do ujścia</w:t>
            </w:r>
            <w:r w:rsidRPr="0028666F">
              <w:rPr>
                <w:rFonts w:ascii="Calibri" w:eastAsia="Times New Roman" w:hAnsi="Calibri" w:cs="Calibri"/>
                <w:color w:val="000000"/>
                <w:sz w:val="18"/>
                <w:szCs w:val="18"/>
                <w:lang w:eastAsia="pl-PL"/>
              </w:rPr>
              <w:br/>
              <w:t>Bierawka od źródeł do Knurówki wraz z Knurówką</w:t>
            </w:r>
            <w:r w:rsidRPr="0028666F">
              <w:rPr>
                <w:rFonts w:ascii="Calibri" w:eastAsia="Times New Roman" w:hAnsi="Calibri" w:cs="Calibri"/>
                <w:color w:val="000000"/>
                <w:sz w:val="18"/>
                <w:szCs w:val="18"/>
                <w:lang w:eastAsia="pl-PL"/>
              </w:rPr>
              <w:br/>
              <w:t>Jasienica "</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"RW600011115899</w:t>
            </w:r>
            <w:r w:rsidRPr="0028666F">
              <w:rPr>
                <w:rFonts w:ascii="Calibri" w:eastAsia="Times New Roman" w:hAnsi="Calibri" w:cs="Calibri"/>
                <w:color w:val="000000"/>
                <w:sz w:val="18"/>
                <w:szCs w:val="18"/>
                <w:lang w:eastAsia="pl-PL"/>
              </w:rPr>
              <w:br/>
              <w:t>RW600006115835</w:t>
            </w:r>
            <w:r w:rsidRPr="0028666F">
              <w:rPr>
                <w:rFonts w:ascii="Calibri" w:eastAsia="Times New Roman" w:hAnsi="Calibri" w:cs="Calibri"/>
                <w:color w:val="000000"/>
                <w:sz w:val="18"/>
                <w:szCs w:val="18"/>
                <w:lang w:eastAsia="pl-PL"/>
              </w:rPr>
              <w:br/>
              <w:t>RW60000644785"</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w:t>
            </w:r>
            <w:r w:rsidRPr="0028666F">
              <w:rPr>
                <w:rFonts w:ascii="Calibri" w:eastAsia="Times New Roman" w:hAnsi="Calibri" w:cs="Calibri"/>
                <w:color w:val="000000"/>
                <w:sz w:val="18"/>
                <w:szCs w:val="18"/>
                <w:lang w:eastAsia="pl-PL"/>
              </w:rPr>
              <w:br/>
              <w:t>"Bierawka od Knurówki do ujścia</w:t>
            </w:r>
            <w:r w:rsidRPr="0028666F">
              <w:rPr>
                <w:rFonts w:ascii="Calibri" w:eastAsia="Times New Roman" w:hAnsi="Calibri" w:cs="Calibri"/>
                <w:color w:val="000000"/>
                <w:sz w:val="18"/>
                <w:szCs w:val="18"/>
                <w:lang w:eastAsia="pl-PL"/>
              </w:rPr>
              <w:br/>
              <w:t>Bierawka od źródeł do Knurówki wraz z Knurówką</w:t>
            </w:r>
            <w:r w:rsidRPr="0028666F">
              <w:rPr>
                <w:rFonts w:ascii="Calibri" w:eastAsia="Times New Roman" w:hAnsi="Calibri" w:cs="Calibri"/>
                <w:color w:val="000000"/>
                <w:sz w:val="18"/>
                <w:szCs w:val="18"/>
                <w:lang w:eastAsia="pl-PL"/>
              </w:rPr>
              <w:br/>
              <w:t>Jasienica "</w:t>
            </w:r>
            <w:r w:rsidRPr="0028666F">
              <w:rPr>
                <w:rFonts w:ascii="Calibri" w:eastAsia="Times New Roman" w:hAnsi="Calibri" w:cs="Calibri"/>
                <w:color w:val="000000"/>
                <w:sz w:val="18"/>
                <w:szCs w:val="18"/>
                <w:lang w:eastAsia="pl-PL"/>
              </w:rPr>
              <w:br/>
              <w:t>kod:</w:t>
            </w:r>
            <w:r w:rsidRPr="0028666F">
              <w:rPr>
                <w:rFonts w:ascii="Calibri" w:eastAsia="Times New Roman" w:hAnsi="Calibri" w:cs="Calibri"/>
                <w:color w:val="000000"/>
                <w:sz w:val="18"/>
                <w:szCs w:val="18"/>
                <w:lang w:eastAsia="pl-PL"/>
              </w:rPr>
              <w:br/>
              <w:t>"RW600011115899</w:t>
            </w:r>
            <w:r w:rsidRPr="0028666F">
              <w:rPr>
                <w:rFonts w:ascii="Calibri" w:eastAsia="Times New Roman" w:hAnsi="Calibri" w:cs="Calibri"/>
                <w:color w:val="000000"/>
                <w:sz w:val="18"/>
                <w:szCs w:val="18"/>
                <w:lang w:eastAsia="pl-PL"/>
              </w:rPr>
              <w:br/>
              <w:t>RW600006115835</w:t>
            </w:r>
            <w:r w:rsidRPr="0028666F">
              <w:rPr>
                <w:rFonts w:ascii="Calibri" w:eastAsia="Times New Roman" w:hAnsi="Calibri" w:cs="Calibri"/>
                <w:color w:val="000000"/>
                <w:sz w:val="18"/>
                <w:szCs w:val="18"/>
                <w:lang w:eastAsia="pl-PL"/>
              </w:rPr>
              <w:br/>
              <w:t>RW60000644785"</w:t>
            </w:r>
            <w:r w:rsidRPr="0028666F">
              <w:rPr>
                <w:rFonts w:ascii="Calibri" w:eastAsia="Times New Roman" w:hAnsi="Calibri" w:cs="Calibri"/>
                <w:color w:val="000000"/>
                <w:sz w:val="18"/>
                <w:szCs w:val="18"/>
                <w:lang w:eastAsia="pl-PL"/>
              </w:rPr>
              <w:br/>
              <w:t xml:space="preserve">Jednolite części wód podziemnych, w obrębie której jest lub będzie realizowana inwestycja lub działanie (kod/kody): PLGW6000143, PLGW6000129 </w:t>
            </w:r>
            <w:r w:rsidRPr="0028666F">
              <w:rPr>
                <w:rFonts w:ascii="Calibri" w:eastAsia="Times New Roman" w:hAnsi="Calibri" w:cs="Calibri"/>
                <w:color w:val="000000"/>
                <w:sz w:val="18"/>
                <w:szCs w:val="18"/>
                <w:lang w:eastAsia="pl-PL"/>
              </w:rPr>
              <w:br/>
              <w:t xml:space="preserve">Jednolite części wód podziemnych objęte potencjalnym zasięgiem oddziaływania inwestycji lub działania (kod/kody): PLGW6000143, PLGW6000129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6387A8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66560A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0DEF48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B475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8FF3D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0B1CD22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CC2549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161</w:t>
            </w:r>
          </w:p>
        </w:tc>
        <w:tc>
          <w:tcPr>
            <w:tcW w:w="970" w:type="dxa"/>
            <w:tcBorders>
              <w:top w:val="nil"/>
              <w:left w:val="nil"/>
              <w:bottom w:val="single" w:sz="4" w:space="0" w:color="auto"/>
              <w:right w:val="nil"/>
            </w:tcBorders>
          </w:tcPr>
          <w:p w14:paraId="3633663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6CE52B8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EC331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140B89A" w14:textId="3D78AB9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"Pniówek"</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"Pniówek" na podstawie koncesji nr 5/2019 z dnia 08.11.2019 r. (obowiązuje od 01.01.2020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28666F">
              <w:rPr>
                <w:rFonts w:ascii="Calibri" w:eastAsia="Times New Roman" w:hAnsi="Calibri" w:cs="Calibri"/>
                <w:color w:val="000000"/>
                <w:sz w:val="18"/>
                <w:szCs w:val="18"/>
                <w:lang w:eastAsia="pl-PL"/>
              </w:rPr>
              <w:br/>
              <w:t>Data zakończenia inwestycji lub działania (planowana lub rzeczywista): 2051-12-31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w:t>
            </w:r>
            <w:r w:rsidRPr="0028666F">
              <w:rPr>
                <w:rFonts w:ascii="Calibri" w:eastAsia="Times New Roman" w:hAnsi="Calibri" w:cs="Calibri"/>
                <w:color w:val="000000"/>
                <w:sz w:val="18"/>
                <w:szCs w:val="18"/>
                <w:lang w:eastAsia="pl-PL"/>
              </w:rPr>
              <w:br/>
              <w:t>Data wydania decyzji: 02.10.2018 r.</w:t>
            </w:r>
            <w:r w:rsidRPr="0028666F">
              <w:rPr>
                <w:rFonts w:ascii="Calibri" w:eastAsia="Times New Roman" w:hAnsi="Calibri" w:cs="Calibri"/>
                <w:color w:val="000000"/>
                <w:sz w:val="18"/>
                <w:szCs w:val="18"/>
                <w:lang w:eastAsia="pl-PL"/>
              </w:rPr>
              <w:br/>
              <w:t>Organ wydający decyzję: Regionalny Dyrektor Ochrony Środowiska w Katowicach</w:t>
            </w:r>
            <w:r w:rsidRPr="0028666F">
              <w:rPr>
                <w:rFonts w:ascii="Calibri" w:eastAsia="Times New Roman" w:hAnsi="Calibri" w:cs="Calibri"/>
                <w:color w:val="000000"/>
                <w:sz w:val="18"/>
                <w:szCs w:val="18"/>
                <w:lang w:eastAsia="pl-PL"/>
              </w:rPr>
              <w:br/>
              <w:t>Znak: WOOŚ.4235.13.2017.KC.15</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"pszczyński, Jastrzębie-Zdrój"</w:t>
            </w:r>
            <w:r w:rsidRPr="0028666F">
              <w:rPr>
                <w:rFonts w:ascii="Calibri" w:eastAsia="Times New Roman" w:hAnsi="Calibri" w:cs="Calibri"/>
                <w:color w:val="000000"/>
                <w:sz w:val="18"/>
                <w:szCs w:val="18"/>
                <w:lang w:eastAsia="pl-PL"/>
              </w:rPr>
              <w:br/>
              <w:t>Gmina (gminy): "Pawłowice, Jastrzębie-Zdrój"</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Jednolite części wód powierzchniowych (według podziału z aPGW z 2016 r.), w obrębie których była zaplanowana inwestycja lub działanie:</w:t>
            </w:r>
            <w:r w:rsidRPr="0028666F">
              <w:rPr>
                <w:rFonts w:ascii="Calibri" w:eastAsia="Times New Roman" w:hAnsi="Calibri" w:cs="Calibri"/>
                <w:color w:val="000000"/>
                <w:sz w:val="18"/>
                <w:szCs w:val="18"/>
                <w:lang w:eastAsia="pl-PL"/>
              </w:rPr>
              <w:br/>
              <w:t>nazwa: Piotrówka z dopływami</w:t>
            </w:r>
            <w:r w:rsidRPr="0028666F">
              <w:rPr>
                <w:rFonts w:ascii="Calibri" w:eastAsia="Times New Roman" w:hAnsi="Calibri" w:cs="Calibri"/>
                <w:color w:val="000000"/>
                <w:sz w:val="18"/>
                <w:szCs w:val="18"/>
                <w:lang w:eastAsia="pl-PL"/>
              </w:rPr>
              <w:br/>
              <w:t>kod: PLRW600061146999</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 Piotrówka</w:t>
            </w:r>
            <w:r w:rsidRPr="0028666F">
              <w:rPr>
                <w:rFonts w:ascii="Calibri" w:eastAsia="Times New Roman" w:hAnsi="Calibri" w:cs="Calibri"/>
                <w:color w:val="000000"/>
                <w:sz w:val="18"/>
                <w:szCs w:val="18"/>
                <w:lang w:eastAsia="pl-PL"/>
              </w:rPr>
              <w:br/>
              <w:t>kod: RW6000061146999</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 -</w:t>
            </w:r>
            <w:r w:rsidRPr="0028666F">
              <w:rPr>
                <w:rFonts w:ascii="Calibri" w:eastAsia="Times New Roman" w:hAnsi="Calibri" w:cs="Calibri"/>
                <w:color w:val="000000"/>
                <w:sz w:val="18"/>
                <w:szCs w:val="18"/>
                <w:lang w:eastAsia="pl-PL"/>
              </w:rPr>
              <w:br/>
              <w:t>kod: -</w:t>
            </w:r>
            <w:r w:rsidRPr="0028666F">
              <w:rPr>
                <w:rFonts w:ascii="Calibri" w:eastAsia="Times New Roman" w:hAnsi="Calibri" w:cs="Calibri"/>
                <w:color w:val="000000"/>
                <w:sz w:val="18"/>
                <w:szCs w:val="18"/>
                <w:lang w:eastAsia="pl-PL"/>
              </w:rPr>
              <w:br/>
              <w:t xml:space="preserve">Jednolite części wód podziemnych, w obrębie której jest lub będzie realizowana inwestycja lub działanie (kod/kody): PLGW 6000155 </w:t>
            </w:r>
            <w:r w:rsidRPr="0028666F">
              <w:rPr>
                <w:rFonts w:ascii="Calibri" w:eastAsia="Times New Roman" w:hAnsi="Calibri" w:cs="Calibri"/>
                <w:color w:val="000000"/>
                <w:sz w:val="18"/>
                <w:szCs w:val="18"/>
                <w:lang w:eastAsia="pl-PL"/>
              </w:rPr>
              <w:br/>
              <w:t xml:space="preserve">Jednolite części wód podziemnych objęte potencjalnym zasięgiem oddziaływania inwestycji lub działania (kod/kody): PLGW 6000155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AF697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612C70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00F6AD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75F4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2225B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6252FBA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BB69DA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162</w:t>
            </w:r>
          </w:p>
        </w:tc>
        <w:tc>
          <w:tcPr>
            <w:tcW w:w="970" w:type="dxa"/>
            <w:tcBorders>
              <w:top w:val="nil"/>
              <w:left w:val="nil"/>
              <w:bottom w:val="single" w:sz="4" w:space="0" w:color="auto"/>
              <w:right w:val="nil"/>
            </w:tcBorders>
          </w:tcPr>
          <w:p w14:paraId="57CBAD3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5" w:type="dxa"/>
            <w:tcBorders>
              <w:top w:val="nil"/>
              <w:left w:val="nil"/>
              <w:bottom w:val="single" w:sz="4" w:space="0" w:color="auto"/>
              <w:right w:val="single" w:sz="4" w:space="0" w:color="auto"/>
            </w:tcBorders>
            <w:shd w:val="clear" w:color="auto" w:fill="auto"/>
          </w:tcPr>
          <w:p w14:paraId="3BC1202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AFC28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6A016A8" w14:textId="4FAF688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dotyczy: WYKAZ INWESTYCJI I DZIAŁAŃ </w:t>
            </w:r>
            <w:r w:rsidRPr="0028666F">
              <w:rPr>
                <w:rFonts w:ascii="Calibri" w:eastAsia="Times New Roman" w:hAnsi="Calibri" w:cs="Calibri"/>
                <w:color w:val="000000"/>
                <w:sz w:val="18"/>
                <w:szCs w:val="18"/>
                <w:lang w:eastAsia="pl-PL"/>
              </w:rPr>
              <w:br/>
              <w:t xml:space="preserve">Charakterystyka planowanej inwestycji lub działania </w:t>
            </w:r>
            <w:r w:rsidRPr="0028666F">
              <w:rPr>
                <w:rFonts w:ascii="Calibri" w:eastAsia="Times New Roman" w:hAnsi="Calibri" w:cs="Calibri"/>
                <w:color w:val="000000"/>
                <w:sz w:val="18"/>
                <w:szCs w:val="18"/>
                <w:lang w:eastAsia="pl-PL"/>
              </w:rPr>
              <w:br/>
              <w:t>Inwestor lub podmiot realizujący: JSW S.A. KWK "Pniówek"</w:t>
            </w:r>
            <w:r w:rsidRPr="0028666F">
              <w:rPr>
                <w:rFonts w:ascii="Calibri" w:eastAsia="Times New Roman" w:hAnsi="Calibri" w:cs="Calibri"/>
                <w:color w:val="000000"/>
                <w:sz w:val="18"/>
                <w:szCs w:val="18"/>
                <w:lang w:eastAsia="pl-PL"/>
              </w:rPr>
              <w:br/>
              <w:t>Nazwa inwestycji lub działania: Wydobycie węgla kamiennego i metanu jako kopaliny towarzyszącej ze złoża "Pawłowice 1" na podstawie koncesji nr 3/2012 z dnia 21.06.2012 r.</w:t>
            </w:r>
            <w:r w:rsidRPr="0028666F">
              <w:rPr>
                <w:rFonts w:ascii="Calibri" w:eastAsia="Times New Roman" w:hAnsi="Calibri" w:cs="Calibri"/>
                <w:color w:val="000000"/>
                <w:sz w:val="18"/>
                <w:szCs w:val="18"/>
                <w:lang w:eastAsia="pl-PL"/>
              </w:rPr>
              <w:br/>
              <w:t>Nazwa inwestycji wg aPGW z 2016 r. (lub: nie dotyczy): nie dotyczy</w:t>
            </w:r>
            <w:r w:rsidRPr="0028666F">
              <w:rPr>
                <w:rFonts w:ascii="Calibri" w:eastAsia="Times New Roman" w:hAnsi="Calibri" w:cs="Calibri"/>
                <w:color w:val="000000"/>
                <w:sz w:val="18"/>
                <w:szCs w:val="18"/>
                <w:lang w:eastAsia="pl-PL"/>
              </w:rPr>
              <w:br/>
              <w:t>ID inwestycji lub działania wg aPGW z 2016 r. (lub: nie dotyczy): nie dotyczy</w:t>
            </w:r>
            <w:r w:rsidRPr="0028666F">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28666F">
              <w:rPr>
                <w:rFonts w:ascii="Calibri" w:eastAsia="Times New Roman" w:hAnsi="Calibri" w:cs="Calibri"/>
                <w:color w:val="000000"/>
                <w:sz w:val="18"/>
                <w:szCs w:val="18"/>
                <w:lang w:eastAsia="pl-PL"/>
              </w:rPr>
              <w:br/>
              <w:t>Data zakończenia inwestycji lub działania (planowana lub rzeczywista): 2051-12-31 planowana</w:t>
            </w:r>
            <w:r w:rsidRPr="0028666F">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28666F">
              <w:rPr>
                <w:rFonts w:ascii="Calibri" w:eastAsia="Times New Roman" w:hAnsi="Calibri" w:cs="Calibri"/>
                <w:color w:val="000000"/>
                <w:sz w:val="18"/>
                <w:szCs w:val="18"/>
                <w:lang w:eastAsia="pl-PL"/>
              </w:rPr>
              <w:br/>
              <w:t>Decyzja (decyzje) o środowiskowych uwarunkowaniach:</w:t>
            </w:r>
            <w:r w:rsidRPr="0028666F">
              <w:rPr>
                <w:rFonts w:ascii="Calibri" w:eastAsia="Times New Roman" w:hAnsi="Calibri" w:cs="Calibri"/>
                <w:color w:val="000000"/>
                <w:sz w:val="18"/>
                <w:szCs w:val="18"/>
                <w:lang w:eastAsia="pl-PL"/>
              </w:rPr>
              <w:br/>
              <w:t>Data wydania decyzji: 30.12.2011 r.</w:t>
            </w:r>
            <w:r w:rsidRPr="0028666F">
              <w:rPr>
                <w:rFonts w:ascii="Calibri" w:eastAsia="Times New Roman" w:hAnsi="Calibri" w:cs="Calibri"/>
                <w:color w:val="000000"/>
                <w:sz w:val="18"/>
                <w:szCs w:val="18"/>
                <w:lang w:eastAsia="pl-PL"/>
              </w:rPr>
              <w:br/>
              <w:t>Organ wydający decyzję: Burmistrz Pszczyny</w:t>
            </w:r>
            <w:r w:rsidRPr="0028666F">
              <w:rPr>
                <w:rFonts w:ascii="Calibri" w:eastAsia="Times New Roman" w:hAnsi="Calibri" w:cs="Calibri"/>
                <w:color w:val="000000"/>
                <w:sz w:val="18"/>
                <w:szCs w:val="18"/>
                <w:lang w:eastAsia="pl-PL"/>
              </w:rPr>
              <w:br/>
              <w:t>Znak: OŚ.6220.12.2011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Lokalizacja planowanej inwestycji lub działania </w:t>
            </w:r>
            <w:r w:rsidRPr="0028666F">
              <w:rPr>
                <w:rFonts w:ascii="Calibri" w:eastAsia="Times New Roman" w:hAnsi="Calibri" w:cs="Calibri"/>
                <w:color w:val="000000"/>
                <w:sz w:val="18"/>
                <w:szCs w:val="18"/>
                <w:lang w:eastAsia="pl-PL"/>
              </w:rPr>
              <w:br/>
              <w:t>Województwo (województwa): śląskie</w:t>
            </w:r>
            <w:r w:rsidRPr="0028666F">
              <w:rPr>
                <w:rFonts w:ascii="Calibri" w:eastAsia="Times New Roman" w:hAnsi="Calibri" w:cs="Calibri"/>
                <w:color w:val="000000"/>
                <w:sz w:val="18"/>
                <w:szCs w:val="18"/>
                <w:lang w:eastAsia="pl-PL"/>
              </w:rPr>
              <w:br/>
              <w:t>Powiat (powiaty): "pszczyński Żory"</w:t>
            </w:r>
            <w:r w:rsidRPr="0028666F">
              <w:rPr>
                <w:rFonts w:ascii="Calibri" w:eastAsia="Times New Roman" w:hAnsi="Calibri" w:cs="Calibri"/>
                <w:color w:val="000000"/>
                <w:sz w:val="18"/>
                <w:szCs w:val="18"/>
                <w:lang w:eastAsia="pl-PL"/>
              </w:rPr>
              <w:br/>
              <w:t xml:space="preserve">Gmina (gminy): Pszczyna, Pawłowice, Suszec, miasto Żory </w:t>
            </w:r>
            <w:r w:rsidRPr="0028666F">
              <w:rPr>
                <w:rFonts w:ascii="Calibri" w:eastAsia="Times New Roman" w:hAnsi="Calibri" w:cs="Calibri"/>
                <w:color w:val="000000"/>
                <w:sz w:val="18"/>
                <w:szCs w:val="18"/>
                <w:lang w:eastAsia="pl-PL"/>
              </w:rPr>
              <w:br/>
              <w:t>Dorzecze: Odry</w:t>
            </w:r>
            <w:r w:rsidRPr="0028666F">
              <w:rPr>
                <w:rFonts w:ascii="Calibri" w:eastAsia="Times New Roman" w:hAnsi="Calibri" w:cs="Calibri"/>
                <w:color w:val="000000"/>
                <w:sz w:val="18"/>
                <w:szCs w:val="18"/>
                <w:lang w:eastAsia="pl-PL"/>
              </w:rPr>
              <w:br/>
              <w:t>Ciek lub zbiornik wodny (nazwa lub "nie dotyczy"): Wody dołowe odprowadzane są do systemu retencyjno-dozującego kolektor Olza na podstawie umowy zawartej z PGWiR S.A. Jastrzębie- Zdrój</w:t>
            </w:r>
            <w:r w:rsidRPr="0028666F">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w:t>
            </w:r>
            <w:r w:rsidRPr="0028666F">
              <w:rPr>
                <w:rFonts w:ascii="Calibri" w:eastAsia="Times New Roman" w:hAnsi="Calibri" w:cs="Calibri"/>
                <w:color w:val="000000"/>
                <w:sz w:val="18"/>
                <w:szCs w:val="18"/>
                <w:lang w:eastAsia="pl-PL"/>
              </w:rPr>
              <w:br/>
              <w:t>nazwa: -</w:t>
            </w:r>
            <w:r w:rsidRPr="0028666F">
              <w:rPr>
                <w:rFonts w:ascii="Calibri" w:eastAsia="Times New Roman" w:hAnsi="Calibri" w:cs="Calibri"/>
                <w:color w:val="000000"/>
                <w:sz w:val="18"/>
                <w:szCs w:val="18"/>
                <w:lang w:eastAsia="pl-PL"/>
              </w:rPr>
              <w:br/>
              <w:t>kod: -</w:t>
            </w:r>
            <w:r w:rsidRPr="0028666F">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 -</w:t>
            </w:r>
            <w:r w:rsidRPr="0028666F">
              <w:rPr>
                <w:rFonts w:ascii="Calibri" w:eastAsia="Times New Roman" w:hAnsi="Calibri" w:cs="Calibri"/>
                <w:color w:val="000000"/>
                <w:sz w:val="18"/>
                <w:szCs w:val="18"/>
                <w:lang w:eastAsia="pl-PL"/>
              </w:rPr>
              <w:br/>
              <w:t xml:space="preserve">kod: - </w:t>
            </w:r>
            <w:r w:rsidRPr="0028666F">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obowiązującego w perspektywie 2022-2027):</w:t>
            </w:r>
            <w:r w:rsidRPr="0028666F">
              <w:rPr>
                <w:rFonts w:ascii="Calibri" w:eastAsia="Times New Roman" w:hAnsi="Calibri" w:cs="Calibri"/>
                <w:color w:val="000000"/>
                <w:sz w:val="18"/>
                <w:szCs w:val="18"/>
                <w:lang w:eastAsia="pl-PL"/>
              </w:rPr>
              <w:br/>
              <w:t>nazwa: -</w:t>
            </w:r>
            <w:r w:rsidRPr="0028666F">
              <w:rPr>
                <w:rFonts w:ascii="Calibri" w:eastAsia="Times New Roman" w:hAnsi="Calibri" w:cs="Calibri"/>
                <w:color w:val="000000"/>
                <w:sz w:val="18"/>
                <w:szCs w:val="18"/>
                <w:lang w:eastAsia="pl-PL"/>
              </w:rPr>
              <w:br/>
              <w:t>kod: -</w:t>
            </w:r>
            <w:r w:rsidRPr="0028666F">
              <w:rPr>
                <w:rFonts w:ascii="Calibri" w:eastAsia="Times New Roman" w:hAnsi="Calibri" w:cs="Calibri"/>
                <w:color w:val="000000"/>
                <w:sz w:val="18"/>
                <w:szCs w:val="18"/>
                <w:lang w:eastAsia="pl-PL"/>
              </w:rPr>
              <w:br/>
              <w:t>Jednolite części wód podziemnych, w obrębie której jest lub będzie realizowana inwestycja lub działanie (kod/kody): -</w:t>
            </w:r>
            <w:r w:rsidRPr="0028666F">
              <w:rPr>
                <w:rFonts w:ascii="Calibri" w:eastAsia="Times New Roman" w:hAnsi="Calibri" w:cs="Calibri"/>
                <w:color w:val="000000"/>
                <w:sz w:val="18"/>
                <w:szCs w:val="18"/>
                <w:lang w:eastAsia="pl-PL"/>
              </w:rPr>
              <w:br/>
              <w:t>Jednolite części wód podziemnych objęte potencjalnym zasięgiem oddziaływania inwestycji lub działania (kod/kody):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28666F">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28666F">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28666F">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28666F">
              <w:rPr>
                <w:rFonts w:ascii="Calibri" w:eastAsia="Times New Roman" w:hAnsi="Calibri" w:cs="Calibri"/>
                <w:color w:val="000000"/>
                <w:sz w:val="18"/>
                <w:szCs w:val="18"/>
                <w:lang w:eastAsia="pl-PL"/>
              </w:rPr>
              <w:br/>
              <w:t>- zagospodarowania niewykorzystanych wód z odwodnienia kopalń Grupy poprzez:</w:t>
            </w:r>
            <w:r w:rsidRPr="0028666F">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28666F">
              <w:rPr>
                <w:rFonts w:ascii="Calibri" w:eastAsia="Times New Roman" w:hAnsi="Calibri" w:cs="Calibri"/>
                <w:color w:val="000000"/>
                <w:sz w:val="18"/>
                <w:szCs w:val="18"/>
                <w:lang w:eastAsia="pl-PL"/>
              </w:rPr>
              <w:br/>
              <w:t xml:space="preserve">  - odsalanie w zakładzie odsalania w Dębieńsku (kopalnia „Budryk”),</w:t>
            </w:r>
            <w:r w:rsidRPr="0028666F">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28666F">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28666F">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28666F">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28666F">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28666F">
              <w:rPr>
                <w:rFonts w:ascii="Calibri" w:eastAsia="Times New Roman" w:hAnsi="Calibri" w:cs="Calibri"/>
                <w:color w:val="000000"/>
                <w:sz w:val="18"/>
                <w:szCs w:val="18"/>
                <w:lang w:eastAsia="pl-PL"/>
              </w:rPr>
              <w:br/>
              <w:t>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28666F">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28666F">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28666F">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28666F">
              <w:rPr>
                <w:rFonts w:ascii="Calibri" w:eastAsia="Times New Roman" w:hAnsi="Calibri" w:cs="Calibri"/>
                <w:color w:val="000000"/>
                <w:sz w:val="18"/>
                <w:szCs w:val="18"/>
                <w:lang w:eastAsia="pl-PL"/>
              </w:rPr>
              <w:br/>
              <w:t>Wobec powyższego należy uznać, że rozwój przemysłu wydobywczego leży w interesie społecznym."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28666F">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28666F">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28666F">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28666F">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691FFE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1A13F9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0B4CB6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8F5DE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B687B6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7C2B40" w:rsidRPr="0028666F" w14:paraId="6B38062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48C27D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163</w:t>
            </w:r>
          </w:p>
        </w:tc>
        <w:tc>
          <w:tcPr>
            <w:tcW w:w="970" w:type="dxa"/>
            <w:tcBorders>
              <w:top w:val="nil"/>
              <w:left w:val="nil"/>
              <w:bottom w:val="single" w:sz="4" w:space="0" w:color="auto"/>
              <w:right w:val="nil"/>
            </w:tcBorders>
          </w:tcPr>
          <w:p w14:paraId="2FE0CFC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E8FBE0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B7966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B5204E6" w14:textId="103FB8F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ype="page"/>
              <w:t xml:space="preserve">W kolejnych uwagach przedstawiono szczegółowe odniesienia do ww. obszarów problemowych. </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ogólna</w:t>
            </w:r>
          </w:p>
        </w:tc>
        <w:tc>
          <w:tcPr>
            <w:tcW w:w="2733" w:type="dxa"/>
            <w:tcBorders>
              <w:top w:val="nil"/>
              <w:left w:val="nil"/>
              <w:bottom w:val="single" w:sz="4" w:space="0" w:color="auto"/>
              <w:right w:val="single" w:sz="4" w:space="0" w:color="auto"/>
            </w:tcBorders>
            <w:shd w:val="clear" w:color="auto" w:fill="auto"/>
            <w:hideMark/>
          </w:tcPr>
          <w:p w14:paraId="6492AD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6A1C4E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5AF6FA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01AE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B8869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6E41B37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516E3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164</w:t>
            </w:r>
          </w:p>
        </w:tc>
        <w:tc>
          <w:tcPr>
            <w:tcW w:w="970" w:type="dxa"/>
            <w:tcBorders>
              <w:top w:val="nil"/>
              <w:left w:val="nil"/>
              <w:bottom w:val="single" w:sz="4" w:space="0" w:color="auto"/>
              <w:right w:val="nil"/>
            </w:tcBorders>
          </w:tcPr>
          <w:p w14:paraId="51FE490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2343DCC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D7A36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48510E3" w14:textId="7D3476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p>
        </w:tc>
        <w:tc>
          <w:tcPr>
            <w:tcW w:w="2733" w:type="dxa"/>
            <w:tcBorders>
              <w:top w:val="nil"/>
              <w:left w:val="nil"/>
              <w:bottom w:val="single" w:sz="4" w:space="0" w:color="auto"/>
              <w:right w:val="single" w:sz="4" w:space="0" w:color="auto"/>
            </w:tcBorders>
            <w:shd w:val="clear" w:color="auto" w:fill="auto"/>
            <w:hideMark/>
          </w:tcPr>
          <w:p w14:paraId="0FE5B2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7A09303F"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4D8CCF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E035F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26E58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53E7A49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98FC75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165</w:t>
            </w:r>
          </w:p>
        </w:tc>
        <w:tc>
          <w:tcPr>
            <w:tcW w:w="970" w:type="dxa"/>
            <w:tcBorders>
              <w:top w:val="nil"/>
              <w:left w:val="nil"/>
              <w:bottom w:val="single" w:sz="4" w:space="0" w:color="auto"/>
              <w:right w:val="nil"/>
            </w:tcBorders>
          </w:tcPr>
          <w:p w14:paraId="4BDEEAB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41DF11F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C241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84CFC8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chaos</w:t>
            </w:r>
          </w:p>
        </w:tc>
        <w:tc>
          <w:tcPr>
            <w:tcW w:w="2733" w:type="dxa"/>
            <w:tcBorders>
              <w:top w:val="nil"/>
              <w:left w:val="nil"/>
              <w:bottom w:val="single" w:sz="4" w:space="0" w:color="auto"/>
              <w:right w:val="single" w:sz="4" w:space="0" w:color="auto"/>
            </w:tcBorders>
            <w:shd w:val="clear" w:color="auto" w:fill="auto"/>
            <w:hideMark/>
          </w:tcPr>
          <w:p w14:paraId="2C8092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5B7569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424EA5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E3988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2DB0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2. Konsultacje społeczne w ramach SOOŚ wymagane ustawą o udostępnianiu informacji</w:t>
            </w:r>
            <w:r w:rsidRPr="0028666F">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t>W związku z przygotowaniem i przeprowadzeniem konsultacji społecznych zgodnie</w:t>
            </w:r>
            <w:r w:rsidRPr="0028666F">
              <w:rPr>
                <w:rFonts w:ascii="Calibri" w:eastAsia="Times New Roman" w:hAnsi="Calibri" w:cs="Calibri"/>
                <w:color w:val="000000"/>
                <w:sz w:val="18"/>
                <w:szCs w:val="18"/>
                <w:lang w:eastAsia="pl-PL"/>
              </w:rPr>
              <w:br/>
              <w:t>z przepisami prawa oraz przy zapewnieniu możliwie pełnego i aktywnego udziału społeczeństwa</w:t>
            </w:r>
            <w:r w:rsidRPr="0028666F">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Jednocześnie zwracamy uwagę, iż zainteresowane strony miały możliwość zapoznania się</w:t>
            </w:r>
            <w:r w:rsidRPr="0028666F">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4F9040C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8A1400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166</w:t>
            </w:r>
          </w:p>
        </w:tc>
        <w:tc>
          <w:tcPr>
            <w:tcW w:w="970" w:type="dxa"/>
            <w:tcBorders>
              <w:top w:val="nil"/>
              <w:left w:val="nil"/>
              <w:bottom w:val="single" w:sz="4" w:space="0" w:color="auto"/>
              <w:right w:val="nil"/>
            </w:tcBorders>
          </w:tcPr>
          <w:p w14:paraId="5D22B90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1820B22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96085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6FBA854" w14:textId="3FBF16D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2733" w:type="dxa"/>
            <w:tcBorders>
              <w:top w:val="nil"/>
              <w:left w:val="nil"/>
              <w:bottom w:val="single" w:sz="4" w:space="0" w:color="auto"/>
              <w:right w:val="single" w:sz="4" w:space="0" w:color="auto"/>
            </w:tcBorders>
            <w:shd w:val="clear" w:color="auto" w:fill="auto"/>
            <w:hideMark/>
          </w:tcPr>
          <w:p w14:paraId="3F7577D5" w14:textId="2237851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1882EDA3" w14:textId="6C22719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71E356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96A7B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5224A7C" w14:textId="50753DB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12C6CD6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11E1F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167</w:t>
            </w:r>
          </w:p>
        </w:tc>
        <w:tc>
          <w:tcPr>
            <w:tcW w:w="970" w:type="dxa"/>
            <w:tcBorders>
              <w:top w:val="nil"/>
              <w:left w:val="nil"/>
              <w:bottom w:val="single" w:sz="4" w:space="0" w:color="auto"/>
              <w:right w:val="nil"/>
            </w:tcBorders>
          </w:tcPr>
          <w:p w14:paraId="0515B79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2D31CC9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A828C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D522E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Takie podejście jest niezgodne z przepisami prawa krajowego i wspólnotowego.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ype="page"/>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dokumenty źródłowe</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4BD9D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95451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2BFB2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F2E61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1638A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28666F">
              <w:rPr>
                <w:rFonts w:ascii="Calibri" w:eastAsia="Times New Roman" w:hAnsi="Calibri" w:cs="Calibri"/>
                <w:color w:val="000000"/>
                <w:sz w:val="18"/>
                <w:szCs w:val="18"/>
                <w:lang w:eastAsia="pl-PL"/>
              </w:rPr>
              <w:br w:type="page"/>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356C9A0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C329F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168</w:t>
            </w:r>
          </w:p>
        </w:tc>
        <w:tc>
          <w:tcPr>
            <w:tcW w:w="970" w:type="dxa"/>
            <w:tcBorders>
              <w:top w:val="nil"/>
              <w:left w:val="nil"/>
              <w:bottom w:val="single" w:sz="4" w:space="0" w:color="auto"/>
              <w:right w:val="nil"/>
            </w:tcBorders>
          </w:tcPr>
          <w:p w14:paraId="2D2D7CA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4514458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5BBEF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5D69F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formularz</w:t>
            </w:r>
          </w:p>
        </w:tc>
        <w:tc>
          <w:tcPr>
            <w:tcW w:w="2733" w:type="dxa"/>
            <w:tcBorders>
              <w:top w:val="nil"/>
              <w:left w:val="nil"/>
              <w:bottom w:val="single" w:sz="4" w:space="0" w:color="auto"/>
              <w:right w:val="single" w:sz="4" w:space="0" w:color="auto"/>
            </w:tcBorders>
            <w:shd w:val="clear" w:color="auto" w:fill="auto"/>
            <w:hideMark/>
          </w:tcPr>
          <w:p w14:paraId="15A09B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4D6825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2F67DE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EC478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4D2A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7C2B40" w:rsidRPr="0028666F" w14:paraId="0F09741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5CE4F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169</w:t>
            </w:r>
          </w:p>
        </w:tc>
        <w:tc>
          <w:tcPr>
            <w:tcW w:w="970" w:type="dxa"/>
            <w:tcBorders>
              <w:top w:val="nil"/>
              <w:left w:val="nil"/>
              <w:bottom w:val="single" w:sz="4" w:space="0" w:color="auto"/>
              <w:right w:val="nil"/>
            </w:tcBorders>
          </w:tcPr>
          <w:p w14:paraId="60C7BD7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69BBE50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84F22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EF40E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2733" w:type="dxa"/>
            <w:tcBorders>
              <w:top w:val="nil"/>
              <w:left w:val="nil"/>
              <w:bottom w:val="single" w:sz="4" w:space="0" w:color="auto"/>
              <w:right w:val="single" w:sz="4" w:space="0" w:color="auto"/>
            </w:tcBorders>
            <w:shd w:val="clear" w:color="auto" w:fill="auto"/>
            <w:hideMark/>
          </w:tcPr>
          <w:p w14:paraId="33EA1CB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375C13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27788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EB414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D9317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51427F1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8B6F7B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170</w:t>
            </w:r>
          </w:p>
        </w:tc>
        <w:tc>
          <w:tcPr>
            <w:tcW w:w="970" w:type="dxa"/>
            <w:tcBorders>
              <w:top w:val="nil"/>
              <w:left w:val="nil"/>
              <w:bottom w:val="single" w:sz="4" w:space="0" w:color="auto"/>
              <w:right w:val="nil"/>
            </w:tcBorders>
          </w:tcPr>
          <w:p w14:paraId="1E49CFC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10B56E1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B4D76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5BF0FF5" w14:textId="164F992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Rozdz. 3</w:t>
            </w:r>
          </w:p>
        </w:tc>
        <w:tc>
          <w:tcPr>
            <w:tcW w:w="2733" w:type="dxa"/>
            <w:tcBorders>
              <w:top w:val="nil"/>
              <w:left w:val="nil"/>
              <w:bottom w:val="single" w:sz="4" w:space="0" w:color="auto"/>
              <w:right w:val="single" w:sz="4" w:space="0" w:color="auto"/>
            </w:tcBorders>
            <w:shd w:val="clear" w:color="auto" w:fill="auto"/>
            <w:hideMark/>
          </w:tcPr>
          <w:p w14:paraId="0DD3EA25" w14:textId="4BDE3B9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15CA5381" w14:textId="349C1D3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0DF228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E1A99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D76CA79" w14:textId="465DE86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359F36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11736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171</w:t>
            </w:r>
          </w:p>
        </w:tc>
        <w:tc>
          <w:tcPr>
            <w:tcW w:w="970" w:type="dxa"/>
            <w:tcBorders>
              <w:top w:val="nil"/>
              <w:left w:val="nil"/>
              <w:bottom w:val="single" w:sz="4" w:space="0" w:color="auto"/>
              <w:right w:val="nil"/>
            </w:tcBorders>
          </w:tcPr>
          <w:p w14:paraId="5B86555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4B85F4A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D078E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5E05079" w14:textId="086747B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RWr Zbiornikowe, Rozdz. 3, 5.1. oraz 8.1., Zał. 3.1. oraz 8. , Zał. mapowe</w:t>
            </w:r>
          </w:p>
        </w:tc>
        <w:tc>
          <w:tcPr>
            <w:tcW w:w="2733" w:type="dxa"/>
            <w:tcBorders>
              <w:top w:val="nil"/>
              <w:left w:val="nil"/>
              <w:bottom w:val="single" w:sz="4" w:space="0" w:color="auto"/>
              <w:right w:val="single" w:sz="4" w:space="0" w:color="auto"/>
            </w:tcBorders>
            <w:shd w:val="clear" w:color="auto" w:fill="auto"/>
            <w:hideMark/>
          </w:tcPr>
          <w:p w14:paraId="197C1923" w14:textId="6729125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48DD0BC3" w14:textId="6BB765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63190C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049AA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AEC3EC" w14:textId="2863231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01C29D6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7EF8AA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172</w:t>
            </w:r>
          </w:p>
        </w:tc>
        <w:tc>
          <w:tcPr>
            <w:tcW w:w="970" w:type="dxa"/>
            <w:tcBorders>
              <w:top w:val="nil"/>
              <w:left w:val="nil"/>
              <w:bottom w:val="single" w:sz="4" w:space="0" w:color="auto"/>
              <w:right w:val="nil"/>
            </w:tcBorders>
          </w:tcPr>
          <w:p w14:paraId="7BA755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D8617B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4963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268D8879" w14:textId="3EA3438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1EB96034" w14:textId="4014846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48AC60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811A9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89884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E2D7A89" w14:textId="1267E7D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1F9ED2A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1E5FA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173</w:t>
            </w:r>
          </w:p>
        </w:tc>
        <w:tc>
          <w:tcPr>
            <w:tcW w:w="970" w:type="dxa"/>
            <w:tcBorders>
              <w:top w:val="nil"/>
              <w:left w:val="nil"/>
              <w:bottom w:val="single" w:sz="4" w:space="0" w:color="auto"/>
              <w:right w:val="nil"/>
            </w:tcBorders>
          </w:tcPr>
          <w:p w14:paraId="02474EB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4A3F8A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18628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32BE838C" w14:textId="09FF407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Takich przykładów, szczególnie w częściach źródłowych jest wiele, również poza Sudetami. W analogicznej sytuacji, np. dopływy Kłodnicy. </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Rozdz. 3.1.SZCW</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1C96F55" w14:textId="5894387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7C0ED6D" w14:textId="79F45B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F6153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BFCF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0964341" w14:textId="4C47422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039FFE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B0439C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174</w:t>
            </w:r>
          </w:p>
        </w:tc>
        <w:tc>
          <w:tcPr>
            <w:tcW w:w="970" w:type="dxa"/>
            <w:tcBorders>
              <w:top w:val="nil"/>
              <w:left w:val="nil"/>
              <w:bottom w:val="single" w:sz="4" w:space="0" w:color="auto"/>
              <w:right w:val="nil"/>
            </w:tcBorders>
          </w:tcPr>
          <w:p w14:paraId="5C2A000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24F84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FA607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2F84772B" w14:textId="2A1682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28666F">
              <w:rPr>
                <w:rFonts w:ascii="Calibri" w:eastAsia="Times New Roman" w:hAnsi="Calibri" w:cs="Calibri"/>
                <w:color w:val="000000"/>
                <w:sz w:val="18"/>
                <w:szCs w:val="18"/>
                <w:lang w:eastAsia="pl-PL"/>
              </w:rPr>
              <w:br/>
              <w:t>Wyznaczenie SZCW niezgodnie z metodyką</w:t>
            </w:r>
          </w:p>
        </w:tc>
        <w:tc>
          <w:tcPr>
            <w:tcW w:w="2733" w:type="dxa"/>
            <w:tcBorders>
              <w:top w:val="nil"/>
              <w:left w:val="nil"/>
              <w:bottom w:val="single" w:sz="4" w:space="0" w:color="auto"/>
              <w:right w:val="single" w:sz="4" w:space="0" w:color="auto"/>
            </w:tcBorders>
            <w:shd w:val="clear" w:color="auto" w:fill="auto"/>
            <w:hideMark/>
          </w:tcPr>
          <w:p w14:paraId="07DC705C"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2ECF34B1" w14:textId="2DD4984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5E2537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4D9A0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BDF612E" w14:textId="54CABEF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784CA70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C009C3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175</w:t>
            </w:r>
          </w:p>
        </w:tc>
        <w:tc>
          <w:tcPr>
            <w:tcW w:w="970" w:type="dxa"/>
            <w:tcBorders>
              <w:top w:val="nil"/>
              <w:left w:val="nil"/>
              <w:bottom w:val="single" w:sz="4" w:space="0" w:color="auto"/>
              <w:right w:val="nil"/>
            </w:tcBorders>
          </w:tcPr>
          <w:p w14:paraId="2E755A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6728164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7EB6C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6D9CE26C" w14:textId="567D424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w:t>
            </w:r>
            <w:r w:rsidRPr="0028666F">
              <w:rPr>
                <w:rFonts w:ascii="Calibri" w:eastAsia="Times New Roman" w:hAnsi="Calibri" w:cs="Calibri"/>
                <w:color w:val="000000"/>
                <w:sz w:val="18"/>
                <w:szCs w:val="18"/>
                <w:lang w:eastAsia="pl-PL"/>
              </w:rPr>
              <w:br/>
              <w:t>Monitoring</w:t>
            </w:r>
          </w:p>
        </w:tc>
        <w:tc>
          <w:tcPr>
            <w:tcW w:w="2733" w:type="dxa"/>
            <w:tcBorders>
              <w:top w:val="nil"/>
              <w:left w:val="nil"/>
              <w:bottom w:val="single" w:sz="4" w:space="0" w:color="auto"/>
              <w:right w:val="single" w:sz="4" w:space="0" w:color="auto"/>
            </w:tcBorders>
            <w:shd w:val="clear" w:color="auto" w:fill="auto"/>
            <w:hideMark/>
          </w:tcPr>
          <w:p w14:paraId="36A72F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46E20B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68E64F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6746F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BDFEB25" w14:textId="62B4310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6DE8D64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FB1C24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176</w:t>
            </w:r>
          </w:p>
        </w:tc>
        <w:tc>
          <w:tcPr>
            <w:tcW w:w="970" w:type="dxa"/>
            <w:tcBorders>
              <w:top w:val="nil"/>
              <w:left w:val="nil"/>
              <w:bottom w:val="single" w:sz="4" w:space="0" w:color="auto"/>
              <w:right w:val="nil"/>
            </w:tcBorders>
          </w:tcPr>
          <w:p w14:paraId="5176800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4A1B21E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DF16B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01B89E27" w14:textId="32B2A0A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w:t>
            </w:r>
            <w:r w:rsidRPr="0028666F">
              <w:rPr>
                <w:rFonts w:ascii="Calibri" w:eastAsia="Times New Roman" w:hAnsi="Calibri" w:cs="Calibri"/>
                <w:color w:val="000000"/>
                <w:sz w:val="18"/>
                <w:szCs w:val="18"/>
                <w:lang w:eastAsia="pl-PL"/>
              </w:rPr>
              <w:br/>
              <w:t>Monitoring</w:t>
            </w:r>
          </w:p>
        </w:tc>
        <w:tc>
          <w:tcPr>
            <w:tcW w:w="2733" w:type="dxa"/>
            <w:tcBorders>
              <w:top w:val="nil"/>
              <w:left w:val="nil"/>
              <w:bottom w:val="single" w:sz="4" w:space="0" w:color="auto"/>
              <w:right w:val="single" w:sz="4" w:space="0" w:color="auto"/>
            </w:tcBorders>
            <w:shd w:val="clear" w:color="auto" w:fill="auto"/>
            <w:hideMark/>
          </w:tcPr>
          <w:p w14:paraId="2297F70A" w14:textId="7E40254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3AED0F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3370F7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FD5E2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B678869" w14:textId="381793B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aktualizacja Planu gospodarowania wodami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 xml:space="preserve">Monitoring, w tym ustalenia sieci monitoringu, to obszary odpowiedzialności GIOŚ, IIaPGW nie jest dokumentem ustalającym sieć monitoringu.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Przy projektowaniu sieci monitoringu wykorzystuje się także aktualne wykazy obszarów chronionych. 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 monitorowania oraz ppk określają załączniki nr 1 i 2 do rozporządzenia Ministra Infrastruktury z dnia 13 lipca 2021 r. w sprawie form i sposobu prowadzenia monitoringu jednolitych części wód powierzchniowych i jednolitych części wód podziemnych (Dz.U. 2021 poz. 1576).</w:t>
            </w:r>
          </w:p>
        </w:tc>
      </w:tr>
      <w:tr w:rsidR="007C2B40" w:rsidRPr="0028666F" w14:paraId="624379F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87102C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177</w:t>
            </w:r>
          </w:p>
        </w:tc>
        <w:tc>
          <w:tcPr>
            <w:tcW w:w="970" w:type="dxa"/>
            <w:tcBorders>
              <w:top w:val="nil"/>
              <w:left w:val="nil"/>
              <w:bottom w:val="single" w:sz="4" w:space="0" w:color="auto"/>
              <w:right w:val="nil"/>
            </w:tcBorders>
          </w:tcPr>
          <w:p w14:paraId="4283C9A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4DD060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3E2B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7225A2E3" w14:textId="010A410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28666F">
              <w:rPr>
                <w:rFonts w:ascii="Calibri" w:eastAsia="Times New Roman" w:hAnsi="Calibri" w:cs="Calibri"/>
                <w:color w:val="000000"/>
                <w:sz w:val="18"/>
                <w:szCs w:val="18"/>
                <w:lang w:eastAsia="pl-PL"/>
              </w:rPr>
              <w:br/>
              <w:t xml:space="preserve">Presja, Cele środowiskowe, </w:t>
            </w:r>
          </w:p>
        </w:tc>
        <w:tc>
          <w:tcPr>
            <w:tcW w:w="2733" w:type="dxa"/>
            <w:tcBorders>
              <w:top w:val="nil"/>
              <w:left w:val="nil"/>
              <w:bottom w:val="single" w:sz="4" w:space="0" w:color="auto"/>
              <w:right w:val="single" w:sz="4" w:space="0" w:color="auto"/>
            </w:tcBorders>
            <w:shd w:val="clear" w:color="auto" w:fill="auto"/>
            <w:hideMark/>
          </w:tcPr>
          <w:p w14:paraId="28E6C3FF" w14:textId="3C87803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37F9C5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042A3E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3BD0E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6E7B624" w14:textId="5ABC60D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7599019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ABC2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178</w:t>
            </w:r>
          </w:p>
        </w:tc>
        <w:tc>
          <w:tcPr>
            <w:tcW w:w="970" w:type="dxa"/>
            <w:tcBorders>
              <w:top w:val="nil"/>
              <w:left w:val="nil"/>
              <w:bottom w:val="single" w:sz="4" w:space="0" w:color="auto"/>
              <w:right w:val="nil"/>
            </w:tcBorders>
          </w:tcPr>
          <w:p w14:paraId="455F7DF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7B7032D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5C22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5BACF6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9 </w:t>
            </w:r>
            <w:r w:rsidRPr="0028666F">
              <w:rPr>
                <w:rFonts w:ascii="Calibri" w:eastAsia="Times New Roman" w:hAnsi="Calibri" w:cs="Calibri"/>
                <w:color w:val="000000"/>
                <w:sz w:val="18"/>
                <w:szCs w:val="18"/>
                <w:lang w:eastAsia="pl-PL"/>
              </w:rPr>
              <w:br w:type="page"/>
              <w:t>Postęp i wdrożenie działań 2016-2021</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157326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7DABD1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439A15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49FB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638A182" w14:textId="357A8F9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wdrożenia programów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(2018). Dobór działań prolongowanych do IIaPGW (niezrealizowanych w aPWŚK) obejmował szczegółową weryfikacjię zasadności realizacji tych działań, zgodnie z metodyką opracowania zestawu działań (materiał źródłowy do IIaPGW), na podstawie wyników analizy presji oraz wyników monitoringu stanu wód GIOŚ 2019 i zidentyfikowane ryzyko nieoiągniecia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2apgw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zapewianjącym drożność biologiczną.</w:t>
            </w:r>
            <w:r w:rsidRPr="0028666F">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7C2B40" w:rsidRPr="0028666F" w14:paraId="66A26B6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DE15E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179</w:t>
            </w:r>
          </w:p>
        </w:tc>
        <w:tc>
          <w:tcPr>
            <w:tcW w:w="970" w:type="dxa"/>
            <w:tcBorders>
              <w:top w:val="nil"/>
              <w:left w:val="nil"/>
              <w:bottom w:val="single" w:sz="4" w:space="0" w:color="auto"/>
              <w:right w:val="nil"/>
            </w:tcBorders>
          </w:tcPr>
          <w:p w14:paraId="27FC27D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F91884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D24BF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65D7C4FF" w14:textId="6FB1B26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28666F">
              <w:rPr>
                <w:rFonts w:ascii="Calibri" w:eastAsia="Times New Roman" w:hAnsi="Calibri" w:cs="Calibri"/>
                <w:color w:val="000000"/>
                <w:sz w:val="18"/>
                <w:szCs w:val="18"/>
                <w:lang w:eastAsia="pl-PL"/>
              </w:rPr>
              <w:br/>
              <w:t xml:space="preserve">Działania 2aPGW KPRWP – raport </w:t>
            </w:r>
          </w:p>
        </w:tc>
        <w:tc>
          <w:tcPr>
            <w:tcW w:w="2733" w:type="dxa"/>
            <w:tcBorders>
              <w:top w:val="nil"/>
              <w:left w:val="nil"/>
              <w:bottom w:val="single" w:sz="4" w:space="0" w:color="auto"/>
              <w:right w:val="single" w:sz="4" w:space="0" w:color="auto"/>
            </w:tcBorders>
            <w:shd w:val="clear" w:color="auto" w:fill="auto"/>
            <w:hideMark/>
          </w:tcPr>
          <w:p w14:paraId="21AD581C" w14:textId="76EEBA0E"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1219EC1D" w14:textId="35B407FE"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0783C2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4B6F7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A32B6FA" w14:textId="751411A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611BFE3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0080A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180</w:t>
            </w:r>
          </w:p>
        </w:tc>
        <w:tc>
          <w:tcPr>
            <w:tcW w:w="970" w:type="dxa"/>
            <w:tcBorders>
              <w:top w:val="nil"/>
              <w:left w:val="nil"/>
              <w:bottom w:val="single" w:sz="4" w:space="0" w:color="auto"/>
              <w:right w:val="nil"/>
            </w:tcBorders>
          </w:tcPr>
          <w:p w14:paraId="2E536B4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146F42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A1286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23C22EB1" w14:textId="63539CB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8.1. – 8.4.</w:t>
            </w:r>
            <w:r w:rsidRPr="0028666F">
              <w:rPr>
                <w:rFonts w:ascii="Calibri" w:eastAsia="Times New Roman" w:hAnsi="Calibri" w:cs="Calibri"/>
                <w:color w:val="000000"/>
                <w:sz w:val="18"/>
                <w:szCs w:val="18"/>
                <w:lang w:eastAsia="pl-PL"/>
              </w:rPr>
              <w:br/>
              <w:t>Art. 4.4. i 4.5. RDW</w:t>
            </w:r>
          </w:p>
        </w:tc>
        <w:tc>
          <w:tcPr>
            <w:tcW w:w="2733" w:type="dxa"/>
            <w:tcBorders>
              <w:top w:val="nil"/>
              <w:left w:val="nil"/>
              <w:bottom w:val="single" w:sz="4" w:space="0" w:color="auto"/>
              <w:right w:val="single" w:sz="4" w:space="0" w:color="auto"/>
            </w:tcBorders>
            <w:shd w:val="clear" w:color="auto" w:fill="auto"/>
            <w:hideMark/>
          </w:tcPr>
          <w:p w14:paraId="6B85FBFD" w14:textId="3A0B097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0E2101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35227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BD53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735AC32" w14:textId="32F20FF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37A8125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F3536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181</w:t>
            </w:r>
          </w:p>
        </w:tc>
        <w:tc>
          <w:tcPr>
            <w:tcW w:w="970" w:type="dxa"/>
            <w:tcBorders>
              <w:top w:val="nil"/>
              <w:left w:val="nil"/>
              <w:bottom w:val="single" w:sz="4" w:space="0" w:color="auto"/>
              <w:right w:val="nil"/>
            </w:tcBorders>
          </w:tcPr>
          <w:p w14:paraId="56D25ED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F8D5D8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D4B0F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3A4C8FE" w14:textId="55200FE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w:t>
            </w:r>
          </w:p>
        </w:tc>
        <w:tc>
          <w:tcPr>
            <w:tcW w:w="2733" w:type="dxa"/>
            <w:tcBorders>
              <w:top w:val="nil"/>
              <w:left w:val="nil"/>
              <w:bottom w:val="single" w:sz="4" w:space="0" w:color="auto"/>
              <w:right w:val="single" w:sz="4" w:space="0" w:color="auto"/>
            </w:tcBorders>
            <w:shd w:val="clear" w:color="auto" w:fill="auto"/>
            <w:hideMark/>
          </w:tcPr>
          <w:p w14:paraId="73BFA9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1AC7AC82" w14:textId="394286C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7931AB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7FCC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ECCF38C" w14:textId="6696D5C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CA32F0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5D42F5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182</w:t>
            </w:r>
          </w:p>
        </w:tc>
        <w:tc>
          <w:tcPr>
            <w:tcW w:w="970" w:type="dxa"/>
            <w:tcBorders>
              <w:top w:val="nil"/>
              <w:left w:val="nil"/>
              <w:bottom w:val="single" w:sz="4" w:space="0" w:color="auto"/>
              <w:right w:val="nil"/>
            </w:tcBorders>
          </w:tcPr>
          <w:p w14:paraId="7829FB4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7D9962E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07413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002A8D9B"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16,</w:t>
            </w:r>
            <w:r w:rsidRPr="0028666F">
              <w:rPr>
                <w:rFonts w:ascii="Calibri" w:eastAsia="Times New Roman" w:hAnsi="Calibri" w:cs="Calibri"/>
                <w:color w:val="000000"/>
                <w:sz w:val="18"/>
                <w:szCs w:val="18"/>
                <w:lang w:eastAsia="pl-PL"/>
              </w:rPr>
              <w:br/>
              <w:t xml:space="preserve">Zał. 6 </w:t>
            </w:r>
          </w:p>
        </w:tc>
        <w:tc>
          <w:tcPr>
            <w:tcW w:w="2733" w:type="dxa"/>
            <w:tcBorders>
              <w:top w:val="nil"/>
              <w:left w:val="nil"/>
              <w:bottom w:val="single" w:sz="4" w:space="0" w:color="auto"/>
              <w:right w:val="single" w:sz="4" w:space="0" w:color="auto"/>
            </w:tcBorders>
            <w:shd w:val="clear" w:color="auto" w:fill="auto"/>
            <w:hideMark/>
          </w:tcPr>
          <w:p w14:paraId="7B872D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0BD65F7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3A18E2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7BBB7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773B2E8" w14:textId="0D1CB1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447B66C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B4FAA4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183</w:t>
            </w:r>
          </w:p>
        </w:tc>
        <w:tc>
          <w:tcPr>
            <w:tcW w:w="970" w:type="dxa"/>
            <w:tcBorders>
              <w:top w:val="nil"/>
              <w:left w:val="nil"/>
              <w:bottom w:val="single" w:sz="4" w:space="0" w:color="auto"/>
              <w:right w:val="nil"/>
            </w:tcBorders>
          </w:tcPr>
          <w:p w14:paraId="7A437ED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A65E84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28CD4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FBFCFEA" w14:textId="4C682FC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Ochrona i zwiększanie retencji na obszarach rolniczych.</w:t>
            </w:r>
            <w:r w:rsidRPr="0028666F">
              <w:rPr>
                <w:rFonts w:ascii="Calibri" w:eastAsia="Times New Roman" w:hAnsi="Calibri" w:cs="Calibri"/>
                <w:color w:val="000000"/>
                <w:sz w:val="18"/>
                <w:szCs w:val="18"/>
                <w:lang w:eastAsia="pl-PL"/>
              </w:rPr>
              <w:br w:type="page"/>
              <w:t>Ochrona i zwiększanie retencji leśnej.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RWC_01.07</w:t>
            </w:r>
            <w:r w:rsidRPr="0028666F">
              <w:rPr>
                <w:rFonts w:ascii="Calibri" w:eastAsia="Times New Roman" w:hAnsi="Calibri" w:cs="Calibri"/>
                <w:color w:val="000000"/>
                <w:sz w:val="18"/>
                <w:szCs w:val="18"/>
                <w:lang w:eastAsia="pl-PL"/>
              </w:rPr>
              <w:br w:type="page"/>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RWC_01.05.</w:t>
            </w:r>
            <w:r w:rsidRPr="0028666F">
              <w:rPr>
                <w:rFonts w:ascii="Calibri" w:eastAsia="Times New Roman" w:hAnsi="Calibri" w:cs="Calibri"/>
                <w:color w:val="000000"/>
                <w:sz w:val="18"/>
                <w:szCs w:val="18"/>
                <w:lang w:eastAsia="pl-PL"/>
              </w:rPr>
              <w:br w:type="page"/>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ype="page"/>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ype="page"/>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ype="page"/>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Katalogi działań</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C9839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6DFC6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1DEE1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E769F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37E0C1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5E27B0F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D21B78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184</w:t>
            </w:r>
          </w:p>
        </w:tc>
        <w:tc>
          <w:tcPr>
            <w:tcW w:w="970" w:type="dxa"/>
            <w:tcBorders>
              <w:top w:val="nil"/>
              <w:left w:val="nil"/>
              <w:bottom w:val="single" w:sz="4" w:space="0" w:color="auto"/>
              <w:right w:val="nil"/>
            </w:tcBorders>
          </w:tcPr>
          <w:p w14:paraId="218B9A5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3AC56E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58E42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3D9AAC0D" w14:textId="584A162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2733" w:type="dxa"/>
            <w:tcBorders>
              <w:top w:val="nil"/>
              <w:left w:val="nil"/>
              <w:bottom w:val="single" w:sz="4" w:space="0" w:color="auto"/>
              <w:right w:val="single" w:sz="4" w:space="0" w:color="auto"/>
            </w:tcBorders>
            <w:shd w:val="clear" w:color="auto" w:fill="auto"/>
            <w:hideMark/>
          </w:tcPr>
          <w:p w14:paraId="71C750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066280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0BE9DA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787B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A1CCE6B" w14:textId="4F46EDB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27C92FF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3BDDD1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185</w:t>
            </w:r>
          </w:p>
        </w:tc>
        <w:tc>
          <w:tcPr>
            <w:tcW w:w="970" w:type="dxa"/>
            <w:tcBorders>
              <w:top w:val="nil"/>
              <w:left w:val="nil"/>
              <w:bottom w:val="single" w:sz="4" w:space="0" w:color="auto"/>
              <w:right w:val="nil"/>
            </w:tcBorders>
          </w:tcPr>
          <w:p w14:paraId="15D8570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278FC24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11CAE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5456B222" w14:textId="2681285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w:t>
            </w:r>
            <w:r w:rsidRPr="0028666F">
              <w:rPr>
                <w:rFonts w:ascii="Calibri" w:eastAsia="Times New Roman" w:hAnsi="Calibri" w:cs="Calibri"/>
                <w:color w:val="000000"/>
                <w:sz w:val="18"/>
                <w:szCs w:val="18"/>
                <w:lang w:eastAsia="pl-PL"/>
              </w:rPr>
              <w:br/>
              <w:t>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1CFCA21D"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Udrożnić dla ryb zaporę Zb. Jeziorsko odcinającą całą górna zlewnię Warty.</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22E3EB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CC509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E1250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FA9FFDB" w14:textId="060DA4C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16AF194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4265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186</w:t>
            </w:r>
          </w:p>
        </w:tc>
        <w:tc>
          <w:tcPr>
            <w:tcW w:w="970" w:type="dxa"/>
            <w:tcBorders>
              <w:top w:val="nil"/>
              <w:left w:val="nil"/>
              <w:bottom w:val="single" w:sz="4" w:space="0" w:color="auto"/>
              <w:right w:val="nil"/>
            </w:tcBorders>
          </w:tcPr>
          <w:p w14:paraId="4A32795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D66415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6E5AA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53B8BF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w:t>
            </w:r>
            <w:r w:rsidRPr="0028666F">
              <w:rPr>
                <w:rFonts w:ascii="Calibri" w:eastAsia="Times New Roman" w:hAnsi="Calibri" w:cs="Calibri"/>
                <w:color w:val="000000"/>
                <w:sz w:val="18"/>
                <w:szCs w:val="18"/>
                <w:lang w:eastAsia="pl-PL"/>
              </w:rPr>
              <w:br/>
              <w:t>w projekcie IIaPGW – obszar dorzecza Odry</w:t>
            </w:r>
            <w:r w:rsidRPr="0028666F">
              <w:rPr>
                <w:rFonts w:ascii="Calibri" w:eastAsia="Times New Roman" w:hAnsi="Calibri" w:cs="Calibri"/>
                <w:color w:val="000000"/>
                <w:sz w:val="18"/>
                <w:szCs w:val="18"/>
                <w:lang w:eastAsia="pl-PL"/>
              </w:rPr>
              <w:br/>
              <w:t>ODBUDOWA PIĘTRZEŃ</w:t>
            </w:r>
          </w:p>
        </w:tc>
        <w:tc>
          <w:tcPr>
            <w:tcW w:w="2733" w:type="dxa"/>
            <w:tcBorders>
              <w:top w:val="nil"/>
              <w:left w:val="nil"/>
              <w:bottom w:val="single" w:sz="4" w:space="0" w:color="auto"/>
              <w:right w:val="single" w:sz="4" w:space="0" w:color="auto"/>
            </w:tcBorders>
            <w:shd w:val="clear" w:color="auto" w:fill="auto"/>
            <w:hideMark/>
          </w:tcPr>
          <w:p w14:paraId="719021B2"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4169AE5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0E52F3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5983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81632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732BCC0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669C54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187</w:t>
            </w:r>
          </w:p>
        </w:tc>
        <w:tc>
          <w:tcPr>
            <w:tcW w:w="970" w:type="dxa"/>
            <w:tcBorders>
              <w:top w:val="nil"/>
              <w:left w:val="nil"/>
              <w:bottom w:val="single" w:sz="4" w:space="0" w:color="auto"/>
              <w:right w:val="nil"/>
            </w:tcBorders>
          </w:tcPr>
          <w:p w14:paraId="32C24B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62C7E62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9D571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C7CE865" w14:textId="1B57F6C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Zmiany prawne i administracyjne</w:t>
            </w:r>
          </w:p>
        </w:tc>
        <w:tc>
          <w:tcPr>
            <w:tcW w:w="2733" w:type="dxa"/>
            <w:tcBorders>
              <w:top w:val="nil"/>
              <w:left w:val="nil"/>
              <w:bottom w:val="single" w:sz="4" w:space="0" w:color="auto"/>
              <w:right w:val="single" w:sz="4" w:space="0" w:color="auto"/>
            </w:tcBorders>
            <w:shd w:val="clear" w:color="auto" w:fill="auto"/>
            <w:hideMark/>
          </w:tcPr>
          <w:p w14:paraId="5EEC59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2C3B62A1" w14:textId="658BD0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D4392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4564F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E31AFA3" w14:textId="2BBED4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ype="page"/>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08E1503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23F94F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188</w:t>
            </w:r>
          </w:p>
        </w:tc>
        <w:tc>
          <w:tcPr>
            <w:tcW w:w="970" w:type="dxa"/>
            <w:tcBorders>
              <w:top w:val="nil"/>
              <w:left w:val="nil"/>
              <w:bottom w:val="single" w:sz="4" w:space="0" w:color="auto"/>
              <w:right w:val="nil"/>
            </w:tcBorders>
          </w:tcPr>
          <w:p w14:paraId="0C41BE6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5131B7E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68ED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37AF68F" w14:textId="2D1FB7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2733" w:type="dxa"/>
            <w:tcBorders>
              <w:top w:val="nil"/>
              <w:left w:val="nil"/>
              <w:bottom w:val="single" w:sz="4" w:space="0" w:color="auto"/>
              <w:right w:val="single" w:sz="4" w:space="0" w:color="auto"/>
            </w:tcBorders>
            <w:shd w:val="clear" w:color="auto" w:fill="auto"/>
            <w:hideMark/>
          </w:tcPr>
          <w:p w14:paraId="1F517E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46A0C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35E47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FC7D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B766A84" w14:textId="1076E84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5E67BC8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CF87B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189</w:t>
            </w:r>
          </w:p>
        </w:tc>
        <w:tc>
          <w:tcPr>
            <w:tcW w:w="970" w:type="dxa"/>
            <w:tcBorders>
              <w:top w:val="nil"/>
              <w:left w:val="nil"/>
              <w:bottom w:val="single" w:sz="4" w:space="0" w:color="auto"/>
              <w:right w:val="nil"/>
            </w:tcBorders>
          </w:tcPr>
          <w:p w14:paraId="2296CF6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0EA04EC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6FC16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FEE27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2733" w:type="dxa"/>
            <w:tcBorders>
              <w:top w:val="nil"/>
              <w:left w:val="nil"/>
              <w:bottom w:val="single" w:sz="4" w:space="0" w:color="auto"/>
              <w:right w:val="single" w:sz="4" w:space="0" w:color="auto"/>
            </w:tcBorders>
            <w:shd w:val="clear" w:color="auto" w:fill="auto"/>
            <w:hideMark/>
          </w:tcPr>
          <w:p w14:paraId="6E6C92A9" w14:textId="404F6D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564351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6F9E9D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2FAB0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64CE1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734F7BC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CB7D1C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190</w:t>
            </w:r>
          </w:p>
        </w:tc>
        <w:tc>
          <w:tcPr>
            <w:tcW w:w="970" w:type="dxa"/>
            <w:tcBorders>
              <w:top w:val="nil"/>
              <w:left w:val="nil"/>
              <w:bottom w:val="single" w:sz="4" w:space="0" w:color="auto"/>
              <w:right w:val="nil"/>
            </w:tcBorders>
          </w:tcPr>
          <w:p w14:paraId="42F746C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5" w:type="dxa"/>
            <w:tcBorders>
              <w:top w:val="nil"/>
              <w:left w:val="nil"/>
              <w:bottom w:val="single" w:sz="4" w:space="0" w:color="auto"/>
              <w:right w:val="single" w:sz="4" w:space="0" w:color="auto"/>
            </w:tcBorders>
            <w:shd w:val="clear" w:color="auto" w:fill="auto"/>
          </w:tcPr>
          <w:p w14:paraId="23636D2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85F4C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B0F7A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2733" w:type="dxa"/>
            <w:tcBorders>
              <w:top w:val="nil"/>
              <w:left w:val="nil"/>
              <w:bottom w:val="single" w:sz="4" w:space="0" w:color="auto"/>
              <w:right w:val="single" w:sz="4" w:space="0" w:color="auto"/>
            </w:tcBorders>
            <w:shd w:val="clear" w:color="auto" w:fill="auto"/>
            <w:hideMark/>
          </w:tcPr>
          <w:p w14:paraId="5BD86E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92477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2701B2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735E0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8FA3E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52C6E1E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B4D460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191</w:t>
            </w:r>
          </w:p>
        </w:tc>
        <w:tc>
          <w:tcPr>
            <w:tcW w:w="970" w:type="dxa"/>
            <w:tcBorders>
              <w:top w:val="nil"/>
              <w:left w:val="nil"/>
              <w:bottom w:val="single" w:sz="4" w:space="0" w:color="auto"/>
              <w:right w:val="nil"/>
            </w:tcBorders>
          </w:tcPr>
          <w:p w14:paraId="6E8483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Kalisza</w:t>
            </w:r>
          </w:p>
        </w:tc>
        <w:tc>
          <w:tcPr>
            <w:tcW w:w="165" w:type="dxa"/>
            <w:tcBorders>
              <w:top w:val="nil"/>
              <w:left w:val="nil"/>
              <w:bottom w:val="single" w:sz="4" w:space="0" w:color="auto"/>
              <w:right w:val="single" w:sz="4" w:space="0" w:color="auto"/>
            </w:tcBorders>
            <w:shd w:val="clear" w:color="auto" w:fill="auto"/>
          </w:tcPr>
          <w:p w14:paraId="6CBEB38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AFA92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29E131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Treść uwagi </w:t>
            </w:r>
            <w:r w:rsidRPr="0028666F">
              <w:rPr>
                <w:rFonts w:ascii="Calibri" w:eastAsia="Times New Roman" w:hAnsi="Calibri" w:cs="Calibri"/>
                <w:color w:val="000000"/>
                <w:sz w:val="18"/>
                <w:szCs w:val="18"/>
                <w:lang w:eastAsia="pl-PL"/>
              </w:rPr>
              <w:br/>
              <w:t>Brak inwestycji związanych z gospodarką wodną dla cieków Piwonia i Krępica w Kaliszu, w woj. wielkopolskim.</w:t>
            </w:r>
            <w:r w:rsidRPr="0028666F">
              <w:rPr>
                <w:rFonts w:ascii="Calibri" w:eastAsia="Times New Roman" w:hAnsi="Calibri" w:cs="Calibri"/>
                <w:color w:val="000000"/>
                <w:sz w:val="18"/>
                <w:szCs w:val="18"/>
                <w:lang w:eastAsia="pl-PL"/>
              </w:rPr>
              <w:br/>
              <w:t>(Uwaga przekazana za pośrednictwem RZGW w Poznaniu)</w:t>
            </w:r>
          </w:p>
        </w:tc>
        <w:tc>
          <w:tcPr>
            <w:tcW w:w="2733" w:type="dxa"/>
            <w:tcBorders>
              <w:top w:val="nil"/>
              <w:left w:val="nil"/>
              <w:bottom w:val="single" w:sz="4" w:space="0" w:color="auto"/>
              <w:right w:val="single" w:sz="4" w:space="0" w:color="auto"/>
            </w:tcBorders>
            <w:shd w:val="clear" w:color="auto" w:fill="auto"/>
            <w:hideMark/>
          </w:tcPr>
          <w:p w14:paraId="3F3405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Prosimy o dopisanie do planu inwestycji, o których mowa w treści uwagi, tj.:</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2. regulacji cieku Krępica na odcinku od Biskupic do rzeki Prosny.</w:t>
            </w:r>
          </w:p>
        </w:tc>
        <w:tc>
          <w:tcPr>
            <w:tcW w:w="3009" w:type="dxa"/>
            <w:tcBorders>
              <w:top w:val="nil"/>
              <w:left w:val="nil"/>
              <w:bottom w:val="single" w:sz="4" w:space="0" w:color="auto"/>
              <w:right w:val="single" w:sz="4" w:space="0" w:color="auto"/>
            </w:tcBorders>
            <w:shd w:val="clear" w:color="auto" w:fill="auto"/>
            <w:hideMark/>
          </w:tcPr>
          <w:p w14:paraId="49C922C5" w14:textId="57459AA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specustawy powodziowej Miasto Kalisz procedowało opracowanie dokumentacji projektowych dla:</w:t>
            </w:r>
            <w:r w:rsidRPr="0028666F">
              <w:rPr>
                <w:rFonts w:ascii="Calibri" w:eastAsia="Times New Roman" w:hAnsi="Calibri" w:cs="Calibri"/>
                <w:color w:val="000000"/>
                <w:sz w:val="18"/>
                <w:szCs w:val="18"/>
                <w:lang w:eastAsia="pl-PL"/>
              </w:rPr>
              <w:br/>
              <w:t>1. regulacji cieku wodnego Piwonia w granicach miasta Kalisza,</w:t>
            </w:r>
            <w:r w:rsidRPr="0028666F">
              <w:rPr>
                <w:rFonts w:ascii="Calibri" w:eastAsia="Times New Roman" w:hAnsi="Calibri" w:cs="Calibri"/>
                <w:color w:val="000000"/>
                <w:sz w:val="18"/>
                <w:szCs w:val="18"/>
                <w:lang w:eastAsia="pl-PL"/>
              </w:rPr>
              <w:br/>
              <w:t>2. regulacji cieku Krępica na odcinku od Biskupic do rzeki Prosny.</w:t>
            </w:r>
            <w:r w:rsidRPr="0028666F">
              <w:rPr>
                <w:rFonts w:ascii="Calibri" w:eastAsia="Times New Roman" w:hAnsi="Calibri" w:cs="Calibri"/>
                <w:color w:val="000000"/>
                <w:sz w:val="18"/>
                <w:szCs w:val="18"/>
                <w:lang w:eastAsia="pl-PL"/>
              </w:rPr>
              <w:br/>
              <w:t>W chwili obecnej miasto Kalisz dysponuje kompletną dokumentacją projektową dla regulacji cieku Piwonia wraz z niezbędnymi decyzjami i uzgodnieniami za wyjątkiem decyzji o pozwoleniu na realizację inwestycji.</w:t>
            </w:r>
            <w:r w:rsidRPr="0028666F">
              <w:rPr>
                <w:rFonts w:ascii="Calibri" w:eastAsia="Times New Roman" w:hAnsi="Calibri" w:cs="Calibri"/>
                <w:color w:val="000000"/>
                <w:sz w:val="18"/>
                <w:szCs w:val="18"/>
                <w:lang w:eastAsia="pl-PL"/>
              </w:rPr>
              <w:br/>
              <w:t>Opracowywanie dokumentacji projektowej dla regulacji cieku Krępica Miasto Kalisz zakończyło na opracowaniu projektu budowlanego oraz uzyskaniu decyzji o środowiskowych uwarunkowaniach realizacji inwestycji i decyzji pozwolenia wodnoprawnego.</w:t>
            </w:r>
            <w:r w:rsidRPr="0028666F">
              <w:rPr>
                <w:rFonts w:ascii="Calibri" w:eastAsia="Times New Roman" w:hAnsi="Calibri" w:cs="Calibri"/>
                <w:color w:val="000000"/>
                <w:sz w:val="18"/>
                <w:szCs w:val="18"/>
                <w:lang w:eastAsia="pl-PL"/>
              </w:rPr>
              <w:br/>
              <w:t xml:space="preserve">Dot. cieku Piwonia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RW60001718456</w:t>
            </w:r>
            <w:r w:rsidRPr="0028666F">
              <w:rPr>
                <w:rFonts w:ascii="Calibri" w:eastAsia="Times New Roman" w:hAnsi="Calibri" w:cs="Calibri"/>
                <w:color w:val="000000"/>
                <w:sz w:val="18"/>
                <w:szCs w:val="18"/>
                <w:lang w:eastAsia="pl-PL"/>
              </w:rPr>
              <w:br/>
              <w:t>Planowana inwestycja zlokalizowana jest w miejscowości Kalisz - miasto na prawach powiatu.</w:t>
            </w:r>
            <w:r w:rsidRPr="0028666F">
              <w:rPr>
                <w:rFonts w:ascii="Calibri" w:eastAsia="Times New Roman" w:hAnsi="Calibri" w:cs="Calibri"/>
                <w:color w:val="000000"/>
                <w:sz w:val="18"/>
                <w:szCs w:val="18"/>
                <w:lang w:eastAsia="pl-PL"/>
              </w:rPr>
              <w:br/>
              <w:t>Zakres przedmiotowego projektu obejmuje:</w:t>
            </w:r>
            <w:r w:rsidRPr="0028666F">
              <w:rPr>
                <w:rFonts w:ascii="Calibri" w:eastAsia="Times New Roman" w:hAnsi="Calibri" w:cs="Calibri"/>
                <w:color w:val="000000"/>
                <w:sz w:val="18"/>
                <w:szCs w:val="18"/>
                <w:lang w:eastAsia="pl-PL"/>
              </w:rPr>
              <w:br/>
              <w:t>- regulację cieku Piwonia na długości 6,5 km wraz z przebudową 44 przepustów oraz budową umocnień brzegowych w postaci kiszki faszynowej  oraz narzutu kamiennego</w:t>
            </w:r>
            <w:r w:rsidRPr="0028666F">
              <w:rPr>
                <w:rFonts w:ascii="Calibri" w:eastAsia="Times New Roman" w:hAnsi="Calibri" w:cs="Calibri"/>
                <w:color w:val="000000"/>
                <w:sz w:val="18"/>
                <w:szCs w:val="18"/>
                <w:lang w:eastAsia="pl-PL"/>
              </w:rPr>
              <w:br/>
              <w:t>- regulację dopływu cieku Piwonia wraz z budową umocnień brzegowych w postaci kiszki faszynowej na długości ok. 465 m.</w:t>
            </w:r>
            <w:r w:rsidRPr="0028666F">
              <w:rPr>
                <w:rFonts w:ascii="Calibri" w:eastAsia="Times New Roman" w:hAnsi="Calibri" w:cs="Calibri"/>
                <w:color w:val="000000"/>
                <w:sz w:val="18"/>
                <w:szCs w:val="18"/>
                <w:lang w:eastAsia="pl-PL"/>
              </w:rPr>
              <w:br/>
              <w:t>- budowę dwóch suchych zbiorników dla chwilowego regulowania natężeń przepływu wód deszczowych</w:t>
            </w:r>
            <w:r w:rsidRPr="0028666F">
              <w:rPr>
                <w:rFonts w:ascii="Calibri" w:eastAsia="Times New Roman" w:hAnsi="Calibri" w:cs="Calibri"/>
                <w:color w:val="000000"/>
                <w:sz w:val="18"/>
                <w:szCs w:val="18"/>
                <w:lang w:eastAsia="pl-PL"/>
              </w:rPr>
              <w:br/>
              <w:t>- przebudowę istniejących sieci kolidujących z planowaną inwestycją</w:t>
            </w:r>
            <w:r w:rsidRPr="0028666F">
              <w:rPr>
                <w:rFonts w:ascii="Calibri" w:eastAsia="Times New Roman" w:hAnsi="Calibri" w:cs="Calibri"/>
                <w:color w:val="000000"/>
                <w:sz w:val="18"/>
                <w:szCs w:val="18"/>
                <w:lang w:eastAsia="pl-PL"/>
              </w:rPr>
              <w:br/>
              <w:t>- przebudowę istniejących stawów przylegających do koryta cieku Piwonia.</w:t>
            </w:r>
            <w:r w:rsidRPr="0028666F">
              <w:rPr>
                <w:rFonts w:ascii="Calibri" w:eastAsia="Times New Roman" w:hAnsi="Calibri" w:cs="Calibri"/>
                <w:color w:val="000000"/>
                <w:sz w:val="18"/>
                <w:szCs w:val="18"/>
                <w:lang w:eastAsia="pl-PL"/>
              </w:rPr>
              <w:br/>
              <w:t>W internetowym systemie ISOK nie uwzględniono terenu inwestycji jako obszar objęty ryzykiem powodziowym. Mapy ryzyka powodziowego oraz mapy zagrożenia powodziowego wskazują na ryzyko powodzi jedynie na rzece Prośnie, jednak po analizie stanu faktycznego oraz apeli mieszkańców kierowanych do Urzędu Miasta Kalisza o pomoc w zabezpieczeniu ich mienia przed ciągłymi podtopieniami stwierdzono, iż mapy zagrożenia powodziowego nie uwzględniają takich czynników jak: zamulenie, zwężenie koryta cieku, złe przepusty, mostki. Nie uwzględnienie tych czynników daje błędny obraz o zagrożeniu powodziowym na cieku Piwonia.</w:t>
            </w:r>
            <w:r w:rsidRPr="0028666F">
              <w:rPr>
                <w:rFonts w:ascii="Calibri" w:eastAsia="Times New Roman" w:hAnsi="Calibri" w:cs="Calibri"/>
                <w:color w:val="000000"/>
                <w:sz w:val="18"/>
                <w:szCs w:val="18"/>
                <w:lang w:eastAsia="pl-PL"/>
              </w:rPr>
              <w:br/>
              <w:t>Ciek Piwonia został ujęty w załączniku nr 2 do Rozporządzenia Regionalnego Zarządu Gospodarki Wodnej z dnia 16.12.2016 r. jako odcinek śródlądowych wód powierzchniowych, w obrębie których występuje zagrożenie dla swobodnego przepływu wód oraz spływu lodów.</w:t>
            </w:r>
            <w:r w:rsidRPr="0028666F">
              <w:rPr>
                <w:rFonts w:ascii="Calibri" w:eastAsia="Times New Roman" w:hAnsi="Calibri" w:cs="Calibri"/>
                <w:color w:val="000000"/>
                <w:sz w:val="18"/>
                <w:szCs w:val="18"/>
                <w:lang w:eastAsia="pl-PL"/>
              </w:rPr>
              <w:br/>
              <w:t>Ciek Piwonia początkowo był odbiornikiem wód ze zlewni rolniczej. Jego wymiary i przepustowość odpowiadały spływom z terenów naturalnych. Rolniczy charakter zlewni pozwalał na okresowe podtopienia ( zalania) terenów przyległych bez strat mienia oraz narażania zdrowia i życia ludzkiego. Obecnie charakter zlewni uległ całkowitemu przekształceniu. Zlewnia cieku Piwonia jest prawie całkowicie zurbanizowana, a domy mieszkalne zlokalizowane są w bezpośrednim sąsiedztwie koryta cieku. Dopływ wód opadowych i roztopowych do cieku Piwonia uległ zwiększeniu i nadal będzie wzrastać, ze strugi rolniczej ciek stał się odbiornikiem wód opadowych. Przy wysokich stanach wód w cieku posesje zlokalizowane w bezpośrednim sąsiedztwie regularnie są zalewane.</w:t>
            </w:r>
            <w:r w:rsidRPr="0028666F">
              <w:rPr>
                <w:rFonts w:ascii="Calibri" w:eastAsia="Times New Roman" w:hAnsi="Calibri" w:cs="Calibri"/>
                <w:color w:val="000000"/>
                <w:sz w:val="18"/>
                <w:szCs w:val="18"/>
                <w:lang w:eastAsia="pl-PL"/>
              </w:rPr>
              <w:br/>
              <w:t>Od czasu intensywnej urbanizacji zlewni mają miejsce liczne podtopienia i powodzie.</w:t>
            </w:r>
            <w:r w:rsidRPr="0028666F">
              <w:rPr>
                <w:rFonts w:ascii="Calibri" w:eastAsia="Times New Roman" w:hAnsi="Calibri" w:cs="Calibri"/>
                <w:color w:val="000000"/>
                <w:sz w:val="18"/>
                <w:szCs w:val="18"/>
                <w:lang w:eastAsia="pl-PL"/>
              </w:rPr>
              <w:br/>
              <w:t>Przedmiotowa inwestycja umożliwi odpowiednie skierowanie wód zlewni do zbiorników retencyjnych, które przechwycą falę powodziową i tym samym posłużą również ochronie przeciwpowodziowej rzeki Prosny.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 cieku Krępica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RW60001718474</w:t>
            </w:r>
            <w:r w:rsidRPr="0028666F">
              <w:rPr>
                <w:rFonts w:ascii="Calibri" w:eastAsia="Times New Roman" w:hAnsi="Calibri" w:cs="Calibri"/>
                <w:color w:val="000000"/>
                <w:sz w:val="18"/>
                <w:szCs w:val="18"/>
                <w:lang w:eastAsia="pl-PL"/>
              </w:rPr>
              <w:br/>
              <w:t>Przedmiotowa inwestycja obejmuje regulację cieku naturalnego Krępica na odcinku od m. Biskupice do ujścia do rzeki Prosny.</w:t>
            </w:r>
            <w:r w:rsidRPr="0028666F">
              <w:rPr>
                <w:rFonts w:ascii="Calibri" w:eastAsia="Times New Roman" w:hAnsi="Calibri" w:cs="Calibri"/>
                <w:color w:val="000000"/>
                <w:sz w:val="18"/>
                <w:szCs w:val="18"/>
                <w:lang w:eastAsia="pl-PL"/>
              </w:rPr>
              <w:br/>
              <w:t>Przedsięwzięcie zlokalizowane jest w północno - zachodniej części miasta Kalisza i rozciąga się wzdłuż biegu naturalnego rzeki Krępicy od jej ujścia do rzeki Prosny aż po granice miasta z wsią Biskupice.</w:t>
            </w:r>
            <w:r w:rsidRPr="0028666F">
              <w:rPr>
                <w:rFonts w:ascii="Calibri" w:eastAsia="Times New Roman" w:hAnsi="Calibri" w:cs="Calibri"/>
                <w:color w:val="000000"/>
                <w:sz w:val="18"/>
                <w:szCs w:val="18"/>
                <w:lang w:eastAsia="pl-PL"/>
              </w:rPr>
              <w:br/>
              <w:t>Całkowita powierzchnia zlewni cieku Krępica wynosi 17,96 km2  z czego 67% to tereny zabudowane i przeznaczone pod zabudowę. W okresie występowania deszczy nawalnych w korycie cieku często występowały niekontrolowane wezbrania, a w jego dolnym biegu występowało realne zagrożenie powodziowe, gdyż tereny najniżej położone zostawały niejednokrotnie zalewane.</w:t>
            </w:r>
            <w:r w:rsidRPr="0028666F">
              <w:rPr>
                <w:rFonts w:ascii="Calibri" w:eastAsia="Times New Roman" w:hAnsi="Calibri" w:cs="Calibri"/>
                <w:color w:val="000000"/>
                <w:sz w:val="18"/>
                <w:szCs w:val="18"/>
                <w:lang w:eastAsia="pl-PL"/>
              </w:rPr>
              <w:br/>
              <w:t xml:space="preserve">W celu zapewnienia bezpieczeństwa przeciwpowodziowego w ramach inwestycji zaprojektowano regulację spadków podłużnych cieku, w tym m.in. poprzez budowę progów wodnych. W związku z brakiem możliwości racjonalnej rozbudowy koryta zachodzi konieczność budowy trzech suchych zbiorników przeciwpowodziowych pełniących funkcje urządzeń retencyjno - opóźniających przepływ w korycie. Zaprojektowane zbiorniki mają za zadanie zmagazynowanie fali uderzeniowej deszczu nawalnego i zapobiegnięcie niekontrolowanym wezbraniom wody w korycie co pozytywnie wpłynie na przepływ w korycie rzeki Prosny i rozłoży odpływ w jej korycie. </w:t>
            </w:r>
            <w:r w:rsidRPr="0028666F">
              <w:rPr>
                <w:rFonts w:ascii="Calibri" w:eastAsia="Times New Roman" w:hAnsi="Calibri" w:cs="Calibri"/>
                <w:color w:val="000000"/>
                <w:sz w:val="18"/>
                <w:szCs w:val="18"/>
                <w:lang w:eastAsia="pl-PL"/>
              </w:rPr>
              <w:br/>
              <w:t>Głównym założeniem inwestycji jest ochrona przeciwpowodziowa terenów dolnej części zlewni cieku Krępica i ochrona takich osiedli jak Korczak oraz Ogrody przed zalewaniem.</w:t>
            </w:r>
          </w:p>
        </w:tc>
        <w:tc>
          <w:tcPr>
            <w:tcW w:w="1720" w:type="dxa"/>
            <w:tcBorders>
              <w:top w:val="nil"/>
              <w:left w:val="nil"/>
              <w:bottom w:val="single" w:sz="4" w:space="0" w:color="auto"/>
              <w:right w:val="single" w:sz="4" w:space="0" w:color="auto"/>
            </w:tcBorders>
            <w:shd w:val="clear" w:color="000000" w:fill="FFFFFF"/>
            <w:hideMark/>
          </w:tcPr>
          <w:p w14:paraId="4447B0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191_UM_Kalisz</w:t>
            </w:r>
          </w:p>
        </w:tc>
        <w:tc>
          <w:tcPr>
            <w:tcW w:w="1014" w:type="dxa"/>
            <w:tcBorders>
              <w:top w:val="nil"/>
              <w:left w:val="nil"/>
              <w:bottom w:val="single" w:sz="4" w:space="0" w:color="auto"/>
              <w:right w:val="single" w:sz="4" w:space="0" w:color="auto"/>
            </w:tcBorders>
            <w:shd w:val="clear" w:color="auto" w:fill="auto"/>
            <w:hideMark/>
          </w:tcPr>
          <w:p w14:paraId="0D41EC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51070DF" w14:textId="0C73F6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Wedle przyjętej metodyki wykonania IIaPGW, w Wykazie Inwestycji i Działań znalazły się wyłącznie te przedsięwzięcia, którym odstępstwo w trybie art. 4.7 RDW przypisano w aPGW z 2016 r. lub w decyzji o środowiskowych uwarunkowaniach/w ocenie wodnoprawnej (wydanej do grudnia 2020 r.), przy wydawaniu których zastosowano art. 68 ustawy Prawo wodne. Nie ma podstawy prawnej do tego, by w Wykazie Inwestycji i Działań przedstawiać informacje o innych przedsięwzięciach (zresztą nie jest to potrzebne dla realizacji tych przedsięwzięć). Natomiast uwzględnienie inwestycji planowanych (np. z aPZRP) jako presji hydromorfologicznych powodujących pogorszenie warunków hydromorfologicznych i wskaźników przekształcenia HIR (wg HIR) wymagałoby aktualizacji bazy danych o presjach hydromorfologicznych, przeliczenia wskaźników (w bazach danych znajdują się jedynie presje występujące a nie potencjalne) – a PPSS czy aPZRP nie podają danych z takim stopniem szczegółowości by było to możliwe. Obecnie presje hydromorfologiczne (które mogą wystąpić po realizacji) nie występują w środowisku, inwestycje te są dopiero planowane do realizacji. Ponadto, zgłoszone inwestycje nie mają na celu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i/lub obszarów chronionych. W związku z powyższym, nie ma prawnej możliwości oraz rzeczywistego uzasadnienia dla uwzględnienia zgłaszanej uwagi dot. ujęcia w planie przedsięwzięć polegających na regulacji cieku wodnego Piwonia w granicach miasta Kalisza oraz regulacji cieku Krępica na odcinku od Biskupic do rzeki Prosny.</w:t>
            </w:r>
          </w:p>
        </w:tc>
      </w:tr>
      <w:tr w:rsidR="007C2B40" w:rsidRPr="0028666F" w14:paraId="1FB6279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D4E19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192</w:t>
            </w:r>
          </w:p>
        </w:tc>
        <w:tc>
          <w:tcPr>
            <w:tcW w:w="970" w:type="dxa"/>
            <w:tcBorders>
              <w:top w:val="nil"/>
              <w:left w:val="nil"/>
              <w:bottom w:val="single" w:sz="4" w:space="0" w:color="auto"/>
              <w:right w:val="nil"/>
            </w:tcBorders>
          </w:tcPr>
          <w:p w14:paraId="2BDF17B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S.A.</w:t>
            </w:r>
          </w:p>
        </w:tc>
        <w:tc>
          <w:tcPr>
            <w:tcW w:w="165" w:type="dxa"/>
            <w:tcBorders>
              <w:top w:val="nil"/>
              <w:left w:val="nil"/>
              <w:bottom w:val="single" w:sz="4" w:space="0" w:color="auto"/>
              <w:right w:val="single" w:sz="4" w:space="0" w:color="auto"/>
            </w:tcBorders>
            <w:shd w:val="clear" w:color="auto" w:fill="auto"/>
          </w:tcPr>
          <w:p w14:paraId="289D108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C9112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4789B7F" w14:textId="50F257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Wnosimy o utrzymanie wszystkich derogacji i obniżeń celów środowiskowych.</w:t>
            </w:r>
            <w:r w:rsidRPr="0028666F">
              <w:rPr>
                <w:rFonts w:ascii="Calibri" w:eastAsia="Times New Roman" w:hAnsi="Calibri" w:cs="Calibri"/>
                <w:color w:val="000000"/>
                <w:sz w:val="18"/>
                <w:szCs w:val="18"/>
                <w:lang w:eastAsia="pl-PL"/>
              </w:rPr>
              <w:br w:type="page"/>
              <w:t xml:space="preserve">§ Wnosimy o usunięcie Dopływu z wyrobiska Turoszów jako odrębnej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Projekt nie określa zadań dla zakładów a jedynie dla jednostek administracyjnych.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Uzasadnienie uwag znajduje się w załączonym pliku.</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1F22A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3253A3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DBD96A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192_PGE_Odra</w:t>
            </w:r>
          </w:p>
        </w:tc>
        <w:tc>
          <w:tcPr>
            <w:tcW w:w="1014" w:type="dxa"/>
            <w:tcBorders>
              <w:top w:val="nil"/>
              <w:left w:val="nil"/>
              <w:bottom w:val="single" w:sz="4" w:space="0" w:color="auto"/>
              <w:right w:val="single" w:sz="4" w:space="0" w:color="auto"/>
            </w:tcBorders>
            <w:shd w:val="clear" w:color="auto" w:fill="auto"/>
            <w:hideMark/>
          </w:tcPr>
          <w:p w14:paraId="7D4A3E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459AFB3" w14:textId="1971879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odniesieniu do zgłoszonej uwagi, poniżej przedstawione zostały odpowiedzi do poszczególnych punktów pisma.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1) Wyznaczanie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ustalanie granic zlewni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zagadnieniem nie dotyczącym bezpośrednio IIaPGW. Aktualizacja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przeprowadzona została w ramach pracy: pn. "Aktualizacja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SCWP dla potrzeb kolejnej aktualizacji planów w latach 2015-2021 wraz z weryfikacją typów wód części wód” oraz pracy „Analiza i aktualizacja jednostek do planowania z uwzględnieniem MPHP10” (2017), które stanowią materiał źródłowy do wypracowania IIaPGW przekonsultowany z udziałem społeczeństwa.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2) Uzasadnienie odstępstwa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nr 83 zostało przeformułowane - wprowadzono zapisy dot. aktualnych dokumentów strategicznych, w które wpisuje się prowadzona działalność. Skorygowana treść: Potrzeby społeczno-ekonomiczne wpisują się w cele strategiczne „Polityki Energetycznej Polski do 2040 roku”, „Krajowego planu na rzecz energii i klimatu na lata 2021-2030”, "Polityki ekologicznej państwa 2030 – strategii rozwoju w obszarze środowiska i gospodarki wodnej" oraz w założenia Polityki Surowcowej Polski. Brak wykonalnych i korzystniejszych alternatywnych rozwiązań wynika z analiz towarzyszących wykonaniu dokumentacji hydrogeologicznych, natomiast szczegółowe ustalenia dot. poboru wody są przedmiotem analiz na etapie wydawania i przeglądu pozwoleń wodnoprawnych.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3) Kontynuacja dotychczasowej działalności (z uwzględnieniem okoliczności dot. wydania pozwolenia wodnoprawnego z 2015 r.) nie może być ujęta w Wykazie Inwestycji i Działań - bowiem jest on dedykowany jedynie nowym presjom uniemożliwiającym osiągnięcie celu środowiskowego, dla których stwierdzono spełnianie warunków wynikających z art. 68 ustawy Prawo wodne. Istniejące (w tym: kontynuowane) działania zostały (w ramach cyklu aktualizacyjnego poprzedzającego opracowanie projektów IIaPGW) poprzedzone wykonaniem identyfikacji i analizy presji, które miały znaczenie dla wyjaśnienia odstępstw od osiągnięcia celów środowiskowych w trybie art. 4 ust. 4 lub 5 RDW.</w:t>
            </w:r>
            <w:r w:rsidRPr="0028666F">
              <w:rPr>
                <w:rFonts w:ascii="Calibri" w:eastAsia="Times New Roman" w:hAnsi="Calibri" w:cs="Calibri"/>
                <w:color w:val="000000"/>
                <w:sz w:val="18"/>
                <w:szCs w:val="18"/>
                <w:lang w:eastAsia="pl-PL"/>
              </w:rPr>
              <w:br w:type="page"/>
              <w:t xml:space="preserve">4) Cele środowiskowe przypisane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są skutkiem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(zob. pkt 1). Zostały ustalone w ramach pracy pn. „Ustalenie celów środowiskowych dla jednolitych części wód wraz z opracowaniem rejestru wykazów chronionych” oraz dodatkowo uzupełnione o cele środowiskowe w zakresie zapewnienia drożności cieku dla migracji na odcinkach cieków istotnych (przy wykorzystaniu wyników pracy „Ocena potrzeb i priorytetów udrożnienia ciągłości morfologicznej rzek w kontekście osiągnięcia dobrego stanu i potencjału części wód w Polsce”; Błachuta i in., 2010) wraz ze wskazaniem dla jakich gatunków ryb drożność ta powinna być zachowana oraz o cele środowiskowe dotyczące zapewnienia drożności cieku dla migracji gatunków zwierząt wodnych o znaczeniu gospodarczym (zgodnie z rozporządzeniem Ministra Rolnictwa i Rozwoju Wsi z dnia 6 maja 2021 roku w sprawie określenia gatunków zwierząt wodnych o znaczeniu gospodarczym oraz obszarów przeznaczonych do ochrony tych gatunków (Dz. U. z 2021 poz. 896).</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5) Zostanie wprowadzona (w Wykazie odstępstw – załącznik do IIaPGW) informacja uzupełniająca o dopływach transgranicznych wpływających na stan zanieczyszczenia polskich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6) IIaPGW nie przewiduje celów środowiskowych w zakresie chlorków i siarczanów (zgodnie z ustaleniami pracy pn. „Ustalenie celów środowiskowych dla jednolitych części wód wraz z opracowaniem rejestru wykazów chronionych”). Wskaźnikami z grupy zasolenie pozostaje przewodność elektrolityczna.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7) Uwaga nie odnosi się do treści IIaPGW – nie zidentyfikowano w treści IIaPGW wskazanej w piśmie treści.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8) Przywołane w uwadze załączniki graficzne nie stanowią prezentacji celów środowiskowych, a prezentują oceny stanu według rozporządzeń klasyfikacyjnych: rozporządzenie Ministra Gospodarki Morskiej i Żeglugi Śródlądowej z dnia 11 października 2019 r. w sprawie kryteriów i sposobu oceny stanu jednolitych części wód podziemnych (Dz.U. z 2019 r. poz. 2148), oraz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Zastosowane rozróżnienie oceny według klasyfikacji do roku 2022 oraz klasyfikacji oceny po roku 2022 wynika z faktu dokonanych zmian w klasyfikacji stanu/potencjału, stanu chemicznego od roku 2022 (szczegółowo opisane zostało to w rozdziale 5 IIaPGW).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9) Projekt IIaPGW nie zawiera kart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Opracowane w ramach IIaPGW dokumenty stanowiące elementy projektów IIaPGW udostępnione zostały jako komplet materiałów w ramach konsultacji społecznych IIaPGW. Informacje prezentowane w IIaPGW stanowią aktualizację danych aPGW a tym samym karty charakterystyk aPGW (zakładając, iż o nich mowa w uwadze) nie muszą być zgodne z danymi prezentowanymi w IIaPGW.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Docelowo jako materiał dodatkowy IIaPGW udostępniony dla użytkowników, przygotowane zostaną karty charakterystyk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które będą prezentowały dane zawarte w IIaPGW przyjętym w formie rozporządzenia.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10) Identyfikatorem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(unikalny). Zgłoszona uwaga dotyczy materiału źródłowego wykorzystanego do opracowania IIaPGW.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11) Skorygowano wskazany w uwadze błąd w treści IIaPGW – dotyczy typów: RWf_wap, RsW_krz.</w:t>
            </w:r>
          </w:p>
        </w:tc>
      </w:tr>
      <w:tr w:rsidR="007C2B40" w:rsidRPr="0028666F" w14:paraId="0B81BDA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19A33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193</w:t>
            </w:r>
          </w:p>
        </w:tc>
        <w:tc>
          <w:tcPr>
            <w:tcW w:w="970" w:type="dxa"/>
            <w:tcBorders>
              <w:top w:val="nil"/>
              <w:left w:val="nil"/>
              <w:bottom w:val="single" w:sz="4" w:space="0" w:color="auto"/>
              <w:right w:val="nil"/>
            </w:tcBorders>
          </w:tcPr>
          <w:p w14:paraId="3497939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360669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0031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5736FD8" w14:textId="6DB837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Fundacja WWF Polska w ramach konsultacji społecznych projektów drugiej aktualizacji Planów Gospodarowania Wodami w Dorzeczach (II aPGW), w załączeniu przesyła raport wraz z dwoma załącznikami, wykonany na zlecenie Fundacji, zatytułowany „Ocena stopnia uwzględnienia Krajowego Programu Renaturyzacji Wód Powierzchniowych w projektach drugiej aktualizacji Planów Gospodarowania Wodami (II aPGW) wraz z rekomendacjami do II aPGW”, zwany dalej Raportem WWF. </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Podsumowane w Raporcie WWF szczegółowe analizy obejmujące wszystkie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9 dorzeczy dobitnie wskazują, że poddane konsultacjom społecznym projekty II aPGW nie zapewnią terminowego, tj. do roku 2027, osiągnięcia celów środowiskowych Ramowej Dyrektywy Wodnej w naszym kraju, ze względu na niedostateczne uwzględnienie Krajowego Programu Renaturyzacji Wód Powierzchniowych (KPRWP) w projektach II aPGW oraz ze względu na nowe presje hydromorfologiczne, będące skutkiem planowanych inwestycji i innych przedsięwzięć hydrotechnicznych.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Podsumowanie przeprowadzonych analiz zawiera opisowa część Raportu WWF (plik PDF). Z analiz tych wynika, że w żadnej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nie wdrożono w projektach II aPGW wszystkich zapisów KPRWP. W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zapisy KPRWP wdrożono jedynie częściowo, a w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wymagających renaturyzacji dla osiągnięcia dobrego stanu/potencjału wód całkowicie brak wdrożenia zapisów KPRWP. </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Załącznik 1 (plik Excel) do Raportu WWF zawiera wyniki szczegółowych analiz dla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należących do 9 dorzeczy. W formie tabelarycznej zestawiono zapisy z projektów II aPGW w porównaniu z zapisami KPRWP oraz z informacjami o nowych presjach (o inwestycjach i innych przedsięwzięciach wymienionych w zał. 6 do II aPGW oraz w aktualizacji Planów Zarządzania Ryzykiem Powodziowym i w Planie Przeciwdziałania Skutkom Suszy). Dla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sformułowano szczegółowe rekomendacje odnośnie do zmian, jakie powinny być wprowadzone do II aPGW, aby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terminowo osiągnąć stan hydromorfologiczny niezbędny dla osiągnięcia dobrego stanu/potencjału wód wymaganego przez Ramową Dyrektywę Wodną. Rekomendacje te zawiera kolumna FV pliku Excel. W związku z tym proszę traktować załącznik 1 do Raportu WWF jako zbiorcze zestawienie 3116 szczegółowych uwag obejmujących wszystkie 9 dorzeczy, które to uwagi Fundacja WWF zgłasza w ramach konsultacji społecznych projektów II aPGW.  </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Raport WWF jest wkładem społecznym w działania na rzecz udoskonalenia projektów II aPGW. Mam nadzieję, że sposób przedstawienia szczegółowych rekomendacji dla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umożliwi łatwe usunięcie zidentyfikowanych w Raporcie WWF poważnych mankamentów projektów II aPGW – najpierw na poziomie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rzecznej, a docelowo na poziomie każdego z 9 dorzeczy.  </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Fundacja WWF Polska deklaruje współpracę w usuwaniu mankamentów projektów II aPGW, np. w postaci przekazania analiz GIS, które były podstawą sformułowania wzmiankowanych wyżej rekomendacji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t>
            </w:r>
          </w:p>
        </w:tc>
        <w:tc>
          <w:tcPr>
            <w:tcW w:w="2733" w:type="dxa"/>
            <w:tcBorders>
              <w:top w:val="nil"/>
              <w:left w:val="nil"/>
              <w:bottom w:val="single" w:sz="4" w:space="0" w:color="auto"/>
              <w:right w:val="single" w:sz="4" w:space="0" w:color="auto"/>
            </w:tcBorders>
            <w:shd w:val="clear" w:color="auto" w:fill="auto"/>
            <w:hideMark/>
          </w:tcPr>
          <w:p w14:paraId="289672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2EC211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662768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Raport_ocena_IIaPGW_KPRWP</w:t>
            </w:r>
          </w:p>
        </w:tc>
        <w:tc>
          <w:tcPr>
            <w:tcW w:w="1014" w:type="dxa"/>
            <w:tcBorders>
              <w:top w:val="nil"/>
              <w:left w:val="nil"/>
              <w:bottom w:val="single" w:sz="4" w:space="0" w:color="auto"/>
              <w:right w:val="single" w:sz="4" w:space="0" w:color="auto"/>
            </w:tcBorders>
            <w:shd w:val="clear" w:color="auto" w:fill="auto"/>
            <w:hideMark/>
          </w:tcPr>
          <w:p w14:paraId="10E28A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DD690E6" w14:textId="7CAD50F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66A0568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B55209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194</w:t>
            </w:r>
          </w:p>
        </w:tc>
        <w:tc>
          <w:tcPr>
            <w:tcW w:w="970" w:type="dxa"/>
            <w:tcBorders>
              <w:top w:val="nil"/>
              <w:left w:val="nil"/>
              <w:bottom w:val="single" w:sz="4" w:space="0" w:color="auto"/>
              <w:right w:val="nil"/>
            </w:tcBorders>
          </w:tcPr>
          <w:p w14:paraId="5BD0C6F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KGHM Polska Miedź S.A. </w:t>
            </w:r>
          </w:p>
        </w:tc>
        <w:tc>
          <w:tcPr>
            <w:tcW w:w="165" w:type="dxa"/>
            <w:tcBorders>
              <w:top w:val="nil"/>
              <w:left w:val="nil"/>
              <w:bottom w:val="single" w:sz="4" w:space="0" w:color="auto"/>
              <w:right w:val="single" w:sz="4" w:space="0" w:color="auto"/>
            </w:tcBorders>
            <w:shd w:val="clear" w:color="auto" w:fill="auto"/>
          </w:tcPr>
          <w:p w14:paraId="736D670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15DF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GRAFICZNE</w:t>
            </w:r>
          </w:p>
        </w:tc>
        <w:tc>
          <w:tcPr>
            <w:tcW w:w="5000" w:type="dxa"/>
            <w:tcBorders>
              <w:top w:val="nil"/>
              <w:left w:val="nil"/>
              <w:bottom w:val="single" w:sz="4" w:space="0" w:color="auto"/>
              <w:right w:val="single" w:sz="4" w:space="0" w:color="auto"/>
            </w:tcBorders>
            <w:shd w:val="clear" w:color="auto" w:fill="auto"/>
            <w:hideMark/>
          </w:tcPr>
          <w:p w14:paraId="2D2313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Załączniki graficzne</w:t>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Na etapie projektu drugiej aktualizacji Planu gospodarowania wodami na obrzarze dorzecza Odry zaistniała wątpliwość co do nazwy cieku, zasilającego zbiornik "Lipówka", który znajduje się w okolicy zarządzanego przez KGHM Polska Miedź S.A. Obiektu Unieszkodliwiania Odpadów Wydobywczych Żelazny Most. </w:t>
            </w:r>
            <w:r w:rsidRPr="0028666F">
              <w:rPr>
                <w:rFonts w:ascii="Calibri" w:eastAsia="Times New Roman" w:hAnsi="Calibri" w:cs="Calibri"/>
                <w:color w:val="000000"/>
                <w:sz w:val="18"/>
                <w:szCs w:val="18"/>
                <w:lang w:eastAsia="pl-PL"/>
              </w:rPr>
              <w:br/>
              <w:t xml:space="preserve">Pozostała treść uwagi w załączonym piśmie. </w:t>
            </w:r>
          </w:p>
        </w:tc>
        <w:tc>
          <w:tcPr>
            <w:tcW w:w="2733" w:type="dxa"/>
            <w:tcBorders>
              <w:top w:val="nil"/>
              <w:left w:val="nil"/>
              <w:bottom w:val="single" w:sz="4" w:space="0" w:color="auto"/>
              <w:right w:val="single" w:sz="4" w:space="0" w:color="auto"/>
            </w:tcBorders>
            <w:shd w:val="clear" w:color="auto" w:fill="auto"/>
            <w:hideMark/>
          </w:tcPr>
          <w:p w14:paraId="35A5D5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Proponuje się zatem, aby wyjaśnić nazwę cieku, bądź dopuścić obie nazwy, a także przy okazji opracowania załączników graficznych, zaznaczyć prawidłowy przebieg tego cieku, zgodnie ze stanem faktycznym. Mając na uwadze, zwracam się prośba o przyjrzenie się zagadnieniem poruszanym w załączonym piśmie. </w:t>
            </w:r>
          </w:p>
        </w:tc>
        <w:tc>
          <w:tcPr>
            <w:tcW w:w="3009" w:type="dxa"/>
            <w:tcBorders>
              <w:top w:val="nil"/>
              <w:left w:val="nil"/>
              <w:bottom w:val="single" w:sz="4" w:space="0" w:color="auto"/>
              <w:right w:val="single" w:sz="4" w:space="0" w:color="auto"/>
            </w:tcBorders>
            <w:shd w:val="clear" w:color="auto" w:fill="auto"/>
            <w:hideMark/>
          </w:tcPr>
          <w:p w14:paraId="35F63D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1720" w:type="dxa"/>
            <w:tcBorders>
              <w:top w:val="nil"/>
              <w:left w:val="nil"/>
              <w:bottom w:val="single" w:sz="4" w:space="0" w:color="auto"/>
              <w:right w:val="single" w:sz="4" w:space="0" w:color="auto"/>
            </w:tcBorders>
            <w:shd w:val="clear" w:color="000000" w:fill="FFFFFF"/>
            <w:hideMark/>
          </w:tcPr>
          <w:p w14:paraId="42A9E6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KGHM_Lipówka_Odra</w:t>
            </w:r>
          </w:p>
        </w:tc>
        <w:tc>
          <w:tcPr>
            <w:tcW w:w="1014" w:type="dxa"/>
            <w:tcBorders>
              <w:top w:val="nil"/>
              <w:left w:val="nil"/>
              <w:bottom w:val="single" w:sz="4" w:space="0" w:color="auto"/>
              <w:right w:val="single" w:sz="4" w:space="0" w:color="auto"/>
            </w:tcBorders>
            <w:shd w:val="clear" w:color="auto" w:fill="auto"/>
            <w:hideMark/>
          </w:tcPr>
          <w:p w14:paraId="0B053A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2976F93" w14:textId="01D4B42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Opracowane w ramach IIaPGW załączniki graficzne, w tym dane dotyczące nazw poszczególnych cieków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bazują na danych hydrograficznych oraz zaktualizowanym wykazie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Przywołany w uwadze ciek zgodnie z Mapą Podziału Hydrograficznego Polski w skali 1:10 000 to:</w:t>
            </w:r>
            <w:r w:rsidRPr="0028666F">
              <w:rPr>
                <w:rFonts w:ascii="Calibri" w:eastAsia="Times New Roman" w:hAnsi="Calibri" w:cs="Calibri"/>
                <w:color w:val="000000"/>
                <w:sz w:val="18"/>
                <w:szCs w:val="18"/>
                <w:lang w:eastAsia="pl-PL"/>
              </w:rPr>
              <w:br/>
              <w:t>Warstwa cieki wyróżnione</w:t>
            </w:r>
            <w:r w:rsidRPr="0028666F">
              <w:rPr>
                <w:rFonts w:ascii="Calibri" w:eastAsia="Times New Roman" w:hAnsi="Calibri" w:cs="Calibri"/>
                <w:color w:val="000000"/>
                <w:sz w:val="18"/>
                <w:szCs w:val="18"/>
                <w:lang w:eastAsia="pl-PL"/>
              </w:rPr>
              <w:br/>
              <w:t>• Nazwa cieku: Kalinówka</w:t>
            </w:r>
            <w:r w:rsidRPr="0028666F">
              <w:rPr>
                <w:rFonts w:ascii="Calibri" w:eastAsia="Times New Roman" w:hAnsi="Calibri" w:cs="Calibri"/>
                <w:color w:val="000000"/>
                <w:sz w:val="18"/>
                <w:szCs w:val="18"/>
                <w:lang w:eastAsia="pl-PL"/>
              </w:rPr>
              <w:br/>
              <w:t>• identyfikator hydrograficzny cieku: 1522</w:t>
            </w:r>
            <w:r w:rsidRPr="0028666F">
              <w:rPr>
                <w:rFonts w:ascii="Calibri" w:eastAsia="Times New Roman" w:hAnsi="Calibri" w:cs="Calibri"/>
                <w:color w:val="000000"/>
                <w:sz w:val="18"/>
                <w:szCs w:val="18"/>
                <w:lang w:eastAsia="pl-PL"/>
              </w:rPr>
              <w:br/>
              <w:t>Warstwa jeziora i zbiorniki wyróżnione (sztuczny zbiornik na cieku Kalinówka)</w:t>
            </w:r>
            <w:r w:rsidRPr="0028666F">
              <w:rPr>
                <w:rFonts w:ascii="Calibri" w:eastAsia="Times New Roman" w:hAnsi="Calibri" w:cs="Calibri"/>
                <w:color w:val="000000"/>
                <w:sz w:val="18"/>
                <w:szCs w:val="18"/>
                <w:lang w:eastAsia="pl-PL"/>
              </w:rPr>
              <w:br/>
              <w:t>• nazwa sztucznego zbiornika: brak nazwy</w:t>
            </w:r>
            <w:r w:rsidRPr="0028666F">
              <w:rPr>
                <w:rFonts w:ascii="Calibri" w:eastAsia="Times New Roman" w:hAnsi="Calibri" w:cs="Calibri"/>
                <w:color w:val="000000"/>
                <w:sz w:val="18"/>
                <w:szCs w:val="18"/>
                <w:lang w:eastAsia="pl-PL"/>
              </w:rPr>
              <w:br/>
              <w:t>• Identyfikator hydrograficzny zlewni jeziora lub sztucznego zbiornika: 15221</w:t>
            </w:r>
            <w:r w:rsidRPr="0028666F">
              <w:rPr>
                <w:rFonts w:ascii="Calibri" w:eastAsia="Times New Roman" w:hAnsi="Calibri" w:cs="Calibri"/>
                <w:color w:val="000000"/>
                <w:sz w:val="18"/>
                <w:szCs w:val="18"/>
                <w:lang w:eastAsia="pl-PL"/>
              </w:rPr>
              <w:br/>
              <w:t xml:space="preserve">W aPGW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Żelazny Most = Zbiornik Lipówka, zbiornik poflotacyjny, Europejski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PLRW6000015223.</w:t>
            </w:r>
            <w:r w:rsidRPr="0028666F">
              <w:rPr>
                <w:rFonts w:ascii="Calibri" w:eastAsia="Times New Roman" w:hAnsi="Calibri" w:cs="Calibri"/>
                <w:color w:val="000000"/>
                <w:sz w:val="18"/>
                <w:szCs w:val="18"/>
                <w:lang w:eastAsia="pl-PL"/>
              </w:rPr>
              <w:br/>
              <w:t xml:space="preserve">W ramach prac związanych z aktualizacją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IIaPGW dokonana została zmiana (warstwa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 segmenty, Nazwa rzeki: Kalinówka) na:</w:t>
            </w:r>
            <w:r w:rsidRPr="0028666F">
              <w:rPr>
                <w:rFonts w:ascii="Calibri" w:eastAsia="Times New Roman" w:hAnsi="Calibri" w:cs="Calibri"/>
                <w:color w:val="000000"/>
                <w:sz w:val="18"/>
                <w:szCs w:val="18"/>
                <w:lang w:eastAsia="pl-PL"/>
              </w:rPr>
              <w:br/>
              <w:t xml:space="preserve">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w:t>
            </w:r>
            <w:r w:rsidRPr="0028666F">
              <w:rPr>
                <w:rFonts w:ascii="Calibri" w:eastAsia="Times New Roman" w:hAnsi="Calibri" w:cs="Calibri"/>
                <w:color w:val="000000"/>
                <w:sz w:val="18"/>
                <w:szCs w:val="18"/>
                <w:lang w:eastAsia="pl-PL"/>
              </w:rPr>
              <w:br/>
              <w:t xml:space="preserve">•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Kalinówka z Żelaznym Mostem</w:t>
            </w:r>
            <w:r w:rsidRPr="0028666F">
              <w:rPr>
                <w:rFonts w:ascii="Calibri" w:eastAsia="Times New Roman" w:hAnsi="Calibri" w:cs="Calibri"/>
                <w:color w:val="000000"/>
                <w:sz w:val="18"/>
                <w:szCs w:val="18"/>
                <w:lang w:eastAsia="pl-PL"/>
              </w:rPr>
              <w:br/>
              <w:t xml:space="preserve">• Europejski kod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PLRW6000015223Warstwa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Rzeczne segmenty</w:t>
            </w:r>
            <w:r w:rsidRPr="0028666F">
              <w:rPr>
                <w:rFonts w:ascii="Calibri" w:eastAsia="Times New Roman" w:hAnsi="Calibri" w:cs="Calibri"/>
                <w:color w:val="000000"/>
                <w:sz w:val="18"/>
                <w:szCs w:val="18"/>
                <w:lang w:eastAsia="pl-PL"/>
              </w:rPr>
              <w:br/>
              <w:t>• Nazwa rzeki: Kalinówka.</w:t>
            </w:r>
            <w:r w:rsidRPr="0028666F">
              <w:rPr>
                <w:rFonts w:ascii="Calibri" w:eastAsia="Times New Roman" w:hAnsi="Calibri" w:cs="Calibri"/>
                <w:color w:val="000000"/>
                <w:sz w:val="18"/>
                <w:szCs w:val="18"/>
                <w:lang w:eastAsia="pl-PL"/>
              </w:rPr>
              <w:br/>
              <w:t xml:space="preserve">Biorąc powyższe pod uwagę zastosowana nazwa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odpowiada udokumentowanej nazwie rzeki Kalinówka.</w:t>
            </w:r>
          </w:p>
        </w:tc>
      </w:tr>
      <w:tr w:rsidR="007C2B40" w:rsidRPr="0028666F" w14:paraId="60C1159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02584F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195</w:t>
            </w:r>
          </w:p>
        </w:tc>
        <w:tc>
          <w:tcPr>
            <w:tcW w:w="970" w:type="dxa"/>
            <w:tcBorders>
              <w:top w:val="nil"/>
              <w:left w:val="nil"/>
              <w:bottom w:val="single" w:sz="4" w:space="0" w:color="auto"/>
              <w:right w:val="nil"/>
            </w:tcBorders>
          </w:tcPr>
          <w:p w14:paraId="2A6AC97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5DC02D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A536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D218D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Cały dokument i załączniki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Usunąć wszystkie nieścisłości i wewnętrzne sprzeczności, uzupełnić i ujednolicić brakujące dane, w szczególności dot. listy działań w zał. 1 i 2, numeracji rozdziałów w spisie treści i tekście. kosztów planowanych działań, opis działań i ich przypisanie do dorzeczy i regionów wodnych</w:t>
            </w:r>
          </w:p>
        </w:tc>
        <w:tc>
          <w:tcPr>
            <w:tcW w:w="2733" w:type="dxa"/>
            <w:tcBorders>
              <w:top w:val="nil"/>
              <w:left w:val="nil"/>
              <w:bottom w:val="single" w:sz="4" w:space="0" w:color="auto"/>
              <w:right w:val="single" w:sz="4" w:space="0" w:color="auto"/>
            </w:tcBorders>
            <w:shd w:val="clear" w:color="auto" w:fill="auto"/>
            <w:hideMark/>
          </w:tcPr>
          <w:p w14:paraId="1B4049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0C3EF7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Przykłady „bałaganiarstwa” w aPZRP dla dorzecza Odry przedłożonym do konsultacji:</w:t>
            </w:r>
            <w:r w:rsidRPr="0028666F">
              <w:rPr>
                <w:rFonts w:ascii="Calibri" w:eastAsia="Times New Roman" w:hAnsi="Calibri" w:cs="Calibri"/>
                <w:color w:val="000000"/>
                <w:sz w:val="18"/>
                <w:szCs w:val="18"/>
                <w:lang w:eastAsia="pl-PL"/>
              </w:rPr>
              <w:br/>
              <w:t>Numeracja rozdziałów w spisie treści różni się od numeracji w tekście aPZRP;</w:t>
            </w:r>
            <w:r w:rsidRPr="0028666F">
              <w:rPr>
                <w:rFonts w:ascii="Calibri" w:eastAsia="Times New Roman" w:hAnsi="Calibri" w:cs="Calibri"/>
                <w:color w:val="000000"/>
                <w:sz w:val="18"/>
                <w:szCs w:val="18"/>
                <w:lang w:eastAsia="pl-PL"/>
              </w:rPr>
              <w:br/>
              <w:t>W rozdziale 2.2.2. Wody podziemne na s. 12 jest mowa o aktualizacji Programu wodno-środowiskowego kraju, który w obecnej edycji PZRP nie występuje;</w:t>
            </w:r>
            <w:r w:rsidRPr="0028666F">
              <w:rPr>
                <w:rFonts w:ascii="Calibri" w:eastAsia="Times New Roman" w:hAnsi="Calibri" w:cs="Calibri"/>
                <w:color w:val="000000"/>
                <w:sz w:val="18"/>
                <w:szCs w:val="18"/>
                <w:lang w:eastAsia="pl-PL"/>
              </w:rPr>
              <w:br/>
              <w:t>Brak jednostek niektórych wskaźników w tab. 17;</w:t>
            </w:r>
            <w:r w:rsidRPr="0028666F">
              <w:rPr>
                <w:rFonts w:ascii="Calibri" w:eastAsia="Times New Roman" w:hAnsi="Calibri" w:cs="Calibri"/>
                <w:color w:val="000000"/>
                <w:sz w:val="18"/>
                <w:szCs w:val="18"/>
                <w:lang w:eastAsia="pl-PL"/>
              </w:rPr>
              <w:br/>
              <w:t>Brak spójności miary wskaźnika „Formy ochrony przyrody” pomiędzy tabelami 17 (%) a 20 (km2);</w:t>
            </w:r>
            <w:r w:rsidRPr="0028666F">
              <w:rPr>
                <w:rFonts w:ascii="Calibri" w:eastAsia="Times New Roman" w:hAnsi="Calibri" w:cs="Calibri"/>
                <w:color w:val="000000"/>
                <w:sz w:val="18"/>
                <w:szCs w:val="18"/>
                <w:lang w:eastAsia="pl-PL"/>
              </w:rPr>
              <w:br/>
              <w:t>Tabela Excel w geobazie nie zawiera danych na temat przypisania działań do dorzeczy i regionów wodnych;</w:t>
            </w:r>
            <w:r w:rsidRPr="0028666F">
              <w:rPr>
                <w:rFonts w:ascii="Calibri" w:eastAsia="Times New Roman" w:hAnsi="Calibri" w:cs="Calibri"/>
                <w:color w:val="000000"/>
                <w:sz w:val="18"/>
                <w:szCs w:val="18"/>
                <w:lang w:eastAsia="pl-PL"/>
              </w:rPr>
              <w:br/>
              <w:t>Tytuły i opisy niektórych działań w tabeli Excel w geobazie są „urwane”, być może z powodu nadmiernego rozbudowania, wykraczającego ponad limit znaków.</w:t>
            </w:r>
            <w:r w:rsidRPr="0028666F">
              <w:rPr>
                <w:rFonts w:ascii="Calibri" w:eastAsia="Times New Roman" w:hAnsi="Calibri" w:cs="Calibri"/>
                <w:color w:val="000000"/>
                <w:sz w:val="18"/>
                <w:szCs w:val="18"/>
                <w:lang w:eastAsia="pl-PL"/>
              </w:rPr>
              <w:br/>
              <w:t>Sumaryczne koszty działań dla poszczególnych dorzeczy w różnych częściach analizowanego dokumentu różnią się znacząco, co pokazano w tabeli 1. „Normą” są różnice rzędu kilkudziesięciu-kilkuset milionów. Dla dorzecza Odry sumaryczny koszt wdrożenia aPZRP w najbliższym okresie deklarowany w opisie na s. 157 w porównaniu do danych podanych w zał. 1 i 2 jest niższy o 3-4 mld zł!</w:t>
            </w:r>
          </w:p>
        </w:tc>
        <w:tc>
          <w:tcPr>
            <w:tcW w:w="1720" w:type="dxa"/>
            <w:tcBorders>
              <w:top w:val="nil"/>
              <w:left w:val="nil"/>
              <w:bottom w:val="single" w:sz="4" w:space="0" w:color="auto"/>
              <w:right w:val="single" w:sz="4" w:space="0" w:color="auto"/>
            </w:tcBorders>
            <w:shd w:val="clear" w:color="000000" w:fill="FFFFFF"/>
            <w:hideMark/>
          </w:tcPr>
          <w:p w14:paraId="66A10ED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BC278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E9CCF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4B9DAD8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A67493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196</w:t>
            </w:r>
          </w:p>
        </w:tc>
        <w:tc>
          <w:tcPr>
            <w:tcW w:w="970" w:type="dxa"/>
            <w:tcBorders>
              <w:top w:val="nil"/>
              <w:left w:val="nil"/>
              <w:bottom w:val="single" w:sz="4" w:space="0" w:color="auto"/>
              <w:right w:val="nil"/>
            </w:tcBorders>
          </w:tcPr>
          <w:p w14:paraId="177044E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49112DA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31186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24EDD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Uwzględnić w wyznaczaniu ONNP i OP powodzi typu A12 i A13 na obszarach zurbanizowanych o intensywnej zabudowie, wysokich walorach kulturowych (zabytki) i dużym zagęszczeniu ludności, a także powodzie o prawdopodobieństwie większym od 1%.</w:t>
            </w:r>
          </w:p>
        </w:tc>
        <w:tc>
          <w:tcPr>
            <w:tcW w:w="2733" w:type="dxa"/>
            <w:tcBorders>
              <w:top w:val="nil"/>
              <w:left w:val="nil"/>
              <w:bottom w:val="single" w:sz="4" w:space="0" w:color="auto"/>
              <w:right w:val="single" w:sz="4" w:space="0" w:color="auto"/>
            </w:tcBorders>
            <w:shd w:val="clear" w:color="auto" w:fill="auto"/>
            <w:hideMark/>
          </w:tcPr>
          <w:p w14:paraId="66A200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6FF2CA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Wg informacji zawartych w rozdziale 3.1 aPZRP dorzecza Odry analizie w aWORP poddano wszystkie 7 typów powodzi występujących w Polsce. Natomiast w rozdziale 3.3 aPZRP dla dorzecza Odry możemy przeczytać, że obszary narażone na niebezpieczeństwo powodzi (ONNP) zdefiniowano wyłącznie dla:</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1. Powodzi rzecznych o mechanizmie naturalnego wezbrania - analizowano je razem z powodziami rzecznymi powstałymi w wyniku przelania lub zniszczenia obwałowań przeciwpowodziowych,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2. Powodzi powstałych w wyniku zniszczenia lub uszkodzenia budowli piętrzących – jako ONNP wyznaczono 25 zbiorników zaporowych o wysokości zapory powyżej 10 m (dane te prawdopodobnie dotyczą całego kraju, a nie dorzecza Odry),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3. Powodzi od strony morza.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W wyznaczaniu ONNP całkowicie pominięto powodzie opadowe (A12) spowodowane gwałtownymi ulewami, niezwiązane z żadnymi rzekami, choć w dobie zmian klimatu ten typ powodzi nabiera coraz większego znaczenia, szczególnie zagrażając obszarom zurbanizowanym o intensywnej zabudowie i dużym zagęszczeniu ludności. </w:t>
            </w:r>
            <w:r w:rsidRPr="0028666F">
              <w:rPr>
                <w:rFonts w:ascii="Calibri" w:eastAsia="Times New Roman" w:hAnsi="Calibri" w:cs="Calibri"/>
                <w:color w:val="000000"/>
                <w:sz w:val="18"/>
                <w:szCs w:val="18"/>
                <w:lang w:eastAsia="pl-PL"/>
              </w:rPr>
              <w:br/>
              <w:t>Ograniczenie analizy do 3 typów powodzi i zignorowanie pozostałych skwitowano jednym zdaniem na s. 60 „Ze względu na brak łatwo dostępnych danych dotyczących obszarowego zagrożenia powodzią, nie wyznaczono ONNP dla pozostałych typów powodzi.”</w:t>
            </w:r>
            <w:r w:rsidRPr="0028666F">
              <w:rPr>
                <w:rFonts w:ascii="Calibri" w:eastAsia="Times New Roman" w:hAnsi="Calibri" w:cs="Calibri"/>
                <w:color w:val="000000"/>
                <w:sz w:val="18"/>
                <w:szCs w:val="18"/>
                <w:lang w:eastAsia="pl-PL"/>
              </w:rPr>
              <w:br/>
              <w:t>Skupianie się praktycznie tylko na powodzi spowodowanej wylewem rzeki wynika najprawdopodobniej z niejawnego założenia planistów, że decydujące znaczenie dla społeczeństwa i gospodarki maja wyłącznie duże powodzie. Nie jest to do końca słuszne. Warto popatrzeć na dostępne wyniki badań:</w:t>
            </w:r>
            <w:r w:rsidRPr="0028666F">
              <w:rPr>
                <w:rFonts w:ascii="Calibri" w:eastAsia="Times New Roman" w:hAnsi="Calibri" w:cs="Calibri"/>
                <w:color w:val="000000"/>
                <w:sz w:val="18"/>
                <w:szCs w:val="18"/>
                <w:lang w:eastAsia="pl-PL"/>
              </w:rPr>
              <w:br/>
              <w:t>W badaniach zleconych przez Krajowy Zarząd Gospodarki Wodnej (KZGW) ponad 800 gmin zapytanych, jakie powodzie występują u nich najczęściej, odpowiedziało, że powodzie spływowe (spływ po powierzchni terenu), gromadzenie się wody w terenach bezodpływowych, powodzie błyskawiczne rzeczne, a dopiero na 3 – 4 miejscu (w zależności od lokalizacji gminy w Polsce) powodzie spowodowane standardowym wylaniem rzek.</w:t>
            </w:r>
            <w:r w:rsidRPr="0028666F">
              <w:rPr>
                <w:rFonts w:ascii="Calibri" w:eastAsia="Times New Roman" w:hAnsi="Calibri" w:cs="Calibri"/>
                <w:color w:val="000000"/>
                <w:sz w:val="18"/>
                <w:szCs w:val="18"/>
                <w:lang w:eastAsia="pl-PL"/>
              </w:rPr>
              <w:br/>
              <w:t xml:space="preserve">Odrębnym problemem są tzw. powodzie miejskie. Analiza zawartości baz danych Państwowych Straży Pożarnych pokazuje, że powodzie w miastach są częstym zjawiskiem - np. w ciągu 7 lat w Warszawie było ponad 2 000 przypadków interwencji PSP w sprawie zalanej infrastruktury lub obiektów z innych przyczyn niż wylew z rzeki – głównie na skutek opadów. </w:t>
            </w:r>
            <w:r w:rsidRPr="0028666F">
              <w:rPr>
                <w:rFonts w:ascii="Calibri" w:eastAsia="Times New Roman" w:hAnsi="Calibri" w:cs="Calibri"/>
                <w:color w:val="000000"/>
                <w:sz w:val="18"/>
                <w:szCs w:val="18"/>
                <w:lang w:eastAsia="pl-PL"/>
              </w:rPr>
              <w:br/>
              <w:t xml:space="preserve">Suma strat spowodowanych powodziami w Polsce w okresie 1998 – 2009 pokazuje, że straty w tak krótkim okresie sumują się do wielkości strat z powodzi 2010 roku. Oznacza to, że duża częstotliwość małych zdarzeń w stosunkowo krótkim okresie daje straty na takim samym poziomie, jak duże powodzie. </w:t>
            </w:r>
            <w:r w:rsidRPr="0028666F">
              <w:rPr>
                <w:rFonts w:ascii="Calibri" w:eastAsia="Times New Roman" w:hAnsi="Calibri" w:cs="Calibri"/>
                <w:color w:val="000000"/>
                <w:sz w:val="18"/>
                <w:szCs w:val="18"/>
                <w:lang w:eastAsia="pl-PL"/>
              </w:rPr>
              <w:br/>
              <w:t xml:space="preserve">W aPZRP brakuje więc refleksji, że skupianie uwagi na jednym typie powodzi i budowanie w planach standardu działań tylko dla wody 1% jest błędne i prowadzi do pomijania przynajmniej połowy strat, jakie powodzie w Polsce powodują. </w:t>
            </w:r>
          </w:p>
        </w:tc>
        <w:tc>
          <w:tcPr>
            <w:tcW w:w="1720" w:type="dxa"/>
            <w:tcBorders>
              <w:top w:val="nil"/>
              <w:left w:val="nil"/>
              <w:bottom w:val="single" w:sz="4" w:space="0" w:color="auto"/>
              <w:right w:val="single" w:sz="4" w:space="0" w:color="auto"/>
            </w:tcBorders>
            <w:shd w:val="clear" w:color="000000" w:fill="FFFFFF"/>
            <w:hideMark/>
          </w:tcPr>
          <w:p w14:paraId="504283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2BE81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187A3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6DD79D7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B181EC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197</w:t>
            </w:r>
          </w:p>
        </w:tc>
        <w:tc>
          <w:tcPr>
            <w:tcW w:w="970" w:type="dxa"/>
            <w:tcBorders>
              <w:top w:val="nil"/>
              <w:left w:val="nil"/>
              <w:bottom w:val="single" w:sz="4" w:space="0" w:color="auto"/>
              <w:right w:val="nil"/>
            </w:tcBorders>
          </w:tcPr>
          <w:p w14:paraId="6761260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14FC0EA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4CA83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81D91A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rozdz. 5.2</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Uwzględnić powodzi typu A 15 w aPZRP, zweryfikować instrukcje gospodarowania wodą na zbiornikach z uwzględnieniem najnowszych danych i prognoz meteorologicznych i hydrologicznych.</w:t>
            </w:r>
          </w:p>
        </w:tc>
        <w:tc>
          <w:tcPr>
            <w:tcW w:w="2733" w:type="dxa"/>
            <w:tcBorders>
              <w:top w:val="nil"/>
              <w:left w:val="nil"/>
              <w:bottom w:val="single" w:sz="4" w:space="0" w:color="auto"/>
              <w:right w:val="single" w:sz="4" w:space="0" w:color="auto"/>
            </w:tcBorders>
            <w:shd w:val="clear" w:color="auto" w:fill="auto"/>
            <w:hideMark/>
          </w:tcPr>
          <w:p w14:paraId="716A50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6B214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Tekst aPZRP nie wyjaśnia, dlaczego, pomimo wcześniejszych deklaracji, pominięto analizę przestrzenną  powodzi powstałych w wyniku zniszczenia lub uszkodzenia budowli piętrzących (A 15). </w:t>
            </w:r>
            <w:r w:rsidRPr="0028666F">
              <w:rPr>
                <w:rFonts w:ascii="Calibri" w:eastAsia="Times New Roman" w:hAnsi="Calibri" w:cs="Calibri"/>
                <w:color w:val="000000"/>
                <w:sz w:val="18"/>
                <w:szCs w:val="18"/>
                <w:lang w:eastAsia="pl-PL"/>
              </w:rPr>
              <w:br w:type="page"/>
              <w:t>Tekst aPZRP nie wyjaśnia, dlaczego, pomimo wcześniejszych deklaracji, pominięto analizę przestrzenną powodzi powstałych w wyniku zniszczenia lub uszkodzenia budowli piętrzących (A 15). Należy podkreślić, że 5 urządzeń piętrzących klasy I-IV w dorzeczu Odry oceniono jako zagrażające bezpieczeństwu (tab. 5,6), a wg tab. 16 obszar zagrożony awarią budowli piętrzących to 950 km2</w:t>
            </w:r>
          </w:p>
        </w:tc>
        <w:tc>
          <w:tcPr>
            <w:tcW w:w="1720" w:type="dxa"/>
            <w:tcBorders>
              <w:top w:val="nil"/>
              <w:left w:val="nil"/>
              <w:bottom w:val="single" w:sz="4" w:space="0" w:color="auto"/>
              <w:right w:val="single" w:sz="4" w:space="0" w:color="auto"/>
            </w:tcBorders>
            <w:shd w:val="clear" w:color="000000" w:fill="FFFFFF"/>
            <w:hideMark/>
          </w:tcPr>
          <w:p w14:paraId="48C8CE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AB0D0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C2977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23464CF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C0A44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198</w:t>
            </w:r>
          </w:p>
        </w:tc>
        <w:tc>
          <w:tcPr>
            <w:tcW w:w="970" w:type="dxa"/>
            <w:tcBorders>
              <w:top w:val="nil"/>
              <w:left w:val="nil"/>
              <w:bottom w:val="single" w:sz="4" w:space="0" w:color="auto"/>
              <w:right w:val="nil"/>
            </w:tcBorders>
          </w:tcPr>
          <w:p w14:paraId="106B7E6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06DE09B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2898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3680A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5.2.1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Uzupełnić jednostki  w tab. 17. Opisać kryteria poziomów ryzyka powodziowego w tab. 19.</w:t>
            </w:r>
          </w:p>
        </w:tc>
        <w:tc>
          <w:tcPr>
            <w:tcW w:w="2733" w:type="dxa"/>
            <w:tcBorders>
              <w:top w:val="nil"/>
              <w:left w:val="nil"/>
              <w:bottom w:val="single" w:sz="4" w:space="0" w:color="auto"/>
              <w:right w:val="single" w:sz="4" w:space="0" w:color="auto"/>
            </w:tcBorders>
            <w:shd w:val="clear" w:color="auto" w:fill="auto"/>
            <w:hideMark/>
          </w:tcPr>
          <w:p w14:paraId="695B6D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738DBC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Analiza ryzyka powodziowego na obszarze dorzecza Odry - oddziaływanie rzek (rozdz. 5.2.1) zawiera luki, nieścisłości oraz wewnętrzne sprzeczności. Na przykład, brakuje jednostek, w jakich mierzono niektóre wskaźniki w tab. 17, nie opisano kryteriów określenia skali poziomów ryzyka powodziowego w tab. 19, więc nie wiadomo co oznaczają poszczególne poziomy: bardzo niskie, niskie, umiarkowane, wysokie, bardzo wysokie.</w:t>
            </w:r>
          </w:p>
        </w:tc>
        <w:tc>
          <w:tcPr>
            <w:tcW w:w="1720" w:type="dxa"/>
            <w:tcBorders>
              <w:top w:val="nil"/>
              <w:left w:val="nil"/>
              <w:bottom w:val="single" w:sz="4" w:space="0" w:color="auto"/>
              <w:right w:val="single" w:sz="4" w:space="0" w:color="auto"/>
            </w:tcBorders>
            <w:shd w:val="clear" w:color="000000" w:fill="FFFFFF"/>
            <w:hideMark/>
          </w:tcPr>
          <w:p w14:paraId="1F7741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D126A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67DCD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1CC3DB1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B03716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199</w:t>
            </w:r>
          </w:p>
        </w:tc>
        <w:tc>
          <w:tcPr>
            <w:tcW w:w="970" w:type="dxa"/>
            <w:tcBorders>
              <w:top w:val="nil"/>
              <w:left w:val="nil"/>
              <w:bottom w:val="single" w:sz="4" w:space="0" w:color="auto"/>
              <w:right w:val="nil"/>
            </w:tcBorders>
          </w:tcPr>
          <w:p w14:paraId="2E2255C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642B46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1085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CD899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5.2.1, tab. 17, 21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Ujednolicić miary wskaźników niekorzystnych skutków powodzi. Zweryfikować ocenę potencjalnych negatywnych skutków powodzi dla środowiska uwzględniając wrażliwość na wezbrania przedmiotów ochrony dolinowych obszarów ochrony przyrody. Przypisać wskaźnik „ujęcia wody” do kategorii „zdrowie ludzi” i zmienić jego miarę z szt. na liczbę osób.</w:t>
            </w:r>
          </w:p>
        </w:tc>
        <w:tc>
          <w:tcPr>
            <w:tcW w:w="2733" w:type="dxa"/>
            <w:tcBorders>
              <w:top w:val="nil"/>
              <w:left w:val="nil"/>
              <w:bottom w:val="single" w:sz="4" w:space="0" w:color="auto"/>
              <w:right w:val="single" w:sz="4" w:space="0" w:color="auto"/>
            </w:tcBorders>
            <w:shd w:val="clear" w:color="auto" w:fill="auto"/>
            <w:hideMark/>
          </w:tcPr>
          <w:p w14:paraId="0C8F1C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693E00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Poważne wątpliwości budzi wskaźnik „Formy ochrony przyrody” z mierzony różnymi jednostkami w różnych tabelach: % w tab. 17 i km2 w tab. 21. Abstrahując od różnic w sposobie mierzenia tego parametru i braku informacji, których obszarów chronionych to dotyczy i jak liczony jest ów %, należy podkreślić, że zdecydowana większość, jeśli nie wszystkie, form ochrony przyrody w korytach i dolinach rzek, nie jest zagrożona wysokimi stanami wód. Przedmiotem ochrony są w tym wypadku gatunki i siedliska będące częścią ekosystemu rzecznego, a wezbrania są immanentną cechą tego systemu. Mówiąc wprost: duże przepływy przyrodzie rzek nie szkodzą, wbrew przeciwnie – są dla niej niezbędne, jako element naturalnego reżimu hydrologicznego, z którym powiązana jest kondycja ekosystemów wodnych i od wód zależnych. </w:t>
            </w:r>
            <w:r w:rsidRPr="0028666F">
              <w:rPr>
                <w:rFonts w:ascii="Calibri" w:eastAsia="Times New Roman" w:hAnsi="Calibri" w:cs="Calibri"/>
                <w:color w:val="000000"/>
                <w:sz w:val="18"/>
                <w:szCs w:val="18"/>
                <w:lang w:eastAsia="pl-PL"/>
              </w:rPr>
              <w:br/>
              <w:t>Za błędne należy uznać umieszczenie w ww. tabelach wskaźnika „ujęcia wody” w kategorii „środowisko”, skoro zagrożenie dotyczy zdrowia ludzkiego. Zniszczenie ujęć wody nie ma negatywnego wpływu na środowisko, może mieć co najwyżej wpływ pozytywny – renaturyzację rzeki w przypadku zniszczenia budowli piętrzącej. Ma natomiast oczywisty wpływ na zdrowie i życie ludzkie. Miarą zagrożenie powinna być liczba ludności korzystającej z zagrożonych ujęć, a nie liczba samych ujęć. Dużo poważniejsze skutki będzie miało zniszczenie jednego ujęcia, z którego korzysta kilkaset tysięcy mieszkańców, niż kilku/kilkunastu ujęć lokalnych dla kilkunastu/kilkudziesięciu  tysięcy ludzi.</w:t>
            </w:r>
          </w:p>
        </w:tc>
        <w:tc>
          <w:tcPr>
            <w:tcW w:w="1720" w:type="dxa"/>
            <w:tcBorders>
              <w:top w:val="nil"/>
              <w:left w:val="nil"/>
              <w:bottom w:val="single" w:sz="4" w:space="0" w:color="auto"/>
              <w:right w:val="single" w:sz="4" w:space="0" w:color="auto"/>
            </w:tcBorders>
            <w:shd w:val="clear" w:color="000000" w:fill="FFFFFF"/>
            <w:hideMark/>
          </w:tcPr>
          <w:p w14:paraId="0AA34D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EEB8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2366B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20FE63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B9A8F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200</w:t>
            </w:r>
          </w:p>
        </w:tc>
        <w:tc>
          <w:tcPr>
            <w:tcW w:w="970" w:type="dxa"/>
            <w:tcBorders>
              <w:top w:val="nil"/>
              <w:left w:val="nil"/>
              <w:bottom w:val="single" w:sz="4" w:space="0" w:color="auto"/>
              <w:right w:val="nil"/>
            </w:tcBorders>
          </w:tcPr>
          <w:p w14:paraId="0D933BB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646668E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D2E0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FF68BC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5.2, 5.3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Opisać metodykę obliczania zintegrowanego ryzyka powodziowego oraz wyznaczania obszarów problemowych. Usunąć błędy dot. przyjętych miar wskaźników i ich przypisania do poszczególnych kategorii. Zweryfikować wyznaczenie OP, pozostawiając tylko te OP, które wynikają wyłącznie z obliczeń, bez manipulacji ocenami eksperckimi.</w:t>
            </w:r>
          </w:p>
        </w:tc>
        <w:tc>
          <w:tcPr>
            <w:tcW w:w="2733" w:type="dxa"/>
            <w:tcBorders>
              <w:top w:val="nil"/>
              <w:left w:val="nil"/>
              <w:bottom w:val="single" w:sz="4" w:space="0" w:color="auto"/>
              <w:right w:val="single" w:sz="4" w:space="0" w:color="auto"/>
            </w:tcBorders>
            <w:shd w:val="clear" w:color="auto" w:fill="auto"/>
            <w:hideMark/>
          </w:tcPr>
          <w:p w14:paraId="305D476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058838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Wątpliwości budzi wskaźnik średnia roczna wysokość strat powodziowych (AAD). W tab. 20 wartość AAD dla powodzi rzecznych o mechanizmie naturalnego wezbrania określono na 1,35 mld zł, natomiast dla powodzi rzecznych powstałych w wyniku przelania lub zniszczenia obwałowań przeciwpowodziowych – 54,12 mld zł. W dostępnych dokumentach brak jest precyzyjnej informacji, jak ten wskaźnik został obliczony. Można się domyślać, że dla powodzi A 11 jest sumą strat powodowanych przez powodzie 10%, 1% i 0,2% na całym obszarze zagrożonym takimi powodziami. W Metodyce (s. 89) możemy przeczytać jednak, że wskaźnik ten nie miał być obliczany dla powodzi A23 z uwagi na brak danych o zasięgu strat powodowanych uszkodzeniem obwałowań przez powodzie o prawdopodobieństwie 10% i 0,2%. Przyjęcie założenia, że traktujemy wszystkie wały, niezależnie od ich stanu, położenia, technologii wykonania, jako narażone na uszkodzenie jest absurdalne, więc obliczony wskaźnik jest całkowicie nieprzydatny. Co więcej, liczenie efektywności ekonomicznej działań planowanych w obszarach zagrożonych powodziami typu A 23, nie ma podstaw merytorycznych i jest sporym błędem metodycznym. Takie podejście sprawia, że w kolejnym cyklu planistycznym, zakładając, że uda się zbudować przynajmniej część obwałowań, wielkość potencjalnych strat od powodzi A23 będzie jeszcze większa!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tekstu aPZRP dowiadujemy się, że ostateczne wyznaczenie tzw. obszarów problemowych (OP) odbyło się na podstawie wartości zintegrowanego ryzyka powodziowego (zrp) uzupełnionego oceną ekspercką. aPZRP nie definiuje czym to tajemnicze zrp jest, ani jak się je oblicza. Można się domyśleć, że ma to jakiś związek z danymi zawartymi w tab. 21. Zasady obliczania zrp oraz wyznaczania OP zostały opisane w Metodyce, która jednakże nie jest dokumentem udostępnionym i podlegającym konsultacjom. Wyznaczanie OP jest obarczone tak wieloma błędami i manipulacjami, że nie może stanowić podstawy definiowania działań, będących kwintesencją aPZRP:</w:t>
            </w:r>
            <w:r w:rsidRPr="0028666F">
              <w:rPr>
                <w:rFonts w:ascii="Calibri" w:eastAsia="Times New Roman" w:hAnsi="Calibri" w:cs="Calibri"/>
                <w:color w:val="000000"/>
                <w:sz w:val="18"/>
                <w:szCs w:val="18"/>
                <w:lang w:eastAsia="pl-PL"/>
              </w:rPr>
              <w:br/>
              <w:t>Po pierwsze – błędnie wyznaczono zakres kategorii wskaźników, np. zaliczając ujęcia wody do kategorii środowisko, a nie zdrowie ludzi;</w:t>
            </w:r>
            <w:r w:rsidRPr="0028666F">
              <w:rPr>
                <w:rFonts w:ascii="Calibri" w:eastAsia="Times New Roman" w:hAnsi="Calibri" w:cs="Calibri"/>
                <w:color w:val="000000"/>
                <w:sz w:val="18"/>
                <w:szCs w:val="18"/>
                <w:lang w:eastAsia="pl-PL"/>
              </w:rPr>
              <w:br/>
              <w:t>Po drugie – błędnie przyjęto miary wskaźników, np. liczba ujęć wody zamiast liczby korzystających z nich mieszkańców, liczba cmentarzy zamiast ich powierzchnia, liczba składowisk odpadów zamiast objętości tych odpadów, liczba przepompowni i oczyszczalni ścieków zamiast dobowej lub miesięcznej przepustowości w m3;</w:t>
            </w:r>
            <w:r w:rsidRPr="0028666F">
              <w:rPr>
                <w:rFonts w:ascii="Calibri" w:eastAsia="Times New Roman" w:hAnsi="Calibri" w:cs="Calibri"/>
                <w:color w:val="000000"/>
                <w:sz w:val="18"/>
                <w:szCs w:val="18"/>
                <w:lang w:eastAsia="pl-PL"/>
              </w:rPr>
              <w:br/>
              <w:t>Po trzecie – obliczone (nie wdajemy się w dyskusję, czy obliczenie było prawidłowe) wagi poszczególnych kategorii wskaźników służące obliczeniu zrp zostały, jak napisano w Metodyce (s. 72), „zweryfikowane metodą ekspercką”. Skutkiem tej manipulacji waga kategorii „zdrowie ludzi” została zmniejszona o 30%, waga „środowisko” jest najmniejsza, choć wg obliczeń znajdowała się na 2. miejscu, a waga kategorii „działalność gospodarcza” wyrażona wartością unikniętych strat została „ekspercko” zwiększona czterokrotnie.</w:t>
            </w:r>
            <w:r w:rsidRPr="0028666F">
              <w:rPr>
                <w:rFonts w:ascii="Calibri" w:eastAsia="Times New Roman" w:hAnsi="Calibri" w:cs="Calibri"/>
                <w:color w:val="000000"/>
                <w:sz w:val="18"/>
                <w:szCs w:val="18"/>
                <w:lang w:eastAsia="pl-PL"/>
              </w:rPr>
              <w:br/>
              <w:t xml:space="preserve">Po czwarte – Jak napisano w tekście aPZRP dla obszaru dorzecza Odry na s. 84, „zostały one (obszary problemowe) określone na podstawie analizy przestrzennego rozkładu ryzyka powodziowego oraz oceny eksperckiej (zwłaszcza administracji odpowiedzialnej za zarządzanie zasobami wodnymi), która umożliwiła uwzględnienie problemów zarządzania ryzykiem powodziowym wynikających z przyczyn wykraczających poza zakres analizy przestrzennego rozkładu ryzyka powodziowego (tj. poza zakres MZP/MRP).” Skutkiem ingerencji „administracji odpowiedzialnej za zarządzanie zasobami wodnymi”, niektóre OP zostały wyznaczone dla obszarów, w których do tej pory zagrożenie powodziowe nie było istotnym problemem, </w:t>
            </w:r>
            <w:r w:rsidRPr="0028666F">
              <w:rPr>
                <w:rFonts w:ascii="Calibri" w:eastAsia="Times New Roman" w:hAnsi="Calibri" w:cs="Calibri"/>
                <w:color w:val="000000"/>
                <w:sz w:val="18"/>
                <w:szCs w:val="18"/>
                <w:lang w:eastAsia="pl-PL"/>
              </w:rPr>
              <w:br/>
              <w:t>Skutkiem ingerencji „administracji odpowiedzialnej za zarządzanie zasobami wodnymi”, niektóre OP zostały wyznaczone dla obszarów, w których do tej pory zagrożenie powodziowe nie było istotnym problemem, o czym szczegółowo napisano w kolejnej uwadze (7).</w:t>
            </w:r>
          </w:p>
        </w:tc>
        <w:tc>
          <w:tcPr>
            <w:tcW w:w="1720" w:type="dxa"/>
            <w:tcBorders>
              <w:top w:val="nil"/>
              <w:left w:val="nil"/>
              <w:bottom w:val="single" w:sz="4" w:space="0" w:color="auto"/>
              <w:right w:val="single" w:sz="4" w:space="0" w:color="auto"/>
            </w:tcBorders>
            <w:shd w:val="clear" w:color="000000" w:fill="FFFFFF"/>
            <w:hideMark/>
          </w:tcPr>
          <w:p w14:paraId="55E375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19BF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0DC5D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3677357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30D8C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201</w:t>
            </w:r>
          </w:p>
        </w:tc>
        <w:tc>
          <w:tcPr>
            <w:tcW w:w="970" w:type="dxa"/>
            <w:tcBorders>
              <w:top w:val="nil"/>
              <w:left w:val="nil"/>
              <w:bottom w:val="single" w:sz="4" w:space="0" w:color="auto"/>
              <w:right w:val="nil"/>
            </w:tcBorders>
          </w:tcPr>
          <w:p w14:paraId="1EF9E8B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4613AC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118A1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8FEA1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5.3, tab. 23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Zweryfikować listę obszarów problemowych. Pozostawić wyłącznie te obszary, w których ryzyko powodziowe jest realne, wynika z danych historycznych oraz obecnych i prognozowanych danych meteorologicznych i hydrologicznych. Usunąć wszystkie OP, które znalazły się na liście wyłącznie z powodu planowanych lub rozpoczętych inwestycji o deklarowanym celu przeciwpowodziowym. OP do usunięta to m.in. Rega-Gryfice. Rega-Resko, Polnica-Sianów, Odra-Opole, Lesznica-Wodzisław Śląski, Odra-Wrocław, Gwda-Piła, Noteć-Drezenko, Warta-Puszczykowo, Warta-Śrem, Warta-Gorzów).</w:t>
            </w:r>
          </w:p>
        </w:tc>
        <w:tc>
          <w:tcPr>
            <w:tcW w:w="2733" w:type="dxa"/>
            <w:tcBorders>
              <w:top w:val="nil"/>
              <w:left w:val="nil"/>
              <w:bottom w:val="single" w:sz="4" w:space="0" w:color="auto"/>
              <w:right w:val="single" w:sz="4" w:space="0" w:color="auto"/>
            </w:tcBorders>
            <w:shd w:val="clear" w:color="auto" w:fill="auto"/>
            <w:hideMark/>
          </w:tcPr>
          <w:p w14:paraId="1B7CA0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738DF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całym kraju wyznaczono 118 obszarów problemowych. Zajmują około 5,6% powierzchni Polski. Powierzchnia obszarów problemowych jest bardzo zróżnicowana: największy z nich jest ponad 20 razy większy niż miasto Warszawa – ma 3 356 km2, najmniejszy obszar ma powierzchnię 4 razy większą niż krakowskie Błonia – 0,14 km2. Wątpliwości budzi tak duże zróżnicowanie powierzchni wyznaczonych obszarów problemowych: powierzchnia najmniejszego to 0,004% część największego obszaru. Oczywiście powierzchnia nie jest decydująca, bo wybór powinien nastąpić na podstawie wielkości ryzyka (opisu kryteriów i zasad wyboru nie ma w konsultowanych dokumentach), ale można mieć poważne wątpliwości, czy obszar miejscowości Jawor nad Nysą Szaloną, czy Bogatynia charakteryzuje się istotnie większym ryzykiem niż wiele innych miejscowości w Polsce. Powstaje pytanie dlaczego one właśnie zostały wybrane jako OP. Można obawiać się, że tylko dlatego, że dla nich już wcześniej zaplanowano jakieś rozwiązania (inwestycje).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Listę 56 obszarów problemowych w dorzeczu Odry zawiera tab. 23. Lista zawiera zarówno obszary o niewielkim stopniu zagospodarowania i niewielkim zaludnieniu, ze wskazaniem w charakterystyce zagrożenia obszarów polnych i leśnych, jak i obszary zurbanizowane, gdzie potencjale straty powodziowe mogą być duże. Ponieważ nie przedstawiono zasad obliczania zintegrowanego ryzyka powodziowego, nie wiemy na ile lista ta rzeczywiście odzwierciedla rozkład przestrzenny bieżącego i prognozowanego (z uwzględnieniem skutków zmian klimatycznych) ryzyka powodziowego. Z uwagi na ww. braki w podstawowej informacji dot. metodyki wyznaczania OP, nie ma możliwości sprawdzenia czy umieszczenie poszczególnych obszarów na liście OP jest uzasadnione. Również charakterystyki obszarów problemowych nie dają możliwości oceny poszczególnych pozycji, gdyż w większości pozycji to klasyczna licentia poetica, bez żadnych danych liczbowych na temat strat powodziowych. Znalazło się tam np. takie sformułowanie: „Umiarkowany poziom dla ryzyka wypadkowego”. Nie wiadomo, czy chodzi o zagrożenie utonięciem podczas kąpieli przy wysokim stanie wód, czy może dotyczy to wypadków jednostek pływających. </w:t>
            </w:r>
            <w:r w:rsidRPr="0028666F">
              <w:rPr>
                <w:rFonts w:ascii="Calibri" w:eastAsia="Times New Roman" w:hAnsi="Calibri" w:cs="Calibri"/>
                <w:color w:val="000000"/>
                <w:sz w:val="18"/>
                <w:szCs w:val="18"/>
                <w:lang w:eastAsia="pl-PL"/>
              </w:rPr>
              <w:br/>
              <w:t xml:space="preserve">Co więcej, charakterystyki dla poszczególnych OP wielokrotnie tworzone są metodą „Cut &amp; Paste”. Przykładowo, w pierwszych 8 pozycjach napisano: „Zagrożenie powodziowe związane jest głównie z wystąpieniem wysokich przepływów w rzece, obserwowanych w czasie przechodzenia wezbrań roztopowych i opadowych.” Charakterystyki mają bardzo różny poziom szczegółowości: od jednozdaniowych, jak w poz. 15 OP Odra-Wrocław: „Ryzyko związane z awarią obwałowań rzeki Odry na odcinku od Opola do Malczyc”, po rozbudowane, jak w poz. 19 OP Kruszwica-Gopło-K.Ślesiński. Nie oznacza to, że obszerny opis umożliwia ocenę poprawności wyznaczenia OP. </w:t>
            </w:r>
            <w:r w:rsidRPr="0028666F">
              <w:rPr>
                <w:rFonts w:ascii="Calibri" w:eastAsia="Times New Roman" w:hAnsi="Calibri" w:cs="Calibri"/>
                <w:color w:val="000000"/>
                <w:sz w:val="18"/>
                <w:szCs w:val="18"/>
                <w:lang w:eastAsia="pl-PL"/>
              </w:rPr>
              <w:br/>
              <w:t>Z uwagi na brak danych umożliwiających obiektywną ocenę zasadności wyznaczenia poszczególnych OP, zdecydowano się na ocenę opartą na 1/ dokumentach dostępnych dla wszystkich gmin - programów ochrony środowiska (POŚ), zawierających m.in. ocenę zasobów wodnych i zagrożenia powodziowego, 2/ danych dostępnych w innych częściach aPZRP, 3/ doświadczeniu eksperckim i logice wywodu. Ocenę ograniczono do wybranych obszarów problemowych, zazwyczaj obejmujących teren 1-2 gmin. Ocena dla części OP nie była możliwa z uwagi na brak dostępności programów ochrony środowiska na stronach BIP poszczególnych gmin. Taka „wyrywkowa” ocena wykazała, że znaczna część wytypowanych obszarów problemowych nie znajduje odzwierciedlenia w POŚ. Oznacza to, że gminy nie zidentyfikowały zagrożenia powodziowego w swoich podstawowych dokumentach dotyczących środowiska. W skrajnym przypadku dotyczącym OP Polnica - Sianów, dla którego w charakterystyce OP wpisano „Zagrożenie powodziowe związane jest głównie z wystąpieniem wysokich przepływów w rzece, obserwowanych w czasie przechodzenia wezbrań roztopowych i opadowych”, w POŚ Gminy Sianów w analizie SWOT dotyczących zasobów wodnych w mocnych stronach wpisano "brak zagrożenia powodziowego"(sic!).</w:t>
            </w:r>
            <w:r w:rsidRPr="0028666F">
              <w:rPr>
                <w:rFonts w:ascii="Calibri" w:eastAsia="Times New Roman" w:hAnsi="Calibri" w:cs="Calibri"/>
                <w:color w:val="000000"/>
                <w:sz w:val="18"/>
                <w:szCs w:val="18"/>
                <w:lang w:eastAsia="pl-PL"/>
              </w:rPr>
              <w:br/>
              <w:t>Przeprowadzona ocena wyznaczania OP wykazała, że przynajmniej 12 z 56 OP w dorzeczu Odry, t.j. ponad 20% zostało wyznaczonych błędnie. Zważywszy, że przeanalizowano tylko część OP, skala błędu jest zapewne dużo większa</w:t>
            </w:r>
          </w:p>
        </w:tc>
        <w:tc>
          <w:tcPr>
            <w:tcW w:w="1720" w:type="dxa"/>
            <w:tcBorders>
              <w:top w:val="nil"/>
              <w:left w:val="nil"/>
              <w:bottom w:val="single" w:sz="4" w:space="0" w:color="auto"/>
              <w:right w:val="single" w:sz="4" w:space="0" w:color="auto"/>
            </w:tcBorders>
            <w:shd w:val="clear" w:color="000000" w:fill="FFFFFF"/>
            <w:hideMark/>
          </w:tcPr>
          <w:p w14:paraId="7BD3D6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8D679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6FC41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5511B29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64A037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202</w:t>
            </w:r>
          </w:p>
        </w:tc>
        <w:tc>
          <w:tcPr>
            <w:tcW w:w="970" w:type="dxa"/>
            <w:tcBorders>
              <w:top w:val="nil"/>
              <w:left w:val="nil"/>
              <w:bottom w:val="single" w:sz="4" w:space="0" w:color="auto"/>
              <w:right w:val="nil"/>
            </w:tcBorders>
          </w:tcPr>
          <w:p w14:paraId="30730CA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48B8124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8A29B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138C4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6.2</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Zredefiniować listę celów aPZRP, tak aby były precyzyjne klarowne, zrozumiałe, rzeczywiście dotyczyły różnych celów i umożliwiały przyporządkowanie różnym celom różnych typów działań, a w konsekwencji – konkretnych rozwiązań.</w:t>
            </w:r>
          </w:p>
        </w:tc>
        <w:tc>
          <w:tcPr>
            <w:tcW w:w="2733" w:type="dxa"/>
            <w:tcBorders>
              <w:top w:val="nil"/>
              <w:left w:val="nil"/>
              <w:bottom w:val="single" w:sz="4" w:space="0" w:color="auto"/>
              <w:right w:val="single" w:sz="4" w:space="0" w:color="auto"/>
            </w:tcBorders>
            <w:shd w:val="clear" w:color="auto" w:fill="auto"/>
            <w:hideMark/>
          </w:tcPr>
          <w:p w14:paraId="29C813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7B92B2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Sformułowanie celów jest logicznym i ważnym elementem planu. We wszystkich aPZRP wyróżniono 3 cele główne: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1. Zahamowanie wzrostu ryzyka powodziowego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2. Obniżenie istniejącego ryzyka powodziowego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3. Poprawa systemu zarządzania ryzykiem powodziowym </w:t>
            </w:r>
            <w:r w:rsidRPr="0028666F">
              <w:rPr>
                <w:rFonts w:ascii="Calibri" w:eastAsia="Times New Roman" w:hAnsi="Calibri" w:cs="Calibri"/>
                <w:color w:val="000000"/>
                <w:sz w:val="18"/>
                <w:szCs w:val="18"/>
                <w:lang w:eastAsia="pl-PL"/>
              </w:rPr>
              <w:br/>
              <w:t xml:space="preserve">Wydaje się, że cel trzeci został wyróżniony sztucznie, bo poprawa systemu zarządzania służy przede wszystkim obniżeniu ryzyka powodziowego (lepsze zarządzanie = mniejsze straty), ale może też służyć zahamowaniu wzrostu ryzyka (lepsze zarządzanie = wolniej rosnące ryzyko i mniejszy przyrost powierzchni i wartości obszarów zagrożonych). Gdyby uznać, że cel ten obejmuje wszystkie działania, dla których nie ma możliwości ustalenia wskaźników mierzalnych, a mimo to pozytywnie wpływa na redukcję obecnego ryzyka powodziowego i przyczynia się do ograniczenia wzrostu tego ryzyka w przyszłości (poprawa prognozowania, budowa i poprawa skuteczności systemów ostrzeżeń, itp.) można by uznać jego zasadność, ale w tym wypadku należałoby zmienić metodykę wyboru i weryfikacji działań. </w:t>
            </w:r>
            <w:r w:rsidRPr="0028666F">
              <w:rPr>
                <w:rFonts w:ascii="Calibri" w:eastAsia="Times New Roman" w:hAnsi="Calibri" w:cs="Calibri"/>
                <w:color w:val="000000"/>
                <w:sz w:val="18"/>
                <w:szCs w:val="18"/>
                <w:lang w:eastAsia="pl-PL"/>
              </w:rPr>
              <w:br/>
              <w:t>Podział celów 1 (Zahamowanie wzrostu ryzyka powodziowego) i 2 (Obniżenie istniejącego ryzyka powodziowego) jest niejasny i mylący. Skutek jest taki, że zespoły planistyczne obu celom przyporządkowały takie same lub bardzo podobne działania. Żeby dodatkowo skomplikować percepcję planów cele szczegółowe zostały tak sformułowane, że trudno zorientować się, o co w nich chodzi, a niektóre różnice pomiędzy celami szczegółowymi przyporządkowanymi różnym celom głównym, to wyłącznie różnice semantyczne. Czym różni się cel 1.1 Zapewnienie warunków ograniczających możliwość występowania powodzi od celu 2.1 Zapewnienie warunków redukujących możliwość występowania powodzi trudno zgadnąć. Podobnie: 1.2 Zapewnienie racjonalnego gospodarowania obszarami zagrożenia powodziowego od 2.2 Redukcja obszaru zagrożonego powodzią oraz zapewnienie racjonalnego gospodarowania obszarami zagrożenia powodziowego.</w:t>
            </w:r>
            <w:r w:rsidRPr="0028666F">
              <w:rPr>
                <w:rFonts w:ascii="Calibri" w:eastAsia="Times New Roman" w:hAnsi="Calibri" w:cs="Calibri"/>
                <w:color w:val="000000"/>
                <w:sz w:val="18"/>
                <w:szCs w:val="18"/>
                <w:lang w:eastAsia="pl-PL"/>
              </w:rPr>
              <w:br/>
              <w:t>Przypisywanie działań poszczególnym celom głównym przebiegało różnie dla różnych dorzeczy, co wskazuje na brak wytycznych w czasie sporządzania planów dla zespołów planistycznych. Dla przykładu w działaniach dla dorzecza Wisły planiści starali się umieszczać modernizacje, remonty i przebudowy wałów w podcelu 2.1, a budowę nowych odcinków w 1.1. Można by uznać, że jest w tym jakaś logika. Ale w przypadku budowy zbiorników już nie ma takiego rozróżnienia. Budowa zbiorników jest i w jednym i w drugim podcelu. Natomiast dla planów dla dorzecza Odry jest w pewnych zakresach odwrotnie. Nowe zbiorniki są przyporządkowywane do podcelu 2.1 (13 nowych zbiorników), a modernizacje tego rodzaju obiektów do podcelu 1.1. (11 działań obejmujących modernizacje zbiorników i 1 działanie obejmujące nowy zbiornik). Działania dotyczące wałów są przyporządkowane odwrotnie niż w planie dla dorzecza Wisły: do podcelu 1.1. przyporządkowano 20 działań modernizacji wałów, a dla podcelu 2.1. 6 działań obejmujących likwidację obwałowań.</w:t>
            </w:r>
            <w:r w:rsidRPr="0028666F">
              <w:rPr>
                <w:rFonts w:ascii="Calibri" w:eastAsia="Times New Roman" w:hAnsi="Calibri" w:cs="Calibri"/>
                <w:color w:val="000000"/>
                <w:sz w:val="18"/>
                <w:szCs w:val="18"/>
                <w:lang w:eastAsia="pl-PL"/>
              </w:rPr>
              <w:br/>
              <w:t xml:space="preserve">Nasuwa się jeden wniosek, że demarkacja pomiędzy celami jest nieklarowna, nie przeprowadzono szkoleń albo nie napisano poradnika dla zespołów planistycznych, a po wypełnieniu przez te zespoły list działań zabrakło superwizora, który by niekonsekwencje w poszczególnych planach skorygował. </w:t>
            </w:r>
            <w:r w:rsidRPr="0028666F">
              <w:rPr>
                <w:rFonts w:ascii="Calibri" w:eastAsia="Times New Roman" w:hAnsi="Calibri" w:cs="Calibri"/>
                <w:color w:val="000000"/>
                <w:sz w:val="18"/>
                <w:szCs w:val="18"/>
                <w:lang w:eastAsia="pl-PL"/>
              </w:rPr>
              <w:br/>
              <w:t>Można się zastanowić jak powinno być? To oczywiście kwestia umowy. W wielu krajach rozróżnia się jednak wyraźnie co jest dbałością o nie dopuszczenia do rozwoju ryzyka w przyszłości i redukowania obecnego – dzisiejszego ryzyka. Nie uważa się i trudno się z tym nie zgodzić, by takie działania jak budowa wałów, zbiorników, czy regulacje rzek i inne działania hydrotechniczne miały jakikolwiek wpływ na zahamowanie/ograniczenie wzrostu ryzyka powodziowego. One redukują ryzyko identyfikowane obecnie. Redukcja ryzyka w przyszłości polega głownie na niedopuszczaniu do wrażliwej na powodzie zabudowy terenów zalewowych , wdrażaniu  norm budowlanych dla obiektów, wykupie przez państwo gruntów wzdłuż rzek, by zapobiec zabudowie w przyszłości, na zachowaniu istniejącej i przywracaniu utraconej retencji naturalnej zlewni rzek lub na działaniach ograniczających skutki zmian klimatu. Budowa i modernizacja obiektów hydrotechnicznych jest uważana za ograniczanie obecnie istniejącego ryzyka. Można się umówić inaczej, ale podstawową zasadą jest konsekwencja stosowania przyjętej kategoryzacji, czego w aPZRP dla dorzeczy Odry i Wisły zabrakło. To powoduje, że zamiast planów mamy do czynienia z listą działań niemożliwą do logicznej interpretacji.</w:t>
            </w:r>
          </w:p>
        </w:tc>
        <w:tc>
          <w:tcPr>
            <w:tcW w:w="1720" w:type="dxa"/>
            <w:tcBorders>
              <w:top w:val="nil"/>
              <w:left w:val="nil"/>
              <w:bottom w:val="single" w:sz="4" w:space="0" w:color="auto"/>
              <w:right w:val="single" w:sz="4" w:space="0" w:color="auto"/>
            </w:tcBorders>
            <w:shd w:val="clear" w:color="000000" w:fill="FFFFFF"/>
            <w:hideMark/>
          </w:tcPr>
          <w:p w14:paraId="45CC41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8022A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61F97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44133AF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FDBC6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203</w:t>
            </w:r>
          </w:p>
        </w:tc>
        <w:tc>
          <w:tcPr>
            <w:tcW w:w="970" w:type="dxa"/>
            <w:tcBorders>
              <w:top w:val="nil"/>
              <w:left w:val="nil"/>
              <w:bottom w:val="single" w:sz="4" w:space="0" w:color="auto"/>
              <w:right w:val="nil"/>
            </w:tcBorders>
          </w:tcPr>
          <w:p w14:paraId="7B326C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5877633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266D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8503B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rozdz. 7, załączniki 1 i 2, geobaza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Uporządkować i ujednolicić listy i kategorie działań w różnych dokumentach aPZRP – załączniki, geobaza, zmienić tytuły i opisy działań, aby jednoznacznie opisywały, czego dotyczą oraz przypisać je do dorzeczy, regionów wodnych i OP. Usunąć działania, których zakres jest nieznany/nieokreślony, m.in.: Działania wskazane w Master Planie dla zlewni Bóbr (Uwaga zgłaszającego uwagę – taki Master Plan nie istnieje!), Ochrona przeciwpowodziowa doliny rzeki Nysy Kłodzkiej, Ochrona przeciwpowodziowa doliny rzeki Białej Lądeckiej i rzeki Morawki, Ochrona przeciwpowodziowa doliny rzeki Bystrzycy Dusznickiej i rzeki Kamienny Potok, Koncepcja zabezpieczenia przeciwpowodziowego- Modernizacja zbiornika wodnego Nysa w zakresie bezpieczeństwa przeciwpowodziowego - etap II, Poprawa stanu bezpieczeństwa przeciwpowodziowego w górnym dorzeczu Wisły i Odry, Retencja korytowa - Program nawodnień rolniczych w ramach przeciwdziałania skutkom suszy na terenie działania Zarządu Zlewni w Gryficach.</w:t>
            </w:r>
          </w:p>
        </w:tc>
        <w:tc>
          <w:tcPr>
            <w:tcW w:w="2733" w:type="dxa"/>
            <w:tcBorders>
              <w:top w:val="nil"/>
              <w:left w:val="nil"/>
              <w:bottom w:val="single" w:sz="4" w:space="0" w:color="auto"/>
              <w:right w:val="single" w:sz="4" w:space="0" w:color="auto"/>
            </w:tcBorders>
            <w:shd w:val="clear" w:color="auto" w:fill="auto"/>
            <w:hideMark/>
          </w:tcPr>
          <w:p w14:paraId="5919B7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4A9896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Udostępnione źródła dot. aPZRP Odry nie są informacyjnie spójne. Poza dokumentami przygotowanymi w formacie PDF (https://stoppowodzi.pl/projekty-apzrp/), PGW WP udostępniło informacje o planowanych działaniach w dwóch postaciach/formatach:</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1/Załączników do planów zawierających listy działań w formacie XLSX dla każdego planu oddzielnie (https://stoppowodzi.pl/listy-dzialan-w-formacie-excel/);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2/Geobazy zawierającej informacje przestrzenne w formacie SHP dla wszystkich działań ze wszystkich regionów wodnych razem dostępnej na stronach https://stoppowodzi.pl/geobaza/.</w:t>
            </w:r>
            <w:r w:rsidRPr="0028666F">
              <w:rPr>
                <w:rFonts w:ascii="Calibri" w:eastAsia="Times New Roman" w:hAnsi="Calibri" w:cs="Calibri"/>
                <w:color w:val="000000"/>
                <w:sz w:val="18"/>
                <w:szCs w:val="18"/>
                <w:lang w:eastAsia="pl-PL"/>
              </w:rPr>
              <w:br w:type="page"/>
              <w:t xml:space="preserve">W geobazie są dostępne dwa źródła informacji o działaniach proponowanych w aPZRP dla wszystkich dorzeczy: jedna to warstwy tematyczne, takie, jak: zbiorniki, wały, jazy itd. Druga to jedna z warstw geobazy, która zawiera wszystkie działania, czyli 1140 i jest przygotowana w formacie xlsx. Obie formy nie pokrywają się całkowicie, np. w warstwie tematycznej „zbiorniki (a000009)” liczba działań wynosi 129, z warstwy podsumowującej wynika, że zbiorników jest 116. To samo dotyczy obwałowań: działań zawartych w warstwie tematycznej jest 554, zaś z warstwy podsumowującej wynika, że jest ich 452 (różnica prawie 20%!). </w:t>
            </w:r>
            <w:r w:rsidRPr="0028666F">
              <w:rPr>
                <w:rFonts w:ascii="Calibri" w:eastAsia="Times New Roman" w:hAnsi="Calibri" w:cs="Calibri"/>
                <w:color w:val="000000"/>
                <w:sz w:val="18"/>
                <w:szCs w:val="18"/>
                <w:lang w:eastAsia="pl-PL"/>
              </w:rPr>
              <w:br w:type="page"/>
              <w:t>Różnią się również dane z geobazy i z tabel XLSX, co bardzo utrudnia analizy,. szczególnie, że działania w geobazie nie są przypisane do dorzeczy, czy regionów wodnych (brak takich atrybutów).</w:t>
            </w:r>
            <w:r w:rsidRPr="0028666F">
              <w:rPr>
                <w:rFonts w:ascii="Calibri" w:eastAsia="Times New Roman" w:hAnsi="Calibri" w:cs="Calibri"/>
                <w:color w:val="000000"/>
                <w:sz w:val="18"/>
                <w:szCs w:val="18"/>
                <w:lang w:eastAsia="pl-PL"/>
              </w:rPr>
              <w:br w:type="page"/>
              <w:t xml:space="preserve">Warto też podkreślić, że opisy działań we wszystkich tabelach są niezwykle chaotyczne, niejednorodne i nie są przygotowane wg określonych standardów. Stąd, zorientowanie się czego poszczególne działania dotyczą, w pewnych przypadkach jest bardzo trudne, czasami wręcz niemożliwe. </w:t>
            </w:r>
            <w:r w:rsidRPr="0028666F">
              <w:rPr>
                <w:rFonts w:ascii="Calibri" w:eastAsia="Times New Roman" w:hAnsi="Calibri" w:cs="Calibri"/>
                <w:color w:val="000000"/>
                <w:sz w:val="18"/>
                <w:szCs w:val="18"/>
                <w:lang w:eastAsia="pl-PL"/>
              </w:rPr>
              <w:br w:type="page"/>
              <w:t>Można odnieść wrażenie, że nie przygotowano żadnych standardów opisu działań i każdy zespół planistyczny robił to inaczej. W efekcie, w tabelach są tytuły działań niepełnych informacyjnie, niezrozumiałe lub wręcz groteskowe. Tak naprawdę uniemożliwia to analizę działań, poznanie ich zakresu, bo nazwa/tytuł działania w załączniku nr 1 do planów jest jedynym źródłem informacji o tym działaniu.</w:t>
            </w:r>
            <w:r w:rsidRPr="0028666F">
              <w:rPr>
                <w:rFonts w:ascii="Calibri" w:eastAsia="Times New Roman" w:hAnsi="Calibri" w:cs="Calibri"/>
                <w:color w:val="000000"/>
                <w:sz w:val="18"/>
                <w:szCs w:val="18"/>
                <w:lang w:eastAsia="pl-PL"/>
              </w:rPr>
              <w:br w:type="page"/>
              <w:t xml:space="preserve">Jedynym miejscem, zawierającym opisy działań jest wspomniany wcześniej zbiór w geobazie zawierający zestawienie wszystkich działań. Ale ze względu na to, że jest elementem geobazy, trzeba uznać, że jest on niedostępny dla 99% odbiorców biorących udział w konsultacjach społecznych. Informacja o działaniu powinna również zawierać informację, na jakim etapie jest proces projektowy, czy inwestycyjny: czy działanie dotyczy wykonania koncepcji, czy studium wykonalności, czy wdrożenia. </w:t>
            </w:r>
            <w:r w:rsidRPr="0028666F">
              <w:rPr>
                <w:rFonts w:ascii="Calibri" w:eastAsia="Times New Roman" w:hAnsi="Calibri" w:cs="Calibri"/>
                <w:color w:val="000000"/>
                <w:sz w:val="18"/>
                <w:szCs w:val="18"/>
                <w:lang w:eastAsia="pl-PL"/>
              </w:rPr>
              <w:br w:type="page"/>
              <w:t>Lista działań w aPZRP Odry obejmuje 250 pozycji, Wisły - prawie 900. Z uwagi na chaos w nazewnictwie, różnice pomiędzy poszczególnymi dokumentami i załącznikami aPZRP ocena racjonalności i wykonalności zaplanowanych działań jest praktycznie niemożliwa. Tę ułomność pogłębia nieadekwatność działań w układzie przestrzennym – nie dość, że znaczna część obszarów problemowych została wyznaczona w oderwaniu od zagrożenia i ryzyka powodziowego, to znaczna część działań nie jest powiązana z konkretnymi OP.</w:t>
            </w:r>
            <w:r w:rsidRPr="0028666F">
              <w:rPr>
                <w:rFonts w:ascii="Calibri" w:eastAsia="Times New Roman" w:hAnsi="Calibri" w:cs="Calibri"/>
                <w:color w:val="000000"/>
                <w:sz w:val="18"/>
                <w:szCs w:val="18"/>
                <w:lang w:eastAsia="pl-PL"/>
              </w:rPr>
              <w:br w:type="page"/>
              <w:t>Część działań to takie o których niczego nie wiadomo, łącznie z tym, że nie wiadomo czego mają dotyczyć. Przykładem „działań widm” są cztery pozycje 124-127 z zał. 1 „Działania wskazane w Master Planie dla zlewni Bóbr” – Master Planie, którego nie ma! Inne przykłady z listy działań to Ochrona przeciwpowodziowa doliny rzeki Nysy Kłodzkiej, Ochrona przeciwpowodziowa doliny rzeki Białej Lądeckiej i rzeki Morawki, Ochrona przeciwpowodziowa doliny rzeki Bystrzycy Dusznickiej i rzeki Kamienny Potok, Koncepcja zabezpieczenia przeciwpowodziowego- Modernizacja zbiornika wodnego Nysa w zakresie bezpieczeństwa przeciwpowodziowego - etap II, Poprawa stanu bezpieczeństwa przeciwpowodziowego w górnym dorzeczu Wisły i Odry, Retencja korytowa - Program nawodnień rolniczych w ramach przeciwdziałania skutkom suszy na terenie działania Zarządu Zlewni w Gryficach</w:t>
            </w:r>
          </w:p>
        </w:tc>
        <w:tc>
          <w:tcPr>
            <w:tcW w:w="1720" w:type="dxa"/>
            <w:tcBorders>
              <w:top w:val="nil"/>
              <w:left w:val="nil"/>
              <w:bottom w:val="single" w:sz="4" w:space="0" w:color="auto"/>
              <w:right w:val="single" w:sz="4" w:space="0" w:color="auto"/>
            </w:tcBorders>
            <w:shd w:val="clear" w:color="000000" w:fill="FFFFFF"/>
            <w:hideMark/>
          </w:tcPr>
          <w:p w14:paraId="5AD479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451EB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5B88D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7DE642F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0C8FE9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204</w:t>
            </w:r>
          </w:p>
        </w:tc>
        <w:tc>
          <w:tcPr>
            <w:tcW w:w="970" w:type="dxa"/>
            <w:tcBorders>
              <w:top w:val="nil"/>
              <w:left w:val="nil"/>
              <w:bottom w:val="single" w:sz="4" w:space="0" w:color="auto"/>
              <w:right w:val="nil"/>
            </w:tcBorders>
          </w:tcPr>
          <w:p w14:paraId="29DC25A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D9C302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BEF6D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B4310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 xml:space="preserve">rozdz. 7; geobaza, załączniki 1,2,4,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Zweryfikować listę działań, usunąć wszystkie działania stojące w sprzeczności z celami PZRP oraz, których koszty są większe od korzyści, również te, które były planowane w poprzedniej edycji PZRP. Zwiększyć liczbę działań nietechnicznych i bazujących na retencji naturalnej, ograniczając liczbę działań technicznych.</w:t>
            </w:r>
          </w:p>
        </w:tc>
        <w:tc>
          <w:tcPr>
            <w:tcW w:w="2733" w:type="dxa"/>
            <w:tcBorders>
              <w:top w:val="nil"/>
              <w:left w:val="nil"/>
              <w:bottom w:val="single" w:sz="4" w:space="0" w:color="auto"/>
              <w:right w:val="single" w:sz="4" w:space="0" w:color="auto"/>
            </w:tcBorders>
            <w:shd w:val="clear" w:color="auto" w:fill="auto"/>
            <w:hideMark/>
          </w:tcPr>
          <w:p w14:paraId="36D174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C60FC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Wśród udostępnionych do konsultacji tekstów aPZRP nie ma opisu metodyki wyboru działań. Ze schematu Algorytm tworzenia ostatecznej listy działań aPZRP (Rysunek 11 w aPZRP dla obszaru dorzecza Odry) wynika, że cały szereg działań nie został poddany analizie SMART, analizie wariantowej, analizie MCA, CBA. Również z informacji przekazanych podczas spotkań konsultacyjnych i prezentacji udostępnionych na stronie www.stoppowodzi.pl wiadomo, że w trakcie prac nad aPZRP poza tzw. bazową listą działań, do listy dopisywano działania zgłoszone w trakcie prac nad planem, nie poddane procedurze ocenowej SMART. Na ostatecznej liście działań znalazły się także działania z poprzedniego cyklu PZRP, nawet te spoza OP, a także „działania dla całego regionu wodnego realizujące cele główne I i III” (Rys. 11, s. 200). Skutkiem znaczących odstępstw od założeń metodycznych jest umieszczenie na liście działań zlokalizowanych w obszarach o zerowym lub znikomym zagrożeniu powodziowym (nie powinny zostać zidentyfikowane jako OP!), działań, które choć są zlokalizowane w OP, ryzyka powodziowego nie redukują, działań o kosztach nieproporcjonalnie wysokich do strat powodziowych. </w:t>
            </w:r>
            <w:r w:rsidRPr="0028666F">
              <w:rPr>
                <w:rFonts w:ascii="Calibri" w:eastAsia="Times New Roman" w:hAnsi="Calibri" w:cs="Calibri"/>
                <w:color w:val="000000"/>
                <w:sz w:val="18"/>
                <w:szCs w:val="18"/>
                <w:lang w:eastAsia="pl-PL"/>
              </w:rPr>
              <w:br/>
              <w:t xml:space="preserve">Na podstawie analizy rozkładu typów działań dla wszystkich dorzeczy widać wyraźnie, że plany są zdominowane przez działania należące do 4 grup działań technicznych, stanowiące razem prawie ¾ wszystkich działań: </w:t>
            </w:r>
            <w:r w:rsidRPr="0028666F">
              <w:rPr>
                <w:rFonts w:ascii="Calibri" w:eastAsia="Times New Roman" w:hAnsi="Calibri" w:cs="Calibri"/>
                <w:color w:val="000000"/>
                <w:sz w:val="18"/>
                <w:szCs w:val="18"/>
                <w:lang w:eastAsia="pl-PL"/>
              </w:rPr>
              <w:br/>
              <w:t xml:space="preserve">„29. Budowa przebudowa wałów przeciwpowodziowych” – 30% wszystkich działań, </w:t>
            </w:r>
            <w:r w:rsidRPr="0028666F">
              <w:rPr>
                <w:rFonts w:ascii="Calibri" w:eastAsia="Times New Roman" w:hAnsi="Calibri" w:cs="Calibri"/>
                <w:color w:val="000000"/>
                <w:sz w:val="18"/>
                <w:szCs w:val="18"/>
                <w:lang w:eastAsia="pl-PL"/>
              </w:rPr>
              <w:br/>
              <w:t xml:space="preserve">„26. Zapewnienie funkcjonalności istniejącej infrastruktury przeciwpowodziowej” – czyli naprawy, remonty – 23% wszystkich działań, </w:t>
            </w:r>
            <w:r w:rsidRPr="0028666F">
              <w:rPr>
                <w:rFonts w:ascii="Calibri" w:eastAsia="Times New Roman" w:hAnsi="Calibri" w:cs="Calibri"/>
                <w:color w:val="000000"/>
                <w:sz w:val="18"/>
                <w:szCs w:val="18"/>
                <w:lang w:eastAsia="pl-PL"/>
              </w:rPr>
              <w:br/>
              <w:t xml:space="preserve">„23. Budowa hydrotechnicznych obiektów retencjonujących wodę” – 10,5% wszystkich działań, </w:t>
            </w:r>
            <w:r w:rsidRPr="0028666F">
              <w:rPr>
                <w:rFonts w:ascii="Calibri" w:eastAsia="Times New Roman" w:hAnsi="Calibri" w:cs="Calibri"/>
                <w:color w:val="000000"/>
                <w:sz w:val="18"/>
                <w:szCs w:val="18"/>
                <w:lang w:eastAsia="pl-PL"/>
              </w:rPr>
              <w:br/>
              <w:t>„31. Dostosowanie przepustowości koryta cieków lub kanałów do racjonalnego przeprowadzania wód powodziowych” – 9%</w:t>
            </w:r>
            <w:r w:rsidRPr="0028666F">
              <w:rPr>
                <w:rFonts w:ascii="Calibri" w:eastAsia="Times New Roman" w:hAnsi="Calibri" w:cs="Calibri"/>
                <w:color w:val="000000"/>
                <w:sz w:val="18"/>
                <w:szCs w:val="18"/>
                <w:lang w:eastAsia="pl-PL"/>
              </w:rPr>
              <w:br/>
              <w:t>Bardzo ważne grupy działań (typy 5 – 10), polegające na przygotowaniu dokumentów i prac legislacyjnych dotyczących zasad zabudowy, warunków zabudowy i sposobów wykorzystania obiektów na zagrożonych terenach, co uważane jest za jedne z najskuteczniejszych metod ograniczania ryzyka, to zaledwie 2% wszystkich działań w dorzeczach. Budowa niezwykle ważnych systemów skutecznego ostrzegania na poziomie krajowym i lokalnym (ich znaczenie pokazała ostatnia powódź w Niemczech i Belgii) to zaledwie 3% wszystkich działań.</w:t>
            </w:r>
            <w:r w:rsidRPr="0028666F">
              <w:rPr>
                <w:rFonts w:ascii="Calibri" w:eastAsia="Times New Roman" w:hAnsi="Calibri" w:cs="Calibri"/>
                <w:color w:val="000000"/>
                <w:sz w:val="18"/>
                <w:szCs w:val="18"/>
                <w:lang w:eastAsia="pl-PL"/>
              </w:rPr>
              <w:br/>
              <w:t>Analiza proponowanych działań prowadzi do następujących wniosków:</w:t>
            </w:r>
            <w:r w:rsidRPr="0028666F">
              <w:rPr>
                <w:rFonts w:ascii="Calibri" w:eastAsia="Times New Roman" w:hAnsi="Calibri" w:cs="Calibri"/>
                <w:color w:val="000000"/>
                <w:sz w:val="18"/>
                <w:szCs w:val="18"/>
                <w:lang w:eastAsia="pl-PL"/>
              </w:rPr>
              <w:br/>
              <w:t xml:space="preserve">Większość działań zawartych w planach dla wszystkich dorzeczy (594 z 1140) nie prowadzi w najbliższych 7 – 10 latach do ograniczania ryzyka powodziowego, bo nie dotyczy wdrożenia gotowych projektów, ale przygotowania dokumentacji lub koncepcji, bądź zależy od opracowania studium wykonalności. Można zresztą podejrzewać, sądząc z lakoniczności opisów dotyczących działań, że koncepcji, studiów, analiz i projektów jest w wśród proponowanych działań znacznie więcej niż wskazane powyżej. Szacujemy je na 2/3 wszystkich działań. Jest też w pozostałej grupie działań sporo takich, które wprost nie ograniczają ryzyka, ale są warunkiem skuteczności wdrożenia innych działań. Dotyczy to na przykład takich działań, jak edukacja, czy systemy ostrzegania. </w:t>
            </w:r>
            <w:r w:rsidRPr="0028666F">
              <w:rPr>
                <w:rFonts w:ascii="Calibri" w:eastAsia="Times New Roman" w:hAnsi="Calibri" w:cs="Calibri"/>
                <w:color w:val="000000"/>
                <w:sz w:val="18"/>
                <w:szCs w:val="18"/>
                <w:lang w:eastAsia="pl-PL"/>
              </w:rPr>
              <w:br/>
              <w:t xml:space="preserve">Wśród proponowanych działań jest wiele takich, które nie prowadzą w ogóle do znaczącego ograniczenia ryzyka powodziowego. Ich koszty są tak duże w stosunku do korzyści, czyli ograniczenia strat, że nie powinny się znaleźć w takim planie. Są to zwykle działania wspierające głównie poprawę potencjału żeglugowego rzek. Dotyczy to np. takich działań jak np. korekta łuków Odry na odcinku 400 km rzeki (PPI 809, PPI 813), czy budowy ostróg na Wiśle (150 km od Włocławka do zatoki). Ułatwiają one żeglugę i w czasie zimy pracę lodołamaczy, ale nie maja większego wpływu na ryzyko powodziowe. Do tej grupy zaliczyć należy również budowę stopni żeglugowych, które wg autorów planów mają ograniczać skutki powodzi poniżej. Porównanie możliwości retencyjnych takich obiektów i objętości fali powodziowej pokazuje że ich wpływ, podobnie jak wpływ istniejących stopni wodnych jest pomijalny. </w:t>
            </w:r>
            <w:r w:rsidRPr="0028666F">
              <w:rPr>
                <w:rFonts w:ascii="Calibri" w:eastAsia="Times New Roman" w:hAnsi="Calibri" w:cs="Calibri"/>
                <w:color w:val="000000"/>
                <w:sz w:val="18"/>
                <w:szCs w:val="18"/>
                <w:lang w:eastAsia="pl-PL"/>
              </w:rPr>
              <w:br/>
              <w:t xml:space="preserve">Niektóre proponowane w geobazie działania są sprzeczne z podstawową wiedzą, wiele z nich zwiększa ryzyko powodziowe. Np. wśród działań nietechnicznych zaproponowano zwiększenie poziomu lesistości. Wydawałoby się to właściwym sposobem zwiększania retencji krajobrazowej służącej ograniczaniu wzrostu ryzyka powodziowego w przyszłości. Jak zwykle jednak „diabeł tkwi w szczegółach”. W Metodyce na s. 117 możemy przeczytać: „Analiza możliwości zwiększenia pojemności retencyjnej obszarów leśnych w ramach aPZRP zakłada wprowadzenie zmian w zagospodarowaniu zlewni, polegających na zwiększeniu poziomu lesistości kosztem przede wszystkim roślinności trawiastej, a w drugiej kolejności upraw na gruntach ornych”. Z naukowych badań wiadomo, że ekstensywne obszary trawiaste mają zdolności retencyjne na poziomie średnio gęstego lasu, więc ich przekształcenie w tereny leśne nie wpłynie pozytywnie na wzrost retencji krajobrazowej, a w pierwszych kilkunastu latach wręcz tę retencję obniży. Należało się raczej skoncentrować na przekształcaniu gruntów utwardzonych w tereny zielone oraz ochronę przed wycinką i przebudowę drzewostanów w kierunku większej wodochłonności w górskich częściach zlewni. Klasycznym przykładem działań kontrproduktywnych i typowym„zaklinaniem rzeczywistości” jest przypisywanie jazom i stopniom wodnym  funkcji zwiększania retencji korytowej. Łatwo można policzyć o ile zmniejszy się zdolność retencyjna koryta lub całej doliny, jeśli na stałe wypełnimy ją wodą spiętrzoną jazem lub stopniem. </w:t>
            </w:r>
            <w:r w:rsidRPr="0028666F">
              <w:rPr>
                <w:rFonts w:ascii="Calibri" w:eastAsia="Times New Roman" w:hAnsi="Calibri" w:cs="Calibri"/>
                <w:color w:val="000000"/>
                <w:sz w:val="18"/>
                <w:szCs w:val="18"/>
                <w:lang w:eastAsia="pl-PL"/>
              </w:rPr>
              <w:br/>
              <w:t xml:space="preserve">Wśród działań jest wiele takich, które jeszcze niedawno (w planach przeciwdziałania skutkom suszy na obszarach dorzeczy) były przedstawiane jako remedium na suszę. Jest oczywiste, że wiele działań dotyczących retencji może mieć wpływ i na przeciwdziałanie suszy i jednocześnie na ograniczanie skutków powodzi, ale stopień ich wpływu na oba elementy powinien być jasny dla odbiorcy. Powinno być zaznaczone w planie, że jest to również element innego planu, wraz z informacją o podziale kosztów ponoszonych w ramach poszczególnych planów dotyczących tej samej inwestycji. Nie ulega też wątpliwości, że w przytłaczającej większości przypadków regulacja rzek lub ich przegradzanie nie mają pozytywnego wpływu na zwiększenie ilości retencjonowanej wody i zmniejszenie ryzyka wystąpienia powodzi (czy suszy). Wiele badań na świecie i Polsce to potwierdza. </w:t>
            </w:r>
          </w:p>
        </w:tc>
        <w:tc>
          <w:tcPr>
            <w:tcW w:w="1720" w:type="dxa"/>
            <w:tcBorders>
              <w:top w:val="nil"/>
              <w:left w:val="nil"/>
              <w:bottom w:val="single" w:sz="4" w:space="0" w:color="auto"/>
              <w:right w:val="single" w:sz="4" w:space="0" w:color="auto"/>
            </w:tcBorders>
            <w:shd w:val="clear" w:color="000000" w:fill="FFFFFF"/>
            <w:hideMark/>
          </w:tcPr>
          <w:p w14:paraId="4FC8F3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B3519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F251D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486A7FF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5A33D3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205</w:t>
            </w:r>
          </w:p>
        </w:tc>
        <w:tc>
          <w:tcPr>
            <w:tcW w:w="970" w:type="dxa"/>
            <w:tcBorders>
              <w:top w:val="nil"/>
              <w:left w:val="nil"/>
              <w:bottom w:val="single" w:sz="4" w:space="0" w:color="auto"/>
              <w:right w:val="nil"/>
            </w:tcBorders>
          </w:tcPr>
          <w:p w14:paraId="6270583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0AF4619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C5189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F1A4E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 1, 2, geobaza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Usunąć z listy działań te działania techniczne, które znalazły się poza obszarami problemowymi i nie mają wpływu na redukcję ryzyka powodziowego w OP</w:t>
            </w:r>
          </w:p>
        </w:tc>
        <w:tc>
          <w:tcPr>
            <w:tcW w:w="2733" w:type="dxa"/>
            <w:tcBorders>
              <w:top w:val="nil"/>
              <w:left w:val="nil"/>
              <w:bottom w:val="single" w:sz="4" w:space="0" w:color="auto"/>
              <w:right w:val="single" w:sz="4" w:space="0" w:color="auto"/>
            </w:tcBorders>
            <w:shd w:val="clear" w:color="auto" w:fill="auto"/>
            <w:hideMark/>
          </w:tcPr>
          <w:p w14:paraId="6F5433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0C3FBA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Ponad połowa planowanych zbiorników, ¾ jazów, ¼ wałow i prawie 40% regulacji cieków zlokalizowanych jest poza OP! Jest oczywiste, że część działań może się znajdować poza tymi obszarami problemowymi, a mimo to skutecznie reedukowac ryzyko, ale dotyczy to właściwie wyłącznie zbiorników retencyjnych (nie wszystkich jednak) i innych form retencji, np. naturalnej. W pozostałych przypadkach trudno sobie wyobrazić, że działania te redukują ryzyko na jakimś obszarze nie będąc elementami tego obszaru. Na przykład trudno sobie wyobrazić, że mosty o zbyt małym świetle – podpietrzjące wodę nie są elementem obszaru problemowego. Podobnie jest z regulacjami rzek, jazami, czy pompowniami. A jednak z niezrozumiałych powodów wiele działań jest daleko poza obszarami problemowymi. Nawet w przypadku niektórych zbiorników ich odległość od OP dyskwalifikują te obiekty, jako obiekty redukujące ryzyko powodzi w obszarach problemowych, abstrahując od ich rzeczywistych możliwości redukcji wezbrania.</w:t>
            </w:r>
          </w:p>
        </w:tc>
        <w:tc>
          <w:tcPr>
            <w:tcW w:w="1720" w:type="dxa"/>
            <w:tcBorders>
              <w:top w:val="nil"/>
              <w:left w:val="nil"/>
              <w:bottom w:val="single" w:sz="4" w:space="0" w:color="auto"/>
              <w:right w:val="single" w:sz="4" w:space="0" w:color="auto"/>
            </w:tcBorders>
            <w:shd w:val="clear" w:color="000000" w:fill="FFFFFF"/>
            <w:hideMark/>
          </w:tcPr>
          <w:p w14:paraId="03D82D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746CC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1B9D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2F222ED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BB5FA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206</w:t>
            </w:r>
          </w:p>
        </w:tc>
        <w:tc>
          <w:tcPr>
            <w:tcW w:w="970" w:type="dxa"/>
            <w:tcBorders>
              <w:top w:val="nil"/>
              <w:left w:val="nil"/>
              <w:bottom w:val="single" w:sz="4" w:space="0" w:color="auto"/>
              <w:right w:val="nil"/>
            </w:tcBorders>
          </w:tcPr>
          <w:p w14:paraId="0750488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2DFA4C5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6505A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3BC6F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 1, 2, geobaza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Usunąć z planu wszystkie działania dotyczące powodzi zatorowych, w szczególności polegające na regulacji rzek, budowie stopni wodnych i przebudowie mostów, jako działania wybitnie pro-żeglugowe, a nie przeciwpowodziowe, w szczególności:</w:t>
            </w:r>
            <w:r w:rsidRPr="0028666F">
              <w:rPr>
                <w:rFonts w:ascii="Calibri" w:eastAsia="Times New Roman" w:hAnsi="Calibri" w:cs="Calibri"/>
                <w:color w:val="000000"/>
                <w:sz w:val="18"/>
                <w:szCs w:val="18"/>
                <w:lang w:eastAsia="pl-PL"/>
              </w:rPr>
              <w:br/>
              <w:t>Przebudowa mostu drogowego w km 614,9 rz. Odry w Kostrzynie nad Odrą</w:t>
            </w:r>
            <w:r w:rsidRPr="0028666F">
              <w:rPr>
                <w:rFonts w:ascii="Calibri" w:eastAsia="Times New Roman" w:hAnsi="Calibri" w:cs="Calibri"/>
                <w:color w:val="000000"/>
                <w:sz w:val="18"/>
                <w:szCs w:val="18"/>
                <w:lang w:eastAsia="pl-PL"/>
              </w:rPr>
              <w:br/>
              <w:t>Przebudowa mostu w celu zapewnienia minimalnego prześwitu- most kolejowy w km 733,7 rzeki Regalicy w Szczecinie</w:t>
            </w:r>
            <w:r w:rsidRPr="0028666F">
              <w:rPr>
                <w:rFonts w:ascii="Calibri" w:eastAsia="Times New Roman" w:hAnsi="Calibri" w:cs="Calibri"/>
                <w:color w:val="000000"/>
                <w:sz w:val="18"/>
                <w:szCs w:val="18"/>
                <w:lang w:eastAsia="pl-PL"/>
              </w:rPr>
              <w:br/>
              <w:t>Przebudowa mostu w celu zapewnienia minimalnego prześwitu- most drogowy w km 2,45 rzeki Warty w Kostrzynie nad Odrą</w:t>
            </w:r>
            <w:r w:rsidRPr="0028666F">
              <w:rPr>
                <w:rFonts w:ascii="Calibri" w:eastAsia="Times New Roman" w:hAnsi="Calibri" w:cs="Calibri"/>
                <w:color w:val="000000"/>
                <w:sz w:val="18"/>
                <w:szCs w:val="18"/>
                <w:lang w:eastAsia="pl-PL"/>
              </w:rPr>
              <w:br/>
              <w:t>Przebudowa mostu drogowego na Warcie w Kostrzynie</w:t>
            </w:r>
            <w:r w:rsidRPr="0028666F">
              <w:rPr>
                <w:rFonts w:ascii="Calibri" w:eastAsia="Times New Roman" w:hAnsi="Calibri" w:cs="Calibri"/>
                <w:color w:val="000000"/>
                <w:sz w:val="18"/>
                <w:szCs w:val="18"/>
                <w:lang w:eastAsia="pl-PL"/>
              </w:rPr>
              <w:br/>
              <w:t>Przebudowa mostu w m. Krosno Odrzańskie w km  514 rz. Odry</w:t>
            </w:r>
            <w:r w:rsidRPr="0028666F">
              <w:rPr>
                <w:rFonts w:ascii="Calibri" w:eastAsia="Times New Roman" w:hAnsi="Calibri" w:cs="Calibri"/>
                <w:color w:val="000000"/>
                <w:sz w:val="18"/>
                <w:szCs w:val="18"/>
                <w:lang w:eastAsia="pl-PL"/>
              </w:rPr>
              <w:br/>
              <w:t>Prace modernizacyjne na Odrze granicznej: Etap I- Prace modernizacyjne na Odrze granicznej w celu zapewnienia zimowego lodołamania Etap II- Modernizacja zabudowy regulacyjnej na Odrze granicznej</w:t>
            </w:r>
            <w:r w:rsidRPr="0028666F">
              <w:rPr>
                <w:rFonts w:ascii="Calibri" w:eastAsia="Times New Roman" w:hAnsi="Calibri" w:cs="Calibri"/>
                <w:color w:val="000000"/>
                <w:sz w:val="18"/>
                <w:szCs w:val="18"/>
                <w:lang w:eastAsia="pl-PL"/>
              </w:rPr>
              <w:br/>
              <w:t>1B.3/1 Etap I: Budowa bazy postojowo - cumowniczej dla lodołamaczy 1B.3/2 Etap II: Budowa infrastruktury postojowo - cumowniczej na Odrze Dolnej i granicznej oraz nowe oznakowania szlaku żeglugowego</w:t>
            </w:r>
            <w:r w:rsidRPr="0028666F">
              <w:rPr>
                <w:rFonts w:ascii="Calibri" w:eastAsia="Times New Roman" w:hAnsi="Calibri" w:cs="Calibri"/>
                <w:color w:val="000000"/>
                <w:sz w:val="18"/>
                <w:szCs w:val="18"/>
                <w:lang w:eastAsia="pl-PL"/>
              </w:rPr>
              <w:br/>
              <w:t>Budowa nabrzeża postojowego w Nadzorze Wodnym w Gozdowicach</w:t>
            </w:r>
            <w:r w:rsidRPr="0028666F">
              <w:rPr>
                <w:rFonts w:ascii="Calibri" w:eastAsia="Times New Roman" w:hAnsi="Calibri" w:cs="Calibri"/>
                <w:color w:val="000000"/>
                <w:sz w:val="18"/>
                <w:szCs w:val="18"/>
                <w:lang w:eastAsia="pl-PL"/>
              </w:rPr>
              <w:br/>
              <w:t>Remont i przebudowa infrastruktury postojowej w Gryfinie na rz. Odrze Zachodniej w km 14,20</w:t>
            </w:r>
            <w:r w:rsidRPr="0028666F">
              <w:rPr>
                <w:rFonts w:ascii="Calibri" w:eastAsia="Times New Roman" w:hAnsi="Calibri" w:cs="Calibri"/>
                <w:color w:val="000000"/>
                <w:sz w:val="18"/>
                <w:szCs w:val="18"/>
                <w:lang w:eastAsia="pl-PL"/>
              </w:rPr>
              <w:br/>
              <w:t>Stopień Brzeg Dolny– roboty modernizacyjne na stopniu, etap II</w:t>
            </w:r>
            <w:r w:rsidRPr="0028666F">
              <w:rPr>
                <w:rFonts w:ascii="Calibri" w:eastAsia="Times New Roman" w:hAnsi="Calibri" w:cs="Calibri"/>
                <w:color w:val="000000"/>
                <w:sz w:val="18"/>
                <w:szCs w:val="18"/>
                <w:lang w:eastAsia="pl-PL"/>
              </w:rPr>
              <w:br/>
              <w:t>Budowa stopnia wodnego Lubiąż na rz. Odrze w rejonie wsi Gliniany</w:t>
            </w:r>
            <w:r w:rsidRPr="0028666F">
              <w:rPr>
                <w:rFonts w:ascii="Calibri" w:eastAsia="Times New Roman" w:hAnsi="Calibri" w:cs="Calibri"/>
                <w:color w:val="000000"/>
                <w:sz w:val="18"/>
                <w:szCs w:val="18"/>
                <w:lang w:eastAsia="pl-PL"/>
              </w:rPr>
              <w:br/>
              <w:t>Budowa stopnia wodnego Ścinawa na rz. Odrze</w:t>
            </w:r>
            <w:r w:rsidRPr="0028666F">
              <w:rPr>
                <w:rFonts w:ascii="Calibri" w:eastAsia="Times New Roman" w:hAnsi="Calibri" w:cs="Calibri"/>
                <w:color w:val="000000"/>
                <w:sz w:val="18"/>
                <w:szCs w:val="18"/>
                <w:lang w:eastAsia="pl-PL"/>
              </w:rPr>
              <w:br/>
              <w:t>Korekta łuków na Odrze skanalizowanej na odcinku RZGW we Wrocławiu od stopnia wodnego Malczyce w km 300,00 do ujścia Warty w km 617,60</w:t>
            </w:r>
            <w:r w:rsidRPr="0028666F">
              <w:rPr>
                <w:rFonts w:ascii="Calibri" w:eastAsia="Times New Roman" w:hAnsi="Calibri" w:cs="Calibri"/>
                <w:color w:val="000000"/>
                <w:sz w:val="18"/>
                <w:szCs w:val="18"/>
                <w:lang w:eastAsia="pl-PL"/>
              </w:rPr>
              <w:br/>
              <w:t>Korekta łuków na Odrze skanalizowanej na odcinku RZGW we Wrocławiu od ujścia Nysy Kłodzkiej w km 181,30 do stopnia wodnego Malczyce w km 300,00</w:t>
            </w:r>
            <w:r w:rsidRPr="0028666F">
              <w:rPr>
                <w:rFonts w:ascii="Calibri" w:eastAsia="Times New Roman" w:hAnsi="Calibri" w:cs="Calibri"/>
                <w:color w:val="000000"/>
                <w:sz w:val="18"/>
                <w:szCs w:val="18"/>
                <w:lang w:eastAsia="pl-PL"/>
              </w:rPr>
              <w:br/>
              <w:t>Modernizacja stopnia wodnego Rędzin na Odrze w km 260,7 – przystosowanie do III klasy drogi wodnej</w:t>
            </w:r>
            <w:r w:rsidRPr="0028666F">
              <w:rPr>
                <w:rFonts w:ascii="Calibri" w:eastAsia="Times New Roman" w:hAnsi="Calibri" w:cs="Calibri"/>
                <w:color w:val="000000"/>
                <w:sz w:val="18"/>
                <w:szCs w:val="18"/>
                <w:lang w:eastAsia="pl-PL"/>
              </w:rPr>
              <w:br/>
              <w:t>Odbudowa zabudowy regulacyjnej rzeki Odry - przystosowanie do III klasy drogi wodnej, na odcinku od miejscowości Ścinawa do ujścia Nysy Łużyckiej – ETAP I</w:t>
            </w:r>
            <w:r w:rsidRPr="0028666F">
              <w:rPr>
                <w:rFonts w:ascii="Calibri" w:eastAsia="Times New Roman" w:hAnsi="Calibri" w:cs="Calibri"/>
                <w:color w:val="000000"/>
                <w:sz w:val="18"/>
                <w:szCs w:val="18"/>
                <w:lang w:eastAsia="pl-PL"/>
              </w:rPr>
              <w:br/>
              <w:t>I</w:t>
            </w:r>
            <w:r w:rsidRPr="0028666F">
              <w:rPr>
                <w:rFonts w:ascii="Calibri" w:eastAsia="Times New Roman" w:hAnsi="Calibri" w:cs="Calibri"/>
                <w:color w:val="000000"/>
                <w:sz w:val="18"/>
                <w:szCs w:val="18"/>
                <w:lang w:eastAsia="pl-PL"/>
              </w:rPr>
              <w:br/>
              <w:t>Budowę i utrzymanie lodołamaczy uzależnić od analiz ekonomicznych, poprzedzonych delimitacją OP i analizą wariantową działań</w:t>
            </w:r>
          </w:p>
        </w:tc>
        <w:tc>
          <w:tcPr>
            <w:tcW w:w="2733" w:type="dxa"/>
            <w:tcBorders>
              <w:top w:val="nil"/>
              <w:left w:val="nil"/>
              <w:bottom w:val="single" w:sz="4" w:space="0" w:color="auto"/>
              <w:right w:val="single" w:sz="4" w:space="0" w:color="auto"/>
            </w:tcBorders>
            <w:shd w:val="clear" w:color="auto" w:fill="auto"/>
            <w:hideMark/>
          </w:tcPr>
          <w:p w14:paraId="6F0651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60664A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Szczególną grupą działań wpisanych w aPZRP dla obszarów dorzeczy Wisły i Odry są działania, których deklarowanym celem jest zarządzanie ryzykiem powodzi zatorowych. Wg Metodyki nie można w aPZRP uwzględnić powodzi zatorowych, bo nie było wystarczających informacji o stratach, jakie powodują. Również w samym tekście aPZRP możemy przeczytać, że powodzie rzeczne zimowe o mechanizmie zatorowym (A24) nie były analizowane pod kątem wyznaczania ONNP i OP. </w:t>
            </w:r>
            <w:r w:rsidRPr="0028666F">
              <w:rPr>
                <w:rFonts w:ascii="Calibri" w:eastAsia="Times New Roman" w:hAnsi="Calibri" w:cs="Calibri"/>
                <w:color w:val="000000"/>
                <w:sz w:val="18"/>
                <w:szCs w:val="18"/>
                <w:lang w:eastAsia="pl-PL"/>
              </w:rPr>
              <w:br/>
              <w:t>Takie podejście uzasadnia WORP, gdzie pomimo analizy powodzi zatorowych w Polsce znalazło się stwierdzenie, że nie można ich uwzględnić w planach, gdyż nie ma danych o stratach dla tych powodzi. To definitywnie uniemożliwia uwzględnienie tych działań, gdyż brak informacji o stratach nie pozwala wykonać analizy kosztów - korzyści, by udowodnić, że proponowane działania są efektywne ekonomicznie. Jest to warunkiem koniecznym, by działania mogły się znaleźć w planie i niezbędnym by przeprowadzić analizę wielokryterialną. Co więcej, obserwacje zjawisk lodowych na rzekach w ostatnich latach i prognozy skutków zmian klimatu wskazują, że zagrożenia powodziami zatorowymi maleją i będą w Polsce maleć.</w:t>
            </w:r>
            <w:r w:rsidRPr="0028666F">
              <w:rPr>
                <w:rFonts w:ascii="Calibri" w:eastAsia="Times New Roman" w:hAnsi="Calibri" w:cs="Calibri"/>
                <w:color w:val="000000"/>
                <w:sz w:val="18"/>
                <w:szCs w:val="18"/>
                <w:lang w:eastAsia="pl-PL"/>
              </w:rPr>
              <w:br/>
              <w:t>Nie przeszkodziło to jednak w zaproponowaniu w aPZRP licznych działań dotyczących przeciwdziałania tym powodziom. Aby je „usprawiedliwić”, w aPZRP został zdefiniowany specjalny cel działania: ”27 Zapewnienie możliwości prowadzenia akcji lodołamania”. Do tego celu przypisano co najmniej 26 działań w planach dla dorzeczy Odry i Wisły, począwszy od budowy lodołamaczy, poprzez modernizację portów, podwyższanie mostów, skończywszy na finansowaniu akcji lodołamania. Nawet modernizacja zabudowy regulacyjnej oraz budowa stopni Lubiąż i Ścinawa zostały przypisane do wspomnianej grupy działań. Całkowity ich koszt w dorzeczach Wisły i Odry wynosi 4,7 mld zł, czyli prawie 20% sumarycznych potrzeb budżetowych do zrealizowania planów na tym obszarze. W opisach niektórych działań napisano wprost, że mają służyć żegludze.</w:t>
            </w:r>
          </w:p>
        </w:tc>
        <w:tc>
          <w:tcPr>
            <w:tcW w:w="1720" w:type="dxa"/>
            <w:tcBorders>
              <w:top w:val="nil"/>
              <w:left w:val="nil"/>
              <w:bottom w:val="single" w:sz="4" w:space="0" w:color="auto"/>
              <w:right w:val="single" w:sz="4" w:space="0" w:color="auto"/>
            </w:tcBorders>
            <w:shd w:val="clear" w:color="000000" w:fill="FFFFFF"/>
            <w:hideMark/>
          </w:tcPr>
          <w:p w14:paraId="4F48C2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5E3A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AF549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1BF5C6A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D6BBFD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207</w:t>
            </w:r>
          </w:p>
        </w:tc>
        <w:tc>
          <w:tcPr>
            <w:tcW w:w="970" w:type="dxa"/>
            <w:tcBorders>
              <w:top w:val="nil"/>
              <w:left w:val="nil"/>
              <w:bottom w:val="single" w:sz="4" w:space="0" w:color="auto"/>
              <w:right w:val="nil"/>
            </w:tcBorders>
          </w:tcPr>
          <w:p w14:paraId="39ABEE8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13EB87B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DC15D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E2A0D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 1, 2, geobaza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Należy usunąć wszystkie te działania, o których mowa w p. 1-4 uzasadnienia, w szczególności służące żegludze, redukujące ryzyko powodzi na terenach wykorzystywanych rolniczo, polegające wyłącznie na przygotowaniu koncepcji, projektów, itp., a także inne działania nie zmniejszające ryzyka powodziowego, ani nie zapobiegające jego wzrostowi. </w:t>
            </w:r>
            <w:r w:rsidRPr="0028666F">
              <w:rPr>
                <w:rFonts w:ascii="Calibri" w:eastAsia="Times New Roman" w:hAnsi="Calibri" w:cs="Calibri"/>
                <w:color w:val="000000"/>
                <w:sz w:val="18"/>
                <w:szCs w:val="18"/>
                <w:lang w:eastAsia="pl-PL"/>
              </w:rPr>
              <w:br/>
              <w:t>W szczególności należy wykreślić  następujące działania służące żegludze, a nie ochronie przeciwpowodziowej:</w:t>
            </w:r>
            <w:r w:rsidRPr="0028666F">
              <w:rPr>
                <w:rFonts w:ascii="Calibri" w:eastAsia="Times New Roman" w:hAnsi="Calibri" w:cs="Calibri"/>
                <w:color w:val="000000"/>
                <w:sz w:val="18"/>
                <w:szCs w:val="18"/>
                <w:lang w:eastAsia="pl-PL"/>
              </w:rPr>
              <w:br/>
              <w:t>Korekta łuków na Odrze skanalizowanej na odcinku RZGW we Wrocławiu od ujścia Nysy Kłodzkiej w km 181,30 do stopnia wodnego Malczyce w km 300,00</w:t>
            </w:r>
            <w:r w:rsidRPr="0028666F">
              <w:rPr>
                <w:rFonts w:ascii="Calibri" w:eastAsia="Times New Roman" w:hAnsi="Calibri" w:cs="Calibri"/>
                <w:color w:val="000000"/>
                <w:sz w:val="18"/>
                <w:szCs w:val="18"/>
                <w:lang w:eastAsia="pl-PL"/>
              </w:rPr>
              <w:br/>
              <w:t>Korekta łuków na Odrze skanalizowanej na odcinku RZGW we Wrocławiu od stopnia wodnego Malczyce w km 300,00 do ujścia Warty w km 617,60</w:t>
            </w:r>
            <w:r w:rsidRPr="0028666F">
              <w:rPr>
                <w:rFonts w:ascii="Calibri" w:eastAsia="Times New Roman" w:hAnsi="Calibri" w:cs="Calibri"/>
                <w:color w:val="000000"/>
                <w:sz w:val="18"/>
                <w:szCs w:val="18"/>
                <w:lang w:eastAsia="pl-PL"/>
              </w:rPr>
              <w:br/>
              <w:t>W ramach PZRP rekomendowano wydzielony zakres inwestycji dla obszaru problemowego. Modernizacja budowli hydrotechnicznych na drodze wodnej  Dolnej Skanalizowanej Noteci, od km 38,9 do km 176,2</w:t>
            </w:r>
            <w:r w:rsidRPr="0028666F">
              <w:rPr>
                <w:rFonts w:ascii="Calibri" w:eastAsia="Times New Roman" w:hAnsi="Calibri" w:cs="Calibri"/>
                <w:color w:val="000000"/>
                <w:sz w:val="18"/>
                <w:szCs w:val="18"/>
                <w:lang w:eastAsia="pl-PL"/>
              </w:rPr>
              <w:br/>
              <w:t>Przebudowa śluzy małej w Brzegu z dostosowaniem do parametrów min. IV klasy drogi wodnej</w:t>
            </w:r>
            <w:r w:rsidRPr="0028666F">
              <w:rPr>
                <w:rFonts w:ascii="Calibri" w:eastAsia="Times New Roman" w:hAnsi="Calibri" w:cs="Calibri"/>
                <w:color w:val="000000"/>
                <w:sz w:val="18"/>
                <w:szCs w:val="18"/>
                <w:lang w:eastAsia="pl-PL"/>
              </w:rPr>
              <w:br/>
              <w:t>Odbudowa zabudowy regulacyjnej rzeki Odry – przystosowanie do III klasy drogi wodnej, na odcinku od miejscowości Ścinawa do ujścia Nysy Łużyckiej – ETAP II</w:t>
            </w:r>
            <w:r w:rsidRPr="0028666F">
              <w:rPr>
                <w:rFonts w:ascii="Calibri" w:eastAsia="Times New Roman" w:hAnsi="Calibri" w:cs="Calibri"/>
                <w:color w:val="000000"/>
                <w:sz w:val="18"/>
                <w:szCs w:val="18"/>
                <w:lang w:eastAsia="pl-PL"/>
              </w:rPr>
              <w:br/>
              <w:t>Modernizacja obiektów piętrzących Kanału Bydgoskiego śluza Czyżkówko wraz z zabudowaniami</w:t>
            </w:r>
            <w:r w:rsidRPr="0028666F">
              <w:rPr>
                <w:rFonts w:ascii="Calibri" w:eastAsia="Times New Roman" w:hAnsi="Calibri" w:cs="Calibri"/>
                <w:color w:val="000000"/>
                <w:sz w:val="18"/>
                <w:szCs w:val="18"/>
                <w:lang w:eastAsia="pl-PL"/>
              </w:rPr>
              <w:br/>
              <w:t>Modernizacja obiektów piętrzących Kanału Bydgoskiego śluza Prądy wraz z zabudowaniami i mostem</w:t>
            </w:r>
            <w:r w:rsidRPr="0028666F">
              <w:rPr>
                <w:rFonts w:ascii="Calibri" w:eastAsia="Times New Roman" w:hAnsi="Calibri" w:cs="Calibri"/>
                <w:color w:val="000000"/>
                <w:sz w:val="18"/>
                <w:szCs w:val="18"/>
                <w:lang w:eastAsia="pl-PL"/>
              </w:rPr>
              <w:br/>
              <w:t>Modernizacja obiektów piętrzących Kanału Bydgoskiego śluza Osowa Góra wraz z zabudowaniami i mostem</w:t>
            </w:r>
            <w:r w:rsidRPr="0028666F">
              <w:rPr>
                <w:rFonts w:ascii="Calibri" w:eastAsia="Times New Roman" w:hAnsi="Calibri" w:cs="Calibri"/>
                <w:color w:val="000000"/>
                <w:sz w:val="18"/>
                <w:szCs w:val="18"/>
                <w:lang w:eastAsia="pl-PL"/>
              </w:rPr>
              <w:br/>
              <w:t>Modernizacja stopnia wodnego na rzece Noteci w m. Krostkowo</w:t>
            </w:r>
            <w:r w:rsidRPr="0028666F">
              <w:rPr>
                <w:rFonts w:ascii="Calibri" w:eastAsia="Times New Roman" w:hAnsi="Calibri" w:cs="Calibri"/>
                <w:color w:val="000000"/>
                <w:sz w:val="18"/>
                <w:szCs w:val="18"/>
                <w:lang w:eastAsia="pl-PL"/>
              </w:rPr>
              <w:br/>
              <w:t>Modernizacja stopni wodnych na Dolnej i Górnej Skanalizowanej Noteci  –  Walkowice</w:t>
            </w:r>
            <w:r w:rsidRPr="0028666F">
              <w:rPr>
                <w:rFonts w:ascii="Calibri" w:eastAsia="Times New Roman" w:hAnsi="Calibri" w:cs="Calibri"/>
                <w:color w:val="000000"/>
                <w:sz w:val="18"/>
                <w:szCs w:val="18"/>
                <w:lang w:eastAsia="pl-PL"/>
              </w:rPr>
              <w:br/>
              <w:t>Modernizacja stopni wodnych na Dolnej i Górnej Skanalizowanej Noteci  –  Romanowo</w:t>
            </w:r>
            <w:r w:rsidRPr="0028666F">
              <w:rPr>
                <w:rFonts w:ascii="Calibri" w:eastAsia="Times New Roman" w:hAnsi="Calibri" w:cs="Calibri"/>
                <w:color w:val="000000"/>
                <w:sz w:val="18"/>
                <w:szCs w:val="18"/>
                <w:lang w:eastAsia="pl-PL"/>
              </w:rPr>
              <w:br/>
              <w:t>Modernizacja budowli hydrotechnicznych na Kanale Bydgoskim, na odcinku od km 14,8 do km 38,9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Inne przykładowe działania nie ograniczające zagrożenia powodziowego, do wykreślenia z listy działań  to:</w:t>
            </w:r>
            <w:r w:rsidRPr="0028666F">
              <w:rPr>
                <w:rFonts w:ascii="Calibri" w:eastAsia="Times New Roman" w:hAnsi="Calibri" w:cs="Calibri"/>
                <w:color w:val="000000"/>
                <w:sz w:val="18"/>
                <w:szCs w:val="18"/>
                <w:lang w:eastAsia="pl-PL"/>
              </w:rPr>
              <w:br/>
              <w:t>Wielozadaniowy zbiornik przeciwpowodziowy Kątki na rzece Czarna Woda,</w:t>
            </w:r>
            <w:r w:rsidRPr="0028666F">
              <w:rPr>
                <w:rFonts w:ascii="Calibri" w:eastAsia="Times New Roman" w:hAnsi="Calibri" w:cs="Calibri"/>
                <w:color w:val="000000"/>
                <w:sz w:val="18"/>
                <w:szCs w:val="18"/>
                <w:lang w:eastAsia="pl-PL"/>
              </w:rPr>
              <w:br/>
              <w:t>Zbiornik Radzyny - modernizacja - dokumentacja projektowa,</w:t>
            </w:r>
            <w:r w:rsidRPr="0028666F">
              <w:rPr>
                <w:rFonts w:ascii="Calibri" w:eastAsia="Times New Roman" w:hAnsi="Calibri" w:cs="Calibri"/>
                <w:color w:val="000000"/>
                <w:sz w:val="18"/>
                <w:szCs w:val="18"/>
                <w:lang w:eastAsia="pl-PL"/>
              </w:rPr>
              <w:br/>
              <w:t>Retencja w zlewni rzek Uniesty i Polnicy</w:t>
            </w:r>
          </w:p>
        </w:tc>
        <w:tc>
          <w:tcPr>
            <w:tcW w:w="2733" w:type="dxa"/>
            <w:tcBorders>
              <w:top w:val="nil"/>
              <w:left w:val="nil"/>
              <w:bottom w:val="single" w:sz="4" w:space="0" w:color="auto"/>
              <w:right w:val="single" w:sz="4" w:space="0" w:color="auto"/>
            </w:tcBorders>
            <w:shd w:val="clear" w:color="auto" w:fill="auto"/>
            <w:hideMark/>
          </w:tcPr>
          <w:p w14:paraId="7E518E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9C71E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Ponad 1/3 obszarów problemowych zidentyfikowanych w całym kraju (47 ze 130, tj. 37%) ma przypisane tylko jedno zadanie. Czy te pojedyncze działania rzeczywiście realizują założone cele aPZRP, tzn. czy redukują zagrożenie powodziowe lub ograniczają wzrost takiego ryzyka w poszczególnych dorzeczach? Jeśli wybrane obszary problemowe to tzw. hot spoty, czyli miejsca szczególnie narażone na powodzie i w domyśle wymagające interwencji, to zaproponowane działania powinny to ryzyko obniżać. W pewnej liczbie OP tak jest. Ale nie zawsze – te pojedyncze działania o wątpliwej celowości przypisane do poszczególnych OP podzielono na kilka kategorii (dot. działań we wszystkich dorzeczach):</w:t>
            </w:r>
            <w:r w:rsidRPr="0028666F">
              <w:rPr>
                <w:rFonts w:ascii="Calibri" w:eastAsia="Times New Roman" w:hAnsi="Calibri" w:cs="Calibri"/>
                <w:color w:val="000000"/>
                <w:sz w:val="18"/>
                <w:szCs w:val="18"/>
                <w:lang w:eastAsia="pl-PL"/>
              </w:rPr>
              <w:br/>
              <w:t>Działania, które nie obniżają ryzyka powodziowego. Należą do nich działania dotyczące głównie poprawy potencjału żeglugowego rzek ;</w:t>
            </w:r>
            <w:r w:rsidRPr="0028666F">
              <w:rPr>
                <w:rFonts w:ascii="Calibri" w:eastAsia="Times New Roman" w:hAnsi="Calibri" w:cs="Calibri"/>
                <w:color w:val="000000"/>
                <w:sz w:val="18"/>
                <w:szCs w:val="18"/>
                <w:lang w:eastAsia="pl-PL"/>
              </w:rPr>
              <w:br/>
              <w:t>Działania, co do których można mieć poważne wątpliwości, czy ich wdrożenie jest uzasadnione, gdyż powodzie 1% w tych terenach zagrażają raczej terenom rolniczym, a w nieznacznym stopniu - zabudowie. Można przypuszczać, że dla tych działań technicznych nie wykonano analizy kosztów – korzyści, gdyż koszty w większości z nich przewyższają zyski z wdrożenia;</w:t>
            </w:r>
            <w:r w:rsidRPr="0028666F">
              <w:rPr>
                <w:rFonts w:ascii="Calibri" w:eastAsia="Times New Roman" w:hAnsi="Calibri" w:cs="Calibri"/>
                <w:color w:val="000000"/>
                <w:sz w:val="18"/>
                <w:szCs w:val="18"/>
                <w:lang w:eastAsia="pl-PL"/>
              </w:rPr>
              <w:br/>
              <w:t>Aż 26 z 48 tych pojedynczych działań to koncepcje ochrony przed powodzią, przygotowanie dokumentacji, projektów. Jak rozumieć sytuacje, w których dla obszaru problemowego jedynym zaproponowanym działaniem jest opracowanie, czy koncepcja? Czy należy rozumieć, że te obszary to jakieś nowe „odkrycia”, obszary na których dotąd nie występowały powodzie, nikt się nimi dotąd nie zajmował, nie było więc gotowych pomysłów na ograniczenie zagrożenia powodziowego, jakie tam występuje i dlatego nie zaproponowano innych działań?</w:t>
            </w:r>
            <w:r w:rsidRPr="0028666F">
              <w:rPr>
                <w:rFonts w:ascii="Calibri" w:eastAsia="Times New Roman" w:hAnsi="Calibri" w:cs="Calibri"/>
                <w:color w:val="000000"/>
                <w:sz w:val="18"/>
                <w:szCs w:val="18"/>
                <w:lang w:eastAsia="pl-PL"/>
              </w:rPr>
              <w:br/>
              <w:t>Działania, które pod znakiem zapytania stawiają wybór jakiegoś obszaru jako problemowego, gdyż ich wdrożenie nie ogranicza ryzyka, co najwyżej mogłoby wspierać inne działania, których w tym przypadku nie zaproponowano Przykładem może być działanie rekomendowane dla OP Główna-Poznań „Koncepcja zabezpieczenia przeciwpowodziowego - OP Główna-Poznań”</w:t>
            </w:r>
          </w:p>
        </w:tc>
        <w:tc>
          <w:tcPr>
            <w:tcW w:w="1720" w:type="dxa"/>
            <w:tcBorders>
              <w:top w:val="nil"/>
              <w:left w:val="nil"/>
              <w:bottom w:val="single" w:sz="4" w:space="0" w:color="auto"/>
              <w:right w:val="single" w:sz="4" w:space="0" w:color="auto"/>
            </w:tcBorders>
            <w:shd w:val="clear" w:color="000000" w:fill="FFFFFF"/>
            <w:hideMark/>
          </w:tcPr>
          <w:p w14:paraId="06DE4E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97BA1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6E8CC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3034D77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ED2186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208</w:t>
            </w:r>
          </w:p>
        </w:tc>
        <w:tc>
          <w:tcPr>
            <w:tcW w:w="970" w:type="dxa"/>
            <w:tcBorders>
              <w:top w:val="nil"/>
              <w:left w:val="nil"/>
              <w:bottom w:val="single" w:sz="4" w:space="0" w:color="auto"/>
              <w:right w:val="nil"/>
            </w:tcBorders>
          </w:tcPr>
          <w:p w14:paraId="1D001D2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286B88A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06587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208E2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Zał. 1, 2, geobaza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Usunąć wszystkie działania zlokalizowane na obszarach chronionych (np. rezerwaty przyrody), będące w ewidentnym konflikcie z celami ochrony, a także działania mające jedynie zapobiegać erozji brzegów i kjształtować koryta, bez wpływu na ograniczenie zagrożenia powodziowego w OP. Wprowadzić do aPZRP dorzecza Odry działania wpisane w Krajowy program renaturyzacji wód powierzchniowych. Usunąć działania polegające na budowie zbiorników wielozadaniowych.</w:t>
            </w:r>
            <w:r w:rsidRPr="0028666F">
              <w:rPr>
                <w:rFonts w:ascii="Calibri" w:eastAsia="Times New Roman" w:hAnsi="Calibri" w:cs="Calibri"/>
                <w:color w:val="000000"/>
                <w:sz w:val="18"/>
                <w:szCs w:val="18"/>
                <w:lang w:eastAsia="pl-PL"/>
              </w:rPr>
              <w:br w:type="page"/>
              <w:t>Działania do usunięcia z uwagi na obszary chronione w zasięgu oddziaływania:</w:t>
            </w:r>
            <w:r w:rsidRPr="0028666F">
              <w:rPr>
                <w:rFonts w:ascii="Calibri" w:eastAsia="Times New Roman" w:hAnsi="Calibri" w:cs="Calibri"/>
                <w:color w:val="000000"/>
                <w:sz w:val="18"/>
                <w:szCs w:val="18"/>
                <w:lang w:eastAsia="pl-PL"/>
              </w:rPr>
              <w:br w:type="page"/>
              <w:t>Zbiornik Wielowieś Klasztorna na rzece Prośnie,</w:t>
            </w:r>
            <w:r w:rsidRPr="0028666F">
              <w:rPr>
                <w:rFonts w:ascii="Calibri" w:eastAsia="Times New Roman" w:hAnsi="Calibri" w:cs="Calibri"/>
                <w:color w:val="000000"/>
                <w:sz w:val="18"/>
                <w:szCs w:val="18"/>
                <w:lang w:eastAsia="pl-PL"/>
              </w:rPr>
              <w:br w:type="page"/>
              <w:t>Budowa stopni Lubiąż i Ścinawa oraz roboty regulacyjne na środkowej Odrze i Odrze granicznej, o których pisano w p. 12 i 13.</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Przykładowe działania przeciwerozyjne lub degradujące morfologię koryt do usunięcia i zastąpienia działaniami renaturyzacyjnymi:</w:t>
            </w:r>
            <w:r w:rsidRPr="0028666F">
              <w:rPr>
                <w:rFonts w:ascii="Calibri" w:eastAsia="Times New Roman" w:hAnsi="Calibri" w:cs="Calibri"/>
                <w:color w:val="000000"/>
                <w:sz w:val="18"/>
                <w:szCs w:val="18"/>
                <w:lang w:eastAsia="pl-PL"/>
              </w:rPr>
              <w:br w:type="page"/>
              <w:t>Przywrócenie przekroju normalnego koryta rzeki Kaczawy w miejscowości Legnica km 28+500 - 28+730</w:t>
            </w:r>
            <w:r w:rsidRPr="0028666F">
              <w:rPr>
                <w:rFonts w:ascii="Calibri" w:eastAsia="Times New Roman" w:hAnsi="Calibri" w:cs="Calibri"/>
                <w:color w:val="000000"/>
                <w:sz w:val="18"/>
                <w:szCs w:val="18"/>
                <w:lang w:eastAsia="pl-PL"/>
              </w:rPr>
              <w:br w:type="page"/>
              <w:t>Działania wskazane w opracowaniu Popowodziowa odbudowa cieku Miedzianka i Witka - Część I rzeka Miedzianka i Część II rzeka Witka</w:t>
            </w:r>
            <w:r w:rsidRPr="0028666F">
              <w:rPr>
                <w:rFonts w:ascii="Calibri" w:eastAsia="Times New Roman" w:hAnsi="Calibri" w:cs="Calibri"/>
                <w:color w:val="000000"/>
                <w:sz w:val="18"/>
                <w:szCs w:val="18"/>
                <w:lang w:eastAsia="pl-PL"/>
              </w:rPr>
              <w:br w:type="page"/>
              <w:t>Rów Krobski - regulacja w km 0+000 - 3+000</w:t>
            </w:r>
            <w:r w:rsidRPr="0028666F">
              <w:rPr>
                <w:rFonts w:ascii="Calibri" w:eastAsia="Times New Roman" w:hAnsi="Calibri" w:cs="Calibri"/>
                <w:color w:val="000000"/>
                <w:sz w:val="18"/>
                <w:szCs w:val="18"/>
                <w:lang w:eastAsia="pl-PL"/>
              </w:rPr>
              <w:br w:type="page"/>
              <w:t>Orla - regulacja i obwałowanie w km 47+315 -50+700</w:t>
            </w:r>
            <w:r w:rsidRPr="0028666F">
              <w:rPr>
                <w:rFonts w:ascii="Calibri" w:eastAsia="Times New Roman" w:hAnsi="Calibri" w:cs="Calibri"/>
                <w:color w:val="000000"/>
                <w:sz w:val="18"/>
                <w:szCs w:val="18"/>
                <w:lang w:eastAsia="pl-PL"/>
              </w:rPr>
              <w:br w:type="page"/>
              <w:t>Odbudowa Rzeki Kanał Kożuszna w km 0+000 -14+600</w:t>
            </w:r>
            <w:r w:rsidRPr="0028666F">
              <w:rPr>
                <w:rFonts w:ascii="Calibri" w:eastAsia="Times New Roman" w:hAnsi="Calibri" w:cs="Calibri"/>
                <w:color w:val="000000"/>
                <w:sz w:val="18"/>
                <w:szCs w:val="18"/>
                <w:lang w:eastAsia="pl-PL"/>
              </w:rPr>
              <w:br w:type="page"/>
              <w:t>Czermnica - odbudowa koryta rzeki, gm. Świerzawa i Pielgrzymka</w:t>
            </w:r>
            <w:r w:rsidRPr="0028666F">
              <w:rPr>
                <w:rFonts w:ascii="Calibri" w:eastAsia="Times New Roman" w:hAnsi="Calibri" w:cs="Calibri"/>
                <w:color w:val="000000"/>
                <w:sz w:val="18"/>
                <w:szCs w:val="18"/>
                <w:lang w:eastAsia="pl-PL"/>
              </w:rPr>
              <w:br w:type="page"/>
              <w:t>Miłoszowska Struga - przebudowa koryta potoku w gm. Siechnice</w:t>
            </w:r>
            <w:r w:rsidRPr="0028666F">
              <w:rPr>
                <w:rFonts w:ascii="Calibri" w:eastAsia="Times New Roman" w:hAnsi="Calibri" w:cs="Calibri"/>
                <w:color w:val="000000"/>
                <w:sz w:val="18"/>
                <w:szCs w:val="18"/>
                <w:lang w:eastAsia="pl-PL"/>
              </w:rPr>
              <w:br w:type="page"/>
              <w:t>Struga Świebodzińska- odbudowa</w:t>
            </w:r>
            <w:r w:rsidRPr="0028666F">
              <w:rPr>
                <w:rFonts w:ascii="Calibri" w:eastAsia="Times New Roman" w:hAnsi="Calibri" w:cs="Calibri"/>
                <w:color w:val="000000"/>
                <w:sz w:val="18"/>
                <w:szCs w:val="18"/>
                <w:lang w:eastAsia="pl-PL"/>
              </w:rPr>
              <w:br w:type="page"/>
              <w:t>Odbudowa i modernizacja rzeki Żarki w km 0+000-6+576</w:t>
            </w:r>
            <w:r w:rsidRPr="0028666F">
              <w:rPr>
                <w:rFonts w:ascii="Calibri" w:eastAsia="Times New Roman" w:hAnsi="Calibri" w:cs="Calibri"/>
                <w:color w:val="000000"/>
                <w:sz w:val="18"/>
                <w:szCs w:val="18"/>
                <w:lang w:eastAsia="pl-PL"/>
              </w:rPr>
              <w:br w:type="page"/>
              <w:t>Siekierka - odbudowa koryta cieku gm. Siekierczyn</w:t>
            </w:r>
            <w:r w:rsidRPr="0028666F">
              <w:rPr>
                <w:rFonts w:ascii="Calibri" w:eastAsia="Times New Roman" w:hAnsi="Calibri" w:cs="Calibri"/>
                <w:color w:val="000000"/>
                <w:sz w:val="18"/>
                <w:szCs w:val="18"/>
                <w:lang w:eastAsia="pl-PL"/>
              </w:rPr>
              <w:br w:type="page"/>
              <w:t>Regulacja rz. Bóbr w km 243+200-249+750 w m. Marciszów</w:t>
            </w:r>
            <w:r w:rsidRPr="0028666F">
              <w:rPr>
                <w:rFonts w:ascii="Calibri" w:eastAsia="Times New Roman" w:hAnsi="Calibri" w:cs="Calibri"/>
                <w:color w:val="000000"/>
                <w:sz w:val="18"/>
                <w:szCs w:val="18"/>
                <w:lang w:eastAsia="pl-PL"/>
              </w:rPr>
              <w:br w:type="page"/>
              <w:t>Szymanowski Potok - odbudowa koryta potoku gm. Strzegom i Dobromierz</w:t>
            </w:r>
            <w:r w:rsidRPr="0028666F">
              <w:rPr>
                <w:rFonts w:ascii="Calibri" w:eastAsia="Times New Roman" w:hAnsi="Calibri" w:cs="Calibri"/>
                <w:color w:val="000000"/>
                <w:sz w:val="18"/>
                <w:szCs w:val="18"/>
                <w:lang w:eastAsia="pl-PL"/>
              </w:rPr>
              <w:br w:type="page"/>
              <w:t>Odbudowa Kanału Flisa, gm. Pyzdry, Kołaczkowo, pow. Wrzesiński</w:t>
            </w:r>
            <w:r w:rsidRPr="0028666F">
              <w:rPr>
                <w:rFonts w:ascii="Calibri" w:eastAsia="Times New Roman" w:hAnsi="Calibri" w:cs="Calibri"/>
                <w:color w:val="000000"/>
                <w:sz w:val="18"/>
                <w:szCs w:val="18"/>
                <w:lang w:eastAsia="pl-PL"/>
              </w:rPr>
              <w:br w:type="page"/>
              <w:t>Likwidacja wyrwy na lewym brzegu rzeki Warty w km 339+100 do 340+100 w m. Szczonów</w:t>
            </w:r>
            <w:r w:rsidRPr="0028666F">
              <w:rPr>
                <w:rFonts w:ascii="Calibri" w:eastAsia="Times New Roman" w:hAnsi="Calibri" w:cs="Calibri"/>
                <w:color w:val="000000"/>
                <w:sz w:val="18"/>
                <w:szCs w:val="18"/>
                <w:lang w:eastAsia="pl-PL"/>
              </w:rPr>
              <w:br w:type="page"/>
              <w:t>Odbudowa budowli regulacyjnych rzeki Warty po powodzi w 2010 roku w km 375+000 do 378+000 w m. Wymysłów etap II/2017</w:t>
            </w:r>
            <w:r w:rsidRPr="0028666F">
              <w:rPr>
                <w:rFonts w:ascii="Calibri" w:eastAsia="Times New Roman" w:hAnsi="Calibri" w:cs="Calibri"/>
                <w:color w:val="000000"/>
                <w:sz w:val="18"/>
                <w:szCs w:val="18"/>
                <w:lang w:eastAsia="pl-PL"/>
              </w:rPr>
              <w:br w:type="page"/>
              <w:t>Odbudowa budowli regulacyjnych rzeki Warty po powodzi w 2010 roku w km 375+000 do 378+000 w m. Wymysłów etap IV kontynuacja zadania</w:t>
            </w:r>
            <w:r w:rsidRPr="0028666F">
              <w:rPr>
                <w:rFonts w:ascii="Calibri" w:eastAsia="Times New Roman" w:hAnsi="Calibri" w:cs="Calibri"/>
                <w:color w:val="000000"/>
                <w:sz w:val="18"/>
                <w:szCs w:val="18"/>
                <w:lang w:eastAsia="pl-PL"/>
              </w:rPr>
              <w:br w:type="page"/>
              <w:t>Kształtowanie przekroju podłużnego i poprzecznego rzeki Kcynki - etap II od km 21+302 do km 33+962</w:t>
            </w:r>
            <w:r w:rsidRPr="0028666F">
              <w:rPr>
                <w:rFonts w:ascii="Calibri" w:eastAsia="Times New Roman" w:hAnsi="Calibri" w:cs="Calibri"/>
                <w:color w:val="000000"/>
                <w:sz w:val="18"/>
                <w:szCs w:val="18"/>
                <w:lang w:eastAsia="pl-PL"/>
              </w:rPr>
              <w:br w:type="page"/>
              <w:t>Podpiętrzenie jezior Skulskich, gm. Skulsk -odbudowa rzeki Lisewki</w:t>
            </w:r>
            <w:r w:rsidRPr="0028666F">
              <w:rPr>
                <w:rFonts w:ascii="Calibri" w:eastAsia="Times New Roman" w:hAnsi="Calibri" w:cs="Calibri"/>
                <w:color w:val="000000"/>
                <w:sz w:val="18"/>
                <w:szCs w:val="18"/>
                <w:lang w:eastAsia="pl-PL"/>
              </w:rPr>
              <w:br w:type="page"/>
              <w:t>Odbudowa urządzeń piętrzących na rzece Bukowa - 8 szt. (w km: 17+451 wraz z przepławką - Kocień W., 22+052, 22+063, 22+915 - Górnica, 24+239 - Biernatowo, 32+611 - Smolarnia, 36+338, 36+768 – Straduń</w:t>
            </w:r>
            <w:r w:rsidRPr="0028666F">
              <w:rPr>
                <w:rFonts w:ascii="Calibri" w:eastAsia="Times New Roman" w:hAnsi="Calibri" w:cs="Calibri"/>
                <w:color w:val="000000"/>
                <w:sz w:val="18"/>
                <w:szCs w:val="18"/>
                <w:lang w:eastAsia="pl-PL"/>
              </w:rPr>
              <w:br w:type="page"/>
              <w:t>Rozbudowa Noteci na odcinku Pakość - Łabiszyn z uwzględnieniem jezior Mielno i Sadłogoszcz</w:t>
            </w:r>
            <w:r w:rsidRPr="0028666F">
              <w:rPr>
                <w:rFonts w:ascii="Calibri" w:eastAsia="Times New Roman" w:hAnsi="Calibri" w:cs="Calibri"/>
                <w:color w:val="000000"/>
                <w:sz w:val="18"/>
                <w:szCs w:val="18"/>
                <w:lang w:eastAsia="pl-PL"/>
              </w:rPr>
              <w:br w:type="page"/>
              <w:t>Regulacja koryta cieku Krasna w km 0+700–3+000 w m. Cieszyn, gm. Cieszyn w zakresie km 0+700-0+750, 0+800-1+694, 2+040-2+080, 2+145-2+210, 2+435-2+535, 2+680-2+810, 2+844-3+000</w:t>
            </w:r>
            <w:r w:rsidRPr="0028666F">
              <w:rPr>
                <w:rFonts w:ascii="Calibri" w:eastAsia="Times New Roman" w:hAnsi="Calibri" w:cs="Calibri"/>
                <w:color w:val="000000"/>
                <w:sz w:val="18"/>
                <w:szCs w:val="18"/>
                <w:lang w:eastAsia="pl-PL"/>
              </w:rPr>
              <w:br w:type="page"/>
              <w:t>Przebudowa koryta cieku Drama w km 0+000 -4+230, gm. Pyskowice, pow. Gliwicki</w:t>
            </w:r>
            <w:r w:rsidRPr="0028666F">
              <w:rPr>
                <w:rFonts w:ascii="Calibri" w:eastAsia="Times New Roman" w:hAnsi="Calibri" w:cs="Calibri"/>
                <w:color w:val="000000"/>
                <w:sz w:val="18"/>
                <w:szCs w:val="18"/>
                <w:lang w:eastAsia="pl-PL"/>
              </w:rPr>
              <w:br w:type="page"/>
              <w:t>Odbudowa ubezpieczeń koryta rzeki Odry. Usuwanie szkód powodziowych na rzece Odrze w km 82+150 - 82+700 wraz z odcinkowym remontem prawego brzegu rzeki w km 81+020 -81+600</w:t>
            </w:r>
            <w:r w:rsidRPr="0028666F">
              <w:rPr>
                <w:rFonts w:ascii="Calibri" w:eastAsia="Times New Roman" w:hAnsi="Calibri" w:cs="Calibri"/>
                <w:color w:val="000000"/>
                <w:sz w:val="18"/>
                <w:szCs w:val="18"/>
                <w:lang w:eastAsia="pl-PL"/>
              </w:rPr>
              <w:br w:type="page"/>
              <w:t>Remont lewobrzeżnych umocnień brzegowych rzeki Opawy w km 57+900 - 58+150 pomiędzy znakami granicznymi 84/4 - 84/6</w:t>
            </w:r>
            <w:r w:rsidRPr="0028666F">
              <w:rPr>
                <w:rFonts w:ascii="Calibri" w:eastAsia="Times New Roman" w:hAnsi="Calibri" w:cs="Calibri"/>
                <w:color w:val="000000"/>
                <w:sz w:val="18"/>
                <w:szCs w:val="18"/>
                <w:lang w:eastAsia="pl-PL"/>
              </w:rPr>
              <w:br w:type="page"/>
              <w:t>Odcinkowy remont koryta rzeki Opawicy w km 8+500 - 8+600 i 12+700 - 13+087 pomiędzy znakami granicznymi 98/6 i II/102 - 101/5</w:t>
            </w:r>
            <w:r w:rsidRPr="0028666F">
              <w:rPr>
                <w:rFonts w:ascii="Calibri" w:eastAsia="Times New Roman" w:hAnsi="Calibri" w:cs="Calibri"/>
                <w:color w:val="000000"/>
                <w:sz w:val="18"/>
                <w:szCs w:val="18"/>
                <w:lang w:eastAsia="pl-PL"/>
              </w:rPr>
              <w:br w:type="page"/>
              <w:t>Wykonanie ubezpieczenia brzegu na rz. Odrze Wschodniej na wybranych odcinkach od węzła Widuchowa do Kanału Klucz-Ustowo (Skośnicy)</w:t>
            </w:r>
            <w:r w:rsidRPr="0028666F">
              <w:rPr>
                <w:rFonts w:ascii="Calibri" w:eastAsia="Times New Roman" w:hAnsi="Calibri" w:cs="Calibri"/>
                <w:color w:val="000000"/>
                <w:sz w:val="18"/>
                <w:szCs w:val="18"/>
                <w:lang w:eastAsia="pl-PL"/>
              </w:rPr>
              <w:br w:type="page"/>
              <w:t>Retencja w zlewni rzek Uniesty i Polnicy.</w:t>
            </w:r>
          </w:p>
        </w:tc>
        <w:tc>
          <w:tcPr>
            <w:tcW w:w="2733" w:type="dxa"/>
            <w:tcBorders>
              <w:top w:val="nil"/>
              <w:left w:val="nil"/>
              <w:bottom w:val="single" w:sz="4" w:space="0" w:color="auto"/>
              <w:right w:val="single" w:sz="4" w:space="0" w:color="auto"/>
            </w:tcBorders>
            <w:shd w:val="clear" w:color="auto" w:fill="auto"/>
            <w:hideMark/>
          </w:tcPr>
          <w:p w14:paraId="79D984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28C4DB9D" w14:textId="55EB4DB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Szereg zaproponowanych działań jest w ewidentnym konflikcie z celami środowiskowymi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uwagi na cele ochrony w obszarach chronionych. Trudno sobie wyobrazić, aby działania te przeszły przez sito oceny środowiskowej, a jednak na liście się znalazły. Wszystkie te działania wymagają usunięcia.</w:t>
            </w:r>
            <w:r w:rsidRPr="0028666F">
              <w:rPr>
                <w:rFonts w:ascii="Calibri" w:eastAsia="Times New Roman" w:hAnsi="Calibri" w:cs="Calibri"/>
                <w:color w:val="000000"/>
                <w:sz w:val="18"/>
                <w:szCs w:val="18"/>
                <w:lang w:eastAsia="pl-PL"/>
              </w:rPr>
              <w:br w:type="page"/>
              <w:t xml:space="preserve">Inna grupa, to działania polegające na „odbudowie koryta”, „zwiększeniu przepustowości rzeki/koryta” itp., pogarszające stan hydromorfologiczny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bez udowodnionego wpływu na ograniczenie zagrożenia powodziowego. Prace regulacyjne i odtwarzające sztuczne koryta służą najczęściej  powstrzymania erozji bocznej, bardzo często zwiększają zagrożenie powodziowe terenów położonych poniżej i powinny być zastąpione działaniami renaturyzacyjnymi oraz wykupami gruntów w sąsiedztwie koryta.</w:t>
            </w:r>
          </w:p>
        </w:tc>
        <w:tc>
          <w:tcPr>
            <w:tcW w:w="1720" w:type="dxa"/>
            <w:tcBorders>
              <w:top w:val="nil"/>
              <w:left w:val="nil"/>
              <w:bottom w:val="single" w:sz="4" w:space="0" w:color="auto"/>
              <w:right w:val="single" w:sz="4" w:space="0" w:color="auto"/>
            </w:tcBorders>
            <w:shd w:val="clear" w:color="000000" w:fill="FFFFFF"/>
            <w:hideMark/>
          </w:tcPr>
          <w:p w14:paraId="2329D1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643EB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6A7D8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02F19E1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639A88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209</w:t>
            </w:r>
          </w:p>
        </w:tc>
        <w:tc>
          <w:tcPr>
            <w:tcW w:w="970" w:type="dxa"/>
            <w:tcBorders>
              <w:top w:val="nil"/>
              <w:left w:val="nil"/>
              <w:bottom w:val="single" w:sz="4" w:space="0" w:color="auto"/>
              <w:right w:val="nil"/>
            </w:tcBorders>
          </w:tcPr>
          <w:p w14:paraId="1D03D9E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37CC35A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326E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9BA9F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Suplement do projektu planu zarządzania ryzykiem powodziowym dla dorzecza Odry- zlewnia Bobru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Usunąć wszystkie działania zaproponowane w tym suplemencie za wyjątkiem działań o charakterze renaturyzacyjnym, jeśli takie występują (tytuły niektórych działań nie pozwalają na jednoznaczną ocenę, jaki jest charakter i zakres planowanych prac).</w:t>
            </w:r>
          </w:p>
        </w:tc>
        <w:tc>
          <w:tcPr>
            <w:tcW w:w="2733" w:type="dxa"/>
            <w:tcBorders>
              <w:top w:val="nil"/>
              <w:left w:val="nil"/>
              <w:bottom w:val="single" w:sz="4" w:space="0" w:color="auto"/>
              <w:right w:val="single" w:sz="4" w:space="0" w:color="auto"/>
            </w:tcBorders>
            <w:shd w:val="clear" w:color="auto" w:fill="auto"/>
            <w:hideMark/>
          </w:tcPr>
          <w:p w14:paraId="278101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B26BD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Suplement nie został udostępniony w terminie udostępnienia aPZRP dla dorzecza Odry, lecz znacznie później, najprawdopodobniej 1 września -  3 tygodni przed końcem konsultacji. Zaplanowane działania dotyczą przede wszystkim budowy zbiorników oraz zapobiegania erozji brzegowej i innych działań technicznych degradujących morfologię koryt. Suplement nie zawiera żadnych danych, które pozwoliłyby na weryfikację trafności przyjętych rozwiązań, lista działań jest niespójna z listą z zał. 1 i 2 aPZRP, a ponadto czas przeznaczony na jego konsultację nie spełnia wymogów ustawy Prawo Wodne i dyrektywy 2007/60/WE (6 miesięcy). </w:t>
            </w:r>
          </w:p>
        </w:tc>
        <w:tc>
          <w:tcPr>
            <w:tcW w:w="1720" w:type="dxa"/>
            <w:tcBorders>
              <w:top w:val="nil"/>
              <w:left w:val="nil"/>
              <w:bottom w:val="single" w:sz="4" w:space="0" w:color="auto"/>
              <w:right w:val="single" w:sz="4" w:space="0" w:color="auto"/>
            </w:tcBorders>
            <w:shd w:val="clear" w:color="000000" w:fill="FFFFFF"/>
            <w:hideMark/>
          </w:tcPr>
          <w:p w14:paraId="3850C5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DC207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79CBC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18BF2FF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4A74F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210</w:t>
            </w:r>
          </w:p>
        </w:tc>
        <w:tc>
          <w:tcPr>
            <w:tcW w:w="970" w:type="dxa"/>
            <w:tcBorders>
              <w:top w:val="nil"/>
              <w:left w:val="nil"/>
              <w:bottom w:val="single" w:sz="4" w:space="0" w:color="auto"/>
              <w:right w:val="nil"/>
            </w:tcBorders>
          </w:tcPr>
          <w:p w14:paraId="657683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0E9F867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F5ED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D99AE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 1,2, geobaza,</w:t>
            </w:r>
            <w:r w:rsidRPr="0028666F">
              <w:rPr>
                <w:rFonts w:ascii="Calibri" w:eastAsia="Times New Roman" w:hAnsi="Calibri" w:cs="Calibri"/>
                <w:color w:val="000000"/>
                <w:sz w:val="18"/>
                <w:szCs w:val="18"/>
                <w:lang w:eastAsia="pl-PL"/>
              </w:rPr>
              <w:br/>
              <w:t xml:space="preserve"> całość aPZRP, w szczególności rozdz. 9</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Urealnić listy zaplanowanych działań pod kątem ich efektywności oraz możliwości realizacji, biorąc pod uwagę możliwość finansowe i organizacyjne</w:t>
            </w:r>
          </w:p>
        </w:tc>
        <w:tc>
          <w:tcPr>
            <w:tcW w:w="2733" w:type="dxa"/>
            <w:tcBorders>
              <w:top w:val="nil"/>
              <w:left w:val="nil"/>
              <w:bottom w:val="single" w:sz="4" w:space="0" w:color="auto"/>
              <w:right w:val="single" w:sz="4" w:space="0" w:color="auto"/>
            </w:tcBorders>
            <w:shd w:val="clear" w:color="auto" w:fill="auto"/>
            <w:hideMark/>
          </w:tcPr>
          <w:p w14:paraId="7BC05B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w:t>
            </w:r>
          </w:p>
        </w:tc>
        <w:tc>
          <w:tcPr>
            <w:tcW w:w="3009" w:type="dxa"/>
            <w:tcBorders>
              <w:top w:val="nil"/>
              <w:left w:val="nil"/>
              <w:bottom w:val="single" w:sz="4" w:space="0" w:color="auto"/>
              <w:right w:val="single" w:sz="4" w:space="0" w:color="auto"/>
            </w:tcBorders>
            <w:shd w:val="clear" w:color="auto" w:fill="auto"/>
            <w:hideMark/>
          </w:tcPr>
          <w:p w14:paraId="1D795E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Opisane powyżej zastrzeżenia dotyczące sposobu wyznaczania obszarów problemowych, ich liczba i lokalizacja (56 OP, tab. 23 w aPZRP), liczba cieków wskazanych jako ONNP (239, tab. 12), ostateczna lista działań zaplanowanych w dorzeczu Odry (251, zał. 1) oraz ich koszt (8,9 do 12,8 mld zł) sprawiają wrażenie, że aPZRP dla okresu 2022-27 to raczej lista życzeń, niż realny plan. Pośrednią odpowiedź na szanse jego realizacji może dać ocena wykonania PZRP dla poprzedniego okresu planistycznego. Zgodnie z informacją przekazaną w lipcu b.r. Fundacji WWF Polska przez Ministerstwo Infrastruktury, na 250 działań zaplanowanych w dorzeczu Odry na okres 2016-21 zrealizowano zaledwie 29, t.j. 12%, a ponad połowy (140) nawet nie rozpoczęto. Również wskaźniki zaprezentowane w tab. 25 w rozdziale 6.1.2 aPZRP wskazują na niewielkie zaawansowanie prac we wdrażaniu PZRP. Dla przykładu, choć wzrost retencji dolinowej zaplanowano na bardzo niskim poziomie - 47 mln m3, to wskaźnik wykonania wynosi 0! Z kolei wysokie zaawansowanie wzrostu retencji zbiornikowej (80%) wynika z zakończenia budowy zbiornika Racibórz, a także wliczenia retencji suchych zbiorników w Kotlinie Kłodzkiej, które de facto nie zostały jeszcze zbudowane, a co więcej – jako zbiorniki suche nie maja funkcji retencyjnej, jedynie opóźniające spływ. To, że zrealizowane działania spowodowały spadek zagrożenia powodziami jednoprocentowymi (wskaźnik RA6) dla zaledwie 4,9 tys. osób (na zaplanowane niezbyt ambitnie 23,7 tys.) należy uznać za porażkę wdrażania PZRP poprzedniego cyklu planistycznego. Mizerne efekty wdrażania PZRP utwierdzają nas w tym, że koncepcja wpisywania do tych planów wszystkich możliwych inwestycji hydrotechnicznych się nie sprawdza. </w:t>
            </w:r>
            <w:r w:rsidRPr="0028666F">
              <w:rPr>
                <w:rFonts w:ascii="Calibri" w:eastAsia="Times New Roman" w:hAnsi="Calibri" w:cs="Calibri"/>
                <w:color w:val="000000"/>
                <w:sz w:val="18"/>
                <w:szCs w:val="18"/>
                <w:lang w:eastAsia="pl-PL"/>
              </w:rPr>
              <w:br/>
              <w:t xml:space="preserve">Wg danych GUS na koniec grudnia 2020 opublikowanych w raporcie "Ekonomiczne aspekty ochrony środowiska” roczne nakłady na budowę wałów, zbiorników wodnych i regulacje rzek wahały się w Polsce w ostatnim dwudziestoleciu w przedziale od 0,6 do 1,5 mld zł, a średnia suma nakładów w ostatnim dziesięcioleciu oscylowała wokół kwoty 1 mld zł. Zważywszy, że 90% działań aPZRP to działania techniczne, realizacja aPZRP dla obszaru dorzecza Odry o budżecie rocznym na poziomie 1,5-2 mld PLN jest nierealna, bo kilkukrotnie przekracza dostępne środki. </w:t>
            </w:r>
          </w:p>
        </w:tc>
        <w:tc>
          <w:tcPr>
            <w:tcW w:w="1720" w:type="dxa"/>
            <w:tcBorders>
              <w:top w:val="nil"/>
              <w:left w:val="nil"/>
              <w:bottom w:val="single" w:sz="4" w:space="0" w:color="auto"/>
              <w:right w:val="single" w:sz="4" w:space="0" w:color="auto"/>
            </w:tcBorders>
            <w:shd w:val="clear" w:color="000000" w:fill="FFFFFF"/>
            <w:hideMark/>
          </w:tcPr>
          <w:p w14:paraId="54207E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DA403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1C82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7C2B40" w:rsidRPr="0028666F" w14:paraId="2E5A4D6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9A003D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211</w:t>
            </w:r>
          </w:p>
        </w:tc>
        <w:tc>
          <w:tcPr>
            <w:tcW w:w="970" w:type="dxa"/>
            <w:tcBorders>
              <w:top w:val="nil"/>
              <w:left w:val="nil"/>
              <w:bottom w:val="single" w:sz="4" w:space="0" w:color="auto"/>
              <w:right w:val="nil"/>
            </w:tcBorders>
          </w:tcPr>
          <w:p w14:paraId="0ABFA17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74A2877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34627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6B113C3" w14:textId="314D49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w:t>
            </w:r>
            <w:r w:rsidRPr="0028666F">
              <w:rPr>
                <w:rFonts w:ascii="Calibri" w:eastAsia="Times New Roman" w:hAnsi="Calibri" w:cs="Calibri"/>
                <w:color w:val="000000"/>
                <w:sz w:val="18"/>
                <w:szCs w:val="18"/>
                <w:lang w:eastAsia="pl-PL"/>
              </w:rPr>
              <w:br/>
              <w:t xml:space="preserve">Wprowadzone zmiany, nazwane błędnie „erratami” w aż 4 dorzeczach, w tym największych – Wisły i Odry, odnoszą się do dwóch niezależnych kwestii - obszarów chronionych przeznaczonych do ochrony zwierząt wodnych o znaczeniu gospodarczym i kolejną w ciągu propozycje projektu VI aKPOŚK. </w:t>
            </w:r>
            <w:r w:rsidRPr="0028666F">
              <w:rPr>
                <w:rFonts w:ascii="Calibri" w:eastAsia="Times New Roman" w:hAnsi="Calibri" w:cs="Calibri"/>
                <w:color w:val="000000"/>
                <w:sz w:val="18"/>
                <w:szCs w:val="18"/>
                <w:lang w:eastAsia="pl-PL"/>
              </w:rPr>
              <w:br/>
              <w:t>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32501F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46C4B9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w:t>
            </w:r>
            <w:r w:rsidRPr="0028666F">
              <w:rPr>
                <w:rFonts w:ascii="Calibri" w:eastAsia="Times New Roman" w:hAnsi="Calibri" w:cs="Calibri"/>
                <w:color w:val="000000"/>
                <w:sz w:val="18"/>
                <w:szCs w:val="18"/>
                <w:lang w:eastAsia="pl-PL"/>
              </w:rPr>
              <w:br/>
              <w:t xml:space="preserve"> gatunków zwierząt wodnych o znaczeniu gospodarczym, ale zdecydowanie zbyt późno.</w:t>
            </w:r>
            <w:r w:rsidRPr="0028666F">
              <w:rPr>
                <w:rFonts w:ascii="Calibri" w:eastAsia="Times New Roman" w:hAnsi="Calibri" w:cs="Calibri"/>
                <w:color w:val="000000"/>
                <w:sz w:val="18"/>
                <w:szCs w:val="18"/>
                <w:lang w:eastAsia="pl-PL"/>
              </w:rPr>
              <w:br/>
              <w:t xml:space="preserve">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w:t>
            </w:r>
          </w:p>
        </w:tc>
        <w:tc>
          <w:tcPr>
            <w:tcW w:w="1720" w:type="dxa"/>
            <w:tcBorders>
              <w:top w:val="nil"/>
              <w:left w:val="nil"/>
              <w:bottom w:val="single" w:sz="4" w:space="0" w:color="auto"/>
              <w:right w:val="single" w:sz="4" w:space="0" w:color="auto"/>
            </w:tcBorders>
            <w:shd w:val="clear" w:color="000000" w:fill="FFFFFF"/>
            <w:hideMark/>
          </w:tcPr>
          <w:p w14:paraId="040773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CF761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957F4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5BE8BF0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958575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212</w:t>
            </w:r>
          </w:p>
        </w:tc>
        <w:tc>
          <w:tcPr>
            <w:tcW w:w="970" w:type="dxa"/>
            <w:tcBorders>
              <w:top w:val="nil"/>
              <w:left w:val="nil"/>
              <w:bottom w:val="single" w:sz="4" w:space="0" w:color="auto"/>
              <w:right w:val="nil"/>
            </w:tcBorders>
          </w:tcPr>
          <w:p w14:paraId="2D1A6B4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699387F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D41FD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3D75B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Konsultacje – chaos</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w:t>
            </w:r>
            <w:r w:rsidRPr="0028666F">
              <w:rPr>
                <w:rFonts w:ascii="Calibri" w:eastAsia="Times New Roman" w:hAnsi="Calibri" w:cs="Calibri"/>
                <w:color w:val="000000"/>
                <w:sz w:val="18"/>
                <w:szCs w:val="18"/>
                <w:lang w:eastAsia="pl-PL"/>
              </w:rPr>
              <w:br/>
              <w:t xml:space="preserve"> uwagi do 20 października. Jednak już 1 października, opublikowano inny komunikat, że „to ostatni dzwonek, by wziąć udział w konsultacjach społecznych w ramach drugiej aktualizacji planów gospodarowania wodami, które trwają tylko do 14 października”.</w:t>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27D534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w:t>
            </w:r>
          </w:p>
        </w:tc>
        <w:tc>
          <w:tcPr>
            <w:tcW w:w="3009" w:type="dxa"/>
            <w:tcBorders>
              <w:top w:val="nil"/>
              <w:left w:val="nil"/>
              <w:bottom w:val="single" w:sz="4" w:space="0" w:color="auto"/>
              <w:right w:val="single" w:sz="4" w:space="0" w:color="auto"/>
            </w:tcBorders>
            <w:shd w:val="clear" w:color="auto" w:fill="auto"/>
            <w:hideMark/>
          </w:tcPr>
          <w:p w14:paraId="39580C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w:t>
            </w:r>
            <w:r w:rsidRPr="0028666F">
              <w:rPr>
                <w:rFonts w:ascii="Calibri" w:eastAsia="Times New Roman" w:hAnsi="Calibri" w:cs="Calibri"/>
                <w:color w:val="000000"/>
                <w:sz w:val="18"/>
                <w:szCs w:val="18"/>
                <w:lang w:eastAsia="pl-PL"/>
              </w:rPr>
              <w:br/>
              <w:t>Jedynym rozwiązaniem jest ujednolicenie trybu składania uwag i rozszerzenie terminów ich składania.</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01D7AA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9A4C7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173A0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2951D98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F46A4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213</w:t>
            </w:r>
          </w:p>
        </w:tc>
        <w:tc>
          <w:tcPr>
            <w:tcW w:w="970" w:type="dxa"/>
            <w:tcBorders>
              <w:top w:val="nil"/>
              <w:left w:val="nil"/>
              <w:bottom w:val="single" w:sz="4" w:space="0" w:color="auto"/>
              <w:right w:val="nil"/>
            </w:tcBorders>
          </w:tcPr>
          <w:p w14:paraId="5D9CC76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629AB66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4553EA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5524CD6" w14:textId="060F0E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Konsultacje – geobaza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Treść uwagi: </w:t>
            </w:r>
            <w:r w:rsidRPr="0028666F">
              <w:rPr>
                <w:rFonts w:ascii="Calibri" w:eastAsia="Times New Roman" w:hAnsi="Calibri" w:cs="Calibri"/>
                <w:color w:val="000000"/>
                <w:sz w:val="18"/>
                <w:szCs w:val="18"/>
                <w:lang w:eastAsia="pl-PL"/>
              </w:rPr>
              <w:br w:type="page"/>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315A8D5A" w14:textId="7B25564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wyznaczaniu wód „nienaturalnych” (SZCW i SCW) dane te powinny być upowszechnione na ogólnodostępnej platformie (jak w przypadku konsultacji aPZRP) oraz dostępne na wniosek.</w:t>
            </w:r>
          </w:p>
        </w:tc>
        <w:tc>
          <w:tcPr>
            <w:tcW w:w="3009" w:type="dxa"/>
            <w:tcBorders>
              <w:top w:val="nil"/>
              <w:left w:val="nil"/>
              <w:bottom w:val="single" w:sz="4" w:space="0" w:color="auto"/>
              <w:right w:val="single" w:sz="4" w:space="0" w:color="auto"/>
            </w:tcBorders>
            <w:shd w:val="clear" w:color="auto" w:fill="auto"/>
            <w:hideMark/>
          </w:tcPr>
          <w:p w14:paraId="79ED86D7" w14:textId="4189E1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czy działań ochronnych) znacząco obniża jakość konsultacji publicznych. Uwaga składana wielokrotnie m.in. w trakcie spotkań konsultacyjnych nie doczekała się żadnej reakcji.</w:t>
            </w:r>
            <w:r w:rsidRPr="0028666F">
              <w:rPr>
                <w:rFonts w:ascii="Calibri" w:eastAsia="Times New Roman" w:hAnsi="Calibri" w:cs="Calibri"/>
                <w:color w:val="000000"/>
                <w:sz w:val="18"/>
                <w:szCs w:val="18"/>
                <w:lang w:eastAsia="pl-PL"/>
              </w:rPr>
              <w:br w:type="page"/>
              <w:t>Mapy udostępnione wraz z projektem IIaPGW nie są ani czytelne ani możliwe do wykorzystania przez osoby uczestniczące w konsultacjach.</w:t>
            </w:r>
            <w:r w:rsidRPr="0028666F">
              <w:rPr>
                <w:rFonts w:ascii="Calibri" w:eastAsia="Times New Roman" w:hAnsi="Calibri" w:cs="Calibri"/>
                <w:color w:val="000000"/>
                <w:sz w:val="18"/>
                <w:szCs w:val="18"/>
                <w:lang w:eastAsia="pl-PL"/>
              </w:rPr>
              <w:br w:type="page"/>
              <w:t>Działanie Wód Polskich w tym zakresie jest sprzeczne z:</w:t>
            </w:r>
            <w:r w:rsidRPr="0028666F">
              <w:rPr>
                <w:rFonts w:ascii="Calibri" w:eastAsia="Times New Roman" w:hAnsi="Calibri" w:cs="Calibri"/>
                <w:color w:val="000000"/>
                <w:sz w:val="18"/>
                <w:szCs w:val="18"/>
                <w:lang w:eastAsia="pl-PL"/>
              </w:rPr>
              <w:br w:type="page"/>
              <w:t>art. 14 RDW –</w:t>
            </w:r>
            <w:r w:rsidRPr="0028666F">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ype="page"/>
              <w:t xml:space="preserve">Zał. VII – pkt 1, 3, 4 </w:t>
            </w:r>
          </w:p>
        </w:tc>
        <w:tc>
          <w:tcPr>
            <w:tcW w:w="1720" w:type="dxa"/>
            <w:tcBorders>
              <w:top w:val="nil"/>
              <w:left w:val="nil"/>
              <w:bottom w:val="single" w:sz="4" w:space="0" w:color="auto"/>
              <w:right w:val="single" w:sz="4" w:space="0" w:color="auto"/>
            </w:tcBorders>
            <w:shd w:val="clear" w:color="000000" w:fill="FFFFFF"/>
            <w:hideMark/>
          </w:tcPr>
          <w:p w14:paraId="285ADB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0A169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B507980" w14:textId="3DCDB51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ype="page"/>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14C3B4C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412C21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214</w:t>
            </w:r>
          </w:p>
        </w:tc>
        <w:tc>
          <w:tcPr>
            <w:tcW w:w="970" w:type="dxa"/>
            <w:tcBorders>
              <w:top w:val="nil"/>
              <w:left w:val="nil"/>
              <w:bottom w:val="single" w:sz="4" w:space="0" w:color="auto"/>
              <w:right w:val="nil"/>
            </w:tcBorders>
          </w:tcPr>
          <w:p w14:paraId="1EACF97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6CEA656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40015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D8075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Konsultacje – dokumenty źródłowe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w:t>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2733" w:type="dxa"/>
            <w:tcBorders>
              <w:top w:val="nil"/>
              <w:left w:val="nil"/>
              <w:bottom w:val="single" w:sz="4" w:space="0" w:color="auto"/>
              <w:right w:val="single" w:sz="4" w:space="0" w:color="auto"/>
            </w:tcBorders>
            <w:shd w:val="clear" w:color="auto" w:fill="auto"/>
            <w:hideMark/>
          </w:tcPr>
          <w:p w14:paraId="74228B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6C5C37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28BC06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5E56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E224BD3" w14:textId="42EC0AB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055E632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FBB31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215</w:t>
            </w:r>
          </w:p>
        </w:tc>
        <w:tc>
          <w:tcPr>
            <w:tcW w:w="970" w:type="dxa"/>
            <w:tcBorders>
              <w:top w:val="nil"/>
              <w:left w:val="nil"/>
              <w:bottom w:val="single" w:sz="4" w:space="0" w:color="auto"/>
              <w:right w:val="nil"/>
            </w:tcBorders>
          </w:tcPr>
          <w:p w14:paraId="7D12C0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5378F9C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312854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88FF4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Konsultacje - formularz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w:t>
            </w:r>
          </w:p>
        </w:tc>
        <w:tc>
          <w:tcPr>
            <w:tcW w:w="2733" w:type="dxa"/>
            <w:tcBorders>
              <w:top w:val="nil"/>
              <w:left w:val="nil"/>
              <w:bottom w:val="single" w:sz="4" w:space="0" w:color="auto"/>
              <w:right w:val="single" w:sz="4" w:space="0" w:color="auto"/>
            </w:tcBorders>
            <w:shd w:val="clear" w:color="auto" w:fill="auto"/>
            <w:hideMark/>
          </w:tcPr>
          <w:p w14:paraId="25914D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Umożliwić składanie uwag również w innych formach niż załączony na stronach konsultacji formularz, w tym w formie tabelarycznej. Stosowna informacja powinna znaleźć się na stronie https://apgw.gov.pl/pl/konsultacje</w:t>
            </w:r>
          </w:p>
        </w:tc>
        <w:tc>
          <w:tcPr>
            <w:tcW w:w="3009" w:type="dxa"/>
            <w:tcBorders>
              <w:top w:val="nil"/>
              <w:left w:val="nil"/>
              <w:bottom w:val="single" w:sz="4" w:space="0" w:color="auto"/>
              <w:right w:val="single" w:sz="4" w:space="0" w:color="auto"/>
            </w:tcBorders>
            <w:shd w:val="clear" w:color="auto" w:fill="auto"/>
            <w:hideMark/>
          </w:tcPr>
          <w:p w14:paraId="5269CB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3FB129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AA2FC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9ADA3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t>
            </w:r>
          </w:p>
        </w:tc>
      </w:tr>
      <w:tr w:rsidR="007C2B40" w:rsidRPr="0028666F" w14:paraId="5F89C0A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0E2F5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216</w:t>
            </w:r>
          </w:p>
        </w:tc>
        <w:tc>
          <w:tcPr>
            <w:tcW w:w="970" w:type="dxa"/>
            <w:tcBorders>
              <w:top w:val="nil"/>
              <w:left w:val="nil"/>
              <w:bottom w:val="single" w:sz="4" w:space="0" w:color="auto"/>
              <w:right w:val="nil"/>
            </w:tcBorders>
          </w:tcPr>
          <w:p w14:paraId="683A556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20EBFB0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094F5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835D8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Konsultacje – dane ze strony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04AF73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dane z poprzedniego okresu planistycznego, dostępne pod starym adresem konsultacji www.apgw.kzgw.gov.pl</w:t>
            </w:r>
          </w:p>
        </w:tc>
        <w:tc>
          <w:tcPr>
            <w:tcW w:w="3009" w:type="dxa"/>
            <w:tcBorders>
              <w:top w:val="nil"/>
              <w:left w:val="nil"/>
              <w:bottom w:val="single" w:sz="4" w:space="0" w:color="auto"/>
              <w:right w:val="single" w:sz="4" w:space="0" w:color="auto"/>
            </w:tcBorders>
            <w:shd w:val="clear" w:color="auto" w:fill="auto"/>
            <w:hideMark/>
          </w:tcPr>
          <w:p w14:paraId="59FA2E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DDAAD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93CF7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2DCE6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21A3359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2AFB52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217</w:t>
            </w:r>
          </w:p>
        </w:tc>
        <w:tc>
          <w:tcPr>
            <w:tcW w:w="970" w:type="dxa"/>
            <w:tcBorders>
              <w:top w:val="nil"/>
              <w:left w:val="nil"/>
              <w:bottom w:val="single" w:sz="4" w:space="0" w:color="auto"/>
              <w:right w:val="nil"/>
            </w:tcBorders>
          </w:tcPr>
          <w:p w14:paraId="69C5A31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5E0F525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CD7E14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0E92CD1" w14:textId="753D180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jest bardzo mało efektywna. Przyczyna takiego podejścia (takich zmian), nie została wyjaśniona w projekcie IIaPGW.</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1C691C3A" w14:textId="3C9087F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076CAFCC" w14:textId="684241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niż te, na których jest czy ma być położone.</w:t>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„giganty” o długościach łącznych powyżej 200 km, a także bardzo długie odcinki pojedynczych cieków, których monitorowanie w jednym miejscu (punkcie) jest kompletnie niemiarodajne.</w:t>
            </w:r>
          </w:p>
        </w:tc>
        <w:tc>
          <w:tcPr>
            <w:tcW w:w="1720" w:type="dxa"/>
            <w:tcBorders>
              <w:top w:val="nil"/>
              <w:left w:val="nil"/>
              <w:bottom w:val="single" w:sz="4" w:space="0" w:color="auto"/>
              <w:right w:val="single" w:sz="4" w:space="0" w:color="auto"/>
            </w:tcBorders>
            <w:shd w:val="clear" w:color="000000" w:fill="FFFFFF"/>
            <w:hideMark/>
          </w:tcPr>
          <w:p w14:paraId="6FA0C6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5EFE3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EEC1309" w14:textId="4176202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166F43A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D4C666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218</w:t>
            </w:r>
          </w:p>
        </w:tc>
        <w:tc>
          <w:tcPr>
            <w:tcW w:w="970" w:type="dxa"/>
            <w:tcBorders>
              <w:top w:val="nil"/>
              <w:left w:val="nil"/>
              <w:bottom w:val="single" w:sz="4" w:space="0" w:color="auto"/>
              <w:right w:val="nil"/>
            </w:tcBorders>
          </w:tcPr>
          <w:p w14:paraId="470086B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7A3D988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812A3F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E299BBD" w14:textId="780A999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w:t>
            </w:r>
            <w:r w:rsidRPr="0028666F">
              <w:rPr>
                <w:rFonts w:ascii="Calibri" w:eastAsia="Times New Roman" w:hAnsi="Calibri" w:cs="Calibri"/>
                <w:color w:val="000000"/>
                <w:sz w:val="18"/>
                <w:szCs w:val="18"/>
                <w:lang w:eastAsia="pl-PL"/>
              </w:rPr>
              <w:br/>
              <w:t>Rozdz. 3, 5.1. oraz 8.1.</w:t>
            </w:r>
            <w:r w:rsidRPr="0028666F">
              <w:rPr>
                <w:rFonts w:ascii="Calibri" w:eastAsia="Times New Roman" w:hAnsi="Calibri" w:cs="Calibri"/>
                <w:color w:val="000000"/>
                <w:sz w:val="18"/>
                <w:szCs w:val="18"/>
                <w:lang w:eastAsia="pl-PL"/>
              </w:rPr>
              <w:br/>
              <w:t>Zał. 3.1. oraz 8.</w:t>
            </w:r>
            <w:r w:rsidRPr="0028666F">
              <w:rPr>
                <w:rFonts w:ascii="Calibri" w:eastAsia="Times New Roman" w:hAnsi="Calibri" w:cs="Calibri"/>
                <w:color w:val="000000"/>
                <w:sz w:val="18"/>
                <w:szCs w:val="18"/>
                <w:lang w:eastAsia="pl-PL"/>
              </w:rPr>
              <w:br/>
              <w:t>Zał. mapowe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 </w:t>
            </w:r>
          </w:p>
        </w:tc>
        <w:tc>
          <w:tcPr>
            <w:tcW w:w="2733" w:type="dxa"/>
            <w:tcBorders>
              <w:top w:val="nil"/>
              <w:left w:val="nil"/>
              <w:bottom w:val="single" w:sz="4" w:space="0" w:color="auto"/>
              <w:right w:val="single" w:sz="4" w:space="0" w:color="auto"/>
            </w:tcBorders>
            <w:shd w:val="clear" w:color="auto" w:fill="auto"/>
            <w:hideMark/>
          </w:tcPr>
          <w:p w14:paraId="4D488D68" w14:textId="5F544C9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7365B069" w14:textId="195DB9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1F2D9F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45F59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8F91389" w14:textId="5FC181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2D0918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583A2E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219</w:t>
            </w:r>
          </w:p>
        </w:tc>
        <w:tc>
          <w:tcPr>
            <w:tcW w:w="970" w:type="dxa"/>
            <w:tcBorders>
              <w:top w:val="nil"/>
              <w:left w:val="nil"/>
              <w:bottom w:val="single" w:sz="4" w:space="0" w:color="auto"/>
              <w:right w:val="nil"/>
            </w:tcBorders>
          </w:tcPr>
          <w:p w14:paraId="660C6E9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05FAD94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6DD3B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75F7D9A" w14:textId="782159F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Rozdz. 3.1.SZCW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Treść uwagi: </w:t>
            </w:r>
            <w:r w:rsidRPr="0028666F">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nienaturalnej części wód”, a wszelkie niepewności, w tym brak danych, nie pozwalają na obniżenie wymogów celów środowiskowych (potencjał ekologiczny zamiast stanu).Zgodnie z art. 4.3. RDW Państwa Członkowskie mogą wyznaczyć część wód powierzchniowych jako sztucznie lub silnie zmienioną, gdy:a)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type="page"/>
              <w:t>Zgodnie z dokumentem</w:t>
            </w:r>
            <w:r w:rsidRPr="0028666F">
              <w:rPr>
                <w:rFonts w:ascii="Calibri" w:eastAsia="Times New Roman" w:hAnsi="Calibri" w:cs="Calibri"/>
                <w:color w:val="000000"/>
                <w:sz w:val="18"/>
                <w:szCs w:val="18"/>
                <w:lang w:eastAsia="pl-PL"/>
              </w:rPr>
              <w:br w:type="page"/>
              <w:t>DOKUMENT ROBOCZY SŁUŻB KOMISJI Drugie plany gospodarowania wodami w dorzeczu – państwo członkowskie: Polska –</w:t>
            </w:r>
            <w:r w:rsidRPr="0028666F">
              <w:rPr>
                <w:rFonts w:ascii="Calibri" w:eastAsia="Times New Roman" w:hAnsi="Calibri" w:cs="Calibri"/>
                <w:color w:val="000000"/>
                <w:sz w:val="18"/>
                <w:szCs w:val="18"/>
                <w:lang w:eastAsia="pl-PL"/>
              </w:rPr>
              <w:br w:type="page"/>
              <w:t>- dostępny np. na stronie konsultacji IIaPGW https://www.apgw.gov.pl/pl/news/show/90</w:t>
            </w:r>
            <w:r w:rsidRPr="0028666F">
              <w:rPr>
                <w:rFonts w:ascii="Calibri" w:eastAsia="Times New Roman" w:hAnsi="Calibri" w:cs="Calibri"/>
                <w:color w:val="000000"/>
                <w:sz w:val="18"/>
                <w:szCs w:val="18"/>
                <w:lang w:eastAsia="pl-PL"/>
              </w:rPr>
              <w:br w:type="page"/>
              <w:t>Zalecenie z 2012 r.:</w:t>
            </w:r>
            <w:r w:rsidRPr="0028666F">
              <w:rPr>
                <w:rFonts w:ascii="Calibri" w:eastAsia="Times New Roman" w:hAnsi="Calibri" w:cs="Calibri"/>
                <w:color w:val="000000"/>
                <w:sz w:val="18"/>
                <w:szCs w:val="18"/>
                <w:lang w:eastAsia="pl-PL"/>
              </w:rPr>
              <w:br w:type="page"/>
              <w:t>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procesuwyznaczania.</w:t>
            </w:r>
            <w:r w:rsidRPr="0028666F">
              <w:rPr>
                <w:rFonts w:ascii="Calibri" w:eastAsia="Times New Roman" w:hAnsi="Calibri" w:cs="Calibri"/>
                <w:color w:val="000000"/>
                <w:sz w:val="18"/>
                <w:szCs w:val="18"/>
                <w:lang w:eastAsia="pl-PL"/>
              </w:rPr>
              <w:br w:type="page"/>
              <w:t>Powyższe zalecenie zostało wykonane w IIaPGW tylko częściowo.</w:t>
            </w:r>
            <w:r w:rsidRPr="0028666F">
              <w:rPr>
                <w:rFonts w:ascii="Calibri" w:eastAsia="Times New Roman" w:hAnsi="Calibri" w:cs="Calibri"/>
                <w:color w:val="000000"/>
                <w:sz w:val="18"/>
                <w:szCs w:val="18"/>
                <w:lang w:eastAsia="pl-PL"/>
              </w:rPr>
              <w:br w:type="page"/>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type="page"/>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28666F">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ype="page"/>
              <w:t>Jeśli zaś, zachodzi niepewność, co do możliwości wyznaczenia SZCW, wyznaczenie takie było nieuprawnione.</w:t>
            </w:r>
          </w:p>
        </w:tc>
        <w:tc>
          <w:tcPr>
            <w:tcW w:w="2733" w:type="dxa"/>
            <w:tcBorders>
              <w:top w:val="nil"/>
              <w:left w:val="nil"/>
              <w:bottom w:val="single" w:sz="4" w:space="0" w:color="auto"/>
              <w:right w:val="single" w:sz="4" w:space="0" w:color="auto"/>
            </w:tcBorders>
            <w:shd w:val="clear" w:color="auto" w:fill="auto"/>
            <w:hideMark/>
          </w:tcPr>
          <w:p w14:paraId="1562554A" w14:textId="6AB29B2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brak wątpliwości przy wyznaczeniu SZCW, szczególnie udowodnić zmiany charakterystyk hydromorfologicznych tej części wód,które byłyby konieczne dla osiągnięcia dobrego stanu ekologicznego, mogłyby wywrzeć znaczący niekorzystny wpływ na dane cele działalności opisanej w RDW, oraz że faktycznie nie było innych opcji znacznie korzystniejszych środowiskowo. 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786EB1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993CF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69AB1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79A1449" w14:textId="058B8F3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4F2A46F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0B1EF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220</w:t>
            </w:r>
          </w:p>
        </w:tc>
        <w:tc>
          <w:tcPr>
            <w:tcW w:w="970" w:type="dxa"/>
            <w:tcBorders>
              <w:top w:val="nil"/>
              <w:left w:val="nil"/>
              <w:bottom w:val="single" w:sz="4" w:space="0" w:color="auto"/>
              <w:right w:val="nil"/>
            </w:tcBorders>
          </w:tcPr>
          <w:p w14:paraId="32B0A7C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3E223FC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2F5D37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BBE6713" w14:textId="71D55FF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3.1.SZCW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2.1.) nie jest prawidłowym utworzenie jednej dużej SZCW z mniejszych o mieszanym statucie.</w:t>
            </w:r>
            <w:r w:rsidRPr="0028666F">
              <w:rPr>
                <w:rFonts w:ascii="Calibri" w:eastAsia="Times New Roman" w:hAnsi="Calibri" w:cs="Calibri"/>
                <w:color w:val="000000"/>
                <w:sz w:val="18"/>
                <w:szCs w:val="18"/>
                <w:lang w:eastAsia="pl-PL"/>
              </w:rPr>
              <w:br/>
              <w:t xml:space="preserve">Przykładem mogą być tutaj rzeki Kwisa i Bóbr w górnym, źródłowymbiegu.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Takich przykładów, szczególnie w częściach źródłowych jest wiele, również poza Sudetami. W analogicznej sytuacji, np. dopływy Kłodnicy.</w:t>
            </w:r>
          </w:p>
        </w:tc>
        <w:tc>
          <w:tcPr>
            <w:tcW w:w="2733" w:type="dxa"/>
            <w:tcBorders>
              <w:top w:val="nil"/>
              <w:left w:val="nil"/>
              <w:bottom w:val="single" w:sz="4" w:space="0" w:color="auto"/>
              <w:right w:val="single" w:sz="4" w:space="0" w:color="auto"/>
            </w:tcBorders>
            <w:shd w:val="clear" w:color="auto" w:fill="auto"/>
            <w:hideMark/>
          </w:tcPr>
          <w:p w14:paraId="028544DC" w14:textId="6696C7E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4DAF5043" w14:textId="3C27862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 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59A6F7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57F4B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F6EF7EF" w14:textId="206A95E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1C3A86F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3F0717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221</w:t>
            </w:r>
          </w:p>
        </w:tc>
        <w:tc>
          <w:tcPr>
            <w:tcW w:w="970" w:type="dxa"/>
            <w:tcBorders>
              <w:top w:val="nil"/>
              <w:left w:val="nil"/>
              <w:bottom w:val="single" w:sz="4" w:space="0" w:color="auto"/>
              <w:right w:val="nil"/>
            </w:tcBorders>
          </w:tcPr>
          <w:p w14:paraId="5A3D4A2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7C5394C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D7FC73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A09C3D3" w14:textId="0917715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3.1. SZCW Wyznaczenie SZCW niezgodnie z metodyką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które zgodnie z przyjętą metodyką powinny mieć status NATuralnych.</w:t>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Noteć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2733" w:type="dxa"/>
            <w:tcBorders>
              <w:top w:val="nil"/>
              <w:left w:val="nil"/>
              <w:bottom w:val="single" w:sz="4" w:space="0" w:color="auto"/>
              <w:right w:val="single" w:sz="4" w:space="0" w:color="auto"/>
            </w:tcBorders>
            <w:shd w:val="clear" w:color="auto" w:fill="auto"/>
            <w:hideMark/>
          </w:tcPr>
          <w:p w14:paraId="03AA36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Noteć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t>naturalny status wody (NAT).</w:t>
            </w:r>
          </w:p>
        </w:tc>
        <w:tc>
          <w:tcPr>
            <w:tcW w:w="3009" w:type="dxa"/>
            <w:tcBorders>
              <w:top w:val="nil"/>
              <w:left w:val="nil"/>
              <w:bottom w:val="single" w:sz="4" w:space="0" w:color="auto"/>
              <w:right w:val="single" w:sz="4" w:space="0" w:color="auto"/>
            </w:tcBorders>
            <w:shd w:val="clear" w:color="auto" w:fill="auto"/>
            <w:hideMark/>
          </w:tcPr>
          <w:p w14:paraId="33F571C5" w14:textId="27EF73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6A1A6B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9845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6A111F3" w14:textId="1EC770B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7209A05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C59B7E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222</w:t>
            </w:r>
          </w:p>
        </w:tc>
        <w:tc>
          <w:tcPr>
            <w:tcW w:w="970" w:type="dxa"/>
            <w:tcBorders>
              <w:top w:val="nil"/>
              <w:left w:val="nil"/>
              <w:bottom w:val="single" w:sz="4" w:space="0" w:color="auto"/>
              <w:right w:val="nil"/>
            </w:tcBorders>
          </w:tcPr>
          <w:p w14:paraId="68F02B5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60BCC64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50FB22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631DDD5" w14:textId="0AD3C25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 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p>
        </w:tc>
        <w:tc>
          <w:tcPr>
            <w:tcW w:w="2733" w:type="dxa"/>
            <w:tcBorders>
              <w:top w:val="nil"/>
              <w:left w:val="nil"/>
              <w:bottom w:val="single" w:sz="4" w:space="0" w:color="auto"/>
              <w:right w:val="single" w:sz="4" w:space="0" w:color="auto"/>
            </w:tcBorders>
            <w:shd w:val="clear" w:color="auto" w:fill="auto"/>
            <w:hideMark/>
          </w:tcPr>
          <w:p w14:paraId="4217E4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2999B4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08B102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AD80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387C69" w14:textId="644903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3E4F999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658D51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223</w:t>
            </w:r>
          </w:p>
        </w:tc>
        <w:tc>
          <w:tcPr>
            <w:tcW w:w="970" w:type="dxa"/>
            <w:tcBorders>
              <w:top w:val="nil"/>
              <w:left w:val="nil"/>
              <w:bottom w:val="single" w:sz="4" w:space="0" w:color="auto"/>
              <w:right w:val="nil"/>
            </w:tcBorders>
          </w:tcPr>
          <w:p w14:paraId="48F2AE2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210F612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60E4F2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E00A540" w14:textId="3CCC7B4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5 Monitoring</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p>
        </w:tc>
        <w:tc>
          <w:tcPr>
            <w:tcW w:w="2733" w:type="dxa"/>
            <w:tcBorders>
              <w:top w:val="nil"/>
              <w:left w:val="nil"/>
              <w:bottom w:val="single" w:sz="4" w:space="0" w:color="auto"/>
              <w:right w:val="single" w:sz="4" w:space="0" w:color="auto"/>
            </w:tcBorders>
            <w:shd w:val="clear" w:color="auto" w:fill="auto"/>
            <w:hideMark/>
          </w:tcPr>
          <w:p w14:paraId="09D066AA" w14:textId="790ADB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1AFF36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4BCCC7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A053A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59EF5FD" w14:textId="72EAFB9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4B498C5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EC415E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224</w:t>
            </w:r>
          </w:p>
        </w:tc>
        <w:tc>
          <w:tcPr>
            <w:tcW w:w="970" w:type="dxa"/>
            <w:tcBorders>
              <w:top w:val="nil"/>
              <w:left w:val="nil"/>
              <w:bottom w:val="single" w:sz="4" w:space="0" w:color="auto"/>
              <w:right w:val="nil"/>
            </w:tcBorders>
          </w:tcPr>
          <w:p w14:paraId="1389869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1DFD9E8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B89AE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61B90A5" w14:textId="4021C5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Streszczenie niespecjalistyczne; IIaPGW Rozdział 7, 8, 9</w:t>
            </w:r>
            <w:r w:rsidRPr="0028666F">
              <w:rPr>
                <w:rFonts w:ascii="Calibri" w:eastAsia="Times New Roman" w:hAnsi="Calibri" w:cs="Calibri"/>
                <w:color w:val="000000"/>
                <w:sz w:val="18"/>
                <w:szCs w:val="18"/>
                <w:lang w:eastAsia="pl-PL"/>
              </w:rPr>
              <w:br w:type="page"/>
              <w:t>Presja, Cele środowiskowe,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Treść uwagi: </w:t>
            </w:r>
            <w:r w:rsidRPr="0028666F">
              <w:rPr>
                <w:rFonts w:ascii="Calibri" w:eastAsia="Times New Roman" w:hAnsi="Calibri" w:cs="Calibri"/>
                <w:color w:val="000000"/>
                <w:sz w:val="18"/>
                <w:szCs w:val="18"/>
                <w:lang w:eastAsia="pl-PL"/>
              </w:rPr>
              <w:br w:type="page"/>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w:t>
            </w:r>
          </w:p>
        </w:tc>
        <w:tc>
          <w:tcPr>
            <w:tcW w:w="2733" w:type="dxa"/>
            <w:tcBorders>
              <w:top w:val="nil"/>
              <w:left w:val="nil"/>
              <w:bottom w:val="single" w:sz="4" w:space="0" w:color="auto"/>
              <w:right w:val="single" w:sz="4" w:space="0" w:color="auto"/>
            </w:tcBorders>
            <w:shd w:val="clear" w:color="auto" w:fill="auto"/>
            <w:hideMark/>
          </w:tcPr>
          <w:p w14:paraId="5A88E607" w14:textId="569B2FD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wymaga podjęcia radykalnych działań: właściwego,szerokiego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w:t>
            </w:r>
            <w:r w:rsidRPr="0028666F">
              <w:rPr>
                <w:rFonts w:ascii="Calibri" w:eastAsia="Times New Roman" w:hAnsi="Calibri" w:cs="Calibri"/>
                <w:color w:val="000000"/>
                <w:sz w:val="18"/>
                <w:szCs w:val="18"/>
                <w:lang w:eastAsia="pl-PL"/>
              </w:rPr>
              <w:br w:type="page"/>
              <w:t>Należy wykreślić z planów IIaPGW, PPSS i aPZRP, i im podobnych z zakresu gospodarki wodnej, te działania które powodują dalsze przekształcenia hydromorfologiczne, a które już teraz nie zostały zweryfikowane pod kątem oddziaływania na stan wód. 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50ED7D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41F275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D9754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194FA0E" w14:textId="64D9E7B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ype="page"/>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ype="page"/>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ype="page"/>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ype="page"/>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ype="page"/>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ype="page"/>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2626B2C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9A4B6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225</w:t>
            </w:r>
          </w:p>
        </w:tc>
        <w:tc>
          <w:tcPr>
            <w:tcW w:w="970" w:type="dxa"/>
            <w:tcBorders>
              <w:top w:val="nil"/>
              <w:left w:val="nil"/>
              <w:bottom w:val="single" w:sz="4" w:space="0" w:color="auto"/>
              <w:right w:val="nil"/>
            </w:tcBorders>
          </w:tcPr>
          <w:p w14:paraId="3D4BE3F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23757F5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DA38CD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65FED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9</w:t>
            </w:r>
            <w:r w:rsidRPr="0028666F">
              <w:rPr>
                <w:rFonts w:ascii="Calibri" w:eastAsia="Times New Roman" w:hAnsi="Calibri" w:cs="Calibri"/>
                <w:color w:val="000000"/>
                <w:sz w:val="18"/>
                <w:szCs w:val="18"/>
                <w:lang w:eastAsia="pl-PL"/>
              </w:rPr>
              <w:br/>
              <w:t>Postęp i wdrożenie działań 2016-2021</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3⁄4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1916D6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IIaPGW należy uzupełnić o stopień wykonania działań z aPWŚK w dorzeczu Odry w odniesieniu do wszystkich kategorii i grup.</w:t>
            </w:r>
          </w:p>
        </w:tc>
        <w:tc>
          <w:tcPr>
            <w:tcW w:w="3009" w:type="dxa"/>
            <w:tcBorders>
              <w:top w:val="nil"/>
              <w:left w:val="nil"/>
              <w:bottom w:val="single" w:sz="4" w:space="0" w:color="auto"/>
              <w:right w:val="single" w:sz="4" w:space="0" w:color="auto"/>
            </w:tcBorders>
            <w:shd w:val="clear" w:color="auto" w:fill="auto"/>
            <w:hideMark/>
          </w:tcPr>
          <w:p w14:paraId="1C2577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6469B3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62182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E9FDE7A" w14:textId="05CDED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5FABC33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5A6636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226</w:t>
            </w:r>
          </w:p>
        </w:tc>
        <w:tc>
          <w:tcPr>
            <w:tcW w:w="970" w:type="dxa"/>
            <w:tcBorders>
              <w:top w:val="nil"/>
              <w:left w:val="nil"/>
              <w:bottom w:val="single" w:sz="4" w:space="0" w:color="auto"/>
              <w:right w:val="nil"/>
            </w:tcBorders>
          </w:tcPr>
          <w:p w14:paraId="4B41173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1B24E29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116730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546E2A1" w14:textId="246A776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 10 Działania 2aPGW KPRWP – raport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Treść uwagi: </w:t>
            </w:r>
            <w:r w:rsidRPr="0028666F">
              <w:rPr>
                <w:rFonts w:ascii="Calibri" w:eastAsia="Times New Roman" w:hAnsi="Calibri" w:cs="Calibri"/>
                <w:color w:val="000000"/>
                <w:sz w:val="18"/>
                <w:szCs w:val="18"/>
                <w:lang w:eastAsia="pl-PL"/>
              </w:rPr>
              <w:br/>
              <w:t>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w:t>
            </w:r>
            <w:r w:rsidRPr="0028666F">
              <w:rPr>
                <w:rFonts w:ascii="Calibri" w:eastAsia="Times New Roman" w:hAnsi="Calibri" w:cs="Calibri"/>
                <w:color w:val="000000"/>
                <w:sz w:val="18"/>
                <w:szCs w:val="18"/>
                <w:lang w:eastAsia="pl-PL"/>
              </w:rPr>
              <w:br/>
              <w:t xml:space="preserve"> 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nie wdrożono w pełni</w:t>
            </w:r>
            <w:r w:rsidRPr="0028666F">
              <w:rPr>
                <w:rFonts w:ascii="Calibri" w:eastAsia="Times New Roman" w:hAnsi="Calibri" w:cs="Calibri"/>
                <w:color w:val="000000"/>
                <w:sz w:val="18"/>
                <w:szCs w:val="18"/>
                <w:lang w:eastAsia="pl-PL"/>
              </w:rPr>
              <w:br/>
              <w:t xml:space="preserve">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brak jest wdrożenia</w:t>
            </w:r>
            <w:r w:rsidRPr="0028666F">
              <w:rPr>
                <w:rFonts w:ascii="Calibri" w:eastAsia="Times New Roman" w:hAnsi="Calibri" w:cs="Calibri"/>
                <w:color w:val="000000"/>
                <w:sz w:val="18"/>
                <w:szCs w:val="18"/>
                <w:lang w:eastAsia="pl-PL"/>
              </w:rPr>
              <w:br/>
              <w:t xml:space="preserve">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zapisy KPRWP</w:t>
            </w:r>
            <w:r w:rsidRPr="0028666F">
              <w:rPr>
                <w:rFonts w:ascii="Calibri" w:eastAsia="Times New Roman" w:hAnsi="Calibri" w:cs="Calibri"/>
                <w:color w:val="000000"/>
                <w:sz w:val="18"/>
                <w:szCs w:val="18"/>
                <w:lang w:eastAsia="pl-PL"/>
              </w:rPr>
              <w:br/>
              <w:t xml:space="preserve"> wdrożono w IIaPGW jedynie częściowo. Ponadto, w wyniku</w:t>
            </w:r>
            <w:r w:rsidRPr="0028666F">
              <w:rPr>
                <w:rFonts w:ascii="Calibri" w:eastAsia="Times New Roman" w:hAnsi="Calibri" w:cs="Calibri"/>
                <w:color w:val="000000"/>
                <w:sz w:val="18"/>
                <w:szCs w:val="18"/>
                <w:lang w:eastAsia="pl-PL"/>
              </w:rPr>
              <w:br/>
              <w:t xml:space="preserve"> planowanych działań w ramach IIaPGW (inwestycje uznane za</w:t>
            </w:r>
            <w:r w:rsidRPr="0028666F">
              <w:rPr>
                <w:rFonts w:ascii="Calibri" w:eastAsia="Times New Roman" w:hAnsi="Calibri" w:cs="Calibri"/>
                <w:color w:val="000000"/>
                <w:sz w:val="18"/>
                <w:szCs w:val="18"/>
                <w:lang w:eastAsia="pl-PL"/>
              </w:rPr>
              <w:br/>
              <w:t xml:space="preserve"> spełniające przesłanki art. 4.7 RDW), PPSS i aPZRP, dodatkowa presja</w:t>
            </w:r>
            <w:r w:rsidRPr="0028666F">
              <w:rPr>
                <w:rFonts w:ascii="Calibri" w:eastAsia="Times New Roman" w:hAnsi="Calibri" w:cs="Calibri"/>
                <w:color w:val="000000"/>
                <w:sz w:val="18"/>
                <w:szCs w:val="18"/>
                <w:lang w:eastAsia="pl-PL"/>
              </w:rPr>
              <w:br/>
              <w:t xml:space="preserve">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w:t>
            </w:r>
            <w:r w:rsidRPr="0028666F">
              <w:rPr>
                <w:rFonts w:ascii="Calibri" w:eastAsia="Times New Roman" w:hAnsi="Calibri" w:cs="Calibri"/>
                <w:color w:val="000000"/>
                <w:sz w:val="18"/>
                <w:szCs w:val="18"/>
                <w:lang w:eastAsia="pl-PL"/>
              </w:rPr>
              <w:br/>
              <w:t xml:space="preserve"> utrzymaniowych. Taki stan rzeczy wymaga nie tylko pełnego wdrożenia</w:t>
            </w:r>
            <w:r w:rsidRPr="0028666F">
              <w:rPr>
                <w:rFonts w:ascii="Calibri" w:eastAsia="Times New Roman" w:hAnsi="Calibri" w:cs="Calibri"/>
                <w:color w:val="000000"/>
                <w:sz w:val="18"/>
                <w:szCs w:val="18"/>
                <w:lang w:eastAsia="pl-PL"/>
              </w:rPr>
              <w:br/>
              <w:t xml:space="preserve"> KPRWP, ale i jego uzupełnienia.</w:t>
            </w:r>
            <w:r w:rsidRPr="0028666F">
              <w:rPr>
                <w:rFonts w:ascii="Calibri" w:eastAsia="Times New Roman" w:hAnsi="Calibri" w:cs="Calibri"/>
                <w:color w:val="000000"/>
                <w:sz w:val="18"/>
                <w:szCs w:val="18"/>
                <w:lang w:eastAsia="pl-PL"/>
              </w:rPr>
              <w:br/>
              <w:t xml:space="preserve"> Z powyższego wynika, że KPRWP został potraktowany jako „zestaw</w:t>
            </w:r>
            <w:r w:rsidRPr="0028666F">
              <w:rPr>
                <w:rFonts w:ascii="Calibri" w:eastAsia="Times New Roman" w:hAnsi="Calibri" w:cs="Calibri"/>
                <w:color w:val="000000"/>
                <w:sz w:val="18"/>
                <w:szCs w:val="18"/>
                <w:lang w:eastAsia="pl-PL"/>
              </w:rPr>
              <w:br/>
              <w:t xml:space="preserve"> działań zalecanych”, a nie podstawa do likwidacji znaczących presji. Jest</w:t>
            </w:r>
            <w:r w:rsidRPr="0028666F">
              <w:rPr>
                <w:rFonts w:ascii="Calibri" w:eastAsia="Times New Roman" w:hAnsi="Calibri" w:cs="Calibri"/>
                <w:color w:val="000000"/>
                <w:sz w:val="18"/>
                <w:szCs w:val="18"/>
                <w:lang w:eastAsia="pl-PL"/>
              </w:rPr>
              <w:br/>
              <w:t xml:space="preserve"> to niedopuszczalne, szczególnie, że jest to dokument późniejszy,</w:t>
            </w:r>
            <w:r w:rsidRPr="0028666F">
              <w:rPr>
                <w:rFonts w:ascii="Calibri" w:eastAsia="Times New Roman" w:hAnsi="Calibri" w:cs="Calibri"/>
                <w:color w:val="000000"/>
                <w:sz w:val="18"/>
                <w:szCs w:val="18"/>
                <w:lang w:eastAsia="pl-PL"/>
              </w:rPr>
              <w:br/>
              <w:t xml:space="preserve"> Przegląd i weryfikacja metodyk wyznaczania silnie zmienionych i sztucznych części wód</w:t>
            </w:r>
            <w:r w:rsidRPr="0028666F">
              <w:rPr>
                <w:rFonts w:ascii="Calibri" w:eastAsia="Times New Roman" w:hAnsi="Calibri" w:cs="Calibri"/>
                <w:color w:val="000000"/>
                <w:sz w:val="18"/>
                <w:szCs w:val="18"/>
                <w:lang w:eastAsia="pl-PL"/>
              </w:rPr>
              <w:br/>
              <w:t xml:space="preserve">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 https://hektarydlanatury.pl/downloads/Raport_dla_WWF_zalaczniki.pdf</w:t>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0B70F84F" w14:textId="1FAEA04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07F29C8F" w14:textId="2D62217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016CD3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70315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C590F45" w14:textId="5FE4BE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571D010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B6D56E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227</w:t>
            </w:r>
          </w:p>
        </w:tc>
        <w:tc>
          <w:tcPr>
            <w:tcW w:w="970" w:type="dxa"/>
            <w:tcBorders>
              <w:top w:val="nil"/>
              <w:left w:val="nil"/>
              <w:bottom w:val="single" w:sz="4" w:space="0" w:color="auto"/>
              <w:right w:val="nil"/>
            </w:tcBorders>
          </w:tcPr>
          <w:p w14:paraId="0CAB6C5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2767A3E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071F5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24A51AF" w14:textId="04621CE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687/1272 = 54%. 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p>
        </w:tc>
        <w:tc>
          <w:tcPr>
            <w:tcW w:w="2733" w:type="dxa"/>
            <w:tcBorders>
              <w:top w:val="nil"/>
              <w:left w:val="nil"/>
              <w:bottom w:val="single" w:sz="4" w:space="0" w:color="auto"/>
              <w:right w:val="single" w:sz="4" w:space="0" w:color="auto"/>
            </w:tcBorders>
            <w:shd w:val="clear" w:color="auto" w:fill="auto"/>
            <w:hideMark/>
          </w:tcPr>
          <w:p w14:paraId="782C4A76" w14:textId="54DB67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p>
        </w:tc>
        <w:tc>
          <w:tcPr>
            <w:tcW w:w="3009" w:type="dxa"/>
            <w:tcBorders>
              <w:top w:val="nil"/>
              <w:left w:val="nil"/>
              <w:bottom w:val="single" w:sz="4" w:space="0" w:color="auto"/>
              <w:right w:val="single" w:sz="4" w:space="0" w:color="auto"/>
            </w:tcBorders>
            <w:shd w:val="clear" w:color="auto" w:fill="auto"/>
            <w:hideMark/>
          </w:tcPr>
          <w:p w14:paraId="563191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maila. </w:t>
            </w:r>
          </w:p>
        </w:tc>
        <w:tc>
          <w:tcPr>
            <w:tcW w:w="1720" w:type="dxa"/>
            <w:tcBorders>
              <w:top w:val="nil"/>
              <w:left w:val="nil"/>
              <w:bottom w:val="single" w:sz="4" w:space="0" w:color="auto"/>
              <w:right w:val="single" w:sz="4" w:space="0" w:color="auto"/>
            </w:tcBorders>
            <w:shd w:val="clear" w:color="000000" w:fill="FFFFFF"/>
            <w:hideMark/>
          </w:tcPr>
          <w:p w14:paraId="469FE7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F9053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EED77E2" w14:textId="2629575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1CB7AD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EBD40E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228</w:t>
            </w:r>
          </w:p>
        </w:tc>
        <w:tc>
          <w:tcPr>
            <w:tcW w:w="970" w:type="dxa"/>
            <w:tcBorders>
              <w:top w:val="nil"/>
              <w:left w:val="nil"/>
              <w:bottom w:val="single" w:sz="4" w:space="0" w:color="auto"/>
              <w:right w:val="nil"/>
            </w:tcBorders>
          </w:tcPr>
          <w:p w14:paraId="0D6FFC8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1C38286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173C5D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178FC87" w14:textId="65CFB2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uzasadnione w PGW (patrz CIS Guidance No. 20).</w:t>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597CAE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Poprawić opis odstępstw tak, aby było możliwe sprawdzenie czy jego ustanowienie było właściwe.</w:t>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1F4B77B9" w14:textId="1094DD5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odstępstwem wyklucza jego ustanowienie.</w:t>
            </w:r>
          </w:p>
        </w:tc>
        <w:tc>
          <w:tcPr>
            <w:tcW w:w="1720" w:type="dxa"/>
            <w:tcBorders>
              <w:top w:val="nil"/>
              <w:left w:val="nil"/>
              <w:bottom w:val="single" w:sz="4" w:space="0" w:color="auto"/>
              <w:right w:val="single" w:sz="4" w:space="0" w:color="auto"/>
            </w:tcBorders>
            <w:shd w:val="clear" w:color="000000" w:fill="FFFFFF"/>
            <w:hideMark/>
          </w:tcPr>
          <w:p w14:paraId="2D3CA7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B0535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EB0FD6" w14:textId="413A3A8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6521ED3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33FB0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229</w:t>
            </w:r>
          </w:p>
        </w:tc>
        <w:tc>
          <w:tcPr>
            <w:tcW w:w="970" w:type="dxa"/>
            <w:tcBorders>
              <w:top w:val="nil"/>
              <w:left w:val="nil"/>
              <w:bottom w:val="single" w:sz="4" w:space="0" w:color="auto"/>
              <w:right w:val="nil"/>
            </w:tcBorders>
          </w:tcPr>
          <w:p w14:paraId="5332C1A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5D3B98F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67A37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CF678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Rozdz. 16, Zał. 6</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projekcie IIaPGW opublikowano listę przedsięwzięć, która zgodnie z art. 436 PW, powinna spełniać w sposób obiektywny kryteria art. 68 PW, czyli spełniać warunki art. 4.7 RDW do udzielenia derogacji.Spośród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w:t>
            </w:r>
            <w:r w:rsidRPr="0028666F">
              <w:rPr>
                <w:rFonts w:ascii="Calibri" w:eastAsia="Times New Roman" w:hAnsi="Calibri" w:cs="Calibri"/>
                <w:color w:val="000000"/>
                <w:sz w:val="18"/>
                <w:szCs w:val="18"/>
                <w:lang w:eastAsia="pl-PL"/>
              </w:rPr>
              <w:br w:type="page"/>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w:t>
            </w:r>
            <w:r w:rsidRPr="0028666F">
              <w:rPr>
                <w:rFonts w:ascii="Calibri" w:eastAsia="Times New Roman" w:hAnsi="Calibri" w:cs="Calibri"/>
                <w:color w:val="000000"/>
                <w:sz w:val="18"/>
                <w:szCs w:val="18"/>
                <w:lang w:eastAsia="pl-PL"/>
              </w:rPr>
              <w:br w:type="page"/>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ype="page"/>
              <w:t>„Rewitalizacja szlaku żeglownego Kanału Bydgoskiego i Noteci dolnej skanalizowanej (od km 14,8 do km 176,2) do parametrów drogi wodnej II klasy” – znaczące oddziaływanie na ponad 100 km rzeki i jej doliny oraz na siedliskowe obszary Natura 2000; Zbiornik Piłka na rz. Miała (w grudniu 2016 dostał ODMOWĘ wydania dśu).</w:t>
            </w:r>
            <w:r w:rsidRPr="0028666F">
              <w:rPr>
                <w:rFonts w:ascii="Calibri" w:eastAsia="Times New Roman" w:hAnsi="Calibri" w:cs="Calibri"/>
                <w:color w:val="000000"/>
                <w:sz w:val="18"/>
                <w:szCs w:val="18"/>
                <w:lang w:eastAsia="pl-PL"/>
              </w:rPr>
              <w:br w:type="page"/>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ype="page"/>
              <w:t>Zestaw 16 inwestycji w Kotlinie Kłodzkiej obejmujących rzeki w obszarach Natura 2000 i PK, w tym m.in.:</w:t>
            </w:r>
            <w:r w:rsidRPr="0028666F">
              <w:rPr>
                <w:rFonts w:ascii="Calibri" w:eastAsia="Times New Roman" w:hAnsi="Calibri" w:cs="Calibri"/>
                <w:color w:val="000000"/>
                <w:sz w:val="18"/>
                <w:szCs w:val="18"/>
                <w:lang w:eastAsia="pl-PL"/>
              </w:rPr>
              <w:br w:type="page"/>
              <w:t>ochrona przed powodzią Kotliny Kłodzkiej - Potok Wilczka ochrona przed powodzią Kotliny Kłodzkiej - Bystrzyca Kłodzka ochrona przed powodzią doliny rzeki Białej Lądeckiej i rzeki Morawki</w:t>
            </w:r>
            <w:r w:rsidRPr="0028666F">
              <w:rPr>
                <w:rFonts w:ascii="Calibri" w:eastAsia="Times New Roman" w:hAnsi="Calibri" w:cs="Calibri"/>
                <w:color w:val="000000"/>
                <w:sz w:val="18"/>
                <w:szCs w:val="18"/>
                <w:lang w:eastAsia="pl-PL"/>
              </w:rPr>
              <w:br w:type="page"/>
              <w:t>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ype="page"/>
              <w:t>Regulacja rzeki Warty w rejonie miasta Koła - obszar istotny dla ochrony troci wędrownej</w:t>
            </w:r>
            <w:r w:rsidRPr="0028666F">
              <w:rPr>
                <w:rFonts w:ascii="Calibri" w:eastAsia="Times New Roman" w:hAnsi="Calibri" w:cs="Calibri"/>
                <w:color w:val="000000"/>
                <w:sz w:val="18"/>
                <w:szCs w:val="18"/>
                <w:lang w:eastAsia="pl-PL"/>
              </w:rPr>
              <w:br w:type="page"/>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type="page"/>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ype="page"/>
              <w:t>Jawornik-Myślibórz, gm. Paszowice</w:t>
            </w:r>
            <w:r w:rsidRPr="0028666F">
              <w:rPr>
                <w:rFonts w:ascii="Calibri" w:eastAsia="Times New Roman" w:hAnsi="Calibri" w:cs="Calibri"/>
                <w:color w:val="000000"/>
                <w:sz w:val="18"/>
                <w:szCs w:val="18"/>
                <w:lang w:eastAsia="pl-PL"/>
              </w:rPr>
              <w:br w:type="page"/>
              <w:t>A dla kilku toczy się procedura odwoławcza, w tym m.in. dla: Prace modernizacyjne na Odrze granicznej w celu zapewnienia zimowego lodołamania – tutaj odwołania od DŚU złożyło aż 11 podmiotów prawnych z Polski i Niemiec (w tym Ministerstwo Branderburgii); przedsięwzięcie w wyniku realizacji ingerowałoby</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znacząco w przynajmniej 5 obszarów Natura 2000.</w:t>
            </w:r>
            <w:r w:rsidRPr="0028666F">
              <w:rPr>
                <w:rFonts w:ascii="Calibri" w:eastAsia="Times New Roman" w:hAnsi="Calibri" w:cs="Calibri"/>
                <w:color w:val="000000"/>
                <w:sz w:val="18"/>
                <w:szCs w:val="18"/>
                <w:lang w:eastAsia="pl-PL"/>
              </w:rPr>
              <w:br w:type="page"/>
              <w:t>Przedsięwzięciami wykazującymi oddziaływania skumulowane z wyżej wymienionymi to:</w:t>
            </w:r>
            <w:r w:rsidRPr="0028666F">
              <w:rPr>
                <w:rFonts w:ascii="Calibri" w:eastAsia="Times New Roman" w:hAnsi="Calibri" w:cs="Calibri"/>
                <w:color w:val="000000"/>
                <w:sz w:val="18"/>
                <w:szCs w:val="18"/>
                <w:lang w:eastAsia="pl-PL"/>
              </w:rPr>
              <w:br w:type="page"/>
              <w:t>„Remont i modernizacja pozostałej zabudowy regulacyjnej na Odrze granicznej”,</w:t>
            </w:r>
            <w:r w:rsidRPr="0028666F">
              <w:rPr>
                <w:rFonts w:ascii="Calibri" w:eastAsia="Times New Roman" w:hAnsi="Calibri" w:cs="Calibri"/>
                <w:color w:val="000000"/>
                <w:sz w:val="18"/>
                <w:szCs w:val="18"/>
                <w:lang w:eastAsia="pl-PL"/>
              </w:rPr>
              <w:br w:type="page"/>
              <w:t>i będąca w realizacji „Modernizacja toru wodnego Świnoujście- Szczecin do głębokości 12,5 m.”</w:t>
            </w:r>
            <w:r w:rsidRPr="0028666F">
              <w:rPr>
                <w:rFonts w:ascii="Calibri" w:eastAsia="Times New Roman" w:hAnsi="Calibri" w:cs="Calibri"/>
                <w:color w:val="000000"/>
                <w:sz w:val="18"/>
                <w:szCs w:val="18"/>
                <w:lang w:eastAsia="pl-PL"/>
              </w:rPr>
              <w:br w:type="page"/>
              <w:t>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w:t>
            </w:r>
            <w:r w:rsidRPr="0028666F">
              <w:rPr>
                <w:rFonts w:ascii="Calibri" w:eastAsia="Times New Roman" w:hAnsi="Calibri" w:cs="Calibri"/>
                <w:color w:val="000000"/>
                <w:sz w:val="18"/>
                <w:szCs w:val="18"/>
                <w:lang w:eastAsia="pl-PL"/>
              </w:rPr>
              <w:br w:type="page"/>
              <w:t>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w:t>
            </w:r>
            <w:r w:rsidRPr="0028666F">
              <w:rPr>
                <w:rFonts w:ascii="Calibri" w:eastAsia="Times New Roman" w:hAnsi="Calibri" w:cs="Calibri"/>
                <w:color w:val="000000"/>
                <w:sz w:val="18"/>
                <w:szCs w:val="18"/>
                <w:lang w:eastAsia="pl-PL"/>
              </w:rPr>
              <w:br w:type="page"/>
              <w:t>Ponadto, w IIaPGW brak jest aktualnych danych o statusach inwestycji – część z nich jest obecnie realizowana lub nawet ukończona, np. „Modernizacja toru wodnego Świnoujście- Szczecin do głębokości 12,5 m” czy „Odbudowa Kanału Małgosia”.</w:t>
            </w:r>
          </w:p>
        </w:tc>
        <w:tc>
          <w:tcPr>
            <w:tcW w:w="2733" w:type="dxa"/>
            <w:tcBorders>
              <w:top w:val="nil"/>
              <w:left w:val="nil"/>
              <w:bottom w:val="single" w:sz="4" w:space="0" w:color="auto"/>
              <w:right w:val="single" w:sz="4" w:space="0" w:color="auto"/>
            </w:tcBorders>
            <w:shd w:val="clear" w:color="auto" w:fill="auto"/>
            <w:hideMark/>
          </w:tcPr>
          <w:p w14:paraId="46804F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436492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046021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6F7EE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08338AC" w14:textId="2F42BB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090A0BD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96ECF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230</w:t>
            </w:r>
          </w:p>
        </w:tc>
        <w:tc>
          <w:tcPr>
            <w:tcW w:w="970" w:type="dxa"/>
            <w:tcBorders>
              <w:top w:val="nil"/>
              <w:left w:val="nil"/>
              <w:bottom w:val="single" w:sz="4" w:space="0" w:color="auto"/>
              <w:right w:val="nil"/>
            </w:tcBorders>
          </w:tcPr>
          <w:p w14:paraId="760D953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02228F3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2DCECD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0771FB1" w14:textId="4A0B2BA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Katalogi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 Należy w katalogu działań IIaPGW</w:t>
            </w:r>
            <w:r w:rsidRPr="0028666F">
              <w:rPr>
                <w:rFonts w:ascii="Calibri" w:eastAsia="Times New Roman" w:hAnsi="Calibri" w:cs="Calibri"/>
                <w:color w:val="000000"/>
                <w:sz w:val="18"/>
                <w:szCs w:val="18"/>
                <w:lang w:eastAsia="pl-PL"/>
              </w:rPr>
              <w:br/>
              <w:t>Adaptacja do zmian klimatu usunąć te działania, które są zgrupowane w pakietach:</w:t>
            </w:r>
            <w:r w:rsidRPr="0028666F">
              <w:rPr>
                <w:rFonts w:ascii="Calibri" w:eastAsia="Times New Roman" w:hAnsi="Calibri" w:cs="Calibri"/>
                <w:color w:val="000000"/>
                <w:sz w:val="18"/>
                <w:szCs w:val="18"/>
                <w:lang w:eastAsia="pl-PL"/>
              </w:rPr>
              <w:br/>
              <w:t xml:space="preserve"> Ochrona i zwiększanie retencji na obszarach rolniczych.</w:t>
            </w:r>
            <w:r w:rsidRPr="0028666F">
              <w:rPr>
                <w:rFonts w:ascii="Calibri" w:eastAsia="Times New Roman" w:hAnsi="Calibri" w:cs="Calibri"/>
                <w:color w:val="000000"/>
                <w:sz w:val="18"/>
                <w:szCs w:val="18"/>
                <w:lang w:eastAsia="pl-PL"/>
              </w:rPr>
              <w:br/>
              <w:t xml:space="preserve"> Ochrona i zwiększanie retencji leśnej.</w:t>
            </w:r>
            <w:r w:rsidRPr="0028666F">
              <w:rPr>
                <w:rFonts w:ascii="Calibri" w:eastAsia="Times New Roman" w:hAnsi="Calibri" w:cs="Calibri"/>
                <w:color w:val="000000"/>
                <w:sz w:val="18"/>
                <w:szCs w:val="18"/>
                <w:lang w:eastAsia="pl-PL"/>
              </w:rPr>
              <w:br/>
              <w:t>Zgodnie z opisem załączników IIaPGW (Zał. 7.2. - 1) działania te</w:t>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Realizacja działań wskazanych w etapie I (działanie RWC_01.06.)</w:t>
            </w:r>
            <w:r w:rsidRPr="0028666F">
              <w:rPr>
                <w:rFonts w:ascii="Calibri" w:eastAsia="Times New Roman" w:hAnsi="Calibri" w:cs="Calibri"/>
                <w:color w:val="000000"/>
                <w:sz w:val="18"/>
                <w:szCs w:val="18"/>
                <w:lang w:eastAsia="pl-PL"/>
              </w:rPr>
              <w:br/>
              <w:t>polegających na zwiększeniu poziomu retencji wody w zlewni w</w:t>
            </w:r>
            <w:r w:rsidRPr="0028666F">
              <w:rPr>
                <w:rFonts w:ascii="Calibri" w:eastAsia="Times New Roman" w:hAnsi="Calibri" w:cs="Calibri"/>
                <w:color w:val="000000"/>
                <w:sz w:val="18"/>
                <w:szCs w:val="18"/>
                <w:lang w:eastAsia="pl-PL"/>
              </w:rPr>
              <w:br/>
              <w:t>obszarach rolniczych dla ograniczenia wymywania zanieczyszczeń</w:t>
            </w:r>
            <w:r w:rsidRPr="0028666F">
              <w:rPr>
                <w:rFonts w:ascii="Calibri" w:eastAsia="Times New Roman" w:hAnsi="Calibri" w:cs="Calibri"/>
                <w:color w:val="000000"/>
                <w:sz w:val="18"/>
                <w:szCs w:val="18"/>
                <w:lang w:eastAsia="pl-PL"/>
              </w:rPr>
              <w:br/>
              <w:t>obszarowych w celu poprawy stany wód i osiągnięcia wyznaczonych</w:t>
            </w:r>
            <w:r w:rsidRPr="0028666F">
              <w:rPr>
                <w:rFonts w:ascii="Calibri" w:eastAsia="Times New Roman" w:hAnsi="Calibri" w:cs="Calibri"/>
                <w:color w:val="000000"/>
                <w:sz w:val="18"/>
                <w:szCs w:val="18"/>
                <w:lang w:eastAsia="pl-PL"/>
              </w:rPr>
              <w:br/>
              <w:t>celów środowiskowych – dobrego stanu wód. Dodatkowo wzrost</w:t>
            </w:r>
            <w:r w:rsidRPr="0028666F">
              <w:rPr>
                <w:rFonts w:ascii="Calibri" w:eastAsia="Times New Roman" w:hAnsi="Calibri" w:cs="Calibri"/>
                <w:color w:val="000000"/>
                <w:sz w:val="18"/>
                <w:szCs w:val="18"/>
                <w:lang w:eastAsia="pl-PL"/>
              </w:rPr>
              <w:br/>
              <w:t xml:space="preserve">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w:t>
            </w:r>
            <w:r w:rsidRPr="0028666F">
              <w:rPr>
                <w:rFonts w:ascii="Calibri" w:eastAsia="Times New Roman" w:hAnsi="Calibri" w:cs="Calibri"/>
                <w:color w:val="000000"/>
                <w:sz w:val="18"/>
                <w:szCs w:val="18"/>
                <w:lang w:eastAsia="pl-PL"/>
              </w:rPr>
              <w:br/>
              <w:t>ramach programu PPSS.</w:t>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Realizacja działań wskazanych w etapie I (działanie RWC_01.04.)</w:t>
            </w:r>
            <w:r w:rsidRPr="0028666F">
              <w:rPr>
                <w:rFonts w:ascii="Calibri" w:eastAsia="Times New Roman" w:hAnsi="Calibri" w:cs="Calibri"/>
                <w:color w:val="000000"/>
                <w:sz w:val="18"/>
                <w:szCs w:val="18"/>
                <w:lang w:eastAsia="pl-PL"/>
              </w:rPr>
              <w:br/>
              <w:t>polegających na zwiększeniu poziomu retencji wody w zlewni w</w:t>
            </w:r>
            <w:r w:rsidRPr="0028666F">
              <w:rPr>
                <w:rFonts w:ascii="Calibri" w:eastAsia="Times New Roman" w:hAnsi="Calibri" w:cs="Calibri"/>
                <w:color w:val="000000"/>
                <w:sz w:val="18"/>
                <w:szCs w:val="18"/>
                <w:lang w:eastAsia="pl-PL"/>
              </w:rPr>
              <w:br/>
              <w:t>obszarach leśnych dla ograniczenia wymywania zanieczyszczeń</w:t>
            </w:r>
            <w:r w:rsidRPr="0028666F">
              <w:rPr>
                <w:rFonts w:ascii="Calibri" w:eastAsia="Times New Roman" w:hAnsi="Calibri" w:cs="Calibri"/>
                <w:color w:val="000000"/>
                <w:sz w:val="18"/>
                <w:szCs w:val="18"/>
                <w:lang w:eastAsia="pl-PL"/>
              </w:rPr>
              <w:br/>
              <w:t>obszarowych w celu poprawy stany wód i osiągnięcia wyznaczonych</w:t>
            </w:r>
            <w:r w:rsidRPr="0028666F">
              <w:rPr>
                <w:rFonts w:ascii="Calibri" w:eastAsia="Times New Roman" w:hAnsi="Calibri" w:cs="Calibri"/>
                <w:color w:val="000000"/>
                <w:sz w:val="18"/>
                <w:szCs w:val="18"/>
                <w:lang w:eastAsia="pl-PL"/>
              </w:rPr>
              <w:br/>
              <w:t>celów środowiskowych – dobrego stanu wód. Dodatkowo wzrost</w:t>
            </w:r>
            <w:r w:rsidRPr="0028666F">
              <w:rPr>
                <w:rFonts w:ascii="Calibri" w:eastAsia="Times New Roman" w:hAnsi="Calibri" w:cs="Calibri"/>
                <w:color w:val="000000"/>
                <w:sz w:val="18"/>
                <w:szCs w:val="18"/>
                <w:lang w:eastAsia="pl-PL"/>
              </w:rPr>
              <w:br/>
              <w:t xml:space="preserve">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w:t>
            </w:r>
            <w:r w:rsidRPr="0028666F">
              <w:rPr>
                <w:rFonts w:ascii="Calibri" w:eastAsia="Times New Roman" w:hAnsi="Calibri" w:cs="Calibri"/>
                <w:color w:val="000000"/>
                <w:sz w:val="18"/>
                <w:szCs w:val="18"/>
                <w:lang w:eastAsia="pl-PL"/>
              </w:rPr>
              <w:br/>
              <w:t>ramach programu PPSS.</w:t>
            </w:r>
            <w:r w:rsidRPr="0028666F">
              <w:rPr>
                <w:rFonts w:ascii="Calibri" w:eastAsia="Times New Roman" w:hAnsi="Calibri" w:cs="Calibri"/>
                <w:color w:val="000000"/>
                <w:sz w:val="18"/>
                <w:szCs w:val="18"/>
                <w:lang w:eastAsia="pl-PL"/>
              </w:rPr>
              <w:br/>
              <w:t xml:space="preserve"> Zastosowanie RWC_01.07 (rolnicze) to Budowa oraz przebudowa</w:t>
            </w:r>
            <w:r w:rsidRPr="0028666F">
              <w:rPr>
                <w:rFonts w:ascii="Calibri" w:eastAsia="Times New Roman" w:hAnsi="Calibri" w:cs="Calibri"/>
                <w:color w:val="000000"/>
                <w:sz w:val="18"/>
                <w:szCs w:val="18"/>
                <w:lang w:eastAsia="pl-PL"/>
              </w:rPr>
              <w:br/>
              <w:t xml:space="preserve"> urządzeń melioracji wodnych dla zwiększania retencji glebowej (w</w:t>
            </w:r>
            <w:r w:rsidRPr="0028666F">
              <w:rPr>
                <w:rFonts w:ascii="Calibri" w:eastAsia="Times New Roman" w:hAnsi="Calibri" w:cs="Calibri"/>
                <w:color w:val="000000"/>
                <w:sz w:val="18"/>
                <w:szCs w:val="18"/>
                <w:lang w:eastAsia="pl-PL"/>
              </w:rPr>
              <w:br/>
              <w:t xml:space="preserve"> zakresie budowy/przebudowy) oraz inne metody zwiększenia ilości i</w:t>
            </w:r>
            <w:r w:rsidRPr="0028666F">
              <w:rPr>
                <w:rFonts w:ascii="Calibri" w:eastAsia="Times New Roman" w:hAnsi="Calibri" w:cs="Calibri"/>
                <w:color w:val="000000"/>
                <w:sz w:val="18"/>
                <w:szCs w:val="18"/>
                <w:lang w:eastAsia="pl-PL"/>
              </w:rPr>
              <w:br/>
              <w:t xml:space="preserve"> czasu retencji wód na gruntach rolnych.</w:t>
            </w:r>
            <w:r w:rsidRPr="0028666F">
              <w:rPr>
                <w:rFonts w:ascii="Calibri" w:eastAsia="Times New Roman" w:hAnsi="Calibri" w:cs="Calibri"/>
                <w:color w:val="000000"/>
                <w:sz w:val="18"/>
                <w:szCs w:val="18"/>
                <w:lang w:eastAsia="pl-PL"/>
              </w:rPr>
              <w:br/>
              <w:t xml:space="preserve"> A implementacja działań leśnych RWC_01.05 ma polegać na realizacji</w:t>
            </w:r>
            <w:r w:rsidRPr="0028666F">
              <w:rPr>
                <w:rFonts w:ascii="Calibri" w:eastAsia="Times New Roman" w:hAnsi="Calibri" w:cs="Calibri"/>
                <w:color w:val="000000"/>
                <w:sz w:val="18"/>
                <w:szCs w:val="18"/>
                <w:lang w:eastAsia="pl-PL"/>
              </w:rPr>
              <w:br/>
              <w:t xml:space="preserve"> przedsięwzięć w ramach tzw. małej retencji górskiej i nizinnej.</w:t>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 zabudowa przeciwerozyjna dróg, szlaków zrywkowych oraz zabezpieczenie obiektów infrastruktury leśnej przed skutkami nadmiernej erozji wodnej związanej z gwałtownymi opadami i spływami wód (m.in. wodospusty, płotki drewniane, kaszyce, narzut kamienny). Są to zwykłe regulacje rzek i potoków płynących np. w sąsiedztwie dróg leśnych wybudowanych wzdłuż cieków.</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2733" w:type="dxa"/>
            <w:tcBorders>
              <w:top w:val="nil"/>
              <w:left w:val="nil"/>
              <w:bottom w:val="single" w:sz="4" w:space="0" w:color="auto"/>
              <w:right w:val="single" w:sz="4" w:space="0" w:color="auto"/>
            </w:tcBorders>
            <w:shd w:val="clear" w:color="auto" w:fill="auto"/>
            <w:hideMark/>
          </w:tcPr>
          <w:p w14:paraId="2507B8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 Wykreślić działania RWC_01.05 i RWC_01.07 lub diametralnie zmienić ich planowany zakres, zgodnie z KPRWP .</w:t>
            </w:r>
          </w:p>
        </w:tc>
        <w:tc>
          <w:tcPr>
            <w:tcW w:w="3009" w:type="dxa"/>
            <w:tcBorders>
              <w:top w:val="nil"/>
              <w:left w:val="nil"/>
              <w:bottom w:val="single" w:sz="4" w:space="0" w:color="auto"/>
              <w:right w:val="single" w:sz="4" w:space="0" w:color="auto"/>
            </w:tcBorders>
            <w:shd w:val="clear" w:color="auto" w:fill="auto"/>
            <w:hideMark/>
          </w:tcPr>
          <w:p w14:paraId="343D7B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w:t>
            </w:r>
          </w:p>
        </w:tc>
        <w:tc>
          <w:tcPr>
            <w:tcW w:w="1720" w:type="dxa"/>
            <w:tcBorders>
              <w:top w:val="nil"/>
              <w:left w:val="nil"/>
              <w:bottom w:val="single" w:sz="4" w:space="0" w:color="auto"/>
              <w:right w:val="single" w:sz="4" w:space="0" w:color="auto"/>
            </w:tcBorders>
            <w:shd w:val="clear" w:color="000000" w:fill="FFFFFF"/>
            <w:hideMark/>
          </w:tcPr>
          <w:p w14:paraId="35A5EA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913B0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35403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09BEFDC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75300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231</w:t>
            </w:r>
          </w:p>
        </w:tc>
        <w:tc>
          <w:tcPr>
            <w:tcW w:w="970" w:type="dxa"/>
            <w:tcBorders>
              <w:top w:val="nil"/>
              <w:left w:val="nil"/>
              <w:bottom w:val="single" w:sz="4" w:space="0" w:color="auto"/>
              <w:right w:val="nil"/>
            </w:tcBorders>
          </w:tcPr>
          <w:p w14:paraId="67C0CFE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6AF52D8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ADFA47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0B5A47A" w14:textId="6C5AB6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Działania udrożnienia barier migracyjnych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Analiza możliwości likwidacji budowli poprzecznych/przebudowa budowli poprzecznych</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 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należy dokonać zmiany na</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„Monitoring skuteczności istniejących urządzeń do migracji ryb.” i/lub „Kontrola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 „Przebudowa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6373B3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68AA39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657AE2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651FA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1F4070C" w14:textId="3882285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61D7384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1B5BE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232</w:t>
            </w:r>
          </w:p>
        </w:tc>
        <w:tc>
          <w:tcPr>
            <w:tcW w:w="970" w:type="dxa"/>
            <w:tcBorders>
              <w:top w:val="nil"/>
              <w:left w:val="nil"/>
              <w:bottom w:val="single" w:sz="4" w:space="0" w:color="auto"/>
              <w:right w:val="nil"/>
            </w:tcBorders>
          </w:tcPr>
          <w:p w14:paraId="57A22AE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03553AF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C2BA3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46DBBB4" w14:textId="44DACE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Działania - udrożnienia</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 </w:t>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tom.in.:</w:t>
            </w:r>
            <w:r w:rsidRPr="0028666F">
              <w:rPr>
                <w:rFonts w:ascii="Calibri" w:eastAsia="Times New Roman" w:hAnsi="Calibri" w:cs="Calibri"/>
                <w:color w:val="000000"/>
                <w:sz w:val="18"/>
                <w:szCs w:val="18"/>
                <w:lang w:eastAsia="pl-PL"/>
              </w:rPr>
              <w:br/>
              <w:t>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t>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t>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IRS i WWF Polska, s. 82 Warta powyżej zbiornika była wskazana jako rzeka istotna dla ww. gatunków diadromicznych. Umożliwienie migracji przez zaporę Zb. Jeziorsko (właśnie remontowaną za dziesiątki mln zł) jest też istotne dla innych dalekodystansowych migrantów, jak boleń.</w:t>
            </w:r>
            <w:r w:rsidRPr="0028666F">
              <w:rPr>
                <w:rFonts w:ascii="Calibri" w:eastAsia="Times New Roman" w:hAnsi="Calibri" w:cs="Calibri"/>
                <w:color w:val="000000"/>
                <w:sz w:val="18"/>
                <w:szCs w:val="18"/>
                <w:lang w:eastAsia="pl-PL"/>
              </w:rPr>
              <w:br/>
              <w:t>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nowychbariermigracyjnychwcałejzlewniStarejRegiiogólnie -Regii rzek przymorza w Zarządzie Zlewni Gryfice.</w:t>
            </w:r>
            <w:r w:rsidRPr="0028666F">
              <w:rPr>
                <w:rFonts w:ascii="Calibri" w:eastAsia="Times New Roman" w:hAnsi="Calibri" w:cs="Calibri"/>
                <w:color w:val="000000"/>
                <w:sz w:val="18"/>
                <w:szCs w:val="18"/>
                <w:lang w:eastAsia="pl-PL"/>
              </w:rPr>
              <w:br/>
              <w:t>Ukleja – piętrzenie nr 397 IIaPGW proponuje działania „Kontrola...” i „Monitoring...”, a piętrzenie wymaga pilnej przebudowy (istotne z punktu widzenia ochrony obszaru Natura 2000 i ryb dwuśrodowiskowych).</w:t>
            </w:r>
          </w:p>
        </w:tc>
        <w:tc>
          <w:tcPr>
            <w:tcW w:w="2733" w:type="dxa"/>
            <w:tcBorders>
              <w:top w:val="nil"/>
              <w:left w:val="nil"/>
              <w:bottom w:val="single" w:sz="4" w:space="0" w:color="auto"/>
              <w:right w:val="single" w:sz="4" w:space="0" w:color="auto"/>
            </w:tcBorders>
            <w:shd w:val="clear" w:color="auto" w:fill="auto"/>
            <w:hideMark/>
          </w:tcPr>
          <w:p w14:paraId="00C6A0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t>Dokonać ponownej weryfikacji drożności budowli na podstawie faktycznego stanu budowli, a nie tylko ankietyzacji właściciela lub użytkownika budowli.</w:t>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Udrożnić dla ryb zaporę Zb. Jeziorsko odcinającą całą górna zlewnię Warty.</w:t>
            </w:r>
          </w:p>
        </w:tc>
        <w:tc>
          <w:tcPr>
            <w:tcW w:w="3009" w:type="dxa"/>
            <w:tcBorders>
              <w:top w:val="nil"/>
              <w:left w:val="nil"/>
              <w:bottom w:val="single" w:sz="4" w:space="0" w:color="auto"/>
              <w:right w:val="single" w:sz="4" w:space="0" w:color="auto"/>
            </w:tcBorders>
            <w:shd w:val="clear" w:color="auto" w:fill="auto"/>
            <w:hideMark/>
          </w:tcPr>
          <w:p w14:paraId="5F19DC8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p>
        </w:tc>
        <w:tc>
          <w:tcPr>
            <w:tcW w:w="1720" w:type="dxa"/>
            <w:tcBorders>
              <w:top w:val="nil"/>
              <w:left w:val="nil"/>
              <w:bottom w:val="single" w:sz="4" w:space="0" w:color="auto"/>
              <w:right w:val="single" w:sz="4" w:space="0" w:color="auto"/>
            </w:tcBorders>
            <w:shd w:val="clear" w:color="000000" w:fill="FFFFFF"/>
            <w:hideMark/>
          </w:tcPr>
          <w:p w14:paraId="7E2DF4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413103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A60E252" w14:textId="5131883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67CE511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898045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233</w:t>
            </w:r>
          </w:p>
        </w:tc>
        <w:tc>
          <w:tcPr>
            <w:tcW w:w="970" w:type="dxa"/>
            <w:tcBorders>
              <w:top w:val="nil"/>
              <w:left w:val="nil"/>
              <w:bottom w:val="single" w:sz="4" w:space="0" w:color="auto"/>
              <w:right w:val="nil"/>
            </w:tcBorders>
          </w:tcPr>
          <w:p w14:paraId="1AEB6F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550FF95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0DDAAF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2F3B0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ype="page"/>
              <w:t>Działania - udrożnienia</w:t>
            </w:r>
            <w:r w:rsidRPr="0028666F">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ype="page"/>
              <w:t>ODBUDOWA PIĘTRZEŃ</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ype="page"/>
              <w:t>Szczególnie bulwersujące jest wprowadzenie do IIaPGW działania (prolongacja z aPWŚK):</w:t>
            </w:r>
            <w:r w:rsidRPr="0028666F">
              <w:rPr>
                <w:rFonts w:ascii="Calibri" w:eastAsia="Times New Roman" w:hAnsi="Calibri" w:cs="Calibri"/>
                <w:color w:val="000000"/>
                <w:sz w:val="18"/>
                <w:szCs w:val="18"/>
                <w:lang w:eastAsia="pl-PL"/>
              </w:rPr>
              <w:br w:type="page"/>
              <w:t>wykonanie przepławki dla ryb w ramach zadania "Odbudowa urządzeń piętrzących na rzecze Bukowa - 8 szt. (w km: 17+451 wraz z przepławką- Kocień W., 22+52, 22+63, 22+915 - Górnica, 24+239-Biernatowo, 32+611-Smolarnia, 36+338, 36+768-Straduń"</w:t>
            </w:r>
            <w:r w:rsidRPr="0028666F">
              <w:rPr>
                <w:rFonts w:ascii="Calibri" w:eastAsia="Times New Roman" w:hAnsi="Calibri" w:cs="Calibri"/>
                <w:color w:val="000000"/>
                <w:sz w:val="18"/>
                <w:szCs w:val="18"/>
                <w:lang w:eastAsia="pl-PL"/>
              </w:rPr>
              <w:br w:type="page"/>
              <w:t>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w:t>
            </w:r>
            <w:r w:rsidRPr="0028666F">
              <w:rPr>
                <w:rFonts w:ascii="Calibri" w:eastAsia="Times New Roman" w:hAnsi="Calibri" w:cs="Calibri"/>
                <w:color w:val="000000"/>
                <w:sz w:val="18"/>
                <w:szCs w:val="18"/>
                <w:lang w:eastAsia="pl-PL"/>
              </w:rPr>
              <w:br w:type="page"/>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49CE92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 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p>
        </w:tc>
        <w:tc>
          <w:tcPr>
            <w:tcW w:w="3009" w:type="dxa"/>
            <w:tcBorders>
              <w:top w:val="nil"/>
              <w:left w:val="nil"/>
              <w:bottom w:val="single" w:sz="4" w:space="0" w:color="auto"/>
              <w:right w:val="single" w:sz="4" w:space="0" w:color="auto"/>
            </w:tcBorders>
            <w:shd w:val="clear" w:color="auto" w:fill="auto"/>
            <w:hideMark/>
          </w:tcPr>
          <w:p w14:paraId="14C3F5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ype="page"/>
              <w:t>Inne odbudowy/przebudowy urządzeń piętrzących zaplanowane w IIaPGW też wymagają weryfikacji, bo mogą wykazywać podobne znaczące negatywne oddziaływania.</w:t>
            </w:r>
          </w:p>
        </w:tc>
        <w:tc>
          <w:tcPr>
            <w:tcW w:w="1720" w:type="dxa"/>
            <w:tcBorders>
              <w:top w:val="nil"/>
              <w:left w:val="nil"/>
              <w:bottom w:val="single" w:sz="4" w:space="0" w:color="auto"/>
              <w:right w:val="single" w:sz="4" w:space="0" w:color="auto"/>
            </w:tcBorders>
            <w:shd w:val="clear" w:color="000000" w:fill="FFFFFF"/>
            <w:hideMark/>
          </w:tcPr>
          <w:p w14:paraId="3C9DA3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6844E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CC5B5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44CB0C9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109E38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234</w:t>
            </w:r>
          </w:p>
        </w:tc>
        <w:tc>
          <w:tcPr>
            <w:tcW w:w="970" w:type="dxa"/>
            <w:tcBorders>
              <w:top w:val="nil"/>
              <w:left w:val="nil"/>
              <w:bottom w:val="single" w:sz="4" w:space="0" w:color="auto"/>
              <w:right w:val="nil"/>
            </w:tcBorders>
          </w:tcPr>
          <w:p w14:paraId="236A9B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4BE6936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7B2CC0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1495BE4" w14:textId="6E0FA33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prawne i administracyjne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Bez zmian prawnych oraz rewizji planów inwestycyjnych wynikających z programów sektorowych – PPSS, PZRP i innych, nie ma możliwości osiągnięcia celów IIaPGW i celów RDW.</w:t>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 tych dokumentów. PPSS jest przyjęty rozporządzeniem, jego nieprzeanalizowanie działania będą wykazywać (w większości przypadków) znaczące negatywne oddziaływania na.</w:t>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06571A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56A5ACC4" w14:textId="227F46D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w:t>
            </w:r>
          </w:p>
        </w:tc>
        <w:tc>
          <w:tcPr>
            <w:tcW w:w="1720" w:type="dxa"/>
            <w:tcBorders>
              <w:top w:val="nil"/>
              <w:left w:val="nil"/>
              <w:bottom w:val="single" w:sz="4" w:space="0" w:color="auto"/>
              <w:right w:val="single" w:sz="4" w:space="0" w:color="auto"/>
            </w:tcBorders>
            <w:shd w:val="clear" w:color="000000" w:fill="FFFFFF"/>
            <w:hideMark/>
          </w:tcPr>
          <w:p w14:paraId="2CE1B4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9E858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1A3679F" w14:textId="687A42C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zgodnie z uwagą, powinno stanowić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 Obecnie opracowany PPSS oraz aPZRP zawierają działania planowane których realizacja przyczynić się może do powstania potencjalnych źródeł presji będących uwzględnionymi w kolejnych pracach planistycznych.</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3EB85CD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CAFB24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235</w:t>
            </w:r>
          </w:p>
        </w:tc>
        <w:tc>
          <w:tcPr>
            <w:tcW w:w="970" w:type="dxa"/>
            <w:tcBorders>
              <w:top w:val="nil"/>
              <w:left w:val="nil"/>
              <w:bottom w:val="single" w:sz="4" w:space="0" w:color="auto"/>
              <w:right w:val="nil"/>
            </w:tcBorders>
          </w:tcPr>
          <w:p w14:paraId="3B58614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4898E62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CC2BF6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635028B" w14:textId="41DE94D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Konkretne zmiany prawne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 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7AAF76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864A4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8018D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EA2FB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DA2EF05" w14:textId="39188DD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ustawy Prawo wodne,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2B99B9B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1CEB5F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236</w:t>
            </w:r>
          </w:p>
        </w:tc>
        <w:tc>
          <w:tcPr>
            <w:tcW w:w="970" w:type="dxa"/>
            <w:tcBorders>
              <w:top w:val="nil"/>
              <w:left w:val="nil"/>
              <w:bottom w:val="single" w:sz="4" w:space="0" w:color="auto"/>
              <w:right w:val="nil"/>
            </w:tcBorders>
          </w:tcPr>
          <w:p w14:paraId="32289DD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5B3C801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0B18F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3CAC7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w funkcjonowaniu zarządzania wód</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054BC411" w14:textId="6A01C86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46AD68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058B72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1BD9A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1D8F7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426259F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7576B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237</w:t>
            </w:r>
          </w:p>
        </w:tc>
        <w:tc>
          <w:tcPr>
            <w:tcW w:w="970" w:type="dxa"/>
            <w:tcBorders>
              <w:top w:val="nil"/>
              <w:left w:val="nil"/>
              <w:bottom w:val="single" w:sz="4" w:space="0" w:color="auto"/>
              <w:right w:val="nil"/>
            </w:tcBorders>
          </w:tcPr>
          <w:p w14:paraId="0C584C4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5" w:type="dxa"/>
            <w:tcBorders>
              <w:top w:val="nil"/>
              <w:left w:val="nil"/>
              <w:bottom w:val="single" w:sz="4" w:space="0" w:color="auto"/>
              <w:right w:val="single" w:sz="4" w:space="0" w:color="auto"/>
            </w:tcBorders>
            <w:shd w:val="clear" w:color="auto" w:fill="auto"/>
          </w:tcPr>
          <w:p w14:paraId="32724A8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A212F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5BEFD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sidRPr="0028666F">
              <w:rPr>
                <w:rFonts w:ascii="Calibri" w:eastAsia="Times New Roman" w:hAnsi="Calibri" w:cs="Calibri"/>
                <w:color w:val="000000"/>
                <w:sz w:val="18"/>
                <w:szCs w:val="18"/>
                <w:lang w:eastAsia="pl-PL"/>
              </w:rPr>
              <w:br/>
              <w:t>Zmiany w ocenie postępu działań – co 2 lata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5B075B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4471A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76BF46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3037E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80B3E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3BA5D25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222C0A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238</w:t>
            </w:r>
          </w:p>
        </w:tc>
        <w:tc>
          <w:tcPr>
            <w:tcW w:w="970" w:type="dxa"/>
            <w:tcBorders>
              <w:top w:val="nil"/>
              <w:left w:val="nil"/>
              <w:bottom w:val="single" w:sz="4" w:space="0" w:color="auto"/>
              <w:right w:val="nil"/>
            </w:tcBorders>
          </w:tcPr>
          <w:p w14:paraId="1A44E78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Szkoła Główna Gospodarstwa Wiejskiego w Warszawie</w:t>
            </w:r>
          </w:p>
        </w:tc>
        <w:tc>
          <w:tcPr>
            <w:tcW w:w="165" w:type="dxa"/>
            <w:tcBorders>
              <w:top w:val="nil"/>
              <w:left w:val="nil"/>
              <w:bottom w:val="single" w:sz="4" w:space="0" w:color="auto"/>
              <w:right w:val="single" w:sz="4" w:space="0" w:color="auto"/>
            </w:tcBorders>
            <w:shd w:val="clear" w:color="auto" w:fill="auto"/>
          </w:tcPr>
          <w:p w14:paraId="60724C3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BE248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3136982" w14:textId="75533F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 Projekty IIaPGW nie pozwolą na rozpoczęcie procesu poprawy stanu wód w Polsce, gdyż niemal zupełnie nie uzwględniają zapisów Krajowego Programu Renaturyzacji Wód Powierzchniowych (KPRWP) oraz ze względu na nowe presje hydromorfologiczne, będące skutkiem planowanych inwestycji i innych przedsięwzięć hydrotechnicznych, jak również prac utrzymaniowych rozumianych zgodnie z treścią Art. 227. ust. 3. ustawy Prawo Wodne, Dz. U. 2017 poz. 1566 z dnia 20 lipca 2017 r. Jak wskazano w KPRWP, 90%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 Polsce wymaga podjęcia jakichś działań renaturyzacyjnych, rozumianych nawet jako modyfikację dotychczas prowadzonych prac. IIaPGW obszaru dorzecza Wisły, Odry, Niemna i Pregoły nie odnosi się do wyników KPRWP poza zdawkowym wspomnieniem istnienia tego dokumentu. Zwracamy uwagę na konieczność weryfikacji IIaPGW poprzez uwzględnienie szerokiej potrzeby wdrożenia prac renaturyzacyjnych w Polsce.</w:t>
            </w:r>
            <w:r w:rsidRPr="0028666F">
              <w:rPr>
                <w:rFonts w:ascii="Calibri" w:eastAsia="Times New Roman" w:hAnsi="Calibri" w:cs="Calibri"/>
                <w:color w:val="000000"/>
                <w:sz w:val="18"/>
                <w:szCs w:val="18"/>
                <w:lang w:eastAsia="pl-PL"/>
              </w:rPr>
              <w:br w:type="page"/>
              <w:t>.2.  Projekty IIaPGW w żadnym stopniu nie odnoszą się do potrzeby zmiany trybu prowadzenia prac utrzymaniowych wskazywanych w Katalogu Dobrych Praktyk Robót Hydrotechnicznych i Prac Utrzymaniowych Wraz z Opracowaniem Zasad Ich Wdrażania. Zwracamy uwagę na konieczność jasnego zaznaczenia w IIaPGW obszaru dorzecza Wisły, Odry, Niemna i Pregoły informacji o negatywnym oddziaływaniu prac utrzymaniowych na ekosystemy wód podlegających tym pracom (sensu Art. 227. ust. 3. ustawy Prawo Wodne, Dz. U. 2017 poz. 1566 z dnia 20 lipca 2017 r). Zwracamy się również z prośbą o wprowadzenie do IIaPGW zapisów dotyczących konieczności ograniczenia prowadzenia prac utrzymaniowych wskazanych w załącznikach do konsultowanych dokumentów.</w:t>
            </w:r>
            <w:r w:rsidRPr="0028666F">
              <w:rPr>
                <w:rFonts w:ascii="Calibri" w:eastAsia="Times New Roman" w:hAnsi="Calibri" w:cs="Calibri"/>
                <w:color w:val="000000"/>
                <w:sz w:val="18"/>
                <w:szCs w:val="18"/>
                <w:lang w:eastAsia="pl-PL"/>
              </w:rPr>
              <w:br w:type="page"/>
              <w:t>3. Zwracamy się z prośbą o wyjaśnienie, dlaczego nie dla wszystkich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na których są zlokalizowane elektrownie wodne, zaplanowano działania z zakresu wdrożenia przepływów środowiskowych. Duża zmienność przepływów poniżej elektrowni wodnych ma negatywny wpływ na organizmy żywe i tym samym może przyczyniać się do nieosiągnięcia celów środowiskowych. Wnioskujemy o zaplanowanie przepływów środowiskowych dla wszystkich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występują elektrownie wodne.</w:t>
            </w:r>
            <w:r w:rsidRPr="0028666F">
              <w:rPr>
                <w:rFonts w:ascii="Calibri" w:eastAsia="Times New Roman" w:hAnsi="Calibri" w:cs="Calibri"/>
                <w:color w:val="000000"/>
                <w:sz w:val="18"/>
                <w:szCs w:val="18"/>
                <w:lang w:eastAsia="pl-PL"/>
              </w:rPr>
              <w:br w:type="page"/>
              <w:t>4. IIaPGW w obecnej postaci przewiduje działania z zakresu przywrócenia ciągłości biologicznej, natomiast część wskazanych obiektów jest administrowana przez osoby/firmy prywatne. Obecne przepisy uniemożliwiają wyegzekwowanie udrożnienia budowli poprzecznych na podmiotach prywatnych. Obowiązek budowy urządzeń do migracji ryb dotyczy tylko nowobudowanych obiektów. Wnioskujemy o zmianę dotychczasowych przepisów prawnych w tym zakresie lub o modyfikację zapisów IIaPGW i doprowadzenie zapisów do ich zgodności z obowiązującym prawem, aby złożenia i działania przedstawione w IIaPGW były realne do wdrożenia i były pozbawione zapisów niemożliwych do wyegzekwowania.</w:t>
            </w:r>
            <w:r w:rsidRPr="0028666F">
              <w:rPr>
                <w:rFonts w:ascii="Calibri" w:eastAsia="Times New Roman" w:hAnsi="Calibri" w:cs="Calibri"/>
                <w:color w:val="000000"/>
                <w:sz w:val="18"/>
                <w:szCs w:val="18"/>
                <w:lang w:eastAsia="pl-PL"/>
              </w:rPr>
              <w:br w:type="page"/>
              <w:t>5. Dlaczego w IIaPGW zaplanowano działania renaturyzacyjne tylko dla odcinków pilotażowych z KPRWP? Opracowany KRPWP jak i wyniki oceny stanu wód wskazują, że większość rzek w Polsce zagrożona jest nieosiągnięciem celów środowiskowych. Wobec tego, działania z KPRWP we wszystkich wymagających tego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powinny zostać przeniesione do IIaPGW.</w:t>
            </w:r>
            <w:r w:rsidRPr="0028666F">
              <w:rPr>
                <w:rFonts w:ascii="Calibri" w:eastAsia="Times New Roman" w:hAnsi="Calibri" w:cs="Calibri"/>
                <w:color w:val="000000"/>
                <w:sz w:val="18"/>
                <w:szCs w:val="18"/>
                <w:lang w:eastAsia="pl-PL"/>
              </w:rPr>
              <w:br w:type="page"/>
              <w:t>6. Zwracamy się z prośbą o jednoznaczne wskazanie w IIaPGW konieczności podjęcia działań szkoleniowych dla zarządców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lub innych podmiotów wykonujących prawa właścicielskie w stosunku do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zakresu rozwiązań bazujących na zastosowaniu zielonej infrastruktury oraz renaturyzacji rzek pozwalającej równocześnie na ich gospodarcze wykorzystanie. </w:t>
            </w:r>
            <w:r w:rsidRPr="0028666F">
              <w:rPr>
                <w:rFonts w:ascii="Calibri" w:eastAsia="Times New Roman" w:hAnsi="Calibri" w:cs="Calibri"/>
                <w:color w:val="000000"/>
                <w:sz w:val="18"/>
                <w:szCs w:val="18"/>
                <w:lang w:eastAsia="pl-PL"/>
              </w:rPr>
              <w:br w:type="page"/>
              <w:t>7. Działania proponowane w wykazach działań będących załącznikami do dokumentów IIaPGW oraz w zestawieniach inwestycji kierunkowych nie są opatrzone informacjami o możliwości ich adaptacji na podstawie wyników monitoringu. Wnosimy o podanie dla poszczególnych działań informacji o prowadzonym monitoringu pozwalającym na stwierdzenie, że dane działania są niezbędne do przeprowadzenia.</w:t>
            </w:r>
          </w:p>
        </w:tc>
        <w:tc>
          <w:tcPr>
            <w:tcW w:w="2733" w:type="dxa"/>
            <w:tcBorders>
              <w:top w:val="nil"/>
              <w:left w:val="nil"/>
              <w:bottom w:val="single" w:sz="4" w:space="0" w:color="auto"/>
              <w:right w:val="single" w:sz="4" w:space="0" w:color="auto"/>
            </w:tcBorders>
            <w:shd w:val="clear" w:color="auto" w:fill="auto"/>
            <w:hideMark/>
          </w:tcPr>
          <w:p w14:paraId="2AC384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29C9BD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B7217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2FFB2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46801B58" w14:textId="76C4B3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Ad. 1 Zestaw działań naprawczych IIaPGW został zweryfikowany, uwzględniono uwagi w zakresie KPRWP zgłoszone w trakcie konsultacji społecznych. Rozbudowano zestawy działań naprawczych IIaPGW w zakresie likwidacji presji hydromorfologicznych, wskazano dodatkowe działania techniczne mające na celu przywrócenie ciągłości biologicznej cieków, działania techniczne w zakresie renaturyzacji koryta oraz rozszerzono zakres działań nietechnicznych do działań 2- etapowych, obejmujących część analityczną oraz w przypadku, kiedy analizy wykażą negatywny wpływ budowli na ciągłość lub brak skuteczności istniejących urządzeń służących migracji ryb, obejmujący realizację działań technicznych. W zestawach działań II aPGW w celu przywrócenia drożności cieków, przypisano konkretne działania dla konkretnych obiektów, których szczegółowe zestawienie zawiera Załącznik 1 IIaPGW Wykaz działań dla budowli, łącznie zaplanowano 1216 działań technicznych (lub działań nietechnicznych z rozszerzeniem do działań technicznych w przypadku stwierdzonego braku ciągłości) dla 676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IIaPGW łącznie działań technicznych służących poprawie warunków hydromorfologicznych wpisujących się w działania wskazane w KPRWP przypisano dla 1119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oraz dla 129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W IIaPGW włączono dodatkowo wszystkie działania nakierowane na poprawę i ochronę warunków hydromorfologicznych wód powierzchniowych implementowane z PZO/PO dla obszarów przyrodniczo chronionych - łącznie 7791 działań zaplanowanych w obrębie 1171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oraz 1690 działań w obrębie 295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jeziornych.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Ad. 2. Na poziomie krajowym wskazano działanie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Prowadzenie prac utrzymaniowych zgodnie z Katalogiem Dobrych Praktyk Robót Hydrotechnicznych i Prac Utrzymaniowych. Dodatkowo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zagrożonych, dla których zidentyfikowano presje hydromorfologiczne związane z pracami utrzymaniowymi, wskazano działanie: RWHM_03.01: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Ograniczono działanie do nietechnicznego, ponieważ wprowadzenie renaturyzcji przez prace utrzymaniowe wymaga szczegółowych ocen wpływu na cele środowiskowe oraz przedmioty ochrony.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Ad. 3. Na poziomie krajowym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wskazano działanie: Ustalenie przepływów hydrobiologicznych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uwzględnieniem celów środowiskowych wskazanych dla obszarów przyrodniczych, po uwagach zgłoszonych w toku konsultacji doprecyzowano nazwę działania krajowego i brzmi aktualnie: Ustalenie przepływów środowiskowych wymaganych do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Ad. 4. Plany gospodarowania wodami mają określoną w ustawie Prawo wodne funkcję prawną, a ich zawartość powinna być adekwatna do delegacji wynikającej z tej ustawy, nie mogą zatem zawierać treści niewynikających z podstawy prawnej wskazanej w ustawie - np. postulatów zmian obowiązujących przepisów. Natomiast trzeba zauważyć, że istniejące przepisy dają podstawę do tego, by wyegzekwować działania udrożnieniowe także od "podmiotów prywatnych". Jeżeli przyjmiemy, że piętrzenie wód jest prowadzone po to, by możliwe było korzystanie z wód lub usług wodnych (np. pobór wody lub produkcja energii), to pozwolenia wodnoprawne na takie korzystanie powinny (według ustawy Prawo wodne) podlegać cyklicznym przeglądom, są one zresztą wydawane na określony czas. W ramach przeglądu lub wydawania pozwoleń wodnoprawnych niezbędne jest sprawdzenie zgodności z celami środowiskowymi; jeżeli tej zgodności nie ma, to ustawa daje możliwość do cofnięcia (lub odmowy wydania) pozwolenia wodnoprawnego.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Ad. 5. W IIaPGW po uwzględnieniu uwag zgłoszonych w konsultacjach społecznych z uwzględnieniem najnowszych wyników monitoringu GIOŚ, działań technicznych służących poprawie warunków hydromorfologicznych wpisujących się w założenia KPRWP przypisano dla 1119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oraz dla 129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W IIaPGW implementowano dodatkowo wszystkie działania nakierowane na poprawę i ochronę warunków hydromorfologicznych wód powierzchniowych zawarte w PZO/PO dla obszarów przyrodniczo chronionych - łącznie 7791 działań zaplanowanych w obrębie 1171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oraz 1690 działań w obrębie 295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(działania przypisywano do poszczególnych obszarów na poziomie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Ad.6. PGW WP dostrzega potrzebę przeprowadzenia szkoleń dla zarządców wód z zakresu rozwiązań bazujących na zastosowaniu zielonej infrastruktury oraz renaturyzacji rzek, jednak podjęcie takich działań nie jest uwarunkowane od wpisania ich w zestaw działań naprawczych i mogą być one realizowane niezależnie od zapisów IIaPGW.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Ad. 7. Każde działanie wskazane w ramach IIaPGW ma przypisaną jednostkę odpowiedzialną za jego realizację oraz monitoring. Działania techniczne wprowadzono w większości jako działania 2-etapowe, składające się z części analitycznej, nietechnicznej oraz technicznej czyli realizację zakresu działania zgodnie z wykonanymi analizami, ocenami, projektami i po uzyskaniu odpowiednich dokumentacji i pozwoleń. W przypadku działań technicznych proponowanych do realizacji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jeziornych, których efektywność uzależniona jest od czynników zewnętrznych, zaproponowano działanie LWC_12.01 Kontrola procesów rekultywacji. W stosunku do pozostałych działań każdorazowo w Zestawie działań wskazywano Jednostkę odpowiedzialną za sprawozdawczość wraz z przypisanymi wskaźnikami oceny postępu we wdrażaniu poszczególnych działań.</w:t>
            </w:r>
          </w:p>
        </w:tc>
      </w:tr>
      <w:tr w:rsidR="007C2B40" w:rsidRPr="0028666F" w14:paraId="2169EC8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38419F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239</w:t>
            </w:r>
          </w:p>
        </w:tc>
        <w:tc>
          <w:tcPr>
            <w:tcW w:w="970" w:type="dxa"/>
            <w:tcBorders>
              <w:top w:val="nil"/>
              <w:left w:val="nil"/>
              <w:bottom w:val="single" w:sz="4" w:space="0" w:color="auto"/>
              <w:right w:val="nil"/>
            </w:tcBorders>
          </w:tcPr>
          <w:p w14:paraId="5DE607C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5CC63E3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C4D3E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A7536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Na dwa tygodnie przed terminem zakończenia konsultacji społecznych wprowadzono istotne zmiany do treści IIaPGW. W związku z powyższym należało przedłużyć konsultacje co najmniej do 31 października 2021 r.</w:t>
            </w:r>
          </w:p>
        </w:tc>
        <w:tc>
          <w:tcPr>
            <w:tcW w:w="2733" w:type="dxa"/>
            <w:tcBorders>
              <w:top w:val="nil"/>
              <w:left w:val="nil"/>
              <w:bottom w:val="single" w:sz="4" w:space="0" w:color="auto"/>
              <w:right w:val="single" w:sz="4" w:space="0" w:color="auto"/>
            </w:tcBorders>
            <w:shd w:val="clear" w:color="auto" w:fill="auto"/>
            <w:hideMark/>
          </w:tcPr>
          <w:p w14:paraId="7DBFD7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Przedłużenie konsultacji społecznych do co najmniej 31 października 2021 r.</w:t>
            </w:r>
          </w:p>
        </w:tc>
        <w:tc>
          <w:tcPr>
            <w:tcW w:w="3009" w:type="dxa"/>
            <w:tcBorders>
              <w:top w:val="nil"/>
              <w:left w:val="nil"/>
              <w:bottom w:val="single" w:sz="4" w:space="0" w:color="auto"/>
              <w:right w:val="single" w:sz="4" w:space="0" w:color="auto"/>
            </w:tcBorders>
            <w:shd w:val="clear" w:color="auto" w:fill="auto"/>
            <w:hideMark/>
          </w:tcPr>
          <w:p w14:paraId="43AEC0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 aktualizacji planów gospodarowania wodami na obszarach dorzeczy prowadzone są na gruncie art. 39 § 1 ustawy z dnia 3 października 2008 r. o udostępnianiu informacji o środowisku i jego ochronie, udziale społeczeństwa w ochronie środowiska oraz o ocenach oddziaływania na środowisko (dalej jako: „o.o.ś.”) oraz art. 319 ust. 4 pkt 3 ustawy z dnia 20 lipca 2017 r. Prawo wodne (dalej jako: „p.w.”). Zgodnie z art. 319 ust. 5 p.w. w terminie 6 miesięcy od dnia podania do publicznej wiadomości dokumentów, o których mowa w ust. 4 (w tym projektu planu gospodarowania wodami na obszarze dorzecza), zainteresowani mogą składać do ministra właściwego do spraw gospodarki wodnej (obecnie Ministra Infrastruktury) pisemne uwagi do ustaleń zawartych w tych dokumentach. Sześciomiesięczny termin rozpoczął się 14 kwietnia 2021 r., w związku z czym konsultacje społeczne trwać mają do dnia 14 października 2021 r. Jednakże, w dniu 30 września 2021 r. – 14 dni przed końcem wyznaczonego terminu do składania uwag i wniosków – ze względu na zajście istotnych zmian, które miały wpływ na treść projektów IIaPGW i w celu zachowania spójności i aktualności projektów IIaPGW, zostały przygotowane i opublikowane „erraty” do projektów IIaPGW. W związku z powyższym, doszło do daleko idących zmian w zapisach projektów i załączników, a w stosunku do kilku dorzeczy, w tym największych – Wisły i Odry – nastąpiło uzupełnienie zapisów IIaPGW aż o dwie kluczowe kwestie, dotyczące obszarów chronionych przeznaczonych do ochrony gatunków zwierząt wodnych o znaczeniu gospodarczym oraz aktualizacji zapisów VIaKPOŚK, które to zmiany obejmują łącznie kilka tysięcy rekordów danych: od nowej listy zadań po zmiany w numeracji konkretnych działań środowiskowych.</w:t>
            </w:r>
            <w:r w:rsidRPr="0028666F">
              <w:rPr>
                <w:rFonts w:ascii="Calibri" w:eastAsia="Times New Roman" w:hAnsi="Calibri" w:cs="Calibri"/>
                <w:color w:val="000000"/>
                <w:sz w:val="18"/>
                <w:szCs w:val="18"/>
                <w:lang w:eastAsia="pl-PL"/>
              </w:rPr>
              <w:br/>
              <w:t>Biorąc pod uwagę fakt, iż – również w ocenie Ministra Infrastruktury oraz PGW WP – „konsultacje społeczne to najważniejszy etap realizowanego przez Państwowe Gospodarstwo Wodne Wody Polskie projektu II aPGW oraz okazja dla wszystkich zainteresowanych podmiotów i użytkowników wód do wpłynięcia na kierunek gospodarowania wodami także w najbliższej okolicy” (https://www.apgw.gov.pl/pl/konsultacje), termin ten powinien zostać przedłużony o odpowiedni czas, potrzebny na aktywny udział w konsultacjach wszystkich zainteresowanych, tj. na zapoznanie się ze zmianami i przygotowanie dodatkowych wniosków i uwag.</w:t>
            </w:r>
            <w:r w:rsidRPr="0028666F">
              <w:rPr>
                <w:rFonts w:ascii="Calibri" w:eastAsia="Times New Roman" w:hAnsi="Calibri" w:cs="Calibri"/>
                <w:color w:val="000000"/>
                <w:sz w:val="18"/>
                <w:szCs w:val="18"/>
                <w:lang w:eastAsia="pl-PL"/>
              </w:rPr>
              <w:br/>
              <w:t>Zauważyć należy, że w ustawie Prawo wodne termin 6 miesięcy na składanie pisemnych uwag został wprawdzie ujęty jako termin sztywny, jednakże – zgodnie z art. 14 ust. 2 Dyrektywy 2000/60/WE Parlamentu Europejskiego i Rady z dnia 23 października 2000 r. ustanawiającej ramy wspólnotowego działania w dziedzinie polityki wodnej, Państwa Członkowskie przeznaczają co najmniej 6 miesięcy na składanie pisemnych uwag do tych dokumentów (w tym planów gospodarowania wodami w dorzeczach) w celu zapewnienia aktywnego udziału i konsultacji. W celu więc zapewnienia zgodności polskiej procedury z prawem unijnym, które ustanawia jedynie minimalny, a nie maksymalny termin trwania konsultacji, wniosek o przedłużenie terminu na składanie uwag i wniosków o kilkanaście dni powinien zostać rozpatrzony pozytywnie.</w:t>
            </w:r>
            <w:r w:rsidRPr="0028666F">
              <w:rPr>
                <w:rFonts w:ascii="Calibri" w:eastAsia="Times New Roman" w:hAnsi="Calibri" w:cs="Calibri"/>
                <w:color w:val="000000"/>
                <w:sz w:val="18"/>
                <w:szCs w:val="18"/>
                <w:lang w:eastAsia="pl-PL"/>
              </w:rPr>
              <w:br/>
              <w:t>Należy również wspomnieć, że problematycznym jest brak przejrzystości w kwestii przenikania się terminów konsultacji społecznych projektów drugiej aktualizacji planów gospodarowania wodami w dorzeczach (IIaPGW) – na podstawie ustawy Prawo wodne (kończących się – zgodnie z informacjami zawartymi pod adresem https://www.apgw.gov.pl/pl/konsultacje w dniu 14 października 2021 r.) z konsultacjami społecznymi projektów IIaPGW wraz z erratami oraz projektów ich prognoz oddziaływania na środowisko, kończących się w dniu 20 października 2021 r. (według informacji opublikowanych pod adresem https://www.apgw.gov.pl/pl/soos). W związku z powyższymi niejasnościami, terminy na składanie uwag i wniosków w ramach obu procedur powinny zostać ujednolicone.</w:t>
            </w:r>
          </w:p>
        </w:tc>
        <w:tc>
          <w:tcPr>
            <w:tcW w:w="1720" w:type="dxa"/>
            <w:tcBorders>
              <w:top w:val="nil"/>
              <w:left w:val="nil"/>
              <w:bottom w:val="single" w:sz="4" w:space="0" w:color="auto"/>
              <w:right w:val="single" w:sz="4" w:space="0" w:color="auto"/>
            </w:tcBorders>
            <w:shd w:val="clear" w:color="000000" w:fill="FFFFFF"/>
            <w:hideMark/>
          </w:tcPr>
          <w:p w14:paraId="220B73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2C6BB2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AB088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w:t>
            </w:r>
            <w:r w:rsidRPr="0028666F">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w:t>
            </w:r>
            <w:r w:rsidRPr="0028666F">
              <w:rPr>
                <w:rFonts w:ascii="Calibri" w:eastAsia="Times New Roman" w:hAnsi="Calibri" w:cs="Calibri"/>
                <w:color w:val="000000"/>
                <w:sz w:val="18"/>
                <w:szCs w:val="18"/>
                <w:lang w:eastAsia="pl-PL"/>
              </w:rPr>
              <w:br/>
              <w:t>w ochronie środowiska oraz o ocenach oddziaływania na środowisko (Dz.U. z 2021 roku poz. 247</w:t>
            </w:r>
            <w:r w:rsidRPr="0028666F">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28666F">
              <w:rPr>
                <w:rFonts w:ascii="Calibri" w:eastAsia="Times New Roman" w:hAnsi="Calibri" w:cs="Calibri"/>
                <w:color w:val="000000"/>
                <w:sz w:val="18"/>
                <w:szCs w:val="18"/>
                <w:lang w:eastAsia="pl-PL"/>
              </w:rPr>
              <w:br/>
              <w:t>z prognoz).</w:t>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28666F">
              <w:rPr>
                <w:rFonts w:ascii="Calibri" w:eastAsia="Times New Roman" w:hAnsi="Calibri" w:cs="Calibri"/>
                <w:color w:val="000000"/>
                <w:sz w:val="18"/>
                <w:szCs w:val="18"/>
                <w:lang w:eastAsia="pl-PL"/>
              </w:rPr>
              <w:br/>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2. Konsultacje społeczne w ramach SOOŚ wymagane ustawą o udostępnianiu informacji</w:t>
            </w:r>
            <w:r w:rsidRPr="0028666F">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28666F">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28666F">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28666F">
              <w:rPr>
                <w:rFonts w:ascii="Calibri" w:eastAsia="Times New Roman" w:hAnsi="Calibri" w:cs="Calibri"/>
                <w:color w:val="000000"/>
                <w:sz w:val="18"/>
                <w:szCs w:val="18"/>
                <w:lang w:eastAsia="pl-PL"/>
              </w:rPr>
              <w:br/>
              <w:t>W związku z przygotowaniem i przeprowadzeniem konsultacji społecznych zgodnie</w:t>
            </w:r>
            <w:r w:rsidRPr="0028666F">
              <w:rPr>
                <w:rFonts w:ascii="Calibri" w:eastAsia="Times New Roman" w:hAnsi="Calibri" w:cs="Calibri"/>
                <w:color w:val="000000"/>
                <w:sz w:val="18"/>
                <w:szCs w:val="18"/>
                <w:lang w:eastAsia="pl-PL"/>
              </w:rPr>
              <w:br/>
              <w:t>z przepisami prawa oraz przy zapewnieniu możliwie pełnego i aktywnego udziału społeczeństwa</w:t>
            </w:r>
            <w:r w:rsidRPr="0028666F">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Jednocześnie zwracamy uwagę, iż zainteresowane strony miały możliwość zapoznania się</w:t>
            </w:r>
            <w:r w:rsidRPr="0028666F">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7C2B40" w:rsidRPr="0028666F" w14:paraId="315DCFE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7A4E3B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240</w:t>
            </w:r>
          </w:p>
        </w:tc>
        <w:tc>
          <w:tcPr>
            <w:tcW w:w="970" w:type="dxa"/>
            <w:tcBorders>
              <w:top w:val="nil"/>
              <w:left w:val="nil"/>
              <w:bottom w:val="single" w:sz="4" w:space="0" w:color="auto"/>
              <w:right w:val="nil"/>
            </w:tcBorders>
          </w:tcPr>
          <w:p w14:paraId="0BC0E56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022D9F6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49C7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8776E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Niekompletna informacja w projektach II aPGW na temat planowanych inwestycji hydrotechnicznych skutkujących nowymi presjami hydromorfologicznymi, uniemożliwiająca prawidłową ocenę ich wpływu na możliwość osiągnięcia dobrego stanu wód powierzchniowych do roku 2027.</w:t>
            </w:r>
          </w:p>
        </w:tc>
        <w:tc>
          <w:tcPr>
            <w:tcW w:w="2733" w:type="dxa"/>
            <w:tcBorders>
              <w:top w:val="nil"/>
              <w:left w:val="nil"/>
              <w:bottom w:val="single" w:sz="4" w:space="0" w:color="auto"/>
              <w:right w:val="single" w:sz="4" w:space="0" w:color="auto"/>
            </w:tcBorders>
            <w:shd w:val="clear" w:color="auto" w:fill="auto"/>
            <w:hideMark/>
          </w:tcPr>
          <w:p w14:paraId="28D5AA77" w14:textId="46C608A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ostatecznej wersji II aPGW powinny być zebrane informacje o wszystkich planowanych inwestycjach i innych przedsięwzięciach hydrotechnicznych skutkujących nowymi presjami, zwłaszcza presją hydromorfologiczną, w tym inwestycje planowane w aktualizacji Planów Zarządzania Ryzykiem Powodzi (aPZRP), Planów Przeciwdziałania Skutkom Suszy (PPSS) oraz inwestycje związane z budową międzynarodowych dróg wodnych na polskich rzekach. Powinien być przeanalizowany wpływ wszystkich planowanych inwestycji na terminowe, tj. do roku 2027 osiągnięcie celów środowiskowych RDW. </w:t>
            </w:r>
            <w:r w:rsidRPr="0028666F">
              <w:rPr>
                <w:rFonts w:ascii="Calibri" w:eastAsia="Times New Roman" w:hAnsi="Calibri" w:cs="Calibri"/>
                <w:color w:val="000000"/>
                <w:sz w:val="18"/>
                <w:szCs w:val="18"/>
                <w:lang w:eastAsia="pl-PL"/>
              </w:rPr>
              <w:br/>
              <w:t xml:space="preserve">Społecznym wkładem w rozwiązanie wzmiankowanego wyżej problemu jest opracowanie „Ocena stopnia uwzględnienia Krajowego Programu Renaturyzacji Wód Powierzchniowych w projektach drugiej aktualizacji Planów Gospodarowania Wodami (II aPGW) wraz z rekomendacjami do II aPGW”, wykonane z inicjatywy Fundacji WWF Polska (Zał. 1a-c). W opracowaniu tym (zał. 1b) dla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zestawiono zapisy z II aPGW w porównaniu z zapisami Krajowego Planu Renaturyzacji Wód Powierzchniowych (KPRWP) oraz z informacjami o nowych presjach, tj. o inwestycjach i innych przedsięwzięciach wymienionych w załącznikach 6 do IIaPGW oraz w aktualizacji Planów Zarządzania Ryzykiem Powodziowym i w Planie Przeciwdziałania Skutkom Suszy. Ryciny 1 i 2 (zamieszczone poniżej) przedstawiają przykładowe wizualizacje przyporządkowania poszczególnym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rzecznym przedsięwzięć skutkujących nowymi presjami, w kontekście potrzeb renaturyzacyjnych zidentyfikowanych w KPRWP.Analizy zawarte w przytaczanym opracowaniu wraz z ich odpowiednią wizualizacją, powinny się znaleźć w ostatecznej wersji II aPGW. W związku z tym prosimy traktować załącznik 1b (plik Excel) jako zbiorcze zestawienie 3116 szczegółowych uwag obejmujących wszystkie 9 dorzeczy, które to uwagi Fundacja WWF Polska zgłasza w ramach konsultacji społecznych projektów II aPGW.</w:t>
            </w:r>
            <w:r w:rsidRPr="0028666F">
              <w:rPr>
                <w:rFonts w:ascii="Calibri" w:eastAsia="Times New Roman" w:hAnsi="Calibri" w:cs="Calibri"/>
                <w:color w:val="000000"/>
                <w:sz w:val="18"/>
                <w:szCs w:val="18"/>
                <w:lang w:eastAsia="pl-PL"/>
              </w:rPr>
              <w:br/>
              <w:t xml:space="preserve">Ryc. 1. Zlewnie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 których zaplanowano przedsięwzięcia hydrotechniczne do realizacji w latach 2022 – 2027, skutkujące presją hydromorfologiczną. Opracowanie na podstawie danych zebranych w raporcie „Ocena stopnia uwzględnienia Krajowego Programu Renaturyzacji Wód Powierzchniowych w projektach drugiej aktualizacji Planów Gospodarowania Wodami (II aPGW) wraz z rekomendacjami do II aPGW”</w:t>
            </w:r>
            <w:r w:rsidRPr="0028666F">
              <w:rPr>
                <w:rFonts w:ascii="Calibri" w:eastAsia="Times New Roman" w:hAnsi="Calibri" w:cs="Calibri"/>
                <w:color w:val="000000"/>
                <w:sz w:val="18"/>
                <w:szCs w:val="18"/>
                <w:lang w:eastAsia="pl-PL"/>
              </w:rPr>
              <w:br/>
              <w:t xml:space="preserve">Ryc. 2. Zlewnie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wymagających renaturyzacji, w których zaplanowano przedsięwzięcia hydrotechniczne do realizacji w latach 2022 – 2027, skutkujące presją hydromorfologiczną. Opracowanie na podstawie danych zebranych w raporcie „Ocena stopnia uwzględnienia Krajowego Programu Renaturyzacji Wód Powierzchniowych w projektach drugiej aktualizacji Planów Gospodarowania Wodami (II aPGW) wraz z rekomendacjami do II aPGW”</w:t>
            </w:r>
          </w:p>
        </w:tc>
        <w:tc>
          <w:tcPr>
            <w:tcW w:w="3009" w:type="dxa"/>
            <w:tcBorders>
              <w:top w:val="nil"/>
              <w:left w:val="nil"/>
              <w:bottom w:val="single" w:sz="4" w:space="0" w:color="auto"/>
              <w:right w:val="single" w:sz="4" w:space="0" w:color="auto"/>
            </w:tcBorders>
            <w:shd w:val="clear" w:color="auto" w:fill="auto"/>
            <w:hideMark/>
          </w:tcPr>
          <w:p w14:paraId="27F96BE7" w14:textId="673F18B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 aPGW jako podstawowy dokument planistyczny dotyczący gospodarowania wodami, powinny zebrać i przeanalizować wszystkie inwestycje i inne przedsięwzięcia hydrotechniczne skutkujące nowymi presjami, zwłaszcza presją hydromorfologiczną. Analiza ta (w powiązaniu ze strategiczną oceną oddziaływania na środowisko II aPGW) powinna umożliwić ocenę wpływu planowanych przedsięwzięć na realizację celów środowiskowych w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kontekście konieczności terminowego, tj. do roku 2027, osiągnięcia dobrego stanu / potencjału wód. W projektach aPGW brak jest informacji o inwestycjach planowanych w ramach realizacji aktualizacji Planów Zarządzania Ryzykiem Powodzi oraz Planów Przeciwdziałania Skutkom Suszy. Brak jest również informacji o inwestycjach planowanych w ramach budowy towarowych śródlądowych dróg o międzynarodowym standardzie, tj. o klasie co najmniej IV (np. inwestycje planowane w ramach kaskadyzacji Odry, konsultowane z samorządami). W rezultacie tego poważnego mankamentu projektów II aPGW, nie jest możliwa prawidłowa ocena natężenia nowych presji, np. presji hydromorfologicznej oraz wpływu tej presji na realizację celów środowiskowych w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kontekście potrzeb renaturyzacji hydromorfologii wód zidentyfikowanych w Krajowym Programie Renaturyzacji Wód Powierzchniowych (KPRWP). Należy podkreślić, że w KPRW nie zakładano, że w analizowanych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wystąpią nowe presje hydromorfologiczne. W związku z tym w II aPGW konieczne jest uwzględnienie dodatkowych działań renaturyzacyjnych poszerzających zakres rekomendacji KPRWP – działań, które zapewnią skuteczną kompensację nowych presji. Należy również podkreślić, że nie ma obecnie obowiązku, aby kraj członkowski UE w ramach opracowywania aPGW wykazał czy planowane inwestycje i inne przedsięwzięcia spełniają wymogi derogacji określone w art. 4(7) RDW. Jednakże w aPGW powinien być przeanalizowany wpływ wszystkich planowanych inwestycji na terminowe osiągnięcie celów środowiskowych RDW.</w:t>
            </w:r>
          </w:p>
        </w:tc>
        <w:tc>
          <w:tcPr>
            <w:tcW w:w="1720" w:type="dxa"/>
            <w:tcBorders>
              <w:top w:val="nil"/>
              <w:left w:val="nil"/>
              <w:bottom w:val="single" w:sz="4" w:space="0" w:color="auto"/>
              <w:right w:val="single" w:sz="4" w:space="0" w:color="auto"/>
            </w:tcBorders>
            <w:shd w:val="clear" w:color="000000" w:fill="FFFFFF"/>
            <w:hideMark/>
          </w:tcPr>
          <w:p w14:paraId="26AD3A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5E9C13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4A6E2F6" w14:textId="447674F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będąc działaniami negatywnie wpływającymi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IIaPGW odnosi się do przedsięwzięć negatywnie oddziałujących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7C2B40" w:rsidRPr="0028666F" w14:paraId="5C4DB56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6FED21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241</w:t>
            </w:r>
          </w:p>
        </w:tc>
        <w:tc>
          <w:tcPr>
            <w:tcW w:w="970" w:type="dxa"/>
            <w:tcBorders>
              <w:top w:val="nil"/>
              <w:left w:val="nil"/>
              <w:bottom w:val="single" w:sz="4" w:space="0" w:color="auto"/>
              <w:right w:val="nil"/>
            </w:tcBorders>
          </w:tcPr>
          <w:p w14:paraId="28CFE85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4B11663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8A20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F151D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Niedostateczne uwzględnienie w projektach II aPGW Krajowego Programu Renaturyzacji Wód uniemożliwiające osiągnięcie dobrego stanu Jednolitych Części Wód Powierzchniowych rzecznych do roku 2027.</w:t>
            </w:r>
          </w:p>
        </w:tc>
        <w:tc>
          <w:tcPr>
            <w:tcW w:w="2733" w:type="dxa"/>
            <w:tcBorders>
              <w:top w:val="nil"/>
              <w:left w:val="nil"/>
              <w:bottom w:val="single" w:sz="4" w:space="0" w:color="auto"/>
              <w:right w:val="single" w:sz="4" w:space="0" w:color="auto"/>
            </w:tcBorders>
            <w:shd w:val="clear" w:color="auto" w:fill="auto"/>
            <w:hideMark/>
          </w:tcPr>
          <w:p w14:paraId="781FC3DE" w14:textId="145823C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ostatecznej wersji projektów II aPGW działania przewidziane w Krajowym Programie Renaturyzacji Wód Powierzchniowych (KPRWP) powinny być w pełni wdrożone. Ponadto, dla zapewnienia osiągnięcia celów środowiskowych RDW do roku 2027, należy przenalizować potrzebę uwzględnienia w II aPGW dodatkowych działań renaturyzacyjnych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o bezpośrednim, pozytywnym wpływie na stan wód, nakierowanych na skompensowanie nowych presji będących wynikiem realizacji planowanych inwestycji i przedsięwzięć hydrotechnicznych. II aPGW powinien przekonująco wykazać, że zostały zaplanowane wszystkie działania renaturyzacyjne umożliwiające osiągnięcie w roku 2027 celów środowiskowych RDW, albo co najmniej inicjujące procesy niezbędne dla osiągnięcia dobrego stanu wód po roku 2027 w sytuacjach, w których można się spodziewać opóźnionej reakcji silnie przekształconych ekosystemów wodnych na działania renaturyzacyjne. Należy podkreślić, że za barierę w pełnym drożeniu KPRWP w II aPGW nie można uznać kosztów renaturyzacji rzek, ocenionych w KPRWP na łącznie ok 1 mln EURO. Koszt ten, obejmujące podstawowe działania renaturyzacyjne dla obszaru całego kraju, jest bowiem porównywalny z kosztem realizacji pojedynczej inwestycji hydrotechnicznej, np. stopnia wodnego na Wiśle.</w:t>
            </w:r>
            <w:r w:rsidRPr="0028666F">
              <w:rPr>
                <w:rFonts w:ascii="Calibri" w:eastAsia="Times New Roman" w:hAnsi="Calibri" w:cs="Calibri"/>
                <w:color w:val="000000"/>
                <w:sz w:val="18"/>
                <w:szCs w:val="18"/>
                <w:lang w:eastAsia="pl-PL"/>
              </w:rPr>
              <w:br/>
              <w:t xml:space="preserve">Społecznym wkładem w rozwiązanie problemu niepełnego wdrożenia KPRWP w II aPGW jest wykonane z inicjatywy WWF opracowanie „Ocena stopnia uwzględnienia Krajowego Programu Renaturyzacji Wód Powierzchniowych w projektach drugiej aktualizacji Planów Gospodarowania Wodami …”, w którym  dla każdej z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zestawiono zapisy z II aPGW w porównaniu z zapisami KPRWP oraz z informacjami o nowych presjach (o inwestycjach i innych przedsięwzięciach wymienionych w zał. 6 do IIaPGW oraz w aktualizacji Planów Zarządzania Ryzykiem Powodziowym i w Planie Przeciwdziałania Skutkom Suszy).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rzecznej sformułowano rekomendacje odnośnie do zmian, jakie powinny być wprowadzone do II aPGW, aby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terminowo osiągnąć stan hydromorfologiczny niezbędny dla osiągnięcia dobrego stanu wód wymaganego przez RDW.  </w:t>
            </w:r>
          </w:p>
        </w:tc>
        <w:tc>
          <w:tcPr>
            <w:tcW w:w="3009" w:type="dxa"/>
            <w:tcBorders>
              <w:top w:val="nil"/>
              <w:left w:val="nil"/>
              <w:bottom w:val="single" w:sz="4" w:space="0" w:color="auto"/>
              <w:right w:val="single" w:sz="4" w:space="0" w:color="auto"/>
            </w:tcBorders>
            <w:shd w:val="clear" w:color="auto" w:fill="auto"/>
            <w:hideMark/>
          </w:tcPr>
          <w:p w14:paraId="75AA15EE" w14:textId="272DA49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Presja hydromorfologiczna jest uznawana w projekcie II aPGW za jeden z najważniejszych czynników odpowiedzialnych za stan / potencjał wód powierzchniowych oceniany obecnie na poniżej stanu dobrego. Dotyczy to zwłaszcza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 związku ze znaczeniem tej presji dla osiągnięcia celów RDW, na zlecenie PGW Wody Polskie został opracowany Krajowy Program Renaturyzacji Wód Powierzchniowych (KPRWP).  Na podstawie analiz przeprowadzonych w ramach KPRWP obejmujących 3116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91% z nich zaklasyfikowano do obszarów wymagających renaturyzacji (OWR), przy czym stwierdzono, że znacząca presja hydromorfologiczna występuje w 82 %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 związku z tym, niezbędnym i kluczowym celem projektowanych II aPGW powinno być zapewnienie tym częściom wód adekwatnych działań renaturyzacyjnych. Zakres działań renaturyzacyjnych redukujących lub usuwających obecne przekształcenia hydromorfologiczne powinien zostać opracowany w sposób, który umożliwi do roku 2027 osiągnięcie wyznaczonych dla nich celów środowiskowych. Zagadnie to zostało szczegółowo przeanalizowane w raporcie pt. „Ocena stopnia uwzględnienia Krajowego Programu Renaturyzacji Wód Powierzchniowych w projektach drugiej aktualizacji Planów Gospodarowania Wodami (II aPGW) wraz z rekomendacjami do II aPGW”, wykonanym z inicjatywy Fundacji WWF Polska. Wnioski z przeprowadzonych w ramach tego opracowania analiz wskazują, iż:</w:t>
            </w:r>
            <w:r w:rsidRPr="0028666F">
              <w:rPr>
                <w:rFonts w:ascii="Calibri" w:eastAsia="Times New Roman" w:hAnsi="Calibri" w:cs="Calibri"/>
                <w:color w:val="000000"/>
                <w:sz w:val="18"/>
                <w:szCs w:val="18"/>
                <w:lang w:eastAsia="pl-PL"/>
              </w:rPr>
              <w:br/>
              <w:t xml:space="preserve">KPRWP nie został w pełni wdrożony do projektu II aPGW.  Częściowe wdrożenie działań wskazanych w KPRWP zaplanowano w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dla pozostałych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nie zaplanowano działań renaturyzacyjnych, co oznacza brak wdrożenia zapisów KPRWP. Dane dla poszczególnych obszarów dorzeczy przedstawia tab. 1</w:t>
            </w:r>
            <w:r w:rsidRPr="0028666F">
              <w:rPr>
                <w:rFonts w:ascii="Calibri" w:eastAsia="Times New Roman" w:hAnsi="Calibri" w:cs="Calibri"/>
                <w:color w:val="000000"/>
                <w:sz w:val="18"/>
                <w:szCs w:val="18"/>
                <w:lang w:eastAsia="pl-PL"/>
              </w:rPr>
              <w:br/>
              <w:t>Przyjęte w projekcie aPGW założenie, że działania potrzebne do osiągniecia celów środowiskowych miałyby być wykonane dopiero w przyszłym okresie planistycznym, tj. po 2027 r., może być traktowane jako świadome naruszanie RDW.</w:t>
            </w:r>
            <w:r w:rsidRPr="0028666F">
              <w:rPr>
                <w:rFonts w:ascii="Calibri" w:eastAsia="Times New Roman" w:hAnsi="Calibri" w:cs="Calibri"/>
                <w:color w:val="000000"/>
                <w:sz w:val="18"/>
                <w:szCs w:val="18"/>
                <w:lang w:eastAsia="pl-PL"/>
              </w:rPr>
              <w:br/>
              <w:t>W przypadku zaplanowanych w projektach aktualizacji Planów Zarządzania Ryzykiem Powodziowym (aPZRP), Planie przeciwdziałania skutkom suszy (PPSS) i w projektach II aPGW inwestycji i innych przedsięwzięć hydrotechnicznych skutkujących nowymi presjami hydromorfologicznymi, zestaw zaproponowanych działań renaturyzacyjnych w KPRWP będzie niewystarczający, gdyż KPRWP odnosił się wyłącznie do już istniejących presji. Planowane inwestycje hydrotechniczne i inne przedsięwzięcia hydrotechniczne wynikające głównie z zapisów PZRP i ich aktualizacji, PPSS czy planów rozwoju żeglugi śródlądowej to z dużym prawdopodobieństwem presje, których skutek musi zostać zalegalizowany w trybie derogacji art. 4(7) RDW. Derogacja ta wymaga, by „zostały podjęte wszystkie praktyczne kroki, aby ograniczyć niekorzystny wpływ na stan części wód” co oznacza, że wdrożona być musi kompensacja presji dotychczasowych oraz dodatkowe środki ograniczające nową presję.</w:t>
            </w:r>
            <w:r w:rsidRPr="0028666F">
              <w:rPr>
                <w:rFonts w:ascii="Calibri" w:eastAsia="Times New Roman" w:hAnsi="Calibri" w:cs="Calibri"/>
                <w:color w:val="000000"/>
                <w:sz w:val="18"/>
                <w:szCs w:val="18"/>
                <w:lang w:eastAsia="pl-PL"/>
              </w:rPr>
              <w:br/>
              <w:t xml:space="preserve">Na bazie wyników przeprowadzonych analiz wskazuje się konieczność kompleksowych korekt II aPGW przed ich publikacją. Konkluzja ta dotyczy również działań, które wprost odnoszą się do realizacji programu renaturyzacji dla Obszarów Priorytetowych (OP). Działania te bowiem ograniczono wyłącznie do wybranych odcinków cieków objętych badaniami pilotażowymi i nie obejmują one wdrożenia wszystkich działań zdefiniowanych w KPRWP, które służą osiągnięciu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 których OP zostały wyznaczone.</w:t>
            </w:r>
            <w:r w:rsidRPr="0028666F">
              <w:rPr>
                <w:rFonts w:ascii="Calibri" w:eastAsia="Times New Roman" w:hAnsi="Calibri" w:cs="Calibri"/>
                <w:color w:val="000000"/>
                <w:sz w:val="18"/>
                <w:szCs w:val="18"/>
                <w:lang w:eastAsia="pl-PL"/>
              </w:rPr>
              <w:br/>
              <w:t xml:space="preserve">Niezbędnym działaniem wspierającym wdrażanie działań renaturyzacyjnych powinno być pełne uwzględnienie zaleceń wypracowanych w „Katalogu dobrych praktyk prac utrzymaniowych i robót hydrotechnicznych” (KDP), w którym między innymi wskazuje się na konieczność rozszerzenia definicji prac utrzymaniowych o działania dodatkowe. Stosowanie zmodyfikowanych prac utrzymaniowych wymaga zmian przepisów ustawowych, które również powinny być zadeklarowane w II aPGW. W przypadku ograniczenia się wyłącznie do prowadzenia prac utrzymaniowych zgodnie z „KDP spowoduje jedynie minimalizację negatywnych oddziaływań w zakresie obecnego utrzymania wód, a nie będzie skutecznie sprzyjać poprawie ich stanu w zakresie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rzecznych. Zmiana Prawa wodnego w tym zakresie będzie skutecznie sprzyjać poprawie stanu wód w zakresie osiągnięcia celów środowiskowych. Propozycje te powinny znaleźć miejsce w działaniach krajowych II aPGW.</w:t>
            </w:r>
            <w:r w:rsidRPr="0028666F">
              <w:rPr>
                <w:rFonts w:ascii="Calibri" w:eastAsia="Times New Roman" w:hAnsi="Calibri" w:cs="Calibri"/>
                <w:color w:val="000000"/>
                <w:sz w:val="18"/>
                <w:szCs w:val="18"/>
                <w:lang w:eastAsia="pl-PL"/>
              </w:rPr>
              <w:br/>
              <w:t>Oprócz zmian ustawowych administratorzy wód na wszystkich szczeblach Państwowego Gospodarstwa Wodne Wody Polskie (PGW WP), którzy są adresatami działań renaturyzacyjnych, powinni być gruntownie przeszkoleni w tym zakresie. Prace o charakterze renaturyzacyjnym i odtworzeniowym nie są obecnie powszechne i popularne w Polsce i muszą być wspierane instrumentalnie. Wskazane byłoby również wzmocnienie kadrowe PGW WP w zakresie umożliwiającym sprawną realizację działań renaturyzacyjnych. Działania wzmacniające PGW WP w zakresie edukacyjnym, szkoleniowym i kadrowym powinny zostać odzwierciedlone w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Tabela 1. Ocena stopnia wdrożenia Krajowego programu Renaturyzacji Wód Powierzchniowych w projektach II aPGW w poszczególnych dorzeczach. Opracowanie na podstawie danych z raportu „Ocena stopnia uwzględnienia Krajowego Programu Renaturyzacji Wód Powierzchniowych w projektach drugiej aktualizacji Planów Gospodarowania Wodami (II aPGW) wraz z rekomendacjami do II aPGW”, wykonanym z inicjatywy Fundacji WWF Polska.</w:t>
            </w:r>
            <w:r w:rsidRPr="0028666F">
              <w:rPr>
                <w:rFonts w:ascii="Calibri" w:eastAsia="Times New Roman" w:hAnsi="Calibri" w:cs="Calibri"/>
                <w:color w:val="000000"/>
                <w:sz w:val="18"/>
                <w:szCs w:val="18"/>
                <w:lang w:eastAsia="pl-PL"/>
              </w:rPr>
              <w:br/>
              <w:t xml:space="preserve">Dorzecze Liczba Obszarów Wymagających Renaturyzacji (OWR) zidentyfikowanych w Krajowym Planie Renaturyzacji Wód Powierzchniowych (KPRW) "Pełne wdrożenie KPRWP w drugiej aktualizacji Planów Gospodarowania Wodami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 xml:space="preserve">w Dorzeczach (II aPGW) - liczba OWR" "Częściowe wdrożenie KPRWP </w:t>
            </w:r>
            <w:r w:rsidRPr="0028666F">
              <w:rPr>
                <w:rFonts w:ascii="Tahoma" w:eastAsia="Times New Roman" w:hAnsi="Tahoma" w:cs="Tahoma"/>
                <w:color w:val="000000"/>
                <w:sz w:val="18"/>
                <w:szCs w:val="18"/>
                <w:lang w:eastAsia="pl-PL"/>
              </w:rPr>
              <w:t> </w:t>
            </w:r>
            <w:r w:rsidRPr="0028666F">
              <w:rPr>
                <w:rFonts w:ascii="Calibri" w:eastAsia="Times New Roman" w:hAnsi="Calibri" w:cs="Calibri"/>
                <w:color w:val="000000"/>
                <w:sz w:val="18"/>
                <w:szCs w:val="18"/>
                <w:lang w:eastAsia="pl-PL"/>
              </w:rPr>
              <w:t>w II aPGW - liczba OWR" Częściowe wdrożenie KPRWP w II aPGW - % liczby OWR zidentyfikowanych w KPRWP</w:t>
            </w:r>
            <w:r w:rsidRPr="0028666F">
              <w:rPr>
                <w:rFonts w:ascii="Calibri" w:eastAsia="Times New Roman" w:hAnsi="Calibri" w:cs="Calibri"/>
                <w:color w:val="000000"/>
                <w:sz w:val="18"/>
                <w:szCs w:val="18"/>
                <w:lang w:eastAsia="pl-PL"/>
              </w:rPr>
              <w:br/>
              <w:t>Banówka 1 0 0 0%</w:t>
            </w:r>
            <w:r w:rsidRPr="0028666F">
              <w:rPr>
                <w:rFonts w:ascii="Calibri" w:eastAsia="Times New Roman" w:hAnsi="Calibri" w:cs="Calibri"/>
                <w:color w:val="000000"/>
                <w:sz w:val="18"/>
                <w:szCs w:val="18"/>
                <w:lang w:eastAsia="pl-PL"/>
              </w:rPr>
              <w:br/>
              <w:t>Dniestr 2 0 1 50%</w:t>
            </w:r>
            <w:r w:rsidRPr="0028666F">
              <w:rPr>
                <w:rFonts w:ascii="Calibri" w:eastAsia="Times New Roman" w:hAnsi="Calibri" w:cs="Calibri"/>
                <w:color w:val="000000"/>
                <w:sz w:val="18"/>
                <w:szCs w:val="18"/>
                <w:lang w:eastAsia="pl-PL"/>
              </w:rPr>
              <w:br/>
              <w:t>Dunaj 4 0 2 50%</w:t>
            </w:r>
            <w:r w:rsidRPr="0028666F">
              <w:rPr>
                <w:rFonts w:ascii="Calibri" w:eastAsia="Times New Roman" w:hAnsi="Calibri" w:cs="Calibri"/>
                <w:color w:val="000000"/>
                <w:sz w:val="18"/>
                <w:szCs w:val="18"/>
                <w:lang w:eastAsia="pl-PL"/>
              </w:rPr>
              <w:br/>
              <w:t>Łaba 4 0 2 50%</w:t>
            </w:r>
            <w:r w:rsidRPr="0028666F">
              <w:rPr>
                <w:rFonts w:ascii="Calibri" w:eastAsia="Times New Roman" w:hAnsi="Calibri" w:cs="Calibri"/>
                <w:color w:val="000000"/>
                <w:sz w:val="18"/>
                <w:szCs w:val="18"/>
                <w:lang w:eastAsia="pl-PL"/>
              </w:rPr>
              <w:br/>
              <w:t>Niemen 20 0 9 45%</w:t>
            </w:r>
            <w:r w:rsidRPr="0028666F">
              <w:rPr>
                <w:rFonts w:ascii="Calibri" w:eastAsia="Times New Roman" w:hAnsi="Calibri" w:cs="Calibri"/>
                <w:color w:val="000000"/>
                <w:sz w:val="18"/>
                <w:szCs w:val="18"/>
                <w:lang w:eastAsia="pl-PL"/>
              </w:rPr>
              <w:br/>
              <w:t>Odra 1119 0 641 57%</w:t>
            </w:r>
            <w:r w:rsidRPr="0028666F">
              <w:rPr>
                <w:rFonts w:ascii="Calibri" w:eastAsia="Times New Roman" w:hAnsi="Calibri" w:cs="Calibri"/>
                <w:color w:val="000000"/>
                <w:sz w:val="18"/>
                <w:szCs w:val="18"/>
                <w:lang w:eastAsia="pl-PL"/>
              </w:rPr>
              <w:br/>
              <w:t>Pregoła 78 0 20 26%</w:t>
            </w:r>
            <w:r w:rsidRPr="0028666F">
              <w:rPr>
                <w:rFonts w:ascii="Calibri" w:eastAsia="Times New Roman" w:hAnsi="Calibri" w:cs="Calibri"/>
                <w:color w:val="000000"/>
                <w:sz w:val="18"/>
                <w:szCs w:val="18"/>
                <w:lang w:eastAsia="pl-PL"/>
              </w:rPr>
              <w:br/>
              <w:t>Świeża 3 0 0 0%</w:t>
            </w:r>
            <w:r w:rsidRPr="0028666F">
              <w:rPr>
                <w:rFonts w:ascii="Calibri" w:eastAsia="Times New Roman" w:hAnsi="Calibri" w:cs="Calibri"/>
                <w:color w:val="000000"/>
                <w:sz w:val="18"/>
                <w:szCs w:val="18"/>
                <w:lang w:eastAsia="pl-PL"/>
              </w:rPr>
              <w:br/>
              <w:t>Wisła 1601 0 941 59%</w:t>
            </w:r>
            <w:r w:rsidRPr="0028666F">
              <w:rPr>
                <w:rFonts w:ascii="Calibri" w:eastAsia="Times New Roman" w:hAnsi="Calibri" w:cs="Calibri"/>
                <w:color w:val="000000"/>
                <w:sz w:val="18"/>
                <w:szCs w:val="18"/>
                <w:lang w:eastAsia="pl-PL"/>
              </w:rPr>
              <w:br/>
              <w:t>RAZEM 2832 0 1616 57%</w:t>
            </w:r>
          </w:p>
        </w:tc>
        <w:tc>
          <w:tcPr>
            <w:tcW w:w="1720" w:type="dxa"/>
            <w:tcBorders>
              <w:top w:val="nil"/>
              <w:left w:val="nil"/>
              <w:bottom w:val="single" w:sz="4" w:space="0" w:color="auto"/>
              <w:right w:val="single" w:sz="4" w:space="0" w:color="auto"/>
            </w:tcBorders>
            <w:shd w:val="clear" w:color="000000" w:fill="FFFFFF"/>
            <w:hideMark/>
          </w:tcPr>
          <w:p w14:paraId="191836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50DFAF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306636B6" w14:textId="251C54C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12C30F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C35806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242</w:t>
            </w:r>
          </w:p>
        </w:tc>
        <w:tc>
          <w:tcPr>
            <w:tcW w:w="970" w:type="dxa"/>
            <w:tcBorders>
              <w:top w:val="nil"/>
              <w:left w:val="nil"/>
              <w:bottom w:val="single" w:sz="4" w:space="0" w:color="auto"/>
              <w:right w:val="nil"/>
            </w:tcBorders>
          </w:tcPr>
          <w:p w14:paraId="1B8C6BB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750CA24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0BA0E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CD0F18F" w14:textId="2285EC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76CFF3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22BAD1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w:t>
            </w:r>
            <w:r w:rsidRPr="0028666F">
              <w:rPr>
                <w:rFonts w:ascii="Calibri" w:eastAsia="Times New Roman" w:hAnsi="Calibri" w:cs="Calibri"/>
                <w:color w:val="000000"/>
                <w:sz w:val="18"/>
                <w:szCs w:val="18"/>
                <w:lang w:eastAsia="pl-PL"/>
              </w:rPr>
              <w:br w:type="page"/>
              <w:t>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740B9A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C42E9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E050C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183C30F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043E5F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243</w:t>
            </w:r>
          </w:p>
        </w:tc>
        <w:tc>
          <w:tcPr>
            <w:tcW w:w="970" w:type="dxa"/>
            <w:tcBorders>
              <w:top w:val="nil"/>
              <w:left w:val="nil"/>
              <w:bottom w:val="single" w:sz="4" w:space="0" w:color="auto"/>
              <w:right w:val="nil"/>
            </w:tcBorders>
          </w:tcPr>
          <w:p w14:paraId="27DA821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04BE414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1DB9A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0D2AD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Brak w projektach II aPGW możliwości oceny presji na stan wód powierzchniowych wywieranej przez planowane na lata 2022 – 2027 prace utrzymaniowe.</w:t>
            </w:r>
          </w:p>
        </w:tc>
        <w:tc>
          <w:tcPr>
            <w:tcW w:w="2733" w:type="dxa"/>
            <w:tcBorders>
              <w:top w:val="nil"/>
              <w:left w:val="nil"/>
              <w:bottom w:val="single" w:sz="4" w:space="0" w:color="auto"/>
              <w:right w:val="single" w:sz="4" w:space="0" w:color="auto"/>
            </w:tcBorders>
            <w:shd w:val="clear" w:color="auto" w:fill="auto"/>
            <w:hideMark/>
          </w:tcPr>
          <w:p w14:paraId="1D4834E3" w14:textId="6301B4B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Procedura wyłaniania wykonawców na aktualizację Planów Utrzymania Wód (PUW) powinna być jak najszybciej wznowiona przez PGW Wody Polskie. Kluczowe informacje dotyczące PUW, zwłaszcza odnośnie do wpływu planowanych w latach 2022 – 2027 prac utrzymaniowych na możliwość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oraz na pogłębianie problemu suszy rolniczej, powinny być włączone do ostatecznej wersji II aPGW. Prace nad opracowanie PUW powinny być zsynchronizowane z inicjatywa ustawodawczą dotyczącą zmian przepisów Prawa wodnego w odniesieniu do prac utrzymaniowych (patrzy też uzasadnienie uwagi poniżej).</w:t>
            </w:r>
          </w:p>
        </w:tc>
        <w:tc>
          <w:tcPr>
            <w:tcW w:w="3009" w:type="dxa"/>
            <w:tcBorders>
              <w:top w:val="nil"/>
              <w:left w:val="nil"/>
              <w:bottom w:val="single" w:sz="4" w:space="0" w:color="auto"/>
              <w:right w:val="single" w:sz="4" w:space="0" w:color="auto"/>
            </w:tcBorders>
            <w:shd w:val="clear" w:color="auto" w:fill="auto"/>
            <w:hideMark/>
          </w:tcPr>
          <w:p w14:paraId="7621AB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Prace utrzymaniowe prowadzone na ciekach, ze względu na swoją masową skalę (co najmniej 37 tys. km bieżących cieków objętych pracami utrzymaniowymi tylko w latach 2010 – 2017) i negatywny wpływ tych prac na ekosystemy wodne, stanowią presję o potencjalnie znaczącym wpływie na możliwość terminowego osiągnięcia celów środowiskowych RDW w naszym kraju. Dla pełnej oceny skali oddziaływania prac utrzymaniowych na ekosystemy wodne konieczne jest wykonanie aktualizacji Planów Utrzymania Wód (PUW) dla poszczególnych regionalnych zarządów gospodarki wodnej oraz poddanie tych planów strategicznej ocenie oddziaływania na środowisko. Pierwsze PUW zostały wykonane w roku 2016. Niestety dotychczas nie zostały zaktualizowane (procedura wyłaniania wykonawców na aktualizację PUW rozpoczęta w tym roku przez PGW Wody Polskie została przerwana). W związku z powyższym, w projektach II aPGW kwestia prac utrzymaniowych została potraktowana marginalnie. W szczególności brak jest możliwości oceny presji na stan wód powierzchniowych wywieranej przez planowane na lata 2022 – 2027 prace utrzymaniowe i oceny skumulowanych presji (prac utrzymaniowych i planowanych inwestycji hydrotechnicznych).</w:t>
            </w:r>
          </w:p>
        </w:tc>
        <w:tc>
          <w:tcPr>
            <w:tcW w:w="1720" w:type="dxa"/>
            <w:tcBorders>
              <w:top w:val="nil"/>
              <w:left w:val="nil"/>
              <w:bottom w:val="single" w:sz="4" w:space="0" w:color="auto"/>
              <w:right w:val="single" w:sz="4" w:space="0" w:color="auto"/>
            </w:tcBorders>
            <w:shd w:val="clear" w:color="000000" w:fill="FFFFFF"/>
            <w:hideMark/>
          </w:tcPr>
          <w:p w14:paraId="04CC82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34BE04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8CE2A5D" w14:textId="5793CB8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nie dotyczy bezpośrednio konsultowanego dokumentu a odnosi się do formalnych procedur przygotowywania i realizacji przez PGWWP prac w zakresie prac utrzymaniowych.</w:t>
            </w:r>
            <w:r w:rsidRPr="0028666F">
              <w:rPr>
                <w:rFonts w:ascii="Calibri" w:eastAsia="Times New Roman" w:hAnsi="Calibri" w:cs="Calibri"/>
                <w:color w:val="000000"/>
                <w:sz w:val="18"/>
                <w:szCs w:val="18"/>
                <w:lang w:eastAsia="pl-PL"/>
              </w:rPr>
              <w:br/>
              <w:t>Niemniej jednak odnosząc się do wskazanego w treści uwagi marginalnego uwzględnienia prac utrzymaniowych w IIaPGW, należy zwrócić uwagę, iż zagadnienie prac utrzymaniowych oraz prezentacja sposobu ich prowadzenia stanowi element IIaPGW zgodnie z wymaganym dla IIaPGW zakresem.</w:t>
            </w:r>
            <w:r w:rsidRPr="0028666F">
              <w:rPr>
                <w:rFonts w:ascii="Calibri" w:eastAsia="Times New Roman" w:hAnsi="Calibri" w:cs="Calibri"/>
                <w:color w:val="000000"/>
                <w:sz w:val="18"/>
                <w:szCs w:val="18"/>
                <w:lang w:eastAsia="pl-PL"/>
              </w:rPr>
              <w:br/>
              <w:t>Prace utrzymaniowe uwzględnione zostały w ramach IIaPGW na wielu płaszczyznach w tym m.in. na etapie realizacji pracy Analiza znaczących oddziaływań antropogenicznych wraz z oceną ich wpływu na stan wód oraz ryzykiem nieosiągnięcia celów środowiskowych, gdzie prace utrzymaniowe stanowiły dodatkowy element korygujący ostateczne wyniki ocen.</w:t>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r w:rsidRPr="0028666F">
              <w:rPr>
                <w:rFonts w:ascii="Calibri" w:eastAsia="Times New Roman" w:hAnsi="Calibri" w:cs="Calibri"/>
                <w:color w:val="000000"/>
                <w:sz w:val="18"/>
                <w:szCs w:val="18"/>
                <w:lang w:eastAsia="pl-PL"/>
              </w:rPr>
              <w:br/>
              <w:t>Analiza PUW na potrzeby opracowania IIaPGW stanowiła również element wypracowywania działań IIaPGW. W katalogu działań krajowych w zakresie prac utrzymaniowych przewidziane zostały:</w:t>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t xml:space="preserve">– Prowadzenie prac utrzymaniowych zgodnie z Katalogiem dobrych praktyk prac utrzymaniowych i robót hydrotechnicznych. Działanie krajowe „Prowadzenie prac utrzymaniowych zgodnie z Katalogiem dobrych praktyk prac utrzymaniowych i robót hydrotechnicznych” jest działaniem obligatoryjnym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jego celem jest ograniczenie potencjalnych negatywnych oddziaływań prac utrzymaniowych na stan hydromorfologiczny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siedliska oraz przedmioty ochrony; dodatkowo na poziomie zlewni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presje znaczące prac utrzymaniowych powodujące ryzyko dla celów środowiskowych, w tym obszarów chronionych wskazano działanie polegające na rozpoznaniu możliwości wprowadzenia modyfikacji zgodnie z KPRWP związanych z pracami utrzymaniowymi, w przypadku stwierdzenia takiej potrzeby i zasadności wpisanie ich do PZO/PO/ZO, określając jednocześnie sposób ich prowadzenia.</w:t>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p>
        </w:tc>
      </w:tr>
      <w:tr w:rsidR="007C2B40" w:rsidRPr="0028666F" w14:paraId="71A5D9E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82E4A7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244</w:t>
            </w:r>
          </w:p>
        </w:tc>
        <w:tc>
          <w:tcPr>
            <w:tcW w:w="970" w:type="dxa"/>
            <w:tcBorders>
              <w:top w:val="nil"/>
              <w:left w:val="nil"/>
              <w:bottom w:val="single" w:sz="4" w:space="0" w:color="auto"/>
              <w:right w:val="nil"/>
            </w:tcBorders>
          </w:tcPr>
          <w:p w14:paraId="02EBAAE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2608E49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3672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9CB4D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Pominięcie w projektach II aPGW kwestii potrzeby zmiany ustawy Prawo wodne w zakresie prac utrzymaniowych</w:t>
            </w:r>
          </w:p>
        </w:tc>
        <w:tc>
          <w:tcPr>
            <w:tcW w:w="2733" w:type="dxa"/>
            <w:tcBorders>
              <w:top w:val="nil"/>
              <w:left w:val="nil"/>
              <w:bottom w:val="single" w:sz="4" w:space="0" w:color="auto"/>
              <w:right w:val="single" w:sz="4" w:space="0" w:color="auto"/>
            </w:tcBorders>
            <w:shd w:val="clear" w:color="auto" w:fill="auto"/>
            <w:hideMark/>
          </w:tcPr>
          <w:p w14:paraId="1778B2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ostatecznej wersji projektów II aPGW powinien znaleźć się postulat zmiany ustawy Prawo wodne w odniesieniu do prac utrzymaniowych, stosowanie do zaleceń opracowanych w ramach KPRWP.</w:t>
            </w:r>
            <w:r w:rsidRPr="0028666F">
              <w:rPr>
                <w:rFonts w:ascii="Calibri" w:eastAsia="Times New Roman" w:hAnsi="Calibri" w:cs="Calibri"/>
                <w:color w:val="000000"/>
                <w:sz w:val="18"/>
                <w:szCs w:val="18"/>
                <w:lang w:eastAsia="pl-PL"/>
              </w:rPr>
              <w:br/>
              <w:t>Społecznym wkładem w rozwiązanie problemu mankamentów Prawa wodnego jest powstałe z inicjatywy WWF opracowanie pt. „Propozycje zmian do ustawy z dn. 20 lipca 2017 r. Prawo wodne dotyczące przyrodniczych i ekonomicznych aspektów gospodarowania wodami płynącymi. Stan prawny: 09.12.2020 r.” oraz wyciąg z tego opracowania pt. „Przepisy ustawy Prawo wodne skutkujące pogłębieniem problemu suszy i powodzi”.</w:t>
            </w:r>
          </w:p>
        </w:tc>
        <w:tc>
          <w:tcPr>
            <w:tcW w:w="3009" w:type="dxa"/>
            <w:tcBorders>
              <w:top w:val="nil"/>
              <w:left w:val="nil"/>
              <w:bottom w:val="single" w:sz="4" w:space="0" w:color="auto"/>
              <w:right w:val="single" w:sz="4" w:space="0" w:color="auto"/>
            </w:tcBorders>
            <w:shd w:val="clear" w:color="auto" w:fill="auto"/>
            <w:hideMark/>
          </w:tcPr>
          <w:p w14:paraId="0C77A1D4" w14:textId="0BE765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projektach II aPGW silnie akcentowana jest konieczność powszechnego wprowadzenia dobrych praktyk utrzymania wód, ze względu na generalnie negatywny wpływ prac utrzymaniowych na stan hydromorfologiczny wód oraz na gatunki i ekosystemy wodne, w tym siedliska i gatunki objęte ochroną prawną oraz gatunki ryb o znaczeniu ekonomicznym. Jednakże współczesna wiedza o zakresie wpływu prac utrzymaniowych na wody śródlądowe, wsparta analizami wykonanymi w ramach Krajowego Programu Renaturyzacji Wód Powierzchniowych, wskazuje, że dobre praktyki utrzymania wód są niewystarczające dla osiągnięcia dobrego stanu wód, zwłaszcza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Niezbędna jest zmiana ustawy Prawo wodne w odniesieniu do prac utrzymaniowych. W szczególności w ustawie tej (art. 227) należy poszerzyć katalog prac utrzymaniowych o działania nakierowane na zapewnienie dobrego stanu ekologicznego i chemicznego wód oraz należy wprowadzić pojęcie tzw. utrzymania biernego, polegającego na umożliwieniu zachodzenia naturalnych procesów kształtujących koryta cieków i roślinność nadbrzeżną.</w:t>
            </w:r>
            <w:r w:rsidRPr="0028666F">
              <w:rPr>
                <w:rFonts w:ascii="Calibri" w:eastAsia="Times New Roman" w:hAnsi="Calibri" w:cs="Calibri"/>
                <w:color w:val="000000"/>
                <w:sz w:val="18"/>
                <w:szCs w:val="18"/>
                <w:lang w:eastAsia="pl-PL"/>
              </w:rPr>
              <w:br/>
              <w:t xml:space="preserve">W art. 328 ust. 1-2 ustawy Prawo wodne powinien znaleźć się zapis o obowiązku monitorowania przez Ministra właściwego do spraw gospodarki wodnej działań zawartych w planach utrzymania wód oraz obowiązku monitorowania działań polegających na umacnianiu brzegów morskich. Obecnie, wobec braku obowiązku szczegółowego raportowania do Ministra właściwego do spraw gospodarki wodnej </w:t>
            </w:r>
            <w:r w:rsidRPr="0028666F">
              <w:rPr>
                <w:rFonts w:ascii="Calibri" w:eastAsia="Times New Roman" w:hAnsi="Calibri" w:cs="Calibri"/>
                <w:color w:val="000000"/>
                <w:sz w:val="18"/>
                <w:szCs w:val="18"/>
                <w:lang w:eastAsia="pl-PL"/>
              </w:rPr>
              <w:br/>
              <w:t>o przeprowadzonych na ciekach pracach utrzymaniowych, brak jest możliwości rzetelnej oceny oddziaływania na środowisko zrealizowanych prac utrzymaniowych oraz oceny racjonalności ekonomicznej wykonanych prac. Z powodu braku obowiązku monitorowania prac utrzymaniowych również dokumenty strategiczne, takie jak Plany Zarządzania Ryzykiem Powodziowym oraz Plan przeciwdziałania skutkom suszy, pozbawione są precyzyjnej informacji o jednej z najważniejszych grup działań realizowanych przez właścicieli wód o potencjalnie bardzo poważnych skutkach dla zwiększenia ryzyka powodzi i suszy. Ze względu na skalę, na jaką są prowadzone prace utrzymaniowe na ciekach skutkujące przyspieszeniem odpływu wód ze zlewni małych rzek i potoków w krajobrazie rolniczym i rolniczo-leśnym, mogą one istotnie zwiększać ryzyko wystąpienia powodzi i suszy. Nie zatrzymane w zlewni i w małych ciekach wody opadowe często powiększają ryzyko powodziowe poniżej, na ciekach głównych, nad którymi koncentruje się cenna infrastruktura. Prace utrzymaniowe przyspieszające odpływ wód z małych zlewni zwiększają ryzyko wystąpienia suszy rolniczej i potęgują jej negatywne skutki, gdyż ograniczają naturalną retencję koryt i dolin rzecznych. Negatywnie wpływają również na proces odnawiania się zasobów wód podziemnych.</w:t>
            </w:r>
          </w:p>
        </w:tc>
        <w:tc>
          <w:tcPr>
            <w:tcW w:w="1720" w:type="dxa"/>
            <w:tcBorders>
              <w:top w:val="nil"/>
              <w:left w:val="nil"/>
              <w:bottom w:val="single" w:sz="4" w:space="0" w:color="auto"/>
              <w:right w:val="single" w:sz="4" w:space="0" w:color="auto"/>
            </w:tcBorders>
            <w:shd w:val="clear" w:color="000000" w:fill="FFFFFF"/>
            <w:hideMark/>
          </w:tcPr>
          <w:p w14:paraId="6487F6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4F09F2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BAE1D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p>
        </w:tc>
      </w:tr>
      <w:tr w:rsidR="007C2B40" w:rsidRPr="0028666F" w14:paraId="2172486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A533B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245</w:t>
            </w:r>
          </w:p>
        </w:tc>
        <w:tc>
          <w:tcPr>
            <w:tcW w:w="970" w:type="dxa"/>
            <w:tcBorders>
              <w:top w:val="nil"/>
              <w:left w:val="nil"/>
              <w:bottom w:val="single" w:sz="4" w:space="0" w:color="auto"/>
              <w:right w:val="nil"/>
            </w:tcBorders>
          </w:tcPr>
          <w:p w14:paraId="16BE6B6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222BC39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FB28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54FD2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Uwaga ogólna, dotyczy całości dokumentu II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kontekście poważnego zagrożenia dla terminowego osiągnięcia celów Ramowej Dyrektywy Wodnej w naszym kraju, konieczność weryfikacji listy planowanych inwestycji w II aPGW, aPZPR, PPSS oraz inwestycji związanych z żeglugą śródlądową skutkujących nowymi presjami, po kątem zasadności ich realizacji oraz trafności wyboru wariantu realizacji przedsięwzięcia.</w:t>
            </w:r>
          </w:p>
        </w:tc>
        <w:tc>
          <w:tcPr>
            <w:tcW w:w="2733" w:type="dxa"/>
            <w:tcBorders>
              <w:top w:val="nil"/>
              <w:left w:val="nil"/>
              <w:bottom w:val="single" w:sz="4" w:space="0" w:color="auto"/>
              <w:right w:val="single" w:sz="4" w:space="0" w:color="auto"/>
            </w:tcBorders>
            <w:shd w:val="clear" w:color="auto" w:fill="auto"/>
            <w:hideMark/>
          </w:tcPr>
          <w:p w14:paraId="724505A8" w14:textId="0E09F5F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 uwagi na bardzo poważne zagrożenie dla terminowego osiągnięcia środowiskowych celów RDW w naszym kraju, zwłaszcza w odniesieniu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lista wszystkich planowanych inwestycji hydrotechnicznych powinna być poddana ponownej weryfikacji pod kątem zasadności ich realizacji oraz trafności wyboru wariantu realizacji inwestycji. Aby w latach 2022 - 2027 osiągnąć zmniejszenie nowych presji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rzeczne, z listy inwestycji powinny być usunięte te, które nie mają przekonująco udowodnionej zasadności ich realizacji. W przypadku inwestycji niezbicie zasadnych ponownie powinna być przeprowadzona analiza wariantów realizacji celu inwestycji, pod kątem możliwości wyboru bardziej korzystnego środowiskowo wariantu realizacji celu inwestycji niż wariant obecnie zaplanowany.</w:t>
            </w:r>
          </w:p>
        </w:tc>
        <w:tc>
          <w:tcPr>
            <w:tcW w:w="3009" w:type="dxa"/>
            <w:tcBorders>
              <w:top w:val="nil"/>
              <w:left w:val="nil"/>
              <w:bottom w:val="single" w:sz="4" w:space="0" w:color="auto"/>
              <w:right w:val="single" w:sz="4" w:space="0" w:color="auto"/>
            </w:tcBorders>
            <w:shd w:val="clear" w:color="auto" w:fill="auto"/>
            <w:hideMark/>
          </w:tcPr>
          <w:p w14:paraId="5CF6E4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Praktyka 17 lat wdrażania RDW w naszym kraju wskazuje, że wiele już zrealizowanych i planowanych inwestycji i innych przedsięwzięć hydrotechnicznych budzi poważne zastrzeżenia odnośnie do zasadności ich realizacji i wyboru wariantu realizacji przedsięwzięcia. W efekcie w latach 2010 – 2021 hydromorfologia rzek była degradowana kilkadziesiąt do kilkuset razy szybciej niż renaturyzowana Rejestr zrealizowanych w naszym kraju po roku 2004 przedsięwzięć renaturyzacyjnych zestawiony w opracowanych przez PGW Wody Polskie „Podręczniku dobrych praktyk renaturyzacji wód powierzchniowych” zawiera zaledwie 16 pozycji. W tym samym czasie ok. 38 tys. km bieżących cieków zostało objętych przedsięwzięciami hydrotechnicznymi (regulacjami i utrzymaniem wód) o silnym negatywnych wpływie na hydromorfologię. Podobne zastrzeżenia co do zasadności realizacji i wyboru wariantu osiągnięcia celu przedsięwzięcia budzi między innymi szereg inwestycji planowanych pod nośnymi społecznie hasłami takimi jak zapobieganie suszy czy powodzi. Jako przykład mogą służyć inwestycje zaplanowane w aPZRP, które zlokalizowane są poza tzw. obszarami problemowymi i które nie były objęte analizami hydraulicznymi wykazującymi skuteczność tych inwestycji w zarządzaniu ryzykiem powodziowym.</w:t>
            </w:r>
          </w:p>
        </w:tc>
        <w:tc>
          <w:tcPr>
            <w:tcW w:w="1720" w:type="dxa"/>
            <w:tcBorders>
              <w:top w:val="nil"/>
              <w:left w:val="nil"/>
              <w:bottom w:val="single" w:sz="4" w:space="0" w:color="auto"/>
              <w:right w:val="single" w:sz="4" w:space="0" w:color="auto"/>
            </w:tcBorders>
            <w:shd w:val="clear" w:color="000000" w:fill="FFFFFF"/>
            <w:hideMark/>
          </w:tcPr>
          <w:p w14:paraId="06B2C1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12B6B3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5FEF7BA" w14:textId="6AA3757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będąc działaniami negatywnie wpływającymi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IIaPGW odnosi się do przedsięwzięć negatywnie oddziałujących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7C2B40" w:rsidRPr="0028666F" w14:paraId="0358AC7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515DB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246</w:t>
            </w:r>
          </w:p>
        </w:tc>
        <w:tc>
          <w:tcPr>
            <w:tcW w:w="970" w:type="dxa"/>
            <w:tcBorders>
              <w:top w:val="nil"/>
              <w:left w:val="nil"/>
              <w:bottom w:val="single" w:sz="4" w:space="0" w:color="auto"/>
              <w:right w:val="nil"/>
            </w:tcBorders>
          </w:tcPr>
          <w:p w14:paraId="2485AA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36EAA2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26DC1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7B16C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Rozdział 8, zał. 8</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Weryfikacja zastosowania derogacji z art. 4.4 RDW oraz 4.5 RDW, zgodnie z treścią uzasadnienia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C8E1B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Zgodne z treścią uzasadnienia propozycji zmian.</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2CE9F28" w14:textId="0C47B3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dokumencie wskazano derogacje z art. 4.4 RDW oraz 4.5 RDW dla 80%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Derogację z art. 4.4 przypisano do 71%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 dorzeczu Odry, a derogację z art. 4.5 przypisano do 54%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przy czym dla części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wyznaczono obie derogacje. Biorąc pod uwagę założenia Ramowej Dyrektywy Wodnej, czyli osiągnięcie dobrego stanu wód, są to bardzo duże liczby.</w:t>
            </w:r>
            <w:r w:rsidRPr="0028666F">
              <w:rPr>
                <w:rFonts w:ascii="Calibri" w:eastAsia="Times New Roman" w:hAnsi="Calibri" w:cs="Calibri"/>
                <w:color w:val="000000"/>
                <w:sz w:val="18"/>
                <w:szCs w:val="18"/>
                <w:lang w:eastAsia="pl-PL"/>
              </w:rPr>
              <w:br w:type="page"/>
              <w:t xml:space="preserve">Ponad połowie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 dorzeczu przypisano mniej rygorystyczny cel środowiskowy. W przypadku odstępstw czasowych dla ok. 17 %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wskazano osiągnięcie celu środowiskowego po 2027 r. W przypadku pozostałych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cel środowiskowy ma co prawda zostać osiągnięty w 2027 r. (763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ale dla 594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dla których wyznaczono derogację z art. 4.4, wyznaczono również derogację z art. 4.5. Oznacza to w praktyce, że do roku 2027 przewidziano osiągnięcie celów środowiskowych zaledwie dla 256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czyli ok. 20%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Coś, co z definicji miało być odstępstwem, jest regułą dla zdecydowanej większości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w dorzeczu, a takie podejście jest sprzeczne z Ramową Dyrektywą Wodną o czym mówią wytyczne Komisji Europejskiej nr 20 „Wytyczne dotyczące wyłączeń z realizacji celów środowiskowych”. Ponadto, biorąc pod uwagę doświadczenia z dotychczasowego wdrażania „Programu działań…” mającego na celu zapewnienie poprawy stanu wód oraz inne mankamenty IIaPGW dla dorzecza Odry wskazane w innych uwagach, z dużym prawdopodobieństwem można stwierdzić, że zakładane odstępstwa czasowe do 2027r. nie zostaną spełnione.</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5BBCA72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6F64A8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3AF9E4D" w14:textId="4C4E35C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D63CFF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BDC34E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247</w:t>
            </w:r>
          </w:p>
        </w:tc>
        <w:tc>
          <w:tcPr>
            <w:tcW w:w="970" w:type="dxa"/>
            <w:tcBorders>
              <w:top w:val="nil"/>
              <w:left w:val="nil"/>
              <w:bottom w:val="single" w:sz="4" w:space="0" w:color="auto"/>
              <w:right w:val="nil"/>
            </w:tcBorders>
          </w:tcPr>
          <w:p w14:paraId="49E76C0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4E28DD4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0BCD8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7D38122"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Rozdział 8, zał. 8</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Weryfikacja przesłanek zastosowania derogacji z art. 4.4 oraz 4.5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80DD1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treścią uzasadnienia propozycji zmian.</w:t>
            </w:r>
          </w:p>
        </w:tc>
        <w:tc>
          <w:tcPr>
            <w:tcW w:w="3009" w:type="dxa"/>
            <w:tcBorders>
              <w:top w:val="nil"/>
              <w:left w:val="nil"/>
              <w:bottom w:val="single" w:sz="4" w:space="0" w:color="auto"/>
              <w:right w:val="single" w:sz="4" w:space="0" w:color="auto"/>
            </w:tcBorders>
            <w:shd w:val="clear" w:color="auto" w:fill="auto"/>
            <w:hideMark/>
          </w:tcPr>
          <w:p w14:paraId="551FF8FB" w14:textId="434B40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dokumencie brakuje pełnej i rzetelnej analizy przesłanek w zakresie zastosowania derogacji z art. 4.4 oraz 4.5 RDW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rzecznych. Dotyczy to głównie następujących kwestii:</w:t>
            </w:r>
            <w:r w:rsidRPr="0028666F">
              <w:rPr>
                <w:rFonts w:ascii="Calibri" w:eastAsia="Times New Roman" w:hAnsi="Calibri" w:cs="Calibri"/>
                <w:color w:val="000000"/>
                <w:sz w:val="18"/>
                <w:szCs w:val="18"/>
                <w:lang w:eastAsia="pl-PL"/>
              </w:rPr>
              <w:br/>
              <w:t xml:space="preserve">warunku, że nie będzie zachodziło dalsze pogarszanie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Pr="0028666F">
              <w:rPr>
                <w:rFonts w:ascii="Calibri" w:eastAsia="Times New Roman" w:hAnsi="Calibri" w:cs="Calibri"/>
                <w:color w:val="000000"/>
                <w:sz w:val="18"/>
                <w:szCs w:val="18"/>
                <w:lang w:eastAsia="pl-PL"/>
              </w:rPr>
              <w:br/>
              <w:t xml:space="preserve">wykluczenia wariantów alternatywnych dla przyczyn wyznaczenia mniej rygorystycznych celów. </w:t>
            </w:r>
            <w:r w:rsidRPr="0028666F">
              <w:rPr>
                <w:rFonts w:ascii="Calibri" w:eastAsia="Times New Roman" w:hAnsi="Calibri" w:cs="Calibri"/>
                <w:color w:val="000000"/>
                <w:sz w:val="18"/>
                <w:szCs w:val="18"/>
                <w:lang w:eastAsia="pl-PL"/>
              </w:rPr>
              <w:br/>
              <w:t xml:space="preserve">W kontekście braku rzetelnych analiz strategicznych z prawidłowo przeprowadzonym wariantowaniem lub też w ogóle braku analiz strategicznych (np. brak SOOŚ dla Programu rozwoju Odrzańskiej Drogi Wodnej) nie jest możliwe wiarygodne przeanalizowanie przesłanek z art. 4.5 RDW. Ponadto brak uwzględnienia w IIaPGW wszystkich planowanych inwestycji hydrotechnicznych wymienionych w innych planach i programach z zakresu gospodarowania wodami powoduje brak możliwości wykazania, że nie będzie zachodziło dalsze pogarszanie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Co prawda w rozdziale 19 „Wykaz szczegółowych programów i planów gospodarowania dla obszaru dorzecza” dokumenty te zostały opisane, ale w żaden sposób nie przekłada się to na pozostałe części IIaPGW np. uwzględnienie dodatkowych presji, analizę przesłanek, katalog działań.</w:t>
            </w:r>
          </w:p>
        </w:tc>
        <w:tc>
          <w:tcPr>
            <w:tcW w:w="1720" w:type="dxa"/>
            <w:tcBorders>
              <w:top w:val="nil"/>
              <w:left w:val="nil"/>
              <w:bottom w:val="single" w:sz="4" w:space="0" w:color="auto"/>
              <w:right w:val="single" w:sz="4" w:space="0" w:color="auto"/>
            </w:tcBorders>
            <w:shd w:val="clear" w:color="000000" w:fill="FFFFFF"/>
            <w:hideMark/>
          </w:tcPr>
          <w:p w14:paraId="469F92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72C005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B8DE3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przedstawia uzasadnienia odstępstw od celów środowiskowych.</w:t>
            </w:r>
            <w:r w:rsidRPr="0028666F">
              <w:rPr>
                <w:rFonts w:ascii="Calibri" w:eastAsia="Times New Roman" w:hAnsi="Calibri" w:cs="Calibri"/>
                <w:color w:val="000000"/>
                <w:sz w:val="18"/>
                <w:szCs w:val="18"/>
                <w:lang w:eastAsia="pl-PL"/>
              </w:rPr>
              <w:br/>
              <w:t>Odstępstwem od celów środowiskowych RDW jest sytuacja, w której cel środowiskowy nie został osiągnięty; taka sytuacja wymaga odpowiedniego uzasadnienia i wyjaśnienia oraz podjęcia adekwatnej reakcji (podjęcia działań naprawczych).</w:t>
            </w:r>
            <w:r w:rsidRPr="0028666F">
              <w:rPr>
                <w:rFonts w:ascii="Calibri" w:eastAsia="Times New Roman" w:hAnsi="Calibri" w:cs="Calibri"/>
                <w:color w:val="000000"/>
                <w:sz w:val="18"/>
                <w:szCs w:val="18"/>
                <w:lang w:eastAsia="pl-PL"/>
              </w:rPr>
              <w:br/>
              <w:t>Dane dot. wykluczenia wariantów alternatywnych (innymi słowy: dowód na to, że zrobiono wszystko co możliwe by osiągnąć możliwie najlepszy stan wód, w przypadku odstępstw 4.5. RDW: z uwzględnieniem wykonalności technicznej i unikania nieproporcjonalnych kosztów) wynikają z danych IIaPGW obejmujących zestawy działań.</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w:t>
            </w:r>
            <w:r w:rsidRPr="0028666F">
              <w:rPr>
                <w:rFonts w:ascii="Calibri" w:eastAsia="Times New Roman" w:hAnsi="Calibri" w:cs="Calibri"/>
                <w:color w:val="000000"/>
                <w:sz w:val="18"/>
                <w:szCs w:val="18"/>
                <w:lang w:eastAsia="pl-PL"/>
              </w:rPr>
              <w:br/>
              <w:t>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Każda weryfikacja zestawów działań determinuje konieczność dokonania również weryfikacji danych w Wykazie Odstępstw.</w:t>
            </w:r>
            <w:r w:rsidRPr="0028666F">
              <w:rPr>
                <w:rFonts w:ascii="Calibri" w:eastAsia="Times New Roman" w:hAnsi="Calibri" w:cs="Calibri"/>
                <w:color w:val="000000"/>
                <w:sz w:val="18"/>
                <w:szCs w:val="18"/>
                <w:lang w:eastAsia="pl-PL"/>
              </w:rPr>
              <w:br/>
              <w:t>W odniesieniu do nowych presji (działania techniczne dot. żeglugi, ochrony przeciwpowodziowej i in) wpływających na stan wód: w ramach cyklu planistycznego poprzedzającego opracowanie projektów IIaPGW dokonano m.in. identyfikacji presji oraz analizy presji pod kątem wpływu na cele środowiskowe. Identyfikacja i analiza presji objęły wyłącznie presje istniejące; dane to powiązano m.in. z danymi o stanie wód - i taki zakres informacji mógł być najlepszą możliwą racjonalną (w świetle dostępnych danych) podstawą do określenia zestawów działań. W ramach metodyk IIaPGW (oraz w ramach metodyk ww. identyfikacji i analiz presji) uznano, że wiarygodne oszacowanie zakresu działań jest możliwe wyłącznie w odniesieniu do takich presji, które można w wiarygodny sposób sparametryzować i umiejscowić w przestrzeni. Natomiast zgłoszone w uwadze presje - to działania o charakterze potencjalnym, co do których nie ma pewności, czy i kiedy powstaną oraz jaki będą miały zakres i charakter oddziaływań. Jeżeli one powstaną, to dane o nich powinny być uwzględnione w ramach kolejnego cyklu aktualizacji planów gospodarowania wodami.</w:t>
            </w:r>
          </w:p>
        </w:tc>
      </w:tr>
      <w:tr w:rsidR="007C2B40" w:rsidRPr="0028666F" w14:paraId="5811655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2F17F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248</w:t>
            </w:r>
          </w:p>
        </w:tc>
        <w:tc>
          <w:tcPr>
            <w:tcW w:w="970" w:type="dxa"/>
            <w:tcBorders>
              <w:top w:val="nil"/>
              <w:left w:val="nil"/>
              <w:bottom w:val="single" w:sz="4" w:space="0" w:color="auto"/>
              <w:right w:val="nil"/>
            </w:tcBorders>
          </w:tcPr>
          <w:p w14:paraId="3EB65C2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5" w:type="dxa"/>
            <w:tcBorders>
              <w:top w:val="nil"/>
              <w:left w:val="nil"/>
              <w:bottom w:val="single" w:sz="4" w:space="0" w:color="auto"/>
              <w:right w:val="single" w:sz="4" w:space="0" w:color="auto"/>
            </w:tcBorders>
            <w:shd w:val="clear" w:color="auto" w:fill="auto"/>
          </w:tcPr>
          <w:p w14:paraId="74F9472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2CD7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547B1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Rozdział 16, zał. 6</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Weryfikacja podejścia w IIaPGW dla dorzecza Odry do zagadnień związanych z derogacją z art. 4.7 RDW zgodnie z argumentami przedstawionymi w uzasadnieniu uwagi.</w:t>
            </w:r>
          </w:p>
        </w:tc>
        <w:tc>
          <w:tcPr>
            <w:tcW w:w="2733" w:type="dxa"/>
            <w:tcBorders>
              <w:top w:val="nil"/>
              <w:left w:val="nil"/>
              <w:bottom w:val="single" w:sz="4" w:space="0" w:color="auto"/>
              <w:right w:val="single" w:sz="4" w:space="0" w:color="auto"/>
            </w:tcBorders>
            <w:shd w:val="clear" w:color="auto" w:fill="auto"/>
            <w:hideMark/>
          </w:tcPr>
          <w:p w14:paraId="6A840C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treścią uzasadnienia propozycji zmian.</w:t>
            </w:r>
          </w:p>
        </w:tc>
        <w:tc>
          <w:tcPr>
            <w:tcW w:w="3009" w:type="dxa"/>
            <w:tcBorders>
              <w:top w:val="nil"/>
              <w:left w:val="nil"/>
              <w:bottom w:val="single" w:sz="4" w:space="0" w:color="auto"/>
              <w:right w:val="single" w:sz="4" w:space="0" w:color="auto"/>
            </w:tcBorders>
            <w:shd w:val="clear" w:color="auto" w:fill="auto"/>
            <w:hideMark/>
          </w:tcPr>
          <w:p w14:paraId="66D40F4F" w14:textId="05086F7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IIaPGW nie zastosowano odpowiedniego podejścia do derogacji z art. 4.7 RDW. W rozdziale 16 można przeczytać, że zgodnie z wytycznymi KE (Wytyczne CIS nr 20 dotyczące wyłączeń z realizacji celów środowiskowych) przedstawienie informacji z zakresu art. 4.7 RDW w planie gospodarowania wodami ma charakter sprawozdawczy. Z kolei „w polskim systemie prawnym przyjęto, że analiza zgodności planowanego działania, inwestycji lub przedsięwzięcia z celami środowiskowymi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jest:</w:t>
            </w:r>
            <w:r w:rsidRPr="0028666F">
              <w:rPr>
                <w:rFonts w:ascii="Calibri" w:eastAsia="Times New Roman" w:hAnsi="Calibri" w:cs="Calibri"/>
                <w:color w:val="000000"/>
                <w:sz w:val="18"/>
                <w:szCs w:val="18"/>
                <w:lang w:eastAsia="pl-PL"/>
              </w:rPr>
              <w:br/>
              <w:t>1. elementem postępowań administracyjnych w sprawie ocen wodnoprawnych (art. 429 ustawy pr.w.), pozwoleń wodnoprawnych (art. 396 ust. 1 ustawy pr.w.), decyzji o środowiskowych uwarunkowaniach (art. 81 ust. 3 ustawy u.i.o.ś.) oraz decyzji wykonawczych (pozwolenie na budowę, zezwolenie na realizację inwestycji drogowej itp.) w przypadku przeprowadzania ponownej oceny oddziaływania na środowisko (art. 90 ust. 2 pkt 2 ustawy u.i.o.ś.);</w:t>
            </w:r>
            <w:r w:rsidRPr="0028666F">
              <w:rPr>
                <w:rFonts w:ascii="Calibri" w:eastAsia="Times New Roman" w:hAnsi="Calibri" w:cs="Calibri"/>
                <w:color w:val="000000"/>
                <w:sz w:val="18"/>
                <w:szCs w:val="18"/>
                <w:lang w:eastAsia="pl-PL"/>
              </w:rPr>
              <w:br/>
              <w:t>2. przedmiotem analizy przy rozpatrywaniu zgłoszeń wodnoprawnych (art. 423 ust. 5 pkt 3 ustawy pr.w.);</w:t>
            </w:r>
            <w:r w:rsidRPr="0028666F">
              <w:rPr>
                <w:rFonts w:ascii="Calibri" w:eastAsia="Times New Roman" w:hAnsi="Calibri" w:cs="Calibri"/>
                <w:color w:val="000000"/>
                <w:sz w:val="18"/>
                <w:szCs w:val="18"/>
                <w:lang w:eastAsia="pl-PL"/>
              </w:rPr>
              <w:br/>
              <w:t>przedmiotem analizy przy przeglądzie pozwoleń wodnoprawnych (art. 416 ust. 2 oraz art. 325 ust. 1 pkt 2 ustawy pr.w.);</w:t>
            </w:r>
            <w:r w:rsidRPr="0028666F">
              <w:rPr>
                <w:rFonts w:ascii="Calibri" w:eastAsia="Times New Roman" w:hAnsi="Calibri" w:cs="Calibri"/>
                <w:color w:val="000000"/>
                <w:sz w:val="18"/>
                <w:szCs w:val="18"/>
                <w:lang w:eastAsia="pl-PL"/>
              </w:rPr>
              <w:br/>
              <w:t>4. uwzględniana w ramach utrzymywania wód (art. 226 ust. 1-2, art. 229, art. 231 ustawy pr.w.) oraz innych czynności związanych z gospodarką wodną (art. 236 ust. 4, art. 164 ust. 1, art. 187 ust. 1, art. 198 ustawy pr.w.);</w:t>
            </w:r>
            <w:r w:rsidRPr="0028666F">
              <w:rPr>
                <w:rFonts w:ascii="Calibri" w:eastAsia="Times New Roman" w:hAnsi="Calibri" w:cs="Calibri"/>
                <w:color w:val="000000"/>
                <w:sz w:val="18"/>
                <w:szCs w:val="18"/>
                <w:lang w:eastAsia="pl-PL"/>
              </w:rPr>
              <w:br/>
              <w:t>5. przedmiotem analizy przy wydawaniu deklaracji zgodności z RDW (art. 439-440a ustawy pr.w.).”</w:t>
            </w:r>
            <w:r w:rsidRPr="0028666F">
              <w:rPr>
                <w:rFonts w:ascii="Calibri" w:eastAsia="Times New Roman" w:hAnsi="Calibri" w:cs="Calibri"/>
                <w:color w:val="000000"/>
                <w:sz w:val="18"/>
                <w:szCs w:val="18"/>
                <w:lang w:eastAsia="pl-PL"/>
              </w:rPr>
              <w:br/>
              <w:t xml:space="preserve">Podsumowano to stwierdzeniem, że: „Każdy przypadek realizacji działania, inwestycji lub przedsięwzięcia mogącego zagrażać celom środowiskowym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wymaga autoryzacji w formie decyzji administracyjnej.”</w:t>
            </w:r>
            <w:r w:rsidRPr="0028666F">
              <w:rPr>
                <w:rFonts w:ascii="Calibri" w:eastAsia="Times New Roman" w:hAnsi="Calibri" w:cs="Calibri"/>
                <w:color w:val="000000"/>
                <w:sz w:val="18"/>
                <w:szCs w:val="18"/>
                <w:lang w:eastAsia="pl-PL"/>
              </w:rPr>
              <w:br/>
              <w:t>Następnie wskazano:</w:t>
            </w:r>
            <w:r w:rsidRPr="0028666F">
              <w:rPr>
                <w:rFonts w:ascii="Calibri" w:eastAsia="Times New Roman" w:hAnsi="Calibri" w:cs="Calibri"/>
                <w:color w:val="000000"/>
                <w:sz w:val="18"/>
                <w:szCs w:val="18"/>
                <w:lang w:eastAsia="pl-PL"/>
              </w:rPr>
              <w:br/>
              <w:t>„Obligatoryjnym elementem planu gospodarowania wodami jest wykaz inwestycji lub działań spełniających łącznie następujące kryteria:</w:t>
            </w:r>
            <w:r w:rsidRPr="0028666F">
              <w:rPr>
                <w:rFonts w:ascii="Calibri" w:eastAsia="Times New Roman" w:hAnsi="Calibri" w:cs="Calibri"/>
                <w:color w:val="000000"/>
                <w:sz w:val="18"/>
                <w:szCs w:val="18"/>
                <w:lang w:eastAsia="pl-PL"/>
              </w:rPr>
              <w:br/>
              <w:t>mogą one wpłynąć na możliwość osiągnięcia celów środowiskowych, o których mowa w art. 56, art. 57, art. 59 oraz w art. 61 ustawy pr.w.;</w:t>
            </w:r>
            <w:r w:rsidRPr="0028666F">
              <w:rPr>
                <w:rFonts w:ascii="Calibri" w:eastAsia="Times New Roman" w:hAnsi="Calibri" w:cs="Calibri"/>
                <w:color w:val="000000"/>
                <w:sz w:val="18"/>
                <w:szCs w:val="18"/>
                <w:lang w:eastAsia="pl-PL"/>
              </w:rPr>
              <w:br/>
              <w:t>spełniają warunki, o których mowa w art. 68 ustawy pr.w.</w:t>
            </w:r>
            <w:r w:rsidRPr="0028666F">
              <w:rPr>
                <w:rFonts w:ascii="Calibri" w:eastAsia="Times New Roman" w:hAnsi="Calibri" w:cs="Calibri"/>
                <w:color w:val="000000"/>
                <w:sz w:val="18"/>
                <w:szCs w:val="18"/>
                <w:lang w:eastAsia="pl-PL"/>
              </w:rPr>
              <w:br/>
              <w:t>Tak określony wykaz inwestycji i działań, które mogą spowodować nieosiągnięcie dobrego stanu wód lub pogorszenie dobrego stanu wód, stanowi załącznik nr 6 (Wykaz inwestycji i działań)”.</w:t>
            </w:r>
            <w:r w:rsidRPr="0028666F">
              <w:rPr>
                <w:rFonts w:ascii="Calibri" w:eastAsia="Times New Roman" w:hAnsi="Calibri" w:cs="Calibri"/>
                <w:color w:val="000000"/>
                <w:sz w:val="18"/>
                <w:szCs w:val="18"/>
                <w:lang w:eastAsia="pl-PL"/>
              </w:rPr>
              <w:br/>
              <w:t>Przeglądając jednak załącznik nr 6 można dostrzec, że dla wielu inwestycji tam zawartych nie ma informacji o decyzji środowiskowej, ocenie wodnoprawnej czy też deklaracji zgodności z RDW. Nie można zatem powiedzieć, że zamieszczone w wykazie w załączniku nr 6 inwestycje spełniają warunki wskazane w rozdziale nr 16. Jeśli zatem w wykazie zostały uwzględnione inwestycje bez decyzji administracyjnych, powinny tu również zostać uwzględnione wszystkie planowane inwestycje, które potencjalnie mogą powodować ryzyko nieosiągnięcia celów środowiskowych. Można się zgodzić z tym, że szczegółowa analiza wpływu inwestycji hydrotechnicznych na cele środowiskowe oraz weryfikacja przesłanek z art. 4.7 powinna się odbywać na etapie procesu inwestycyjnego. Nie oznacza to natomiast, że inwestycje hydrotechniczne, zwłaszcza te duże z zakresu żeglugi śródlądowej czy ochrony przeciwpowodziowej, które niewątpliwie z definicji powodują nowe zmiany w charakterystyce fizycznej części wód powierzchniowych (czyli ingerują w hydromorfologię), nie powinny się znaleźć w wykazie w zał. 6. W załączniku 6 powinny się zatem znaleźć wszystkie inwestycje, które powodują nowe zmiany w charakterystyce fizycznej części wód powierzchniowych, a które wynikają z innych planów i programów w zakresie gospodarowania wodami, a zwłaszcza:</w:t>
            </w:r>
            <w:r w:rsidRPr="0028666F">
              <w:rPr>
                <w:rFonts w:ascii="Calibri" w:eastAsia="Times New Roman" w:hAnsi="Calibri" w:cs="Calibri"/>
                <w:color w:val="000000"/>
                <w:sz w:val="18"/>
                <w:szCs w:val="18"/>
                <w:lang w:eastAsia="pl-PL"/>
              </w:rPr>
              <w:br/>
              <w:t>Planów Zarządzania Ryzykiem Powodziowym dla obszarów dorzeczy (aPZRP),</w:t>
            </w:r>
            <w:r w:rsidRPr="0028666F">
              <w:rPr>
                <w:rFonts w:ascii="Calibri" w:eastAsia="Times New Roman" w:hAnsi="Calibri" w:cs="Calibri"/>
                <w:color w:val="000000"/>
                <w:sz w:val="18"/>
                <w:szCs w:val="18"/>
                <w:lang w:eastAsia="pl-PL"/>
              </w:rPr>
              <w:br/>
              <w:t>Planu Przeciwdziałania Skutkom Suszy (PPSS),</w:t>
            </w:r>
            <w:r w:rsidRPr="0028666F">
              <w:rPr>
                <w:rFonts w:ascii="Calibri" w:eastAsia="Times New Roman" w:hAnsi="Calibri" w:cs="Calibri"/>
                <w:color w:val="000000"/>
                <w:sz w:val="18"/>
                <w:szCs w:val="18"/>
                <w:lang w:eastAsia="pl-PL"/>
              </w:rPr>
              <w:br/>
              <w:t>Programu przeciwdziałania niedoborowi wody na lata 2021-2027 z perspektywą do 2030 r.,</w:t>
            </w:r>
            <w:r w:rsidRPr="0028666F">
              <w:rPr>
                <w:rFonts w:ascii="Calibri" w:eastAsia="Times New Roman" w:hAnsi="Calibri" w:cs="Calibri"/>
                <w:color w:val="000000"/>
                <w:sz w:val="18"/>
                <w:szCs w:val="18"/>
                <w:lang w:eastAsia="pl-PL"/>
              </w:rPr>
              <w:br/>
              <w:t>Założeń do Planów Rozwoju Śródlądowych Dróg Wodnych w Polsce na lata 2016-2020 z perspektywą do roku 2030,</w:t>
            </w:r>
            <w:r w:rsidRPr="0028666F">
              <w:rPr>
                <w:rFonts w:ascii="Calibri" w:eastAsia="Times New Roman" w:hAnsi="Calibri" w:cs="Calibri"/>
                <w:color w:val="000000"/>
                <w:sz w:val="18"/>
                <w:szCs w:val="18"/>
                <w:lang w:eastAsia="pl-PL"/>
              </w:rPr>
              <w:br/>
              <w:t>Krajowego Programu Żeglugowego 2030 (KPŻ2030).</w:t>
            </w:r>
            <w:r w:rsidRPr="0028666F">
              <w:rPr>
                <w:rFonts w:ascii="Calibri" w:eastAsia="Times New Roman" w:hAnsi="Calibri" w:cs="Calibri"/>
                <w:color w:val="000000"/>
                <w:sz w:val="18"/>
                <w:szCs w:val="18"/>
                <w:lang w:eastAsia="pl-PL"/>
              </w:rPr>
              <w:br/>
              <w:t>Należy podkreślić, że Plan gospodarowania wodami na obszarze dorzecza powinien scalać ustalenia z innych planów w zakresie gospodarowania wodami tak, aby optymalnie dobrać katalog działań w celu osiągnięcia dobrego stanu wód. Bez pełnej informacji w zakresie realizowanych i planowanych do realizacji inwestycji hydrotechnicznych jest to niemożliwe, a zatem jeden z głównych celów IIaPGW nie został spełniony.</w:t>
            </w:r>
            <w:r w:rsidRPr="0028666F">
              <w:rPr>
                <w:rFonts w:ascii="Calibri" w:eastAsia="Times New Roman" w:hAnsi="Calibri" w:cs="Calibri"/>
                <w:color w:val="000000"/>
                <w:sz w:val="18"/>
                <w:szCs w:val="18"/>
                <w:lang w:eastAsia="pl-PL"/>
              </w:rPr>
              <w:br/>
              <w:t>Powyższe kwestie potwierdzają również wytyczne KE - Wytyczne CIS nr 36 „Wyłączenia z celów środowiskowych na mocy art. 4 ust. 7”, które podkreślają w wielu miejscach znaczenie analiz strategicznych w prawidłowych rozpoznaniu przesłanek z art. 4.7 RDW na etapie ooś dla poszczególnych przedsięwzięć, zwłaszcza w kontekście nadrzędnego interesu publicznego oraz korzystniejszej środowiskowo opcji (wariantowanie). Przedmiotowe wytyczne wskazują również jasno:</w:t>
            </w:r>
            <w:r w:rsidRPr="0028666F">
              <w:rPr>
                <w:rFonts w:ascii="Calibri" w:eastAsia="Times New Roman" w:hAnsi="Calibri" w:cs="Calibri"/>
                <w:color w:val="000000"/>
                <w:sz w:val="18"/>
                <w:szCs w:val="18"/>
                <w:lang w:eastAsia="pl-PL"/>
              </w:rPr>
              <w:br/>
              <w:t>„Ponadto poniższe informacje są na tyle użyteczne, że nadają się do włączenia do planów gospodarowania wodami w dorzeczu (i ich wersji roboczych) lub do dokumentów uzupełniających, udostępnianych w momencie publikacji planów:</w:t>
            </w:r>
            <w:r w:rsidRPr="0028666F">
              <w:rPr>
                <w:rFonts w:ascii="Calibri" w:eastAsia="Times New Roman" w:hAnsi="Calibri" w:cs="Calibri"/>
                <w:color w:val="000000"/>
                <w:sz w:val="18"/>
                <w:szCs w:val="18"/>
                <w:lang w:eastAsia="pl-PL"/>
              </w:rPr>
              <w:br/>
              <w:t>Przypadki mogące podlegać przepisom art. 4 ust. 7 przed oceną przedsięwzięcia lub w jej 2060 trakcie, np. środki ochrony przeciwpowodziowej określone w planie zarządzania ryzykiem 2061 powodziowym, inne przedsięwzięcia infrastrukturalne (np. w dziedzinie żeglugi, energii wodnej, 2062 nawadniania), które mogą wymagać zastosowania procedury badawczej z art. 4 ust. 7, a także 2063 inne przedsięwzięcia podlegające procedurze udzielania zezwoleń; 2064</w:t>
            </w:r>
            <w:r w:rsidRPr="0028666F">
              <w:rPr>
                <w:rFonts w:ascii="Calibri" w:eastAsia="Times New Roman" w:hAnsi="Calibri" w:cs="Calibri"/>
                <w:color w:val="000000"/>
                <w:sz w:val="18"/>
                <w:szCs w:val="18"/>
                <w:lang w:eastAsia="pl-PL"/>
              </w:rPr>
              <w:br/>
              <w:t>Inne projekty, które mogą mieć wpływ na stan/potencjał części wód, ale które indywidualnie 2065 mogą nie uruchamiać procedury badawczej z art. 4 ust. 7”</w:t>
            </w:r>
            <w:r w:rsidRPr="0028666F">
              <w:rPr>
                <w:rFonts w:ascii="Calibri" w:eastAsia="Times New Roman" w:hAnsi="Calibri" w:cs="Calibri"/>
                <w:color w:val="000000"/>
                <w:sz w:val="18"/>
                <w:szCs w:val="18"/>
                <w:lang w:eastAsia="pl-PL"/>
              </w:rPr>
              <w:br/>
              <w:t>Z analizy dokumentów planistycznych, dokumentacji przetargowych itp. wynika, że dla samej Odry można obecnie podać ok. 90 inwestycji będących na różnym etapie: od planowanych, poprzez te będące w procesie inwestycyjnym (projektowane) oraz inwestycje realizowane. Natomiast w wykazie inwestycji w IIaPGW znalazło się tylko 8 inwestycji dla Odry.</w:t>
            </w:r>
            <w:r w:rsidRPr="0028666F">
              <w:rPr>
                <w:rFonts w:ascii="Calibri" w:eastAsia="Times New Roman" w:hAnsi="Calibri" w:cs="Calibri"/>
                <w:color w:val="000000"/>
                <w:sz w:val="18"/>
                <w:szCs w:val="18"/>
                <w:lang w:eastAsia="pl-PL"/>
              </w:rPr>
              <w:br/>
              <w:t>Podsumowując, obecny IIaPGW nie spełnia wymogów RDW odnośnie do ujęcia w nim zagadnień związanych z derogacją z art. 4.7 RDW i wymaga znaczących zmian w tym zakresie.</w:t>
            </w:r>
          </w:p>
        </w:tc>
        <w:tc>
          <w:tcPr>
            <w:tcW w:w="1720" w:type="dxa"/>
            <w:tcBorders>
              <w:top w:val="nil"/>
              <w:left w:val="nil"/>
              <w:bottom w:val="single" w:sz="4" w:space="0" w:color="auto"/>
              <w:right w:val="single" w:sz="4" w:space="0" w:color="auto"/>
            </w:tcBorders>
            <w:shd w:val="clear" w:color="000000" w:fill="FFFFFF"/>
            <w:hideMark/>
          </w:tcPr>
          <w:p w14:paraId="705C38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1CE872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8FEA04" w14:textId="112BECA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1A2CBF9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E694B7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249</w:t>
            </w:r>
          </w:p>
        </w:tc>
        <w:tc>
          <w:tcPr>
            <w:tcW w:w="970" w:type="dxa"/>
            <w:tcBorders>
              <w:top w:val="nil"/>
              <w:left w:val="nil"/>
              <w:bottom w:val="single" w:sz="4" w:space="0" w:color="auto"/>
              <w:right w:val="nil"/>
            </w:tcBorders>
          </w:tcPr>
          <w:p w14:paraId="1880E9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247962E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FD30C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E8CF4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Rozdział 16, zał. 6</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zagadnieniach związanych z zastosowaniem art. 4.7 RDW należy uwzględnić kwestie prac utrzymaniowych, zgodnie z treścią uzasadnienia propozycji zmian.</w:t>
            </w:r>
          </w:p>
        </w:tc>
        <w:tc>
          <w:tcPr>
            <w:tcW w:w="2733" w:type="dxa"/>
            <w:tcBorders>
              <w:top w:val="nil"/>
              <w:left w:val="nil"/>
              <w:bottom w:val="single" w:sz="4" w:space="0" w:color="auto"/>
              <w:right w:val="single" w:sz="4" w:space="0" w:color="auto"/>
            </w:tcBorders>
            <w:shd w:val="clear" w:color="auto" w:fill="auto"/>
            <w:hideMark/>
          </w:tcPr>
          <w:p w14:paraId="40878B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treścią uwagi i uzasadnienia.</w:t>
            </w:r>
          </w:p>
        </w:tc>
        <w:tc>
          <w:tcPr>
            <w:tcW w:w="3009" w:type="dxa"/>
            <w:tcBorders>
              <w:top w:val="nil"/>
              <w:left w:val="nil"/>
              <w:bottom w:val="single" w:sz="4" w:space="0" w:color="auto"/>
              <w:right w:val="single" w:sz="4" w:space="0" w:color="auto"/>
            </w:tcBorders>
            <w:shd w:val="clear" w:color="auto" w:fill="auto"/>
            <w:hideMark/>
          </w:tcPr>
          <w:p w14:paraId="2B0610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Prace utrzymaniowe nie zostały należycie uwzględnione w IIaPGW pod kątem zastosowania art. 4.7 RDW. Prace utrzymaniowe z jednej strony muszą być wykonywane (zgodnie z Prawem wodnym) w taki sposób aby nie naruszać celów środowiskowych, a z drugiej strony określony zakres prac utrzymaniowych (np. odmulanie na długości rzeki powyżej 1000 m) wymaga oceny wodnoprawnej, zgodnie z Rozporządzeniem Ministra Gospodarki Morskiej i Żeglugi Śródlądowej z dnia 27 sierpnia 2019 r. w sprawie rodzajów inwestycji i działań, które wymagają uzyskania oceny wodnoprawnej.</w:t>
            </w:r>
            <w:r w:rsidRPr="0028666F">
              <w:rPr>
                <w:rFonts w:ascii="Calibri" w:eastAsia="Times New Roman" w:hAnsi="Calibri" w:cs="Calibri"/>
                <w:color w:val="000000"/>
                <w:sz w:val="18"/>
                <w:szCs w:val="18"/>
                <w:lang w:eastAsia="pl-PL"/>
              </w:rPr>
              <w:br/>
              <w:t>W IIaPGW nie przeanalizowano żadnych ocen wodnoprawnych związanych z pracami utrzymaniowymi. Pomimo, że prace utrzymaniowe nie wymagają formalnie oceny wpływu na środowisko czy cele środowiskowe w rozumieniu RDW (co należy przypisać mankamentom obecnego Prawa wodnego), to jednak mogą wpływać na stan wód. Mówią o tym również wytyczne KE  - Wytyczne CIS nr 36 „Wyłączenia z celów środowiskowych na mocy art. 4 ust. 7”: „W związku z pracami konserwacyjnymi ich częstotliwość ma wpływ na stan lub potencjał części wód. Odejście od częstych czynności konserwacyjnych na rzecz praktyk opartych na obserwacji i działaniach na żądanie powodujących jedynie krótkofalowe skutki może zmniejszyć wpływ na środowisko, jednocześnie pozwalając na zachowanie użytkowania. Niemniej jednak, w przypadku gdy prace  konserwacyjne nie były wykonywane regularnie ani w ostatnim czasie, wówczas mogą mieć taki sam  wpływ na stan/potencjał ekologiczny co zupełnie nowe roboty. Innymi słowy, jeżeli po ostatnich  czynnościach konserwacyjnych stan/potencjał części wód został przywrócony/ustabilizowany, fakt, że  z punktu widzenia inżynierii są to prace „konserwacyjne”, nie oznacza to koniecznie, że nie mają one wpływu na stan danej części wód. W takich przypadkach czynność „konserwacyjna” powinna być  oceniana w tym samym trybie co nowo planowana zmiana właściwości fizycznych, w związku z czym  może zajść potrzeba zastosowania procedury badawczej z art. 4 ust. 7.”</w:t>
            </w:r>
            <w:r w:rsidRPr="0028666F">
              <w:rPr>
                <w:rFonts w:ascii="Calibri" w:eastAsia="Times New Roman" w:hAnsi="Calibri" w:cs="Calibri"/>
                <w:color w:val="000000"/>
                <w:sz w:val="18"/>
                <w:szCs w:val="18"/>
                <w:lang w:eastAsia="pl-PL"/>
              </w:rPr>
              <w:br/>
              <w:t>Wobec powyższego należy uwzględnić realny wpływ prac utrzymaniowych na stan wód pod kątem zastosowania art. 4.7 RDW.</w:t>
            </w:r>
          </w:p>
        </w:tc>
        <w:tc>
          <w:tcPr>
            <w:tcW w:w="1720" w:type="dxa"/>
            <w:tcBorders>
              <w:top w:val="nil"/>
              <w:left w:val="nil"/>
              <w:bottom w:val="single" w:sz="4" w:space="0" w:color="auto"/>
              <w:right w:val="single" w:sz="4" w:space="0" w:color="auto"/>
            </w:tcBorders>
            <w:shd w:val="clear" w:color="000000" w:fill="FFFFFF"/>
            <w:hideMark/>
          </w:tcPr>
          <w:p w14:paraId="22C49D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6BE101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1F189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Wykazie Inwestycji i Działań mogą być ujęte (i zostały ujęte) wyłącznie takie NOWE działania i przedsięwzięcie, co do których wiadomo że spowodują one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Nie ma prawnej możliwości wpisywania innych przedsięwzięć do Wykazu Inwestycji 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Ponadto, należy dodać, że dla potrzeb Wykazu pozyskano informacje o wszystkich wydanych ocenach wodnoprawnych dla działań i inwestycji mogących pogorszyć stan wód/uniemożliwić osiągnięcie celów środowiskowych, których realizacja jest dopuszczalna na mocy przesłanek określony w art. 4.7 RDW. Z pozyskanych informacji wynika, że nie wydano żadnej takiej oceny wodnoprawnej dla działań utrzymaniowych.</w:t>
            </w:r>
          </w:p>
        </w:tc>
      </w:tr>
      <w:tr w:rsidR="007C2B40" w:rsidRPr="0028666F" w14:paraId="3C07F02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1BFBAC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250</w:t>
            </w:r>
          </w:p>
        </w:tc>
        <w:tc>
          <w:tcPr>
            <w:tcW w:w="970" w:type="dxa"/>
            <w:tcBorders>
              <w:top w:val="nil"/>
              <w:left w:val="nil"/>
              <w:bottom w:val="single" w:sz="4" w:space="0" w:color="auto"/>
              <w:right w:val="nil"/>
            </w:tcBorders>
          </w:tcPr>
          <w:p w14:paraId="736E69B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6DD9AAF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81267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FAC8D00" w14:textId="0B387C5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ype="page"/>
              <w:t>Rodział 3, załącznik 1</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Treść uwagi:</w:t>
            </w:r>
            <w:r w:rsidRPr="0028666F">
              <w:rPr>
                <w:rFonts w:ascii="Calibri" w:eastAsia="Times New Roman" w:hAnsi="Calibri" w:cs="Calibri"/>
                <w:color w:val="000000"/>
                <w:sz w:val="18"/>
                <w:szCs w:val="18"/>
                <w:lang w:eastAsia="pl-PL"/>
              </w:rPr>
              <w:br w:type="page"/>
              <w:t xml:space="preserve">Weryfikacja wyznaczenia części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Odry jako SZCW</w:t>
            </w:r>
          </w:p>
        </w:tc>
        <w:tc>
          <w:tcPr>
            <w:tcW w:w="2733" w:type="dxa"/>
            <w:tcBorders>
              <w:top w:val="nil"/>
              <w:left w:val="nil"/>
              <w:bottom w:val="single" w:sz="4" w:space="0" w:color="auto"/>
              <w:right w:val="single" w:sz="4" w:space="0" w:color="auto"/>
            </w:tcBorders>
            <w:shd w:val="clear" w:color="auto" w:fill="auto"/>
            <w:hideMark/>
          </w:tcPr>
          <w:p w14:paraId="59AA0B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treścią uwagi i uzasadnienia.</w:t>
            </w:r>
          </w:p>
        </w:tc>
        <w:tc>
          <w:tcPr>
            <w:tcW w:w="3009" w:type="dxa"/>
            <w:tcBorders>
              <w:top w:val="nil"/>
              <w:left w:val="nil"/>
              <w:bottom w:val="single" w:sz="4" w:space="0" w:color="auto"/>
              <w:right w:val="single" w:sz="4" w:space="0" w:color="auto"/>
            </w:tcBorders>
            <w:shd w:val="clear" w:color="auto" w:fill="auto"/>
            <w:hideMark/>
          </w:tcPr>
          <w:p w14:paraId="6B8AC052" w14:textId="44FCB03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obejmujących Odrę została wyznaczona jako SZCW nie na podstawie obiektywnych wskaźników hydromorfologicznych, ale na podstawie tzw. dodatkowych informacji uzyskanych od administratora cieku, gdzie w uzasadnieniu podano: „Korekta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 Chociaż Odra jest rzeką uregulowaną i posiada liczne budowle hydrotechniczne, to w środkowym biegu (Odra nieskanalizowana) na większości odcinków, zgodnie z monitoringiem za lata 2014-2019 w zakresie elementów hydromorfologicznych odrzańskie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uzyskiwały stan/potencjał ekologiczny dobry lub bardzo dobry. Rzeka co prawda nie posiada części cech morfologicznych charakterystycznych dla dużej rzeki nizinnej np.  meandrów, ale np. w przestrzeniach międzyostrogowych – pozostałościach po dawnej regulacji wykształciły się cenne siedliska, a połączeniu z całą doliną, w tym lasami łęgowymi, Odra środkowa tworzy ważny przyrodniczo ekosystem dużej rzeki nizinnej, który uległ częściowej renaturyzacji. Wyznaczenie „na siłę” części odrzańskich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 jest działaniem ukierunkowanym pod rozwój żeglugi śródlądowej, a nie w oparciu o podstawy merytoryczne.</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4500F3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50822E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D30966F" w14:textId="0AC6B6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w:t>
            </w:r>
          </w:p>
        </w:tc>
      </w:tr>
      <w:tr w:rsidR="007C2B40" w:rsidRPr="0028666F" w14:paraId="55CA68E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793C04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251</w:t>
            </w:r>
          </w:p>
        </w:tc>
        <w:tc>
          <w:tcPr>
            <w:tcW w:w="970" w:type="dxa"/>
            <w:tcBorders>
              <w:top w:val="nil"/>
              <w:left w:val="nil"/>
              <w:bottom w:val="single" w:sz="4" w:space="0" w:color="auto"/>
              <w:right w:val="nil"/>
            </w:tcBorders>
          </w:tcPr>
          <w:p w14:paraId="1A438C8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2C71F34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A8DB5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97A606D" w14:textId="0623732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Wykaz działań dla budowli piętrzących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Aktualizacja metodyki do identyfikacji działań z zakresu zachowania ciągłości morfologicznej w kontekście zaplanowanych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sposób przeprowadzenia analizy/oceny funkcjonowania istniejących urządzeń do migracji ryb i ponowne wykonanie analiz na rzecz skutecznego zaplanowania działań służących odtworzeniu ciągłości biologicznej przekładające się na zaktualizowanie na rzekach objętych projektem "Przegląd i aktualizacja map zagrożenia powodziowego i map ryzyka powodziowego (Nr projektu: POIS.02.01.00-00-0013/16) programu działań w zakresie osiągnięcia celów środowiskowych</w:t>
            </w:r>
          </w:p>
        </w:tc>
        <w:tc>
          <w:tcPr>
            <w:tcW w:w="2733" w:type="dxa"/>
            <w:tcBorders>
              <w:top w:val="nil"/>
              <w:left w:val="nil"/>
              <w:bottom w:val="single" w:sz="4" w:space="0" w:color="auto"/>
              <w:right w:val="single" w:sz="4" w:space="0" w:color="auto"/>
            </w:tcBorders>
            <w:shd w:val="clear" w:color="auto" w:fill="auto"/>
            <w:hideMark/>
          </w:tcPr>
          <w:p w14:paraId="06D201A7" w14:textId="0DCD2B7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Aktualizacja metodyki do identyfikacji działań z zakresu zachowania ciągłości morfologicznej w kontekście zaplanowanych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sposób przeprowadzenia analizy/oceny funkcjonowania istniejących urządzeń do migracji ryb, o której jest mowa w pkt 6.3 lit. e) Etapu I Opisu Przedmiotu Zamówienia. Uwzględnienie w analizach dostępnych w PGW WP danych dot. zinwentaryzowanych budowli hydrotechnicznych w ramach projektu aMPZiMRP i ponowne wykonanie analiz na rzecz skutecznego zaplanowania działań służących odtworzeniu ciągłości biologicznej przekładające się na zaktualizowanie na rzekach objętych projektem "Przegląd i aktualizacja map zagrożenia powodziowego i map ryzyka powodziowego (Nr projek-tu: POIS.02.01.00-00-0013/16) programu działań w zakresie osiągnięcia celów środowiskowych</w:t>
            </w:r>
          </w:p>
        </w:tc>
        <w:tc>
          <w:tcPr>
            <w:tcW w:w="3009" w:type="dxa"/>
            <w:tcBorders>
              <w:top w:val="nil"/>
              <w:left w:val="nil"/>
              <w:bottom w:val="single" w:sz="4" w:space="0" w:color="auto"/>
              <w:right w:val="single" w:sz="4" w:space="0" w:color="auto"/>
            </w:tcBorders>
            <w:shd w:val="clear" w:color="auto" w:fill="auto"/>
            <w:hideMark/>
          </w:tcPr>
          <w:p w14:paraId="419625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Analiza bazy HYMO, bazy barier dostępnej w ramach programu Amber (https://amber.international/) oraz danych mapowych aktualizacji Map Zagrożenia Powodziowego wskazują, że w pracach związanych z opracowaniem II aPGW nie uwzględniono produktów wypracowanych w ramach zamówienia: Przegląd i aktualizacja map zagrożenia powodziowego i map ryzyka powodziowego. Nr projektu: PO-IS.02.01.00-00-0013/16" (aMZPiMRP), służących opracowaniu map publikowanych na stronach ISOK: https://wody.isok.gov.pl/imap_kzgw/?gpmap=gpMZP. Zwraca się uwagę, że produktów z aMZPiMRRP nie uwzględniono zarówno na etapie opracowania bazy HYMO, jak i opracowania projektów II aPZRP w ramach zamówienia:  KZGW/KZP/255/2019  "Opracowanie projektów II aktualizacji planów gospodarowania wodami na obszarach dorzeczy (II aPGW) wraz z metodykami" a są to dane publiczne, którymi dysponuje PGW WP. </w:t>
            </w:r>
          </w:p>
        </w:tc>
        <w:tc>
          <w:tcPr>
            <w:tcW w:w="1720" w:type="dxa"/>
            <w:tcBorders>
              <w:top w:val="nil"/>
              <w:left w:val="nil"/>
              <w:bottom w:val="single" w:sz="4" w:space="0" w:color="auto"/>
              <w:right w:val="single" w:sz="4" w:space="0" w:color="auto"/>
            </w:tcBorders>
            <w:shd w:val="clear" w:color="000000" w:fill="FFFFFF"/>
            <w:hideMark/>
          </w:tcPr>
          <w:p w14:paraId="381C3F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2ECD63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6E2D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Danymi wejściowymi do analizy drożności budowli poprzecznych w ramach IIaPGW była oficjalna baza HYMO (krajowa baza danych hydromorfologicznych, 2019), którą zweryfikowano w oparciu o ortofotomapy. Uwaga dotyczy materiałów źródłowych do projektów IIaPGW i rozpatrzona zostanie przy aktualizacji bazy HYMO w pracach dotyczących kolejnego cyklu planistycznego.</w:t>
            </w:r>
          </w:p>
        </w:tc>
      </w:tr>
      <w:tr w:rsidR="007C2B40" w:rsidRPr="0028666F" w14:paraId="2EEF282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276DC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252</w:t>
            </w:r>
          </w:p>
        </w:tc>
        <w:tc>
          <w:tcPr>
            <w:tcW w:w="970" w:type="dxa"/>
            <w:tcBorders>
              <w:top w:val="nil"/>
              <w:left w:val="nil"/>
              <w:bottom w:val="single" w:sz="4" w:space="0" w:color="auto"/>
              <w:right w:val="nil"/>
            </w:tcBorders>
          </w:tcPr>
          <w:p w14:paraId="70AAB7B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6057CF0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AF66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B0DD6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Wykaz działań dla budowli piętrzących.</w:t>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Zmiana przypisanych budowlom piętrzącym działań. Wykaz zaproponowanych zmian przedstawiono w formie tabelarycznej w załączniku do uwagi.</w:t>
            </w:r>
          </w:p>
        </w:tc>
        <w:tc>
          <w:tcPr>
            <w:tcW w:w="2733" w:type="dxa"/>
            <w:tcBorders>
              <w:top w:val="nil"/>
              <w:left w:val="nil"/>
              <w:bottom w:val="single" w:sz="4" w:space="0" w:color="auto"/>
              <w:right w:val="single" w:sz="4" w:space="0" w:color="auto"/>
            </w:tcBorders>
            <w:shd w:val="clear" w:color="auto" w:fill="auto"/>
            <w:hideMark/>
          </w:tcPr>
          <w:p w14:paraId="7CEB56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Propozycję zmian działań dla budowli piętrzących uwzględnionych w projekcie IIaPGW umieszczono w załączniku Zał_wykaz_budowli_WWF_zmiana_działań_Odra (Zał nr 2) w komórkach: </w:t>
            </w:r>
            <w:r w:rsidRPr="0028666F">
              <w:rPr>
                <w:rFonts w:ascii="Calibri" w:eastAsia="Times New Roman" w:hAnsi="Calibri" w:cs="Calibri"/>
                <w:color w:val="000000"/>
                <w:sz w:val="18"/>
                <w:szCs w:val="18"/>
                <w:lang w:eastAsia="pl-PL"/>
              </w:rPr>
              <w:br/>
              <w:t>BA – Wstępnie przypisane działania</w:t>
            </w:r>
            <w:r w:rsidRPr="0028666F">
              <w:rPr>
                <w:rFonts w:ascii="Calibri" w:eastAsia="Times New Roman" w:hAnsi="Calibri" w:cs="Calibri"/>
                <w:color w:val="000000"/>
                <w:sz w:val="18"/>
                <w:szCs w:val="18"/>
                <w:lang w:eastAsia="pl-PL"/>
              </w:rPr>
              <w:br/>
              <w:t>BB – Działanie IIaPGW nr 1</w:t>
            </w:r>
            <w:r w:rsidRPr="0028666F">
              <w:rPr>
                <w:rFonts w:ascii="Calibri" w:eastAsia="Times New Roman" w:hAnsi="Calibri" w:cs="Calibri"/>
                <w:color w:val="000000"/>
                <w:sz w:val="18"/>
                <w:szCs w:val="18"/>
                <w:lang w:eastAsia="pl-PL"/>
              </w:rPr>
              <w:br/>
              <w:t>BC – Działanie IIaPGW nr 2</w:t>
            </w:r>
            <w:r w:rsidRPr="0028666F">
              <w:rPr>
                <w:rFonts w:ascii="Calibri" w:eastAsia="Times New Roman" w:hAnsi="Calibri" w:cs="Calibri"/>
                <w:color w:val="000000"/>
                <w:sz w:val="18"/>
                <w:szCs w:val="18"/>
                <w:lang w:eastAsia="pl-PL"/>
              </w:rPr>
              <w:br/>
              <w:t>Uzasadnienie oraz uwagi dla każdej z budowli piętrzących umieszczono w kolumnie BY – Uzasadnienie.uwagi</w:t>
            </w:r>
            <w:r w:rsidRPr="0028666F">
              <w:rPr>
                <w:rFonts w:ascii="Calibri" w:eastAsia="Times New Roman" w:hAnsi="Calibri" w:cs="Calibri"/>
                <w:color w:val="000000"/>
                <w:sz w:val="18"/>
                <w:szCs w:val="18"/>
                <w:lang w:eastAsia="pl-PL"/>
              </w:rPr>
              <w:br/>
              <w:t>Uzasadnienie oraz uwagi dla każdej z budowli piętrzących umieszczono w kolumnie BY – Uzasadnienie.uwagi</w:t>
            </w:r>
            <w:r w:rsidRPr="0028666F">
              <w:rPr>
                <w:rFonts w:ascii="Calibri" w:eastAsia="Times New Roman" w:hAnsi="Calibri" w:cs="Calibri"/>
                <w:color w:val="000000"/>
                <w:sz w:val="18"/>
                <w:szCs w:val="18"/>
                <w:lang w:eastAsia="pl-PL"/>
              </w:rPr>
              <w:br/>
              <w:t>Przykładowa propozycja rozwiązań dla budowli piętrzących znajduje się w załączniku 3 – Koncepcja programowo-przestrzenna renaturyzacji rzeki Kaczawy.</w:t>
            </w:r>
          </w:p>
        </w:tc>
        <w:tc>
          <w:tcPr>
            <w:tcW w:w="3009" w:type="dxa"/>
            <w:tcBorders>
              <w:top w:val="nil"/>
              <w:left w:val="nil"/>
              <w:bottom w:val="single" w:sz="4" w:space="0" w:color="auto"/>
              <w:right w:val="single" w:sz="4" w:space="0" w:color="auto"/>
            </w:tcBorders>
            <w:shd w:val="clear" w:color="auto" w:fill="auto"/>
            <w:hideMark/>
          </w:tcPr>
          <w:p w14:paraId="6B51113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Uzasadnienie oraz uwagi dla każdej z budowli piętrzących umieszczono w kolumnie BY – Uzasadnienie.uwagi</w:t>
            </w:r>
          </w:p>
        </w:tc>
        <w:tc>
          <w:tcPr>
            <w:tcW w:w="1720" w:type="dxa"/>
            <w:tcBorders>
              <w:top w:val="nil"/>
              <w:left w:val="nil"/>
              <w:bottom w:val="single" w:sz="4" w:space="0" w:color="auto"/>
              <w:right w:val="single" w:sz="4" w:space="0" w:color="auto"/>
            </w:tcBorders>
            <w:shd w:val="clear" w:color="000000" w:fill="FFFFFF"/>
            <w:hideMark/>
          </w:tcPr>
          <w:p w14:paraId="200EDC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WWF_Odra</w:t>
            </w:r>
          </w:p>
        </w:tc>
        <w:tc>
          <w:tcPr>
            <w:tcW w:w="1014" w:type="dxa"/>
            <w:tcBorders>
              <w:top w:val="nil"/>
              <w:left w:val="nil"/>
              <w:bottom w:val="single" w:sz="4" w:space="0" w:color="auto"/>
              <w:right w:val="single" w:sz="4" w:space="0" w:color="auto"/>
            </w:tcBorders>
            <w:shd w:val="clear" w:color="auto" w:fill="auto"/>
            <w:hideMark/>
          </w:tcPr>
          <w:p w14:paraId="752CF8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93DB254" w14:textId="70A27A8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Oba działania rozszerzono o możliwość realizacji działań technicznych w przypadku, gdy obiekty zagrażają osiągnięciu celów środowiskowych. Wobec tego nie ma potrzeby zmiany działań z nietechnicznych na techniczne, jak wskazano w załączniku. Uzupełnione w załącznikach informacje należałyby w pierwszej kolejności zweryfikować w odniesieniu do podstawy zmiany działania. W załączniku uzupełniono wysokości piętrzenia, natomiast nie wskazano źródła tak dokładnych danych.</w:t>
            </w:r>
          </w:p>
        </w:tc>
      </w:tr>
      <w:tr w:rsidR="007C2B40" w:rsidRPr="0028666F" w14:paraId="707FFD6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7E3CEF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253</w:t>
            </w:r>
          </w:p>
        </w:tc>
        <w:tc>
          <w:tcPr>
            <w:tcW w:w="970" w:type="dxa"/>
            <w:tcBorders>
              <w:top w:val="nil"/>
              <w:left w:val="nil"/>
              <w:bottom w:val="single" w:sz="4" w:space="0" w:color="auto"/>
              <w:right w:val="nil"/>
            </w:tcBorders>
          </w:tcPr>
          <w:p w14:paraId="6986893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694A7CA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99E3BE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66C4608" w14:textId="50DBC1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Wprowadzone zmiany, nazwane błędnie „erratami” w aż 4 dorzeczach, w tym największych – Wisły i Odry, odnoszą się do dwóch niezależnych kwestii - obszarów chronionych przeznaczonych do ochrony gatunków zwierząt wodnych o znaczeniu gospodarczym i kolejną w ciągu</w:t>
            </w:r>
            <w:r w:rsidRPr="0028666F">
              <w:rPr>
                <w:rFonts w:ascii="Calibri" w:eastAsia="Times New Roman" w:hAnsi="Calibri" w:cs="Calibri"/>
                <w:color w:val="000000"/>
                <w:sz w:val="18"/>
                <w:szCs w:val="18"/>
                <w:lang w:eastAsia="pl-PL"/>
              </w:rPr>
              <w:br/>
              <w:t>propozycję projektu VI aKPOŚK. Zmiany wymagają m.in. ponownej analizy działań zaplanowanych w dorzeczach, a odnoszących się do</w:t>
            </w:r>
            <w:r w:rsidRPr="0028666F">
              <w:rPr>
                <w:rFonts w:ascii="Calibri" w:eastAsia="Times New Roman" w:hAnsi="Calibri" w:cs="Calibri"/>
                <w:color w:val="000000"/>
                <w:sz w:val="18"/>
                <w:szCs w:val="18"/>
                <w:lang w:eastAsia="pl-PL"/>
              </w:rPr>
              <w:br/>
              <w:t>udrożnień budowli piętrzących oraz do konkretnych zapisów głównie uszczuplających zestaw działań likwidujących presje zanieczyszczeń</w:t>
            </w:r>
            <w:r w:rsidRPr="0028666F">
              <w:rPr>
                <w:rFonts w:ascii="Calibri" w:eastAsia="Times New Roman" w:hAnsi="Calibri" w:cs="Calibri"/>
                <w:color w:val="000000"/>
                <w:sz w:val="18"/>
                <w:szCs w:val="18"/>
                <w:lang w:eastAsia="pl-PL"/>
              </w:rPr>
              <w:br/>
              <w:t>komunalnych. Ilość zmian do weryfikacji przez uczestniczących w konsultacjach społecznych jest oszałamiająca, a prezentowane liczby w dokumentach nazwanych „erratami” zapisów IIaPGW nie odpowiadają faktycznej skali zmian. Dla przykładu, w erracie nr 1 dla Odry, wskazano, że</w:t>
            </w:r>
            <w:r w:rsidRPr="0028666F">
              <w:rPr>
                <w:rFonts w:ascii="Calibri" w:eastAsia="Times New Roman" w:hAnsi="Calibri" w:cs="Calibri"/>
                <w:color w:val="000000"/>
                <w:sz w:val="18"/>
                <w:szCs w:val="18"/>
                <w:lang w:eastAsia="pl-PL"/>
              </w:rPr>
              <w:br/>
              <w:t xml:space="preserve">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w:t>
            </w:r>
            <w:r w:rsidRPr="0028666F">
              <w:rPr>
                <w:rFonts w:ascii="Calibri" w:eastAsia="Times New Roman" w:hAnsi="Calibri" w:cs="Calibri"/>
                <w:color w:val="000000"/>
                <w:sz w:val="18"/>
                <w:szCs w:val="18"/>
                <w:lang w:eastAsia="pl-PL"/>
              </w:rPr>
              <w:br/>
              <w:t>radykalne zmiany w zestawieniu budowli do działań poprawiających ich drożność (Zał. 4 do „erraty” wcześniej zał. 1 do zał. 7 IIaPGW).</w:t>
            </w:r>
            <w:r w:rsidRPr="0028666F">
              <w:rPr>
                <w:rFonts w:ascii="Calibri" w:eastAsia="Times New Roman" w:hAnsi="Calibri" w:cs="Calibri"/>
                <w:color w:val="000000"/>
                <w:sz w:val="18"/>
                <w:szCs w:val="18"/>
                <w:lang w:eastAsia="pl-PL"/>
              </w:rPr>
              <w:br/>
              <w:t>Społeczeństwo zostało zmuszone do dokonania ponownej weryfikacji tego zestawienia (obecnie 2220 działań na konkretnych budowlach),</w:t>
            </w:r>
            <w:r w:rsidRPr="0028666F">
              <w:rPr>
                <w:rFonts w:ascii="Calibri" w:eastAsia="Times New Roman" w:hAnsi="Calibri" w:cs="Calibri"/>
                <w:color w:val="000000"/>
                <w:sz w:val="18"/>
                <w:szCs w:val="18"/>
                <w:lang w:eastAsia="pl-PL"/>
              </w:rPr>
              <w:br/>
              <w:t>choćby ze względu na całkowitą i nieuzasadnioną zmianę numeracji budowli w stosunku do publikacji w wersji z kwietnia. Liczba budowli</w:t>
            </w:r>
            <w:r w:rsidRPr="0028666F">
              <w:rPr>
                <w:rFonts w:ascii="Calibri" w:eastAsia="Times New Roman" w:hAnsi="Calibri" w:cs="Calibri"/>
                <w:color w:val="000000"/>
                <w:sz w:val="18"/>
                <w:szCs w:val="18"/>
                <w:lang w:eastAsia="pl-PL"/>
              </w:rPr>
              <w:br/>
              <w:t>położonych na „nowych” obszarach chronionych dla gatunków gospodarczych w dorzeczu Odry to aż 942. 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p>
        </w:tc>
        <w:tc>
          <w:tcPr>
            <w:tcW w:w="2733" w:type="dxa"/>
            <w:tcBorders>
              <w:top w:val="nil"/>
              <w:left w:val="nil"/>
              <w:bottom w:val="single" w:sz="4" w:space="0" w:color="auto"/>
              <w:right w:val="single" w:sz="4" w:space="0" w:color="auto"/>
            </w:tcBorders>
            <w:shd w:val="clear" w:color="auto" w:fill="auto"/>
            <w:hideMark/>
          </w:tcPr>
          <w:p w14:paraId="32C7A7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3073B5CC"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62122A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DEE9C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5F5C4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10EA30E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92913F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254</w:t>
            </w:r>
          </w:p>
        </w:tc>
        <w:tc>
          <w:tcPr>
            <w:tcW w:w="970" w:type="dxa"/>
            <w:tcBorders>
              <w:top w:val="nil"/>
              <w:left w:val="nil"/>
              <w:bottom w:val="single" w:sz="4" w:space="0" w:color="auto"/>
              <w:right w:val="nil"/>
            </w:tcBorders>
          </w:tcPr>
          <w:p w14:paraId="37F093F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236980D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17F7E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32DBD9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7CCF85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40406C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0291C9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DD9B6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43D5B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178D103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62FD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255</w:t>
            </w:r>
          </w:p>
        </w:tc>
        <w:tc>
          <w:tcPr>
            <w:tcW w:w="970" w:type="dxa"/>
            <w:tcBorders>
              <w:top w:val="nil"/>
              <w:left w:val="nil"/>
              <w:bottom w:val="single" w:sz="4" w:space="0" w:color="auto"/>
              <w:right w:val="nil"/>
            </w:tcBorders>
          </w:tcPr>
          <w:p w14:paraId="07B1C90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4A78C3F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601BE3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BEABFEF" w14:textId="54E16F6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geobaza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7D21501" w14:textId="0555902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317CB7C2" w14:textId="7E1EADC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Działanie Wód Polskich w tym zakresie jest sprzeczne z: </w:t>
            </w:r>
            <w:r w:rsidRPr="0028666F">
              <w:rPr>
                <w:rFonts w:ascii="Calibri" w:eastAsia="Times New Roman" w:hAnsi="Calibri" w:cs="Calibri"/>
                <w:color w:val="000000"/>
                <w:sz w:val="18"/>
                <w:szCs w:val="18"/>
                <w:lang w:eastAsia="pl-PL"/>
              </w:rPr>
              <w:br w:type="page"/>
              <w:t xml:space="preserve">art. 14 RDW – </w:t>
            </w:r>
            <w:r w:rsidRPr="0028666F">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ype="page"/>
              <w:t>Zał. VII – pkt 1, 3, 4</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18A252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64903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A234E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65F2793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B40CF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256</w:t>
            </w:r>
          </w:p>
        </w:tc>
        <w:tc>
          <w:tcPr>
            <w:tcW w:w="970" w:type="dxa"/>
            <w:tcBorders>
              <w:top w:val="nil"/>
              <w:left w:val="nil"/>
              <w:bottom w:val="single" w:sz="4" w:space="0" w:color="auto"/>
              <w:right w:val="nil"/>
            </w:tcBorders>
          </w:tcPr>
          <w:p w14:paraId="2B62F4D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Departament Rolnictwa i Programów Rozwoju Obszarów Wiejskich, Urząd Marszałkowski Województwa Łódzkiego</w:t>
            </w:r>
          </w:p>
        </w:tc>
        <w:tc>
          <w:tcPr>
            <w:tcW w:w="165" w:type="dxa"/>
            <w:tcBorders>
              <w:top w:val="nil"/>
              <w:left w:val="nil"/>
              <w:bottom w:val="single" w:sz="4" w:space="0" w:color="auto"/>
              <w:right w:val="single" w:sz="4" w:space="0" w:color="auto"/>
            </w:tcBorders>
            <w:shd w:val="clear" w:color="auto" w:fill="auto"/>
          </w:tcPr>
          <w:p w14:paraId="0E56C48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1BE37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95B56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Treść uwagi:</w:t>
            </w:r>
            <w:r w:rsidRPr="0028666F">
              <w:rPr>
                <w:rFonts w:ascii="Calibri" w:eastAsia="Times New Roman" w:hAnsi="Calibri" w:cs="Calibri"/>
                <w:color w:val="000000"/>
                <w:sz w:val="18"/>
                <w:szCs w:val="18"/>
                <w:lang w:eastAsia="pl-PL"/>
              </w:rPr>
              <w:br/>
              <w:t>Brak jest uwzględnienia zbiorników małej retencji ujętych w Planie Przeciwdziałania Skut- kom Suszy oraz w innych dokumentach planistycznych: Planach zarządzania ryzykiem po- wodziowym, Programie przeciwdziałania niedoborowi wody</w:t>
            </w:r>
          </w:p>
        </w:tc>
        <w:tc>
          <w:tcPr>
            <w:tcW w:w="2733" w:type="dxa"/>
            <w:tcBorders>
              <w:top w:val="nil"/>
              <w:left w:val="nil"/>
              <w:bottom w:val="single" w:sz="4" w:space="0" w:color="auto"/>
              <w:right w:val="single" w:sz="4" w:space="0" w:color="auto"/>
            </w:tcBorders>
            <w:shd w:val="clear" w:color="auto" w:fill="auto"/>
            <w:hideMark/>
          </w:tcPr>
          <w:p w14:paraId="70056C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uwzględnić w IIaPGW zbiorniki małej retencji ujęte w PPSS, PZRP, PPNW z prawidło- wym przyporządkowaniem urzędu/instytucji odpowiedzialnych za ich realizację.</w:t>
            </w:r>
          </w:p>
        </w:tc>
        <w:tc>
          <w:tcPr>
            <w:tcW w:w="3009" w:type="dxa"/>
            <w:tcBorders>
              <w:top w:val="nil"/>
              <w:left w:val="nil"/>
              <w:bottom w:val="single" w:sz="4" w:space="0" w:color="auto"/>
              <w:right w:val="single" w:sz="4" w:space="0" w:color="auto"/>
            </w:tcBorders>
            <w:shd w:val="clear" w:color="auto" w:fill="auto"/>
            <w:hideMark/>
          </w:tcPr>
          <w:p w14:paraId="1B0D98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mieć na uwadze fakt, że Ustawa Prawo wodne z dnia 20 lipca 2017 roku, uchyliła obowiązki marszałków województw w zakresie gospodarowania wodami na rzecz Państwo- wego Gospodarstwa Wodnego Wody Polskie, przekazaniu uległa (poza samymi kompeten- cjami) również dokumentacja dotycząca działalności w zakresie gospodarki wodnej. Tak więc, kontynuatorem przedmiotowych działań jest PGW Wody Polskie</w:t>
            </w:r>
          </w:p>
        </w:tc>
        <w:tc>
          <w:tcPr>
            <w:tcW w:w="1720" w:type="dxa"/>
            <w:tcBorders>
              <w:top w:val="nil"/>
              <w:left w:val="nil"/>
              <w:bottom w:val="single" w:sz="4" w:space="0" w:color="auto"/>
              <w:right w:val="single" w:sz="4" w:space="0" w:color="auto"/>
            </w:tcBorders>
            <w:shd w:val="clear" w:color="000000" w:fill="FFFFFF"/>
            <w:hideMark/>
          </w:tcPr>
          <w:p w14:paraId="739B09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DCADB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A43CBEA" w14:textId="701BE23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28666F">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28666F">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będąc działaniami negatywnie wpływającymi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xml:space="preserve">IIaPGW odnosi się do przedsięwzięć negatywnie oddziałujących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28666F">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28666F">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7C2B40" w:rsidRPr="0028666F" w14:paraId="0668081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212F7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257</w:t>
            </w:r>
          </w:p>
        </w:tc>
        <w:tc>
          <w:tcPr>
            <w:tcW w:w="970" w:type="dxa"/>
            <w:tcBorders>
              <w:top w:val="nil"/>
              <w:left w:val="nil"/>
              <w:bottom w:val="single" w:sz="4" w:space="0" w:color="auto"/>
              <w:right w:val="nil"/>
            </w:tcBorders>
          </w:tcPr>
          <w:p w14:paraId="6E25AA3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35FFC1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A5497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2FFD07D"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AEE34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7F5100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6188D2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FA67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9705B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142629A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00B8CF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258</w:t>
            </w:r>
          </w:p>
        </w:tc>
        <w:tc>
          <w:tcPr>
            <w:tcW w:w="970" w:type="dxa"/>
            <w:tcBorders>
              <w:top w:val="nil"/>
              <w:left w:val="nil"/>
              <w:bottom w:val="single" w:sz="4" w:space="0" w:color="auto"/>
              <w:right w:val="nil"/>
            </w:tcBorders>
          </w:tcPr>
          <w:p w14:paraId="362C7A9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Departament Rolnictwa i Programów Rozwoju Obszarów Wiejskich, Urząd Marszałkowski Województwa Łódzkiego</w:t>
            </w:r>
          </w:p>
        </w:tc>
        <w:tc>
          <w:tcPr>
            <w:tcW w:w="165" w:type="dxa"/>
            <w:tcBorders>
              <w:top w:val="nil"/>
              <w:left w:val="nil"/>
              <w:bottom w:val="single" w:sz="4" w:space="0" w:color="auto"/>
              <w:right w:val="single" w:sz="4" w:space="0" w:color="auto"/>
            </w:tcBorders>
            <w:shd w:val="clear" w:color="auto" w:fill="auto"/>
          </w:tcPr>
          <w:p w14:paraId="63679A9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A190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93EF5C8" w14:textId="4C29609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Tabela 7.3 Zestaw działań RW OD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 xml:space="preserve">Uwzględnić w planowanych działaniach konieczność wykonania opracowania dokumentu planistycznego pt. „Analiza możliwości zwiększenia retencji na terenach leśnych, rolniczych i zurbanizowanych na obszarze Zlewni Górnej Warty w ramach utrzymania oraz zwiększenia istniejącej zdolności retencyjnej w Regionie Wodnym Warty" na obszarach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które leżą na obszarze Zarządu Zlewni Warty.</w:t>
            </w:r>
          </w:p>
        </w:tc>
        <w:tc>
          <w:tcPr>
            <w:tcW w:w="2733" w:type="dxa"/>
            <w:tcBorders>
              <w:top w:val="nil"/>
              <w:left w:val="nil"/>
              <w:bottom w:val="single" w:sz="4" w:space="0" w:color="auto"/>
              <w:right w:val="single" w:sz="4" w:space="0" w:color="auto"/>
            </w:tcBorders>
            <w:shd w:val="clear" w:color="auto" w:fill="auto"/>
            <w:hideMark/>
          </w:tcPr>
          <w:p w14:paraId="4F67B3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585B38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Proponowane działanie przyczyni się do opracowania dokumentów strategicznych, w oparciu o które realizowane będą zadania mające na celu zwiększenie retencji wód, poprawę stanu wód, wzrost bioróżnorodności oraz ograniczenie ryzyka suszy na wyżej wymienionym obszarze</w:t>
            </w:r>
          </w:p>
        </w:tc>
        <w:tc>
          <w:tcPr>
            <w:tcW w:w="1720" w:type="dxa"/>
            <w:tcBorders>
              <w:top w:val="nil"/>
              <w:left w:val="nil"/>
              <w:bottom w:val="single" w:sz="4" w:space="0" w:color="auto"/>
              <w:right w:val="single" w:sz="4" w:space="0" w:color="auto"/>
            </w:tcBorders>
            <w:shd w:val="clear" w:color="000000" w:fill="FFFFFF"/>
            <w:hideMark/>
          </w:tcPr>
          <w:p w14:paraId="3E8655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867E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CA80074" w14:textId="10D41CE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Celem IIaPGW jest zapewnienie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(poprawa ich stanu jakościowego) oraz obszarów chronionych. Zagadnienia stanu ilościowego związane są m.in z retencją wód - zagadnienie stanowiące przedmiot PPSS.</w:t>
            </w:r>
            <w:r w:rsidRPr="0028666F">
              <w:rPr>
                <w:rFonts w:ascii="Calibri" w:eastAsia="Times New Roman" w:hAnsi="Calibri" w:cs="Calibri"/>
                <w:color w:val="000000"/>
                <w:sz w:val="18"/>
                <w:szCs w:val="18"/>
                <w:lang w:eastAsia="pl-PL"/>
              </w:rPr>
              <w:br/>
              <w:t xml:space="preserve">W związku z tym działania zmierzające do zwiększenia retencji w obszarach rolniczych zostały wskazane tylko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gdzie w wyniku przeprowadzonych analiz nałożyło się wysokie ryzyko suszy (zdefiniowane w oparciu o analizy przeprowadzone PPSS) i jednocześnie dominującym źródłem presji zanieczyszczajacych było rolnictwo (na podstawie badań PMŚ i wyników opracowania "Analiza znaczących oddziaływań antropogenicznych wraz z oceną ich wpływu na stan wód oraz ryzykiem nieosiągnięcia celów środowiskowych, PGWWP 2020)"</w:t>
            </w:r>
          </w:p>
        </w:tc>
      </w:tr>
      <w:tr w:rsidR="007C2B40" w:rsidRPr="0028666F" w14:paraId="69FA04D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7179D8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259</w:t>
            </w:r>
          </w:p>
        </w:tc>
        <w:tc>
          <w:tcPr>
            <w:tcW w:w="970" w:type="dxa"/>
            <w:tcBorders>
              <w:top w:val="nil"/>
              <w:left w:val="nil"/>
              <w:bottom w:val="single" w:sz="4" w:space="0" w:color="auto"/>
              <w:right w:val="nil"/>
            </w:tcBorders>
          </w:tcPr>
          <w:p w14:paraId="00039CB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25A0BDD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29F263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E89D6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18E846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21D460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6B8E96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2362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7E57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7C2B40" w:rsidRPr="0028666F" w14:paraId="3A7573B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797C77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260</w:t>
            </w:r>
          </w:p>
        </w:tc>
        <w:tc>
          <w:tcPr>
            <w:tcW w:w="970" w:type="dxa"/>
            <w:tcBorders>
              <w:top w:val="nil"/>
              <w:left w:val="nil"/>
              <w:bottom w:val="single" w:sz="4" w:space="0" w:color="auto"/>
              <w:right w:val="nil"/>
            </w:tcBorders>
          </w:tcPr>
          <w:p w14:paraId="54CC6F5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41D7EBD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7E85E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7E37B47"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2733" w:type="dxa"/>
            <w:tcBorders>
              <w:top w:val="nil"/>
              <w:left w:val="nil"/>
              <w:bottom w:val="single" w:sz="4" w:space="0" w:color="auto"/>
              <w:right w:val="single" w:sz="4" w:space="0" w:color="auto"/>
            </w:tcBorders>
            <w:shd w:val="clear" w:color="auto" w:fill="auto"/>
            <w:hideMark/>
          </w:tcPr>
          <w:p w14:paraId="6CFD51DE"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4D3AB4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021C5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AAE3F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9C375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404329E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E3E83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261</w:t>
            </w:r>
          </w:p>
        </w:tc>
        <w:tc>
          <w:tcPr>
            <w:tcW w:w="970" w:type="dxa"/>
            <w:tcBorders>
              <w:top w:val="nil"/>
              <w:left w:val="nil"/>
              <w:bottom w:val="single" w:sz="4" w:space="0" w:color="auto"/>
              <w:right w:val="nil"/>
            </w:tcBorders>
          </w:tcPr>
          <w:p w14:paraId="304FCE6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00AD67F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77AF4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63151122" w14:textId="58100E9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A3F236D" w14:textId="7F469D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233ED521" w14:textId="63F8181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C8326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5E9E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EE2DCF2" w14:textId="54C021B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6D0DA3B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BAB2B4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262</w:t>
            </w:r>
          </w:p>
        </w:tc>
        <w:tc>
          <w:tcPr>
            <w:tcW w:w="970" w:type="dxa"/>
            <w:tcBorders>
              <w:top w:val="nil"/>
              <w:left w:val="nil"/>
              <w:bottom w:val="single" w:sz="4" w:space="0" w:color="auto"/>
              <w:right w:val="nil"/>
            </w:tcBorders>
          </w:tcPr>
          <w:p w14:paraId="20A9258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14109B8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C2A95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68AEAB53" w14:textId="2EDDFB7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 Rozdz. 3, 5.1. oraz 8.1., Zał. 3.1. oraz 8. Zał. mapowe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0FEF6EC4" w14:textId="71A46F9F"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6F78FFFC" w14:textId="5E49369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10015B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2ED8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32DBF38" w14:textId="7ED1BB9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1764E05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F4F155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263</w:t>
            </w:r>
          </w:p>
        </w:tc>
        <w:tc>
          <w:tcPr>
            <w:tcW w:w="970" w:type="dxa"/>
            <w:tcBorders>
              <w:top w:val="nil"/>
              <w:left w:val="nil"/>
              <w:bottom w:val="single" w:sz="4" w:space="0" w:color="auto"/>
              <w:right w:val="nil"/>
            </w:tcBorders>
          </w:tcPr>
          <w:p w14:paraId="57F2DE0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Biuro Planowania Przestrzennego Województwa Łódzkiego w Łodzi </w:t>
            </w:r>
          </w:p>
        </w:tc>
        <w:tc>
          <w:tcPr>
            <w:tcW w:w="165" w:type="dxa"/>
            <w:tcBorders>
              <w:top w:val="nil"/>
              <w:left w:val="nil"/>
              <w:bottom w:val="single" w:sz="4" w:space="0" w:color="auto"/>
              <w:right w:val="single" w:sz="4" w:space="0" w:color="auto"/>
            </w:tcBorders>
            <w:shd w:val="clear" w:color="auto" w:fill="auto"/>
          </w:tcPr>
          <w:p w14:paraId="1B3DC06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0B69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FDF945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Treść uwagi:</w:t>
            </w:r>
            <w:r w:rsidRPr="0028666F">
              <w:rPr>
                <w:rFonts w:ascii="Calibri" w:eastAsia="Times New Roman" w:hAnsi="Calibri" w:cs="Calibri"/>
                <w:color w:val="000000"/>
                <w:sz w:val="18"/>
                <w:szCs w:val="18"/>
                <w:lang w:eastAsia="pl-PL"/>
              </w:rPr>
              <w:br/>
              <w:t>Inwestycje wymienione w załączonym do dokumentu wykazie nie są zgodne z przyjętym Planem Przeciwdziałania Skutkom Suszy (PPSS). Tylko jedna z wymienionych w wykazie in- westycji pokrywa się z tymi zamieszczonymi w PPSS.</w:t>
            </w:r>
          </w:p>
        </w:tc>
        <w:tc>
          <w:tcPr>
            <w:tcW w:w="2733" w:type="dxa"/>
            <w:tcBorders>
              <w:top w:val="nil"/>
              <w:left w:val="nil"/>
              <w:bottom w:val="single" w:sz="4" w:space="0" w:color="auto"/>
              <w:right w:val="single" w:sz="4" w:space="0" w:color="auto"/>
            </w:tcBorders>
            <w:shd w:val="clear" w:color="auto" w:fill="auto"/>
            <w:hideMark/>
          </w:tcPr>
          <w:p w14:paraId="6F4A7B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Sugeruje się zadbanie o spójność tych dwóch dokumentów, gdyż oba dotyczą gospodarki wodnej w ogólnym zakresie.</w:t>
            </w:r>
          </w:p>
        </w:tc>
        <w:tc>
          <w:tcPr>
            <w:tcW w:w="3009" w:type="dxa"/>
            <w:tcBorders>
              <w:top w:val="nil"/>
              <w:left w:val="nil"/>
              <w:bottom w:val="single" w:sz="4" w:space="0" w:color="auto"/>
              <w:right w:val="single" w:sz="4" w:space="0" w:color="auto"/>
            </w:tcBorders>
            <w:shd w:val="clear" w:color="auto" w:fill="auto"/>
            <w:hideMark/>
          </w:tcPr>
          <w:p w14:paraId="1760DE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szczebla krajowego powinny być w swoich zapisach spójne i brać pod uwagę inwestycje projektowane na tym samym terenie zwłaszcza, że dotyczą one gospodarki wodnej.</w:t>
            </w:r>
          </w:p>
        </w:tc>
        <w:tc>
          <w:tcPr>
            <w:tcW w:w="1720" w:type="dxa"/>
            <w:tcBorders>
              <w:top w:val="nil"/>
              <w:left w:val="nil"/>
              <w:bottom w:val="single" w:sz="4" w:space="0" w:color="auto"/>
              <w:right w:val="single" w:sz="4" w:space="0" w:color="auto"/>
            </w:tcBorders>
            <w:shd w:val="clear" w:color="000000" w:fill="FFFFFF"/>
            <w:hideMark/>
          </w:tcPr>
          <w:p w14:paraId="7A4D30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E3962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A869090" w14:textId="2B3F1CD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28666F">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28666F">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będąc działaniami negatywnie wpływającymi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w:t>
            </w:r>
            <w:r w:rsidRPr="0028666F">
              <w:rPr>
                <w:rFonts w:ascii="Calibri" w:eastAsia="Times New Roman" w:hAnsi="Calibri" w:cs="Calibri"/>
                <w:color w:val="000000"/>
                <w:sz w:val="18"/>
                <w:szCs w:val="18"/>
                <w:lang w:eastAsia="pl-PL"/>
              </w:rPr>
              <w:br/>
              <w:t xml:space="preserve">IIaPGW odnosi się do przedsięwzięć negatywnie oddziałujących na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28666F">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28666F">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7C2B40" w:rsidRPr="0028666F" w14:paraId="6240F5A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FE74F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264</w:t>
            </w:r>
          </w:p>
        </w:tc>
        <w:tc>
          <w:tcPr>
            <w:tcW w:w="970" w:type="dxa"/>
            <w:tcBorders>
              <w:top w:val="nil"/>
              <w:left w:val="nil"/>
              <w:bottom w:val="single" w:sz="4" w:space="0" w:color="auto"/>
              <w:right w:val="nil"/>
            </w:tcBorders>
          </w:tcPr>
          <w:p w14:paraId="23D9228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5C0DB0B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412E01" w14:textId="21D553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238EA7D1" w14:textId="1FBEDE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32C8D365" w14:textId="78FE33E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5D6294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9EF43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B0474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4EEA51C" w14:textId="5F32BAF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22E2E18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11D7A6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265</w:t>
            </w:r>
          </w:p>
        </w:tc>
        <w:tc>
          <w:tcPr>
            <w:tcW w:w="970" w:type="dxa"/>
            <w:tcBorders>
              <w:top w:val="nil"/>
              <w:left w:val="nil"/>
              <w:bottom w:val="single" w:sz="4" w:space="0" w:color="auto"/>
              <w:right w:val="nil"/>
            </w:tcBorders>
          </w:tcPr>
          <w:p w14:paraId="12EEE1F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Biuro Planowania Przestrzennego Województwa Łódzkiego w Łodzi </w:t>
            </w:r>
          </w:p>
        </w:tc>
        <w:tc>
          <w:tcPr>
            <w:tcW w:w="165" w:type="dxa"/>
            <w:tcBorders>
              <w:top w:val="nil"/>
              <w:left w:val="nil"/>
              <w:bottom w:val="single" w:sz="4" w:space="0" w:color="auto"/>
              <w:right w:val="single" w:sz="4" w:space="0" w:color="auto"/>
            </w:tcBorders>
            <w:shd w:val="clear" w:color="auto" w:fill="auto"/>
          </w:tcPr>
          <w:p w14:paraId="715ED0D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D7F80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F7F31FD"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w:t>
            </w:r>
            <w:r w:rsidRPr="0028666F">
              <w:rPr>
                <w:rFonts w:ascii="Calibri" w:eastAsia="Times New Roman" w:hAnsi="Calibri" w:cs="Calibri"/>
                <w:color w:val="000000"/>
                <w:sz w:val="18"/>
                <w:szCs w:val="18"/>
                <w:lang w:eastAsia="pl-PL"/>
              </w:rPr>
              <w:br/>
              <w:t>Załącznik nr 6 Wykaz inwestycji 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Treść uwagi:</w:t>
            </w:r>
            <w:r w:rsidRPr="0028666F">
              <w:rPr>
                <w:rFonts w:ascii="Calibri" w:eastAsia="Times New Roman" w:hAnsi="Calibri" w:cs="Calibri"/>
                <w:color w:val="000000"/>
                <w:sz w:val="18"/>
                <w:szCs w:val="18"/>
                <w:lang w:eastAsia="pl-PL"/>
              </w:rPr>
              <w:br/>
              <w:t>W załączonym do dokumentu wykazie inwestycji i działań znalazło się przedsięwzięcie Wydobycie węgla brunatnego ze złoża Złoczew. Według dostępnej wiedzy inwestycja tego rodzaju nie służy poprawie stanu jakościowego ani ilościowego wód stąd kontrowersyjne jest jej wpisanie w tabelę dołączoną do PGW dla dorzecza Odry. Poza tym według najnow- szych informacji Generalny Dyrektor Ochrony Środowiska uchylił decyzję środowiskową dla wydobycia węgla brunatnego ze złoża Złoczew, wydaną w 2018 r. przez Regionalnego Dy- rektora Ochrony Środowiska w Łodzi (https://www.gov.pl/web/gdos/decyzja-generalnego- dyrektora-ochrony-srodowiska-z-dnia-24-wrzesnia-2021-r-znak-doos- wdszoo420612018mko67), więc wpisanie tej inwestycji w tabelę jest tym bardziej dysku- syjne.</w:t>
            </w:r>
          </w:p>
        </w:tc>
        <w:tc>
          <w:tcPr>
            <w:tcW w:w="2733" w:type="dxa"/>
            <w:tcBorders>
              <w:top w:val="nil"/>
              <w:left w:val="nil"/>
              <w:bottom w:val="single" w:sz="4" w:space="0" w:color="auto"/>
              <w:right w:val="single" w:sz="4" w:space="0" w:color="auto"/>
            </w:tcBorders>
            <w:shd w:val="clear" w:color="auto" w:fill="auto"/>
            <w:hideMark/>
          </w:tcPr>
          <w:p w14:paraId="4DADAE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Sugeruje się skorygowanie tabeli o wykreślenie wspomnianej inwestycji.</w:t>
            </w:r>
          </w:p>
        </w:tc>
        <w:tc>
          <w:tcPr>
            <w:tcW w:w="3009" w:type="dxa"/>
            <w:tcBorders>
              <w:top w:val="nil"/>
              <w:left w:val="nil"/>
              <w:bottom w:val="single" w:sz="4" w:space="0" w:color="auto"/>
              <w:right w:val="single" w:sz="4" w:space="0" w:color="auto"/>
            </w:tcBorders>
            <w:shd w:val="clear" w:color="auto" w:fill="auto"/>
            <w:hideMark/>
          </w:tcPr>
          <w:p w14:paraId="1B0654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Inwestycja ze względu na jej charakter oraz zmiany urzędowe jest nieaktualna z punktu widzenia niniejszego opracowania jakim jest PGW dla dorzecza Odry.</w:t>
            </w:r>
          </w:p>
        </w:tc>
        <w:tc>
          <w:tcPr>
            <w:tcW w:w="1720" w:type="dxa"/>
            <w:tcBorders>
              <w:top w:val="nil"/>
              <w:left w:val="nil"/>
              <w:bottom w:val="single" w:sz="4" w:space="0" w:color="auto"/>
              <w:right w:val="single" w:sz="4" w:space="0" w:color="auto"/>
            </w:tcBorders>
            <w:shd w:val="clear" w:color="000000" w:fill="FFFFFF"/>
            <w:hideMark/>
          </w:tcPr>
          <w:p w14:paraId="5CE416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33A3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909AA9C" w14:textId="337CEF2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odniesieniu do eksploatacji węgla ze złoża Złoczew trzeba zauważyć, że odstępstwo od celów środowiskowych zostało przypisane tej inwestycji w ramach aPGW z 2016 r. Dla potrzeb IIaPGW (i wykonania Wykazów Inwestycji i Działań) przyjęto, że przedsięwzięcia nieposiadające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 Z tego powodu eksploatacja węgla ze złoża Złoczew pozostaje zapisana w Wykazie Inwestycji i Działań. Należy też podkreślić, że w ww. Wykazie nie znajdują się przedsięwzięcia służące poprawie stanu wód, lecz wyłącznie inwestycje uznane za mogące uniemożliwiać osiągnięcie celów środowiskowych (tylko dla takich możliwe jest ustanowienie odstępstwa w trybie art. 4.7 RDW).</w:t>
            </w:r>
          </w:p>
        </w:tc>
      </w:tr>
      <w:tr w:rsidR="007C2B40" w:rsidRPr="0028666F" w14:paraId="25D4CD5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4F32DD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266</w:t>
            </w:r>
          </w:p>
        </w:tc>
        <w:tc>
          <w:tcPr>
            <w:tcW w:w="970" w:type="dxa"/>
            <w:tcBorders>
              <w:top w:val="nil"/>
              <w:left w:val="nil"/>
              <w:bottom w:val="single" w:sz="4" w:space="0" w:color="auto"/>
              <w:right w:val="nil"/>
            </w:tcBorders>
          </w:tcPr>
          <w:p w14:paraId="30319E1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7A8AB93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6F12DAE" w14:textId="1A765C4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5D7241DA" w14:textId="2DEDEB0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ype="page"/>
              <w:t xml:space="preserve">Takich przykładów, szczególnie w częściach źródłowych jest wiele, również poza Sudetami. W analogicznej sytuacji, np. dopływy Kłodnicy. </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Rozdz. 3.1.SZCW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035539A4" w14:textId="059F128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7790FC33" w14:textId="103093C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102836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1BFB4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2851072" w14:textId="3B1EDF5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21BDD83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D659F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267</w:t>
            </w:r>
          </w:p>
        </w:tc>
        <w:tc>
          <w:tcPr>
            <w:tcW w:w="970" w:type="dxa"/>
            <w:tcBorders>
              <w:top w:val="nil"/>
              <w:left w:val="nil"/>
              <w:bottom w:val="single" w:sz="4" w:space="0" w:color="auto"/>
              <w:right w:val="nil"/>
            </w:tcBorders>
          </w:tcPr>
          <w:p w14:paraId="0D46775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635DA61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AB8A302" w14:textId="0682E1A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38524C7C" w14:textId="3AEFD7D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28666F">
              <w:rPr>
                <w:rFonts w:ascii="Calibri" w:eastAsia="Times New Roman" w:hAnsi="Calibri" w:cs="Calibri"/>
                <w:color w:val="000000"/>
                <w:sz w:val="18"/>
                <w:szCs w:val="18"/>
                <w:lang w:eastAsia="pl-PL"/>
              </w:rPr>
              <w:br/>
              <w:t>Wyznaczenie SZCW niezgodnie z metodyką</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84CF2D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4B0CC1A6" w14:textId="5C1498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436DE9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A9838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CCD7992" w14:textId="7E7CC97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22A3E27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B1B96E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268</w:t>
            </w:r>
          </w:p>
        </w:tc>
        <w:tc>
          <w:tcPr>
            <w:tcW w:w="970" w:type="dxa"/>
            <w:tcBorders>
              <w:top w:val="nil"/>
              <w:left w:val="nil"/>
              <w:bottom w:val="single" w:sz="4" w:space="0" w:color="auto"/>
              <w:right w:val="nil"/>
            </w:tcBorders>
          </w:tcPr>
          <w:p w14:paraId="3C792A9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0F6369F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3E559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40987757" w14:textId="7CE9B4E9"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4271B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5B4F12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03863E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2ABB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60B246" w14:textId="0AFCB43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p>
        </w:tc>
      </w:tr>
      <w:tr w:rsidR="007C2B40" w:rsidRPr="0028666F" w14:paraId="357483E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4341AE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269</w:t>
            </w:r>
          </w:p>
        </w:tc>
        <w:tc>
          <w:tcPr>
            <w:tcW w:w="970" w:type="dxa"/>
            <w:tcBorders>
              <w:top w:val="nil"/>
              <w:left w:val="nil"/>
              <w:bottom w:val="single" w:sz="4" w:space="0" w:color="auto"/>
              <w:right w:val="nil"/>
            </w:tcBorders>
          </w:tcPr>
          <w:p w14:paraId="5DF87BF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20B9669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A256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05D86357" w14:textId="7A311EA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967B880" w14:textId="27AA46F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7B1DF3A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4719D9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5C9A3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3A4699C" w14:textId="07DC92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7937CAA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F5F76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270</w:t>
            </w:r>
          </w:p>
        </w:tc>
        <w:tc>
          <w:tcPr>
            <w:tcW w:w="970" w:type="dxa"/>
            <w:tcBorders>
              <w:top w:val="nil"/>
              <w:left w:val="nil"/>
              <w:bottom w:val="single" w:sz="4" w:space="0" w:color="auto"/>
              <w:right w:val="nil"/>
            </w:tcBorders>
          </w:tcPr>
          <w:p w14:paraId="6421489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6BEAB3B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FCDA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706999E2" w14:textId="7767F7FD"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Presja, Cele środowiskowe,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1E4176FA" w14:textId="53C4384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507E22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1204EF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26EC6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EB10C75" w14:textId="53B1E05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4F86C8A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65726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271</w:t>
            </w:r>
          </w:p>
        </w:tc>
        <w:tc>
          <w:tcPr>
            <w:tcW w:w="970" w:type="dxa"/>
            <w:tcBorders>
              <w:top w:val="nil"/>
              <w:left w:val="nil"/>
              <w:bottom w:val="single" w:sz="4" w:space="0" w:color="auto"/>
              <w:right w:val="nil"/>
            </w:tcBorders>
          </w:tcPr>
          <w:p w14:paraId="0AE3CE3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6069D46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705C8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13F1B3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Rozdz. 9, Postęp i wdrożenie działań 2016-2021</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A7D37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70B817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615EB3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259DC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3222234" w14:textId="70F6DD8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7C2B40" w:rsidRPr="0028666F" w14:paraId="3D546DC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CBBAF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272</w:t>
            </w:r>
          </w:p>
        </w:tc>
        <w:tc>
          <w:tcPr>
            <w:tcW w:w="970" w:type="dxa"/>
            <w:tcBorders>
              <w:top w:val="nil"/>
              <w:left w:val="nil"/>
              <w:bottom w:val="single" w:sz="4" w:space="0" w:color="auto"/>
              <w:right w:val="nil"/>
            </w:tcBorders>
          </w:tcPr>
          <w:p w14:paraId="22D10EA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492B932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7B921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0455D40A" w14:textId="2FAB5EC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10, Działania 2aPGW KPRWP – raport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6BB43D8D" w14:textId="44D3102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7CAA33B8" w14:textId="6226E65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288F10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37720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C2CCA29" w14:textId="6F6D8E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2D12477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B04077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273</w:t>
            </w:r>
          </w:p>
        </w:tc>
        <w:tc>
          <w:tcPr>
            <w:tcW w:w="970" w:type="dxa"/>
            <w:tcBorders>
              <w:top w:val="nil"/>
              <w:left w:val="nil"/>
              <w:bottom w:val="single" w:sz="4" w:space="0" w:color="auto"/>
              <w:right w:val="nil"/>
            </w:tcBorders>
          </w:tcPr>
          <w:p w14:paraId="149F457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3D3882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F82E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3B1376AA" w14:textId="6C49986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8.1. – 8.4. Art. 4.4. i 4.5. RDW</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4BC25AE" w14:textId="526E449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70FE80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EA0AE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51CB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DF0E1C6" w14:textId="4C3AF83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949FB3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14D691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274</w:t>
            </w:r>
          </w:p>
        </w:tc>
        <w:tc>
          <w:tcPr>
            <w:tcW w:w="970" w:type="dxa"/>
            <w:tcBorders>
              <w:top w:val="nil"/>
              <w:left w:val="nil"/>
              <w:bottom w:val="single" w:sz="4" w:space="0" w:color="auto"/>
              <w:right w:val="nil"/>
            </w:tcBorders>
          </w:tcPr>
          <w:p w14:paraId="01C579A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0FD92E3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9CF14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85CFF7E" w14:textId="077541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62C25F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55D6FD27" w14:textId="420CFD1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33BAB5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CDE7F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EBED04E" w14:textId="1A20DA6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0C025FC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37D76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275</w:t>
            </w:r>
          </w:p>
        </w:tc>
        <w:tc>
          <w:tcPr>
            <w:tcW w:w="970" w:type="dxa"/>
            <w:tcBorders>
              <w:top w:val="nil"/>
              <w:left w:val="nil"/>
              <w:bottom w:val="single" w:sz="4" w:space="0" w:color="auto"/>
              <w:right w:val="nil"/>
            </w:tcBorders>
          </w:tcPr>
          <w:p w14:paraId="67507E5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160C82B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00550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1CCB4C4F"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16, Zał. 6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E3B26E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7E511CB9"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08C7E2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73A44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165DE00" w14:textId="6C30577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097A9EC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220E42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276</w:t>
            </w:r>
          </w:p>
        </w:tc>
        <w:tc>
          <w:tcPr>
            <w:tcW w:w="970" w:type="dxa"/>
            <w:tcBorders>
              <w:top w:val="nil"/>
              <w:left w:val="nil"/>
              <w:bottom w:val="single" w:sz="4" w:space="0" w:color="auto"/>
              <w:right w:val="nil"/>
            </w:tcBorders>
          </w:tcPr>
          <w:p w14:paraId="52DC9E7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74B89C0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9461C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41B8572B" w14:textId="10C75B8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Ochrona i zwiększanie retencji na obszarach rolniczych.</w:t>
            </w:r>
            <w:r w:rsidRPr="0028666F">
              <w:rPr>
                <w:rFonts w:ascii="Calibri" w:eastAsia="Times New Roman" w:hAnsi="Calibri" w:cs="Calibri"/>
                <w:color w:val="000000"/>
                <w:sz w:val="18"/>
                <w:szCs w:val="18"/>
                <w:lang w:eastAsia="pl-PL"/>
              </w:rPr>
              <w:br w:type="page"/>
              <w:t>Ochrona i zwiększanie retencji leśnej.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RWC_01.07</w:t>
            </w:r>
            <w:r w:rsidRPr="0028666F">
              <w:rPr>
                <w:rFonts w:ascii="Calibri" w:eastAsia="Times New Roman" w:hAnsi="Calibri" w:cs="Calibri"/>
                <w:color w:val="000000"/>
                <w:sz w:val="18"/>
                <w:szCs w:val="18"/>
                <w:lang w:eastAsia="pl-PL"/>
              </w:rPr>
              <w:br w:type="page"/>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RWC_01.05.</w:t>
            </w:r>
            <w:r w:rsidRPr="0028666F">
              <w:rPr>
                <w:rFonts w:ascii="Calibri" w:eastAsia="Times New Roman" w:hAnsi="Calibri" w:cs="Calibri"/>
                <w:color w:val="000000"/>
                <w:sz w:val="18"/>
                <w:szCs w:val="18"/>
                <w:lang w:eastAsia="pl-PL"/>
              </w:rPr>
              <w:br w:type="page"/>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ype="page"/>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ype="page"/>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ype="page"/>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Katalogi działań</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7F4D2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62951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spełeniania warunków 4.7).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5A35B1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E264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003843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7529AE3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02A7F9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277</w:t>
            </w:r>
          </w:p>
        </w:tc>
        <w:tc>
          <w:tcPr>
            <w:tcW w:w="970" w:type="dxa"/>
            <w:tcBorders>
              <w:top w:val="nil"/>
              <w:left w:val="nil"/>
              <w:bottom w:val="single" w:sz="4" w:space="0" w:color="auto"/>
              <w:right w:val="nil"/>
            </w:tcBorders>
          </w:tcPr>
          <w:p w14:paraId="396E257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519FC0F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BB68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489E1DC1" w14:textId="3A7D637E"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2733" w:type="dxa"/>
            <w:tcBorders>
              <w:top w:val="nil"/>
              <w:left w:val="nil"/>
              <w:bottom w:val="single" w:sz="4" w:space="0" w:color="auto"/>
              <w:right w:val="single" w:sz="4" w:space="0" w:color="auto"/>
            </w:tcBorders>
            <w:shd w:val="clear" w:color="auto" w:fill="auto"/>
            <w:hideMark/>
          </w:tcPr>
          <w:p w14:paraId="74E85A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0EA24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017935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20805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8D10140" w14:textId="61C36E7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2A1A062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B0D010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278</w:t>
            </w:r>
          </w:p>
        </w:tc>
        <w:tc>
          <w:tcPr>
            <w:tcW w:w="970" w:type="dxa"/>
            <w:tcBorders>
              <w:top w:val="nil"/>
              <w:left w:val="nil"/>
              <w:bottom w:val="single" w:sz="4" w:space="0" w:color="auto"/>
              <w:right w:val="nil"/>
            </w:tcBorders>
          </w:tcPr>
          <w:p w14:paraId="1CEE579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7EA23B9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D477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204E7FC" w14:textId="438A0AA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14499B1"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Udrożnić dla ryb zaporę Zb. Jeziorsko odcinającą całą górna zlewnię Warty.</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6FC911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FBB46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E897C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B731C86" w14:textId="7F0470B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200CD8F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6A552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279</w:t>
            </w:r>
          </w:p>
        </w:tc>
        <w:tc>
          <w:tcPr>
            <w:tcW w:w="970" w:type="dxa"/>
            <w:tcBorders>
              <w:top w:val="nil"/>
              <w:left w:val="nil"/>
              <w:bottom w:val="single" w:sz="4" w:space="0" w:color="auto"/>
              <w:right w:val="nil"/>
            </w:tcBorders>
          </w:tcPr>
          <w:p w14:paraId="61520E0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23F1710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08AA3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1BF1794"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PIĘTRZEŃ</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AF88538"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2B1BB5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61164D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A227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AD031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2E42F8F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7EB34F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280</w:t>
            </w:r>
          </w:p>
        </w:tc>
        <w:tc>
          <w:tcPr>
            <w:tcW w:w="970" w:type="dxa"/>
            <w:tcBorders>
              <w:top w:val="nil"/>
              <w:left w:val="nil"/>
              <w:bottom w:val="single" w:sz="4" w:space="0" w:color="auto"/>
              <w:right w:val="nil"/>
            </w:tcBorders>
          </w:tcPr>
          <w:p w14:paraId="055B05E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0FFD33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FB42A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DCB4786" w14:textId="01311D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Zmiany prawne i administracyjne</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A83A9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680F9067" w14:textId="7E2C0D2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823B6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D1C58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70ED0D" w14:textId="5F8CB86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ype="page"/>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3286F93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5615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281</w:t>
            </w:r>
          </w:p>
        </w:tc>
        <w:tc>
          <w:tcPr>
            <w:tcW w:w="970" w:type="dxa"/>
            <w:tcBorders>
              <w:top w:val="nil"/>
              <w:left w:val="nil"/>
              <w:bottom w:val="single" w:sz="4" w:space="0" w:color="auto"/>
              <w:right w:val="nil"/>
            </w:tcBorders>
          </w:tcPr>
          <w:p w14:paraId="33833C9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4CB95BE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E088D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935EC16" w14:textId="524F3A4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2733" w:type="dxa"/>
            <w:tcBorders>
              <w:top w:val="nil"/>
              <w:left w:val="nil"/>
              <w:bottom w:val="single" w:sz="4" w:space="0" w:color="auto"/>
              <w:right w:val="single" w:sz="4" w:space="0" w:color="auto"/>
            </w:tcBorders>
            <w:shd w:val="clear" w:color="auto" w:fill="auto"/>
            <w:hideMark/>
          </w:tcPr>
          <w:p w14:paraId="14AEDB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32345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B218B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0F21B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30F06DC" w14:textId="6D20E1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0B035C6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1498C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282</w:t>
            </w:r>
          </w:p>
        </w:tc>
        <w:tc>
          <w:tcPr>
            <w:tcW w:w="970" w:type="dxa"/>
            <w:tcBorders>
              <w:top w:val="nil"/>
              <w:left w:val="nil"/>
              <w:bottom w:val="single" w:sz="4" w:space="0" w:color="auto"/>
              <w:right w:val="nil"/>
            </w:tcBorders>
          </w:tcPr>
          <w:p w14:paraId="5435577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1D6A50E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2AF20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380077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1AAC542" w14:textId="5E256D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4F5E3F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6DC393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2FD01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F3C65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05AD6AA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AFCA41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283</w:t>
            </w:r>
          </w:p>
        </w:tc>
        <w:tc>
          <w:tcPr>
            <w:tcW w:w="970" w:type="dxa"/>
            <w:tcBorders>
              <w:top w:val="nil"/>
              <w:left w:val="nil"/>
              <w:bottom w:val="single" w:sz="4" w:space="0" w:color="auto"/>
              <w:right w:val="nil"/>
            </w:tcBorders>
          </w:tcPr>
          <w:p w14:paraId="6930344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Przyjaciół Słońska „Unitis Viribus”</w:t>
            </w:r>
          </w:p>
        </w:tc>
        <w:tc>
          <w:tcPr>
            <w:tcW w:w="165" w:type="dxa"/>
            <w:tcBorders>
              <w:top w:val="nil"/>
              <w:left w:val="nil"/>
              <w:bottom w:val="single" w:sz="4" w:space="0" w:color="auto"/>
              <w:right w:val="single" w:sz="4" w:space="0" w:color="auto"/>
            </w:tcBorders>
            <w:shd w:val="clear" w:color="auto" w:fill="auto"/>
          </w:tcPr>
          <w:p w14:paraId="7951DEB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4DA97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0F13027"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1FD1416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9C6E2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1DE10A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D61BA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9405F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12A2857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8E17B2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284</w:t>
            </w:r>
          </w:p>
        </w:tc>
        <w:tc>
          <w:tcPr>
            <w:tcW w:w="970" w:type="dxa"/>
            <w:tcBorders>
              <w:top w:val="nil"/>
              <w:left w:val="nil"/>
              <w:bottom w:val="single" w:sz="4" w:space="0" w:color="auto"/>
              <w:right w:val="nil"/>
            </w:tcBorders>
          </w:tcPr>
          <w:p w14:paraId="2D3E9C5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600F4F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DC2CA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4ECD13B" w14:textId="49F7785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ogólna</w:t>
            </w:r>
            <w:r w:rsidRPr="0028666F">
              <w:rPr>
                <w:rFonts w:ascii="Calibri" w:eastAsia="Times New Roman" w:hAnsi="Calibri" w:cs="Calibri"/>
                <w:color w:val="000000"/>
                <w:sz w:val="18"/>
                <w:szCs w:val="18"/>
                <w:lang w:eastAsia="pl-PL"/>
              </w:rPr>
              <w:br/>
              <w:t>Plan gospodarowania wodami w dorzeczu (dalej PGW) jest głównym dokumentem planistycznym, na podstawie którego paostwa członkowskie mają osiągnąd wyznaczone tam cele środowiskowe dla wód i obszarów chronionych od wód zależnych. Cele środowiskowe zgodnie z Ramową Dyrektywą Wodną (RDW) powinny byd co do zasady osiągnięte do 2027 r. Aby to zrealizowad plany wskazują na presje oraz sposoby ich likwidacji poprzez realizacje działao ochronnych. Wskazane są też odstępstwa od celów dyrektywy dla konkretnych części wód – te musza byd jednak właściwie uzasadnione i opisane, w sposób nie budzący zastrzeżeo. Projekt PGW i każda jego aktualizacja powinna podlegad przynajmniej półrocznym konsultacjom społecznym, a proces ten powinien byd przejrzysty, umożliwiający rzeczywisty i skuteczny udział. Paostwa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zastrzeżeo. Bez wyraźnych zmian w dokumentach i poprawienia możliwości udziału społeczeostwa w jego ustanowieniu dokument ten nie spełni swojej podstawowej funkcji – osiągnięcia celów środowiskowych w zgodzie z Ramową Dyrektywą Wodną. Należy mied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w zakresie wszystkich wymagao (stan wód określono w nich jako dobry).</w:t>
            </w:r>
            <w:r w:rsidRPr="0028666F">
              <w:rPr>
                <w:rFonts w:ascii="Calibri" w:eastAsia="Times New Roman" w:hAnsi="Calibri" w:cs="Calibri"/>
                <w:color w:val="000000"/>
                <w:sz w:val="18"/>
                <w:szCs w:val="18"/>
                <w:lang w:eastAsia="pl-PL"/>
              </w:rPr>
              <w:br/>
              <w:t>W kolejnych uwagach przedstawiono szczegółowe odniesienia do ww. obszarów problemowych.</w:t>
            </w:r>
          </w:p>
        </w:tc>
        <w:tc>
          <w:tcPr>
            <w:tcW w:w="2733" w:type="dxa"/>
            <w:tcBorders>
              <w:top w:val="nil"/>
              <w:left w:val="nil"/>
              <w:bottom w:val="single" w:sz="4" w:space="0" w:color="auto"/>
              <w:right w:val="single" w:sz="4" w:space="0" w:color="auto"/>
            </w:tcBorders>
            <w:shd w:val="clear" w:color="auto" w:fill="auto"/>
            <w:hideMark/>
          </w:tcPr>
          <w:p w14:paraId="7C239B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zastrzeżeo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7D1439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przedstawiad i legalizowad podział wód, cele środowiskowe, rozpoznanie presji i dobór środków je likwidujących lub łagodzących. Wszelkie odstępstwa od osiągnięcia lub obniżenia celów środowiskowych muszą byd indywidualnie opisane i byd weryfikowalne. PGW musi gwarantowad wykonanie działao zapobiegających presji (środków) i kontrolę ich postępu. Wreszcie powinien byd zapewniony udział społeczeostwa zgodny z zapisami RDW, a Paostwo powinno zachęcad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0BF89BE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B827B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7C81A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6107B52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E7567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285</w:t>
            </w:r>
          </w:p>
        </w:tc>
        <w:tc>
          <w:tcPr>
            <w:tcW w:w="970" w:type="dxa"/>
            <w:tcBorders>
              <w:top w:val="nil"/>
              <w:left w:val="nil"/>
              <w:bottom w:val="single" w:sz="4" w:space="0" w:color="auto"/>
              <w:right w:val="nil"/>
            </w:tcBorders>
          </w:tcPr>
          <w:p w14:paraId="68ECCF1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FD1D10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4C65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0E305BD" w14:textId="701B19E4"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t>Niedopuszczalna była nagła i znacząca zmiana zapisów projektów IIaPGW jedynie na dwa tygodnie przed koocem „przynajmniej półrocznych” konsultacji w trybie przepisów RDW (30 września – publikacja zmian; 14 października – koniec konsultacji). Termin ten bezwzględnie powinien byd przedłużony. Wprowadzone zmiany, nazwane błędnie „erratami” w aż 4 dorzeczach, w tym największych – Wisły i Odry, odnoszą się do dwóch niezależnych kwestii - obszarów chronionych</w:t>
            </w:r>
            <w:r w:rsidRPr="0028666F">
              <w:rPr>
                <w:rFonts w:ascii="Calibri" w:eastAsia="Times New Roman" w:hAnsi="Calibri" w:cs="Calibri"/>
                <w:color w:val="000000"/>
                <w:sz w:val="18"/>
                <w:szCs w:val="18"/>
                <w:lang w:eastAsia="pl-PL"/>
              </w:rPr>
              <w:br/>
              <w:t>. Zmiany wymagają m.in. ponownej analizy działao zaplanowanych w dorzeczach, a odnoszących się do</w:t>
            </w:r>
            <w:r w:rsidRPr="0028666F">
              <w:rPr>
                <w:rFonts w:ascii="Calibri" w:eastAsia="Times New Roman" w:hAnsi="Calibri" w:cs="Calibri"/>
                <w:color w:val="000000"/>
                <w:sz w:val="18"/>
                <w:szCs w:val="18"/>
                <w:lang w:eastAsia="pl-PL"/>
              </w:rPr>
              <w:br/>
              <w:t>udrożnieo budowli piętrzących oraz do konkretnych zapisów głównie uszczuplających zestaw działao likwidujących presje zanieczyszczeo komunalnych.</w:t>
            </w:r>
            <w:r w:rsidRPr="0028666F">
              <w:rPr>
                <w:rFonts w:ascii="Calibri" w:eastAsia="Times New Roman" w:hAnsi="Calibri" w:cs="Calibri"/>
                <w:color w:val="000000"/>
                <w:sz w:val="18"/>
                <w:szCs w:val="18"/>
                <w:lang w:eastAsia="pl-PL"/>
              </w:rPr>
              <w:br/>
              <w:t xml:space="preserve">Ilośd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działao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działao poprawiających ich drożnośd (Zał. 4 do „erraty” wcześniej zał. 1 do zał. 7 IIaPGW). Społeczeostwo zostało zmuszone do dokonania ponownej weryfikacji tego zestawienia (obecnie 2220 działao na konkretnych budowlach), chodby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 xml:space="preserve">Wszystkie ww. zmiany są znaczące i powinny byd weryfikowalne w procesie udziału społecznego., Sposób ich wprowadzenia, ramy czasowe przewidziane na zapoznanie się z nimi stanowią naruszenie terminów przewidzianych w art. 14 RDW. </w:t>
            </w:r>
          </w:p>
        </w:tc>
        <w:tc>
          <w:tcPr>
            <w:tcW w:w="2733" w:type="dxa"/>
            <w:tcBorders>
              <w:top w:val="nil"/>
              <w:left w:val="nil"/>
              <w:bottom w:val="single" w:sz="4" w:space="0" w:color="auto"/>
              <w:right w:val="single" w:sz="4" w:space="0" w:color="auto"/>
            </w:tcBorders>
            <w:shd w:val="clear" w:color="auto" w:fill="auto"/>
            <w:hideMark/>
          </w:tcPr>
          <w:p w14:paraId="205FE5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działao z kategorii gospodarka ściekowa na możliwośd osiągnięcia celów RDW.</w:t>
            </w:r>
            <w:r w:rsidRPr="0028666F">
              <w:rPr>
                <w:rFonts w:ascii="Calibri" w:eastAsia="Times New Roman" w:hAnsi="Calibri" w:cs="Calibri"/>
                <w:color w:val="000000"/>
                <w:sz w:val="18"/>
                <w:szCs w:val="18"/>
                <w:lang w:eastAsia="pl-PL"/>
              </w:rPr>
              <w:br/>
              <w:t>Minimalny termin pozwalający na chodby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19E0F3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w:t>
            </w:r>
            <w:r w:rsidRPr="0028666F">
              <w:rPr>
                <w:rFonts w:ascii="Calibri" w:eastAsia="Times New Roman" w:hAnsi="Calibri" w:cs="Calibri"/>
                <w:color w:val="000000"/>
                <w:sz w:val="18"/>
                <w:szCs w:val="18"/>
                <w:lang w:eastAsia="pl-PL"/>
              </w:rPr>
              <w:br/>
              <w:t>ale zdecydowanie zbyt późno.</w:t>
            </w:r>
            <w:r w:rsidRPr="0028666F">
              <w:rPr>
                <w:rFonts w:ascii="Calibri" w:eastAsia="Times New Roman" w:hAnsi="Calibri" w:cs="Calibri"/>
                <w:color w:val="000000"/>
                <w:sz w:val="18"/>
                <w:szCs w:val="18"/>
                <w:lang w:eastAsia="pl-PL"/>
              </w:rPr>
              <w:br/>
              <w:t xml:space="preserve">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społeczeostwo ma się do tych zagadnieo odnieśd jedynie w dwa tygodnie? Termin publikacji rozporządzenia mógł byd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p>
        </w:tc>
        <w:tc>
          <w:tcPr>
            <w:tcW w:w="1720" w:type="dxa"/>
            <w:tcBorders>
              <w:top w:val="nil"/>
              <w:left w:val="nil"/>
              <w:bottom w:val="single" w:sz="4" w:space="0" w:color="auto"/>
              <w:right w:val="single" w:sz="4" w:space="0" w:color="auto"/>
            </w:tcBorders>
            <w:shd w:val="clear" w:color="000000" w:fill="FFFFFF"/>
            <w:hideMark/>
          </w:tcPr>
          <w:p w14:paraId="65E8DF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1D7F8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57628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0615D82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BDAF5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286</w:t>
            </w:r>
          </w:p>
        </w:tc>
        <w:tc>
          <w:tcPr>
            <w:tcW w:w="970" w:type="dxa"/>
            <w:tcBorders>
              <w:top w:val="nil"/>
              <w:left w:val="nil"/>
              <w:bottom w:val="single" w:sz="4" w:space="0" w:color="auto"/>
              <w:right w:val="nil"/>
            </w:tcBorders>
          </w:tcPr>
          <w:p w14:paraId="2AFBDD4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B654D8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5B1D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A90A7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 chaos</w:t>
            </w:r>
            <w:r w:rsidRPr="0028666F">
              <w:rPr>
                <w:rFonts w:ascii="Calibri" w:eastAsia="Times New Roman" w:hAnsi="Calibri" w:cs="Calibri"/>
                <w:color w:val="000000"/>
                <w:sz w:val="18"/>
                <w:szCs w:val="18"/>
                <w:lang w:eastAsia="pl-PL"/>
              </w:rPr>
              <w:br w:type="page"/>
              <w:t>Zgodnie z komunikatem na stronie internetowej poświęconej konsultacjom IIaPGW https://apgw.gov.pl/ z kooca września 2021 r. od 30 września miały byd</w:t>
            </w:r>
            <w:r w:rsidRPr="0028666F">
              <w:rPr>
                <w:rFonts w:ascii="Calibri" w:eastAsia="Times New Roman" w:hAnsi="Calibri" w:cs="Calibri"/>
                <w:color w:val="000000"/>
                <w:sz w:val="18"/>
                <w:szCs w:val="18"/>
                <w:lang w:eastAsia="pl-PL"/>
              </w:rPr>
              <w:br w:type="page"/>
              <w:t>to ostatni dzwonek, by wziąd udział w konsultacjach społecznych w ramach drugiej</w:t>
            </w:r>
            <w:r w:rsidRPr="0028666F">
              <w:rPr>
                <w:rFonts w:ascii="Calibri" w:eastAsia="Times New Roman" w:hAnsi="Calibri" w:cs="Calibri"/>
                <w:color w:val="000000"/>
                <w:sz w:val="18"/>
                <w:szCs w:val="18"/>
                <w:lang w:eastAsia="pl-PL"/>
              </w:rPr>
              <w:br w:type="page"/>
              <w:t>aktualizacji planów gospodarowania wodami, które trwają tylko do 14 października”.</w:t>
            </w:r>
            <w:r w:rsidRPr="0028666F">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składad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1A6D99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wyjaśnid różnice pomiędzy oboma procesami konsultacji (szczególnie co do losu i skutków składanych uwag i wniosków), zintegrowad je tak bardzo jak to tylko możliwe. Powinny mied wspólny, przedłużony czas konsultacji przynajmniej do 31 października. Powinno zostad jednoznacznie wyjaśnione, czy uwagi złożone w jednym z procesów będą brane pod uwagę w obu procedurach, czy trzeba powielad składanie uwag w obu procesach.</w:t>
            </w:r>
          </w:p>
        </w:tc>
        <w:tc>
          <w:tcPr>
            <w:tcW w:w="3009" w:type="dxa"/>
            <w:tcBorders>
              <w:top w:val="nil"/>
              <w:left w:val="nil"/>
              <w:bottom w:val="single" w:sz="4" w:space="0" w:color="auto"/>
              <w:right w:val="single" w:sz="4" w:space="0" w:color="auto"/>
            </w:tcBorders>
            <w:shd w:val="clear" w:color="auto" w:fill="auto"/>
            <w:hideMark/>
          </w:tcPr>
          <w:p w14:paraId="79AFF7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składad, na jakich formularzach i jakie to ma konsekwencje – który tryb jest ważniejszy i czy uwagi trzeba złożyd dwukrotnie.</w:t>
            </w:r>
            <w:r w:rsidRPr="0028666F">
              <w:rPr>
                <w:rFonts w:ascii="Calibri" w:eastAsia="Times New Roman" w:hAnsi="Calibri" w:cs="Calibri"/>
                <w:color w:val="000000"/>
                <w:sz w:val="18"/>
                <w:szCs w:val="18"/>
                <w:lang w:eastAsia="pl-PL"/>
              </w:rPr>
              <w:br w:type="page"/>
              <w:t>Jedynym rozwiązaniem jest ujednolicenie trybu składania uwag i rozszerzenie terminów ich składania.</w:t>
            </w:r>
            <w:r w:rsidRPr="0028666F">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zostad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6EA940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E1F24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BBE14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1FBAB70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F1123B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287</w:t>
            </w:r>
          </w:p>
        </w:tc>
        <w:tc>
          <w:tcPr>
            <w:tcW w:w="970" w:type="dxa"/>
            <w:tcBorders>
              <w:top w:val="nil"/>
              <w:left w:val="nil"/>
              <w:bottom w:val="single" w:sz="4" w:space="0" w:color="auto"/>
              <w:right w:val="nil"/>
            </w:tcBorders>
          </w:tcPr>
          <w:p w14:paraId="1F92C5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CA2DF3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F5AC7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8AE117B" w14:textId="2876AE4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 geobaza</w:t>
            </w:r>
            <w:r w:rsidRPr="0028666F">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sied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podkreślid, że stworzenie bazy danych czy nawet zobrazowanie warstw GIS było możliwe, na co wskazuje chodby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częśd danych przestrzennych chod jest w ich posiadaniu, nie zostanie udostępnionych (sied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18E1518F" w14:textId="25223C8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Powtórzyd / przedłużyd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wyznaczaniu wód „nienaturalnych” (SZCW i SCW) dane te powinny byd upowszechnione na ogólnodostępnej platformie (jak w przypadku konsultacji aPZRP) oraz dostępne na wniosek.</w:t>
            </w:r>
          </w:p>
        </w:tc>
        <w:tc>
          <w:tcPr>
            <w:tcW w:w="3009" w:type="dxa"/>
            <w:tcBorders>
              <w:top w:val="nil"/>
              <w:left w:val="nil"/>
              <w:bottom w:val="single" w:sz="4" w:space="0" w:color="auto"/>
              <w:right w:val="single" w:sz="4" w:space="0" w:color="auto"/>
            </w:tcBorders>
            <w:shd w:val="clear" w:color="auto" w:fill="auto"/>
            <w:hideMark/>
          </w:tcPr>
          <w:p w14:paraId="1702A56E" w14:textId="3113624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czy działao ochronnych) znacząco obniża jakośd konsultacji publicznych. Uwaga składana wielokrotnie m.in. w trakcie spotkao konsultacyjnych nie doczekała się żadnej reakcji.</w:t>
            </w:r>
            <w:r w:rsidRPr="0028666F">
              <w:rPr>
                <w:rFonts w:ascii="Calibri" w:eastAsia="Times New Roman" w:hAnsi="Calibri" w:cs="Calibri"/>
                <w:color w:val="000000"/>
                <w:sz w:val="18"/>
                <w:szCs w:val="18"/>
                <w:lang w:eastAsia="pl-PL"/>
              </w:rPr>
              <w:br/>
              <w:t>Mapy udostępnione wraz z projektem IIaPGW nie są ani czytelne ani możliwe do wykorzystania przez osoby uczestniczące w konsultacjach.</w:t>
            </w:r>
            <w:r w:rsidRPr="0028666F">
              <w:rPr>
                <w:rFonts w:ascii="Calibri" w:eastAsia="Times New Roman" w:hAnsi="Calibri" w:cs="Calibri"/>
                <w:color w:val="000000"/>
                <w:sz w:val="18"/>
                <w:szCs w:val="18"/>
                <w:lang w:eastAsia="pl-PL"/>
              </w:rPr>
              <w:br/>
              <w:t>Działanie Wód Polskich w tym zakresie jest sprzeczne z:</w:t>
            </w:r>
            <w:r w:rsidRPr="0028666F">
              <w:rPr>
                <w:rFonts w:ascii="Calibri" w:eastAsia="Times New Roman" w:hAnsi="Calibri" w:cs="Calibri"/>
                <w:color w:val="000000"/>
                <w:sz w:val="18"/>
                <w:szCs w:val="18"/>
                <w:lang w:eastAsia="pl-PL"/>
              </w:rPr>
              <w:br/>
              <w:t>art. 14 RDW –</w:t>
            </w:r>
            <w:r w:rsidRPr="0028666F">
              <w:rPr>
                <w:rFonts w:ascii="Calibri" w:eastAsia="Times New Roman" w:hAnsi="Calibri" w:cs="Calibri"/>
                <w:color w:val="000000"/>
                <w:sz w:val="18"/>
                <w:szCs w:val="18"/>
                <w:lang w:eastAsia="pl-PL"/>
              </w:rPr>
              <w:br/>
              <w:t>Paostwa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p>
        </w:tc>
        <w:tc>
          <w:tcPr>
            <w:tcW w:w="1720" w:type="dxa"/>
            <w:tcBorders>
              <w:top w:val="nil"/>
              <w:left w:val="nil"/>
              <w:bottom w:val="single" w:sz="4" w:space="0" w:color="auto"/>
              <w:right w:val="single" w:sz="4" w:space="0" w:color="auto"/>
            </w:tcBorders>
            <w:shd w:val="clear" w:color="000000" w:fill="FFFFFF"/>
            <w:hideMark/>
          </w:tcPr>
          <w:p w14:paraId="5B9135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CC0D5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CDA59FB" w14:textId="1D963EA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7A5454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90CF81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288</w:t>
            </w:r>
          </w:p>
        </w:tc>
        <w:tc>
          <w:tcPr>
            <w:tcW w:w="970" w:type="dxa"/>
            <w:tcBorders>
              <w:top w:val="nil"/>
              <w:left w:val="nil"/>
              <w:bottom w:val="single" w:sz="4" w:space="0" w:color="auto"/>
              <w:right w:val="nil"/>
            </w:tcBorders>
          </w:tcPr>
          <w:p w14:paraId="61955A3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39B22EF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BFBA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D5A10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 dokumenty źródłowe</w:t>
            </w:r>
            <w:r w:rsidRPr="0028666F">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nieskooczonych”.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byd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stanowid to technicznego problemu (po 18 latach nie powinno stanowid go nadal).</w:t>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mówid o prawidłowym przeprowadzeniu konsultacji publicznych. Szczególnie traktowanie tych dokumentów jako nieskooczonych (możliwe zastosowanie odmowy udostępnienia z art. 16 uoś), a mimo tego przygotowanych do obowiązkowych półrocznych konsultacji publicznych (wymienione w projekcie IIaPGW) powoduje, że konsultacje te nie mogą byd uznane za przeprowadzone w trybie art. 14 ust. 1 RDW.</w:t>
            </w:r>
            <w:r w:rsidRPr="0028666F">
              <w:rPr>
                <w:rFonts w:ascii="Calibri" w:eastAsia="Times New Roman" w:hAnsi="Calibri" w:cs="Calibri"/>
                <w:color w:val="000000"/>
                <w:sz w:val="18"/>
                <w:szCs w:val="18"/>
                <w:lang w:eastAsia="pl-PL"/>
              </w:rPr>
              <w:br/>
              <w:t>Odnieśd można wrażenie, że nieopublikowanie dokumentów w domenie publicznej to celowe ograniczanie udziału interesariuszy. Warto w tym miejscu przytoczyd słowa Dyrektora Departamentu Zarządzania Środowiskiem Wodnym Przemysława Gruszeckiego wygłoszone na spotkaniu konsultacyjnym w Zielonej Górze, że dokumenty źródłowe są udostępniane na indywidualny wniosek, ale nie mogą podlegad dalszemu rozpowszechnianiu nawet w niezmienionej formie, gdyż Wody Polskie „muszą wiedzied jak te dokumenty krążą”.</w:t>
            </w:r>
          </w:p>
        </w:tc>
        <w:tc>
          <w:tcPr>
            <w:tcW w:w="2733" w:type="dxa"/>
            <w:tcBorders>
              <w:top w:val="nil"/>
              <w:left w:val="nil"/>
              <w:bottom w:val="single" w:sz="4" w:space="0" w:color="auto"/>
              <w:right w:val="single" w:sz="4" w:space="0" w:color="auto"/>
            </w:tcBorders>
            <w:shd w:val="clear" w:color="auto" w:fill="auto"/>
            <w:hideMark/>
          </w:tcPr>
          <w:p w14:paraId="3341A9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udostępnid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7913A18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postanowieo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0127AC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A1848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09DA1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094F1CE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02FA4A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289</w:t>
            </w:r>
          </w:p>
        </w:tc>
        <w:tc>
          <w:tcPr>
            <w:tcW w:w="970" w:type="dxa"/>
            <w:tcBorders>
              <w:top w:val="nil"/>
              <w:left w:val="nil"/>
              <w:bottom w:val="single" w:sz="4" w:space="0" w:color="auto"/>
              <w:right w:val="nil"/>
            </w:tcBorders>
          </w:tcPr>
          <w:p w14:paraId="0ECCC9C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61659DB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260B88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39398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 formularz</w:t>
            </w:r>
            <w:r w:rsidRPr="0028666F">
              <w:rPr>
                <w:rFonts w:ascii="Calibri" w:eastAsia="Times New Roman" w:hAnsi="Calibri" w:cs="Calibri"/>
                <w:color w:val="000000"/>
                <w:sz w:val="18"/>
                <w:szCs w:val="18"/>
                <w:lang w:eastAsia="pl-PL"/>
              </w:rPr>
              <w:br/>
              <w:t>Niezrozumiałe jest przedstawienie do konsultacji formularza utrudniającego składanie większej ilości uwag., przy jednoczesnej sugestii, że to jedyny sposób składania uwag pocztą e-mail. Uwagi mają byd złożone w formularzu tekstowym, jedna pod drugą: UWAGA, PROPONOWANE ZMIANY i UZASADNIENIE. Aby złożyd więcej uwag, należy kopiowad pola. Lepszym, bardziej przyjaznym użytkownikom i wcześniej praktykowanym przez Wody Polskie sposobem było składanie uwag na formularzu w formie tabeli – z ww. tematycznymi kolumnami.</w:t>
            </w:r>
          </w:p>
        </w:tc>
        <w:tc>
          <w:tcPr>
            <w:tcW w:w="2733" w:type="dxa"/>
            <w:tcBorders>
              <w:top w:val="nil"/>
              <w:left w:val="nil"/>
              <w:bottom w:val="single" w:sz="4" w:space="0" w:color="auto"/>
              <w:right w:val="single" w:sz="4" w:space="0" w:color="auto"/>
            </w:tcBorders>
            <w:shd w:val="clear" w:color="auto" w:fill="auto"/>
            <w:hideMark/>
          </w:tcPr>
          <w:p w14:paraId="705D1C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Umożliwid składanie uwag również w innych formach niż załączony na stronach konsultacji formularz, w tym w formie tabelarycznej. Stosowna informacja powinna znaleźd się na stronie https://apgw.gov.pl/pl/konsultacje</w:t>
            </w:r>
          </w:p>
        </w:tc>
        <w:tc>
          <w:tcPr>
            <w:tcW w:w="3009" w:type="dxa"/>
            <w:tcBorders>
              <w:top w:val="nil"/>
              <w:left w:val="nil"/>
              <w:bottom w:val="single" w:sz="4" w:space="0" w:color="auto"/>
              <w:right w:val="single" w:sz="4" w:space="0" w:color="auto"/>
            </w:tcBorders>
            <w:shd w:val="clear" w:color="auto" w:fill="auto"/>
            <w:hideMark/>
          </w:tcPr>
          <w:p w14:paraId="3F24B4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Organy paostwowe powinny ułatwiad składanie uwag w ramach konsultacji IIaPGW, a nie je utrudniad.</w:t>
            </w:r>
          </w:p>
        </w:tc>
        <w:tc>
          <w:tcPr>
            <w:tcW w:w="1720" w:type="dxa"/>
            <w:tcBorders>
              <w:top w:val="nil"/>
              <w:left w:val="nil"/>
              <w:bottom w:val="single" w:sz="4" w:space="0" w:color="auto"/>
              <w:right w:val="single" w:sz="4" w:space="0" w:color="auto"/>
            </w:tcBorders>
            <w:shd w:val="clear" w:color="000000" w:fill="FFFFFF"/>
            <w:hideMark/>
          </w:tcPr>
          <w:p w14:paraId="7E3C38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7588C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B1540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7C2B40" w:rsidRPr="0028666F" w14:paraId="6066A28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B14F6E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290</w:t>
            </w:r>
          </w:p>
        </w:tc>
        <w:tc>
          <w:tcPr>
            <w:tcW w:w="970" w:type="dxa"/>
            <w:tcBorders>
              <w:top w:val="nil"/>
              <w:left w:val="nil"/>
              <w:bottom w:val="single" w:sz="4" w:space="0" w:color="auto"/>
              <w:right w:val="nil"/>
            </w:tcBorders>
          </w:tcPr>
          <w:p w14:paraId="2E51CB9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2FC7CD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B4DBF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0B6E1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 dane ze strony aPGW</w:t>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32FC21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Przywrócid dane z poprzedniego okresu planistycznego, dostępne pod starym adresem konsultacji www.apgw.kzgw.gov.pl</w:t>
            </w:r>
          </w:p>
        </w:tc>
        <w:tc>
          <w:tcPr>
            <w:tcW w:w="3009" w:type="dxa"/>
            <w:tcBorders>
              <w:top w:val="nil"/>
              <w:left w:val="nil"/>
              <w:bottom w:val="single" w:sz="4" w:space="0" w:color="auto"/>
              <w:right w:val="single" w:sz="4" w:space="0" w:color="auto"/>
            </w:tcBorders>
            <w:shd w:val="clear" w:color="auto" w:fill="auto"/>
            <w:hideMark/>
          </w:tcPr>
          <w:p w14:paraId="0DAAB1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86B8C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028F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A3939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1824E00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C74E91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291</w:t>
            </w:r>
          </w:p>
        </w:tc>
        <w:tc>
          <w:tcPr>
            <w:tcW w:w="970" w:type="dxa"/>
            <w:tcBorders>
              <w:top w:val="nil"/>
              <w:left w:val="nil"/>
              <w:bottom w:val="single" w:sz="4" w:space="0" w:color="auto"/>
              <w:right w:val="nil"/>
            </w:tcBorders>
          </w:tcPr>
          <w:p w14:paraId="0C1EA9A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0F5EB85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FD2D1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5BDCFF0" w14:textId="3579CB1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ype="page"/>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Częśd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częśd połączono z innymi ciekami, a największa częśd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długośd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jest bardzo mało efektywna. Przyczyna takiego podejścia (takich zmian), nie została wyjaśniona w projekcie IIaPGW.</w:t>
            </w:r>
            <w:r w:rsidRPr="0028666F">
              <w:rPr>
                <w:rFonts w:ascii="Calibri" w:eastAsia="Times New Roman" w:hAnsi="Calibri" w:cs="Calibri"/>
                <w:color w:val="000000"/>
                <w:sz w:val="18"/>
                <w:szCs w:val="18"/>
                <w:lang w:eastAsia="pl-PL"/>
              </w:rPr>
              <w:br w:type="page"/>
              <w:t xml:space="preserve">Nie wystarczy napisad,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zostad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Paostwa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zostad poddane pełnej kontroli publicznej. Nawet jeśli któryś z dokumentów, na podstawie którego dokonano zmian, był przedstawiony do konsultacji publicznych, to informacja o ich wynikach powinna znaleźd się w projekcie IIaPGW. Nie powinno się też wykluczad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2DDEE921" w14:textId="19D8596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Uzasadnid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zweryfikowad zasadnośd wyłączeo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Zweryfikowad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byd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5BA260A4" w14:textId="1B4949A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byd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częśd wód. IIaPGW powinno zawierad dowód, że za nowym podziałem stoją racjonalne przesłanki, inne niż np. oszczędności na rozbudowie sieci monitoringowej i chęd realizacji większej ilości przedsięwzięd wykazujących presje na wody - znacząco negatywnie oddziałujących na stan wód i obszary chronione zależne od wód. Dziwnym zbiegiem okoliczności, nagle żadne z przedsięwzięd spełniających według Wód Polskich warunki derogacji art. 4.7 nie wykazuje negatywnych oddziaływao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niż te, na których jest czy ma byd położone.</w:t>
            </w:r>
            <w:r w:rsidRPr="0028666F">
              <w:rPr>
                <w:rFonts w:ascii="Calibri" w:eastAsia="Times New Roman" w:hAnsi="Calibri" w:cs="Calibri"/>
                <w:color w:val="000000"/>
                <w:sz w:val="18"/>
                <w:szCs w:val="18"/>
                <w:lang w:eastAsia="pl-PL"/>
              </w:rPr>
              <w:br w:type="page"/>
              <w:t xml:space="preserve">Zmniejszenie o 6 jednostek typologii rzek nie może byd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ujednoliceo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„giganty” o długościach łącznych powyżej 200 km, a także bardzo długie odcinki pojedynczych cieków, których monitorowanie w jednym miejscu (punkcie) jest kompletnie niemiarodajne.</w:t>
            </w:r>
          </w:p>
        </w:tc>
        <w:tc>
          <w:tcPr>
            <w:tcW w:w="1720" w:type="dxa"/>
            <w:tcBorders>
              <w:top w:val="nil"/>
              <w:left w:val="nil"/>
              <w:bottom w:val="single" w:sz="4" w:space="0" w:color="auto"/>
              <w:right w:val="single" w:sz="4" w:space="0" w:color="auto"/>
            </w:tcBorders>
            <w:shd w:val="clear" w:color="000000" w:fill="FFFFFF"/>
            <w:hideMark/>
          </w:tcPr>
          <w:p w14:paraId="7F6262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C6E4E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ED76405" w14:textId="6F1CD8D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14E4D4E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9B2EF3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292</w:t>
            </w:r>
          </w:p>
        </w:tc>
        <w:tc>
          <w:tcPr>
            <w:tcW w:w="970" w:type="dxa"/>
            <w:tcBorders>
              <w:top w:val="nil"/>
              <w:left w:val="nil"/>
              <w:bottom w:val="single" w:sz="4" w:space="0" w:color="auto"/>
              <w:right w:val="nil"/>
            </w:tcBorders>
          </w:tcPr>
          <w:p w14:paraId="4090E5A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1C81AF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4BFCF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0D8FC891" w14:textId="7A4A19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w:t>
            </w:r>
            <w:r w:rsidRPr="0028666F">
              <w:rPr>
                <w:rFonts w:ascii="Calibri" w:eastAsia="Times New Roman" w:hAnsi="Calibri" w:cs="Calibri"/>
                <w:color w:val="000000"/>
                <w:sz w:val="18"/>
                <w:szCs w:val="18"/>
                <w:lang w:eastAsia="pl-PL"/>
              </w:rPr>
              <w:br/>
              <w:t>Rozdz. 3, 5.1. oraz 8.1.</w:t>
            </w:r>
            <w:r w:rsidRPr="0028666F">
              <w:rPr>
                <w:rFonts w:ascii="Calibri" w:eastAsia="Times New Roman" w:hAnsi="Calibri" w:cs="Calibri"/>
                <w:color w:val="000000"/>
                <w:sz w:val="18"/>
                <w:szCs w:val="18"/>
                <w:lang w:eastAsia="pl-PL"/>
              </w:rPr>
              <w:br/>
              <w:t>Zał. 3.1. oraz 8.</w:t>
            </w:r>
            <w:r w:rsidRPr="0028666F">
              <w:rPr>
                <w:rFonts w:ascii="Calibri" w:eastAsia="Times New Roman" w:hAnsi="Calibri" w:cs="Calibri"/>
                <w:color w:val="000000"/>
                <w:sz w:val="18"/>
                <w:szCs w:val="18"/>
                <w:lang w:eastAsia="pl-PL"/>
              </w:rPr>
              <w:br/>
              <w:t>Zał. mapowe</w:t>
            </w:r>
            <w:r w:rsidRPr="0028666F">
              <w:rPr>
                <w:rFonts w:ascii="Calibri" w:eastAsia="Times New Roman" w:hAnsi="Calibri" w:cs="Calibri"/>
                <w:color w:val="000000"/>
                <w:sz w:val="18"/>
                <w:szCs w:val="18"/>
                <w:lang w:eastAsia="pl-PL"/>
              </w:rPr>
              <w:b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oznaczad,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600E218A" w14:textId="193D05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Zweryfikowad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Wyłączyd z wyznaczeo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1929942F" w14:textId="68B8A99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Takie podejście nie może byd usprawiedliwieniem dla znaczących negatywnych zmian w cennych siedliskach związanych z cofkami niektórych zbiorników wodnych.</w:t>
            </w:r>
          </w:p>
        </w:tc>
        <w:tc>
          <w:tcPr>
            <w:tcW w:w="1720" w:type="dxa"/>
            <w:tcBorders>
              <w:top w:val="nil"/>
              <w:left w:val="nil"/>
              <w:bottom w:val="single" w:sz="4" w:space="0" w:color="auto"/>
              <w:right w:val="single" w:sz="4" w:space="0" w:color="auto"/>
            </w:tcBorders>
            <w:shd w:val="clear" w:color="000000" w:fill="FFFFFF"/>
            <w:hideMark/>
          </w:tcPr>
          <w:p w14:paraId="6B269B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336C1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69DF5A0" w14:textId="197E521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12F6CC9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9C7F98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293</w:t>
            </w:r>
          </w:p>
        </w:tc>
        <w:tc>
          <w:tcPr>
            <w:tcW w:w="970" w:type="dxa"/>
            <w:tcBorders>
              <w:top w:val="nil"/>
              <w:left w:val="nil"/>
              <w:bottom w:val="single" w:sz="4" w:space="0" w:color="auto"/>
              <w:right w:val="nil"/>
            </w:tcBorders>
          </w:tcPr>
          <w:p w14:paraId="77BCB3E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D4F0C3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94B6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0191EA2" w14:textId="16E9AF2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3.1.SZCW</w:t>
            </w:r>
            <w:r w:rsidRPr="0028666F">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nienaturalnej części wód”, a wszelkie niepewności, w tym brak danych, nie pozwalają na obniżenie wymogów celów środowiskowych (potencjał ekologiczny zamiast stanu).</w:t>
            </w:r>
            <w:r w:rsidRPr="0028666F">
              <w:rPr>
                <w:rFonts w:ascii="Calibri" w:eastAsia="Times New Roman" w:hAnsi="Calibri" w:cs="Calibri"/>
                <w:color w:val="000000"/>
                <w:sz w:val="18"/>
                <w:szCs w:val="18"/>
                <w:lang w:eastAsia="pl-PL"/>
              </w:rPr>
              <w:br/>
              <w:t>Zgodnie z art. 4.3. RDW Paostwa Członkowskie mogą wyznaczyd częśd wód powierzchniowych jako sztucznie lub silnie zmienioną, gdy:</w:t>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wywrzed znaczący niekorzystny wpływ na: środowisko w szerszym znaczeniu; żeglugę, włączając urządzenia portowe, lub rekreację; działalnośd, do której celów woda jest magazynowana, takie jak zaopatrzenie w wodę do spożycia, wytwarzanie prądu lub nawadnianie; regulację wód, zapobieganie powodzi, odwadnianie ziemi; lub inną jednakowo ważną działalnośd człowieka związaną ze zrównoważonym rozwojem;</w:t>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byd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sześd lat.”</w:t>
            </w:r>
            <w:r w:rsidRPr="0028666F">
              <w:rPr>
                <w:rFonts w:ascii="Calibri" w:eastAsia="Times New Roman" w:hAnsi="Calibri" w:cs="Calibri"/>
                <w:color w:val="000000"/>
                <w:sz w:val="18"/>
                <w:szCs w:val="18"/>
                <w:lang w:eastAsia="pl-PL"/>
              </w:rPr>
              <w:br/>
              <w:t>Zgodnie z dokumentem</w:t>
            </w:r>
            <w:r w:rsidRPr="0028666F">
              <w:rPr>
                <w:rFonts w:ascii="Calibri" w:eastAsia="Times New Roman" w:hAnsi="Calibri" w:cs="Calibri"/>
                <w:color w:val="000000"/>
                <w:sz w:val="18"/>
                <w:szCs w:val="18"/>
                <w:lang w:eastAsia="pl-PL"/>
              </w:rPr>
              <w:br/>
              <w:t>DOKUMENT ROBOCZY SŁUŻB KOMISJI Drugie plany gospodarowania wodami w dorzeczu – paostwo członkowskie: Polska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t>Zalecenie z 2012 r.:</w:t>
            </w:r>
            <w:r w:rsidRPr="0028666F">
              <w:rPr>
                <w:rFonts w:ascii="Calibri" w:eastAsia="Times New Roman" w:hAnsi="Calibri" w:cs="Calibri"/>
                <w:color w:val="000000"/>
                <w:sz w:val="18"/>
                <w:szCs w:val="18"/>
                <w:lang w:eastAsia="pl-PL"/>
              </w:rPr>
              <w:br/>
              <w:t>Wyznaczenie silnie zmienionych jednolitych części wód powinno byd zgodne ze wszystkimi wymogami określonymi w art. 4 ust. 3. W planach gospodarowania wodami w dorzeczach należy położyd szczególny nacisk na ocenę „znaczącego niekorzystnego wpływu” na sposób korzystania z wód lub środowisko naturalne oraz brak „opcji znacznie korzystniejszych środowiskowo”. Jest to konieczne do zapewnienia przejrzystości procesu wyznaczania.</w:t>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ocenid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28666F">
              <w:rPr>
                <w:rFonts w:ascii="Calibri" w:eastAsia="Times New Roman" w:hAnsi="Calibri" w:cs="Calibri"/>
                <w:color w:val="000000"/>
                <w:sz w:val="18"/>
                <w:szCs w:val="18"/>
                <w:lang w:eastAsia="pl-PL"/>
              </w:rPr>
              <w:br/>
              <w:t>Na tej podstawie nie można ani potwierdzid ani zaprzeczyd, że zmian hydromorfologicznych nie można odwrócid bez szkody dla pełnionych funkcji i nie ma żadnych rozwiązao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Jeśli zaś, zachodzi niepewnośd, co do możliwości wyznaczenia SZCW, wyznaczenie takie było nieuprawnione.</w:t>
            </w:r>
          </w:p>
        </w:tc>
        <w:tc>
          <w:tcPr>
            <w:tcW w:w="2733" w:type="dxa"/>
            <w:tcBorders>
              <w:top w:val="nil"/>
              <w:left w:val="nil"/>
              <w:bottom w:val="single" w:sz="4" w:space="0" w:color="auto"/>
              <w:right w:val="single" w:sz="4" w:space="0" w:color="auto"/>
            </w:tcBorders>
            <w:shd w:val="clear" w:color="auto" w:fill="auto"/>
            <w:hideMark/>
          </w:tcPr>
          <w:p w14:paraId="0EB92E42" w14:textId="1334842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udowodnid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brak wątpliwości przy wyznaczeniu SZCW, szczególnie udowodnid zmiany charakterystyk hydromorfologicznych tej części wód, które byłyby konieczne dla osiągnięcia dobrego stanu ekologicznego, mogłyby wywrzed znaczący niekorzystny wpływ na dane cele działalności opisanej w RDW, oraz że faktycznie nie było innych opcji znacznie korzystniejszych środowiskowo. Należy przy tym wziąd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 Na tej podstawie należy nadad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713041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357C0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8937A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CC23EFB" w14:textId="2B614D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1D33C4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114B46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294</w:t>
            </w:r>
          </w:p>
        </w:tc>
        <w:tc>
          <w:tcPr>
            <w:tcW w:w="970" w:type="dxa"/>
            <w:tcBorders>
              <w:top w:val="nil"/>
              <w:left w:val="nil"/>
              <w:bottom w:val="single" w:sz="4" w:space="0" w:color="auto"/>
              <w:right w:val="nil"/>
            </w:tcBorders>
          </w:tcPr>
          <w:p w14:paraId="32596F3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2C0C79B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A6D2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BDBC600" w14:textId="2F93AC9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3.1.SZCW</w:t>
            </w:r>
            <w:r w:rsidRPr="0028666F">
              <w:rPr>
                <w:rFonts w:ascii="Calibri" w:eastAsia="Times New Roman" w:hAnsi="Calibri" w:cs="Calibri"/>
                <w:color w:val="000000"/>
                <w:sz w:val="18"/>
                <w:szCs w:val="18"/>
                <w:lang w:eastAsia="pl-PL"/>
              </w:rPr>
              <w:br/>
              <w:t xml:space="preserve">Częśd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2.1.) nie jest prawidłowym utworzenie jednej dużej SZCW z mniejszych o mieszanym statucie.</w:t>
            </w:r>
            <w:r w:rsidRPr="0028666F">
              <w:rPr>
                <w:rFonts w:ascii="Calibri" w:eastAsia="Times New Roman" w:hAnsi="Calibri" w:cs="Calibri"/>
                <w:color w:val="000000"/>
                <w:sz w:val="18"/>
                <w:szCs w:val="18"/>
                <w:lang w:eastAsia="pl-PL"/>
              </w:rPr>
              <w:br/>
              <w:t xml:space="preserve">Przykładem mogą byd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5947BA0D" w14:textId="325CBF6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przywrócid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2FB96C93" w14:textId="5A1B1B1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wymagao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778713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40F75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01B2A55" w14:textId="4A5039A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1391993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5FD1FD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295</w:t>
            </w:r>
          </w:p>
        </w:tc>
        <w:tc>
          <w:tcPr>
            <w:tcW w:w="970" w:type="dxa"/>
            <w:tcBorders>
              <w:top w:val="nil"/>
              <w:left w:val="nil"/>
              <w:bottom w:val="single" w:sz="4" w:space="0" w:color="auto"/>
              <w:right w:val="nil"/>
            </w:tcBorders>
          </w:tcPr>
          <w:p w14:paraId="3ABAA13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24C6AFD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5499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9855DE4" w14:textId="61E0E1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 SZCW Wyznaczenie SZCW niezgodnie z metodyką</w:t>
            </w:r>
            <w:r w:rsidRPr="0028666F">
              <w:rPr>
                <w:rFonts w:ascii="Calibri" w:eastAsia="Times New Roman" w:hAnsi="Calibri" w:cs="Calibri"/>
                <w:color w:val="000000"/>
                <w:sz w:val="18"/>
                <w:szCs w:val="18"/>
                <w:lang w:eastAsia="pl-PL"/>
              </w:rPr>
              <w:b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które zgodnie z przyjętą metodyką powinny mied status NATuralnych.</w:t>
            </w:r>
            <w:r w:rsidRPr="0028666F">
              <w:rPr>
                <w:rFonts w:ascii="Calibri" w:eastAsia="Times New Roman" w:hAnsi="Calibri" w:cs="Calibri"/>
                <w:color w:val="000000"/>
                <w:sz w:val="18"/>
                <w:szCs w:val="18"/>
                <w:lang w:eastAsia="pl-PL"/>
              </w:rPr>
              <w:br/>
              <w:t xml:space="preserve">W dorzeczu Odry jest to sześd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Noted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Noted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dróg wodnych jest wbrew metodyce i wytycznych KE CIS No4 „Identification and Designation of Heavily Modified and Artificial Water Bodies”, według których podstawą do uznania za SCZW jest hydromorfologiczna jakośd wód, a w następnej kolejności pod uwagę brane jest dopiero jej użytkowanie.</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2733" w:type="dxa"/>
            <w:tcBorders>
              <w:top w:val="nil"/>
              <w:left w:val="nil"/>
              <w:bottom w:val="single" w:sz="4" w:space="0" w:color="auto"/>
              <w:right w:val="single" w:sz="4" w:space="0" w:color="auto"/>
            </w:tcBorders>
            <w:shd w:val="clear" w:color="auto" w:fill="auto"/>
            <w:hideMark/>
          </w:tcPr>
          <w:p w14:paraId="1C6FC8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Przywrócid dla:</w:t>
            </w:r>
            <w:r w:rsidRPr="0028666F">
              <w:rPr>
                <w:rFonts w:ascii="Calibri" w:eastAsia="Times New Roman" w:hAnsi="Calibri" w:cs="Calibri"/>
                <w:color w:val="000000"/>
                <w:sz w:val="18"/>
                <w:szCs w:val="18"/>
                <w:lang w:eastAsia="pl-PL"/>
              </w:rPr>
              <w:br/>
              <w:t>RW60001217999 Odra od Nysy Łużyckiej do Warty RW600012183519 Warta od Neru do Powy</w:t>
            </w:r>
            <w:r w:rsidRPr="0028666F">
              <w:rPr>
                <w:rFonts w:ascii="Calibri" w:eastAsia="Times New Roman" w:hAnsi="Calibri" w:cs="Calibri"/>
                <w:color w:val="000000"/>
                <w:sz w:val="18"/>
                <w:szCs w:val="18"/>
                <w:lang w:eastAsia="pl-PL"/>
              </w:rPr>
              <w:br/>
              <w:t>RW60001218399 Warta od Powy do Prosny</w:t>
            </w:r>
            <w:r w:rsidRPr="0028666F">
              <w:rPr>
                <w:rFonts w:ascii="Calibri" w:eastAsia="Times New Roman" w:hAnsi="Calibri" w:cs="Calibri"/>
                <w:color w:val="000000"/>
                <w:sz w:val="18"/>
                <w:szCs w:val="18"/>
                <w:lang w:eastAsia="pl-PL"/>
              </w:rPr>
              <w:br/>
              <w:t>RW600012188977 Noted od Rudawy do ujścia</w:t>
            </w:r>
            <w:r w:rsidRPr="0028666F">
              <w:rPr>
                <w:rFonts w:ascii="Calibri" w:eastAsia="Times New Roman" w:hAnsi="Calibri" w:cs="Calibri"/>
                <w:color w:val="000000"/>
                <w:sz w:val="18"/>
                <w:szCs w:val="18"/>
                <w:lang w:eastAsia="pl-PL"/>
              </w:rPr>
              <w:br/>
              <w:t>RW60001219199 Odra od Warty do oddzielenia się Odry Zachodniej RW6000121999 Odra od Bukowej do ujścia</w:t>
            </w:r>
            <w:r w:rsidRPr="0028666F">
              <w:rPr>
                <w:rFonts w:ascii="Calibri" w:eastAsia="Times New Roman" w:hAnsi="Calibri" w:cs="Calibri"/>
                <w:color w:val="000000"/>
                <w:sz w:val="18"/>
                <w:szCs w:val="18"/>
                <w:lang w:eastAsia="pl-PL"/>
              </w:rPr>
              <w:br/>
              <w:t>naturalny status wody (NAT).</w:t>
            </w:r>
          </w:p>
        </w:tc>
        <w:tc>
          <w:tcPr>
            <w:tcW w:w="3009" w:type="dxa"/>
            <w:tcBorders>
              <w:top w:val="nil"/>
              <w:left w:val="nil"/>
              <w:bottom w:val="single" w:sz="4" w:space="0" w:color="auto"/>
              <w:right w:val="single" w:sz="4" w:space="0" w:color="auto"/>
            </w:tcBorders>
            <w:shd w:val="clear" w:color="auto" w:fill="auto"/>
            <w:hideMark/>
          </w:tcPr>
          <w:p w14:paraId="075D345E" w14:textId="29988B6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możliwośd osiągnięcia celów środowiskowych.</w:t>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uznad za manipulację.</w:t>
            </w:r>
          </w:p>
        </w:tc>
        <w:tc>
          <w:tcPr>
            <w:tcW w:w="1720" w:type="dxa"/>
            <w:tcBorders>
              <w:top w:val="nil"/>
              <w:left w:val="nil"/>
              <w:bottom w:val="single" w:sz="4" w:space="0" w:color="auto"/>
              <w:right w:val="single" w:sz="4" w:space="0" w:color="auto"/>
            </w:tcBorders>
            <w:shd w:val="clear" w:color="000000" w:fill="FFFFFF"/>
            <w:hideMark/>
          </w:tcPr>
          <w:p w14:paraId="1DAEAB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EBA8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BBCC2FF" w14:textId="7EB05B2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6378187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3B0828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296</w:t>
            </w:r>
          </w:p>
        </w:tc>
        <w:tc>
          <w:tcPr>
            <w:tcW w:w="970" w:type="dxa"/>
            <w:tcBorders>
              <w:top w:val="nil"/>
              <w:left w:val="nil"/>
              <w:bottom w:val="single" w:sz="4" w:space="0" w:color="auto"/>
              <w:right w:val="nil"/>
            </w:tcBorders>
          </w:tcPr>
          <w:p w14:paraId="358BD52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07BF7E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E32D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C683C85" w14:textId="2DB2496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5 Monitoring</w:t>
            </w:r>
            <w:r w:rsidRPr="0028666F">
              <w:rPr>
                <w:rFonts w:ascii="Calibri" w:eastAsia="Times New Roman" w:hAnsi="Calibri" w:cs="Calibri"/>
                <w:color w:val="000000"/>
                <w:sz w:val="18"/>
                <w:szCs w:val="18"/>
                <w:lang w:eastAsia="pl-PL"/>
              </w:rPr>
              <w:br w:type="page"/>
              <w:t xml:space="preserve">Sied monitoringu wód powierzchniowych można ocenid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oraz obszarów chronionych w rozumieniu RDW. Dane te nie są udostępniane przez Wody Polskie nawet na wniosek, mimo że organ ten jest w posiadaniu owych danych (odpowiedź na wniosek jednej z organizacji ekologicznych).</w:t>
            </w:r>
          </w:p>
        </w:tc>
        <w:tc>
          <w:tcPr>
            <w:tcW w:w="2733" w:type="dxa"/>
            <w:tcBorders>
              <w:top w:val="nil"/>
              <w:left w:val="nil"/>
              <w:bottom w:val="single" w:sz="4" w:space="0" w:color="auto"/>
              <w:right w:val="single" w:sz="4" w:space="0" w:color="auto"/>
            </w:tcBorders>
            <w:shd w:val="clear" w:color="auto" w:fill="auto"/>
            <w:hideMark/>
          </w:tcPr>
          <w:p w14:paraId="35E68C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Udostępnid sied lokalizacji ppk w formie wizualnej pozwalającej na ocenę położenia względem obiektów, które sied ma monitorowad.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68AC41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Sied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3350A1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749BB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2BA6316" w14:textId="3B2CD95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ype="page"/>
              <w:t>Monitoring, w tym ustalenia sieci monitoringu to obszary odpowiedzialności GIOŚ, IIaPGW nie jest dokumentem ustalającym sieć monitoringu.</w:t>
            </w:r>
            <w:r w:rsidRPr="0028666F">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Informacje zawarte w IIaPGW dotyczące sieci monitoringu na lata 2022-2027 nie stanowią ustalenia sieci monitoringu. Sieć monitoringu ustalana jest w ramach PMŚ stanowiąc zakres właściwości GIOŚ.</w:t>
            </w:r>
            <w:r w:rsidRPr="0028666F">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t>
            </w:r>
          </w:p>
        </w:tc>
      </w:tr>
      <w:tr w:rsidR="007C2B40" w:rsidRPr="0028666F" w14:paraId="2EB5681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50308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297</w:t>
            </w:r>
          </w:p>
        </w:tc>
        <w:tc>
          <w:tcPr>
            <w:tcW w:w="970" w:type="dxa"/>
            <w:tcBorders>
              <w:top w:val="nil"/>
              <w:left w:val="nil"/>
              <w:bottom w:val="single" w:sz="4" w:space="0" w:color="auto"/>
              <w:right w:val="nil"/>
            </w:tcBorders>
          </w:tcPr>
          <w:p w14:paraId="4C63737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E51080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ACC0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F55E99F" w14:textId="7D55D8D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5 Monitoring</w:t>
            </w:r>
            <w:r w:rsidRPr="0028666F">
              <w:rPr>
                <w:rFonts w:ascii="Calibri" w:eastAsia="Times New Roman" w:hAnsi="Calibri" w:cs="Calibri"/>
                <w:color w:val="000000"/>
                <w:sz w:val="18"/>
                <w:szCs w:val="18"/>
                <w:lang w:eastAsia="pl-PL"/>
              </w:rPr>
              <w:b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byd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wynosid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Sied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wzmoncnid sied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p>
        </w:tc>
        <w:tc>
          <w:tcPr>
            <w:tcW w:w="2733" w:type="dxa"/>
            <w:tcBorders>
              <w:top w:val="nil"/>
              <w:left w:val="nil"/>
              <w:bottom w:val="single" w:sz="4" w:space="0" w:color="auto"/>
              <w:right w:val="single" w:sz="4" w:space="0" w:color="auto"/>
            </w:tcBorders>
            <w:shd w:val="clear" w:color="auto" w:fill="auto"/>
            <w:hideMark/>
          </w:tcPr>
          <w:p w14:paraId="4DF06016" w14:textId="5B97D4C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objąd monitoringiem (chodby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wzmocnid sied MD dla RW, uzupełnid sied monitoringu dla LW oraz wprowadzid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19A318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Uzupełnienie sieci monitoringu nie będzie powodowad znaczącego obciążenia budżetu paostwa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20EC6D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943F7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F67730C" w14:textId="385F8F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23FE435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6797F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298</w:t>
            </w:r>
          </w:p>
        </w:tc>
        <w:tc>
          <w:tcPr>
            <w:tcW w:w="970" w:type="dxa"/>
            <w:tcBorders>
              <w:top w:val="nil"/>
              <w:left w:val="nil"/>
              <w:bottom w:val="single" w:sz="4" w:space="0" w:color="auto"/>
              <w:right w:val="nil"/>
            </w:tcBorders>
          </w:tcPr>
          <w:p w14:paraId="213ED05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01CBE7D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688D3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A2BA2C1" w14:textId="7AAC5E2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Streszczenie niespecjalistyczne; IIaPGW Rozdział 7, 8, 9</w:t>
            </w:r>
            <w:r w:rsidRPr="0028666F">
              <w:rPr>
                <w:rFonts w:ascii="Calibri" w:eastAsia="Times New Roman" w:hAnsi="Calibri" w:cs="Calibri"/>
                <w:color w:val="000000"/>
                <w:sz w:val="18"/>
                <w:szCs w:val="18"/>
                <w:lang w:eastAsia="pl-PL"/>
              </w:rPr>
              <w:br/>
              <w:t>Presja, Cele środowiskowe,</w:t>
            </w:r>
            <w:r w:rsidRPr="0028666F">
              <w:rPr>
                <w:rFonts w:ascii="Calibri" w:eastAsia="Times New Roman" w:hAnsi="Calibri" w:cs="Calibri"/>
                <w:color w:val="000000"/>
                <w:sz w:val="18"/>
                <w:szCs w:val="18"/>
                <w:lang w:eastAsia="pl-PL"/>
              </w:rPr>
              <w:br/>
              <w:t xml:space="preserve">Stopieo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(rozdz. 7 IIaPGW). Istotne jest w tej materii, że zestaw działao likwidujących presje hydromorfologiczne w dorzeczu Odry na lata 2016-2021 nie istniał w przypadku działao renaturyzacyjnych innych niż udrożnienie budowli piętrzących. Dla tych ostatnich zaplanowano 226 działao, czyli 10 razy mniej niż w obecnym cyklu, ale i tak wiele z nich nie zostało wykonanych, w niektórych dorzeczach praktycznie wcale. Temat podjęty jest też poniżej w dalszej części uwag.</w:t>
            </w:r>
          </w:p>
        </w:tc>
        <w:tc>
          <w:tcPr>
            <w:tcW w:w="2733" w:type="dxa"/>
            <w:tcBorders>
              <w:top w:val="nil"/>
              <w:left w:val="nil"/>
              <w:bottom w:val="single" w:sz="4" w:space="0" w:color="auto"/>
              <w:right w:val="single" w:sz="4" w:space="0" w:color="auto"/>
            </w:tcBorders>
            <w:shd w:val="clear" w:color="auto" w:fill="auto"/>
            <w:hideMark/>
          </w:tcPr>
          <w:p w14:paraId="070F99BA" w14:textId="5A86DFB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wymaga podjęcia radykalnych działao: właściwego, szerokiego doboru działao realizujących cele środowiskowe i znacznej redukcji presji, zwłaszcza hydromorfologicznej na wody. Sprowadza się to powinno do realizacji KPRWP w pełnej formie, uzupełnionego o „reakcje” na rozpoznane nowe presje. Należy przy tym ograniczyd wszystkie działania powodujące te presje – działania inwestycyjne i tzw. prace utrzymaniowe.</w:t>
            </w:r>
            <w:r w:rsidRPr="0028666F">
              <w:rPr>
                <w:rFonts w:ascii="Calibri" w:eastAsia="Times New Roman" w:hAnsi="Calibri" w:cs="Calibri"/>
                <w:color w:val="000000"/>
                <w:sz w:val="18"/>
                <w:szCs w:val="18"/>
                <w:lang w:eastAsia="pl-PL"/>
              </w:rPr>
              <w:br/>
              <w:t>Należy wykreślid z planów IIaPGW, PPSS i aPZRP, i im podobnych z zakresu gospodarki wodnej, te działania które powodują dalsze przekształcenia hydromorfologiczne, a które już teraz nie zostały zweryfikowane pod kątem oddziaływania na stan wód. Bezwzględnie należy usunąd tego typu działania z listy działao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7C8934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369E11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90C08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DC04406" w14:textId="114825E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25E194A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69498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299</w:t>
            </w:r>
          </w:p>
        </w:tc>
        <w:tc>
          <w:tcPr>
            <w:tcW w:w="970" w:type="dxa"/>
            <w:tcBorders>
              <w:top w:val="nil"/>
              <w:left w:val="nil"/>
              <w:bottom w:val="single" w:sz="4" w:space="0" w:color="auto"/>
              <w:right w:val="nil"/>
            </w:tcBorders>
          </w:tcPr>
          <w:p w14:paraId="1E3778D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124C3F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A7F13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82792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9</w:t>
            </w:r>
            <w:r w:rsidRPr="0028666F">
              <w:rPr>
                <w:rFonts w:ascii="Calibri" w:eastAsia="Times New Roman" w:hAnsi="Calibri" w:cs="Calibri"/>
                <w:color w:val="000000"/>
                <w:sz w:val="18"/>
                <w:szCs w:val="18"/>
                <w:lang w:eastAsia="pl-PL"/>
              </w:rPr>
              <w:br/>
              <w:t>Postęp i wdrożenie działao 2016-2021</w:t>
            </w:r>
            <w:r w:rsidRPr="0028666F">
              <w:rPr>
                <w:rFonts w:ascii="Calibri" w:eastAsia="Times New Roman" w:hAnsi="Calibri" w:cs="Calibri"/>
                <w:color w:val="000000"/>
                <w:sz w:val="18"/>
                <w:szCs w:val="18"/>
                <w:lang w:eastAsia="pl-PL"/>
              </w:rPr>
              <w:br/>
              <w:t>W projekcie IIaPGW nie dokonano oceny wykonania działao za lata 2016-2021 w odniesieniu do presji hydromorfologicznych (HM). Zadao było znacznie mniej niż obecnie (renaturyzacyjnych, innych niż udrożnienie przegród było w dorzeczu Odry nie było).. Co do udrożnieo budowli – można jedynie posiłkowad się wykazem budowli do udrożnienia (w „erracie” zał. 4). Działao z aPWŚK wymieniono tam dla dorzecza Odry 380 (różnica między zapisami aPWŚK i IIaPGW wynika z innego podejścia – tutaj zidentyfikowano każde piętrzenie), Wśród nich niewykonanych zadao (z cyklu 2016-2021) jest przynajmniej 291. Na tej podstawie można stwierdzid, że w dorzeczu Odry ponad 3⁄4 działao zaplanowanych na barierach (na lata 2016-2021) nie zostało wykonanych! W przypadku Kaczawy, rzeki istotnej dla ryb dwuśrodowiskowych (trod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udrożnieo, a w przypadku Elektrowni Żagao I nie zrealizowano żadnych działao,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3125D8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IIaPGW należy uzupełnid o stopieo wykonania działao z aPWŚK w dorzeczu Odry w odniesieniu do wszystkich kategorii i grup.</w:t>
            </w:r>
          </w:p>
        </w:tc>
        <w:tc>
          <w:tcPr>
            <w:tcW w:w="3009" w:type="dxa"/>
            <w:tcBorders>
              <w:top w:val="nil"/>
              <w:left w:val="nil"/>
              <w:bottom w:val="single" w:sz="4" w:space="0" w:color="auto"/>
              <w:right w:val="single" w:sz="4" w:space="0" w:color="auto"/>
            </w:tcBorders>
            <w:shd w:val="clear" w:color="auto" w:fill="auto"/>
            <w:hideMark/>
          </w:tcPr>
          <w:p w14:paraId="13F104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działao na najbardziej istotną w skali dorzecza presję – hydromorfologiczną, niemożliwa jest ocena doboru działao na lata 2021-2027. Możliwe do wykonania oceny wskazują, że działania w znakomitej większości nie zostały wykonane, trudno więc mówid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2039BD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23686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C94ED1" w14:textId="71AA29F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programów działań wraz ze sporządzeniem raportu dla KE (z I aktualizacji PWŚK) oraz sprawozdań z realizacji działań zgodnie z art. 328 ustawy Prawo wodne. Dobór działań prolongowanych do IIaPGW (niezrealizowanych w aPWŚK) obejmował szczegółową weryfikacjię zasadności realizacji tych działań, zgodnie z metodyką opracowania zestawu działań (materiał źródłowy do IIaPGW), na podstawie wyników analizy presji oraz wyników monitoringu stanu wód GIOŚ 2014 - 2019 i zidentyfikowane ryzyko nieoiągniecia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59FAECA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106D4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300</w:t>
            </w:r>
          </w:p>
        </w:tc>
        <w:tc>
          <w:tcPr>
            <w:tcW w:w="970" w:type="dxa"/>
            <w:tcBorders>
              <w:top w:val="nil"/>
              <w:left w:val="nil"/>
              <w:bottom w:val="single" w:sz="4" w:space="0" w:color="auto"/>
              <w:right w:val="nil"/>
            </w:tcBorders>
          </w:tcPr>
          <w:p w14:paraId="433D603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24A0D78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9791C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64EE3E1" w14:textId="16EBA42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10 Działania 2aPGW KPRWP – raport</w:t>
            </w:r>
            <w:r w:rsidRPr="0028666F">
              <w:rPr>
                <w:rFonts w:ascii="Calibri" w:eastAsia="Times New Roman" w:hAnsi="Calibri" w:cs="Calibri"/>
                <w:color w:val="000000"/>
                <w:sz w:val="18"/>
                <w:szCs w:val="18"/>
                <w:lang w:eastAsia="pl-PL"/>
              </w:rPr>
              <w:br/>
              <w:t xml:space="preserve">Jednym z działao krajowych wpisanych do aPWŚK było stworzenie Krajowego Programu Renaturyzacji Wód Powierzchniowych (KPRWP). Jego utworzenie i realizacja była jednym z argumentów strony polskiej w dyskusji z KE dot. wypełnienie postanowieo RDW (patrz s. 13 Dokument roboczy... https://www.apgw.gov.pl/pl/news/show/90) i właściwe wdrożenie działao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działao IIaPGW. 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nie wdrożono w pełni</w:t>
            </w:r>
            <w:r w:rsidRPr="0028666F">
              <w:rPr>
                <w:rFonts w:ascii="Calibri" w:eastAsia="Times New Roman" w:hAnsi="Calibri" w:cs="Calibri"/>
                <w:color w:val="000000"/>
                <w:sz w:val="18"/>
                <w:szCs w:val="18"/>
                <w:lang w:eastAsia="pl-PL"/>
              </w:rPr>
              <w:br/>
              <w:t xml:space="preserve">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zapisy KPRWP</w:t>
            </w:r>
            <w:r w:rsidRPr="0028666F">
              <w:rPr>
                <w:rFonts w:ascii="Calibri" w:eastAsia="Times New Roman" w:hAnsi="Calibri" w:cs="Calibri"/>
                <w:color w:val="000000"/>
                <w:sz w:val="18"/>
                <w:szCs w:val="18"/>
                <w:lang w:eastAsia="pl-PL"/>
              </w:rPr>
              <w:br/>
              <w:t xml:space="preserve"> wdrożono w IIaPGW jedynie częściowo. Ponadto, w wyniku</w:t>
            </w:r>
            <w:r w:rsidRPr="0028666F">
              <w:rPr>
                <w:rFonts w:ascii="Calibri" w:eastAsia="Times New Roman" w:hAnsi="Calibri" w:cs="Calibri"/>
                <w:color w:val="000000"/>
                <w:sz w:val="18"/>
                <w:szCs w:val="18"/>
                <w:lang w:eastAsia="pl-PL"/>
              </w:rPr>
              <w:br/>
              <w:t xml:space="preserve"> planowanych działao w ramach IIaPGW (inwestycje uznane za</w:t>
            </w:r>
            <w:r w:rsidRPr="0028666F">
              <w:rPr>
                <w:rFonts w:ascii="Calibri" w:eastAsia="Times New Roman" w:hAnsi="Calibri" w:cs="Calibri"/>
                <w:color w:val="000000"/>
                <w:sz w:val="18"/>
                <w:szCs w:val="18"/>
                <w:lang w:eastAsia="pl-PL"/>
              </w:rPr>
              <w:br/>
              <w:t xml:space="preserve"> spełniające przesłanki art. 4.7 RDW), PPSS i aPZRP, dodatkowa presja</w:t>
            </w:r>
            <w:r w:rsidRPr="0028666F">
              <w:rPr>
                <w:rFonts w:ascii="Calibri" w:eastAsia="Times New Roman" w:hAnsi="Calibri" w:cs="Calibri"/>
                <w:color w:val="000000"/>
                <w:sz w:val="18"/>
                <w:szCs w:val="18"/>
                <w:lang w:eastAsia="pl-PL"/>
              </w:rPr>
              <w:br/>
              <w:t xml:space="preserve">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w:t>
            </w:r>
            <w:r w:rsidRPr="0028666F">
              <w:rPr>
                <w:rFonts w:ascii="Calibri" w:eastAsia="Times New Roman" w:hAnsi="Calibri" w:cs="Calibri"/>
                <w:color w:val="000000"/>
                <w:sz w:val="18"/>
                <w:szCs w:val="18"/>
                <w:lang w:eastAsia="pl-PL"/>
              </w:rPr>
              <w:br/>
              <w:t xml:space="preserve"> utrzymaniowych. Taki stan rzeczy wymaga nie tylko pełnego wdrożenia</w:t>
            </w:r>
            <w:r w:rsidRPr="0028666F">
              <w:rPr>
                <w:rFonts w:ascii="Calibri" w:eastAsia="Times New Roman" w:hAnsi="Calibri" w:cs="Calibri"/>
                <w:color w:val="000000"/>
                <w:sz w:val="18"/>
                <w:szCs w:val="18"/>
                <w:lang w:eastAsia="pl-PL"/>
              </w:rPr>
              <w:br/>
              <w:t xml:space="preserve"> KPRWP, ale i jego uzupełnienia. Z powyższego wynika, że KPRWP został potraktowany jako „zestaw</w:t>
            </w:r>
            <w:r w:rsidRPr="0028666F">
              <w:rPr>
                <w:rFonts w:ascii="Calibri" w:eastAsia="Times New Roman" w:hAnsi="Calibri" w:cs="Calibri"/>
                <w:color w:val="000000"/>
                <w:sz w:val="18"/>
                <w:szCs w:val="18"/>
                <w:lang w:eastAsia="pl-PL"/>
              </w:rPr>
              <w:br/>
              <w:t xml:space="preserve"> działao zalecanych”, a nie podstawa do likwidacji znaczących presji. </w:t>
            </w:r>
            <w:r w:rsidRPr="0028666F">
              <w:rPr>
                <w:rFonts w:ascii="Calibri" w:eastAsia="Times New Roman" w:hAnsi="Calibri" w:cs="Calibri"/>
                <w:color w:val="000000"/>
                <w:sz w:val="18"/>
                <w:szCs w:val="18"/>
                <w:lang w:eastAsia="pl-PL"/>
              </w:rPr>
              <w:br/>
              <w:t>to niedopuszczalne, szczególnie, że jest to dokument późniejszy,</w:t>
            </w:r>
            <w:r w:rsidRPr="0028666F">
              <w:rPr>
                <w:rFonts w:ascii="Calibri" w:eastAsia="Times New Roman" w:hAnsi="Calibri" w:cs="Calibri"/>
                <w:color w:val="000000"/>
                <w:sz w:val="18"/>
                <w:szCs w:val="18"/>
                <w:lang w:eastAsia="pl-PL"/>
              </w:rPr>
              <w:br/>
              <w:t xml:space="preserve"> Przegląd i weryfikacja metodyk wyznaczania silnie zmienionych i sztucznych części wód</w:t>
            </w:r>
            <w:r w:rsidRPr="0028666F">
              <w:rPr>
                <w:rFonts w:ascii="Calibri" w:eastAsia="Times New Roman" w:hAnsi="Calibri" w:cs="Calibri"/>
                <w:color w:val="000000"/>
                <w:sz w:val="18"/>
                <w:szCs w:val="18"/>
                <w:lang w:eastAsia="pl-PL"/>
              </w:rPr>
              <w:br/>
              <w:t xml:space="preserve">powierzchniowych wraz ze wstępnym i ostatecznym wyznaczeniem (2019)”; w którym określono katalog działao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 https://hektarydlanatury.pl/downloads/Raport_dla_WWF_zalaczniki.pdf</w:t>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działao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skutkowad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5B891B4F" w14:textId="30B3F2C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Uzupełnid katalog działao o zapisy KPRWP, wraz z analizą dodatkowych działao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35E9871B" w14:textId="5A29D95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ustalid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5AF0F5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91059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333A2DC7" w14:textId="7DABA5A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2E634BB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54C55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301</w:t>
            </w:r>
          </w:p>
        </w:tc>
        <w:tc>
          <w:tcPr>
            <w:tcW w:w="970" w:type="dxa"/>
            <w:tcBorders>
              <w:top w:val="nil"/>
              <w:left w:val="nil"/>
              <w:bottom w:val="single" w:sz="4" w:space="0" w:color="auto"/>
              <w:right w:val="nil"/>
            </w:tcBorders>
          </w:tcPr>
          <w:p w14:paraId="71226C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50A272F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32113D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70416F3" w14:textId="3D8E299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8.1. – 8.4.</w:t>
            </w:r>
            <w:r w:rsidRPr="0028666F">
              <w:rPr>
                <w:rFonts w:ascii="Calibri" w:eastAsia="Times New Roman" w:hAnsi="Calibri" w:cs="Calibri"/>
                <w:color w:val="000000"/>
                <w:sz w:val="18"/>
                <w:szCs w:val="18"/>
                <w:lang w:eastAsia="pl-PL"/>
              </w:rPr>
              <w:br/>
              <w:t>Art. 4.4. i 4.5. RDW</w:t>
            </w:r>
            <w:r w:rsidRPr="0028666F">
              <w:rPr>
                <w:rFonts w:ascii="Calibri" w:eastAsia="Times New Roman" w:hAnsi="Calibri" w:cs="Calibri"/>
                <w:color w:val="000000"/>
                <w:sz w:val="18"/>
                <w:szCs w:val="18"/>
                <w:lang w:eastAsia="pl-PL"/>
              </w:rPr>
              <w:br/>
              <w:t>W stosunku do aPGW (2016-2021) w IIaPGW znacznie zwiększona została ilośd „przyznanych” odstępstw z art. 4.5 RDW (złagodzenie celów środowiskowych).)</w:t>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687/1272 = 54%. 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 xml:space="preserve">Przyznanie derogacji odstępstwa złagodzenia celów (4.5) możne nastąpid tylko wtedy gdy osiągnięcie celów środowiskowych byłoby niemożliwe lub nieproporcjonalnie (do korzyści) kosztowne, przy jednoczesnym wdrożeniu wszystkich realnych działao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mied miejsca.</w:t>
            </w:r>
          </w:p>
        </w:tc>
        <w:tc>
          <w:tcPr>
            <w:tcW w:w="2733" w:type="dxa"/>
            <w:tcBorders>
              <w:top w:val="nil"/>
              <w:left w:val="nil"/>
              <w:bottom w:val="single" w:sz="4" w:space="0" w:color="auto"/>
              <w:right w:val="single" w:sz="4" w:space="0" w:color="auto"/>
            </w:tcBorders>
            <w:shd w:val="clear" w:color="auto" w:fill="auto"/>
            <w:hideMark/>
          </w:tcPr>
          <w:p w14:paraId="62F11FF3" w14:textId="3C85BF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Usunąd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działao naprawczych.</w:t>
            </w:r>
          </w:p>
        </w:tc>
        <w:tc>
          <w:tcPr>
            <w:tcW w:w="3009" w:type="dxa"/>
            <w:tcBorders>
              <w:top w:val="nil"/>
              <w:left w:val="nil"/>
              <w:bottom w:val="single" w:sz="4" w:space="0" w:color="auto"/>
              <w:right w:val="single" w:sz="4" w:space="0" w:color="auto"/>
            </w:tcBorders>
            <w:shd w:val="clear" w:color="auto" w:fill="auto"/>
            <w:hideMark/>
          </w:tcPr>
          <w:p w14:paraId="57639C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37976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5C716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1A9E92D" w14:textId="4AB25F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to przypadki w których, zależnie od sytuacji, przyczyną złego stanu wód są warunki naturalne LUB przypadki w których uznano, że wystarczające będą krajowe działania horyzontalne wynikające z IIaPGW lub działania wpisane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powyżej lub do jej dopływów.</w:t>
            </w:r>
          </w:p>
        </w:tc>
      </w:tr>
      <w:tr w:rsidR="007C2B40" w:rsidRPr="0028666F" w14:paraId="63E71AF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5CD30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302</w:t>
            </w:r>
          </w:p>
        </w:tc>
        <w:tc>
          <w:tcPr>
            <w:tcW w:w="970" w:type="dxa"/>
            <w:tcBorders>
              <w:top w:val="nil"/>
              <w:left w:val="nil"/>
              <w:bottom w:val="single" w:sz="4" w:space="0" w:color="auto"/>
              <w:right w:val="nil"/>
            </w:tcBorders>
          </w:tcPr>
          <w:p w14:paraId="2E18465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744FB4D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0DAC8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4498E5E" w14:textId="78918FC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byd przejrzyste, jednoznaczne i odpowiednie oraz powinny zostad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uzasadnione w PGW (patrz CIS Guidance No. 20).</w:t>
            </w:r>
            <w:r w:rsidRPr="0028666F">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działalnośd człowieka np. rolnicza uniemożliwia wdrożenie działao naprawczych typu renaturyzacja czy udrożnienie piętrzeo. W związku z niewdrożeniem wielu działao naprawczych, opisy te wydają się byd nieodpowiednie.</w:t>
            </w:r>
          </w:p>
        </w:tc>
        <w:tc>
          <w:tcPr>
            <w:tcW w:w="2733" w:type="dxa"/>
            <w:tcBorders>
              <w:top w:val="nil"/>
              <w:left w:val="nil"/>
              <w:bottom w:val="single" w:sz="4" w:space="0" w:color="auto"/>
              <w:right w:val="single" w:sz="4" w:space="0" w:color="auto"/>
            </w:tcBorders>
            <w:shd w:val="clear" w:color="auto" w:fill="auto"/>
            <w:hideMark/>
          </w:tcPr>
          <w:p w14:paraId="24E77F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Poprawid opis odstępstw tak, aby było możliwe sprawdzenie czy jego ustanowienie było właściwe.</w:t>
            </w:r>
            <w:r w:rsidRPr="0028666F">
              <w:rPr>
                <w:rFonts w:ascii="Calibri" w:eastAsia="Times New Roman" w:hAnsi="Calibri" w:cs="Calibri"/>
                <w:color w:val="000000"/>
                <w:sz w:val="18"/>
                <w:szCs w:val="18"/>
                <w:lang w:eastAsia="pl-PL"/>
              </w:rPr>
              <w:br w:type="page"/>
              <w:t>Usunąd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601D7750" w14:textId="061AE2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 odstępstwem wyklucza jego ustanowienie.</w:t>
            </w:r>
          </w:p>
        </w:tc>
        <w:tc>
          <w:tcPr>
            <w:tcW w:w="1720" w:type="dxa"/>
            <w:tcBorders>
              <w:top w:val="nil"/>
              <w:left w:val="nil"/>
              <w:bottom w:val="single" w:sz="4" w:space="0" w:color="auto"/>
              <w:right w:val="single" w:sz="4" w:space="0" w:color="auto"/>
            </w:tcBorders>
            <w:shd w:val="clear" w:color="000000" w:fill="FFFFFF"/>
            <w:hideMark/>
          </w:tcPr>
          <w:p w14:paraId="657734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92980B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83BA99F" w14:textId="39870B3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2DC74B6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403612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303</w:t>
            </w:r>
          </w:p>
        </w:tc>
        <w:tc>
          <w:tcPr>
            <w:tcW w:w="970" w:type="dxa"/>
            <w:tcBorders>
              <w:top w:val="nil"/>
              <w:left w:val="nil"/>
              <w:bottom w:val="single" w:sz="4" w:space="0" w:color="auto"/>
              <w:right w:val="nil"/>
            </w:tcBorders>
          </w:tcPr>
          <w:p w14:paraId="00B22D8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4E89FF5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14AD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75A96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16, Zał. 6</w:t>
            </w:r>
            <w:r w:rsidRPr="0028666F">
              <w:rPr>
                <w:rFonts w:ascii="Calibri" w:eastAsia="Times New Roman" w:hAnsi="Calibri" w:cs="Calibri"/>
                <w:color w:val="000000"/>
                <w:sz w:val="18"/>
                <w:szCs w:val="18"/>
                <w:lang w:eastAsia="pl-PL"/>
              </w:rPr>
              <w:br/>
              <w:t>W projekcie IIaPGW opublikowano listę przedsięwzięd, która zgodnie z art. 436 PW, powinna spełniad w sposób obiektywny kryteria art. 68 PW, czyli spełniad warunki art. 4.7 RDW do udzielenia derogacji.</w:t>
            </w:r>
            <w:r w:rsidRPr="0028666F">
              <w:rPr>
                <w:rFonts w:ascii="Calibri" w:eastAsia="Times New Roman" w:hAnsi="Calibri" w:cs="Calibri"/>
                <w:color w:val="000000"/>
                <w:sz w:val="18"/>
                <w:szCs w:val="18"/>
                <w:lang w:eastAsia="pl-PL"/>
              </w:rPr>
              <w:br/>
              <w:t>Spośród 160 przedsięwzięd rzekomo spełniających ww. kryteria, takie podejście zastosowano jedynie do 2 nowych przedsięwzięd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w:t>
            </w:r>
            <w:r w:rsidRPr="0028666F">
              <w:rPr>
                <w:rFonts w:ascii="Calibri" w:eastAsia="Times New Roman" w:hAnsi="Calibri" w:cs="Calibri"/>
                <w:color w:val="000000"/>
                <w:sz w:val="18"/>
                <w:szCs w:val="18"/>
                <w:lang w:eastAsia="pl-PL"/>
              </w:rPr>
              <w:br/>
              <w:t>Reszta przedsięwzięd - 158 - została przepisanych z poprzedniego aPGW, tylko na podstawie deklaracji inwestorów chęci kontynuacji ich realizacji. Takie odmienne podejście do „starych” przedsięwzięd jest niedopuszczalne. Zmiana w trybie ujmowania w IIaPGW tego typu przedsięwzięd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zapewnid, aby stosowanie wyłączeo na mocy art. 4 ust. 7 opierało się na dogłębnej ocenie wszystkich etapów wymaganych zgodnie z RDW, w szczególności na ocenie, czy realizacja projektu stanowi nadrzędny interes publiczny i czy korzyści dla społeczeostwa przeważają nad degradacją środowiska, przy uwzględnieniu braku realnych rozwiązao alternatywnych stanowiących korzystniejszą opcję środowiskową. Ponadto projekty te mogą byd realizowane jedynie wówczas, gdy zostaną zastosowane wszystkie możliwe środki w celu złagodzenia negatywnego wpływu na stan/potencjał jednolitych części wód.</w:t>
            </w:r>
            <w:r w:rsidRPr="0028666F">
              <w:rPr>
                <w:rFonts w:ascii="Calibri" w:eastAsia="Times New Roman" w:hAnsi="Calibri" w:cs="Calibri"/>
                <w:color w:val="000000"/>
                <w:sz w:val="18"/>
                <w:szCs w:val="18"/>
                <w:lang w:eastAsia="pl-PL"/>
              </w:rPr>
              <w:br/>
              <w:t>Spośród 158 „starych” przedsięwzięd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w:t>
            </w:r>
            <w:r w:rsidRPr="0028666F">
              <w:rPr>
                <w:rFonts w:ascii="Calibri" w:eastAsia="Times New Roman" w:hAnsi="Calibri" w:cs="Calibri"/>
                <w:color w:val="000000"/>
                <w:sz w:val="18"/>
                <w:szCs w:val="18"/>
                <w:lang w:eastAsia="pl-PL"/>
              </w:rPr>
              <w:br/>
              <w:t>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 ochrona przed powodzią Kotliny Kłodzkiej - Bystrzyca Kłodzka 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oddziaływad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mówid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t>Z 12 pozostałych dla przynajmniej jednego z przedsięwzięd dśu została uchylona, czego świadomośd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  Wśród przedsięwzięd pozostałych, posiadających dśu nie starszą niż 8 lat na uwagę zasługuje: Budowa zbiornika wodnego Wielowieś Klasztorna. Jest to jedno z najbardziej ingerujących w środowisko przedsięwzięd planowanych obecnie na rzekach w Polsce (znacząco negatywnie oddziaływałoby na dorzecze Warty), obejmuje jeden z lepiej zachowanych odcinków rzek w Wielkopolsce. Inwestycja generuje duże koszty społeczne, bo jej realizacja wymaga przesiedleo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w:t>
            </w:r>
            <w:r w:rsidRPr="0028666F">
              <w:rPr>
                <w:rFonts w:ascii="Calibri" w:eastAsia="Times New Roman" w:hAnsi="Calibri" w:cs="Calibri"/>
                <w:color w:val="000000"/>
                <w:sz w:val="18"/>
                <w:szCs w:val="18"/>
                <w:lang w:eastAsia="pl-PL"/>
              </w:rPr>
              <w:br/>
              <w:t>Należy dodad, że dla pozostałych (wyżej nie wymienionych) przedsięwzięd organizacje społeczne przeprowadziły (w roku 2015 i 2016) analizy zasadności derogacji, a ich wyniki przedstawiły w konsultacjach aPGW. W IIaPGW opisy derogacji dla tych działao praktycznie się nie zmieniły.</w:t>
            </w:r>
            <w:r w:rsidRPr="0028666F">
              <w:rPr>
                <w:rFonts w:ascii="Calibri" w:eastAsia="Times New Roman" w:hAnsi="Calibri" w:cs="Calibri"/>
                <w:color w:val="000000"/>
                <w:sz w:val="18"/>
                <w:szCs w:val="18"/>
                <w:lang w:eastAsia="pl-PL"/>
              </w:rPr>
              <w:br/>
              <w:t>Ponadto, w IIaPGW brak jest aktualnych danych o statusach inwestycji – częśd z nich jest obecnie realizowana lub nawet ukooczona, np. „Modernizacja toru wodnego Świnoujście- Szczecin do głębokości 12,5 m” czy „Odbudowa Kanału Małgosia”.</w:t>
            </w:r>
          </w:p>
        </w:tc>
        <w:tc>
          <w:tcPr>
            <w:tcW w:w="2733" w:type="dxa"/>
            <w:tcBorders>
              <w:top w:val="nil"/>
              <w:left w:val="nil"/>
              <w:bottom w:val="single" w:sz="4" w:space="0" w:color="auto"/>
              <w:right w:val="single" w:sz="4" w:space="0" w:color="auto"/>
            </w:tcBorders>
            <w:shd w:val="clear" w:color="auto" w:fill="auto"/>
            <w:hideMark/>
          </w:tcPr>
          <w:p w14:paraId="694ED6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usunąd z listy przedsięwzięd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przedsięwzięd ze „starej” listy aPGW należy ponownie przeanalizowad pod kątem oddziaływania na cele środowiskowe i spełnianie przesłanek do derogacji. Należy też sprawdzid,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t>Przedsięwzięcia niespełniające wymogów art. 436 PW powinny się znaleźd na innej liście inwestycji i działao, które mogą spowodowad nieosiągnięcie dobrego stanu wód lub pogorszenie dobrego stanu wód – liście działao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t>Powinno się uaktualnid stan zaawansowania inwestycji – obecnie w IIaPGW status planowanych mają również te zaczęte, a nawet skooczone.</w:t>
            </w:r>
          </w:p>
        </w:tc>
        <w:tc>
          <w:tcPr>
            <w:tcW w:w="3009" w:type="dxa"/>
            <w:tcBorders>
              <w:top w:val="nil"/>
              <w:left w:val="nil"/>
              <w:bottom w:val="single" w:sz="4" w:space="0" w:color="auto"/>
              <w:right w:val="single" w:sz="4" w:space="0" w:color="auto"/>
            </w:tcBorders>
            <w:shd w:val="clear" w:color="auto" w:fill="auto"/>
            <w:hideMark/>
          </w:tcPr>
          <w:p w14:paraId="10932A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Przynajmniej 253 z 272 przedsięwzięd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78DF9F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F2DA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0AFA7DB" w14:textId="142FD9B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1F65535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A3CBB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304</w:t>
            </w:r>
          </w:p>
        </w:tc>
        <w:tc>
          <w:tcPr>
            <w:tcW w:w="970" w:type="dxa"/>
            <w:tcBorders>
              <w:top w:val="nil"/>
              <w:left w:val="nil"/>
              <w:bottom w:val="single" w:sz="4" w:space="0" w:color="auto"/>
              <w:right w:val="nil"/>
            </w:tcBorders>
          </w:tcPr>
          <w:p w14:paraId="13CBE30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0FD18D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3936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2EF56E30" w14:textId="7CE9395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Katalogi działań</w:t>
            </w:r>
            <w:r w:rsidRPr="0028666F">
              <w:rPr>
                <w:rFonts w:ascii="Calibri" w:eastAsia="Times New Roman" w:hAnsi="Calibri" w:cs="Calibri"/>
                <w:color w:val="000000"/>
                <w:sz w:val="18"/>
                <w:szCs w:val="18"/>
                <w:lang w:eastAsia="pl-PL"/>
              </w:rPr>
              <w:br/>
              <w:t>Należy w katalogu działao IIaPGW</w:t>
            </w:r>
            <w:r w:rsidRPr="0028666F">
              <w:rPr>
                <w:rFonts w:ascii="Calibri" w:eastAsia="Times New Roman" w:hAnsi="Calibri" w:cs="Calibri"/>
                <w:color w:val="000000"/>
                <w:sz w:val="18"/>
                <w:szCs w:val="18"/>
                <w:lang w:eastAsia="pl-PL"/>
              </w:rPr>
              <w:br/>
              <w:t>działania, które są zgrupowane w pakietach:</w:t>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Realizacja działao wskazanych w etapie I (działanie RWC_01.06.)</w:t>
            </w:r>
            <w:r w:rsidRPr="0028666F">
              <w:rPr>
                <w:rFonts w:ascii="Calibri" w:eastAsia="Times New Roman" w:hAnsi="Calibri" w:cs="Calibri"/>
                <w:color w:val="000000"/>
                <w:sz w:val="18"/>
                <w:szCs w:val="18"/>
                <w:lang w:eastAsia="pl-PL"/>
              </w:rPr>
              <w:br/>
              <w:t>polegających na zwiększeniu poziomu retencji wody w zlewni w obszarach rolniczych dla ograniczenia wymywania zanieczyszczeo</w:t>
            </w:r>
            <w:r w:rsidRPr="0028666F">
              <w:rPr>
                <w:rFonts w:ascii="Calibri" w:eastAsia="Times New Roman" w:hAnsi="Calibri" w:cs="Calibri"/>
                <w:color w:val="000000"/>
                <w:sz w:val="18"/>
                <w:szCs w:val="18"/>
                <w:lang w:eastAsia="pl-PL"/>
              </w:rPr>
              <w:br/>
              <w:t xml:space="preserve"> obszarowych w celu poprawy stany wód i osiągnięcia wyznaczonych</w:t>
            </w:r>
            <w:r w:rsidRPr="0028666F">
              <w:rPr>
                <w:rFonts w:ascii="Calibri" w:eastAsia="Times New Roman" w:hAnsi="Calibri" w:cs="Calibri"/>
                <w:color w:val="000000"/>
                <w:sz w:val="18"/>
                <w:szCs w:val="18"/>
                <w:lang w:eastAsia="pl-PL"/>
              </w:rPr>
              <w:br/>
              <w:t xml:space="preserve"> celów środowiskowych – dobrego stanu wód. Dodatkowo wzrost</w:t>
            </w:r>
            <w:r w:rsidRPr="0028666F">
              <w:rPr>
                <w:rFonts w:ascii="Calibri" w:eastAsia="Times New Roman" w:hAnsi="Calibri" w:cs="Calibri"/>
                <w:color w:val="000000"/>
                <w:sz w:val="18"/>
                <w:szCs w:val="18"/>
                <w:lang w:eastAsia="pl-PL"/>
              </w:rPr>
              <w:br/>
              <w:t xml:space="preserve">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w:t>
            </w:r>
            <w:r w:rsidRPr="0028666F">
              <w:rPr>
                <w:rFonts w:ascii="Calibri" w:eastAsia="Times New Roman" w:hAnsi="Calibri" w:cs="Calibri"/>
                <w:color w:val="000000"/>
                <w:sz w:val="18"/>
                <w:szCs w:val="18"/>
                <w:lang w:eastAsia="pl-PL"/>
              </w:rPr>
              <w:br/>
              <w:t xml:space="preserve"> ramach programu PPSS.</w:t>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Realizacja działao wskazanych w etapie I (działanie RWC_01.04.)</w:t>
            </w:r>
            <w:r w:rsidRPr="0028666F">
              <w:rPr>
                <w:rFonts w:ascii="Calibri" w:eastAsia="Times New Roman" w:hAnsi="Calibri" w:cs="Calibri"/>
                <w:color w:val="000000"/>
                <w:sz w:val="18"/>
                <w:szCs w:val="18"/>
                <w:lang w:eastAsia="pl-PL"/>
              </w:rPr>
              <w:br/>
              <w:t>polegających na zwiększeniu poziomu retencji wody w zlewni w</w:t>
            </w:r>
            <w:r w:rsidRPr="0028666F">
              <w:rPr>
                <w:rFonts w:ascii="Calibri" w:eastAsia="Times New Roman" w:hAnsi="Calibri" w:cs="Calibri"/>
                <w:color w:val="000000"/>
                <w:sz w:val="18"/>
                <w:szCs w:val="18"/>
                <w:lang w:eastAsia="pl-PL"/>
              </w:rPr>
              <w:br/>
              <w:t>obszarach leśnych dla ograniczenia wymywania zanieczyszczeo</w:t>
            </w:r>
            <w:r w:rsidRPr="0028666F">
              <w:rPr>
                <w:rFonts w:ascii="Calibri" w:eastAsia="Times New Roman" w:hAnsi="Calibri" w:cs="Calibri"/>
                <w:color w:val="000000"/>
                <w:sz w:val="18"/>
                <w:szCs w:val="18"/>
                <w:lang w:eastAsia="pl-PL"/>
              </w:rPr>
              <w:br/>
              <w:t>obszarowych w celu poprawy stany wód i osiągnięcia wyznaczonych</w:t>
            </w:r>
            <w:r w:rsidRPr="0028666F">
              <w:rPr>
                <w:rFonts w:ascii="Calibri" w:eastAsia="Times New Roman" w:hAnsi="Calibri" w:cs="Calibri"/>
                <w:color w:val="000000"/>
                <w:sz w:val="18"/>
                <w:szCs w:val="18"/>
                <w:lang w:eastAsia="pl-PL"/>
              </w:rPr>
              <w:br/>
              <w:t>celów środowiskowych – dobrego stanu wód. Dodatkowo wzrost</w:t>
            </w:r>
            <w:r w:rsidRPr="0028666F">
              <w:rPr>
                <w:rFonts w:ascii="Calibri" w:eastAsia="Times New Roman" w:hAnsi="Calibri" w:cs="Calibri"/>
                <w:color w:val="000000"/>
                <w:sz w:val="18"/>
                <w:szCs w:val="18"/>
                <w:lang w:eastAsia="pl-PL"/>
              </w:rPr>
              <w:br/>
              <w:t xml:space="preserve">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w:t>
            </w:r>
            <w:r w:rsidRPr="0028666F">
              <w:rPr>
                <w:rFonts w:ascii="Calibri" w:eastAsia="Times New Roman" w:hAnsi="Calibri" w:cs="Calibri"/>
                <w:color w:val="000000"/>
                <w:sz w:val="18"/>
                <w:szCs w:val="18"/>
                <w:lang w:eastAsia="pl-PL"/>
              </w:rPr>
              <w:br/>
              <w:t>ramach programu PPSS.</w:t>
            </w:r>
            <w:r w:rsidRPr="0028666F">
              <w:rPr>
                <w:rFonts w:ascii="Calibri" w:eastAsia="Times New Roman" w:hAnsi="Calibri" w:cs="Calibri"/>
                <w:color w:val="000000"/>
                <w:sz w:val="18"/>
                <w:szCs w:val="18"/>
                <w:lang w:eastAsia="pl-PL"/>
              </w:rPr>
              <w:br/>
              <w:t xml:space="preserve"> Zastosowanie RWC_01.07 (rolnicze) to Budowa oraz przebudowa</w:t>
            </w:r>
            <w:r w:rsidRPr="0028666F">
              <w:rPr>
                <w:rFonts w:ascii="Calibri" w:eastAsia="Times New Roman" w:hAnsi="Calibri" w:cs="Calibri"/>
                <w:color w:val="000000"/>
                <w:sz w:val="18"/>
                <w:szCs w:val="18"/>
                <w:lang w:eastAsia="pl-PL"/>
              </w:rPr>
              <w:br/>
              <w:t xml:space="preserve"> urządzeo melioracji wodnych dla zwiększania retencji glebowej (w</w:t>
            </w:r>
            <w:r w:rsidRPr="0028666F">
              <w:rPr>
                <w:rFonts w:ascii="Calibri" w:eastAsia="Times New Roman" w:hAnsi="Calibri" w:cs="Calibri"/>
                <w:color w:val="000000"/>
                <w:sz w:val="18"/>
                <w:szCs w:val="18"/>
                <w:lang w:eastAsia="pl-PL"/>
              </w:rPr>
              <w:br/>
              <w:t xml:space="preserve"> zakresie budowy/przebudowy) oraz inne metody zwiększenia ilości i</w:t>
            </w:r>
            <w:r w:rsidRPr="0028666F">
              <w:rPr>
                <w:rFonts w:ascii="Calibri" w:eastAsia="Times New Roman" w:hAnsi="Calibri" w:cs="Calibri"/>
                <w:color w:val="000000"/>
                <w:sz w:val="18"/>
                <w:szCs w:val="18"/>
                <w:lang w:eastAsia="pl-PL"/>
              </w:rPr>
              <w:br/>
              <w:t xml:space="preserve"> czasu retencji wód na gruntach rolnych.</w:t>
            </w:r>
            <w:r w:rsidRPr="0028666F">
              <w:rPr>
                <w:rFonts w:ascii="Calibri" w:eastAsia="Times New Roman" w:hAnsi="Calibri" w:cs="Calibri"/>
                <w:color w:val="000000"/>
                <w:sz w:val="18"/>
                <w:szCs w:val="18"/>
                <w:lang w:eastAsia="pl-PL"/>
              </w:rPr>
              <w:br/>
              <w:t xml:space="preserve"> A implementacja działao leśnych RWC_01.05 ma polegad na realizacji</w:t>
            </w:r>
            <w:r w:rsidRPr="0028666F">
              <w:rPr>
                <w:rFonts w:ascii="Calibri" w:eastAsia="Times New Roman" w:hAnsi="Calibri" w:cs="Calibri"/>
                <w:color w:val="000000"/>
                <w:sz w:val="18"/>
                <w:szCs w:val="18"/>
                <w:lang w:eastAsia="pl-PL"/>
              </w:rPr>
              <w:br/>
              <w:t xml:space="preserve"> przedsięwzięd w ramach tzw. małej retencji górskiej i nizinnej.</w:t>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Paostwowe działania to: 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Są to zwykłe regulacje rzek i potoków płynących np. w sąsiedztwie dróg leśnych wybudowanych wzdłuż cieków.</w:t>
            </w:r>
            <w:r w:rsidRPr="0028666F">
              <w:rPr>
                <w:rFonts w:ascii="Calibri" w:eastAsia="Times New Roman" w:hAnsi="Calibri" w:cs="Calibri"/>
                <w:color w:val="000000"/>
                <w:sz w:val="18"/>
                <w:szCs w:val="18"/>
                <w:lang w:eastAsia="pl-PL"/>
              </w:rPr>
              <w:br/>
              <w:t>Występuje tu niezgodnośd z celami RDW, celami związanymi z ochroną bioróżnorodności. Wymienione rodzaje działao inwestycyjnych z PPSS, i Małej retencji powinny podlegad ocenom z art. 4.7 a nie byd działaniem mającym spełniad cele RDW, z którymi (w większości) są sprzeczne.</w:t>
            </w:r>
            <w:r w:rsidRPr="0028666F">
              <w:rPr>
                <w:rFonts w:ascii="Calibri" w:eastAsia="Times New Roman" w:hAnsi="Calibri" w:cs="Calibri"/>
                <w:color w:val="000000"/>
                <w:sz w:val="18"/>
                <w:szCs w:val="18"/>
                <w:lang w:eastAsia="pl-PL"/>
              </w:rPr>
              <w:br/>
              <w:t xml:space="preserve">Jeśli mają zostad w IIaPGW, musi powstad zapis uniemożliwiający realizacji działao mogących pogorszyd hydromorfologię rzek i potoków oraz wpływad negatywnie na siedliska przyrodnicze z nimi związane. Należałoby wykreślid możliwośd budowy urządzeo technicznych na naturalnych ciekach oraz przekształcanie tych cieków. Należy wprowadzid działania renaturyzacyjne, wpisane w KPRWP. </w:t>
            </w:r>
          </w:p>
        </w:tc>
        <w:tc>
          <w:tcPr>
            <w:tcW w:w="2733" w:type="dxa"/>
            <w:tcBorders>
              <w:top w:val="nil"/>
              <w:left w:val="nil"/>
              <w:bottom w:val="single" w:sz="4" w:space="0" w:color="auto"/>
              <w:right w:val="single" w:sz="4" w:space="0" w:color="auto"/>
            </w:tcBorders>
            <w:shd w:val="clear" w:color="auto" w:fill="auto"/>
            <w:hideMark/>
          </w:tcPr>
          <w:p w14:paraId="189101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Usunąd zapisy pozwalające na realizacji działao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Wykreślid działania RWC_01.05 i KPRWP .</w:t>
            </w:r>
          </w:p>
        </w:tc>
        <w:tc>
          <w:tcPr>
            <w:tcW w:w="3009" w:type="dxa"/>
            <w:tcBorders>
              <w:top w:val="nil"/>
              <w:left w:val="nil"/>
              <w:bottom w:val="single" w:sz="4" w:space="0" w:color="auto"/>
              <w:right w:val="single" w:sz="4" w:space="0" w:color="auto"/>
            </w:tcBorders>
            <w:shd w:val="clear" w:color="auto" w:fill="auto"/>
            <w:hideMark/>
          </w:tcPr>
          <w:p w14:paraId="0DF651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podlegad ocenie spłeniania warunków 4.7).</w:t>
            </w:r>
          </w:p>
        </w:tc>
        <w:tc>
          <w:tcPr>
            <w:tcW w:w="1720" w:type="dxa"/>
            <w:tcBorders>
              <w:top w:val="nil"/>
              <w:left w:val="nil"/>
              <w:bottom w:val="single" w:sz="4" w:space="0" w:color="auto"/>
              <w:right w:val="single" w:sz="4" w:space="0" w:color="auto"/>
            </w:tcBorders>
            <w:shd w:val="clear" w:color="000000" w:fill="FFFFFF"/>
            <w:hideMark/>
          </w:tcPr>
          <w:p w14:paraId="3DB2A0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8B7FA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51D48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3CD84C8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D3BD8C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305</w:t>
            </w:r>
          </w:p>
        </w:tc>
        <w:tc>
          <w:tcPr>
            <w:tcW w:w="970" w:type="dxa"/>
            <w:tcBorders>
              <w:top w:val="nil"/>
              <w:left w:val="nil"/>
              <w:bottom w:val="single" w:sz="4" w:space="0" w:color="auto"/>
              <w:right w:val="nil"/>
            </w:tcBorders>
          </w:tcPr>
          <w:p w14:paraId="4BF8E4E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2673114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76A4E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44899FC" w14:textId="3ED446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udrożnienia barier migracyjnych</w:t>
            </w:r>
            <w:r w:rsidRPr="0028666F">
              <w:rPr>
                <w:rFonts w:ascii="Calibri" w:eastAsia="Times New Roman" w:hAnsi="Calibri" w:cs="Calibri"/>
                <w:color w:val="000000"/>
                <w:sz w:val="18"/>
                <w:szCs w:val="18"/>
                <w:lang w:eastAsia="pl-PL"/>
              </w:rPr>
              <w:br/>
              <w:t>Należy zmienid zakres działao przypisanych budowlom piętrzącym, aby umożliwid realizację celów środowiskowych RDW.</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ciągłośd biologiczną i spełnienie celów środowiskowych. Realizacja działao zgodnie z przeprowadzoną analizą.</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Analiza możliwości likwidacji budowli poprzecznych/przebudowa budowli poprzecznych</w:t>
            </w:r>
            <w:r w:rsidRPr="0028666F">
              <w:rPr>
                <w:rFonts w:ascii="Calibri" w:eastAsia="Times New Roman" w:hAnsi="Calibri" w:cs="Calibri"/>
                <w:color w:val="000000"/>
                <w:sz w:val="18"/>
                <w:szCs w:val="18"/>
                <w:lang w:eastAsia="pl-PL"/>
              </w:rPr>
              <w:br/>
              <w:t>należy zmienid zapis z „Analiza możliwości...” na „Analiza sposobu...” – pozostawienie działania na poziomie badania możliwości nie gwarantuje podjęcia kroków na rzecz przedsięwzięd sprzyjających osiąganiu celów środowiskowych.</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należy dokonad zmiany na</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zapewnid likwidację piętrzeo (barier) wszędzie tam, gdzie okaże się to w wyniku analizy możliwe.</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„Monitoring skuteczności istniejących urządzeo do migracji ryb.” i/lub „Kontrola funkcjonowania urządzeo do migracji ryb.”</w:t>
            </w:r>
            <w:r w:rsidRPr="0028666F">
              <w:rPr>
                <w:rFonts w:ascii="Calibri" w:eastAsia="Times New Roman" w:hAnsi="Calibri" w:cs="Calibri"/>
                <w:color w:val="000000"/>
                <w:sz w:val="18"/>
                <w:szCs w:val="18"/>
                <w:lang w:eastAsia="pl-PL"/>
              </w:rPr>
              <w:br/>
              <w:t>należy dodad kolejne działanie (Działanie I lub Działanie II): „Przebudowa lub budowa nowego urządzenia dla migracji organizmów wodnych w wypadku jego braku lub nieskutecznego działania / Przegląd zgód wodnoprawnych w przypadku zaniechania działao udrożnieniowych.”</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ciągłośd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dodad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ciągłośd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realizacja działao inwestycyjnych ukierunkowanych na neutralizację negatywnego oddziaływania i osiągnięcie celów środowiskowych.” </w:t>
            </w:r>
          </w:p>
        </w:tc>
        <w:tc>
          <w:tcPr>
            <w:tcW w:w="2733" w:type="dxa"/>
            <w:tcBorders>
              <w:top w:val="nil"/>
              <w:left w:val="nil"/>
              <w:bottom w:val="single" w:sz="4" w:space="0" w:color="auto"/>
              <w:right w:val="single" w:sz="4" w:space="0" w:color="auto"/>
            </w:tcBorders>
            <w:shd w:val="clear" w:color="auto" w:fill="auto"/>
            <w:hideMark/>
          </w:tcPr>
          <w:p w14:paraId="60481C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988D6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21A37C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7FEA5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F19D39F" w14:textId="61AC0CE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5557A45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0FBF79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306</w:t>
            </w:r>
          </w:p>
        </w:tc>
        <w:tc>
          <w:tcPr>
            <w:tcW w:w="970" w:type="dxa"/>
            <w:tcBorders>
              <w:top w:val="nil"/>
              <w:left w:val="nil"/>
              <w:bottom w:val="single" w:sz="4" w:space="0" w:color="auto"/>
              <w:right w:val="nil"/>
            </w:tcBorders>
          </w:tcPr>
          <w:p w14:paraId="6D55FF9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73B5CB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607A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F4B25AF" w14:textId="3EB8370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 udrożnienia</w:t>
            </w:r>
            <w:r w:rsidRPr="0028666F">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Odry) na dwa tygodnie przed koocem półrocznych konsultacji publicznych nie pozwala na pełne odniesienie się do jego zapisów. Poniżej przedstawiono podstawowe braki w programie działao udrożnieniowych, mogących mied skutki nie tylko lokalnego nieosiągnięcia celów środowiskowych, ale także - w skali całego dorzecza. Zidentyfikowano m.in. zaniechanie realizacji działao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type="page"/>
              <w:t>Zaniechania i braki mogące skutkowad nieosiągnięciem celów środowiskowych w rozumieniu RDW, w tym celów dla obszarów Natura 2000, to m.in.:</w:t>
            </w:r>
            <w:r w:rsidRPr="0028666F">
              <w:rPr>
                <w:rFonts w:ascii="Calibri" w:eastAsia="Times New Roman" w:hAnsi="Calibri" w:cs="Calibri"/>
                <w:color w:val="000000"/>
                <w:sz w:val="18"/>
                <w:szCs w:val="18"/>
                <w:lang w:eastAsia="pl-PL"/>
              </w:rPr>
              <w:br w:type="page"/>
              <w:t>· Rzeka Grabia, obszar Natura 2000 "Grabia" PLH100021 Wpis z PZO z 2014 (w zmianie PZO z 2018 też):</w:t>
            </w:r>
            <w:r w:rsidRPr="0028666F">
              <w:rPr>
                <w:rFonts w:ascii="Calibri" w:eastAsia="Times New Roman" w:hAnsi="Calibri" w:cs="Calibri"/>
                <w:color w:val="000000"/>
                <w:sz w:val="18"/>
                <w:szCs w:val="18"/>
                <w:lang w:eastAsia="pl-PL"/>
              </w:rPr>
              <w:br w:type="page"/>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ype="page"/>
              <w:t>dla ryb.</w:t>
            </w:r>
            <w:r w:rsidRPr="0028666F">
              <w:rPr>
                <w:rFonts w:ascii="Calibri" w:eastAsia="Times New Roman" w:hAnsi="Calibri" w:cs="Calibri"/>
                <w:color w:val="000000"/>
                <w:sz w:val="18"/>
                <w:szCs w:val="18"/>
                <w:lang w:eastAsia="pl-PL"/>
              </w:rPr>
              <w:br w:type="page"/>
              <w:t>W aPGW 2016-2021 był wpis do zadao dla obszarów chronionych, ale już nie w działaniach na budowlach piętrzących – żadnych działao nie przeprowadzono.</w:t>
            </w:r>
            <w:r w:rsidRPr="0028666F">
              <w:rPr>
                <w:rFonts w:ascii="Calibri" w:eastAsia="Times New Roman" w:hAnsi="Calibri" w:cs="Calibri"/>
                <w:color w:val="000000"/>
                <w:sz w:val="18"/>
                <w:szCs w:val="18"/>
                <w:lang w:eastAsia="pl-PL"/>
              </w:rPr>
              <w:br w:type="page"/>
              <w:t>W IIaPGW zaproponowano realizację działao wynikających z analizy drożności, ale tylko dla 3 piętrzeo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oddziaływad na obszar Natura 2000.</w:t>
            </w:r>
            <w:r w:rsidRPr="0028666F">
              <w:rPr>
                <w:rFonts w:ascii="Calibri" w:eastAsia="Times New Roman" w:hAnsi="Calibri" w:cs="Calibri"/>
                <w:color w:val="000000"/>
                <w:sz w:val="18"/>
                <w:szCs w:val="18"/>
                <w:lang w:eastAsia="pl-PL"/>
              </w:rPr>
              <w:br w:type="page"/>
              <w:t>· Kotlina Kłodzka</w:t>
            </w:r>
            <w:r w:rsidRPr="0028666F">
              <w:rPr>
                <w:rFonts w:ascii="Calibri" w:eastAsia="Times New Roman" w:hAnsi="Calibri" w:cs="Calibri"/>
                <w:color w:val="000000"/>
                <w:sz w:val="18"/>
                <w:szCs w:val="18"/>
                <w:lang w:eastAsia="pl-PL"/>
              </w:rPr>
              <w:br w:type="page"/>
              <w:t>Wiele barier na rzekach Kotliny Kłodzkiej, również w obszarach Natura 2000 ma pozostad nieudrożnionych. Wyłącznie „ocenę wpływu” zaproponowano dla piętrzeo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ype="page"/>
              <w:t>· Gwda</w:t>
            </w:r>
            <w:r w:rsidRPr="0028666F">
              <w:rPr>
                <w:rFonts w:ascii="Calibri" w:eastAsia="Times New Roman" w:hAnsi="Calibri" w:cs="Calibri"/>
                <w:color w:val="000000"/>
                <w:sz w:val="18"/>
                <w:szCs w:val="18"/>
                <w:lang w:eastAsia="pl-PL"/>
              </w:rPr>
              <w:br w:type="page"/>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ype="page"/>
              <w:t>Piława – niedrożne piętrzenie nr 2914 (celem środowiskowym jest zapewnienie drożności cieku dla migracji ichtiofauny, o ile jest monitorowany wskaźnik diadromiczny D). W ramach IIapGW zaproponowano tylko ocenę wpływu, brak działao udrożnieniowych.</w:t>
            </w:r>
            <w:r w:rsidRPr="0028666F">
              <w:rPr>
                <w:rFonts w:ascii="Calibri" w:eastAsia="Times New Roman" w:hAnsi="Calibri" w:cs="Calibri"/>
                <w:color w:val="000000"/>
                <w:sz w:val="18"/>
                <w:szCs w:val="18"/>
                <w:lang w:eastAsia="pl-PL"/>
              </w:rPr>
              <w:br w:type="page"/>
              <w:t xml:space="preserve">· Zbiorniki zaporowe - Jeziorsko 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mied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Załęczaoskiego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IRS i WWF Polska, s. 82 Warta powyżej zbiornika była wskazana jako rzeka istotna dla ww. gatunków diadromicznych. Umożliwienie migracji przez zaporę Zb. Jeziorsko (właśnie remontowaną za dziesiątki mln zł) jest też istotne dla innych dalekodystansowych migrantów, jak boleo.</w:t>
            </w:r>
            <w:r w:rsidRPr="0028666F">
              <w:rPr>
                <w:rFonts w:ascii="Calibri" w:eastAsia="Times New Roman" w:hAnsi="Calibri" w:cs="Calibri"/>
                <w:color w:val="000000"/>
                <w:sz w:val="18"/>
                <w:szCs w:val="18"/>
                <w:lang w:eastAsia="pl-PL"/>
              </w:rPr>
              <w:br w:type="page"/>
              <w:t>· Stara Rega – piętrzenie nr 451</w:t>
            </w:r>
            <w:r w:rsidRPr="0028666F">
              <w:rPr>
                <w:rFonts w:ascii="Calibri" w:eastAsia="Times New Roman" w:hAnsi="Calibri" w:cs="Calibri"/>
                <w:color w:val="000000"/>
                <w:sz w:val="18"/>
                <w:szCs w:val="18"/>
                <w:lang w:eastAsia="pl-PL"/>
              </w:rPr>
              <w:br w:type="page"/>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działao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type="page"/>
              <w:t>· Ukleja – piętrzenie nr 397</w:t>
            </w:r>
            <w:r w:rsidRPr="0028666F">
              <w:rPr>
                <w:rFonts w:ascii="Calibri" w:eastAsia="Times New Roman" w:hAnsi="Calibri" w:cs="Calibri"/>
                <w:color w:val="000000"/>
                <w:sz w:val="18"/>
                <w:szCs w:val="18"/>
                <w:lang w:eastAsia="pl-PL"/>
              </w:rPr>
              <w:br w:type="page"/>
              <w:t>IIaPGW proponuje działania „Kontrola...” i „Monitoring...”, a piętrzenie wymaga pilnej przebudowy (istotne z punktu widzenia ochrony obszaru Natura 2000 i ryb dwuśrodowiskowych).</w:t>
            </w:r>
          </w:p>
        </w:tc>
        <w:tc>
          <w:tcPr>
            <w:tcW w:w="2733" w:type="dxa"/>
            <w:tcBorders>
              <w:top w:val="nil"/>
              <w:left w:val="nil"/>
              <w:bottom w:val="single" w:sz="4" w:space="0" w:color="auto"/>
              <w:right w:val="single" w:sz="4" w:space="0" w:color="auto"/>
            </w:tcBorders>
            <w:shd w:val="clear" w:color="auto" w:fill="auto"/>
            <w:hideMark/>
          </w:tcPr>
          <w:p w14:paraId="20F15A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Uzupełnid listę działao inwestycyjnych – faktycznych udrożnieo o wszystkie wynikające z PZO i innych planów dla cennych przyrodniczo obszarów chronionych.</w:t>
            </w:r>
            <w:r w:rsidRPr="0028666F">
              <w:rPr>
                <w:rFonts w:ascii="Calibri" w:eastAsia="Times New Roman" w:hAnsi="Calibri" w:cs="Calibri"/>
                <w:color w:val="000000"/>
                <w:sz w:val="18"/>
                <w:szCs w:val="18"/>
                <w:lang w:eastAsia="pl-PL"/>
              </w:rPr>
              <w:br w:type="page"/>
              <w:t>Uzupełnid działania inwestycyjne według wymagao dla ryb (kolumny – X-AD w zał. 4 „erraty”).</w:t>
            </w:r>
            <w:r w:rsidRPr="0028666F">
              <w:rPr>
                <w:rFonts w:ascii="Calibri" w:eastAsia="Times New Roman" w:hAnsi="Calibri" w:cs="Calibri"/>
                <w:color w:val="000000"/>
                <w:sz w:val="18"/>
                <w:szCs w:val="18"/>
                <w:lang w:eastAsia="pl-PL"/>
              </w:rPr>
              <w:br w:type="page"/>
              <w:t>Dokonad ponownej weryfikacji drożności budowli na podstawie faktycznego stanu budowli, a nie tylko ankietyzacji właściciela lub użytkownika budowli.</w:t>
            </w:r>
            <w:r w:rsidRPr="0028666F">
              <w:rPr>
                <w:rFonts w:ascii="Calibri" w:eastAsia="Times New Roman" w:hAnsi="Calibri" w:cs="Calibri"/>
                <w:color w:val="000000"/>
                <w:sz w:val="18"/>
                <w:szCs w:val="18"/>
                <w:lang w:eastAsia="pl-PL"/>
              </w:rPr>
              <w:br w:type="page"/>
              <w:t>Umieścid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ype="page"/>
              <w:t>Udrożnid dla ryb zaporę Zb. Jeziorsko odcinającą całą górna zlewnię Warty.</w:t>
            </w:r>
          </w:p>
        </w:tc>
        <w:tc>
          <w:tcPr>
            <w:tcW w:w="3009" w:type="dxa"/>
            <w:tcBorders>
              <w:top w:val="nil"/>
              <w:left w:val="nil"/>
              <w:bottom w:val="single" w:sz="4" w:space="0" w:color="auto"/>
              <w:right w:val="single" w:sz="4" w:space="0" w:color="auto"/>
            </w:tcBorders>
            <w:shd w:val="clear" w:color="auto" w:fill="auto"/>
            <w:hideMark/>
          </w:tcPr>
          <w:p w14:paraId="662DB0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1D2F7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55ED0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71729F56" w14:textId="38B298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ype="page"/>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ype="page"/>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ype="page"/>
              <w:t>Nazwa działania: Monitoring skuteczności istniejących urządzeń do migracji ryb.</w:t>
            </w:r>
            <w:r w:rsidRPr="0028666F">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ype="page"/>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0F965AB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E48B8C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307</w:t>
            </w:r>
          </w:p>
        </w:tc>
        <w:tc>
          <w:tcPr>
            <w:tcW w:w="970" w:type="dxa"/>
            <w:tcBorders>
              <w:top w:val="nil"/>
              <w:left w:val="nil"/>
              <w:bottom w:val="single" w:sz="4" w:space="0" w:color="auto"/>
              <w:right w:val="nil"/>
            </w:tcBorders>
          </w:tcPr>
          <w:p w14:paraId="66E5B15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4D0300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1CFD1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CAA4A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 udrożnienia</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PIĘTRZEO</w:t>
            </w:r>
            <w:r w:rsidRPr="0028666F">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Odry znalazło się 10 takich działao, z czego większośd z budowli do odbudowy/przebudowy prawdopodobnie nie istnieje albo istnieją one w stanie umożliwiającym gatunkom wodnym migrację. Odbudowa jazów, czy to na cele rolnicze, czy w ramach budowy MEW powinny byd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urządzeo piętrzących na rzecze Bukowa - 8 szt. (w km: 17+451 wraz z przepławką- Kocieo W., 22+52, 22+63, 22+915 - Górnica, 24+239-Biernatowo, 32+611-Smolarnia, 36+338, 36+768-Straduo"</w:t>
            </w:r>
            <w:r w:rsidRPr="0028666F">
              <w:rPr>
                <w:rFonts w:ascii="Calibri" w:eastAsia="Times New Roman" w:hAnsi="Calibri" w:cs="Calibri"/>
                <w:color w:val="000000"/>
                <w:sz w:val="18"/>
                <w:szCs w:val="18"/>
                <w:lang w:eastAsia="pl-PL"/>
              </w:rPr>
              <w:br/>
              <w:t>Realizacja tego przedsięwzięcia to budowa nowych barier migracyjnych i behawioralnych na rzece, równoznaczna z wprowadzeniem nowej silnej presji hydromorfologicznej. Częśd piętrzeo sąsiaduje z obszarem Natura 2000 utworzonych dla ochrony ryb „Dolina Bukówki”, planowane budowle kumulują oddziaływania z innymi istniejącymi piętrzeniami na rzece, które nomen-omen mają byd udrożnione dla migracji. Odcinek, gdzie planowane są nowe budowle jest regularnie odmulany (miało to miejsce także w tym roku), co jest usprawiedliwiane utrzymaniem urządzeo wodnych i cieku we właściwym stanie (kumulacja presji).</w:t>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byd niewłaściwe i znacząco oddziaływad na obszar Natura 2000 „Dolina Łobżonki”. Lepszą środowiskowo opcją może byd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5BFA27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Wykreślid z zał. 4 do „erraty” 1 działania które polegają na odbudowie nieistniejących obecnie barier migracyjnych. Odbudowa bądź przebudowa tych, które nie są obecnie barierami powinna byd uznana za zagrożenie dla celów środowiskowych wód i obszarów chronionych i ujęta w stosownym załączniku (patrz art. 435 PW). Bezwzględnie należy wykreślid działanie „wykonanie przepławki dla ryb” w ramach zadania "Odbudowa urządzeo piętrzących na rzece Bukowa - 8 szt. (w km: 17+451 wraz z przepławką-Kocieo W., 22+52, 22+63, 22+915 - Górnica, 24+239- Biernatowo, 32+611-Smolarnia, 36+338, 36+768-Straduo" jako próbę „podpięcia” pod działania ochronne budowy nowych piętrzeo powodujących stworzenie nowej bariery migracyjnej w postaci nie tylko samego piętrzenia, ale i bariery behawioralnej oraz silniejszej presji ze źródeł rolniczych.</w:t>
            </w:r>
          </w:p>
        </w:tc>
        <w:tc>
          <w:tcPr>
            <w:tcW w:w="3009" w:type="dxa"/>
            <w:tcBorders>
              <w:top w:val="nil"/>
              <w:left w:val="nil"/>
              <w:bottom w:val="single" w:sz="4" w:space="0" w:color="auto"/>
              <w:right w:val="single" w:sz="4" w:space="0" w:color="auto"/>
            </w:tcBorders>
            <w:shd w:val="clear" w:color="auto" w:fill="auto"/>
            <w:hideMark/>
          </w:tcPr>
          <w:p w14:paraId="26DBD9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piętrzeo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Inne odbudowy/przebudowy urządzeo piętrzących zaplanowane w IIaPGW też wymagają weryfikacji, bo mogą wykazywad podobne znaczące negatywne oddziaływania.</w:t>
            </w:r>
          </w:p>
        </w:tc>
        <w:tc>
          <w:tcPr>
            <w:tcW w:w="1720" w:type="dxa"/>
            <w:tcBorders>
              <w:top w:val="nil"/>
              <w:left w:val="nil"/>
              <w:bottom w:val="single" w:sz="4" w:space="0" w:color="auto"/>
              <w:right w:val="single" w:sz="4" w:space="0" w:color="auto"/>
            </w:tcBorders>
            <w:shd w:val="clear" w:color="000000" w:fill="FFFFFF"/>
            <w:hideMark/>
          </w:tcPr>
          <w:p w14:paraId="5B28EC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03A6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31B76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14F03BC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621EF4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308</w:t>
            </w:r>
          </w:p>
        </w:tc>
        <w:tc>
          <w:tcPr>
            <w:tcW w:w="970" w:type="dxa"/>
            <w:tcBorders>
              <w:top w:val="nil"/>
              <w:left w:val="nil"/>
              <w:bottom w:val="single" w:sz="4" w:space="0" w:color="auto"/>
              <w:right w:val="nil"/>
            </w:tcBorders>
          </w:tcPr>
          <w:p w14:paraId="2EE61CE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4CEF07F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91208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13CA6782" w14:textId="3298D87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prawne i administracyjne</w:t>
            </w:r>
            <w:r w:rsidRPr="0028666F">
              <w:rPr>
                <w:rFonts w:ascii="Calibri" w:eastAsia="Times New Roman" w:hAnsi="Calibri" w:cs="Calibri"/>
                <w:color w:val="000000"/>
                <w:sz w:val="18"/>
                <w:szCs w:val="18"/>
                <w:lang w:eastAsia="pl-PL"/>
              </w:rPr>
              <w:br/>
              <w:t>Bez zmian prawnych oraz rewizji planów inwestycyjnych wynikających z programów sektorowych – PPSS, PZRP i innych, nie ma możliwości osiągnięcia celów IIaPGW i celów RDW.</w:t>
            </w:r>
            <w:r w:rsidRPr="0028666F">
              <w:rPr>
                <w:rFonts w:ascii="Calibri" w:eastAsia="Times New Roman" w:hAnsi="Calibri" w:cs="Calibri"/>
                <w:color w:val="000000"/>
                <w:sz w:val="18"/>
                <w:szCs w:val="18"/>
                <w:lang w:eastAsia="pl-PL"/>
              </w:rPr>
              <w:br/>
              <w:t xml:space="preserve">Dokumenty sektorowe powinny byd spójne z IIaPGW, jednak przy ich projektach nie wzięto pod uwagę celów środowiskowych RDW i działao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 tych dokumentów. PPSS jest przyjęty rozporządzeniem, jego nieprzeanalizowanie działania będą wykazywad (w większości przypadków) znaczące negatywne oddziaływania na.</w:t>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56F1A8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Umieścid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0FE705F1" w14:textId="32F23F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byd spójne z IIaPGW. Jest to wymóg RDW.</w:t>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działao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w:t>
            </w:r>
          </w:p>
        </w:tc>
        <w:tc>
          <w:tcPr>
            <w:tcW w:w="1720" w:type="dxa"/>
            <w:tcBorders>
              <w:top w:val="nil"/>
              <w:left w:val="nil"/>
              <w:bottom w:val="single" w:sz="4" w:space="0" w:color="auto"/>
              <w:right w:val="single" w:sz="4" w:space="0" w:color="auto"/>
            </w:tcBorders>
            <w:shd w:val="clear" w:color="000000" w:fill="FFFFFF"/>
            <w:hideMark/>
          </w:tcPr>
          <w:p w14:paraId="2CDBAD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28D25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BD4272F" w14:textId="23380F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4E38B39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31011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309</w:t>
            </w:r>
          </w:p>
        </w:tc>
        <w:tc>
          <w:tcPr>
            <w:tcW w:w="970" w:type="dxa"/>
            <w:tcBorders>
              <w:top w:val="nil"/>
              <w:left w:val="nil"/>
              <w:bottom w:val="single" w:sz="4" w:space="0" w:color="auto"/>
              <w:right w:val="nil"/>
            </w:tcBorders>
          </w:tcPr>
          <w:p w14:paraId="76041F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1745081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5518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318B6A6E" w14:textId="4876469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Konkretne zmiany prawne</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prace utrzymaniowe – należy ująd w Prawie wodnym koniecznośd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 dobrych-praktyk-w-zakresie-robot-hydrotechnicznych powinno byd prawnym obowiązkiem zarządców wód i mied na celu ograniczanie praktyk szkodliwych (i przeskalowanych) działao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urządzeo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oddziaływao tylko, gdy jedno z działao „łapie się” do oceny) i powinny byd znacząco obniżone; należy zaznaczyd,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odwoład;</w:t>
            </w:r>
            <w:r w:rsidRPr="0028666F">
              <w:rPr>
                <w:rFonts w:ascii="Calibri" w:eastAsia="Times New Roman" w:hAnsi="Calibri" w:cs="Calibri"/>
                <w:color w:val="000000"/>
                <w:sz w:val="18"/>
                <w:szCs w:val="18"/>
                <w:lang w:eastAsia="pl-PL"/>
              </w:rPr>
              <w:br/>
              <w:t>- należy uzupełnid art. 416.2 PW o cykliczne przeglądy spełniania wymogów pozwoleo wodnoprawnych na piętrzenie wód.</w:t>
            </w:r>
            <w:r w:rsidRPr="0028666F">
              <w:rPr>
                <w:rFonts w:ascii="Calibri" w:eastAsia="Times New Roman" w:hAnsi="Calibri" w:cs="Calibri"/>
                <w:color w:val="000000"/>
                <w:sz w:val="18"/>
                <w:szCs w:val="18"/>
                <w:lang w:eastAsia="pl-PL"/>
              </w:rPr>
              <w:br/>
              <w:t>- należy usunąd koniecznośd umieszczania w PGW katalogu odcinków ZAGROŻENIA DLA SWOBODNEGO PRZEPŁYWU WÓD ORAZ SPŁYWU LODÓW lub planowane działania przenieśd do katalogu, o którym mowa w art. 435 PW;</w:t>
            </w:r>
            <w:r w:rsidRPr="0028666F">
              <w:rPr>
                <w:rFonts w:ascii="Calibri" w:eastAsia="Times New Roman" w:hAnsi="Calibri" w:cs="Calibri"/>
                <w:color w:val="000000"/>
                <w:sz w:val="18"/>
                <w:szCs w:val="18"/>
                <w:lang w:eastAsia="pl-PL"/>
              </w:rPr>
              <w:br/>
              <w:t>- katalog o którym mowa w art. 435 PW powinien byd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4C7EB98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4A059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6923A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2C808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F0216FD" w14:textId="36E3A56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234AFA3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04E6CD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310</w:t>
            </w:r>
          </w:p>
        </w:tc>
        <w:tc>
          <w:tcPr>
            <w:tcW w:w="970" w:type="dxa"/>
            <w:tcBorders>
              <w:top w:val="nil"/>
              <w:left w:val="nil"/>
              <w:bottom w:val="single" w:sz="4" w:space="0" w:color="auto"/>
              <w:right w:val="nil"/>
            </w:tcBorders>
          </w:tcPr>
          <w:p w14:paraId="0BB33F4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768FCE0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5DFBB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330EE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w funkcjonowaniu zarządzania wód</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373DD68C" w14:textId="6560111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mied pełne informacje na temat celów środowiskowych i zestawu działao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wdrażad, zamiast zajmowad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t>Wody Polskie powinny przewartościowad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5A5C7B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oddziaływao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28FF568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6A77C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25072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35CF9A1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E6CB98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311</w:t>
            </w:r>
          </w:p>
        </w:tc>
        <w:tc>
          <w:tcPr>
            <w:tcW w:w="970" w:type="dxa"/>
            <w:tcBorders>
              <w:top w:val="nil"/>
              <w:left w:val="nil"/>
              <w:bottom w:val="single" w:sz="4" w:space="0" w:color="auto"/>
              <w:right w:val="nil"/>
            </w:tcBorders>
          </w:tcPr>
          <w:p w14:paraId="7C169C2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Fundacji dla Biebrzy</w:t>
            </w:r>
          </w:p>
        </w:tc>
        <w:tc>
          <w:tcPr>
            <w:tcW w:w="165" w:type="dxa"/>
            <w:tcBorders>
              <w:top w:val="nil"/>
              <w:left w:val="nil"/>
              <w:bottom w:val="single" w:sz="4" w:space="0" w:color="auto"/>
              <w:right w:val="single" w:sz="4" w:space="0" w:color="auto"/>
            </w:tcBorders>
            <w:shd w:val="clear" w:color="auto" w:fill="auto"/>
          </w:tcPr>
          <w:p w14:paraId="0A7166C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8095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EEB3B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w ocenie postępu działao – co 2 lata</w:t>
            </w:r>
            <w:r w:rsidRPr="0028666F">
              <w:rPr>
                <w:rFonts w:ascii="Calibri" w:eastAsia="Times New Roman" w:hAnsi="Calibri" w:cs="Calibri"/>
                <w:color w:val="000000"/>
                <w:sz w:val="18"/>
                <w:szCs w:val="18"/>
                <w:lang w:eastAsia="pl-PL"/>
              </w:rPr>
              <w:br w:type="page"/>
              <w:t>W przypadku budowli do udrożnienia, dla których nie sporządzono dokumentacji, powinny byd ustalone następujące maksymalne terminy do oceny postępu działao: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315C495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C774A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zapewnid realizację działao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477208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CCCA88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26989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7C2B40" w:rsidRPr="0028666F" w14:paraId="4ADD050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857BF2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312</w:t>
            </w:r>
          </w:p>
        </w:tc>
        <w:tc>
          <w:tcPr>
            <w:tcW w:w="970" w:type="dxa"/>
            <w:tcBorders>
              <w:top w:val="nil"/>
              <w:left w:val="nil"/>
              <w:bottom w:val="single" w:sz="4" w:space="0" w:color="auto"/>
              <w:right w:val="nil"/>
            </w:tcBorders>
          </w:tcPr>
          <w:p w14:paraId="594CD74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3EB2A0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B88F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662779B" w14:textId="2646FBB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Uwaga ogólna. </w:t>
            </w:r>
            <w:r w:rsidRPr="0028666F">
              <w:rPr>
                <w:rFonts w:ascii="Calibri" w:eastAsia="Times New Roman" w:hAnsi="Calibri" w:cs="Calibri"/>
                <w:color w:val="000000"/>
                <w:sz w:val="18"/>
                <w:szCs w:val="18"/>
                <w:lang w:eastAsia="pl-PL"/>
              </w:rPr>
              <w:br/>
              <w:t xml:space="preserve">Treśc uwagi: 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0A931B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488830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2BAA19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7A05A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C934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32C5842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C1677E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313</w:t>
            </w:r>
          </w:p>
        </w:tc>
        <w:tc>
          <w:tcPr>
            <w:tcW w:w="970" w:type="dxa"/>
            <w:tcBorders>
              <w:top w:val="nil"/>
              <w:left w:val="nil"/>
              <w:bottom w:val="single" w:sz="4" w:space="0" w:color="auto"/>
              <w:right w:val="nil"/>
            </w:tcBorders>
          </w:tcPr>
          <w:p w14:paraId="250349D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A33896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62C04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1BFE22B" w14:textId="319AE94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t xml:space="preserve">Treść uwagi: 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095454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034CCDFF"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348754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6C47A4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A949F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3BC6F9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E6AAB4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314</w:t>
            </w:r>
          </w:p>
        </w:tc>
        <w:tc>
          <w:tcPr>
            <w:tcW w:w="970" w:type="dxa"/>
            <w:tcBorders>
              <w:top w:val="nil"/>
              <w:left w:val="nil"/>
              <w:bottom w:val="single" w:sz="4" w:space="0" w:color="auto"/>
              <w:right w:val="nil"/>
            </w:tcBorders>
          </w:tcPr>
          <w:p w14:paraId="3D3A5D2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313584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2EC3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5502B3AC" w14:textId="6B78A6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63B3B6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w:t>
            </w:r>
          </w:p>
        </w:tc>
        <w:tc>
          <w:tcPr>
            <w:tcW w:w="3009" w:type="dxa"/>
            <w:tcBorders>
              <w:top w:val="nil"/>
              <w:left w:val="nil"/>
              <w:bottom w:val="single" w:sz="4" w:space="0" w:color="auto"/>
              <w:right w:val="single" w:sz="4" w:space="0" w:color="auto"/>
            </w:tcBorders>
            <w:shd w:val="clear" w:color="auto" w:fill="auto"/>
            <w:hideMark/>
          </w:tcPr>
          <w:p w14:paraId="007CD1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4F8E3D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ED282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CE156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2A948DD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B6238C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315</w:t>
            </w:r>
          </w:p>
        </w:tc>
        <w:tc>
          <w:tcPr>
            <w:tcW w:w="970" w:type="dxa"/>
            <w:tcBorders>
              <w:top w:val="nil"/>
              <w:left w:val="nil"/>
              <w:bottom w:val="single" w:sz="4" w:space="0" w:color="auto"/>
              <w:right w:val="nil"/>
            </w:tcBorders>
          </w:tcPr>
          <w:p w14:paraId="6227F33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31AB750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9B56FC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08DDDCA" w14:textId="011348F3"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3D8266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4EA5E7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p>
        </w:tc>
        <w:tc>
          <w:tcPr>
            <w:tcW w:w="1720" w:type="dxa"/>
            <w:tcBorders>
              <w:top w:val="nil"/>
              <w:left w:val="nil"/>
              <w:bottom w:val="single" w:sz="4" w:space="0" w:color="auto"/>
              <w:right w:val="single" w:sz="4" w:space="0" w:color="auto"/>
            </w:tcBorders>
            <w:shd w:val="clear" w:color="000000" w:fill="FFFFFF"/>
            <w:hideMark/>
          </w:tcPr>
          <w:p w14:paraId="4DA45D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91E8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987D2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6FDEDD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12026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316</w:t>
            </w:r>
          </w:p>
        </w:tc>
        <w:tc>
          <w:tcPr>
            <w:tcW w:w="970" w:type="dxa"/>
            <w:tcBorders>
              <w:top w:val="nil"/>
              <w:left w:val="nil"/>
              <w:bottom w:val="single" w:sz="4" w:space="0" w:color="auto"/>
              <w:right w:val="nil"/>
            </w:tcBorders>
          </w:tcPr>
          <w:p w14:paraId="6DF374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2FD3A8B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FC7E1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27F5EF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Konsultacje chaos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0B6A7B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0F10B4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0EEBFB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0B6D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76A30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69C3F4B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3D3E90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317</w:t>
            </w:r>
          </w:p>
        </w:tc>
        <w:tc>
          <w:tcPr>
            <w:tcW w:w="970" w:type="dxa"/>
            <w:tcBorders>
              <w:top w:val="nil"/>
              <w:left w:val="nil"/>
              <w:bottom w:val="single" w:sz="4" w:space="0" w:color="auto"/>
              <w:right w:val="nil"/>
            </w:tcBorders>
          </w:tcPr>
          <w:p w14:paraId="039EDA1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021F24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157AD8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BA844C6" w14:textId="10E3029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Konsultacje geobaza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51631B0C" w14:textId="7B463D8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62118143" w14:textId="36BC371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p>
        </w:tc>
        <w:tc>
          <w:tcPr>
            <w:tcW w:w="1720" w:type="dxa"/>
            <w:tcBorders>
              <w:top w:val="nil"/>
              <w:left w:val="nil"/>
              <w:bottom w:val="single" w:sz="4" w:space="0" w:color="auto"/>
              <w:right w:val="single" w:sz="4" w:space="0" w:color="auto"/>
            </w:tcBorders>
            <w:shd w:val="clear" w:color="000000" w:fill="FFFFFF"/>
            <w:hideMark/>
          </w:tcPr>
          <w:p w14:paraId="5498C2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365D1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41BCE3D" w14:textId="2347197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z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w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028066F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D90FD2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318</w:t>
            </w:r>
          </w:p>
        </w:tc>
        <w:tc>
          <w:tcPr>
            <w:tcW w:w="970" w:type="dxa"/>
            <w:tcBorders>
              <w:top w:val="nil"/>
              <w:left w:val="nil"/>
              <w:bottom w:val="single" w:sz="4" w:space="0" w:color="auto"/>
              <w:right w:val="nil"/>
            </w:tcBorders>
          </w:tcPr>
          <w:p w14:paraId="5E4CC31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41E5483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1006F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5E76F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dokumenty źródłowe</w:t>
            </w:r>
            <w:r w:rsidRPr="0028666F">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2733" w:type="dxa"/>
            <w:tcBorders>
              <w:top w:val="nil"/>
              <w:left w:val="nil"/>
              <w:bottom w:val="single" w:sz="4" w:space="0" w:color="auto"/>
              <w:right w:val="single" w:sz="4" w:space="0" w:color="auto"/>
            </w:tcBorders>
            <w:shd w:val="clear" w:color="auto" w:fill="auto"/>
            <w:hideMark/>
          </w:tcPr>
          <w:p w14:paraId="5A9EBF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172EC0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77A75E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AD0E4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AD82E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2021r. poz. 247, ze zm.), dokumentów podlegającym konsultacjom tj. projekty IIaPGW wraz z załącznikami, w tym mapami.</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2591D9B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2FA10C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319</w:t>
            </w:r>
          </w:p>
        </w:tc>
        <w:tc>
          <w:tcPr>
            <w:tcW w:w="970" w:type="dxa"/>
            <w:tcBorders>
              <w:top w:val="nil"/>
              <w:left w:val="nil"/>
              <w:bottom w:val="single" w:sz="4" w:space="0" w:color="auto"/>
              <w:right w:val="nil"/>
            </w:tcBorders>
          </w:tcPr>
          <w:p w14:paraId="1E628B5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458892C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738DA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30ECD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formularz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09FC4A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2EC72C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2A0D63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EA369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E001E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zróznicowane kanały komunikacji dostępne dla zainteresowanych. Nie zastosowano dodatkowych ograniczeń co do formy przedkładanych uwag.</w:t>
            </w:r>
          </w:p>
        </w:tc>
      </w:tr>
      <w:tr w:rsidR="007C2B40" w:rsidRPr="0028666F" w14:paraId="42BF84C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5A44F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320</w:t>
            </w:r>
          </w:p>
        </w:tc>
        <w:tc>
          <w:tcPr>
            <w:tcW w:w="970" w:type="dxa"/>
            <w:tcBorders>
              <w:top w:val="nil"/>
              <w:left w:val="nil"/>
              <w:bottom w:val="single" w:sz="4" w:space="0" w:color="auto"/>
              <w:right w:val="nil"/>
            </w:tcBorders>
          </w:tcPr>
          <w:p w14:paraId="0D15228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7EDB857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69C04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6A765B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dane ze strony 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59ACC7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547DA9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3CE4A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083A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BC74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571A2DA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854C2A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321</w:t>
            </w:r>
          </w:p>
        </w:tc>
        <w:tc>
          <w:tcPr>
            <w:tcW w:w="970" w:type="dxa"/>
            <w:tcBorders>
              <w:top w:val="nil"/>
              <w:left w:val="nil"/>
              <w:bottom w:val="single" w:sz="4" w:space="0" w:color="auto"/>
              <w:right w:val="nil"/>
            </w:tcBorders>
          </w:tcPr>
          <w:p w14:paraId="76BC084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2697ACC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CBD4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DB5C193" w14:textId="032439E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Rozdział </w:t>
            </w:r>
            <w:r w:rsidRPr="0028666F">
              <w:rPr>
                <w:rFonts w:ascii="Calibri" w:eastAsia="Times New Roman" w:hAnsi="Calibri" w:cs="Calibri"/>
                <w:color w:val="000000"/>
                <w:sz w:val="18"/>
                <w:szCs w:val="18"/>
                <w:lang w:eastAsia="pl-PL"/>
              </w:rPr>
              <w:br w:type="page"/>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20D006EF" w14:textId="6C0AB07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67A6D331" w14:textId="2FDAAC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0600EC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C8BFA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10F681E" w14:textId="3DD51CD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2D8DA48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2552E1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322</w:t>
            </w:r>
          </w:p>
        </w:tc>
        <w:tc>
          <w:tcPr>
            <w:tcW w:w="970" w:type="dxa"/>
            <w:tcBorders>
              <w:top w:val="nil"/>
              <w:left w:val="nil"/>
              <w:bottom w:val="single" w:sz="4" w:space="0" w:color="auto"/>
              <w:right w:val="nil"/>
            </w:tcBorders>
          </w:tcPr>
          <w:p w14:paraId="38D5EF7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2506A2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205C77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2C203E4" w14:textId="6F1F598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RWr Zbiornikowe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Rozdz. 3, 5.1. oraz 8.1.</w:t>
            </w:r>
            <w:r w:rsidRPr="0028666F">
              <w:rPr>
                <w:rFonts w:ascii="Calibri" w:eastAsia="Times New Roman" w:hAnsi="Calibri" w:cs="Calibri"/>
                <w:color w:val="000000"/>
                <w:sz w:val="18"/>
                <w:szCs w:val="18"/>
                <w:lang w:eastAsia="pl-PL"/>
              </w:rPr>
              <w:br/>
              <w:t xml:space="preserve">Zał. 3.1. oraz 8.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Zał. mapowe"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381BFC46" w14:textId="1AA4C64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24A9D6FC" w14:textId="6449198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22A934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6118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80832B2" w14:textId="713B3F6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533E063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DED2B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323</w:t>
            </w:r>
          </w:p>
        </w:tc>
        <w:tc>
          <w:tcPr>
            <w:tcW w:w="970" w:type="dxa"/>
            <w:tcBorders>
              <w:top w:val="nil"/>
              <w:left w:val="nil"/>
              <w:bottom w:val="single" w:sz="4" w:space="0" w:color="auto"/>
              <w:right w:val="nil"/>
            </w:tcBorders>
          </w:tcPr>
          <w:p w14:paraId="7EA030A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627755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71EB3F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FEB4767" w14:textId="230F33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Jeśli zaś, zachodzi niepewność, co do możliwości wyznaczenia SZCW, wyznaczenie takie było nieuprawnione. "</w:t>
            </w:r>
          </w:p>
        </w:tc>
        <w:tc>
          <w:tcPr>
            <w:tcW w:w="2733" w:type="dxa"/>
            <w:tcBorders>
              <w:top w:val="nil"/>
              <w:left w:val="nil"/>
              <w:bottom w:val="single" w:sz="4" w:space="0" w:color="auto"/>
              <w:right w:val="single" w:sz="4" w:space="0" w:color="auto"/>
            </w:tcBorders>
            <w:shd w:val="clear" w:color="auto" w:fill="auto"/>
            <w:hideMark/>
          </w:tcPr>
          <w:p w14:paraId="501EFC21" w14:textId="6671453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4FBB63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2DCFD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054F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DCB81C4" w14:textId="78D2941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6CBD5DF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D81F0F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324</w:t>
            </w:r>
          </w:p>
        </w:tc>
        <w:tc>
          <w:tcPr>
            <w:tcW w:w="970" w:type="dxa"/>
            <w:tcBorders>
              <w:top w:val="nil"/>
              <w:left w:val="nil"/>
              <w:bottom w:val="single" w:sz="4" w:space="0" w:color="auto"/>
              <w:right w:val="nil"/>
            </w:tcBorders>
          </w:tcPr>
          <w:p w14:paraId="4D05B39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6EC7270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93137D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0374BEE" w14:textId="3FCD8E7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0468BEBC" w14:textId="75E37A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4169DA89" w14:textId="14A711C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r w:rsidRPr="0028666F">
              <w:rPr>
                <w:rFonts w:ascii="Calibri" w:eastAsia="Times New Roman" w:hAnsi="Calibri" w:cs="Calibri"/>
                <w:color w:val="000000"/>
                <w:sz w:val="18"/>
                <w:szCs w:val="18"/>
                <w:lang w:eastAsia="pl-PL"/>
              </w:rPr>
              <w:br/>
              <w:t>"</w:t>
            </w:r>
          </w:p>
        </w:tc>
        <w:tc>
          <w:tcPr>
            <w:tcW w:w="1720" w:type="dxa"/>
            <w:tcBorders>
              <w:top w:val="nil"/>
              <w:left w:val="nil"/>
              <w:bottom w:val="single" w:sz="4" w:space="0" w:color="auto"/>
              <w:right w:val="single" w:sz="4" w:space="0" w:color="auto"/>
            </w:tcBorders>
            <w:shd w:val="clear" w:color="000000" w:fill="FFFFFF"/>
            <w:hideMark/>
          </w:tcPr>
          <w:p w14:paraId="14F1820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01517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43C6A0E" w14:textId="471ED48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7BDB58C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7CBE15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325</w:t>
            </w:r>
          </w:p>
        </w:tc>
        <w:tc>
          <w:tcPr>
            <w:tcW w:w="970" w:type="dxa"/>
            <w:tcBorders>
              <w:top w:val="nil"/>
              <w:left w:val="nil"/>
              <w:bottom w:val="single" w:sz="4" w:space="0" w:color="auto"/>
              <w:right w:val="nil"/>
            </w:tcBorders>
          </w:tcPr>
          <w:p w14:paraId="2390C16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358CE3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0EAB04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679470B" w14:textId="3C8E09E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3.1. SZCW</w:t>
            </w:r>
            <w:r w:rsidRPr="0028666F">
              <w:rPr>
                <w:rFonts w:ascii="Calibri" w:eastAsia="Times New Roman" w:hAnsi="Calibri" w:cs="Calibri"/>
                <w:color w:val="000000"/>
                <w:sz w:val="18"/>
                <w:szCs w:val="18"/>
                <w:lang w:eastAsia="pl-PL"/>
              </w:rPr>
              <w:br/>
              <w:t>Wyznaczenie SZCW niezgodnie z metodyką"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2733" w:type="dxa"/>
            <w:tcBorders>
              <w:top w:val="nil"/>
              <w:left w:val="nil"/>
              <w:bottom w:val="single" w:sz="4" w:space="0" w:color="auto"/>
              <w:right w:val="single" w:sz="4" w:space="0" w:color="auto"/>
            </w:tcBorders>
            <w:shd w:val="clear" w:color="auto" w:fill="auto"/>
            <w:hideMark/>
          </w:tcPr>
          <w:p w14:paraId="35A754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6F5340D7" w14:textId="6CBD587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67EB638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5704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14E81EE" w14:textId="0B272EE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6E47D47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8E8E76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326</w:t>
            </w:r>
          </w:p>
        </w:tc>
        <w:tc>
          <w:tcPr>
            <w:tcW w:w="970" w:type="dxa"/>
            <w:tcBorders>
              <w:top w:val="nil"/>
              <w:left w:val="nil"/>
              <w:bottom w:val="single" w:sz="4" w:space="0" w:color="auto"/>
              <w:right w:val="nil"/>
            </w:tcBorders>
          </w:tcPr>
          <w:p w14:paraId="0A01A3C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7BF592F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714D1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4B5CA09" w14:textId="68B3C34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5</w:t>
            </w:r>
            <w:r w:rsidRPr="0028666F">
              <w:rPr>
                <w:rFonts w:ascii="Calibri" w:eastAsia="Times New Roman" w:hAnsi="Calibri" w:cs="Calibri"/>
                <w:color w:val="000000"/>
                <w:sz w:val="18"/>
                <w:szCs w:val="18"/>
                <w:lang w:eastAsia="pl-PL"/>
              </w:rPr>
              <w:br w:type="page"/>
              <w:t>Monitoring"</w:t>
            </w:r>
            <w:r w:rsidRPr="0028666F">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p>
        </w:tc>
        <w:tc>
          <w:tcPr>
            <w:tcW w:w="2733" w:type="dxa"/>
            <w:tcBorders>
              <w:top w:val="nil"/>
              <w:left w:val="nil"/>
              <w:bottom w:val="single" w:sz="4" w:space="0" w:color="auto"/>
              <w:right w:val="single" w:sz="4" w:space="0" w:color="auto"/>
            </w:tcBorders>
            <w:shd w:val="clear" w:color="auto" w:fill="auto"/>
            <w:hideMark/>
          </w:tcPr>
          <w:p w14:paraId="1D1467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32C154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3DCEE9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5D158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B3AEAA1" w14:textId="478269E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7D84E3A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4AEB8F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327</w:t>
            </w:r>
          </w:p>
        </w:tc>
        <w:tc>
          <w:tcPr>
            <w:tcW w:w="970" w:type="dxa"/>
            <w:tcBorders>
              <w:top w:val="nil"/>
              <w:left w:val="nil"/>
              <w:bottom w:val="single" w:sz="4" w:space="0" w:color="auto"/>
              <w:right w:val="nil"/>
            </w:tcBorders>
          </w:tcPr>
          <w:p w14:paraId="4DFBA12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4961DD1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A6C5EC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A7BD4F3" w14:textId="1698DF9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5</w:t>
            </w:r>
            <w:r w:rsidRPr="0028666F">
              <w:rPr>
                <w:rFonts w:ascii="Calibri" w:eastAsia="Times New Roman" w:hAnsi="Calibri" w:cs="Calibri"/>
                <w:color w:val="000000"/>
                <w:sz w:val="18"/>
                <w:szCs w:val="18"/>
                <w:lang w:eastAsia="pl-PL"/>
              </w:rPr>
              <w:br/>
              <w:t>Monitoring"</w:t>
            </w:r>
            <w:r w:rsidRPr="0028666F">
              <w:rPr>
                <w:rFonts w:ascii="Calibri" w:eastAsia="Times New Roman" w:hAnsi="Calibri" w:cs="Calibri"/>
                <w:color w:val="000000"/>
                <w:sz w:val="18"/>
                <w:szCs w:val="18"/>
                <w:lang w:eastAsia="pl-PL"/>
              </w:rPr>
              <w:b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p>
        </w:tc>
        <w:tc>
          <w:tcPr>
            <w:tcW w:w="2733" w:type="dxa"/>
            <w:tcBorders>
              <w:top w:val="nil"/>
              <w:left w:val="nil"/>
              <w:bottom w:val="single" w:sz="4" w:space="0" w:color="auto"/>
              <w:right w:val="single" w:sz="4" w:space="0" w:color="auto"/>
            </w:tcBorders>
            <w:shd w:val="clear" w:color="auto" w:fill="auto"/>
            <w:hideMark/>
          </w:tcPr>
          <w:p w14:paraId="3BA54904" w14:textId="6FADE03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4EEEF7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408749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0CD6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492599F" w14:textId="7DF4F7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10FB86C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E1E750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328</w:t>
            </w:r>
          </w:p>
        </w:tc>
        <w:tc>
          <w:tcPr>
            <w:tcW w:w="970" w:type="dxa"/>
            <w:tcBorders>
              <w:top w:val="nil"/>
              <w:left w:val="nil"/>
              <w:bottom w:val="single" w:sz="4" w:space="0" w:color="auto"/>
              <w:right w:val="nil"/>
            </w:tcBorders>
          </w:tcPr>
          <w:p w14:paraId="217C750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3EA214D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B053AC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2AD3F4F" w14:textId="51F709F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"Streszczenie niespecjalistyczne; IIaPGW Rozdział 7, 8, 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Presja, Cele środowiskowe, "</w:t>
            </w:r>
            <w:r w:rsidRPr="0028666F">
              <w:rPr>
                <w:rFonts w:ascii="Calibri" w:eastAsia="Times New Roman" w:hAnsi="Calibri" w:cs="Calibri"/>
                <w:color w:val="000000"/>
                <w:sz w:val="18"/>
                <w:szCs w:val="18"/>
                <w:lang w:eastAsia="pl-PL"/>
              </w:rPr>
              <w:b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p>
        </w:tc>
        <w:tc>
          <w:tcPr>
            <w:tcW w:w="2733" w:type="dxa"/>
            <w:tcBorders>
              <w:top w:val="nil"/>
              <w:left w:val="nil"/>
              <w:bottom w:val="single" w:sz="4" w:space="0" w:color="auto"/>
              <w:right w:val="single" w:sz="4" w:space="0" w:color="auto"/>
            </w:tcBorders>
            <w:shd w:val="clear" w:color="auto" w:fill="auto"/>
            <w:hideMark/>
          </w:tcPr>
          <w:p w14:paraId="0B629125" w14:textId="2D45A96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5F66EA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0A5009B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91E6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7505C8D" w14:textId="657B2DC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3750F77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C6D8BC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329</w:t>
            </w:r>
          </w:p>
        </w:tc>
        <w:tc>
          <w:tcPr>
            <w:tcW w:w="970" w:type="dxa"/>
            <w:tcBorders>
              <w:top w:val="nil"/>
              <w:left w:val="nil"/>
              <w:bottom w:val="single" w:sz="4" w:space="0" w:color="auto"/>
              <w:right w:val="nil"/>
            </w:tcBorders>
          </w:tcPr>
          <w:p w14:paraId="3198403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38E344A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1CEBFD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3A2AC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"Rozdz. 9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Postęp i wdrożenie działań 2016-2021"</w:t>
            </w:r>
            <w:r w:rsidRPr="0028666F">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42B69A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724463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44A122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4A76B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5C31030" w14:textId="209B992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Prolongacja działań z aPWŚK do zestawu działań IIaPGW była wykonana w oparciu o szereg szczegółowych analiz, podstawą weryfikacji zasadności wdrażania działań na okres 2022-2027 była ocena stanu wód, wykonana na podstawie danych PMŚ, a także analiza przyczyn złego stanu wód, wraz z identyfikacją źródeł presji znaczących powodujących nieosiągnięcie celów i zły stan wód, wskazanych w projekcie Analiza analizy znaczących oddziaływań antropogenicznych wraz z oceną ich wpływu na stan wód oraz ryzykiem nieosiągnięcia celów środowiskowych (2020).</w:t>
            </w:r>
            <w:r w:rsidRPr="0028666F">
              <w:rPr>
                <w:rFonts w:ascii="Calibri" w:eastAsia="Times New Roman" w:hAnsi="Calibri" w:cs="Calibri"/>
                <w:color w:val="000000"/>
                <w:sz w:val="18"/>
                <w:szCs w:val="18"/>
                <w:lang w:eastAsia="pl-PL"/>
              </w:rPr>
              <w:br/>
              <w:t xml:space="preserve">Metodyka przypisywania działań w zakresie poprawy hydromorfologii, w tym renaturyzacji oraz przywracania ciągości biologicznej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szczegółowo została omówiona w IIaPGW, a działania naprawcze wpisujące się w założenia między innymi KPRWP w zakresie udrożnień budowli piętrzących przypisane zostały zarówno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konkretnych budowli wskazanych w Wykazie budowli. Dokonano aktualizacji baz danych HYMO, w tym danych o wysokości piętrzenia, sprawności urządzeń do migracji ryb i innych presjach powodujących zły stan wód.</w:t>
            </w:r>
            <w:r w:rsidRPr="0028666F">
              <w:rPr>
                <w:rFonts w:ascii="Calibri" w:eastAsia="Times New Roman" w:hAnsi="Calibri" w:cs="Calibri"/>
                <w:color w:val="000000"/>
                <w:sz w:val="18"/>
                <w:szCs w:val="18"/>
                <w:lang w:eastAsia="pl-PL"/>
              </w:rPr>
              <w:br/>
              <w:t xml:space="preserve">Nie wszystkie presje hydromorfologiczne wpływają na stan elementów biologicznych, i w efekcie na stan wód w stopniu wymagającym wdrożenie działań naprawczych, dla presji nie powodujących ryzyka nieosiągnięcia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wskazywano działania nietechniczne, często na poziomie krajowym, organizacyjno-prawne, informacyjne, ochronne, działania edukacyjne, stosowanie katalogów dobrych praktyk.</w:t>
            </w:r>
          </w:p>
        </w:tc>
      </w:tr>
      <w:tr w:rsidR="007C2B40" w:rsidRPr="0028666F" w14:paraId="129C891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31D3D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330</w:t>
            </w:r>
          </w:p>
        </w:tc>
        <w:tc>
          <w:tcPr>
            <w:tcW w:w="970" w:type="dxa"/>
            <w:tcBorders>
              <w:top w:val="nil"/>
              <w:left w:val="nil"/>
              <w:bottom w:val="single" w:sz="4" w:space="0" w:color="auto"/>
              <w:right w:val="nil"/>
            </w:tcBorders>
          </w:tcPr>
          <w:p w14:paraId="6A98A98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7DABC83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22D376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BB35EA1" w14:textId="5C5D62B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10</w:t>
            </w:r>
            <w:r w:rsidRPr="0028666F">
              <w:rPr>
                <w:rFonts w:ascii="Calibri" w:eastAsia="Times New Roman" w:hAnsi="Calibri" w:cs="Calibri"/>
                <w:color w:val="000000"/>
                <w:sz w:val="18"/>
                <w:szCs w:val="18"/>
                <w:lang w:eastAsia="pl-PL"/>
              </w:rPr>
              <w:br/>
              <w:t>Działania 2aPGW KPRWP – raport "</w:t>
            </w:r>
            <w:r w:rsidRPr="0028666F">
              <w:rPr>
                <w:rFonts w:ascii="Calibri" w:eastAsia="Times New Roman" w:hAnsi="Calibri" w:cs="Calibri"/>
                <w:color w:val="000000"/>
                <w:sz w:val="18"/>
                <w:szCs w:val="18"/>
                <w:lang w:eastAsia="pl-PL"/>
              </w:rPr>
              <w:b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0B423C21" w14:textId="07ECF9E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07097836" w14:textId="668EFBC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1720" w:type="dxa"/>
            <w:tcBorders>
              <w:top w:val="nil"/>
              <w:left w:val="nil"/>
              <w:bottom w:val="single" w:sz="4" w:space="0" w:color="auto"/>
              <w:right w:val="single" w:sz="4" w:space="0" w:color="auto"/>
            </w:tcBorders>
            <w:shd w:val="clear" w:color="000000" w:fill="FFFFFF"/>
            <w:hideMark/>
          </w:tcPr>
          <w:p w14:paraId="115568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48DB8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BEA9D2D" w14:textId="2D78C1D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714F474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A42E9C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331</w:t>
            </w:r>
          </w:p>
        </w:tc>
        <w:tc>
          <w:tcPr>
            <w:tcW w:w="970" w:type="dxa"/>
            <w:tcBorders>
              <w:top w:val="nil"/>
              <w:left w:val="nil"/>
              <w:bottom w:val="single" w:sz="4" w:space="0" w:color="auto"/>
              <w:right w:val="nil"/>
            </w:tcBorders>
          </w:tcPr>
          <w:p w14:paraId="140E5A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5BD004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BF521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CBC4691" w14:textId="42CD6D0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8.1. – 8.4.</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Art. 4.4. i 4.5. RDW"</w:t>
            </w:r>
            <w:r w:rsidRPr="0028666F">
              <w:rPr>
                <w:rFonts w:ascii="Calibri" w:eastAsia="Times New Roman" w:hAnsi="Calibri" w:cs="Calibri"/>
                <w:color w:val="000000"/>
                <w:sz w:val="18"/>
                <w:szCs w:val="18"/>
                <w:lang w:eastAsia="pl-PL"/>
              </w:rPr>
              <w:br w:type="page"/>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ype="page"/>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p>
        </w:tc>
        <w:tc>
          <w:tcPr>
            <w:tcW w:w="2733" w:type="dxa"/>
            <w:tcBorders>
              <w:top w:val="nil"/>
              <w:left w:val="nil"/>
              <w:bottom w:val="single" w:sz="4" w:space="0" w:color="auto"/>
              <w:right w:val="single" w:sz="4" w:space="0" w:color="auto"/>
            </w:tcBorders>
            <w:shd w:val="clear" w:color="auto" w:fill="auto"/>
            <w:hideMark/>
          </w:tcPr>
          <w:p w14:paraId="6DEC1432" w14:textId="12688D2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t>
            </w:r>
          </w:p>
        </w:tc>
        <w:tc>
          <w:tcPr>
            <w:tcW w:w="3009" w:type="dxa"/>
            <w:tcBorders>
              <w:top w:val="nil"/>
              <w:left w:val="nil"/>
              <w:bottom w:val="single" w:sz="4" w:space="0" w:color="auto"/>
              <w:right w:val="single" w:sz="4" w:space="0" w:color="auto"/>
            </w:tcBorders>
            <w:shd w:val="clear" w:color="auto" w:fill="auto"/>
            <w:hideMark/>
          </w:tcPr>
          <w:p w14:paraId="14CFB5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F6398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AEC17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E58D77A" w14:textId="243D8A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28666F">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ype="page"/>
              <w:t xml:space="preserve">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3D0A2A1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6E2E1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332</w:t>
            </w:r>
          </w:p>
        </w:tc>
        <w:tc>
          <w:tcPr>
            <w:tcW w:w="970" w:type="dxa"/>
            <w:tcBorders>
              <w:top w:val="nil"/>
              <w:left w:val="nil"/>
              <w:bottom w:val="single" w:sz="4" w:space="0" w:color="auto"/>
              <w:right w:val="nil"/>
            </w:tcBorders>
          </w:tcPr>
          <w:p w14:paraId="62EBAE6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068DA0A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258B8E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0B94889" w14:textId="1FE16C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7F207D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1C7A634D" w14:textId="34802FB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1E403A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0EE7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C4B96B" w14:textId="031837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BDF225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9FCB31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333</w:t>
            </w:r>
          </w:p>
        </w:tc>
        <w:tc>
          <w:tcPr>
            <w:tcW w:w="970" w:type="dxa"/>
            <w:tcBorders>
              <w:top w:val="nil"/>
              <w:left w:val="nil"/>
              <w:bottom w:val="single" w:sz="4" w:space="0" w:color="auto"/>
              <w:right w:val="nil"/>
            </w:tcBorders>
          </w:tcPr>
          <w:p w14:paraId="7E6FDFF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24F0A3D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ECA01C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6B278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"Rozdz. 16,</w:t>
            </w:r>
            <w:r w:rsidRPr="0028666F">
              <w:rPr>
                <w:rFonts w:ascii="Calibri" w:eastAsia="Times New Roman" w:hAnsi="Calibri" w:cs="Calibri"/>
                <w:color w:val="000000"/>
                <w:sz w:val="18"/>
                <w:szCs w:val="18"/>
                <w:lang w:eastAsia="pl-PL"/>
              </w:rPr>
              <w:br/>
              <w:t>Zał. 6 "</w:t>
            </w:r>
            <w:r w:rsidRPr="0028666F">
              <w:rPr>
                <w:rFonts w:ascii="Calibri" w:eastAsia="Times New Roman" w:hAnsi="Calibri" w:cs="Calibri"/>
                <w:color w:val="000000"/>
                <w:sz w:val="18"/>
                <w:szCs w:val="18"/>
                <w:lang w:eastAsia="pl-PL"/>
              </w:rPr>
              <w:b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67C388C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536217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1720" w:type="dxa"/>
            <w:tcBorders>
              <w:top w:val="nil"/>
              <w:left w:val="nil"/>
              <w:bottom w:val="single" w:sz="4" w:space="0" w:color="auto"/>
              <w:right w:val="single" w:sz="4" w:space="0" w:color="auto"/>
            </w:tcBorders>
            <w:shd w:val="clear" w:color="000000" w:fill="FFFFFF"/>
            <w:hideMark/>
          </w:tcPr>
          <w:p w14:paraId="753401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732EB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791B525" w14:textId="1B1B1B4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6BCDEB7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3410A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334</w:t>
            </w:r>
          </w:p>
        </w:tc>
        <w:tc>
          <w:tcPr>
            <w:tcW w:w="970" w:type="dxa"/>
            <w:tcBorders>
              <w:top w:val="nil"/>
              <w:left w:val="nil"/>
              <w:bottom w:val="single" w:sz="4" w:space="0" w:color="auto"/>
              <w:right w:val="nil"/>
            </w:tcBorders>
          </w:tcPr>
          <w:p w14:paraId="1A70D73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75FCA04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9CF0E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5AD36BC5" w14:textId="1EA9C22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Katalogi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7BDA3C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7E5F70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720" w:type="dxa"/>
            <w:tcBorders>
              <w:top w:val="nil"/>
              <w:left w:val="nil"/>
              <w:bottom w:val="single" w:sz="4" w:space="0" w:color="auto"/>
              <w:right w:val="single" w:sz="4" w:space="0" w:color="auto"/>
            </w:tcBorders>
            <w:shd w:val="clear" w:color="000000" w:fill="FFFFFF"/>
            <w:hideMark/>
          </w:tcPr>
          <w:p w14:paraId="2E5A0E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F92F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59BF9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4E0D5FB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5CE9C4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335</w:t>
            </w:r>
          </w:p>
        </w:tc>
        <w:tc>
          <w:tcPr>
            <w:tcW w:w="970" w:type="dxa"/>
            <w:tcBorders>
              <w:top w:val="nil"/>
              <w:left w:val="nil"/>
              <w:bottom w:val="single" w:sz="4" w:space="0" w:color="auto"/>
              <w:right w:val="nil"/>
            </w:tcBorders>
          </w:tcPr>
          <w:p w14:paraId="724D3EA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1869931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3CAE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3EFDFA2" w14:textId="3D970FB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udrożnienia barier migracyjnych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446308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264C7D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5F8283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CF8CC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FD01DA0" w14:textId="6655C8C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588DB7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21E9C9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336</w:t>
            </w:r>
          </w:p>
        </w:tc>
        <w:tc>
          <w:tcPr>
            <w:tcW w:w="970" w:type="dxa"/>
            <w:tcBorders>
              <w:top w:val="nil"/>
              <w:left w:val="nil"/>
              <w:bottom w:val="single" w:sz="4" w:space="0" w:color="auto"/>
              <w:right w:val="nil"/>
            </w:tcBorders>
          </w:tcPr>
          <w:p w14:paraId="1B6B33C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7AAD9C1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14975B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A36E925" w14:textId="304848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-udrożnienia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Zał. 4 do erraty nr 1 Zaktualizowany wykaz budowli dla których zaplanowane zostały działania</w:t>
            </w:r>
            <w:r w:rsidRPr="0028666F">
              <w:rPr>
                <w:rFonts w:ascii="Calibri" w:eastAsia="Times New Roman" w:hAnsi="Calibri" w:cs="Calibri"/>
                <w:color w:val="000000"/>
                <w:sz w:val="18"/>
                <w:szCs w:val="18"/>
                <w:lang w:eastAsia="pl-PL"/>
              </w:rPr>
              <w:br w:type="page"/>
              <w:t>w projekcie IIaPGW – obszar dorzecza Odry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Rzeka Grabia, obszar Natura 2000 "Grabia" PLH100021</w:t>
            </w:r>
            <w:r w:rsidRPr="0028666F">
              <w:rPr>
                <w:rFonts w:ascii="Calibri" w:eastAsia="Times New Roman" w:hAnsi="Calibri" w:cs="Calibri"/>
                <w:color w:val="000000"/>
                <w:sz w:val="18"/>
                <w:szCs w:val="18"/>
                <w:lang w:eastAsia="pl-PL"/>
              </w:rPr>
              <w:br w:type="page"/>
              <w:t>Wpis z PZO z 2014 (w zmianie PZO z 2018 też):</w:t>
            </w:r>
            <w:r w:rsidRPr="0028666F">
              <w:rPr>
                <w:rFonts w:ascii="Calibri" w:eastAsia="Times New Roman" w:hAnsi="Calibri" w:cs="Calibri"/>
                <w:color w:val="000000"/>
                <w:sz w:val="18"/>
                <w:szCs w:val="18"/>
                <w:lang w:eastAsia="pl-PL"/>
              </w:rPr>
              <w:br w:type="page"/>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ype="page"/>
              <w:t>dla ryb.</w:t>
            </w:r>
            <w:r w:rsidRPr="0028666F">
              <w:rPr>
                <w:rFonts w:ascii="Calibri" w:eastAsia="Times New Roman" w:hAnsi="Calibri" w:cs="Calibri"/>
                <w:color w:val="000000"/>
                <w:sz w:val="18"/>
                <w:szCs w:val="18"/>
                <w:lang w:eastAsia="pl-PL"/>
              </w:rPr>
              <w:br w:type="page"/>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ype="page"/>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Kotlina Kłodzka</w:t>
            </w:r>
            <w:r w:rsidRPr="0028666F">
              <w:rPr>
                <w:rFonts w:ascii="Calibri" w:eastAsia="Times New Roman" w:hAnsi="Calibri" w:cs="Calibri"/>
                <w:color w:val="000000"/>
                <w:sz w:val="18"/>
                <w:szCs w:val="18"/>
                <w:lang w:eastAsia="pl-PL"/>
              </w:rPr>
              <w:br w:type="page"/>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Gwda</w:t>
            </w:r>
            <w:r w:rsidRPr="0028666F">
              <w:rPr>
                <w:rFonts w:ascii="Calibri" w:eastAsia="Times New Roman" w:hAnsi="Calibri" w:cs="Calibri"/>
                <w:color w:val="000000"/>
                <w:sz w:val="18"/>
                <w:szCs w:val="18"/>
                <w:lang w:eastAsia="pl-PL"/>
              </w:rPr>
              <w:br w:type="page"/>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ype="page"/>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Zbiorniki zaporowe - Jeziorsko</w:t>
            </w:r>
            <w:r w:rsidRPr="0028666F">
              <w:rPr>
                <w:rFonts w:ascii="Calibri" w:eastAsia="Times New Roman" w:hAnsi="Calibri" w:cs="Calibri"/>
                <w:color w:val="000000"/>
                <w:sz w:val="18"/>
                <w:szCs w:val="18"/>
                <w:lang w:eastAsia="pl-PL"/>
              </w:rPr>
              <w:br w:type="page"/>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Stara Rega – piętrzenie nr 451</w:t>
            </w:r>
            <w:r w:rsidRPr="0028666F">
              <w:rPr>
                <w:rFonts w:ascii="Calibri" w:eastAsia="Times New Roman" w:hAnsi="Calibri" w:cs="Calibri"/>
                <w:color w:val="000000"/>
                <w:sz w:val="18"/>
                <w:szCs w:val="18"/>
                <w:lang w:eastAsia="pl-PL"/>
              </w:rPr>
              <w:br w:type="page"/>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Ukleja – piętrzenie nr 397</w:t>
            </w:r>
            <w:r w:rsidRPr="0028666F">
              <w:rPr>
                <w:rFonts w:ascii="Calibri" w:eastAsia="Times New Roman" w:hAnsi="Calibri" w:cs="Calibri"/>
                <w:color w:val="000000"/>
                <w:sz w:val="18"/>
                <w:szCs w:val="18"/>
                <w:lang w:eastAsia="pl-PL"/>
              </w:rPr>
              <w:br w:type="page"/>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t>
            </w:r>
          </w:p>
        </w:tc>
        <w:tc>
          <w:tcPr>
            <w:tcW w:w="2733" w:type="dxa"/>
            <w:tcBorders>
              <w:top w:val="nil"/>
              <w:left w:val="nil"/>
              <w:bottom w:val="single" w:sz="4" w:space="0" w:color="auto"/>
              <w:right w:val="single" w:sz="4" w:space="0" w:color="auto"/>
            </w:tcBorders>
            <w:shd w:val="clear" w:color="auto" w:fill="auto"/>
            <w:hideMark/>
          </w:tcPr>
          <w:p w14:paraId="179AF2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Uzupełnić działania inwestycyjne   według wymagań dla ryb (kolumny – X-AD w zał. 4 „erraty”).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Udrożnić dla ryb zaporę Zb. Jeziorsko odcinającą całą górna zlewnię Warty.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t>
            </w:r>
          </w:p>
        </w:tc>
        <w:tc>
          <w:tcPr>
            <w:tcW w:w="3009" w:type="dxa"/>
            <w:tcBorders>
              <w:top w:val="nil"/>
              <w:left w:val="nil"/>
              <w:bottom w:val="single" w:sz="4" w:space="0" w:color="auto"/>
              <w:right w:val="single" w:sz="4" w:space="0" w:color="auto"/>
            </w:tcBorders>
            <w:shd w:val="clear" w:color="auto" w:fill="auto"/>
            <w:hideMark/>
          </w:tcPr>
          <w:p w14:paraId="2E4E67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0DA6A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6306E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AFD7567" w14:textId="2073E37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ype="page"/>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ype="page"/>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ype="page"/>
              <w:t>Nazwa działania: Monitoring skuteczności istniejących urządzeń do migracji ryb.</w:t>
            </w:r>
            <w:r w:rsidRPr="0028666F">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ype="page"/>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5795B62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FC957D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337</w:t>
            </w:r>
          </w:p>
        </w:tc>
        <w:tc>
          <w:tcPr>
            <w:tcW w:w="970" w:type="dxa"/>
            <w:tcBorders>
              <w:top w:val="nil"/>
              <w:left w:val="nil"/>
              <w:bottom w:val="single" w:sz="4" w:space="0" w:color="auto"/>
              <w:right w:val="nil"/>
            </w:tcBorders>
          </w:tcPr>
          <w:p w14:paraId="7A3C15E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6E21BC6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F4581C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89078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-udrożnienia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Zał. 4 do erraty nr 1 Zaktualizowany wykaz budowli dla których zaplanowane zostały działania</w:t>
            </w:r>
            <w:r w:rsidRPr="0028666F">
              <w:rPr>
                <w:rFonts w:ascii="Calibri" w:eastAsia="Times New Roman" w:hAnsi="Calibri" w:cs="Calibri"/>
                <w:color w:val="000000"/>
                <w:sz w:val="18"/>
                <w:szCs w:val="18"/>
                <w:lang w:eastAsia="pl-PL"/>
              </w:rPr>
              <w:br/>
              <w:t>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ODBUDOWA PIĘTRZEŃ"</w:t>
            </w:r>
            <w:r w:rsidRPr="0028666F">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6965CB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t>
            </w:r>
          </w:p>
        </w:tc>
        <w:tc>
          <w:tcPr>
            <w:tcW w:w="3009" w:type="dxa"/>
            <w:tcBorders>
              <w:top w:val="nil"/>
              <w:left w:val="nil"/>
              <w:bottom w:val="single" w:sz="4" w:space="0" w:color="auto"/>
              <w:right w:val="single" w:sz="4" w:space="0" w:color="auto"/>
            </w:tcBorders>
            <w:shd w:val="clear" w:color="auto" w:fill="auto"/>
            <w:hideMark/>
          </w:tcPr>
          <w:p w14:paraId="014FAB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68624BD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E047E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2D8161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13A76F1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57AE5B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338</w:t>
            </w:r>
          </w:p>
        </w:tc>
        <w:tc>
          <w:tcPr>
            <w:tcW w:w="970" w:type="dxa"/>
            <w:tcBorders>
              <w:top w:val="nil"/>
              <w:left w:val="nil"/>
              <w:bottom w:val="single" w:sz="4" w:space="0" w:color="auto"/>
              <w:right w:val="nil"/>
            </w:tcBorders>
          </w:tcPr>
          <w:p w14:paraId="76CA8F1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53E147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476EB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1289BB3" w14:textId="7E27675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prawne i administracyjne</w:t>
            </w:r>
            <w:r w:rsidRPr="0028666F">
              <w:rPr>
                <w:rFonts w:ascii="Calibri" w:eastAsia="Times New Roman" w:hAnsi="Calibri" w:cs="Calibri"/>
                <w:color w:val="000000"/>
                <w:sz w:val="18"/>
                <w:szCs w:val="18"/>
                <w:lang w:eastAsia="pl-PL"/>
              </w:rPr>
              <w:b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6DE9FC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44760510" w14:textId="5EACFA4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etapie tworzenia. "</w:t>
            </w:r>
          </w:p>
        </w:tc>
        <w:tc>
          <w:tcPr>
            <w:tcW w:w="1720" w:type="dxa"/>
            <w:tcBorders>
              <w:top w:val="nil"/>
              <w:left w:val="nil"/>
              <w:bottom w:val="single" w:sz="4" w:space="0" w:color="auto"/>
              <w:right w:val="single" w:sz="4" w:space="0" w:color="auto"/>
            </w:tcBorders>
            <w:shd w:val="clear" w:color="000000" w:fill="FFFFFF"/>
            <w:hideMark/>
          </w:tcPr>
          <w:p w14:paraId="7EAD07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1737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8B2EFD4" w14:textId="580373A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4D43D84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5D550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339</w:t>
            </w:r>
          </w:p>
        </w:tc>
        <w:tc>
          <w:tcPr>
            <w:tcW w:w="970" w:type="dxa"/>
            <w:tcBorders>
              <w:top w:val="nil"/>
              <w:left w:val="nil"/>
              <w:bottom w:val="single" w:sz="4" w:space="0" w:color="auto"/>
              <w:right w:val="nil"/>
            </w:tcBorders>
          </w:tcPr>
          <w:p w14:paraId="2C9352D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2ADEF56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6783ED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E0F8537" w14:textId="0FB85E9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Konkretne zmiany prawne</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047650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A0B1B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71FF0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F5F67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A00016F" w14:textId="6B9ADAF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ustawy Prawo wodne, która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44EC4E8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ECC737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340</w:t>
            </w:r>
          </w:p>
        </w:tc>
        <w:tc>
          <w:tcPr>
            <w:tcW w:w="970" w:type="dxa"/>
            <w:tcBorders>
              <w:top w:val="nil"/>
              <w:left w:val="nil"/>
              <w:bottom w:val="single" w:sz="4" w:space="0" w:color="auto"/>
              <w:right w:val="nil"/>
            </w:tcBorders>
          </w:tcPr>
          <w:p w14:paraId="44771A2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283386F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CE678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867B6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Zmiany w funkcjonowaniu zarządzania wód</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t>"</w:t>
            </w:r>
          </w:p>
        </w:tc>
        <w:tc>
          <w:tcPr>
            <w:tcW w:w="2733" w:type="dxa"/>
            <w:tcBorders>
              <w:top w:val="nil"/>
              <w:left w:val="nil"/>
              <w:bottom w:val="single" w:sz="4" w:space="0" w:color="auto"/>
              <w:right w:val="single" w:sz="4" w:space="0" w:color="auto"/>
            </w:tcBorders>
            <w:shd w:val="clear" w:color="auto" w:fill="auto"/>
            <w:hideMark/>
          </w:tcPr>
          <w:p w14:paraId="5DBE5B7E" w14:textId="5864480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6AC8D8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363102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130B8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524EE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60DD1BC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8C89E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341</w:t>
            </w:r>
          </w:p>
        </w:tc>
        <w:tc>
          <w:tcPr>
            <w:tcW w:w="970" w:type="dxa"/>
            <w:tcBorders>
              <w:top w:val="nil"/>
              <w:left w:val="nil"/>
              <w:bottom w:val="single" w:sz="4" w:space="0" w:color="auto"/>
              <w:right w:val="nil"/>
            </w:tcBorders>
          </w:tcPr>
          <w:p w14:paraId="0292162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5" w:type="dxa"/>
            <w:tcBorders>
              <w:top w:val="nil"/>
              <w:left w:val="nil"/>
              <w:bottom w:val="single" w:sz="4" w:space="0" w:color="auto"/>
              <w:right w:val="single" w:sz="4" w:space="0" w:color="auto"/>
            </w:tcBorders>
            <w:shd w:val="clear" w:color="auto" w:fill="auto"/>
          </w:tcPr>
          <w:p w14:paraId="39682CA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C86111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E4B35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ocenie postępu działań – co 2 lata </w:t>
            </w:r>
            <w:r w:rsidRPr="0028666F">
              <w:rPr>
                <w:rFonts w:ascii="Calibri" w:eastAsia="Times New Roman" w:hAnsi="Calibri" w:cs="Calibri"/>
                <w:color w:val="000000"/>
                <w:sz w:val="18"/>
                <w:szCs w:val="18"/>
                <w:lang w:eastAsia="pl-PL"/>
              </w:rPr>
              <w:br w:type="page"/>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type="page"/>
              <w:t>"</w:t>
            </w:r>
          </w:p>
        </w:tc>
        <w:tc>
          <w:tcPr>
            <w:tcW w:w="2733" w:type="dxa"/>
            <w:tcBorders>
              <w:top w:val="nil"/>
              <w:left w:val="nil"/>
              <w:bottom w:val="single" w:sz="4" w:space="0" w:color="auto"/>
              <w:right w:val="single" w:sz="4" w:space="0" w:color="auto"/>
            </w:tcBorders>
            <w:shd w:val="clear" w:color="auto" w:fill="auto"/>
            <w:hideMark/>
          </w:tcPr>
          <w:p w14:paraId="5641808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29EDE4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2671AF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2750A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F0F81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7C2B40" w:rsidRPr="0028666F" w14:paraId="0CA2429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D7FAAB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342</w:t>
            </w:r>
          </w:p>
        </w:tc>
        <w:tc>
          <w:tcPr>
            <w:tcW w:w="970" w:type="dxa"/>
            <w:tcBorders>
              <w:top w:val="nil"/>
              <w:left w:val="nil"/>
              <w:bottom w:val="single" w:sz="4" w:space="0" w:color="auto"/>
              <w:right w:val="nil"/>
            </w:tcBorders>
          </w:tcPr>
          <w:p w14:paraId="45C4E6E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Klub Przyrodników</w:t>
            </w:r>
          </w:p>
        </w:tc>
        <w:tc>
          <w:tcPr>
            <w:tcW w:w="165" w:type="dxa"/>
            <w:tcBorders>
              <w:top w:val="nil"/>
              <w:left w:val="nil"/>
              <w:bottom w:val="single" w:sz="4" w:space="0" w:color="auto"/>
              <w:right w:val="single" w:sz="4" w:space="0" w:color="auto"/>
            </w:tcBorders>
            <w:shd w:val="clear" w:color="auto" w:fill="auto"/>
          </w:tcPr>
          <w:p w14:paraId="2DDAFD2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52E240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628BAC5" w14:textId="7FBB47B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 Zgodnie z art 14 ust. 1c Ramowej Dyrektyw Wodnej, byli Państwo zobowiązani  udostępnić projekt planu co najmniej na rok od początku okresu, którego plan dotyczy.</w:t>
            </w:r>
            <w:r w:rsidRPr="0028666F">
              <w:rPr>
                <w:rFonts w:ascii="Calibri" w:eastAsia="Times New Roman" w:hAnsi="Calibri" w:cs="Calibri"/>
                <w:color w:val="000000"/>
                <w:sz w:val="18"/>
                <w:szCs w:val="18"/>
                <w:lang w:eastAsia="pl-PL"/>
              </w:rPr>
              <w:br/>
              <w:t>2. Zgodnie z art 14 ust. 2 Ramowej Dyrektyw Wodnej, są Pastwo obowiązani przeznaczyć co najmniej 6 miesięcy na składanie pisemnych uwag do projektów planów. Termin ten biegnie od nowa w przypadku ogłoszenia „erraty” do projektów planów.</w:t>
            </w:r>
            <w:r w:rsidRPr="0028666F">
              <w:rPr>
                <w:rFonts w:ascii="Calibri" w:eastAsia="Times New Roman" w:hAnsi="Calibri" w:cs="Calibri"/>
                <w:color w:val="000000"/>
                <w:sz w:val="18"/>
                <w:szCs w:val="18"/>
                <w:lang w:eastAsia="pl-PL"/>
              </w:rPr>
              <w:br/>
              <w:t>3. Wątpliwości nasuwa wyznaczenie jednolitych części wód, będących podstawowymi jednostkami planistycznymi. W planach użyto zreformowanych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jednak:</w:t>
            </w:r>
            <w:r w:rsidRPr="0028666F">
              <w:rPr>
                <w:rFonts w:ascii="Calibri" w:eastAsia="Times New Roman" w:hAnsi="Calibri" w:cs="Calibri"/>
                <w:color w:val="000000"/>
                <w:sz w:val="18"/>
                <w:szCs w:val="18"/>
                <w:lang w:eastAsia="pl-PL"/>
              </w:rPr>
              <w:br/>
              <w:t>- Wiele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jest nadmiernie heterogenicznych, obejmując bardzo długie odcinki rzek o zróżnicowanym charakterze, w tym łącząc dłuższe odcinki naturalne i silnie przekształcone; łącząc w jednej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odcinki poddane zupełnie różnym presjom. Na tak wyznaczonym zbiorze aJWCP trudno prawidłowo zrealizować wyznaczenie SZCWP, jak również trudno prawidłowo ocenić przyczyny niezadowalającego stanu wód i zapobiegać presjom;</w:t>
            </w:r>
            <w:r w:rsidRPr="0028666F">
              <w:rPr>
                <w:rFonts w:ascii="Calibri" w:eastAsia="Times New Roman" w:hAnsi="Calibri" w:cs="Calibri"/>
                <w:color w:val="000000"/>
                <w:sz w:val="18"/>
                <w:szCs w:val="18"/>
                <w:lang w:eastAsia="pl-PL"/>
              </w:rPr>
              <w:br/>
              <w:t>- Niektóre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łączą widlasto zbiegające się, równorzędne cieki, mające w danej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tylko jeden punkt wspólny w miejscu polaczenia, będącym końcem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Takie wyznaczenie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jest pozbawione sensu, bo sposób zarządzania jednym z takich cieków nie będzie miał żadnego wpływu na drugi.</w:t>
            </w:r>
            <w:r w:rsidRPr="0028666F">
              <w:rPr>
                <w:rFonts w:ascii="Calibri" w:eastAsia="Times New Roman" w:hAnsi="Calibri" w:cs="Calibri"/>
                <w:color w:val="000000"/>
                <w:sz w:val="18"/>
                <w:szCs w:val="18"/>
                <w:lang w:eastAsia="pl-PL"/>
              </w:rPr>
              <w:br/>
              <w:t>4. Diagnoza stanu ekologicznego wód – jako wyprowadzania ze stanu poszczególnych elementów biologicznych wg metody One Out – All Out, może być wiarygodna tylko wtedy, gdy zbadano wszystkie elementy biologiczne, charakteryzujące ten stan. W planach należy wyraźnie odróżnić oceny spełniające ten warunek, od ocen, które go nie spełniają.</w:t>
            </w:r>
            <w:r w:rsidRPr="0028666F">
              <w:rPr>
                <w:rFonts w:ascii="Calibri" w:eastAsia="Times New Roman" w:hAnsi="Calibri" w:cs="Calibri"/>
                <w:color w:val="000000"/>
                <w:sz w:val="18"/>
                <w:szCs w:val="18"/>
                <w:lang w:eastAsia="pl-PL"/>
              </w:rPr>
              <w:br/>
              <w:t>5. W projekcie planu brak, wymaganych Dyrektywą, indywidualnych uzasadnień dla wyznaczenia SCWP. Dyrektywa wymaga, by powód wyznaczenia każdej SZCW był „szczegółówo określony” w planie. Tymczasem w projektach planów podano tylko hasłowo „brak możliwości skutecznego odwrócenia zmian hydromorfologicznych, brak alternatyw dla pełnionych funkcji”, nie uzasadniając tych tez dla konkretnych przypadków.</w:t>
            </w:r>
            <w:r w:rsidRPr="0028666F">
              <w:rPr>
                <w:rFonts w:ascii="Calibri" w:eastAsia="Times New Roman" w:hAnsi="Calibri" w:cs="Calibri"/>
                <w:color w:val="000000"/>
                <w:sz w:val="18"/>
                <w:szCs w:val="18"/>
                <w:lang w:eastAsia="pl-PL"/>
              </w:rPr>
              <w:br/>
              <w:t>6. Brak jest prawidłowych uzasadnień dla przyznanych odstępstw z art. 4.5 dyrektywy, wskutek czego odstępstwo to przyznano nadmiernie. Wielokrotnie przyznano odstępstwo 4.5 tam, gdzie wdrożenie działań prowadzących do osiągnięcia dobrego stanu wód było możliwe. Sam fakt, że takich działań nie wdrożono przez dwa dotychczasowe okresy planistyczne, nie może być argumentem za przyznaniem odstępstwa 4.5.</w:t>
            </w:r>
            <w:r w:rsidRPr="0028666F">
              <w:rPr>
                <w:rFonts w:ascii="Calibri" w:eastAsia="Times New Roman" w:hAnsi="Calibri" w:cs="Calibri"/>
                <w:color w:val="000000"/>
                <w:sz w:val="18"/>
                <w:szCs w:val="18"/>
                <w:lang w:eastAsia="pl-PL"/>
              </w:rPr>
              <w:br/>
              <w:t>7. Nieprzekonujące uzasadnienia odstępstw z art 4.7 dyrektywy. W planach umieszczono informację o tej derogacji także dla wielu przedsięwzięć, dla których zasadność derogacji została zanegowana w dotychczasowym postępowaniu o decyzję środowiskową. Zamieszczone uzasadnienia często nieprzekonująco uzasadniają nadrzędny interes społeczny i nie rozważają narzucających się alternatyw.</w:t>
            </w:r>
            <w:r w:rsidRPr="0028666F">
              <w:rPr>
                <w:rFonts w:ascii="Calibri" w:eastAsia="Times New Roman" w:hAnsi="Calibri" w:cs="Calibri"/>
                <w:color w:val="000000"/>
                <w:sz w:val="18"/>
                <w:szCs w:val="18"/>
                <w:lang w:eastAsia="pl-PL"/>
              </w:rPr>
              <w:br/>
              <w:t>8. Zaproponowany program środków nie zapewnia osiągnięcia celów wymaganych dyrektywą, w szczególności zbyt mało ambitnie podchodzi do zagadnienia renaturyzacji hydromorfologicznej cieków. Rozbieżność z potrzebami zidentyfikowanymi w Krajowym Programie Renaturyzacji Wód Powierzchniowych, a także wnioski stad wynikające, są szczegółowo udokumentowane w raporcie: http://www.ratujmyrzeki.pl/250-konsultacjeapgw</w:t>
            </w:r>
            <w:r w:rsidRPr="0028666F">
              <w:rPr>
                <w:rFonts w:ascii="Calibri" w:eastAsia="Times New Roman" w:hAnsi="Calibri" w:cs="Calibri"/>
                <w:color w:val="000000"/>
                <w:sz w:val="18"/>
                <w:szCs w:val="18"/>
                <w:lang w:eastAsia="pl-PL"/>
              </w:rPr>
              <w:br/>
              <w:t xml:space="preserve">W szczególności, w przypadku niezadowalającego stanu wód, w aktualnym okresie planistycznym nie można już ograniczać programu działań do wykonania analiz, studiów i projektów. Ponieważ osiągnięcia celów środowiskowych nie można przedłużać do 2027r., wszystko co może być potrzebne do ich osiągniecia, musi być fizycznie wdrożone przed tym terminem, a nie tylko rozważone i zaprojektowane. </w:t>
            </w:r>
          </w:p>
        </w:tc>
        <w:tc>
          <w:tcPr>
            <w:tcW w:w="2733" w:type="dxa"/>
            <w:tcBorders>
              <w:top w:val="nil"/>
              <w:left w:val="nil"/>
              <w:bottom w:val="single" w:sz="4" w:space="0" w:color="auto"/>
              <w:right w:val="single" w:sz="4" w:space="0" w:color="auto"/>
            </w:tcBorders>
            <w:shd w:val="clear" w:color="auto" w:fill="auto"/>
            <w:hideMark/>
          </w:tcPr>
          <w:p w14:paraId="3391E1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7E7450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4F46B35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342_KPrzyrodników_IIaPGW.pdf</w:t>
            </w:r>
          </w:p>
        </w:tc>
        <w:tc>
          <w:tcPr>
            <w:tcW w:w="1014" w:type="dxa"/>
            <w:tcBorders>
              <w:top w:val="nil"/>
              <w:left w:val="nil"/>
              <w:bottom w:val="single" w:sz="4" w:space="0" w:color="auto"/>
              <w:right w:val="single" w:sz="4" w:space="0" w:color="auto"/>
            </w:tcBorders>
            <w:shd w:val="clear" w:color="auto" w:fill="auto"/>
            <w:hideMark/>
          </w:tcPr>
          <w:p w14:paraId="665BE68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EA6B608" w14:textId="2323837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 z prognoz).</w:t>
            </w:r>
            <w:r w:rsidRPr="0028666F">
              <w:rPr>
                <w:rFonts w:ascii="Calibri" w:eastAsia="Times New Roman" w:hAnsi="Calibri" w:cs="Calibri"/>
                <w:color w:val="000000"/>
                <w:sz w:val="18"/>
                <w:szCs w:val="18"/>
                <w:lang w:eastAsia="pl-PL"/>
              </w:rPr>
              <w:br/>
              <w:t>W związku z charakterem projektów IIaPGW istnieje obowiązek przeprowadzenia dwóch procesów konsultacji społecznych: konsultacje społeczne projektów IIaPGW oraz konsultacje społeczne w ramach SOOŚ.</w:t>
            </w:r>
            <w:r w:rsidRPr="0028666F">
              <w:rPr>
                <w:rFonts w:ascii="Calibri" w:eastAsia="Times New Roman" w:hAnsi="Calibri" w:cs="Calibri"/>
                <w:color w:val="000000"/>
                <w:sz w:val="18"/>
                <w:szCs w:val="18"/>
                <w:lang w:eastAsia="pl-PL"/>
              </w:rPr>
              <w:br/>
              <w:t>Przywołane w uwadze półroczne konsultacje społeczne projektów IIaPGW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Jednocześnie zwracamy uwagę, iż zainteresowane strony miały możliwość zapoznania się 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 w rzetelny sposób zapoznanie się z projektami IIaPGW oraz ich prognozami oddziaływania na środowisko i zgłoszenie uwag w ramach obu wymienionych powyżej procedur.</w:t>
            </w:r>
            <w:r w:rsidRPr="0028666F">
              <w:rPr>
                <w:rFonts w:ascii="Calibri" w:eastAsia="Times New Roman" w:hAnsi="Calibri" w:cs="Calibri"/>
                <w:color w:val="000000"/>
                <w:sz w:val="18"/>
                <w:szCs w:val="18"/>
                <w:lang w:eastAsia="pl-PL"/>
              </w:rPr>
              <w:br/>
              <w:t xml:space="preserve">Co do wskazanych w uwadze wątpliwości dotyczących wyznaczenia jednolitych części wód, będących podstawowymi jednostkami planistycznymi. 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 Projekty IIaPGW zawierają informacje wymagane w tym zakresie wskazując dokonane zmiany w okresie obowiązywania poprzedniego planu tj. aPGW. Zgłoszona uwaga dotyczy materiału źródłowego do projektów IIaPGW, które dostępne są dla społeczeństwa w ramach udostępnienia informacji o środowisku - w tym metodyki realizacji przywołanych prac.</w:t>
            </w:r>
            <w:r w:rsidRPr="0028666F">
              <w:rPr>
                <w:rFonts w:ascii="Calibri" w:eastAsia="Times New Roman" w:hAnsi="Calibri" w:cs="Calibri"/>
                <w:color w:val="000000"/>
                <w:sz w:val="18"/>
                <w:szCs w:val="18"/>
                <w:lang w:eastAsia="pl-PL"/>
              </w:rPr>
              <w:br/>
              <w:t>Odnosząc się do uwagi w zakresie diagnozy stanu ekologicznego wód, wskazać należy, iż IIaPGW bazuje na wynikach PMŚ wg danych 2014-2019, w tym ocenie stanu GIOŚ 2014-2019. Zgodnie z informacjami przedstawionymi w rozdziale 5 IIaPGW w związku z dokonywanymi zmianami w zakresie klasyfikacji stanu/potencjału ekologicznego oraz stanu chemicznego i oceny stanu od 2022 roku, a więc okresu obowiązywania IIaPGW, dane i informacje prezentowane w IIaPGW zostały przeniesione na nowy układ planistyczny wraz z uwzględnieniem zmian klasyfikacji dla zapewnienia możliwości wskazania prawidłowego punktu odniesienia dla rozpoczynającego się nowego cyklu planistycznego.</w:t>
            </w:r>
            <w:r w:rsidRPr="0028666F">
              <w:rPr>
                <w:rFonts w:ascii="Calibri" w:eastAsia="Times New Roman" w:hAnsi="Calibri" w:cs="Calibri"/>
                <w:color w:val="000000"/>
                <w:sz w:val="18"/>
                <w:szCs w:val="18"/>
                <w:lang w:eastAsia="pl-PL"/>
              </w:rPr>
              <w:br/>
              <w:t xml:space="preserve">Odnosząc się do uwagi w zakresie uzasadnień wyznaczenia SCWP. 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przygotowane zostały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Szczegóły metodyczne pracy dot. przeglądu i weryfikacji metodyk wyznaczania silnie zmienionych (SZCW) i sztucznych (SCW) części wód wraz ze wstępnym i ostatecznym ich wyznaczeniem stanowią element materiałów źródłowych do IIaPGW dostępnych w ramach udostępniania informacji o środowisku.</w:t>
            </w:r>
            <w:r w:rsidRPr="0028666F">
              <w:rPr>
                <w:rFonts w:ascii="Calibri" w:eastAsia="Times New Roman" w:hAnsi="Calibri" w:cs="Calibri"/>
                <w:color w:val="000000"/>
                <w:sz w:val="18"/>
                <w:szCs w:val="18"/>
                <w:lang w:eastAsia="pl-PL"/>
              </w:rPr>
              <w:br/>
              <w:t>Odnosząc się do uwagi w zakresie uzasadnień odstępstw z art. 4 ust. 5 RDW, wskazać należy, iż IIaPGW przedstawia szczegółowe (wskaźnikowe) uzasadnienia odstępstw od celów środowiskowych.</w:t>
            </w:r>
            <w:r w:rsidRPr="0028666F">
              <w:rPr>
                <w:rFonts w:ascii="Calibri" w:eastAsia="Times New Roman" w:hAnsi="Calibri" w:cs="Calibri"/>
                <w:color w:val="000000"/>
                <w:sz w:val="18"/>
                <w:szCs w:val="18"/>
                <w:lang w:eastAsia="pl-PL"/>
              </w:rPr>
              <w:br/>
              <w:t xml:space="preserve">Odstępstwem od celów środowiskowych RDW jest sytuacja, w której cel środowiskowy nie został osiągnięty; taka sytuacja wymaga odpowiedniego uzasadnienia i wyjaśnienia oraz podjęcia adekwatnej reakcji (podjęcia działań naprawczych). 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Kryteria wykonalności technicznej i racjonalności kosztów są przedmiotem szerokich analiz związanych z opracowywaniem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 xml:space="preserve">Odnosząc się do uwagi w zakresie odstępstw z art. 4 ust. 7 RDW wskazać należy, iż 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r w:rsidRPr="0028666F">
              <w:rPr>
                <w:rFonts w:ascii="Calibri" w:eastAsia="Times New Roman" w:hAnsi="Calibri" w:cs="Calibri"/>
                <w:color w:val="000000"/>
                <w:sz w:val="18"/>
                <w:szCs w:val="18"/>
                <w:lang w:eastAsia="pl-PL"/>
              </w:rPr>
              <w:br/>
              <w:t xml:space="preserve">W odniesieniu do uwagi w zakresie zagadnień renaturyzacji hydromorfologicznej wskazać należy, iż 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 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 KPRWP (będący punktem wyjścia dla budowy działań z zakresu poprawy stanu hydromorfologicznego) wskazywał działania potencjalne bez uwzględnienia powiązań z wodami podziemnymi, których zły stan ilościowy (presje związane np. z poborem wód i odwodnieniem) zasadniczo weryfikuje możliwość wdrożenia działań renaturyzacyjnych wskazanych w KPRWP. 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Uwzględnienia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Analiza sposobu przeprowadzenia renaturyzacji koryta cieku oraz realizacja działań na podstawie przeprowadzonej analizy (do 2027 r.). 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 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 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 xml:space="preserve">Jednocześnie zmiany dokonano również w zakresie działania RWHM_02.08, które obecnie zawiera następujące zapisy: Nazwa działania: Monitoring skuteczności istniejących urządzeń do migracji ryb. 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04D09A2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7E0CA0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343</w:t>
            </w:r>
          </w:p>
        </w:tc>
        <w:tc>
          <w:tcPr>
            <w:tcW w:w="970" w:type="dxa"/>
            <w:tcBorders>
              <w:top w:val="nil"/>
              <w:left w:val="nil"/>
              <w:bottom w:val="single" w:sz="4" w:space="0" w:color="auto"/>
              <w:right w:val="nil"/>
            </w:tcBorders>
          </w:tcPr>
          <w:p w14:paraId="15B288F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D3C53B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E63E5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95BBF99"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chaos</w:t>
            </w:r>
            <w:r w:rsidRPr="0028666F">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3FD218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7A0901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468D8F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FCA2F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A9302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5EB5A8C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1B7082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344</w:t>
            </w:r>
          </w:p>
        </w:tc>
        <w:tc>
          <w:tcPr>
            <w:tcW w:w="970" w:type="dxa"/>
            <w:tcBorders>
              <w:top w:val="nil"/>
              <w:left w:val="nil"/>
              <w:bottom w:val="single" w:sz="4" w:space="0" w:color="auto"/>
              <w:right w:val="nil"/>
            </w:tcBorders>
          </w:tcPr>
          <w:p w14:paraId="75C1E57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2A8DD44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E14DE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1B78E6C" w14:textId="3457219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geobaza</w:t>
            </w:r>
            <w:r w:rsidRPr="0028666F">
              <w:rPr>
                <w:rFonts w:ascii="Calibri" w:eastAsia="Times New Roman" w:hAnsi="Calibri" w:cs="Calibri"/>
                <w:color w:val="000000"/>
                <w:sz w:val="18"/>
                <w:szCs w:val="18"/>
                <w:lang w:eastAsia="pl-PL"/>
              </w:rPr>
              <w:br/>
              <w:t>Treść uwagi: 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19DF848D" w14:textId="6C39A03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2EECDB5B" w14:textId="69A945B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4FA80C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CF4473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25C0196" w14:textId="7E7C72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399DA3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A192A4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345</w:t>
            </w:r>
          </w:p>
        </w:tc>
        <w:tc>
          <w:tcPr>
            <w:tcW w:w="970" w:type="dxa"/>
            <w:tcBorders>
              <w:top w:val="nil"/>
              <w:left w:val="nil"/>
              <w:bottom w:val="single" w:sz="4" w:space="0" w:color="auto"/>
              <w:right w:val="nil"/>
            </w:tcBorders>
          </w:tcPr>
          <w:p w14:paraId="3278621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F57633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6863F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74E2B41"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dokumenty źródłowe</w:t>
            </w:r>
            <w:r w:rsidRPr="0028666F">
              <w:rPr>
                <w:rFonts w:ascii="Calibri" w:eastAsia="Times New Roman" w:hAnsi="Calibri" w:cs="Calibri"/>
                <w:color w:val="000000"/>
                <w:sz w:val="18"/>
                <w:szCs w:val="18"/>
                <w:lang w:eastAsia="pl-PL"/>
              </w:rPr>
              <w:br/>
              <w:t>Treść uwagi: 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2733" w:type="dxa"/>
            <w:tcBorders>
              <w:top w:val="nil"/>
              <w:left w:val="nil"/>
              <w:bottom w:val="single" w:sz="4" w:space="0" w:color="auto"/>
              <w:right w:val="single" w:sz="4" w:space="0" w:color="auto"/>
            </w:tcBorders>
            <w:shd w:val="clear" w:color="auto" w:fill="auto"/>
            <w:hideMark/>
          </w:tcPr>
          <w:p w14:paraId="1CDE28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11B6CA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2C83F0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CBB15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026BFE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2D70E52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8D3C1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346</w:t>
            </w:r>
          </w:p>
        </w:tc>
        <w:tc>
          <w:tcPr>
            <w:tcW w:w="970" w:type="dxa"/>
            <w:tcBorders>
              <w:top w:val="nil"/>
              <w:left w:val="nil"/>
              <w:bottom w:val="single" w:sz="4" w:space="0" w:color="auto"/>
              <w:right w:val="nil"/>
            </w:tcBorders>
          </w:tcPr>
          <w:p w14:paraId="18466C9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0C1701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F51C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14EBE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formularz</w:t>
            </w:r>
            <w:r w:rsidRPr="0028666F">
              <w:rPr>
                <w:rFonts w:ascii="Calibri" w:eastAsia="Times New Roman" w:hAnsi="Calibri" w:cs="Calibri"/>
                <w:color w:val="000000"/>
                <w:sz w:val="18"/>
                <w:szCs w:val="18"/>
                <w:lang w:eastAsia="pl-PL"/>
              </w:rPr>
              <w:br w:type="page"/>
              <w:t xml:space="preserve">Treść uwagi: 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14E0F2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14CF4A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t>Organy państwowe powinny ułatwiać składanie uwag w ramach konsultacji IIaPGW, a nie je utrudniać.</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6F74D0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F64CD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93E13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ype="page"/>
              <w:t>- poprzez ankietę online na stronie;</w:t>
            </w:r>
            <w:r w:rsidRPr="0028666F">
              <w:rPr>
                <w:rFonts w:ascii="Calibri" w:eastAsia="Times New Roman" w:hAnsi="Calibri" w:cs="Calibri"/>
                <w:color w:val="000000"/>
                <w:sz w:val="18"/>
                <w:szCs w:val="18"/>
                <w:lang w:eastAsia="pl-PL"/>
              </w:rPr>
              <w:br w:type="page"/>
              <w:t>- poprzez wiadomość e-mail na adres: konsultacje@apgw.gov.pl lub apgw@mi.gov.pl;</w:t>
            </w:r>
            <w:r w:rsidRPr="0028666F">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Tym samym zapewnione zostały zróznicowane kanały komunikacji dostępne dla zainteresowanych. Nie stosowano dodatkowych ograniczeń co do formy przedkładanych uwag.</w:t>
            </w:r>
          </w:p>
        </w:tc>
      </w:tr>
      <w:tr w:rsidR="007C2B40" w:rsidRPr="0028666F" w14:paraId="77E29D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14E9C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347</w:t>
            </w:r>
          </w:p>
        </w:tc>
        <w:tc>
          <w:tcPr>
            <w:tcW w:w="970" w:type="dxa"/>
            <w:tcBorders>
              <w:top w:val="nil"/>
              <w:left w:val="nil"/>
              <w:bottom w:val="single" w:sz="4" w:space="0" w:color="auto"/>
              <w:right w:val="nil"/>
            </w:tcBorders>
          </w:tcPr>
          <w:p w14:paraId="40596FD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224E20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BFEF1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E8CD46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dane ze strony aPGW</w:t>
            </w:r>
            <w:r w:rsidRPr="0028666F">
              <w:rPr>
                <w:rFonts w:ascii="Calibri" w:eastAsia="Times New Roman" w:hAnsi="Calibri" w:cs="Calibri"/>
                <w:color w:val="000000"/>
                <w:sz w:val="18"/>
                <w:szCs w:val="18"/>
                <w:lang w:eastAsia="pl-PL"/>
              </w:rPr>
              <w:br/>
              <w:t>Treść uwagi: 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1BBD26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428431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45D53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B6845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A4583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14843EA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BB8442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348</w:t>
            </w:r>
          </w:p>
        </w:tc>
        <w:tc>
          <w:tcPr>
            <w:tcW w:w="970" w:type="dxa"/>
            <w:tcBorders>
              <w:top w:val="nil"/>
              <w:left w:val="nil"/>
              <w:bottom w:val="single" w:sz="4" w:space="0" w:color="auto"/>
              <w:right w:val="nil"/>
            </w:tcBorders>
          </w:tcPr>
          <w:p w14:paraId="771C193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C00F70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1289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0E20EE67" w14:textId="7BA28E6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 xml:space="preserve">Treść uwagi: 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206692C0" w14:textId="5F142EC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1A18A578" w14:textId="5B5BDC1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3E90BEA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1EE6F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3364866" w14:textId="1F070AB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40E27D7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06579F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349</w:t>
            </w:r>
          </w:p>
        </w:tc>
        <w:tc>
          <w:tcPr>
            <w:tcW w:w="970" w:type="dxa"/>
            <w:tcBorders>
              <w:top w:val="nil"/>
              <w:left w:val="nil"/>
              <w:bottom w:val="single" w:sz="4" w:space="0" w:color="auto"/>
              <w:right w:val="nil"/>
            </w:tcBorders>
          </w:tcPr>
          <w:p w14:paraId="4003FF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46D890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92E75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65EDD41" w14:textId="1082AA2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 Rozdz. 3, 5.1. oraz 8.1., Zał. 3.1. oraz 8., Zał. mapowe</w:t>
            </w:r>
            <w:r w:rsidRPr="0028666F">
              <w:rPr>
                <w:rFonts w:ascii="Calibri" w:eastAsia="Times New Roman" w:hAnsi="Calibri" w:cs="Calibri"/>
                <w:color w:val="000000"/>
                <w:sz w:val="18"/>
                <w:szCs w:val="18"/>
                <w:lang w:eastAsia="pl-PL"/>
              </w:rPr>
              <w:br/>
              <w:t xml:space="preserve">Treść uwagi: 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305B0F6F" w14:textId="5406272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306BE2E0" w14:textId="39359AA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35EB85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75F80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5DC562B" w14:textId="0B67431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1C07180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BF45A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350</w:t>
            </w:r>
          </w:p>
        </w:tc>
        <w:tc>
          <w:tcPr>
            <w:tcW w:w="970" w:type="dxa"/>
            <w:tcBorders>
              <w:top w:val="nil"/>
              <w:left w:val="nil"/>
              <w:bottom w:val="single" w:sz="4" w:space="0" w:color="auto"/>
              <w:right w:val="nil"/>
            </w:tcBorders>
          </w:tcPr>
          <w:p w14:paraId="78366A0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5A8DFA7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CE66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0520E37" w14:textId="09E4F0F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Treść uwagi: 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p>
        </w:tc>
        <w:tc>
          <w:tcPr>
            <w:tcW w:w="2733" w:type="dxa"/>
            <w:tcBorders>
              <w:top w:val="nil"/>
              <w:left w:val="nil"/>
              <w:bottom w:val="single" w:sz="4" w:space="0" w:color="auto"/>
              <w:right w:val="single" w:sz="4" w:space="0" w:color="auto"/>
            </w:tcBorders>
            <w:shd w:val="clear" w:color="auto" w:fill="auto"/>
            <w:hideMark/>
          </w:tcPr>
          <w:p w14:paraId="16F83C0F" w14:textId="3B6680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4C24CA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3A7807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9D221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D4D5D74" w14:textId="6B644B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688833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731021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351</w:t>
            </w:r>
          </w:p>
        </w:tc>
        <w:tc>
          <w:tcPr>
            <w:tcW w:w="970" w:type="dxa"/>
            <w:tcBorders>
              <w:top w:val="nil"/>
              <w:left w:val="nil"/>
              <w:bottom w:val="single" w:sz="4" w:space="0" w:color="auto"/>
              <w:right w:val="nil"/>
            </w:tcBorders>
          </w:tcPr>
          <w:p w14:paraId="0E29B5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11369E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0D25C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1351F21" w14:textId="2FDCAD5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Treść uwagi: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1DF81EA4" w14:textId="3D7F7FD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52BC318C" w14:textId="11DF79C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18C5BC0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4CA14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779D90B" w14:textId="5A5D04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714109E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C23A15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352</w:t>
            </w:r>
          </w:p>
        </w:tc>
        <w:tc>
          <w:tcPr>
            <w:tcW w:w="970" w:type="dxa"/>
            <w:tcBorders>
              <w:top w:val="nil"/>
              <w:left w:val="nil"/>
              <w:bottom w:val="single" w:sz="4" w:space="0" w:color="auto"/>
              <w:right w:val="nil"/>
            </w:tcBorders>
          </w:tcPr>
          <w:p w14:paraId="0DF1D7E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1F3B8F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0AC6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0E5E910A" w14:textId="4F7B82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 SZCW, Wyznaczenie SZCW niezgodnie z metodyką</w:t>
            </w:r>
            <w:r w:rsidRPr="0028666F">
              <w:rPr>
                <w:rFonts w:ascii="Calibri" w:eastAsia="Times New Roman" w:hAnsi="Calibri" w:cs="Calibri"/>
                <w:color w:val="000000"/>
                <w:sz w:val="18"/>
                <w:szCs w:val="18"/>
                <w:lang w:eastAsia="pl-PL"/>
              </w:rPr>
              <w:br w:type="page"/>
              <w:t xml:space="preserve">Treść uwagi: 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RW60001217999 Odra od Nysy Łużyckiej do Warty </w:t>
            </w:r>
            <w:r w:rsidRPr="0028666F">
              <w:rPr>
                <w:rFonts w:ascii="Calibri" w:eastAsia="Times New Roman" w:hAnsi="Calibri" w:cs="Calibri"/>
                <w:color w:val="000000"/>
                <w:sz w:val="18"/>
                <w:szCs w:val="18"/>
                <w:lang w:eastAsia="pl-PL"/>
              </w:rPr>
              <w:br w:type="page"/>
              <w:t xml:space="preserve">RW600012183519 Warta od Neru do Powy </w:t>
            </w:r>
            <w:r w:rsidRPr="0028666F">
              <w:rPr>
                <w:rFonts w:ascii="Calibri" w:eastAsia="Times New Roman" w:hAnsi="Calibri" w:cs="Calibri"/>
                <w:color w:val="000000"/>
                <w:sz w:val="18"/>
                <w:szCs w:val="18"/>
                <w:lang w:eastAsia="pl-PL"/>
              </w:rPr>
              <w:br w:type="page"/>
              <w:t xml:space="preserve">RW60001218399 Warta od Powy do Prosny </w:t>
            </w:r>
            <w:r w:rsidRPr="0028666F">
              <w:rPr>
                <w:rFonts w:ascii="Calibri" w:eastAsia="Times New Roman" w:hAnsi="Calibri" w:cs="Calibri"/>
                <w:color w:val="000000"/>
                <w:sz w:val="18"/>
                <w:szCs w:val="18"/>
                <w:lang w:eastAsia="pl-PL"/>
              </w:rPr>
              <w:br w:type="page"/>
              <w:t xml:space="preserve">RW600012188977 Noteć od Rudawy do ujścia </w:t>
            </w:r>
            <w:r w:rsidRPr="0028666F">
              <w:rPr>
                <w:rFonts w:ascii="Calibri" w:eastAsia="Times New Roman" w:hAnsi="Calibri" w:cs="Calibri"/>
                <w:color w:val="000000"/>
                <w:sz w:val="18"/>
                <w:szCs w:val="18"/>
                <w:lang w:eastAsia="pl-PL"/>
              </w:rPr>
              <w:br w:type="page"/>
              <w:t>RW60001219199 Odra od Warty do oddzielenia się Odry Zachodniej</w:t>
            </w:r>
            <w:r w:rsidRPr="0028666F">
              <w:rPr>
                <w:rFonts w:ascii="Calibri" w:eastAsia="Times New Roman" w:hAnsi="Calibri" w:cs="Calibri"/>
                <w:color w:val="000000"/>
                <w:sz w:val="18"/>
                <w:szCs w:val="18"/>
                <w:lang w:eastAsia="pl-PL"/>
              </w:rPr>
              <w:br w:type="page"/>
              <w:t>RW6000121999 Odra od Bukowej do ujścia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CEEEB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ype="page"/>
              <w:t xml:space="preserve">RW60001217999 Odra od Nysy Łużyckiej do Warty </w:t>
            </w:r>
            <w:r w:rsidRPr="0028666F">
              <w:rPr>
                <w:rFonts w:ascii="Calibri" w:eastAsia="Times New Roman" w:hAnsi="Calibri" w:cs="Calibri"/>
                <w:color w:val="000000"/>
                <w:sz w:val="18"/>
                <w:szCs w:val="18"/>
                <w:lang w:eastAsia="pl-PL"/>
              </w:rPr>
              <w:br w:type="page"/>
              <w:t xml:space="preserve">RW600012183519 Warta od Neru do Powy </w:t>
            </w:r>
            <w:r w:rsidRPr="0028666F">
              <w:rPr>
                <w:rFonts w:ascii="Calibri" w:eastAsia="Times New Roman" w:hAnsi="Calibri" w:cs="Calibri"/>
                <w:color w:val="000000"/>
                <w:sz w:val="18"/>
                <w:szCs w:val="18"/>
                <w:lang w:eastAsia="pl-PL"/>
              </w:rPr>
              <w:br w:type="page"/>
              <w:t xml:space="preserve">RW60001218399 Warta od Powy do Prosny </w:t>
            </w:r>
            <w:r w:rsidRPr="0028666F">
              <w:rPr>
                <w:rFonts w:ascii="Calibri" w:eastAsia="Times New Roman" w:hAnsi="Calibri" w:cs="Calibri"/>
                <w:color w:val="000000"/>
                <w:sz w:val="18"/>
                <w:szCs w:val="18"/>
                <w:lang w:eastAsia="pl-PL"/>
              </w:rPr>
              <w:br w:type="page"/>
              <w:t xml:space="preserve">RW600012188977 Noteć od Rudawy do ujścia </w:t>
            </w:r>
            <w:r w:rsidRPr="0028666F">
              <w:rPr>
                <w:rFonts w:ascii="Calibri" w:eastAsia="Times New Roman" w:hAnsi="Calibri" w:cs="Calibri"/>
                <w:color w:val="000000"/>
                <w:sz w:val="18"/>
                <w:szCs w:val="18"/>
                <w:lang w:eastAsia="pl-PL"/>
              </w:rPr>
              <w:br w:type="page"/>
              <w:t>RW60001219199 Odra od Warty do oddzielenia się Odry Zachodniej</w:t>
            </w:r>
            <w:r w:rsidRPr="0028666F">
              <w:rPr>
                <w:rFonts w:ascii="Calibri" w:eastAsia="Times New Roman" w:hAnsi="Calibri" w:cs="Calibri"/>
                <w:color w:val="000000"/>
                <w:sz w:val="18"/>
                <w:szCs w:val="18"/>
                <w:lang w:eastAsia="pl-PL"/>
              </w:rPr>
              <w:br w:type="page"/>
              <w:t xml:space="preserve">RW6000121999 Odra od Bukowej do ujścia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naturalny status wody (NAT).</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4DE8F69" w14:textId="4E2D74E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93089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61AFC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4497602" w14:textId="7F16D64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107CA67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25172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353</w:t>
            </w:r>
          </w:p>
        </w:tc>
        <w:tc>
          <w:tcPr>
            <w:tcW w:w="970" w:type="dxa"/>
            <w:tcBorders>
              <w:top w:val="nil"/>
              <w:left w:val="nil"/>
              <w:bottom w:val="single" w:sz="4" w:space="0" w:color="auto"/>
              <w:right w:val="nil"/>
            </w:tcBorders>
          </w:tcPr>
          <w:p w14:paraId="14F68E0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51B3B8B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6C185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791E89CD" w14:textId="4B5ECF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 xml:space="preserve">Treść uwagi: 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p>
        </w:tc>
        <w:tc>
          <w:tcPr>
            <w:tcW w:w="2733" w:type="dxa"/>
            <w:tcBorders>
              <w:top w:val="nil"/>
              <w:left w:val="nil"/>
              <w:bottom w:val="single" w:sz="4" w:space="0" w:color="auto"/>
              <w:right w:val="single" w:sz="4" w:space="0" w:color="auto"/>
            </w:tcBorders>
            <w:shd w:val="clear" w:color="auto" w:fill="auto"/>
            <w:hideMark/>
          </w:tcPr>
          <w:p w14:paraId="23996C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4FF344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429A2B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7314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CE4617B" w14:textId="3BBEBED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(Ząłaczniki 8 - 12).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p>
        </w:tc>
      </w:tr>
      <w:tr w:rsidR="007C2B40" w:rsidRPr="0028666F" w14:paraId="214B7B3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0BFE8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354</w:t>
            </w:r>
          </w:p>
        </w:tc>
        <w:tc>
          <w:tcPr>
            <w:tcW w:w="970" w:type="dxa"/>
            <w:tcBorders>
              <w:top w:val="nil"/>
              <w:left w:val="nil"/>
              <w:bottom w:val="single" w:sz="4" w:space="0" w:color="auto"/>
              <w:right w:val="nil"/>
            </w:tcBorders>
          </w:tcPr>
          <w:p w14:paraId="7C3030D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5FCECA5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B34B5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502CB022" w14:textId="509D1EB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 xml:space="preserve">Treść uwagi: 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p>
        </w:tc>
        <w:tc>
          <w:tcPr>
            <w:tcW w:w="2733" w:type="dxa"/>
            <w:tcBorders>
              <w:top w:val="nil"/>
              <w:left w:val="nil"/>
              <w:bottom w:val="single" w:sz="4" w:space="0" w:color="auto"/>
              <w:right w:val="single" w:sz="4" w:space="0" w:color="auto"/>
            </w:tcBorders>
            <w:shd w:val="clear" w:color="auto" w:fill="auto"/>
            <w:hideMark/>
          </w:tcPr>
          <w:p w14:paraId="5D6DE317" w14:textId="139259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5BADC1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33F549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3FFB0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335C821" w14:textId="3B09578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653B824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C3F0E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355</w:t>
            </w:r>
          </w:p>
        </w:tc>
        <w:tc>
          <w:tcPr>
            <w:tcW w:w="970" w:type="dxa"/>
            <w:tcBorders>
              <w:top w:val="nil"/>
              <w:left w:val="nil"/>
              <w:bottom w:val="single" w:sz="4" w:space="0" w:color="auto"/>
              <w:right w:val="nil"/>
            </w:tcBorders>
          </w:tcPr>
          <w:p w14:paraId="62FCF5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D6322D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F3B74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6E9C002" w14:textId="0AA5681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Streszczenie niespecjalistyczne; IIaPGW Rozdział 7, 8, 9, Presja, Cele środowiskowe, </w:t>
            </w:r>
            <w:r w:rsidRPr="0028666F">
              <w:rPr>
                <w:rFonts w:ascii="Calibri" w:eastAsia="Times New Roman" w:hAnsi="Calibri" w:cs="Calibri"/>
                <w:color w:val="000000"/>
                <w:sz w:val="18"/>
                <w:szCs w:val="18"/>
                <w:lang w:eastAsia="pl-PL"/>
              </w:rPr>
              <w:br/>
              <w:t xml:space="preserve">Treść uwagi: 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p>
        </w:tc>
        <w:tc>
          <w:tcPr>
            <w:tcW w:w="2733" w:type="dxa"/>
            <w:tcBorders>
              <w:top w:val="nil"/>
              <w:left w:val="nil"/>
              <w:bottom w:val="single" w:sz="4" w:space="0" w:color="auto"/>
              <w:right w:val="single" w:sz="4" w:space="0" w:color="auto"/>
            </w:tcBorders>
            <w:shd w:val="clear" w:color="auto" w:fill="auto"/>
            <w:hideMark/>
          </w:tcPr>
          <w:p w14:paraId="7077E750" w14:textId="1407918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42F1D9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5320C4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B2426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4E44BC5" w14:textId="3B67F73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5FB4126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702DDF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356</w:t>
            </w:r>
          </w:p>
        </w:tc>
        <w:tc>
          <w:tcPr>
            <w:tcW w:w="970" w:type="dxa"/>
            <w:tcBorders>
              <w:top w:val="nil"/>
              <w:left w:val="nil"/>
              <w:bottom w:val="single" w:sz="4" w:space="0" w:color="auto"/>
              <w:right w:val="nil"/>
            </w:tcBorders>
          </w:tcPr>
          <w:p w14:paraId="0409978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F07179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E20FE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62C5F9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9, Postęp i wdrożenie działań 2016-2021</w:t>
            </w:r>
            <w:r w:rsidRPr="0028666F">
              <w:rPr>
                <w:rFonts w:ascii="Calibri" w:eastAsia="Times New Roman" w:hAnsi="Calibri" w:cs="Calibri"/>
                <w:color w:val="000000"/>
                <w:sz w:val="18"/>
                <w:szCs w:val="18"/>
                <w:lang w:eastAsia="pl-PL"/>
              </w:rPr>
              <w:br/>
              <w:t>Treść uwagi: 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5FFC867B"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p>
        </w:tc>
        <w:tc>
          <w:tcPr>
            <w:tcW w:w="3009" w:type="dxa"/>
            <w:tcBorders>
              <w:top w:val="nil"/>
              <w:left w:val="nil"/>
              <w:bottom w:val="single" w:sz="4" w:space="0" w:color="auto"/>
              <w:right w:val="single" w:sz="4" w:space="0" w:color="auto"/>
            </w:tcBorders>
            <w:shd w:val="clear" w:color="auto" w:fill="auto"/>
            <w:hideMark/>
          </w:tcPr>
          <w:p w14:paraId="75BFF5C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604485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FC7E7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FC9A30" w14:textId="462BB74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07A9734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A32FA1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357</w:t>
            </w:r>
          </w:p>
        </w:tc>
        <w:tc>
          <w:tcPr>
            <w:tcW w:w="970" w:type="dxa"/>
            <w:tcBorders>
              <w:top w:val="nil"/>
              <w:left w:val="nil"/>
              <w:bottom w:val="single" w:sz="4" w:space="0" w:color="auto"/>
              <w:right w:val="nil"/>
            </w:tcBorders>
          </w:tcPr>
          <w:p w14:paraId="30B059A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86C690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20734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19861EDF" w14:textId="6BDFCBA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10, Działania 2aPGW KPRWP – raport </w:t>
            </w:r>
            <w:r w:rsidRPr="0028666F">
              <w:rPr>
                <w:rFonts w:ascii="Calibri" w:eastAsia="Times New Roman" w:hAnsi="Calibri" w:cs="Calibri"/>
                <w:color w:val="000000"/>
                <w:sz w:val="18"/>
                <w:szCs w:val="18"/>
                <w:lang w:eastAsia="pl-PL"/>
              </w:rPr>
              <w:br w:type="page"/>
              <w:t xml:space="preserve">Treść uwagi: 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ype="page"/>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ype="page"/>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ype="page"/>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ype="page"/>
              <w:t>http://www.ratujmyrzeki.pl/250-konsultacje-apgw</w:t>
            </w:r>
            <w:r w:rsidRPr="0028666F">
              <w:rPr>
                <w:rFonts w:ascii="Calibri" w:eastAsia="Times New Roman" w:hAnsi="Calibri" w:cs="Calibri"/>
                <w:color w:val="000000"/>
                <w:sz w:val="18"/>
                <w:szCs w:val="18"/>
                <w:lang w:eastAsia="pl-PL"/>
              </w:rPr>
              <w:br w:type="page"/>
              <w:t>https://hektarydlanatury.pl/downloads/Raport_dla_WWF_zalaczniki.pdf</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ype="page"/>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95B2275" w14:textId="1C082DB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4845CD5A" w14:textId="61ED32A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8E3D0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6BA4B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3E1C75A" w14:textId="6B6EFFE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ype="page"/>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ype="page"/>
              <w:t xml:space="preserve">W katalogu działań krajowych IIaPGW znalazły się działania w zakresie prac utrzymaniowych: Prowadzenie prac utrzymaniowych zgodnie z Katalogiem dobrych praktyk prac utrzymaniowych i robót hydrotechnicznych, działanie na poziomie krajowym jest obligatoryjne do wdrożenia we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okresie 2022-2027 w obrębie których prowadzone są prace utrzymaniowe. W zestawach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zagrożonych znajdują się działania renaturyzacyjne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(Obszar Natura 2000 Beskid Śląski).</w:t>
            </w:r>
            <w:r w:rsidRPr="0028666F">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w następującym zakresie: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NAT z presją znaczącą, ale powodującą zły stan elementów biologicznych i ryzyko nieosiągnięcia celów wprowadzone zostało działanie o treści:</w:t>
            </w:r>
            <w:r w:rsidRPr="0028666F">
              <w:rPr>
                <w:rFonts w:ascii="Calibri" w:eastAsia="Times New Roman" w:hAnsi="Calibri" w:cs="Calibri"/>
                <w:color w:val="000000"/>
                <w:sz w:val="18"/>
                <w:szCs w:val="18"/>
                <w:lang w:eastAsia="pl-PL"/>
              </w:rPr>
              <w:br w:type="page"/>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ype="page"/>
              <w:t xml:space="preserve">W katalogu działań krajowych uwzględniono również działanie Ustalenie przepływów środowiskowych dla spełnienia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ype="page"/>
              <w:t>Nazwa działania:</w:t>
            </w:r>
            <w:r w:rsidRPr="0028666F">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Opis działania:</w:t>
            </w:r>
            <w:r w:rsidRPr="0028666F">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ype="page"/>
              <w:t>Zastosowanie:</w:t>
            </w:r>
            <w:r w:rsidRPr="0028666F">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ype="page"/>
              <w:t>Nazwa działania: Monitoring skuteczności istniejących urządzeń do migracji ryb.</w:t>
            </w:r>
            <w:r w:rsidRPr="0028666F">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w:t>
            </w:r>
            <w:r w:rsidRPr="0028666F">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ype="page"/>
              <w:t>Katalog działań krajowych zawiera działanie: Działania informacyjno-edukacyjne w zakresie zrównoważonego wykorzystania wody.</w:t>
            </w:r>
          </w:p>
        </w:tc>
      </w:tr>
      <w:tr w:rsidR="007C2B40" w:rsidRPr="0028666F" w14:paraId="66AD267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B9463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358</w:t>
            </w:r>
          </w:p>
        </w:tc>
        <w:tc>
          <w:tcPr>
            <w:tcW w:w="970" w:type="dxa"/>
            <w:tcBorders>
              <w:top w:val="nil"/>
              <w:left w:val="nil"/>
              <w:bottom w:val="single" w:sz="4" w:space="0" w:color="auto"/>
              <w:right w:val="nil"/>
            </w:tcBorders>
          </w:tcPr>
          <w:p w14:paraId="00C84FE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FAE1E2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C83B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1DADE711" w14:textId="5EDFE5C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8.1. – 8.4., Art. 4.4. i 4.5. RDW</w:t>
            </w:r>
            <w:r w:rsidRPr="0028666F">
              <w:rPr>
                <w:rFonts w:ascii="Calibri" w:eastAsia="Times New Roman" w:hAnsi="Calibri" w:cs="Calibri"/>
                <w:color w:val="000000"/>
                <w:sz w:val="18"/>
                <w:szCs w:val="18"/>
                <w:lang w:eastAsia="pl-PL"/>
              </w:rPr>
              <w:br/>
              <w:t>Treść uwagi: 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p>
        </w:tc>
        <w:tc>
          <w:tcPr>
            <w:tcW w:w="2733" w:type="dxa"/>
            <w:tcBorders>
              <w:top w:val="nil"/>
              <w:left w:val="nil"/>
              <w:bottom w:val="single" w:sz="4" w:space="0" w:color="auto"/>
              <w:right w:val="single" w:sz="4" w:space="0" w:color="auto"/>
            </w:tcBorders>
            <w:shd w:val="clear" w:color="auto" w:fill="auto"/>
            <w:hideMark/>
          </w:tcPr>
          <w:p w14:paraId="33863B96" w14:textId="5066AC9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p>
        </w:tc>
        <w:tc>
          <w:tcPr>
            <w:tcW w:w="3009" w:type="dxa"/>
            <w:tcBorders>
              <w:top w:val="nil"/>
              <w:left w:val="nil"/>
              <w:bottom w:val="single" w:sz="4" w:space="0" w:color="auto"/>
              <w:right w:val="single" w:sz="4" w:space="0" w:color="auto"/>
            </w:tcBorders>
            <w:shd w:val="clear" w:color="auto" w:fill="auto"/>
            <w:hideMark/>
          </w:tcPr>
          <w:p w14:paraId="3FA8BD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76BD0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2256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664736E" w14:textId="01B8BC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5E069DE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BA9857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359</w:t>
            </w:r>
          </w:p>
        </w:tc>
        <w:tc>
          <w:tcPr>
            <w:tcW w:w="970" w:type="dxa"/>
            <w:tcBorders>
              <w:top w:val="nil"/>
              <w:left w:val="nil"/>
              <w:bottom w:val="single" w:sz="4" w:space="0" w:color="auto"/>
              <w:right w:val="nil"/>
            </w:tcBorders>
          </w:tcPr>
          <w:p w14:paraId="5171DEB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87A5DC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96BD3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8A3E1B9" w14:textId="4A7B0A1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32173C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406CF04E" w14:textId="1175A77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2E4BA5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71026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1928BB6" w14:textId="6FF3B63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2D6AFF9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EE4B0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360</w:t>
            </w:r>
          </w:p>
        </w:tc>
        <w:tc>
          <w:tcPr>
            <w:tcW w:w="970" w:type="dxa"/>
            <w:tcBorders>
              <w:top w:val="nil"/>
              <w:left w:val="nil"/>
              <w:bottom w:val="single" w:sz="4" w:space="0" w:color="auto"/>
              <w:right w:val="nil"/>
            </w:tcBorders>
          </w:tcPr>
          <w:p w14:paraId="665371C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2A405B8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204E0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10276122"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16, Zał. 6 </w:t>
            </w:r>
            <w:r w:rsidRPr="0028666F">
              <w:rPr>
                <w:rFonts w:ascii="Calibri" w:eastAsia="Times New Roman" w:hAnsi="Calibri" w:cs="Calibri"/>
                <w:color w:val="000000"/>
                <w:sz w:val="18"/>
                <w:szCs w:val="18"/>
                <w:lang w:eastAsia="pl-PL"/>
              </w:rPr>
              <w:br/>
              <w:t xml:space="preserve">Treść uwagi: 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1C61C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382D74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42DE5B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76E38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A6A5C7E" w14:textId="2FF7B69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152E6D5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CDC88C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361</w:t>
            </w:r>
          </w:p>
        </w:tc>
        <w:tc>
          <w:tcPr>
            <w:tcW w:w="970" w:type="dxa"/>
            <w:tcBorders>
              <w:top w:val="nil"/>
              <w:left w:val="nil"/>
              <w:bottom w:val="single" w:sz="4" w:space="0" w:color="auto"/>
              <w:right w:val="nil"/>
            </w:tcBorders>
          </w:tcPr>
          <w:p w14:paraId="3377AE8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16F5D7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6171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D53C734" w14:textId="15F70AB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Katalogi działań</w:t>
            </w:r>
            <w:r w:rsidRPr="0028666F">
              <w:rPr>
                <w:rFonts w:ascii="Calibri" w:eastAsia="Times New Roman" w:hAnsi="Calibri" w:cs="Calibri"/>
                <w:color w:val="000000"/>
                <w:sz w:val="18"/>
                <w:szCs w:val="18"/>
                <w:lang w:eastAsia="pl-PL"/>
              </w:rPr>
              <w:br/>
              <w:t>Treść uwagi: 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2733" w:type="dxa"/>
            <w:tcBorders>
              <w:top w:val="nil"/>
              <w:left w:val="nil"/>
              <w:bottom w:val="single" w:sz="4" w:space="0" w:color="auto"/>
              <w:right w:val="single" w:sz="4" w:space="0" w:color="auto"/>
            </w:tcBorders>
            <w:shd w:val="clear" w:color="auto" w:fill="auto"/>
            <w:hideMark/>
          </w:tcPr>
          <w:p w14:paraId="220DF4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0C64E2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720" w:type="dxa"/>
            <w:tcBorders>
              <w:top w:val="nil"/>
              <w:left w:val="nil"/>
              <w:bottom w:val="single" w:sz="4" w:space="0" w:color="auto"/>
              <w:right w:val="single" w:sz="4" w:space="0" w:color="auto"/>
            </w:tcBorders>
            <w:shd w:val="clear" w:color="000000" w:fill="FFFFFF"/>
            <w:hideMark/>
          </w:tcPr>
          <w:p w14:paraId="15557A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B596E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00FD6C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2849D81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124EB1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362</w:t>
            </w:r>
          </w:p>
        </w:tc>
        <w:tc>
          <w:tcPr>
            <w:tcW w:w="970" w:type="dxa"/>
            <w:tcBorders>
              <w:top w:val="nil"/>
              <w:left w:val="nil"/>
              <w:bottom w:val="single" w:sz="4" w:space="0" w:color="auto"/>
              <w:right w:val="nil"/>
            </w:tcBorders>
          </w:tcPr>
          <w:p w14:paraId="705B797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05034A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0006E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BA714D9" w14:textId="5DCD09F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barier migracyjnych</w:t>
            </w:r>
            <w:r w:rsidRPr="0028666F">
              <w:rPr>
                <w:rFonts w:ascii="Calibri" w:eastAsia="Times New Roman" w:hAnsi="Calibri" w:cs="Calibri"/>
                <w:color w:val="000000"/>
                <w:sz w:val="18"/>
                <w:szCs w:val="18"/>
                <w:lang w:eastAsia="pl-PL"/>
              </w:rPr>
              <w:br w:type="page"/>
              <w:t>Treść uwagi: 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Tam gdzie jest:</w:t>
            </w:r>
            <w:r w:rsidRPr="0028666F">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ype="page"/>
              <w:t xml:space="preserve">lub </w:t>
            </w:r>
            <w:r w:rsidRPr="0028666F">
              <w:rPr>
                <w:rFonts w:ascii="Calibri" w:eastAsia="Times New Roman" w:hAnsi="Calibri" w:cs="Calibri"/>
                <w:color w:val="000000"/>
                <w:sz w:val="18"/>
                <w:szCs w:val="18"/>
                <w:lang w:eastAsia="pl-PL"/>
              </w:rPr>
              <w:br w:type="page"/>
              <w:t>Analiza możliwości  likwidacji budowli poprzecznych…</w:t>
            </w:r>
            <w:r w:rsidRPr="0028666F">
              <w:rPr>
                <w:rFonts w:ascii="Calibri" w:eastAsia="Times New Roman" w:hAnsi="Calibri" w:cs="Calibri"/>
                <w:color w:val="000000"/>
                <w:sz w:val="18"/>
                <w:szCs w:val="18"/>
                <w:lang w:eastAsia="pl-PL"/>
              </w:rPr>
              <w:br w:type="page"/>
              <w:t>lub</w:t>
            </w:r>
            <w:r w:rsidRPr="0028666F">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Tam gdzie jest:</w:t>
            </w:r>
            <w:r w:rsidRPr="0028666F">
              <w:rPr>
                <w:rFonts w:ascii="Calibri" w:eastAsia="Times New Roman" w:hAnsi="Calibri" w:cs="Calibri"/>
                <w:color w:val="000000"/>
                <w:sz w:val="18"/>
                <w:szCs w:val="18"/>
                <w:lang w:eastAsia="pl-PL"/>
              </w:rPr>
              <w:br w:type="page"/>
              <w:t>„Analiza możliwości przebudowy budowli poprzecznych…„</w:t>
            </w:r>
            <w:r w:rsidRPr="0028666F">
              <w:rPr>
                <w:rFonts w:ascii="Calibri" w:eastAsia="Times New Roman" w:hAnsi="Calibri" w:cs="Calibri"/>
                <w:color w:val="000000"/>
                <w:sz w:val="18"/>
                <w:szCs w:val="18"/>
                <w:lang w:eastAsia="pl-PL"/>
              </w:rPr>
              <w:br w:type="page"/>
              <w:t xml:space="preserve">należy dokonać zmiany na </w:t>
            </w:r>
            <w:r w:rsidRPr="0028666F">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Tam gdzie jest:</w:t>
            </w:r>
            <w:r w:rsidRPr="0028666F">
              <w:rPr>
                <w:rFonts w:ascii="Calibri" w:eastAsia="Times New Roman" w:hAnsi="Calibri" w:cs="Calibri"/>
                <w:color w:val="000000"/>
                <w:sz w:val="18"/>
                <w:szCs w:val="18"/>
                <w:lang w:eastAsia="pl-PL"/>
              </w:rPr>
              <w:br w:type="page"/>
              <w:t xml:space="preserve">„Monitoring skuteczności istniejących urządzeń do migracji ryb.” i/lub </w:t>
            </w:r>
            <w:r w:rsidRPr="0028666F">
              <w:rPr>
                <w:rFonts w:ascii="Calibri" w:eastAsia="Times New Roman" w:hAnsi="Calibri" w:cs="Calibri"/>
                <w:color w:val="000000"/>
                <w:sz w:val="18"/>
                <w:szCs w:val="18"/>
                <w:lang w:eastAsia="pl-PL"/>
              </w:rPr>
              <w:br w:type="page"/>
              <w:t>„Kontrola funkcjonowania urządzeń do migracji ryb.”</w:t>
            </w:r>
            <w:r w:rsidRPr="0028666F">
              <w:rPr>
                <w:rFonts w:ascii="Calibri" w:eastAsia="Times New Roman" w:hAnsi="Calibri" w:cs="Calibri"/>
                <w:color w:val="000000"/>
                <w:sz w:val="18"/>
                <w:szCs w:val="18"/>
                <w:lang w:eastAsia="pl-PL"/>
              </w:rPr>
              <w:br w:type="page"/>
              <w:t>należy dodać kolejne działanie (Działanie I lub Działanie II):</w:t>
            </w:r>
            <w:r w:rsidRPr="0028666F">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Tam gdzie jest:</w:t>
            </w:r>
            <w:r w:rsidRPr="0028666F">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należy dodać działanie (Działanie I lub Działanie II):</w:t>
            </w:r>
            <w:r w:rsidRPr="0028666F">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3D7AC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63FE21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275207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0FE83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F00AF18" w14:textId="7547C64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ype="page"/>
              <w:t>Zgodnie z uwagą zmieniono natomiast zakres działania RWHM_02.06 oraz RWHM_02.08.</w:t>
            </w:r>
            <w:r w:rsidRPr="0028666F">
              <w:rPr>
                <w:rFonts w:ascii="Calibri" w:eastAsia="Times New Roman" w:hAnsi="Calibri" w:cs="Calibri"/>
                <w:color w:val="000000"/>
                <w:sz w:val="18"/>
                <w:szCs w:val="18"/>
                <w:lang w:eastAsia="pl-PL"/>
              </w:rPr>
              <w:br w:type="page"/>
              <w:t>Obecne brzmienie:</w:t>
            </w:r>
            <w:r w:rsidRPr="0028666F">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2557D8B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3F33F1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363</w:t>
            </w:r>
          </w:p>
        </w:tc>
        <w:tc>
          <w:tcPr>
            <w:tcW w:w="970" w:type="dxa"/>
            <w:tcBorders>
              <w:top w:val="nil"/>
              <w:left w:val="nil"/>
              <w:bottom w:val="single" w:sz="4" w:space="0" w:color="auto"/>
              <w:right w:val="nil"/>
            </w:tcBorders>
          </w:tcPr>
          <w:p w14:paraId="15C9698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6AE1E45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00B8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1B17A2E" w14:textId="2914CEC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40A925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34119E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230455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85DD9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35B6C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677B2FE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621A42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364</w:t>
            </w:r>
          </w:p>
        </w:tc>
        <w:tc>
          <w:tcPr>
            <w:tcW w:w="970" w:type="dxa"/>
            <w:tcBorders>
              <w:top w:val="nil"/>
              <w:left w:val="nil"/>
              <w:bottom w:val="single" w:sz="4" w:space="0" w:color="auto"/>
              <w:right w:val="nil"/>
            </w:tcBorders>
          </w:tcPr>
          <w:p w14:paraId="43A3EE9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305296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12AC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F6E11DD" w14:textId="494A850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Treść uwagi: 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CB03F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Udrożnić dla ryb zaporę Zb. Jeziorsko odcinającą całą górna zlewnię Warty.</w:t>
            </w:r>
          </w:p>
        </w:tc>
        <w:tc>
          <w:tcPr>
            <w:tcW w:w="3009" w:type="dxa"/>
            <w:tcBorders>
              <w:top w:val="nil"/>
              <w:left w:val="nil"/>
              <w:bottom w:val="single" w:sz="4" w:space="0" w:color="auto"/>
              <w:right w:val="single" w:sz="4" w:space="0" w:color="auto"/>
            </w:tcBorders>
            <w:shd w:val="clear" w:color="auto" w:fill="auto"/>
            <w:hideMark/>
          </w:tcPr>
          <w:p w14:paraId="5086A0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7CBA0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9CC46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6CC89EA6" w14:textId="25A651C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5255755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BE8A20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365</w:t>
            </w:r>
          </w:p>
        </w:tc>
        <w:tc>
          <w:tcPr>
            <w:tcW w:w="970" w:type="dxa"/>
            <w:tcBorders>
              <w:top w:val="nil"/>
              <w:left w:val="nil"/>
              <w:bottom w:val="single" w:sz="4" w:space="0" w:color="auto"/>
              <w:right w:val="nil"/>
            </w:tcBorders>
          </w:tcPr>
          <w:p w14:paraId="269CD7D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A10F8C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8256B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E9D9CFB"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 ODBUDOWA PIĘTRZEŃ</w:t>
            </w:r>
            <w:r w:rsidRPr="0028666F">
              <w:rPr>
                <w:rFonts w:ascii="Calibri" w:eastAsia="Times New Roman" w:hAnsi="Calibri" w:cs="Calibri"/>
                <w:color w:val="000000"/>
                <w:sz w:val="18"/>
                <w:szCs w:val="18"/>
                <w:lang w:eastAsia="pl-PL"/>
              </w:rPr>
              <w:br/>
              <w:t>Treść uwagi: 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3F9C1F34"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p>
        </w:tc>
        <w:tc>
          <w:tcPr>
            <w:tcW w:w="3009" w:type="dxa"/>
            <w:tcBorders>
              <w:top w:val="nil"/>
              <w:left w:val="nil"/>
              <w:bottom w:val="single" w:sz="4" w:space="0" w:color="auto"/>
              <w:right w:val="single" w:sz="4" w:space="0" w:color="auto"/>
            </w:tcBorders>
            <w:shd w:val="clear" w:color="auto" w:fill="auto"/>
            <w:hideMark/>
          </w:tcPr>
          <w:p w14:paraId="6365D5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p>
        </w:tc>
        <w:tc>
          <w:tcPr>
            <w:tcW w:w="1720" w:type="dxa"/>
            <w:tcBorders>
              <w:top w:val="nil"/>
              <w:left w:val="nil"/>
              <w:bottom w:val="single" w:sz="4" w:space="0" w:color="auto"/>
              <w:right w:val="single" w:sz="4" w:space="0" w:color="auto"/>
            </w:tcBorders>
            <w:shd w:val="clear" w:color="000000" w:fill="FFFFFF"/>
            <w:hideMark/>
          </w:tcPr>
          <w:p w14:paraId="54BA62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D54A0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029968C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026F145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3830BF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366</w:t>
            </w:r>
          </w:p>
        </w:tc>
        <w:tc>
          <w:tcPr>
            <w:tcW w:w="970" w:type="dxa"/>
            <w:tcBorders>
              <w:top w:val="nil"/>
              <w:left w:val="nil"/>
              <w:bottom w:val="single" w:sz="4" w:space="0" w:color="auto"/>
              <w:right w:val="nil"/>
            </w:tcBorders>
          </w:tcPr>
          <w:p w14:paraId="456E8AD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3CD08BC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7903EC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3C5CD3B" w14:textId="20C3543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ype="page"/>
              <w:t>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p>
        </w:tc>
        <w:tc>
          <w:tcPr>
            <w:tcW w:w="2733" w:type="dxa"/>
            <w:tcBorders>
              <w:top w:val="nil"/>
              <w:left w:val="nil"/>
              <w:bottom w:val="single" w:sz="4" w:space="0" w:color="auto"/>
              <w:right w:val="single" w:sz="4" w:space="0" w:color="auto"/>
            </w:tcBorders>
            <w:shd w:val="clear" w:color="auto" w:fill="auto"/>
            <w:hideMark/>
          </w:tcPr>
          <w:p w14:paraId="365F48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00663D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ype="page"/>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6D4849F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4B60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BB965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1452A12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A6BDBE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367</w:t>
            </w:r>
          </w:p>
        </w:tc>
        <w:tc>
          <w:tcPr>
            <w:tcW w:w="970" w:type="dxa"/>
            <w:tcBorders>
              <w:top w:val="nil"/>
              <w:left w:val="nil"/>
              <w:bottom w:val="single" w:sz="4" w:space="0" w:color="auto"/>
              <w:right w:val="nil"/>
            </w:tcBorders>
          </w:tcPr>
          <w:p w14:paraId="16E0947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0ABD4A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B0A9C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126C326" w14:textId="181D10C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prawne i administracyjne</w:t>
            </w:r>
            <w:r w:rsidRPr="0028666F">
              <w:rPr>
                <w:rFonts w:ascii="Calibri" w:eastAsia="Times New Roman" w:hAnsi="Calibri" w:cs="Calibri"/>
                <w:color w:val="000000"/>
                <w:sz w:val="18"/>
                <w:szCs w:val="18"/>
                <w:lang w:eastAsia="pl-PL"/>
              </w:rPr>
              <w:br/>
              <w:t xml:space="preserve">Treść uwagi: 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47193E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2E780457" w14:textId="79641DB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4D4B3F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ADFEA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B3B7DB6" w14:textId="3D4C2C0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6AEBD73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0FD66E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368</w:t>
            </w:r>
          </w:p>
        </w:tc>
        <w:tc>
          <w:tcPr>
            <w:tcW w:w="970" w:type="dxa"/>
            <w:tcBorders>
              <w:top w:val="nil"/>
              <w:left w:val="nil"/>
              <w:bottom w:val="single" w:sz="4" w:space="0" w:color="auto"/>
              <w:right w:val="nil"/>
            </w:tcBorders>
          </w:tcPr>
          <w:p w14:paraId="546190E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3E0181E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AE06D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EE51699" w14:textId="13454CF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Konkretne zmiany prawne</w:t>
            </w:r>
            <w:r w:rsidRPr="0028666F">
              <w:rPr>
                <w:rFonts w:ascii="Calibri" w:eastAsia="Times New Roman" w:hAnsi="Calibri" w:cs="Calibri"/>
                <w:color w:val="000000"/>
                <w:sz w:val="18"/>
                <w:szCs w:val="18"/>
                <w:lang w:eastAsia="pl-PL"/>
              </w:rPr>
              <w:br/>
              <w:t>Treść uwagi: 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65A0EA0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694032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EE48F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56A9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4BF534E" w14:textId="41C3361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15E4E94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4AD26E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369</w:t>
            </w:r>
          </w:p>
        </w:tc>
        <w:tc>
          <w:tcPr>
            <w:tcW w:w="970" w:type="dxa"/>
            <w:tcBorders>
              <w:top w:val="nil"/>
              <w:left w:val="nil"/>
              <w:bottom w:val="single" w:sz="4" w:space="0" w:color="auto"/>
              <w:right w:val="nil"/>
            </w:tcBorders>
          </w:tcPr>
          <w:p w14:paraId="31BB8EB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35DFD7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D248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923EC6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w funkcjonowaniu zarządzania wód</w:t>
            </w:r>
            <w:r w:rsidRPr="0028666F">
              <w:rPr>
                <w:rFonts w:ascii="Calibri" w:eastAsia="Times New Roman" w:hAnsi="Calibri" w:cs="Calibri"/>
                <w:color w:val="000000"/>
                <w:sz w:val="18"/>
                <w:szCs w:val="18"/>
                <w:lang w:eastAsia="pl-PL"/>
              </w:rPr>
              <w:br/>
              <w:t>Treść uwagi: 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2231DE2D" w14:textId="683A1D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6E2530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23B8E12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6A2E0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19AAC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mają rangę rozporządzenia, są ogólnodostepne i powszechnie obowiązujące.</w:t>
            </w:r>
          </w:p>
        </w:tc>
      </w:tr>
      <w:tr w:rsidR="007C2B40" w:rsidRPr="0028666F" w14:paraId="22387D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D52AD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370</w:t>
            </w:r>
          </w:p>
        </w:tc>
        <w:tc>
          <w:tcPr>
            <w:tcW w:w="970" w:type="dxa"/>
            <w:tcBorders>
              <w:top w:val="nil"/>
              <w:left w:val="nil"/>
              <w:bottom w:val="single" w:sz="4" w:space="0" w:color="auto"/>
              <w:right w:val="nil"/>
            </w:tcBorders>
          </w:tcPr>
          <w:p w14:paraId="51D97E3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FCB73A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206A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597A1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Zmiany w ocenie postępu działań – co 2 lata </w:t>
            </w:r>
            <w:r w:rsidRPr="0028666F">
              <w:rPr>
                <w:rFonts w:ascii="Calibri" w:eastAsia="Times New Roman" w:hAnsi="Calibri" w:cs="Calibri"/>
                <w:color w:val="000000"/>
                <w:sz w:val="18"/>
                <w:szCs w:val="18"/>
                <w:lang w:eastAsia="pl-PL"/>
              </w:rPr>
              <w:br/>
              <w:t>Treść uwagi: W przypadku budowli do udrożnienia, dla których nie sporządzono dokumentacji, powinny być ustalone następujące maksymalne terminy do oceny postępu działań: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2522B16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EFBCB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5CB231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34B6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05905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10253B9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4586B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371</w:t>
            </w:r>
          </w:p>
        </w:tc>
        <w:tc>
          <w:tcPr>
            <w:tcW w:w="970" w:type="dxa"/>
            <w:tcBorders>
              <w:top w:val="nil"/>
              <w:left w:val="nil"/>
              <w:bottom w:val="single" w:sz="4" w:space="0" w:color="auto"/>
              <w:right w:val="nil"/>
            </w:tcBorders>
          </w:tcPr>
          <w:p w14:paraId="424DB20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39B2D21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3199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5E4A189" w14:textId="4C562F1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1F15DA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246BBF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549CC15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CB339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2B18AC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3172997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6B3CF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372</w:t>
            </w:r>
          </w:p>
        </w:tc>
        <w:tc>
          <w:tcPr>
            <w:tcW w:w="970" w:type="dxa"/>
            <w:tcBorders>
              <w:top w:val="nil"/>
              <w:left w:val="nil"/>
              <w:bottom w:val="single" w:sz="4" w:space="0" w:color="auto"/>
              <w:right w:val="nil"/>
            </w:tcBorders>
          </w:tcPr>
          <w:p w14:paraId="500F6D6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7AE605B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7698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1C7F760" w14:textId="00EFE1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społeczne - terminy</w:t>
            </w:r>
            <w:r w:rsidRPr="0028666F">
              <w:rPr>
                <w:rFonts w:ascii="Calibri" w:eastAsia="Times New Roman" w:hAnsi="Calibri" w:cs="Calibri"/>
                <w:color w:val="000000"/>
                <w:sz w:val="18"/>
                <w:szCs w:val="18"/>
                <w:lang w:eastAsia="pl-PL"/>
              </w:rPr>
              <w:br w:type="page"/>
              <w:t xml:space="preserve">Treść uwagi: 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ype="page"/>
              <w:t>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F69EB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D822D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ype="page"/>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662A8E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9C99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7BAB9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1204B9F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477104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373</w:t>
            </w:r>
          </w:p>
        </w:tc>
        <w:tc>
          <w:tcPr>
            <w:tcW w:w="970" w:type="dxa"/>
            <w:tcBorders>
              <w:top w:val="nil"/>
              <w:left w:val="nil"/>
              <w:bottom w:val="single" w:sz="4" w:space="0" w:color="auto"/>
              <w:right w:val="nil"/>
            </w:tcBorders>
          </w:tcPr>
          <w:p w14:paraId="36B737C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DE4711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D258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3999F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chaos</w:t>
            </w:r>
            <w:r w:rsidRPr="0028666F">
              <w:rPr>
                <w:rFonts w:ascii="Calibri" w:eastAsia="Times New Roman" w:hAnsi="Calibri" w:cs="Calibri"/>
                <w:color w:val="000000"/>
                <w:sz w:val="18"/>
                <w:szCs w:val="18"/>
                <w:lang w:eastAsia="pl-PL"/>
              </w:rPr>
              <w:br/>
              <w:t>Treść uwagi: 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279861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1BE9B2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6F8100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F6DA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335CC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2CE45A0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A5EB58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374</w:t>
            </w:r>
          </w:p>
        </w:tc>
        <w:tc>
          <w:tcPr>
            <w:tcW w:w="970" w:type="dxa"/>
            <w:tcBorders>
              <w:top w:val="nil"/>
              <w:left w:val="nil"/>
              <w:bottom w:val="single" w:sz="4" w:space="0" w:color="auto"/>
              <w:right w:val="nil"/>
            </w:tcBorders>
          </w:tcPr>
          <w:p w14:paraId="7E661D5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E802F4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6A38C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B593579" w14:textId="0960D50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geobaza</w:t>
            </w:r>
            <w:r w:rsidRPr="0028666F">
              <w:rPr>
                <w:rFonts w:ascii="Calibri" w:eastAsia="Times New Roman" w:hAnsi="Calibri" w:cs="Calibri"/>
                <w:color w:val="000000"/>
                <w:sz w:val="18"/>
                <w:szCs w:val="18"/>
                <w:lang w:eastAsia="pl-PL"/>
              </w:rPr>
              <w:br/>
              <w:t>Treść uwagi: 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38652E43" w14:textId="4F4EE0B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1CAC88DF" w14:textId="014A1A54"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p>
        </w:tc>
        <w:tc>
          <w:tcPr>
            <w:tcW w:w="1720" w:type="dxa"/>
            <w:tcBorders>
              <w:top w:val="nil"/>
              <w:left w:val="nil"/>
              <w:bottom w:val="single" w:sz="4" w:space="0" w:color="auto"/>
              <w:right w:val="single" w:sz="4" w:space="0" w:color="auto"/>
            </w:tcBorders>
            <w:shd w:val="clear" w:color="000000" w:fill="FFFFFF"/>
            <w:hideMark/>
          </w:tcPr>
          <w:p w14:paraId="220BA6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3F604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00DCFAA" w14:textId="437AFE5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5DC2B1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F5E1A3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375</w:t>
            </w:r>
          </w:p>
        </w:tc>
        <w:tc>
          <w:tcPr>
            <w:tcW w:w="970" w:type="dxa"/>
            <w:tcBorders>
              <w:top w:val="nil"/>
              <w:left w:val="nil"/>
              <w:bottom w:val="single" w:sz="4" w:space="0" w:color="auto"/>
              <w:right w:val="nil"/>
            </w:tcBorders>
          </w:tcPr>
          <w:p w14:paraId="682020B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3393246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EE878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7567039"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dokumenty źródłowe</w:t>
            </w:r>
            <w:r w:rsidRPr="0028666F">
              <w:rPr>
                <w:rFonts w:ascii="Calibri" w:eastAsia="Times New Roman" w:hAnsi="Calibri" w:cs="Calibri"/>
                <w:color w:val="000000"/>
                <w:sz w:val="18"/>
                <w:szCs w:val="18"/>
                <w:lang w:eastAsia="pl-PL"/>
              </w:rPr>
              <w:br/>
              <w:t>Treść uwagi: 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2733" w:type="dxa"/>
            <w:tcBorders>
              <w:top w:val="nil"/>
              <w:left w:val="nil"/>
              <w:bottom w:val="single" w:sz="4" w:space="0" w:color="auto"/>
              <w:right w:val="single" w:sz="4" w:space="0" w:color="auto"/>
            </w:tcBorders>
            <w:shd w:val="clear" w:color="auto" w:fill="auto"/>
            <w:hideMark/>
          </w:tcPr>
          <w:p w14:paraId="3A1BFE7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5EFD16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2E5C05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B3A96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1AD3B2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60C388A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155C5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376</w:t>
            </w:r>
          </w:p>
        </w:tc>
        <w:tc>
          <w:tcPr>
            <w:tcW w:w="970" w:type="dxa"/>
            <w:tcBorders>
              <w:top w:val="nil"/>
              <w:left w:val="nil"/>
              <w:bottom w:val="single" w:sz="4" w:space="0" w:color="auto"/>
              <w:right w:val="nil"/>
            </w:tcBorders>
          </w:tcPr>
          <w:p w14:paraId="7B84CC9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30A9021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EC2DC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49D0B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formularz</w:t>
            </w:r>
            <w:r w:rsidRPr="0028666F">
              <w:rPr>
                <w:rFonts w:ascii="Calibri" w:eastAsia="Times New Roman" w:hAnsi="Calibri" w:cs="Calibri"/>
                <w:color w:val="000000"/>
                <w:sz w:val="18"/>
                <w:szCs w:val="18"/>
                <w:lang w:eastAsia="pl-PL"/>
              </w:rPr>
              <w:br/>
              <w:t xml:space="preserve">Treść uwagi: 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47CCFA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1DC5AF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43E5CC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1D757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3A4D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7C2B40" w:rsidRPr="0028666F" w14:paraId="1C24DC1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85DF9C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377</w:t>
            </w:r>
          </w:p>
        </w:tc>
        <w:tc>
          <w:tcPr>
            <w:tcW w:w="970" w:type="dxa"/>
            <w:tcBorders>
              <w:top w:val="nil"/>
              <w:left w:val="nil"/>
              <w:bottom w:val="single" w:sz="4" w:space="0" w:color="auto"/>
              <w:right w:val="nil"/>
            </w:tcBorders>
          </w:tcPr>
          <w:p w14:paraId="58435CD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B4CB9D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982F1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F659E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dane ze strony aPGW</w:t>
            </w:r>
            <w:r w:rsidRPr="0028666F">
              <w:rPr>
                <w:rFonts w:ascii="Calibri" w:eastAsia="Times New Roman" w:hAnsi="Calibri" w:cs="Calibri"/>
                <w:color w:val="000000"/>
                <w:sz w:val="18"/>
                <w:szCs w:val="18"/>
                <w:lang w:eastAsia="pl-PL"/>
              </w:rPr>
              <w:br w:type="page"/>
              <w:t>Treść uwagi: 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286BDE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4D4ADA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4BB42FC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A990A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C36C4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1669992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D1B7E9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378</w:t>
            </w:r>
          </w:p>
        </w:tc>
        <w:tc>
          <w:tcPr>
            <w:tcW w:w="970" w:type="dxa"/>
            <w:tcBorders>
              <w:top w:val="nil"/>
              <w:left w:val="nil"/>
              <w:bottom w:val="single" w:sz="4" w:space="0" w:color="auto"/>
              <w:right w:val="nil"/>
            </w:tcBorders>
          </w:tcPr>
          <w:p w14:paraId="32D4882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1E7902F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735E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1BF67085" w14:textId="2CC2F9D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 xml:space="preserve">Treść uwagi: 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5847540A" w14:textId="186ED78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436FE68A" w14:textId="4CF6086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36EC0C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8BAD2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22FFF7F" w14:textId="2BBB570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46D2F7B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C2479B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379</w:t>
            </w:r>
          </w:p>
        </w:tc>
        <w:tc>
          <w:tcPr>
            <w:tcW w:w="970" w:type="dxa"/>
            <w:tcBorders>
              <w:top w:val="nil"/>
              <w:left w:val="nil"/>
              <w:bottom w:val="single" w:sz="4" w:space="0" w:color="auto"/>
              <w:right w:val="nil"/>
            </w:tcBorders>
          </w:tcPr>
          <w:p w14:paraId="4E5DCBC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7F5E6B2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44282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66A0CA36" w14:textId="068EE3D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 Rozdz. 3, 5.1. oraz 8.1.</w:t>
            </w:r>
            <w:r w:rsidRPr="0028666F">
              <w:rPr>
                <w:rFonts w:ascii="Calibri" w:eastAsia="Times New Roman" w:hAnsi="Calibri" w:cs="Calibri"/>
                <w:color w:val="000000"/>
                <w:sz w:val="18"/>
                <w:szCs w:val="18"/>
                <w:lang w:eastAsia="pl-PL"/>
              </w:rPr>
              <w:br/>
              <w:t>Zał. 3.1. oraz 8., Zał. mapowe</w:t>
            </w:r>
            <w:r w:rsidRPr="0028666F">
              <w:rPr>
                <w:rFonts w:ascii="Calibri" w:eastAsia="Times New Roman" w:hAnsi="Calibri" w:cs="Calibri"/>
                <w:color w:val="000000"/>
                <w:sz w:val="18"/>
                <w:szCs w:val="18"/>
                <w:lang w:eastAsia="pl-PL"/>
              </w:rPr>
              <w:br/>
              <w:t xml:space="preserve">Treść uwagi: 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417A6E5B" w14:textId="0DF9544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10E872C0" w14:textId="1556011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4086F3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437BD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97489B0" w14:textId="661B416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6F264A7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676B62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380</w:t>
            </w:r>
          </w:p>
        </w:tc>
        <w:tc>
          <w:tcPr>
            <w:tcW w:w="970" w:type="dxa"/>
            <w:tcBorders>
              <w:top w:val="nil"/>
              <w:left w:val="nil"/>
              <w:bottom w:val="single" w:sz="4" w:space="0" w:color="auto"/>
              <w:right w:val="nil"/>
            </w:tcBorders>
          </w:tcPr>
          <w:p w14:paraId="3335A06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B573A6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C694B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E816607" w14:textId="1892BEF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Treść uwagi: 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p>
        </w:tc>
        <w:tc>
          <w:tcPr>
            <w:tcW w:w="2733" w:type="dxa"/>
            <w:tcBorders>
              <w:top w:val="nil"/>
              <w:left w:val="nil"/>
              <w:bottom w:val="single" w:sz="4" w:space="0" w:color="auto"/>
              <w:right w:val="single" w:sz="4" w:space="0" w:color="auto"/>
            </w:tcBorders>
            <w:shd w:val="clear" w:color="auto" w:fill="auto"/>
            <w:hideMark/>
          </w:tcPr>
          <w:p w14:paraId="45340B29" w14:textId="0D17E1C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789CFE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39CA66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4C939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6A410D3" w14:textId="418B249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139A612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B02981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381</w:t>
            </w:r>
          </w:p>
        </w:tc>
        <w:tc>
          <w:tcPr>
            <w:tcW w:w="970" w:type="dxa"/>
            <w:tcBorders>
              <w:top w:val="nil"/>
              <w:left w:val="nil"/>
              <w:bottom w:val="single" w:sz="4" w:space="0" w:color="auto"/>
              <w:right w:val="nil"/>
            </w:tcBorders>
          </w:tcPr>
          <w:p w14:paraId="1D913E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68293B5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0D60F2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F106538" w14:textId="739329A3"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Treść uwagi: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33080091" w14:textId="7A22DB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550A91D1" w14:textId="4AFE1614"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1188E2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B5DB8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579FAE0" w14:textId="6BFA7DB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384089B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48EFA9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382</w:t>
            </w:r>
          </w:p>
        </w:tc>
        <w:tc>
          <w:tcPr>
            <w:tcW w:w="970" w:type="dxa"/>
            <w:tcBorders>
              <w:top w:val="nil"/>
              <w:left w:val="nil"/>
              <w:bottom w:val="single" w:sz="4" w:space="0" w:color="auto"/>
              <w:right w:val="nil"/>
            </w:tcBorders>
          </w:tcPr>
          <w:p w14:paraId="1C2FC39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6F6EC70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7D53A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1A3A7817" w14:textId="6C1C8BB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 SZCW, Wyznaczenie SZCW niezgodnie z metodyką</w:t>
            </w:r>
            <w:r w:rsidRPr="0028666F">
              <w:rPr>
                <w:rFonts w:ascii="Calibri" w:eastAsia="Times New Roman" w:hAnsi="Calibri" w:cs="Calibri"/>
                <w:color w:val="000000"/>
                <w:sz w:val="18"/>
                <w:szCs w:val="18"/>
                <w:lang w:eastAsia="pl-PL"/>
              </w:rPr>
              <w:br/>
              <w:t xml:space="preserve">Treść uwagi: 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2733" w:type="dxa"/>
            <w:tcBorders>
              <w:top w:val="nil"/>
              <w:left w:val="nil"/>
              <w:bottom w:val="single" w:sz="4" w:space="0" w:color="auto"/>
              <w:right w:val="single" w:sz="4" w:space="0" w:color="auto"/>
            </w:tcBorders>
            <w:shd w:val="clear" w:color="auto" w:fill="auto"/>
            <w:hideMark/>
          </w:tcPr>
          <w:p w14:paraId="501DDC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p>
        </w:tc>
        <w:tc>
          <w:tcPr>
            <w:tcW w:w="3009" w:type="dxa"/>
            <w:tcBorders>
              <w:top w:val="nil"/>
              <w:left w:val="nil"/>
              <w:bottom w:val="single" w:sz="4" w:space="0" w:color="auto"/>
              <w:right w:val="single" w:sz="4" w:space="0" w:color="auto"/>
            </w:tcBorders>
            <w:shd w:val="clear" w:color="auto" w:fill="auto"/>
            <w:hideMark/>
          </w:tcPr>
          <w:p w14:paraId="24A5D0E6" w14:textId="2852C04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084BDB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1241C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156C140" w14:textId="0C187B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4E44B54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EF1218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383</w:t>
            </w:r>
          </w:p>
        </w:tc>
        <w:tc>
          <w:tcPr>
            <w:tcW w:w="970" w:type="dxa"/>
            <w:tcBorders>
              <w:top w:val="nil"/>
              <w:left w:val="nil"/>
              <w:bottom w:val="single" w:sz="4" w:space="0" w:color="auto"/>
              <w:right w:val="nil"/>
            </w:tcBorders>
          </w:tcPr>
          <w:p w14:paraId="23A01A4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501CCE4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22C5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5CEF3BB9" w14:textId="0083911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ype="page"/>
              <w:t xml:space="preserve">Treść uwagi: 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0D30F8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1C07C0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707A78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720A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3033CEA" w14:textId="372A89C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09D87A0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CEB173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384</w:t>
            </w:r>
          </w:p>
        </w:tc>
        <w:tc>
          <w:tcPr>
            <w:tcW w:w="970" w:type="dxa"/>
            <w:tcBorders>
              <w:top w:val="nil"/>
              <w:left w:val="nil"/>
              <w:bottom w:val="single" w:sz="4" w:space="0" w:color="auto"/>
              <w:right w:val="nil"/>
            </w:tcBorders>
          </w:tcPr>
          <w:p w14:paraId="21E6A28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7F6C19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06D3A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395B1ADD" w14:textId="46FB277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 xml:space="preserve">Treść uwagi: 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p>
        </w:tc>
        <w:tc>
          <w:tcPr>
            <w:tcW w:w="2733" w:type="dxa"/>
            <w:tcBorders>
              <w:top w:val="nil"/>
              <w:left w:val="nil"/>
              <w:bottom w:val="single" w:sz="4" w:space="0" w:color="auto"/>
              <w:right w:val="single" w:sz="4" w:space="0" w:color="auto"/>
            </w:tcBorders>
            <w:shd w:val="clear" w:color="auto" w:fill="auto"/>
            <w:hideMark/>
          </w:tcPr>
          <w:p w14:paraId="77227031" w14:textId="0C67E9F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7F36F4D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7A5B01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04A8E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74D418D" w14:textId="55D59F0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532AF98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0CDC35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385</w:t>
            </w:r>
          </w:p>
        </w:tc>
        <w:tc>
          <w:tcPr>
            <w:tcW w:w="970" w:type="dxa"/>
            <w:tcBorders>
              <w:top w:val="nil"/>
              <w:left w:val="nil"/>
              <w:bottom w:val="single" w:sz="4" w:space="0" w:color="auto"/>
              <w:right w:val="nil"/>
            </w:tcBorders>
          </w:tcPr>
          <w:p w14:paraId="00CBE34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8DB129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76588C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D3DB9D7" w14:textId="667690B4"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Streszczenie niespecjalistyczne; IIaPGW Rozdział 7, 8, 9, Presja, Cele środowiskowe, </w:t>
            </w:r>
            <w:r w:rsidRPr="0028666F">
              <w:rPr>
                <w:rFonts w:ascii="Calibri" w:eastAsia="Times New Roman" w:hAnsi="Calibri" w:cs="Calibri"/>
                <w:color w:val="000000"/>
                <w:sz w:val="18"/>
                <w:szCs w:val="18"/>
                <w:lang w:eastAsia="pl-PL"/>
              </w:rPr>
              <w:br/>
              <w:t xml:space="preserve">Treść uwagi: 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p>
        </w:tc>
        <w:tc>
          <w:tcPr>
            <w:tcW w:w="2733" w:type="dxa"/>
            <w:tcBorders>
              <w:top w:val="nil"/>
              <w:left w:val="nil"/>
              <w:bottom w:val="single" w:sz="4" w:space="0" w:color="auto"/>
              <w:right w:val="single" w:sz="4" w:space="0" w:color="auto"/>
            </w:tcBorders>
            <w:shd w:val="clear" w:color="auto" w:fill="auto"/>
            <w:hideMark/>
          </w:tcPr>
          <w:p w14:paraId="140F2022" w14:textId="4E7152A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235086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6347A7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EF265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424CF21" w14:textId="6FB4C9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5D35908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B2C5D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386</w:t>
            </w:r>
          </w:p>
        </w:tc>
        <w:tc>
          <w:tcPr>
            <w:tcW w:w="970" w:type="dxa"/>
            <w:tcBorders>
              <w:top w:val="nil"/>
              <w:left w:val="nil"/>
              <w:bottom w:val="single" w:sz="4" w:space="0" w:color="auto"/>
              <w:right w:val="nil"/>
            </w:tcBorders>
          </w:tcPr>
          <w:p w14:paraId="0F5DC71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1BAB975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0D9EA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630900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9, Postęp i wdrożenie działań 2016-2021</w:t>
            </w:r>
            <w:r w:rsidRPr="0028666F">
              <w:rPr>
                <w:rFonts w:ascii="Calibri" w:eastAsia="Times New Roman" w:hAnsi="Calibri" w:cs="Calibri"/>
                <w:color w:val="000000"/>
                <w:sz w:val="18"/>
                <w:szCs w:val="18"/>
                <w:lang w:eastAsia="pl-PL"/>
              </w:rPr>
              <w:br/>
              <w:t>Treść uwagi: 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6B74DF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p>
        </w:tc>
        <w:tc>
          <w:tcPr>
            <w:tcW w:w="3009" w:type="dxa"/>
            <w:tcBorders>
              <w:top w:val="nil"/>
              <w:left w:val="nil"/>
              <w:bottom w:val="single" w:sz="4" w:space="0" w:color="auto"/>
              <w:right w:val="single" w:sz="4" w:space="0" w:color="auto"/>
            </w:tcBorders>
            <w:shd w:val="clear" w:color="auto" w:fill="auto"/>
            <w:hideMark/>
          </w:tcPr>
          <w:p w14:paraId="7DC18B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05082C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93CC6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214A61E" w14:textId="39C8F6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0EC7038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AF7989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387</w:t>
            </w:r>
          </w:p>
        </w:tc>
        <w:tc>
          <w:tcPr>
            <w:tcW w:w="970" w:type="dxa"/>
            <w:tcBorders>
              <w:top w:val="nil"/>
              <w:left w:val="nil"/>
              <w:bottom w:val="single" w:sz="4" w:space="0" w:color="auto"/>
              <w:right w:val="nil"/>
            </w:tcBorders>
          </w:tcPr>
          <w:p w14:paraId="37A690A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0C07695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6154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17F92B90" w14:textId="39BC182A"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10, Działania 2aPGW KPRWP – raport</w:t>
            </w:r>
            <w:r w:rsidRPr="0028666F">
              <w:rPr>
                <w:rFonts w:ascii="Calibri" w:eastAsia="Times New Roman" w:hAnsi="Calibri" w:cs="Calibri"/>
                <w:color w:val="000000"/>
                <w:sz w:val="18"/>
                <w:szCs w:val="18"/>
                <w:lang w:eastAsia="pl-PL"/>
              </w:rPr>
              <w:br/>
              <w:t xml:space="preserve">Treść uwagi:  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4D090330" w14:textId="62FB18F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6DCC140A" w14:textId="2E9592A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4929A8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E204A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7D2D877" w14:textId="6CEE6CC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4A44087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E02C8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388</w:t>
            </w:r>
          </w:p>
        </w:tc>
        <w:tc>
          <w:tcPr>
            <w:tcW w:w="970" w:type="dxa"/>
            <w:tcBorders>
              <w:top w:val="nil"/>
              <w:left w:val="nil"/>
              <w:bottom w:val="single" w:sz="4" w:space="0" w:color="auto"/>
              <w:right w:val="nil"/>
            </w:tcBorders>
          </w:tcPr>
          <w:p w14:paraId="4A1873D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7208ED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714AD7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5F507704" w14:textId="72617E7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8.1. – 8.4., Art. 4.4. i 4.5. RDW</w:t>
            </w:r>
            <w:r w:rsidRPr="0028666F">
              <w:rPr>
                <w:rFonts w:ascii="Calibri" w:eastAsia="Times New Roman" w:hAnsi="Calibri" w:cs="Calibri"/>
                <w:color w:val="000000"/>
                <w:sz w:val="18"/>
                <w:szCs w:val="18"/>
                <w:lang w:eastAsia="pl-PL"/>
              </w:rPr>
              <w:br w:type="page"/>
              <w:t>Treść uwagi: 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ype="page"/>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CF2AFCB" w14:textId="3B7C37A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p>
        </w:tc>
        <w:tc>
          <w:tcPr>
            <w:tcW w:w="3009" w:type="dxa"/>
            <w:tcBorders>
              <w:top w:val="nil"/>
              <w:left w:val="nil"/>
              <w:bottom w:val="single" w:sz="4" w:space="0" w:color="auto"/>
              <w:right w:val="single" w:sz="4" w:space="0" w:color="auto"/>
            </w:tcBorders>
            <w:shd w:val="clear" w:color="auto" w:fill="auto"/>
            <w:hideMark/>
          </w:tcPr>
          <w:p w14:paraId="754EC2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9820A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CDC7F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087A2D" w14:textId="697B53F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02F4F68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F0550F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389</w:t>
            </w:r>
          </w:p>
        </w:tc>
        <w:tc>
          <w:tcPr>
            <w:tcW w:w="970" w:type="dxa"/>
            <w:tcBorders>
              <w:top w:val="nil"/>
              <w:left w:val="nil"/>
              <w:bottom w:val="single" w:sz="4" w:space="0" w:color="auto"/>
              <w:right w:val="nil"/>
            </w:tcBorders>
          </w:tcPr>
          <w:p w14:paraId="79FED84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40BB4A5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C2001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2DC50E3" w14:textId="6BEFF2A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7917D2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21E528A3" w14:textId="1615C61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6F54B7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00BC6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ECFBF90" w14:textId="220D9B8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46A8849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A2F67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390</w:t>
            </w:r>
          </w:p>
        </w:tc>
        <w:tc>
          <w:tcPr>
            <w:tcW w:w="970" w:type="dxa"/>
            <w:tcBorders>
              <w:top w:val="nil"/>
              <w:left w:val="nil"/>
              <w:bottom w:val="single" w:sz="4" w:space="0" w:color="auto"/>
              <w:right w:val="nil"/>
            </w:tcBorders>
          </w:tcPr>
          <w:p w14:paraId="28D5B6A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29CE095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0484A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505ADE58"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16, Zał. 6 </w:t>
            </w:r>
            <w:r w:rsidRPr="0028666F">
              <w:rPr>
                <w:rFonts w:ascii="Calibri" w:eastAsia="Times New Roman" w:hAnsi="Calibri" w:cs="Calibri"/>
                <w:color w:val="000000"/>
                <w:sz w:val="18"/>
                <w:szCs w:val="18"/>
                <w:lang w:eastAsia="pl-PL"/>
              </w:rPr>
              <w:br/>
              <w:t xml:space="preserve">Treść uwagi: 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p>
        </w:tc>
        <w:tc>
          <w:tcPr>
            <w:tcW w:w="2733" w:type="dxa"/>
            <w:tcBorders>
              <w:top w:val="nil"/>
              <w:left w:val="nil"/>
              <w:bottom w:val="single" w:sz="4" w:space="0" w:color="auto"/>
              <w:right w:val="single" w:sz="4" w:space="0" w:color="auto"/>
            </w:tcBorders>
            <w:shd w:val="clear" w:color="auto" w:fill="auto"/>
            <w:hideMark/>
          </w:tcPr>
          <w:p w14:paraId="4910A9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1F4114DE"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1ECA40B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020C1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3A89D55" w14:textId="4AE9F68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30DDCDC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9F3965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391</w:t>
            </w:r>
          </w:p>
        </w:tc>
        <w:tc>
          <w:tcPr>
            <w:tcW w:w="970" w:type="dxa"/>
            <w:tcBorders>
              <w:top w:val="nil"/>
              <w:left w:val="nil"/>
              <w:bottom w:val="single" w:sz="4" w:space="0" w:color="auto"/>
              <w:right w:val="nil"/>
            </w:tcBorders>
          </w:tcPr>
          <w:p w14:paraId="20DB0FE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0EFEB0C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D130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3385639" w14:textId="6EF6B453"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Katalogi działań</w:t>
            </w:r>
            <w:r w:rsidRPr="0028666F">
              <w:rPr>
                <w:rFonts w:ascii="Calibri" w:eastAsia="Times New Roman" w:hAnsi="Calibri" w:cs="Calibri"/>
                <w:color w:val="000000"/>
                <w:sz w:val="18"/>
                <w:szCs w:val="18"/>
                <w:lang w:eastAsia="pl-PL"/>
              </w:rPr>
              <w:br/>
              <w:t>Treść uwagi: 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2733" w:type="dxa"/>
            <w:tcBorders>
              <w:top w:val="nil"/>
              <w:left w:val="nil"/>
              <w:bottom w:val="single" w:sz="4" w:space="0" w:color="auto"/>
              <w:right w:val="single" w:sz="4" w:space="0" w:color="auto"/>
            </w:tcBorders>
            <w:shd w:val="clear" w:color="auto" w:fill="auto"/>
            <w:hideMark/>
          </w:tcPr>
          <w:p w14:paraId="2350694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5EE489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720" w:type="dxa"/>
            <w:tcBorders>
              <w:top w:val="nil"/>
              <w:left w:val="nil"/>
              <w:bottom w:val="single" w:sz="4" w:space="0" w:color="auto"/>
              <w:right w:val="single" w:sz="4" w:space="0" w:color="auto"/>
            </w:tcBorders>
            <w:shd w:val="clear" w:color="000000" w:fill="FFFFFF"/>
            <w:hideMark/>
          </w:tcPr>
          <w:p w14:paraId="00759B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AD4E5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147D95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1AF2814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82D446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392</w:t>
            </w:r>
          </w:p>
        </w:tc>
        <w:tc>
          <w:tcPr>
            <w:tcW w:w="970" w:type="dxa"/>
            <w:tcBorders>
              <w:top w:val="nil"/>
              <w:left w:val="nil"/>
              <w:bottom w:val="single" w:sz="4" w:space="0" w:color="auto"/>
              <w:right w:val="nil"/>
            </w:tcBorders>
          </w:tcPr>
          <w:p w14:paraId="0BA62B3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00D3AF6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3FBAEA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968CA2F" w14:textId="4D04B29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barier migracyjnych</w:t>
            </w:r>
            <w:r w:rsidRPr="0028666F">
              <w:rPr>
                <w:rFonts w:ascii="Calibri" w:eastAsia="Times New Roman" w:hAnsi="Calibri" w:cs="Calibri"/>
                <w:color w:val="000000"/>
                <w:sz w:val="18"/>
                <w:szCs w:val="18"/>
                <w:lang w:eastAsia="pl-PL"/>
              </w:rPr>
              <w:br/>
              <w:t>Treść uwagi: 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442160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F75E5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78E0AB8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E20BC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8F004BD" w14:textId="4A83451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2019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aktualne wyniki z monitoringu GIOŚ z 2020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6D10A45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455761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393</w:t>
            </w:r>
          </w:p>
        </w:tc>
        <w:tc>
          <w:tcPr>
            <w:tcW w:w="970" w:type="dxa"/>
            <w:tcBorders>
              <w:top w:val="nil"/>
              <w:left w:val="nil"/>
              <w:bottom w:val="single" w:sz="4" w:space="0" w:color="auto"/>
              <w:right w:val="nil"/>
            </w:tcBorders>
          </w:tcPr>
          <w:p w14:paraId="3DA094F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547FB98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2FE065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6458F85" w14:textId="0CB782C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Działania -udrożnienia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ype="page"/>
              <w:t>Treść uwagi: 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Rzeka Grabia, obszar Natura 2000 "Grabia" PLH100021</w:t>
            </w:r>
            <w:r w:rsidRPr="0028666F">
              <w:rPr>
                <w:rFonts w:ascii="Calibri" w:eastAsia="Times New Roman" w:hAnsi="Calibri" w:cs="Calibri"/>
                <w:color w:val="000000"/>
                <w:sz w:val="18"/>
                <w:szCs w:val="18"/>
                <w:lang w:eastAsia="pl-PL"/>
              </w:rPr>
              <w:br w:type="page"/>
              <w:t>Wpis z PZO z 2014 (w zmianie PZO z 2018 też):</w:t>
            </w:r>
            <w:r w:rsidRPr="0028666F">
              <w:rPr>
                <w:rFonts w:ascii="Calibri" w:eastAsia="Times New Roman" w:hAnsi="Calibri" w:cs="Calibri"/>
                <w:color w:val="000000"/>
                <w:sz w:val="18"/>
                <w:szCs w:val="18"/>
                <w:lang w:eastAsia="pl-PL"/>
              </w:rPr>
              <w:br w:type="page"/>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ype="page"/>
              <w:t>dla ryb.</w:t>
            </w:r>
            <w:r w:rsidRPr="0028666F">
              <w:rPr>
                <w:rFonts w:ascii="Calibri" w:eastAsia="Times New Roman" w:hAnsi="Calibri" w:cs="Calibri"/>
                <w:color w:val="000000"/>
                <w:sz w:val="18"/>
                <w:szCs w:val="18"/>
                <w:lang w:eastAsia="pl-PL"/>
              </w:rPr>
              <w:br w:type="page"/>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ype="page"/>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Kotlina Kłodzka</w:t>
            </w:r>
            <w:r w:rsidRPr="0028666F">
              <w:rPr>
                <w:rFonts w:ascii="Calibri" w:eastAsia="Times New Roman" w:hAnsi="Calibri" w:cs="Calibri"/>
                <w:color w:val="000000"/>
                <w:sz w:val="18"/>
                <w:szCs w:val="18"/>
                <w:lang w:eastAsia="pl-PL"/>
              </w:rPr>
              <w:br w:type="page"/>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Gwda</w:t>
            </w:r>
            <w:r w:rsidRPr="0028666F">
              <w:rPr>
                <w:rFonts w:ascii="Calibri" w:eastAsia="Times New Roman" w:hAnsi="Calibri" w:cs="Calibri"/>
                <w:color w:val="000000"/>
                <w:sz w:val="18"/>
                <w:szCs w:val="18"/>
                <w:lang w:eastAsia="pl-PL"/>
              </w:rPr>
              <w:br w:type="page"/>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ype="page"/>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Zbiorniki zaporowe - Jeziorsko</w:t>
            </w:r>
            <w:r w:rsidRPr="0028666F">
              <w:rPr>
                <w:rFonts w:ascii="Calibri" w:eastAsia="Times New Roman" w:hAnsi="Calibri" w:cs="Calibri"/>
                <w:color w:val="000000"/>
                <w:sz w:val="18"/>
                <w:szCs w:val="18"/>
                <w:lang w:eastAsia="pl-PL"/>
              </w:rPr>
              <w:br w:type="page"/>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Stara Rega – piętrzenie nr 451</w:t>
            </w:r>
            <w:r w:rsidRPr="0028666F">
              <w:rPr>
                <w:rFonts w:ascii="Calibri" w:eastAsia="Times New Roman" w:hAnsi="Calibri" w:cs="Calibri"/>
                <w:color w:val="000000"/>
                <w:sz w:val="18"/>
                <w:szCs w:val="18"/>
                <w:lang w:eastAsia="pl-PL"/>
              </w:rPr>
              <w:br w:type="page"/>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Ukleja – piętrzenie nr 397</w:t>
            </w:r>
            <w:r w:rsidRPr="0028666F">
              <w:rPr>
                <w:rFonts w:ascii="Calibri" w:eastAsia="Times New Roman" w:hAnsi="Calibri" w:cs="Calibri"/>
                <w:color w:val="000000"/>
                <w:sz w:val="18"/>
                <w:szCs w:val="18"/>
                <w:lang w:eastAsia="pl-PL"/>
              </w:rPr>
              <w:br w:type="page"/>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59FB4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Uzupełnić działania inwestycyjne   według wymagań dla ryb (kolumny – X-AD w zał. 4 „erraty”).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Udrożnić dla ryb zaporę Zb. Jeziorsko odcinającą całą górna zlewnię Warty.</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AD62A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353B63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5AA1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9E26385" w14:textId="65FB698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ype="page"/>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ype="page"/>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ype="page"/>
              <w:t>Nazwa działania: Monitoring skuteczności istniejących urządzeń do migracji ryb.</w:t>
            </w:r>
            <w:r w:rsidRPr="0028666F">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ype="page"/>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694E460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7D218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394</w:t>
            </w:r>
          </w:p>
        </w:tc>
        <w:tc>
          <w:tcPr>
            <w:tcW w:w="970" w:type="dxa"/>
            <w:tcBorders>
              <w:top w:val="nil"/>
              <w:left w:val="nil"/>
              <w:bottom w:val="single" w:sz="4" w:space="0" w:color="auto"/>
              <w:right w:val="nil"/>
            </w:tcBorders>
          </w:tcPr>
          <w:p w14:paraId="057B166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5E180EC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FC48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86CBC8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 ODBUDOWA PIĘTRZEŃ</w:t>
            </w:r>
            <w:r w:rsidRPr="0028666F">
              <w:rPr>
                <w:rFonts w:ascii="Calibri" w:eastAsia="Times New Roman" w:hAnsi="Calibri" w:cs="Calibri"/>
                <w:color w:val="000000"/>
                <w:sz w:val="18"/>
                <w:szCs w:val="18"/>
                <w:lang w:eastAsia="pl-PL"/>
              </w:rPr>
              <w:br/>
              <w:t>Treść uwagi: 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7E897BD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p>
        </w:tc>
        <w:tc>
          <w:tcPr>
            <w:tcW w:w="3009" w:type="dxa"/>
            <w:tcBorders>
              <w:top w:val="nil"/>
              <w:left w:val="nil"/>
              <w:bottom w:val="single" w:sz="4" w:space="0" w:color="auto"/>
              <w:right w:val="single" w:sz="4" w:space="0" w:color="auto"/>
            </w:tcBorders>
            <w:shd w:val="clear" w:color="auto" w:fill="auto"/>
            <w:hideMark/>
          </w:tcPr>
          <w:p w14:paraId="7B6161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61DE40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66CC2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357BCC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41FD2A5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AE0C06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395</w:t>
            </w:r>
          </w:p>
        </w:tc>
        <w:tc>
          <w:tcPr>
            <w:tcW w:w="970" w:type="dxa"/>
            <w:tcBorders>
              <w:top w:val="nil"/>
              <w:left w:val="nil"/>
              <w:bottom w:val="single" w:sz="4" w:space="0" w:color="auto"/>
              <w:right w:val="nil"/>
            </w:tcBorders>
          </w:tcPr>
          <w:p w14:paraId="1B41E4B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49EF39D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8A90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3E680D4" w14:textId="5DF6F6C4"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prawne i administracyjne</w:t>
            </w:r>
            <w:r w:rsidRPr="0028666F">
              <w:rPr>
                <w:rFonts w:ascii="Calibri" w:eastAsia="Times New Roman" w:hAnsi="Calibri" w:cs="Calibri"/>
                <w:color w:val="000000"/>
                <w:sz w:val="18"/>
                <w:szCs w:val="18"/>
                <w:lang w:eastAsia="pl-PL"/>
              </w:rPr>
              <w:br/>
              <w:t xml:space="preserve">Treść uwagi: 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4CE92F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28DB2C01" w14:textId="62EA4C7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7B33F1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2B5BB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0EEBE08" w14:textId="5489D08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67B694E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84E725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396</w:t>
            </w:r>
          </w:p>
        </w:tc>
        <w:tc>
          <w:tcPr>
            <w:tcW w:w="970" w:type="dxa"/>
            <w:tcBorders>
              <w:top w:val="nil"/>
              <w:left w:val="nil"/>
              <w:bottom w:val="single" w:sz="4" w:space="0" w:color="auto"/>
              <w:right w:val="nil"/>
            </w:tcBorders>
          </w:tcPr>
          <w:p w14:paraId="648493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4D17813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9C476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110E7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Zmiany w ocenie postępu działań – co 2 lata </w:t>
            </w:r>
            <w:r w:rsidRPr="0028666F">
              <w:rPr>
                <w:rFonts w:ascii="Calibri" w:eastAsia="Times New Roman" w:hAnsi="Calibri" w:cs="Calibri"/>
                <w:color w:val="000000"/>
                <w:sz w:val="18"/>
                <w:szCs w:val="18"/>
                <w:lang w:eastAsia="pl-PL"/>
              </w:rPr>
              <w:br/>
              <w:t>Treść uwagi: W przypadku budowli do udrożnienia, dla których nie sporządzono dokumentacji, powinny być ustalone następujące maksymalne terminy do oceny postępu działań: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20887D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2F456E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15BA78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DBB7DB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CD1CD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31150D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27AFA5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397</w:t>
            </w:r>
          </w:p>
        </w:tc>
        <w:tc>
          <w:tcPr>
            <w:tcW w:w="970" w:type="dxa"/>
            <w:tcBorders>
              <w:top w:val="nil"/>
              <w:left w:val="nil"/>
              <w:bottom w:val="single" w:sz="4" w:space="0" w:color="auto"/>
              <w:right w:val="nil"/>
            </w:tcBorders>
          </w:tcPr>
          <w:p w14:paraId="22E2E40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755397A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2ED75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ABCB5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w funkcjonowaniu zarządzania wód</w:t>
            </w:r>
            <w:r w:rsidRPr="0028666F">
              <w:rPr>
                <w:rFonts w:ascii="Calibri" w:eastAsia="Times New Roman" w:hAnsi="Calibri" w:cs="Calibri"/>
                <w:color w:val="000000"/>
                <w:sz w:val="18"/>
                <w:szCs w:val="18"/>
                <w:lang w:eastAsia="pl-PL"/>
              </w:rPr>
              <w:br/>
              <w:t>Treść uwagi: 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04797628" w14:textId="4BFB69B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42B6A13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735490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3E3B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475AA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025E9FD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FA345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398</w:t>
            </w:r>
          </w:p>
        </w:tc>
        <w:tc>
          <w:tcPr>
            <w:tcW w:w="970" w:type="dxa"/>
            <w:tcBorders>
              <w:top w:val="nil"/>
              <w:left w:val="nil"/>
              <w:bottom w:val="single" w:sz="4" w:space="0" w:color="auto"/>
              <w:right w:val="nil"/>
            </w:tcBorders>
          </w:tcPr>
          <w:p w14:paraId="05A3AC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Stepnicka Organizacja Turystyczna Nie Tylko Dla Orłów</w:t>
            </w:r>
          </w:p>
        </w:tc>
        <w:tc>
          <w:tcPr>
            <w:tcW w:w="165" w:type="dxa"/>
            <w:tcBorders>
              <w:top w:val="nil"/>
              <w:left w:val="nil"/>
              <w:bottom w:val="single" w:sz="4" w:space="0" w:color="auto"/>
              <w:right w:val="single" w:sz="4" w:space="0" w:color="auto"/>
            </w:tcBorders>
            <w:shd w:val="clear" w:color="auto" w:fill="auto"/>
          </w:tcPr>
          <w:p w14:paraId="7310CF4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6EBBE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CE84B4C" w14:textId="7552629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Konkretne zmiany prawne</w:t>
            </w:r>
            <w:r w:rsidRPr="0028666F">
              <w:rPr>
                <w:rFonts w:ascii="Calibri" w:eastAsia="Times New Roman" w:hAnsi="Calibri" w:cs="Calibri"/>
                <w:color w:val="000000"/>
                <w:sz w:val="18"/>
                <w:szCs w:val="18"/>
                <w:lang w:eastAsia="pl-PL"/>
              </w:rPr>
              <w:br w:type="page"/>
              <w:t>Treść uwagi: 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ype="page"/>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ype="page"/>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769DA5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8EBF2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EBCD3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D13D5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E7C433" w14:textId="7156F3F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02A554B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2791C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399</w:t>
            </w:r>
          </w:p>
        </w:tc>
        <w:tc>
          <w:tcPr>
            <w:tcW w:w="970" w:type="dxa"/>
            <w:tcBorders>
              <w:top w:val="nil"/>
              <w:left w:val="nil"/>
              <w:bottom w:val="single" w:sz="4" w:space="0" w:color="auto"/>
              <w:right w:val="nil"/>
            </w:tcBorders>
          </w:tcPr>
          <w:p w14:paraId="200FD3B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1A38DC5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26A3D9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0C99B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chaos</w:t>
            </w:r>
          </w:p>
        </w:tc>
        <w:tc>
          <w:tcPr>
            <w:tcW w:w="2733" w:type="dxa"/>
            <w:tcBorders>
              <w:top w:val="nil"/>
              <w:left w:val="nil"/>
              <w:bottom w:val="single" w:sz="4" w:space="0" w:color="auto"/>
              <w:right w:val="single" w:sz="4" w:space="0" w:color="auto"/>
            </w:tcBorders>
            <w:shd w:val="clear" w:color="auto" w:fill="auto"/>
            <w:hideMark/>
          </w:tcPr>
          <w:p w14:paraId="2171A2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1F79E2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220239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A58EA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0164D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1E7C146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BAFF5E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400</w:t>
            </w:r>
          </w:p>
        </w:tc>
        <w:tc>
          <w:tcPr>
            <w:tcW w:w="970" w:type="dxa"/>
            <w:tcBorders>
              <w:top w:val="nil"/>
              <w:left w:val="nil"/>
              <w:bottom w:val="single" w:sz="4" w:space="0" w:color="auto"/>
              <w:right w:val="nil"/>
            </w:tcBorders>
          </w:tcPr>
          <w:p w14:paraId="487A723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1C7BC4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3330D8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89A16D4" w14:textId="3C69520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2733" w:type="dxa"/>
            <w:tcBorders>
              <w:top w:val="nil"/>
              <w:left w:val="nil"/>
              <w:bottom w:val="single" w:sz="4" w:space="0" w:color="auto"/>
              <w:right w:val="single" w:sz="4" w:space="0" w:color="auto"/>
            </w:tcBorders>
            <w:shd w:val="clear" w:color="auto" w:fill="auto"/>
            <w:hideMark/>
          </w:tcPr>
          <w:p w14:paraId="7A6AC4B7" w14:textId="3DA100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6D098A6D" w14:textId="0C492D7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221071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BEACF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A29BE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w:t>
            </w:r>
          </w:p>
        </w:tc>
      </w:tr>
      <w:tr w:rsidR="007C2B40" w:rsidRPr="0028666F" w14:paraId="3724041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285A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401</w:t>
            </w:r>
          </w:p>
        </w:tc>
        <w:tc>
          <w:tcPr>
            <w:tcW w:w="970" w:type="dxa"/>
            <w:tcBorders>
              <w:top w:val="nil"/>
              <w:left w:val="nil"/>
              <w:bottom w:val="single" w:sz="4" w:space="0" w:color="auto"/>
              <w:right w:val="nil"/>
            </w:tcBorders>
          </w:tcPr>
          <w:p w14:paraId="3C242C6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52C9223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932A9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779477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2733" w:type="dxa"/>
            <w:tcBorders>
              <w:top w:val="nil"/>
              <w:left w:val="nil"/>
              <w:bottom w:val="single" w:sz="4" w:space="0" w:color="auto"/>
              <w:right w:val="single" w:sz="4" w:space="0" w:color="auto"/>
            </w:tcBorders>
            <w:shd w:val="clear" w:color="auto" w:fill="auto"/>
            <w:hideMark/>
          </w:tcPr>
          <w:p w14:paraId="15B00B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1DC35A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6A8026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1415D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9C88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2CE8065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BBE0EC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402</w:t>
            </w:r>
          </w:p>
        </w:tc>
        <w:tc>
          <w:tcPr>
            <w:tcW w:w="970" w:type="dxa"/>
            <w:tcBorders>
              <w:top w:val="nil"/>
              <w:left w:val="nil"/>
              <w:bottom w:val="single" w:sz="4" w:space="0" w:color="auto"/>
              <w:right w:val="nil"/>
            </w:tcBorders>
          </w:tcPr>
          <w:p w14:paraId="454A682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528B458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F6912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52B41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formularz</w:t>
            </w:r>
          </w:p>
        </w:tc>
        <w:tc>
          <w:tcPr>
            <w:tcW w:w="2733" w:type="dxa"/>
            <w:tcBorders>
              <w:top w:val="nil"/>
              <w:left w:val="nil"/>
              <w:bottom w:val="single" w:sz="4" w:space="0" w:color="auto"/>
              <w:right w:val="single" w:sz="4" w:space="0" w:color="auto"/>
            </w:tcBorders>
            <w:shd w:val="clear" w:color="auto" w:fill="auto"/>
            <w:hideMark/>
          </w:tcPr>
          <w:p w14:paraId="477C145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7E25A6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057236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AB36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84728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7C2B40" w:rsidRPr="0028666F" w14:paraId="2981CD8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C49134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403</w:t>
            </w:r>
          </w:p>
        </w:tc>
        <w:tc>
          <w:tcPr>
            <w:tcW w:w="970" w:type="dxa"/>
            <w:tcBorders>
              <w:top w:val="nil"/>
              <w:left w:val="nil"/>
              <w:bottom w:val="single" w:sz="4" w:space="0" w:color="auto"/>
              <w:right w:val="nil"/>
            </w:tcBorders>
          </w:tcPr>
          <w:p w14:paraId="7A75371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7DCEBB2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EEEACB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56407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2733" w:type="dxa"/>
            <w:tcBorders>
              <w:top w:val="nil"/>
              <w:left w:val="nil"/>
              <w:bottom w:val="single" w:sz="4" w:space="0" w:color="auto"/>
              <w:right w:val="single" w:sz="4" w:space="0" w:color="auto"/>
            </w:tcBorders>
            <w:shd w:val="clear" w:color="auto" w:fill="auto"/>
            <w:hideMark/>
          </w:tcPr>
          <w:p w14:paraId="0978D85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7C101A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0C386F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81E68E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1AB73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02A178F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3B67C6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404</w:t>
            </w:r>
          </w:p>
        </w:tc>
        <w:tc>
          <w:tcPr>
            <w:tcW w:w="970" w:type="dxa"/>
            <w:tcBorders>
              <w:top w:val="nil"/>
              <w:left w:val="nil"/>
              <w:bottom w:val="single" w:sz="4" w:space="0" w:color="auto"/>
              <w:right w:val="nil"/>
            </w:tcBorders>
          </w:tcPr>
          <w:p w14:paraId="3AD03DE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61E3E51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ED88E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54D43B7A" w14:textId="397E412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CFAA862" w14:textId="45CBD9F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71ABB79" w14:textId="1FE53DD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079705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7AE38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1B11C90" w14:textId="55C007D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2F46DD9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7AA352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405</w:t>
            </w:r>
          </w:p>
        </w:tc>
        <w:tc>
          <w:tcPr>
            <w:tcW w:w="970" w:type="dxa"/>
            <w:tcBorders>
              <w:top w:val="nil"/>
              <w:left w:val="nil"/>
              <w:bottom w:val="single" w:sz="4" w:space="0" w:color="auto"/>
              <w:right w:val="nil"/>
            </w:tcBorders>
          </w:tcPr>
          <w:p w14:paraId="27C539E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544C36D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AE0ECD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1EB9F71" w14:textId="48E3D6B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w:t>
            </w:r>
            <w:r w:rsidRPr="0028666F">
              <w:rPr>
                <w:rFonts w:ascii="Calibri" w:eastAsia="Times New Roman" w:hAnsi="Calibri" w:cs="Calibri"/>
                <w:color w:val="000000"/>
                <w:sz w:val="18"/>
                <w:szCs w:val="18"/>
                <w:lang w:eastAsia="pl-PL"/>
              </w:rPr>
              <w:br/>
              <w:t>Rozdz. 3, 5.1. oraz 8.1., Zał. 3.1. oraz 8. , Zał. mapowe</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750A4FD" w14:textId="4A2A34C3"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6BD67053" w14:textId="6A2EDC8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1CA0081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262BE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3AFE9E" w14:textId="713DE75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565B0CE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CAF12A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406</w:t>
            </w:r>
          </w:p>
        </w:tc>
        <w:tc>
          <w:tcPr>
            <w:tcW w:w="970" w:type="dxa"/>
            <w:tcBorders>
              <w:top w:val="nil"/>
              <w:left w:val="nil"/>
              <w:bottom w:val="single" w:sz="4" w:space="0" w:color="auto"/>
              <w:right w:val="nil"/>
            </w:tcBorders>
          </w:tcPr>
          <w:p w14:paraId="736AE6E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672A31F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8CCCF17" w14:textId="3C019A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44317BD3" w14:textId="089621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396818A8" w14:textId="0E1A631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6986B8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04FAE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E468E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499ABA7" w14:textId="4783B66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723D332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E0B78B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407</w:t>
            </w:r>
          </w:p>
        </w:tc>
        <w:tc>
          <w:tcPr>
            <w:tcW w:w="970" w:type="dxa"/>
            <w:tcBorders>
              <w:top w:val="nil"/>
              <w:left w:val="nil"/>
              <w:bottom w:val="single" w:sz="4" w:space="0" w:color="auto"/>
              <w:right w:val="nil"/>
            </w:tcBorders>
          </w:tcPr>
          <w:p w14:paraId="19242E6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1C13DD7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122CCE2" w14:textId="627765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6F1AC09B" w14:textId="26D0E83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705BF796" w14:textId="32F910D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13362A4F" w14:textId="2506C3D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2001D3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0B202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2DC2326" w14:textId="6DF71A4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2346A2E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0DF8BE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408</w:t>
            </w:r>
          </w:p>
        </w:tc>
        <w:tc>
          <w:tcPr>
            <w:tcW w:w="970" w:type="dxa"/>
            <w:tcBorders>
              <w:top w:val="nil"/>
              <w:left w:val="nil"/>
              <w:bottom w:val="single" w:sz="4" w:space="0" w:color="auto"/>
              <w:right w:val="nil"/>
            </w:tcBorders>
          </w:tcPr>
          <w:p w14:paraId="0B064E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0BF764E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CE5AAFC" w14:textId="329DB51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01DD5593" w14:textId="4EA2643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28666F">
              <w:rPr>
                <w:rFonts w:ascii="Calibri" w:eastAsia="Times New Roman" w:hAnsi="Calibri" w:cs="Calibri"/>
                <w:color w:val="000000"/>
                <w:sz w:val="18"/>
                <w:szCs w:val="18"/>
                <w:lang w:eastAsia="pl-PL"/>
              </w:rPr>
              <w:br/>
              <w:t>Wyznaczenie SZCW niezgodnie z metodyką</w:t>
            </w:r>
          </w:p>
        </w:tc>
        <w:tc>
          <w:tcPr>
            <w:tcW w:w="2733" w:type="dxa"/>
            <w:tcBorders>
              <w:top w:val="nil"/>
              <w:left w:val="nil"/>
              <w:bottom w:val="single" w:sz="4" w:space="0" w:color="auto"/>
              <w:right w:val="single" w:sz="4" w:space="0" w:color="auto"/>
            </w:tcBorders>
            <w:shd w:val="clear" w:color="auto" w:fill="auto"/>
            <w:hideMark/>
          </w:tcPr>
          <w:p w14:paraId="23289B9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67E558ED" w14:textId="62FE21A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64917C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C7446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C0B759" w14:textId="648C98C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0D2B63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7E556E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409</w:t>
            </w:r>
          </w:p>
        </w:tc>
        <w:tc>
          <w:tcPr>
            <w:tcW w:w="970" w:type="dxa"/>
            <w:tcBorders>
              <w:top w:val="nil"/>
              <w:left w:val="nil"/>
              <w:bottom w:val="single" w:sz="4" w:space="0" w:color="auto"/>
              <w:right w:val="nil"/>
            </w:tcBorders>
          </w:tcPr>
          <w:p w14:paraId="6442EE7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76C27D2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E4837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5373FD1B" w14:textId="05A4A68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Rozdz. 5 Monitoring</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3C1CE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5D18E85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1F971D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35504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F90481D" w14:textId="67C642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75EFF5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4A6ECF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410</w:t>
            </w:r>
          </w:p>
        </w:tc>
        <w:tc>
          <w:tcPr>
            <w:tcW w:w="970" w:type="dxa"/>
            <w:tcBorders>
              <w:top w:val="nil"/>
              <w:left w:val="nil"/>
              <w:bottom w:val="single" w:sz="4" w:space="0" w:color="auto"/>
              <w:right w:val="nil"/>
            </w:tcBorders>
          </w:tcPr>
          <w:p w14:paraId="22DECC8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585A15D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0594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820DA2F" w14:textId="53EB593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ogólna</w:t>
            </w:r>
            <w:r w:rsidRPr="0028666F">
              <w:rPr>
                <w:rFonts w:ascii="Calibri" w:eastAsia="Times New Roman" w:hAnsi="Calibri" w:cs="Calibri"/>
                <w:color w:val="000000"/>
                <w:sz w:val="18"/>
                <w:szCs w:val="18"/>
                <w:lang w:eastAsia="pl-PL"/>
              </w:rPr>
              <w:br/>
              <w:t xml:space="preserve">Treść uwagi: 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7F5F2BA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011B1C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082EE0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96326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BBDA8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4C64960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99A56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411</w:t>
            </w:r>
          </w:p>
        </w:tc>
        <w:tc>
          <w:tcPr>
            <w:tcW w:w="970" w:type="dxa"/>
            <w:tcBorders>
              <w:top w:val="nil"/>
              <w:left w:val="nil"/>
              <w:bottom w:val="single" w:sz="4" w:space="0" w:color="auto"/>
              <w:right w:val="nil"/>
            </w:tcBorders>
          </w:tcPr>
          <w:p w14:paraId="4E6C4A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B6EF1F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A4457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0AE0CF57" w14:textId="6090107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w:t>
            </w:r>
            <w:r w:rsidRPr="0028666F">
              <w:rPr>
                <w:rFonts w:ascii="Calibri" w:eastAsia="Times New Roman" w:hAnsi="Calibri" w:cs="Calibri"/>
                <w:color w:val="000000"/>
                <w:sz w:val="18"/>
                <w:szCs w:val="18"/>
                <w:lang w:eastAsia="pl-PL"/>
              </w:rPr>
              <w:br/>
              <w:t>Monitoring</w:t>
            </w:r>
          </w:p>
        </w:tc>
        <w:tc>
          <w:tcPr>
            <w:tcW w:w="2733" w:type="dxa"/>
            <w:tcBorders>
              <w:top w:val="nil"/>
              <w:left w:val="nil"/>
              <w:bottom w:val="single" w:sz="4" w:space="0" w:color="auto"/>
              <w:right w:val="single" w:sz="4" w:space="0" w:color="auto"/>
            </w:tcBorders>
            <w:shd w:val="clear" w:color="auto" w:fill="auto"/>
            <w:hideMark/>
          </w:tcPr>
          <w:p w14:paraId="6D7EF8C5" w14:textId="31C359A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3B1A98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065189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216B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A1D2D6D" w14:textId="3B00C6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2C5D3BB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9DB567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412</w:t>
            </w:r>
          </w:p>
        </w:tc>
        <w:tc>
          <w:tcPr>
            <w:tcW w:w="970" w:type="dxa"/>
            <w:tcBorders>
              <w:top w:val="nil"/>
              <w:left w:val="nil"/>
              <w:bottom w:val="single" w:sz="4" w:space="0" w:color="auto"/>
              <w:right w:val="nil"/>
            </w:tcBorders>
          </w:tcPr>
          <w:p w14:paraId="7E91E71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E5BCDA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2ED47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3D24174" w14:textId="32FFB25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t xml:space="preserve">Treść uwagi: 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2733" w:type="dxa"/>
            <w:tcBorders>
              <w:top w:val="nil"/>
              <w:left w:val="nil"/>
              <w:bottom w:val="single" w:sz="4" w:space="0" w:color="auto"/>
              <w:right w:val="single" w:sz="4" w:space="0" w:color="auto"/>
            </w:tcBorders>
            <w:shd w:val="clear" w:color="auto" w:fill="auto"/>
            <w:hideMark/>
          </w:tcPr>
          <w:p w14:paraId="7425E0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6C2719A9"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331069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7B7854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68020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27C6A16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FC908C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413</w:t>
            </w:r>
          </w:p>
        </w:tc>
        <w:tc>
          <w:tcPr>
            <w:tcW w:w="970" w:type="dxa"/>
            <w:tcBorders>
              <w:top w:val="nil"/>
              <w:left w:val="nil"/>
              <w:bottom w:val="single" w:sz="4" w:space="0" w:color="auto"/>
              <w:right w:val="nil"/>
            </w:tcBorders>
          </w:tcPr>
          <w:p w14:paraId="2E630C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8DF3E7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76BD8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1F4D85B5" w14:textId="4560FAD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28666F">
              <w:rPr>
                <w:rFonts w:ascii="Calibri" w:eastAsia="Times New Roman" w:hAnsi="Calibri" w:cs="Calibri"/>
                <w:color w:val="000000"/>
                <w:sz w:val="18"/>
                <w:szCs w:val="18"/>
                <w:lang w:eastAsia="pl-PL"/>
              </w:rPr>
              <w:br/>
              <w:t xml:space="preserve">Presja, Cele środowiskowe, </w:t>
            </w:r>
          </w:p>
        </w:tc>
        <w:tc>
          <w:tcPr>
            <w:tcW w:w="2733" w:type="dxa"/>
            <w:tcBorders>
              <w:top w:val="nil"/>
              <w:left w:val="nil"/>
              <w:bottom w:val="single" w:sz="4" w:space="0" w:color="auto"/>
              <w:right w:val="single" w:sz="4" w:space="0" w:color="auto"/>
            </w:tcBorders>
            <w:shd w:val="clear" w:color="auto" w:fill="auto"/>
            <w:hideMark/>
          </w:tcPr>
          <w:p w14:paraId="7C0F2FB1" w14:textId="5E82CD68"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6DA589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0291D7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006D7B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18EA117" w14:textId="4012363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5202C0D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A2AF98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414</w:t>
            </w:r>
          </w:p>
        </w:tc>
        <w:tc>
          <w:tcPr>
            <w:tcW w:w="970" w:type="dxa"/>
            <w:tcBorders>
              <w:top w:val="nil"/>
              <w:left w:val="nil"/>
              <w:bottom w:val="single" w:sz="4" w:space="0" w:color="auto"/>
              <w:right w:val="nil"/>
            </w:tcBorders>
          </w:tcPr>
          <w:p w14:paraId="2DB2CB3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3F29DDE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432F59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720428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9 </w:t>
            </w:r>
            <w:r w:rsidRPr="0028666F">
              <w:rPr>
                <w:rFonts w:ascii="Calibri" w:eastAsia="Times New Roman" w:hAnsi="Calibri" w:cs="Calibri"/>
                <w:color w:val="000000"/>
                <w:sz w:val="18"/>
                <w:szCs w:val="18"/>
                <w:lang w:eastAsia="pl-PL"/>
              </w:rPr>
              <w:br w:type="page"/>
              <w:t>Postęp i wdrożenie działań 2016-2021</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4A4BC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ED16E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238895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9EDF56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8ED487D" w14:textId="6AAA36C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7C2B40" w:rsidRPr="0028666F" w14:paraId="6228EC9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EAD0BB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415</w:t>
            </w:r>
          </w:p>
        </w:tc>
        <w:tc>
          <w:tcPr>
            <w:tcW w:w="970" w:type="dxa"/>
            <w:tcBorders>
              <w:top w:val="nil"/>
              <w:left w:val="nil"/>
              <w:bottom w:val="single" w:sz="4" w:space="0" w:color="auto"/>
              <w:right w:val="nil"/>
            </w:tcBorders>
          </w:tcPr>
          <w:p w14:paraId="5FA73EE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E23F79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4DDF1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418CB4C4" w14:textId="6B2A9DB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28666F">
              <w:rPr>
                <w:rFonts w:ascii="Calibri" w:eastAsia="Times New Roman" w:hAnsi="Calibri" w:cs="Calibri"/>
                <w:color w:val="000000"/>
                <w:sz w:val="18"/>
                <w:szCs w:val="18"/>
                <w:lang w:eastAsia="pl-PL"/>
              </w:rPr>
              <w:br/>
              <w:t xml:space="preserve">Działania 2aPGW KPRWP – raport </w:t>
            </w:r>
          </w:p>
        </w:tc>
        <w:tc>
          <w:tcPr>
            <w:tcW w:w="2733" w:type="dxa"/>
            <w:tcBorders>
              <w:top w:val="nil"/>
              <w:left w:val="nil"/>
              <w:bottom w:val="single" w:sz="4" w:space="0" w:color="auto"/>
              <w:right w:val="single" w:sz="4" w:space="0" w:color="auto"/>
            </w:tcBorders>
            <w:shd w:val="clear" w:color="auto" w:fill="auto"/>
            <w:hideMark/>
          </w:tcPr>
          <w:p w14:paraId="4DFF8AE9" w14:textId="2E82E54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5F80DFF7" w14:textId="1B1453A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6E1CDF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4C913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1075A89" w14:textId="1966AFB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47E422C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7087CB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416</w:t>
            </w:r>
          </w:p>
        </w:tc>
        <w:tc>
          <w:tcPr>
            <w:tcW w:w="970" w:type="dxa"/>
            <w:tcBorders>
              <w:top w:val="nil"/>
              <w:left w:val="nil"/>
              <w:bottom w:val="single" w:sz="4" w:space="0" w:color="auto"/>
              <w:right w:val="nil"/>
            </w:tcBorders>
          </w:tcPr>
          <w:p w14:paraId="7BA59D5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1B91440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EEAC5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7FB6620A" w14:textId="7CE646F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8.1. – 8.4.</w:t>
            </w:r>
            <w:r w:rsidRPr="0028666F">
              <w:rPr>
                <w:rFonts w:ascii="Calibri" w:eastAsia="Times New Roman" w:hAnsi="Calibri" w:cs="Calibri"/>
                <w:color w:val="000000"/>
                <w:sz w:val="18"/>
                <w:szCs w:val="18"/>
                <w:lang w:eastAsia="pl-PL"/>
              </w:rPr>
              <w:br/>
              <w:t>Art. 4.4. i 4.5. RDW</w:t>
            </w:r>
          </w:p>
        </w:tc>
        <w:tc>
          <w:tcPr>
            <w:tcW w:w="2733" w:type="dxa"/>
            <w:tcBorders>
              <w:top w:val="nil"/>
              <w:left w:val="nil"/>
              <w:bottom w:val="single" w:sz="4" w:space="0" w:color="auto"/>
              <w:right w:val="single" w:sz="4" w:space="0" w:color="auto"/>
            </w:tcBorders>
            <w:shd w:val="clear" w:color="auto" w:fill="auto"/>
            <w:hideMark/>
          </w:tcPr>
          <w:p w14:paraId="12DC0BE7" w14:textId="2C52D6C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1EC150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93BC4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4DF10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C9A560D" w14:textId="58F607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2BED40D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6167E5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417</w:t>
            </w:r>
          </w:p>
        </w:tc>
        <w:tc>
          <w:tcPr>
            <w:tcW w:w="970" w:type="dxa"/>
            <w:tcBorders>
              <w:top w:val="nil"/>
              <w:left w:val="nil"/>
              <w:bottom w:val="single" w:sz="4" w:space="0" w:color="auto"/>
              <w:right w:val="nil"/>
            </w:tcBorders>
          </w:tcPr>
          <w:p w14:paraId="77FA825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6067F5B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493A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076675B6" w14:textId="0732665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00BE71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252479E5" w14:textId="626DD4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03650A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66014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F013223" w14:textId="40DB38B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3D437CF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7DCF6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418</w:t>
            </w:r>
          </w:p>
        </w:tc>
        <w:tc>
          <w:tcPr>
            <w:tcW w:w="970" w:type="dxa"/>
            <w:tcBorders>
              <w:top w:val="nil"/>
              <w:left w:val="nil"/>
              <w:bottom w:val="single" w:sz="4" w:space="0" w:color="auto"/>
              <w:right w:val="nil"/>
            </w:tcBorders>
          </w:tcPr>
          <w:p w14:paraId="02DF20E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44FD43B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1B6D2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E36EE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chaos</w:t>
            </w:r>
            <w:r w:rsidRPr="0028666F">
              <w:rPr>
                <w:rFonts w:ascii="Calibri" w:eastAsia="Times New Roman" w:hAnsi="Calibri" w:cs="Calibri"/>
                <w:color w:val="000000"/>
                <w:sz w:val="18"/>
                <w:szCs w:val="18"/>
                <w:lang w:eastAsia="pl-PL"/>
              </w:rPr>
              <w:br/>
              <w:t>Treść uwagi: 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2733" w:type="dxa"/>
            <w:tcBorders>
              <w:top w:val="nil"/>
              <w:left w:val="nil"/>
              <w:bottom w:val="single" w:sz="4" w:space="0" w:color="auto"/>
              <w:right w:val="single" w:sz="4" w:space="0" w:color="auto"/>
            </w:tcBorders>
            <w:shd w:val="clear" w:color="auto" w:fill="auto"/>
            <w:hideMark/>
          </w:tcPr>
          <w:p w14:paraId="6C6D1C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30F8E8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57F2F8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390B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A759E3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2210B39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1F146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419</w:t>
            </w:r>
          </w:p>
        </w:tc>
        <w:tc>
          <w:tcPr>
            <w:tcW w:w="970" w:type="dxa"/>
            <w:tcBorders>
              <w:top w:val="nil"/>
              <w:left w:val="nil"/>
              <w:bottom w:val="single" w:sz="4" w:space="0" w:color="auto"/>
              <w:right w:val="nil"/>
            </w:tcBorders>
          </w:tcPr>
          <w:p w14:paraId="005DD3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A994E7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664441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5F94D6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ype="page"/>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ype="page"/>
              <w:t>• Zbiornik Piłka na rz. Miała (w grudniu 2016 dostał ODMOWĘ wydania dśu).</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ype="page"/>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ype="page"/>
              <w:t>ochrona przed powodzią Kotliny Kłodzkiej - Potok Wilczka</w:t>
            </w:r>
            <w:r w:rsidRPr="0028666F">
              <w:rPr>
                <w:rFonts w:ascii="Calibri" w:eastAsia="Times New Roman" w:hAnsi="Calibri" w:cs="Calibri"/>
                <w:color w:val="000000"/>
                <w:sz w:val="18"/>
                <w:szCs w:val="18"/>
                <w:lang w:eastAsia="pl-PL"/>
              </w:rPr>
              <w:br w:type="page"/>
              <w:t>ochrona przed powodzią Kotliny Kłodzkiej - Bystrzyca Kłodzka</w:t>
            </w:r>
            <w:r w:rsidRPr="0028666F">
              <w:rPr>
                <w:rFonts w:ascii="Calibri" w:eastAsia="Times New Roman" w:hAnsi="Calibri" w:cs="Calibri"/>
                <w:color w:val="000000"/>
                <w:sz w:val="18"/>
                <w:szCs w:val="18"/>
                <w:lang w:eastAsia="pl-PL"/>
              </w:rPr>
              <w:br w:type="page"/>
              <w:t>ochrona przed powodzią doliny rzeki Białej Lądeckiej i rzeki Morawki</w:t>
            </w:r>
            <w:r w:rsidRPr="0028666F">
              <w:rPr>
                <w:rFonts w:ascii="Calibri" w:eastAsia="Times New Roman" w:hAnsi="Calibri" w:cs="Calibri"/>
                <w:color w:val="000000"/>
                <w:sz w:val="18"/>
                <w:szCs w:val="18"/>
                <w:lang w:eastAsia="pl-PL"/>
              </w:rPr>
              <w:br w:type="page"/>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ype="page"/>
              <w:t>• Regulacja rzeki Warty w rejonie miasta Koła - obszar istotny dla ochrony troci wędrownej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ype="page"/>
              <w:t>Jawornik-Myślibórz, gm. Paszowice</w:t>
            </w:r>
            <w:r w:rsidRPr="0028666F">
              <w:rPr>
                <w:rFonts w:ascii="Calibri" w:eastAsia="Times New Roman" w:hAnsi="Calibri" w:cs="Calibri"/>
                <w:color w:val="000000"/>
                <w:sz w:val="18"/>
                <w:szCs w:val="18"/>
                <w:lang w:eastAsia="pl-PL"/>
              </w:rPr>
              <w:br w:type="page"/>
              <w:t>A dla kilku toczy się procedura odwoławcza, w tym m.in. dla:</w:t>
            </w:r>
            <w:r w:rsidRPr="0028666F">
              <w:rPr>
                <w:rFonts w:ascii="Calibri" w:eastAsia="Times New Roman" w:hAnsi="Calibri" w:cs="Calibri"/>
                <w:color w:val="000000"/>
                <w:sz w:val="18"/>
                <w:szCs w:val="18"/>
                <w:lang w:eastAsia="pl-PL"/>
              </w:rPr>
              <w:br w:type="page"/>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ype="page"/>
              <w:t>Przedsięwzięciami wykazującymi oddziaływania skumulowane z wyżej wymienionymi to:</w:t>
            </w:r>
            <w:r w:rsidRPr="0028666F">
              <w:rPr>
                <w:rFonts w:ascii="Calibri" w:eastAsia="Times New Roman" w:hAnsi="Calibri" w:cs="Calibri"/>
                <w:color w:val="000000"/>
                <w:sz w:val="18"/>
                <w:szCs w:val="18"/>
                <w:lang w:eastAsia="pl-PL"/>
              </w:rPr>
              <w:br w:type="page"/>
              <w:t>„Remont i modernizacja pozostałej zabudowy regulacyjnej na Odrze granicznej”,</w:t>
            </w:r>
            <w:r w:rsidRPr="0028666F">
              <w:rPr>
                <w:rFonts w:ascii="Calibri" w:eastAsia="Times New Roman" w:hAnsi="Calibri" w:cs="Calibri"/>
                <w:color w:val="000000"/>
                <w:sz w:val="18"/>
                <w:szCs w:val="18"/>
                <w:lang w:eastAsia="pl-PL"/>
              </w:rPr>
              <w:br w:type="page"/>
              <w:t>i będąca w realizacji „Modernizacja toru wodnego Świnoujście- Szczecin do głębokości 12,5 m.”</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ype="page"/>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16, Zał. 6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C02973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A704A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00E65CB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08011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C3400D4" w14:textId="6FE8B5F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74ED7AB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5C5D58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420</w:t>
            </w:r>
          </w:p>
        </w:tc>
        <w:tc>
          <w:tcPr>
            <w:tcW w:w="970" w:type="dxa"/>
            <w:tcBorders>
              <w:top w:val="nil"/>
              <w:left w:val="nil"/>
              <w:bottom w:val="single" w:sz="4" w:space="0" w:color="auto"/>
              <w:right w:val="nil"/>
            </w:tcBorders>
          </w:tcPr>
          <w:p w14:paraId="419CC48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62C42E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B0EE2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5058910" w14:textId="4CD8083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geobaza</w:t>
            </w:r>
            <w:r w:rsidRPr="0028666F">
              <w:rPr>
                <w:rFonts w:ascii="Calibri" w:eastAsia="Times New Roman" w:hAnsi="Calibri" w:cs="Calibri"/>
                <w:color w:val="000000"/>
                <w:sz w:val="18"/>
                <w:szCs w:val="18"/>
                <w:lang w:eastAsia="pl-PL"/>
              </w:rPr>
              <w:br/>
              <w:t>Treść uwagi: 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206827CC" w14:textId="5E8F4F6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56CB6FAF" w14:textId="3B3556DA"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55887DB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04BB9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429DC19" w14:textId="7ABBBE6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1478334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58A34F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421</w:t>
            </w:r>
          </w:p>
        </w:tc>
        <w:tc>
          <w:tcPr>
            <w:tcW w:w="970" w:type="dxa"/>
            <w:tcBorders>
              <w:top w:val="nil"/>
              <w:left w:val="nil"/>
              <w:bottom w:val="single" w:sz="4" w:space="0" w:color="auto"/>
              <w:right w:val="nil"/>
            </w:tcBorders>
          </w:tcPr>
          <w:p w14:paraId="321FE53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0CA8586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15330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5F8A689E" w14:textId="463CC19A"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Katalogi działań</w:t>
            </w:r>
          </w:p>
        </w:tc>
        <w:tc>
          <w:tcPr>
            <w:tcW w:w="2733" w:type="dxa"/>
            <w:tcBorders>
              <w:top w:val="nil"/>
              <w:left w:val="nil"/>
              <w:bottom w:val="single" w:sz="4" w:space="0" w:color="auto"/>
              <w:right w:val="single" w:sz="4" w:space="0" w:color="auto"/>
            </w:tcBorders>
            <w:shd w:val="clear" w:color="auto" w:fill="auto"/>
            <w:hideMark/>
          </w:tcPr>
          <w:p w14:paraId="5BDC5D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2FE9910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720" w:type="dxa"/>
            <w:tcBorders>
              <w:top w:val="nil"/>
              <w:left w:val="nil"/>
              <w:bottom w:val="single" w:sz="4" w:space="0" w:color="auto"/>
              <w:right w:val="single" w:sz="4" w:space="0" w:color="auto"/>
            </w:tcBorders>
            <w:shd w:val="clear" w:color="000000" w:fill="FFFFFF"/>
            <w:hideMark/>
          </w:tcPr>
          <w:p w14:paraId="2E6DE8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98315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4CD566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783C1A8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253719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422</w:t>
            </w:r>
          </w:p>
        </w:tc>
        <w:tc>
          <w:tcPr>
            <w:tcW w:w="970" w:type="dxa"/>
            <w:tcBorders>
              <w:top w:val="nil"/>
              <w:left w:val="nil"/>
              <w:bottom w:val="single" w:sz="4" w:space="0" w:color="auto"/>
              <w:right w:val="nil"/>
            </w:tcBorders>
          </w:tcPr>
          <w:p w14:paraId="363ACA4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086E3C9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81734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7D56AAFC" w14:textId="04532E2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2733" w:type="dxa"/>
            <w:tcBorders>
              <w:top w:val="nil"/>
              <w:left w:val="nil"/>
              <w:bottom w:val="single" w:sz="4" w:space="0" w:color="auto"/>
              <w:right w:val="single" w:sz="4" w:space="0" w:color="auto"/>
            </w:tcBorders>
            <w:shd w:val="clear" w:color="auto" w:fill="auto"/>
            <w:hideMark/>
          </w:tcPr>
          <w:p w14:paraId="00EA70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CEC6D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551F41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B233A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185773D" w14:textId="5F531B9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43C475F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4D19B4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423</w:t>
            </w:r>
          </w:p>
        </w:tc>
        <w:tc>
          <w:tcPr>
            <w:tcW w:w="970" w:type="dxa"/>
            <w:tcBorders>
              <w:top w:val="nil"/>
              <w:left w:val="nil"/>
              <w:bottom w:val="single" w:sz="4" w:space="0" w:color="auto"/>
              <w:right w:val="nil"/>
            </w:tcBorders>
          </w:tcPr>
          <w:p w14:paraId="683FFFF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7A4C620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F598D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998EA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dokumenty źródłowe</w:t>
            </w:r>
            <w:r w:rsidRPr="0028666F">
              <w:rPr>
                <w:rFonts w:ascii="Calibri" w:eastAsia="Times New Roman" w:hAnsi="Calibri" w:cs="Calibri"/>
                <w:color w:val="000000"/>
                <w:sz w:val="18"/>
                <w:szCs w:val="18"/>
                <w:lang w:eastAsia="pl-PL"/>
              </w:rPr>
              <w:br w:type="page"/>
              <w:t>Treść uwagi: 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Takie podejście jest niezgodne z przepisami prawa krajowego i wspólnotowego.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ype="page"/>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4A6C60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3ABCDB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A2DED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0A9E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5748F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ype="page"/>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2A517C5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2ED454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424</w:t>
            </w:r>
          </w:p>
        </w:tc>
        <w:tc>
          <w:tcPr>
            <w:tcW w:w="970" w:type="dxa"/>
            <w:tcBorders>
              <w:top w:val="nil"/>
              <w:left w:val="nil"/>
              <w:bottom w:val="single" w:sz="4" w:space="0" w:color="auto"/>
              <w:right w:val="nil"/>
            </w:tcBorders>
          </w:tcPr>
          <w:p w14:paraId="4387FE3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532FCDF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BFD0B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65A612AE" w14:textId="11BC42E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2F279B77"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Udrożnić dla ryb zaporę Zb. Jeziorsko odcinającą całą górna zlewnię Warty.</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1D8400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C15A5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58BF96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35EB98CB" w14:textId="2747282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7D502CA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31AD75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425</w:t>
            </w:r>
          </w:p>
        </w:tc>
        <w:tc>
          <w:tcPr>
            <w:tcW w:w="970" w:type="dxa"/>
            <w:tcBorders>
              <w:top w:val="nil"/>
              <w:left w:val="nil"/>
              <w:bottom w:val="single" w:sz="4" w:space="0" w:color="auto"/>
              <w:right w:val="nil"/>
            </w:tcBorders>
          </w:tcPr>
          <w:p w14:paraId="07C4DD8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6728C1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374E2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0630EF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PIĘTRZEŃ</w:t>
            </w:r>
          </w:p>
        </w:tc>
        <w:tc>
          <w:tcPr>
            <w:tcW w:w="2733" w:type="dxa"/>
            <w:tcBorders>
              <w:top w:val="nil"/>
              <w:left w:val="nil"/>
              <w:bottom w:val="single" w:sz="4" w:space="0" w:color="auto"/>
              <w:right w:val="single" w:sz="4" w:space="0" w:color="auto"/>
            </w:tcBorders>
            <w:shd w:val="clear" w:color="auto" w:fill="auto"/>
            <w:hideMark/>
          </w:tcPr>
          <w:p w14:paraId="1E5F694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4D56490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023C0D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4D322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2EC464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665F468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7CD612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426</w:t>
            </w:r>
          </w:p>
        </w:tc>
        <w:tc>
          <w:tcPr>
            <w:tcW w:w="970" w:type="dxa"/>
            <w:tcBorders>
              <w:top w:val="nil"/>
              <w:left w:val="nil"/>
              <w:bottom w:val="single" w:sz="4" w:space="0" w:color="auto"/>
              <w:right w:val="nil"/>
            </w:tcBorders>
          </w:tcPr>
          <w:p w14:paraId="6D15CDD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7886B0C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238D64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98131BE" w14:textId="5812B49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prawne i administracyjne</w:t>
            </w:r>
          </w:p>
        </w:tc>
        <w:tc>
          <w:tcPr>
            <w:tcW w:w="2733" w:type="dxa"/>
            <w:tcBorders>
              <w:top w:val="nil"/>
              <w:left w:val="nil"/>
              <w:bottom w:val="single" w:sz="4" w:space="0" w:color="auto"/>
              <w:right w:val="single" w:sz="4" w:space="0" w:color="auto"/>
            </w:tcBorders>
            <w:shd w:val="clear" w:color="auto" w:fill="auto"/>
            <w:hideMark/>
          </w:tcPr>
          <w:p w14:paraId="2C5E18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30E25F81" w14:textId="0EB1556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77769A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C251F4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72CA268" w14:textId="1915E9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65DF92C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0224FB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427</w:t>
            </w:r>
          </w:p>
        </w:tc>
        <w:tc>
          <w:tcPr>
            <w:tcW w:w="970" w:type="dxa"/>
            <w:tcBorders>
              <w:top w:val="nil"/>
              <w:left w:val="nil"/>
              <w:bottom w:val="single" w:sz="4" w:space="0" w:color="auto"/>
              <w:right w:val="nil"/>
            </w:tcBorders>
          </w:tcPr>
          <w:p w14:paraId="6F59C83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2620B6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65BE4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E5809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formularz</w:t>
            </w:r>
            <w:r w:rsidRPr="0028666F">
              <w:rPr>
                <w:rFonts w:ascii="Calibri" w:eastAsia="Times New Roman" w:hAnsi="Calibri" w:cs="Calibri"/>
                <w:color w:val="000000"/>
                <w:sz w:val="18"/>
                <w:szCs w:val="18"/>
                <w:lang w:eastAsia="pl-PL"/>
              </w:rPr>
              <w:br/>
              <w:t xml:space="preserve">Treść uwagi: 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42810C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6BC2E6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2F2022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EE99C9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32A39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7C2B40" w:rsidRPr="0028666F" w14:paraId="2272157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D0E3DD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428</w:t>
            </w:r>
          </w:p>
        </w:tc>
        <w:tc>
          <w:tcPr>
            <w:tcW w:w="970" w:type="dxa"/>
            <w:tcBorders>
              <w:top w:val="nil"/>
              <w:left w:val="nil"/>
              <w:bottom w:val="single" w:sz="4" w:space="0" w:color="auto"/>
              <w:right w:val="nil"/>
            </w:tcBorders>
          </w:tcPr>
          <w:p w14:paraId="3668779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0C0C50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E5484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B786B3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dane ze strony aPGW</w:t>
            </w:r>
            <w:r w:rsidRPr="0028666F">
              <w:rPr>
                <w:rFonts w:ascii="Calibri" w:eastAsia="Times New Roman" w:hAnsi="Calibri" w:cs="Calibri"/>
                <w:color w:val="000000"/>
                <w:sz w:val="18"/>
                <w:szCs w:val="18"/>
                <w:lang w:eastAsia="pl-PL"/>
              </w:rPr>
              <w:br w:type="page"/>
              <w:t>Treść uwagi: 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2733" w:type="dxa"/>
            <w:tcBorders>
              <w:top w:val="nil"/>
              <w:left w:val="nil"/>
              <w:bottom w:val="single" w:sz="4" w:space="0" w:color="auto"/>
              <w:right w:val="single" w:sz="4" w:space="0" w:color="auto"/>
            </w:tcBorders>
            <w:shd w:val="clear" w:color="auto" w:fill="auto"/>
            <w:hideMark/>
          </w:tcPr>
          <w:p w14:paraId="05B611A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34CFB9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01556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DA3B0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BAACC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5EFF69E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DAD7CB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429</w:t>
            </w:r>
          </w:p>
        </w:tc>
        <w:tc>
          <w:tcPr>
            <w:tcW w:w="970" w:type="dxa"/>
            <w:tcBorders>
              <w:top w:val="nil"/>
              <w:left w:val="nil"/>
              <w:bottom w:val="single" w:sz="4" w:space="0" w:color="auto"/>
              <w:right w:val="nil"/>
            </w:tcBorders>
          </w:tcPr>
          <w:p w14:paraId="5395A10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E4FD77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8090F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EB5A775" w14:textId="7181021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2733" w:type="dxa"/>
            <w:tcBorders>
              <w:top w:val="nil"/>
              <w:left w:val="nil"/>
              <w:bottom w:val="single" w:sz="4" w:space="0" w:color="auto"/>
              <w:right w:val="single" w:sz="4" w:space="0" w:color="auto"/>
            </w:tcBorders>
            <w:shd w:val="clear" w:color="auto" w:fill="auto"/>
            <w:hideMark/>
          </w:tcPr>
          <w:p w14:paraId="39E606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89806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B35C4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8CC0C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6F7E455" w14:textId="4357E4C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0A1FD66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78E47F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430</w:t>
            </w:r>
          </w:p>
        </w:tc>
        <w:tc>
          <w:tcPr>
            <w:tcW w:w="970" w:type="dxa"/>
            <w:tcBorders>
              <w:top w:val="nil"/>
              <w:left w:val="nil"/>
              <w:bottom w:val="single" w:sz="4" w:space="0" w:color="auto"/>
              <w:right w:val="nil"/>
            </w:tcBorders>
          </w:tcPr>
          <w:p w14:paraId="786AA28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2DEA9EF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E135E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06DEE141" w14:textId="678FAE5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p>
        </w:tc>
        <w:tc>
          <w:tcPr>
            <w:tcW w:w="2733" w:type="dxa"/>
            <w:tcBorders>
              <w:top w:val="nil"/>
              <w:left w:val="nil"/>
              <w:bottom w:val="single" w:sz="4" w:space="0" w:color="auto"/>
              <w:right w:val="single" w:sz="4" w:space="0" w:color="auto"/>
            </w:tcBorders>
            <w:shd w:val="clear" w:color="auto" w:fill="auto"/>
            <w:hideMark/>
          </w:tcPr>
          <w:p w14:paraId="2F741C68" w14:textId="5948A8E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1472988D" w14:textId="2624AB8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0B5319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0F2A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6D2A564" w14:textId="0B90035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043BE99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70143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431</w:t>
            </w:r>
          </w:p>
        </w:tc>
        <w:tc>
          <w:tcPr>
            <w:tcW w:w="970" w:type="dxa"/>
            <w:tcBorders>
              <w:top w:val="nil"/>
              <w:left w:val="nil"/>
              <w:bottom w:val="single" w:sz="4" w:space="0" w:color="auto"/>
              <w:right w:val="nil"/>
            </w:tcBorders>
          </w:tcPr>
          <w:p w14:paraId="20C3642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02E7246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6BB5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71020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2733" w:type="dxa"/>
            <w:tcBorders>
              <w:top w:val="nil"/>
              <w:left w:val="nil"/>
              <w:bottom w:val="single" w:sz="4" w:space="0" w:color="auto"/>
              <w:right w:val="single" w:sz="4" w:space="0" w:color="auto"/>
            </w:tcBorders>
            <w:shd w:val="clear" w:color="auto" w:fill="auto"/>
            <w:hideMark/>
          </w:tcPr>
          <w:p w14:paraId="20C96420" w14:textId="598A0A8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6912EF0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16698D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A74C78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1686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71B7AD9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7BF82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432</w:t>
            </w:r>
          </w:p>
        </w:tc>
        <w:tc>
          <w:tcPr>
            <w:tcW w:w="970" w:type="dxa"/>
            <w:tcBorders>
              <w:top w:val="nil"/>
              <w:left w:val="nil"/>
              <w:bottom w:val="single" w:sz="4" w:space="0" w:color="auto"/>
              <w:right w:val="nil"/>
            </w:tcBorders>
          </w:tcPr>
          <w:p w14:paraId="73ECBF6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5C7778D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E644A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1888A593" w14:textId="7307C75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 Rozdz. 3, 5.1. oraz 8.1.</w:t>
            </w:r>
            <w:r w:rsidRPr="0028666F">
              <w:rPr>
                <w:rFonts w:ascii="Calibri" w:eastAsia="Times New Roman" w:hAnsi="Calibri" w:cs="Calibri"/>
                <w:color w:val="000000"/>
                <w:sz w:val="18"/>
                <w:szCs w:val="18"/>
                <w:lang w:eastAsia="pl-PL"/>
              </w:rPr>
              <w:br/>
              <w:t>Zał. 3.1. oraz 8., Zał. mapowe</w:t>
            </w:r>
            <w:r w:rsidRPr="0028666F">
              <w:rPr>
                <w:rFonts w:ascii="Calibri" w:eastAsia="Times New Roman" w:hAnsi="Calibri" w:cs="Calibri"/>
                <w:color w:val="000000"/>
                <w:sz w:val="18"/>
                <w:szCs w:val="18"/>
                <w:lang w:eastAsia="pl-PL"/>
              </w:rPr>
              <w:br/>
              <w:t xml:space="preserve">Treść uwagi: 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2733" w:type="dxa"/>
            <w:tcBorders>
              <w:top w:val="nil"/>
              <w:left w:val="nil"/>
              <w:bottom w:val="single" w:sz="4" w:space="0" w:color="auto"/>
              <w:right w:val="single" w:sz="4" w:space="0" w:color="auto"/>
            </w:tcBorders>
            <w:shd w:val="clear" w:color="auto" w:fill="auto"/>
            <w:hideMark/>
          </w:tcPr>
          <w:p w14:paraId="4D44A7AE" w14:textId="3FA68C6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5DE1AFA7" w14:textId="1D94E8D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361C73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C8DD3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7FD0BB9" w14:textId="77C7BC1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304990C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E8C787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433</w:t>
            </w:r>
          </w:p>
        </w:tc>
        <w:tc>
          <w:tcPr>
            <w:tcW w:w="970" w:type="dxa"/>
            <w:tcBorders>
              <w:top w:val="nil"/>
              <w:left w:val="nil"/>
              <w:bottom w:val="single" w:sz="4" w:space="0" w:color="auto"/>
              <w:right w:val="nil"/>
            </w:tcBorders>
          </w:tcPr>
          <w:p w14:paraId="5DF54C3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5" w:type="dxa"/>
            <w:tcBorders>
              <w:top w:val="nil"/>
              <w:left w:val="nil"/>
              <w:bottom w:val="single" w:sz="4" w:space="0" w:color="auto"/>
              <w:right w:val="single" w:sz="4" w:space="0" w:color="auto"/>
            </w:tcBorders>
            <w:shd w:val="clear" w:color="auto" w:fill="auto"/>
          </w:tcPr>
          <w:p w14:paraId="2679803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E37CA1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D4FC8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2733" w:type="dxa"/>
            <w:tcBorders>
              <w:top w:val="nil"/>
              <w:left w:val="nil"/>
              <w:bottom w:val="single" w:sz="4" w:space="0" w:color="auto"/>
              <w:right w:val="single" w:sz="4" w:space="0" w:color="auto"/>
            </w:tcBorders>
            <w:shd w:val="clear" w:color="auto" w:fill="auto"/>
            <w:hideMark/>
          </w:tcPr>
          <w:p w14:paraId="58BBF2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3D65F5E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0B9793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1110D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639539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3EBDF3A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447EA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434</w:t>
            </w:r>
          </w:p>
        </w:tc>
        <w:tc>
          <w:tcPr>
            <w:tcW w:w="970" w:type="dxa"/>
            <w:tcBorders>
              <w:top w:val="nil"/>
              <w:left w:val="nil"/>
              <w:bottom w:val="single" w:sz="4" w:space="0" w:color="auto"/>
              <w:right w:val="nil"/>
            </w:tcBorders>
          </w:tcPr>
          <w:p w14:paraId="0BBBD4B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FDD2B1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2CB79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300593E" w14:textId="011412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ype="page"/>
              <w:t xml:space="preserve">Treść uwagi: 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Zgodnie z dokumentem  </w:t>
            </w:r>
            <w:r w:rsidRPr="0028666F">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ype="page"/>
              <w:t>- dostępny np. na stronie konsultacji IIaPGW https://www.apgw.gov.pl/pl/news/show/90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Zalecenie z 2012 r.: </w:t>
            </w:r>
            <w:r w:rsidRPr="0028666F">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Powyższe zalecenie zostało wykonane w IIaPGW tylko częściowo.</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F6C9F80" w14:textId="423B36D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ype="page"/>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52FD4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6FD0A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48199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AEA6F55" w14:textId="37F6E3E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5BB7422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83A585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435</w:t>
            </w:r>
          </w:p>
        </w:tc>
        <w:tc>
          <w:tcPr>
            <w:tcW w:w="970" w:type="dxa"/>
            <w:tcBorders>
              <w:top w:val="nil"/>
              <w:left w:val="nil"/>
              <w:bottom w:val="single" w:sz="4" w:space="0" w:color="auto"/>
              <w:right w:val="nil"/>
            </w:tcBorders>
          </w:tcPr>
          <w:p w14:paraId="115AE9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7C8372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6F909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1B0136E8" w14:textId="073C1170"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Treść uwagi: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18A42FC3" w14:textId="0A7240C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6DC8F845" w14:textId="160A17F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51E964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1B7EE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84F0D20" w14:textId="648FECF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60E732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7154C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436</w:t>
            </w:r>
          </w:p>
        </w:tc>
        <w:tc>
          <w:tcPr>
            <w:tcW w:w="970" w:type="dxa"/>
            <w:tcBorders>
              <w:top w:val="nil"/>
              <w:left w:val="nil"/>
              <w:bottom w:val="single" w:sz="4" w:space="0" w:color="auto"/>
              <w:right w:val="nil"/>
            </w:tcBorders>
          </w:tcPr>
          <w:p w14:paraId="36CE54E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49CBA8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BAC89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15328FD3" w14:textId="47AA77E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Ogólna</w:t>
            </w:r>
          </w:p>
        </w:tc>
        <w:tc>
          <w:tcPr>
            <w:tcW w:w="2733" w:type="dxa"/>
            <w:tcBorders>
              <w:top w:val="nil"/>
              <w:left w:val="nil"/>
              <w:bottom w:val="single" w:sz="4" w:space="0" w:color="auto"/>
              <w:right w:val="single" w:sz="4" w:space="0" w:color="auto"/>
            </w:tcBorders>
            <w:shd w:val="clear" w:color="auto" w:fill="auto"/>
            <w:hideMark/>
          </w:tcPr>
          <w:p w14:paraId="4FC45A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3AD5CF8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3787E7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3C547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252788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38B5A22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96C49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437</w:t>
            </w:r>
          </w:p>
        </w:tc>
        <w:tc>
          <w:tcPr>
            <w:tcW w:w="970" w:type="dxa"/>
            <w:tcBorders>
              <w:top w:val="nil"/>
              <w:left w:val="nil"/>
              <w:bottom w:val="single" w:sz="4" w:space="0" w:color="auto"/>
              <w:right w:val="nil"/>
            </w:tcBorders>
          </w:tcPr>
          <w:p w14:paraId="530198B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7F4BC07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822E92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E581E52" w14:textId="0F46433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p>
        </w:tc>
        <w:tc>
          <w:tcPr>
            <w:tcW w:w="2733" w:type="dxa"/>
            <w:tcBorders>
              <w:top w:val="nil"/>
              <w:left w:val="nil"/>
              <w:bottom w:val="single" w:sz="4" w:space="0" w:color="auto"/>
              <w:right w:val="single" w:sz="4" w:space="0" w:color="auto"/>
            </w:tcBorders>
            <w:shd w:val="clear" w:color="auto" w:fill="auto"/>
            <w:hideMark/>
          </w:tcPr>
          <w:p w14:paraId="658FE1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009" w:type="dxa"/>
            <w:tcBorders>
              <w:top w:val="nil"/>
              <w:left w:val="nil"/>
              <w:bottom w:val="single" w:sz="4" w:space="0" w:color="auto"/>
              <w:right w:val="single" w:sz="4" w:space="0" w:color="auto"/>
            </w:tcBorders>
            <w:shd w:val="clear" w:color="auto" w:fill="auto"/>
            <w:hideMark/>
          </w:tcPr>
          <w:p w14:paraId="5BC69C9B"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6D72D9F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A21F6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4082D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128CEFC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B1B1FE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438</w:t>
            </w:r>
          </w:p>
        </w:tc>
        <w:tc>
          <w:tcPr>
            <w:tcW w:w="970" w:type="dxa"/>
            <w:tcBorders>
              <w:top w:val="nil"/>
              <w:left w:val="nil"/>
              <w:bottom w:val="single" w:sz="4" w:space="0" w:color="auto"/>
              <w:right w:val="nil"/>
            </w:tcBorders>
          </w:tcPr>
          <w:p w14:paraId="4AA43B1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197C789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72BF7E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CD21CB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chaos</w:t>
            </w:r>
          </w:p>
        </w:tc>
        <w:tc>
          <w:tcPr>
            <w:tcW w:w="2733" w:type="dxa"/>
            <w:tcBorders>
              <w:top w:val="nil"/>
              <w:left w:val="nil"/>
              <w:bottom w:val="single" w:sz="4" w:space="0" w:color="auto"/>
              <w:right w:val="single" w:sz="4" w:space="0" w:color="auto"/>
            </w:tcBorders>
            <w:shd w:val="clear" w:color="auto" w:fill="auto"/>
            <w:hideMark/>
          </w:tcPr>
          <w:p w14:paraId="33A4F4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5A38055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3231ADC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6E476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5A6941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21D3449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D79E0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439</w:t>
            </w:r>
          </w:p>
        </w:tc>
        <w:tc>
          <w:tcPr>
            <w:tcW w:w="970" w:type="dxa"/>
            <w:tcBorders>
              <w:top w:val="nil"/>
              <w:left w:val="nil"/>
              <w:bottom w:val="single" w:sz="4" w:space="0" w:color="auto"/>
              <w:right w:val="nil"/>
            </w:tcBorders>
          </w:tcPr>
          <w:p w14:paraId="41D557B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3093E386"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48C5A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0784637C" w14:textId="6CB64D6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geobaza</w:t>
            </w:r>
          </w:p>
        </w:tc>
        <w:tc>
          <w:tcPr>
            <w:tcW w:w="2733" w:type="dxa"/>
            <w:tcBorders>
              <w:top w:val="nil"/>
              <w:left w:val="nil"/>
              <w:bottom w:val="single" w:sz="4" w:space="0" w:color="auto"/>
              <w:right w:val="single" w:sz="4" w:space="0" w:color="auto"/>
            </w:tcBorders>
            <w:shd w:val="clear" w:color="auto" w:fill="auto"/>
            <w:hideMark/>
          </w:tcPr>
          <w:p w14:paraId="7CE94CEE" w14:textId="1899E0B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1D395234" w14:textId="5825010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Działanie Wód Polskich w tym zakresie jest sprzeczne z: </w:t>
            </w:r>
            <w:r w:rsidRPr="0028666F">
              <w:rPr>
                <w:rFonts w:ascii="Calibri" w:eastAsia="Times New Roman" w:hAnsi="Calibri" w:cs="Calibri"/>
                <w:color w:val="000000"/>
                <w:sz w:val="18"/>
                <w:szCs w:val="18"/>
                <w:lang w:eastAsia="pl-PL"/>
              </w:rPr>
              <w:br w:type="page"/>
              <w:t xml:space="preserve">art. 14 RDW – </w:t>
            </w:r>
            <w:r w:rsidRPr="0028666F">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ype="page"/>
              <w:t>Zał. VII – pkt 1, 3, 4</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3B1365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22D1D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7CD1609" w14:textId="2481C7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ype="page"/>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7C2B40" w:rsidRPr="0028666F" w14:paraId="7B13D6E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0FB2F3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440</w:t>
            </w:r>
          </w:p>
        </w:tc>
        <w:tc>
          <w:tcPr>
            <w:tcW w:w="970" w:type="dxa"/>
            <w:tcBorders>
              <w:top w:val="nil"/>
              <w:left w:val="nil"/>
              <w:bottom w:val="single" w:sz="4" w:space="0" w:color="auto"/>
              <w:right w:val="nil"/>
            </w:tcBorders>
          </w:tcPr>
          <w:p w14:paraId="7F4F536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14085D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35C667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AD4EF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2733" w:type="dxa"/>
            <w:tcBorders>
              <w:top w:val="nil"/>
              <w:left w:val="nil"/>
              <w:bottom w:val="single" w:sz="4" w:space="0" w:color="auto"/>
              <w:right w:val="single" w:sz="4" w:space="0" w:color="auto"/>
            </w:tcBorders>
            <w:shd w:val="clear" w:color="auto" w:fill="auto"/>
            <w:hideMark/>
          </w:tcPr>
          <w:p w14:paraId="65F8BC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125678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1A61AA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FD59A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0A668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7C18E52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327A24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441</w:t>
            </w:r>
          </w:p>
        </w:tc>
        <w:tc>
          <w:tcPr>
            <w:tcW w:w="970" w:type="dxa"/>
            <w:tcBorders>
              <w:top w:val="nil"/>
              <w:left w:val="nil"/>
              <w:bottom w:val="single" w:sz="4" w:space="0" w:color="auto"/>
              <w:right w:val="nil"/>
            </w:tcBorders>
          </w:tcPr>
          <w:p w14:paraId="628A23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6889D33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A79B33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9DDEA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formularz</w:t>
            </w:r>
          </w:p>
        </w:tc>
        <w:tc>
          <w:tcPr>
            <w:tcW w:w="2733" w:type="dxa"/>
            <w:tcBorders>
              <w:top w:val="nil"/>
              <w:left w:val="nil"/>
              <w:bottom w:val="single" w:sz="4" w:space="0" w:color="auto"/>
              <w:right w:val="single" w:sz="4" w:space="0" w:color="auto"/>
            </w:tcBorders>
            <w:shd w:val="clear" w:color="auto" w:fill="auto"/>
            <w:hideMark/>
          </w:tcPr>
          <w:p w14:paraId="516AB1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0518FB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2A69BB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551C8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D7712C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7C2B40" w:rsidRPr="0028666F" w14:paraId="25FAC45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21C59E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442</w:t>
            </w:r>
          </w:p>
        </w:tc>
        <w:tc>
          <w:tcPr>
            <w:tcW w:w="970" w:type="dxa"/>
            <w:tcBorders>
              <w:top w:val="nil"/>
              <w:left w:val="nil"/>
              <w:bottom w:val="single" w:sz="4" w:space="0" w:color="auto"/>
              <w:right w:val="nil"/>
            </w:tcBorders>
          </w:tcPr>
          <w:p w14:paraId="74B2684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7B5873A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B5A405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2063F0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2733" w:type="dxa"/>
            <w:tcBorders>
              <w:top w:val="nil"/>
              <w:left w:val="nil"/>
              <w:bottom w:val="single" w:sz="4" w:space="0" w:color="auto"/>
              <w:right w:val="single" w:sz="4" w:space="0" w:color="auto"/>
            </w:tcBorders>
            <w:shd w:val="clear" w:color="auto" w:fill="auto"/>
            <w:hideMark/>
          </w:tcPr>
          <w:p w14:paraId="3500BCC5"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009" w:type="dxa"/>
            <w:tcBorders>
              <w:top w:val="nil"/>
              <w:left w:val="nil"/>
              <w:bottom w:val="single" w:sz="4" w:space="0" w:color="auto"/>
              <w:right w:val="single" w:sz="4" w:space="0" w:color="auto"/>
            </w:tcBorders>
            <w:shd w:val="clear" w:color="auto" w:fill="auto"/>
            <w:hideMark/>
          </w:tcPr>
          <w:p w14:paraId="785698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D2BE6C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84180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3F981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582A0F4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04BADAE"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443</w:t>
            </w:r>
          </w:p>
        </w:tc>
        <w:tc>
          <w:tcPr>
            <w:tcW w:w="970" w:type="dxa"/>
            <w:tcBorders>
              <w:top w:val="nil"/>
              <w:left w:val="nil"/>
              <w:bottom w:val="single" w:sz="4" w:space="0" w:color="auto"/>
              <w:right w:val="nil"/>
            </w:tcBorders>
          </w:tcPr>
          <w:p w14:paraId="12529EC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06A2762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19BE7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7508179A" w14:textId="497033A9"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27E64F5" w14:textId="2F4189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55F3E824" w14:textId="5FC917C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091D7E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B88E5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DDF3CBD" w14:textId="55E16AA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39D8383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098F0D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444</w:t>
            </w:r>
          </w:p>
        </w:tc>
        <w:tc>
          <w:tcPr>
            <w:tcW w:w="970" w:type="dxa"/>
            <w:tcBorders>
              <w:top w:val="nil"/>
              <w:left w:val="nil"/>
              <w:bottom w:val="single" w:sz="4" w:space="0" w:color="auto"/>
              <w:right w:val="nil"/>
            </w:tcBorders>
          </w:tcPr>
          <w:p w14:paraId="665CE82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154253B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C936F6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2F247710" w14:textId="3B357C8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 SZCW, Wyznaczenie SZCW niezgodnie z metodyką</w:t>
            </w:r>
            <w:r w:rsidRPr="0028666F">
              <w:rPr>
                <w:rFonts w:ascii="Calibri" w:eastAsia="Times New Roman" w:hAnsi="Calibri" w:cs="Calibri"/>
                <w:color w:val="000000"/>
                <w:sz w:val="18"/>
                <w:szCs w:val="18"/>
                <w:lang w:eastAsia="pl-PL"/>
              </w:rPr>
              <w:br w:type="page"/>
              <w:t xml:space="preserve">Treść uwagi: 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RW60001217999 Odra od Nysy Łużyckiej do Warty </w:t>
            </w:r>
            <w:r w:rsidRPr="0028666F">
              <w:rPr>
                <w:rFonts w:ascii="Calibri" w:eastAsia="Times New Roman" w:hAnsi="Calibri" w:cs="Calibri"/>
                <w:color w:val="000000"/>
                <w:sz w:val="18"/>
                <w:szCs w:val="18"/>
                <w:lang w:eastAsia="pl-PL"/>
              </w:rPr>
              <w:br w:type="page"/>
              <w:t xml:space="preserve">RW600012183519 Warta od Neru do Powy </w:t>
            </w:r>
            <w:r w:rsidRPr="0028666F">
              <w:rPr>
                <w:rFonts w:ascii="Calibri" w:eastAsia="Times New Roman" w:hAnsi="Calibri" w:cs="Calibri"/>
                <w:color w:val="000000"/>
                <w:sz w:val="18"/>
                <w:szCs w:val="18"/>
                <w:lang w:eastAsia="pl-PL"/>
              </w:rPr>
              <w:br w:type="page"/>
              <w:t xml:space="preserve">RW60001218399 Warta od Powy do Prosny </w:t>
            </w:r>
            <w:r w:rsidRPr="0028666F">
              <w:rPr>
                <w:rFonts w:ascii="Calibri" w:eastAsia="Times New Roman" w:hAnsi="Calibri" w:cs="Calibri"/>
                <w:color w:val="000000"/>
                <w:sz w:val="18"/>
                <w:szCs w:val="18"/>
                <w:lang w:eastAsia="pl-PL"/>
              </w:rPr>
              <w:br w:type="page"/>
              <w:t xml:space="preserve">RW600012188977 Noteć od Rudawy do ujścia </w:t>
            </w:r>
            <w:r w:rsidRPr="0028666F">
              <w:rPr>
                <w:rFonts w:ascii="Calibri" w:eastAsia="Times New Roman" w:hAnsi="Calibri" w:cs="Calibri"/>
                <w:color w:val="000000"/>
                <w:sz w:val="18"/>
                <w:szCs w:val="18"/>
                <w:lang w:eastAsia="pl-PL"/>
              </w:rPr>
              <w:br w:type="page"/>
              <w:t>RW60001219199 Odra od Warty do oddzielenia się Odry Zachodniej</w:t>
            </w:r>
            <w:r w:rsidRPr="0028666F">
              <w:rPr>
                <w:rFonts w:ascii="Calibri" w:eastAsia="Times New Roman" w:hAnsi="Calibri" w:cs="Calibri"/>
                <w:color w:val="000000"/>
                <w:sz w:val="18"/>
                <w:szCs w:val="18"/>
                <w:lang w:eastAsia="pl-PL"/>
              </w:rPr>
              <w:br w:type="page"/>
              <w:t>RW6000121999 Odra od Bukowej do ujścia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4F87BB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ype="page"/>
              <w:t xml:space="preserve">RW60001217999 Odra od Nysy Łużyckiej do Warty </w:t>
            </w:r>
            <w:r w:rsidRPr="0028666F">
              <w:rPr>
                <w:rFonts w:ascii="Calibri" w:eastAsia="Times New Roman" w:hAnsi="Calibri" w:cs="Calibri"/>
                <w:color w:val="000000"/>
                <w:sz w:val="18"/>
                <w:szCs w:val="18"/>
                <w:lang w:eastAsia="pl-PL"/>
              </w:rPr>
              <w:br w:type="page"/>
              <w:t xml:space="preserve">RW600012183519 Warta od Neru do Powy </w:t>
            </w:r>
            <w:r w:rsidRPr="0028666F">
              <w:rPr>
                <w:rFonts w:ascii="Calibri" w:eastAsia="Times New Roman" w:hAnsi="Calibri" w:cs="Calibri"/>
                <w:color w:val="000000"/>
                <w:sz w:val="18"/>
                <w:szCs w:val="18"/>
                <w:lang w:eastAsia="pl-PL"/>
              </w:rPr>
              <w:br w:type="page"/>
              <w:t xml:space="preserve">RW60001218399 Warta od Powy do Prosny </w:t>
            </w:r>
            <w:r w:rsidRPr="0028666F">
              <w:rPr>
                <w:rFonts w:ascii="Calibri" w:eastAsia="Times New Roman" w:hAnsi="Calibri" w:cs="Calibri"/>
                <w:color w:val="000000"/>
                <w:sz w:val="18"/>
                <w:szCs w:val="18"/>
                <w:lang w:eastAsia="pl-PL"/>
              </w:rPr>
              <w:br w:type="page"/>
              <w:t xml:space="preserve">RW600012188977 Noteć od Rudawy do ujścia </w:t>
            </w:r>
            <w:r w:rsidRPr="0028666F">
              <w:rPr>
                <w:rFonts w:ascii="Calibri" w:eastAsia="Times New Roman" w:hAnsi="Calibri" w:cs="Calibri"/>
                <w:color w:val="000000"/>
                <w:sz w:val="18"/>
                <w:szCs w:val="18"/>
                <w:lang w:eastAsia="pl-PL"/>
              </w:rPr>
              <w:br w:type="page"/>
              <w:t>RW60001219199 Odra od Warty do oddzielenia się Odry Zachodniej</w:t>
            </w:r>
            <w:r w:rsidRPr="0028666F">
              <w:rPr>
                <w:rFonts w:ascii="Calibri" w:eastAsia="Times New Roman" w:hAnsi="Calibri" w:cs="Calibri"/>
                <w:color w:val="000000"/>
                <w:sz w:val="18"/>
                <w:szCs w:val="18"/>
                <w:lang w:eastAsia="pl-PL"/>
              </w:rPr>
              <w:br w:type="page"/>
              <w:t>RW6000121999 Odra od Bukowej do ujścia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naturalny status wody (NAT).</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BAE6887" w14:textId="7831B8B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1CECEF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8AB7B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5B84912" w14:textId="2F42643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2EE5BC9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6F084F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445</w:t>
            </w:r>
          </w:p>
        </w:tc>
        <w:tc>
          <w:tcPr>
            <w:tcW w:w="970" w:type="dxa"/>
            <w:tcBorders>
              <w:top w:val="nil"/>
              <w:left w:val="nil"/>
              <w:bottom w:val="single" w:sz="4" w:space="0" w:color="auto"/>
              <w:right w:val="nil"/>
            </w:tcBorders>
          </w:tcPr>
          <w:p w14:paraId="442AF24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E9D0D6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A189F3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0DA180B7" w14:textId="3F6A734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 xml:space="preserve">Treść uwagi: 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p>
        </w:tc>
        <w:tc>
          <w:tcPr>
            <w:tcW w:w="2733" w:type="dxa"/>
            <w:tcBorders>
              <w:top w:val="nil"/>
              <w:left w:val="nil"/>
              <w:bottom w:val="single" w:sz="4" w:space="0" w:color="auto"/>
              <w:right w:val="single" w:sz="4" w:space="0" w:color="auto"/>
            </w:tcBorders>
            <w:shd w:val="clear" w:color="auto" w:fill="auto"/>
            <w:hideMark/>
          </w:tcPr>
          <w:p w14:paraId="07D39D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5C532F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7E5932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EF80D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D1B645A" w14:textId="7CC5AA8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4D7298D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E80DC4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446</w:t>
            </w:r>
          </w:p>
        </w:tc>
        <w:tc>
          <w:tcPr>
            <w:tcW w:w="970" w:type="dxa"/>
            <w:tcBorders>
              <w:top w:val="nil"/>
              <w:left w:val="nil"/>
              <w:bottom w:val="single" w:sz="4" w:space="0" w:color="auto"/>
              <w:right w:val="nil"/>
            </w:tcBorders>
          </w:tcPr>
          <w:p w14:paraId="708F471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43A7192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7C67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4B9D4E29" w14:textId="6F37E0F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 xml:space="preserve">Treść uwagi: 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p>
        </w:tc>
        <w:tc>
          <w:tcPr>
            <w:tcW w:w="2733" w:type="dxa"/>
            <w:tcBorders>
              <w:top w:val="nil"/>
              <w:left w:val="nil"/>
              <w:bottom w:val="single" w:sz="4" w:space="0" w:color="auto"/>
              <w:right w:val="single" w:sz="4" w:space="0" w:color="auto"/>
            </w:tcBorders>
            <w:shd w:val="clear" w:color="auto" w:fill="auto"/>
            <w:hideMark/>
          </w:tcPr>
          <w:p w14:paraId="6CCC4EBD" w14:textId="3AA1CF4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74F58C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0B14C96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77E72D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9098651" w14:textId="090CE4F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12FF8E4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05E0130"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447</w:t>
            </w:r>
          </w:p>
        </w:tc>
        <w:tc>
          <w:tcPr>
            <w:tcW w:w="970" w:type="dxa"/>
            <w:tcBorders>
              <w:top w:val="nil"/>
              <w:left w:val="nil"/>
              <w:bottom w:val="single" w:sz="4" w:space="0" w:color="auto"/>
              <w:right w:val="nil"/>
            </w:tcBorders>
          </w:tcPr>
          <w:p w14:paraId="7160782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1CEEA20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9CB889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043E7B7" w14:textId="784A2D0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Streszczenie niespecjalistyczne; IIaPGW Rozdział 7, 8, 9, Presja, Cele środowiskowe</w:t>
            </w:r>
            <w:r w:rsidRPr="0028666F">
              <w:rPr>
                <w:rFonts w:ascii="Calibri" w:eastAsia="Times New Roman" w:hAnsi="Calibri" w:cs="Calibri"/>
                <w:color w:val="000000"/>
                <w:sz w:val="18"/>
                <w:szCs w:val="18"/>
                <w:lang w:eastAsia="pl-PL"/>
              </w:rPr>
              <w:br/>
              <w:t xml:space="preserve">Treść uwagi: 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p>
        </w:tc>
        <w:tc>
          <w:tcPr>
            <w:tcW w:w="2733" w:type="dxa"/>
            <w:tcBorders>
              <w:top w:val="nil"/>
              <w:left w:val="nil"/>
              <w:bottom w:val="single" w:sz="4" w:space="0" w:color="auto"/>
              <w:right w:val="single" w:sz="4" w:space="0" w:color="auto"/>
            </w:tcBorders>
            <w:shd w:val="clear" w:color="auto" w:fill="auto"/>
            <w:hideMark/>
          </w:tcPr>
          <w:p w14:paraId="281D2FAC" w14:textId="661C26DA"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02BAAB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4E4AB6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34E5DB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06F2588" w14:textId="24F6966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647AF94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101F249"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448</w:t>
            </w:r>
          </w:p>
        </w:tc>
        <w:tc>
          <w:tcPr>
            <w:tcW w:w="970" w:type="dxa"/>
            <w:tcBorders>
              <w:top w:val="nil"/>
              <w:left w:val="nil"/>
              <w:bottom w:val="single" w:sz="4" w:space="0" w:color="auto"/>
              <w:right w:val="nil"/>
            </w:tcBorders>
          </w:tcPr>
          <w:p w14:paraId="72B8D91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86C7FC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56FA3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16DF6E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9, Postęp i wdrożenie działań 2016-2021</w:t>
            </w:r>
            <w:r w:rsidRPr="0028666F">
              <w:rPr>
                <w:rFonts w:ascii="Calibri" w:eastAsia="Times New Roman" w:hAnsi="Calibri" w:cs="Calibri"/>
                <w:color w:val="000000"/>
                <w:sz w:val="18"/>
                <w:szCs w:val="18"/>
                <w:lang w:eastAsia="pl-PL"/>
              </w:rPr>
              <w:br/>
              <w:t>Treść uwagi: 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149F86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p>
        </w:tc>
        <w:tc>
          <w:tcPr>
            <w:tcW w:w="3009" w:type="dxa"/>
            <w:tcBorders>
              <w:top w:val="nil"/>
              <w:left w:val="nil"/>
              <w:bottom w:val="single" w:sz="4" w:space="0" w:color="auto"/>
              <w:right w:val="single" w:sz="4" w:space="0" w:color="auto"/>
            </w:tcBorders>
            <w:shd w:val="clear" w:color="auto" w:fill="auto"/>
            <w:hideMark/>
          </w:tcPr>
          <w:p w14:paraId="46FFB5E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5AF24B3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C3B5C5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C52184C" w14:textId="12570ED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723D790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CB9A7D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449</w:t>
            </w:r>
          </w:p>
        </w:tc>
        <w:tc>
          <w:tcPr>
            <w:tcW w:w="970" w:type="dxa"/>
            <w:tcBorders>
              <w:top w:val="nil"/>
              <w:left w:val="nil"/>
              <w:bottom w:val="single" w:sz="4" w:space="0" w:color="auto"/>
              <w:right w:val="nil"/>
            </w:tcBorders>
          </w:tcPr>
          <w:p w14:paraId="5969439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3652D93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362DE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22FAF8B3" w14:textId="2517639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RWr Zbiornikowe</w:t>
            </w:r>
            <w:r w:rsidRPr="0028666F">
              <w:rPr>
                <w:rFonts w:ascii="Calibri" w:eastAsia="Times New Roman" w:hAnsi="Calibri" w:cs="Calibri"/>
                <w:color w:val="000000"/>
                <w:sz w:val="18"/>
                <w:szCs w:val="18"/>
                <w:lang w:eastAsia="pl-PL"/>
              </w:rPr>
              <w:br w:type="page"/>
              <w:t>Rozdz. 3, 5.1. oraz 8.1.</w:t>
            </w:r>
            <w:r w:rsidRPr="0028666F">
              <w:rPr>
                <w:rFonts w:ascii="Calibri" w:eastAsia="Times New Roman" w:hAnsi="Calibri" w:cs="Calibri"/>
                <w:color w:val="000000"/>
                <w:sz w:val="18"/>
                <w:szCs w:val="18"/>
                <w:lang w:eastAsia="pl-PL"/>
              </w:rPr>
              <w:br w:type="page"/>
              <w:t xml:space="preserve">Zał. 3.1. oraz 8. </w:t>
            </w:r>
            <w:r w:rsidRPr="0028666F">
              <w:rPr>
                <w:rFonts w:ascii="Calibri" w:eastAsia="Times New Roman" w:hAnsi="Calibri" w:cs="Calibri"/>
                <w:color w:val="000000"/>
                <w:sz w:val="18"/>
                <w:szCs w:val="18"/>
                <w:lang w:eastAsia="pl-PL"/>
              </w:rPr>
              <w:br w:type="page"/>
              <w:t>Zał. mapowe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1123B85B" w14:textId="428A674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22643FEB" w14:textId="4977F4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ype="page"/>
              <w:t xml:space="preserve">Takie podejście nie może być usprawiedliwieniem dla znaczących negatywnych zmian w cennych siedliskach związanych z cofkami niektórych zbiorników wodnych.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7AF4F1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DF32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A90DB65" w14:textId="01BD85B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ype="page"/>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ype="page"/>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003FCD8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B58B20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450</w:t>
            </w:r>
          </w:p>
        </w:tc>
        <w:tc>
          <w:tcPr>
            <w:tcW w:w="970" w:type="dxa"/>
            <w:tcBorders>
              <w:top w:val="nil"/>
              <w:left w:val="nil"/>
              <w:bottom w:val="single" w:sz="4" w:space="0" w:color="auto"/>
              <w:right w:val="nil"/>
            </w:tcBorders>
          </w:tcPr>
          <w:p w14:paraId="54B257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58DCB30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5CD8E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59DFC439" w14:textId="556E4AA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10, Działania 2aPGW KPRWP – raport </w:t>
            </w:r>
            <w:r w:rsidRPr="0028666F">
              <w:rPr>
                <w:rFonts w:ascii="Calibri" w:eastAsia="Times New Roman" w:hAnsi="Calibri" w:cs="Calibri"/>
                <w:color w:val="000000"/>
                <w:sz w:val="18"/>
                <w:szCs w:val="18"/>
                <w:lang w:eastAsia="pl-PL"/>
              </w:rPr>
              <w:br/>
              <w:t xml:space="preserve">Treść uwagi: 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2733" w:type="dxa"/>
            <w:tcBorders>
              <w:top w:val="nil"/>
              <w:left w:val="nil"/>
              <w:bottom w:val="single" w:sz="4" w:space="0" w:color="auto"/>
              <w:right w:val="single" w:sz="4" w:space="0" w:color="auto"/>
            </w:tcBorders>
            <w:shd w:val="clear" w:color="auto" w:fill="auto"/>
            <w:hideMark/>
          </w:tcPr>
          <w:p w14:paraId="787799BE" w14:textId="4C994FB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p>
        </w:tc>
        <w:tc>
          <w:tcPr>
            <w:tcW w:w="3009" w:type="dxa"/>
            <w:tcBorders>
              <w:top w:val="nil"/>
              <w:left w:val="nil"/>
              <w:bottom w:val="single" w:sz="4" w:space="0" w:color="auto"/>
              <w:right w:val="single" w:sz="4" w:space="0" w:color="auto"/>
            </w:tcBorders>
            <w:shd w:val="clear" w:color="auto" w:fill="auto"/>
            <w:hideMark/>
          </w:tcPr>
          <w:p w14:paraId="1F520277" w14:textId="53D4B62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p>
        </w:tc>
        <w:tc>
          <w:tcPr>
            <w:tcW w:w="1720" w:type="dxa"/>
            <w:tcBorders>
              <w:top w:val="nil"/>
              <w:left w:val="nil"/>
              <w:bottom w:val="single" w:sz="4" w:space="0" w:color="auto"/>
              <w:right w:val="single" w:sz="4" w:space="0" w:color="auto"/>
            </w:tcBorders>
            <w:shd w:val="clear" w:color="000000" w:fill="FFFFFF"/>
            <w:hideMark/>
          </w:tcPr>
          <w:p w14:paraId="28354D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FDF59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67276AE" w14:textId="56C9545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2BC0AAC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ABC5F2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451</w:t>
            </w:r>
          </w:p>
        </w:tc>
        <w:tc>
          <w:tcPr>
            <w:tcW w:w="970" w:type="dxa"/>
            <w:tcBorders>
              <w:top w:val="nil"/>
              <w:left w:val="nil"/>
              <w:bottom w:val="single" w:sz="4" w:space="0" w:color="auto"/>
              <w:right w:val="nil"/>
            </w:tcBorders>
          </w:tcPr>
          <w:p w14:paraId="179A397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129BBFE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1EF9A7" w14:textId="65A3AD0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4B5C86F6" w14:textId="620DF6C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37B2589E" w14:textId="4972CCE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4FFE89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2F3A6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854FB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F43EBFA" w14:textId="2B6AD62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79A34C2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64E07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452</w:t>
            </w:r>
          </w:p>
        </w:tc>
        <w:tc>
          <w:tcPr>
            <w:tcW w:w="970" w:type="dxa"/>
            <w:tcBorders>
              <w:top w:val="nil"/>
              <w:left w:val="nil"/>
              <w:bottom w:val="single" w:sz="4" w:space="0" w:color="auto"/>
              <w:right w:val="nil"/>
            </w:tcBorders>
          </w:tcPr>
          <w:p w14:paraId="4E045AA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181754B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1A07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4BA5B38B" w14:textId="76E207D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8.1. – 8.4., Art. 4.4. i 4.5. RDW</w:t>
            </w:r>
            <w:r w:rsidRPr="0028666F">
              <w:rPr>
                <w:rFonts w:ascii="Calibri" w:eastAsia="Times New Roman" w:hAnsi="Calibri" w:cs="Calibri"/>
                <w:color w:val="000000"/>
                <w:sz w:val="18"/>
                <w:szCs w:val="18"/>
                <w:lang w:eastAsia="pl-PL"/>
              </w:rPr>
              <w:br/>
              <w:t>Treść uwagi: 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p>
        </w:tc>
        <w:tc>
          <w:tcPr>
            <w:tcW w:w="2733" w:type="dxa"/>
            <w:tcBorders>
              <w:top w:val="nil"/>
              <w:left w:val="nil"/>
              <w:bottom w:val="single" w:sz="4" w:space="0" w:color="auto"/>
              <w:right w:val="single" w:sz="4" w:space="0" w:color="auto"/>
            </w:tcBorders>
            <w:shd w:val="clear" w:color="auto" w:fill="auto"/>
            <w:hideMark/>
          </w:tcPr>
          <w:p w14:paraId="2EE5B5B6" w14:textId="192653C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p>
        </w:tc>
        <w:tc>
          <w:tcPr>
            <w:tcW w:w="3009" w:type="dxa"/>
            <w:tcBorders>
              <w:top w:val="nil"/>
              <w:left w:val="nil"/>
              <w:bottom w:val="single" w:sz="4" w:space="0" w:color="auto"/>
              <w:right w:val="single" w:sz="4" w:space="0" w:color="auto"/>
            </w:tcBorders>
            <w:shd w:val="clear" w:color="auto" w:fill="auto"/>
            <w:hideMark/>
          </w:tcPr>
          <w:p w14:paraId="3D78D5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F9A7CD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4B487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CB728C1" w14:textId="13093A6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2384CCB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8AD5E6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453</w:t>
            </w:r>
          </w:p>
        </w:tc>
        <w:tc>
          <w:tcPr>
            <w:tcW w:w="970" w:type="dxa"/>
            <w:tcBorders>
              <w:top w:val="nil"/>
              <w:left w:val="nil"/>
              <w:bottom w:val="single" w:sz="4" w:space="0" w:color="auto"/>
              <w:right w:val="nil"/>
            </w:tcBorders>
          </w:tcPr>
          <w:p w14:paraId="7E0BF83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C3E9C3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8FCC1F9" w14:textId="0E96FCF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13AA6A4A" w14:textId="3CDB810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2733" w:type="dxa"/>
            <w:tcBorders>
              <w:top w:val="nil"/>
              <w:left w:val="nil"/>
              <w:bottom w:val="single" w:sz="4" w:space="0" w:color="auto"/>
              <w:right w:val="single" w:sz="4" w:space="0" w:color="auto"/>
            </w:tcBorders>
            <w:shd w:val="clear" w:color="auto" w:fill="auto"/>
            <w:hideMark/>
          </w:tcPr>
          <w:p w14:paraId="0BBC640A" w14:textId="26AAC80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55568E3A" w14:textId="7ADF679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749B22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E89997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FD18268" w14:textId="54E7735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381B832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8AD4DF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454</w:t>
            </w:r>
          </w:p>
        </w:tc>
        <w:tc>
          <w:tcPr>
            <w:tcW w:w="970" w:type="dxa"/>
            <w:tcBorders>
              <w:top w:val="nil"/>
              <w:left w:val="nil"/>
              <w:bottom w:val="single" w:sz="4" w:space="0" w:color="auto"/>
              <w:right w:val="nil"/>
            </w:tcBorders>
          </w:tcPr>
          <w:p w14:paraId="6B95926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41ECC7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C97CB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665C8A9" w14:textId="24924D4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79CFBD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Usunąć z listy odstępstw te, dla których uzasadnienia stoją w sprzeczności z KPRWP i dla których możliwe są działania poprawiające stan fizykochemiczny wód.</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1B358D2" w14:textId="121CE7D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4863373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4B46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FD2E156" w14:textId="52CB6C7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33566C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28319A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455</w:t>
            </w:r>
          </w:p>
        </w:tc>
        <w:tc>
          <w:tcPr>
            <w:tcW w:w="970" w:type="dxa"/>
            <w:tcBorders>
              <w:top w:val="nil"/>
              <w:left w:val="nil"/>
              <w:bottom w:val="single" w:sz="4" w:space="0" w:color="auto"/>
              <w:right w:val="nil"/>
            </w:tcBorders>
          </w:tcPr>
          <w:p w14:paraId="4A7BF52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1077EE8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407387D" w14:textId="4C7422B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040F0621" w14:textId="21BC0B5E"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28666F">
              <w:rPr>
                <w:rFonts w:ascii="Calibri" w:eastAsia="Times New Roman" w:hAnsi="Calibri" w:cs="Calibri"/>
                <w:color w:val="000000"/>
                <w:sz w:val="18"/>
                <w:szCs w:val="18"/>
                <w:lang w:eastAsia="pl-PL"/>
              </w:rPr>
              <w:br/>
              <w:t>Wyznaczenie SZCW niezgodnie z metodyką</w:t>
            </w:r>
          </w:p>
        </w:tc>
        <w:tc>
          <w:tcPr>
            <w:tcW w:w="2733" w:type="dxa"/>
            <w:tcBorders>
              <w:top w:val="nil"/>
              <w:left w:val="nil"/>
              <w:bottom w:val="single" w:sz="4" w:space="0" w:color="auto"/>
              <w:right w:val="single" w:sz="4" w:space="0" w:color="auto"/>
            </w:tcBorders>
            <w:shd w:val="clear" w:color="auto" w:fill="auto"/>
            <w:hideMark/>
          </w:tcPr>
          <w:p w14:paraId="4F6AD6FC"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50C667D3" w14:textId="4A48721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6689E1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2900E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B875E31" w14:textId="19441E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2013CC9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2B4A63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456</w:t>
            </w:r>
          </w:p>
        </w:tc>
        <w:tc>
          <w:tcPr>
            <w:tcW w:w="970" w:type="dxa"/>
            <w:tcBorders>
              <w:top w:val="nil"/>
              <w:left w:val="nil"/>
              <w:bottom w:val="single" w:sz="4" w:space="0" w:color="auto"/>
              <w:right w:val="nil"/>
            </w:tcBorders>
          </w:tcPr>
          <w:p w14:paraId="6758DE6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5759C4A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9DA2F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3256A29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16, Zał. 6 </w:t>
            </w:r>
            <w:r w:rsidRPr="0028666F">
              <w:rPr>
                <w:rFonts w:ascii="Calibri" w:eastAsia="Times New Roman" w:hAnsi="Calibri" w:cs="Calibri"/>
                <w:color w:val="000000"/>
                <w:sz w:val="18"/>
                <w:szCs w:val="18"/>
                <w:lang w:eastAsia="pl-PL"/>
              </w:rPr>
              <w:br/>
              <w:t xml:space="preserve">Treść uwagi: 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0A8B5C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23535ABB"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720" w:type="dxa"/>
            <w:tcBorders>
              <w:top w:val="nil"/>
              <w:left w:val="nil"/>
              <w:bottom w:val="single" w:sz="4" w:space="0" w:color="auto"/>
              <w:right w:val="single" w:sz="4" w:space="0" w:color="auto"/>
            </w:tcBorders>
            <w:shd w:val="clear" w:color="000000" w:fill="FFFFFF"/>
            <w:hideMark/>
          </w:tcPr>
          <w:p w14:paraId="4FCC88E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4ADF9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157603C" w14:textId="7DC5544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19818683"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29D95A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457</w:t>
            </w:r>
          </w:p>
        </w:tc>
        <w:tc>
          <w:tcPr>
            <w:tcW w:w="970" w:type="dxa"/>
            <w:tcBorders>
              <w:top w:val="nil"/>
              <w:left w:val="nil"/>
              <w:bottom w:val="single" w:sz="4" w:space="0" w:color="auto"/>
              <w:right w:val="nil"/>
            </w:tcBorders>
          </w:tcPr>
          <w:p w14:paraId="6283E43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78D7E28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D1B5F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6E1BD8C8" w14:textId="35B1208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w:t>
            </w:r>
            <w:r w:rsidRPr="0028666F">
              <w:rPr>
                <w:rFonts w:ascii="Calibri" w:eastAsia="Times New Roman" w:hAnsi="Calibri" w:cs="Calibri"/>
                <w:color w:val="000000"/>
                <w:sz w:val="18"/>
                <w:szCs w:val="18"/>
                <w:lang w:eastAsia="pl-PL"/>
              </w:rPr>
              <w:br/>
              <w:t>Monitoring</w:t>
            </w:r>
          </w:p>
        </w:tc>
        <w:tc>
          <w:tcPr>
            <w:tcW w:w="2733" w:type="dxa"/>
            <w:tcBorders>
              <w:top w:val="nil"/>
              <w:left w:val="nil"/>
              <w:bottom w:val="single" w:sz="4" w:space="0" w:color="auto"/>
              <w:right w:val="single" w:sz="4" w:space="0" w:color="auto"/>
            </w:tcBorders>
            <w:shd w:val="clear" w:color="auto" w:fill="auto"/>
            <w:hideMark/>
          </w:tcPr>
          <w:p w14:paraId="3D58724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052517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7AFB31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19E178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8F992CC" w14:textId="6A27DD2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4110DA5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912005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458</w:t>
            </w:r>
          </w:p>
        </w:tc>
        <w:tc>
          <w:tcPr>
            <w:tcW w:w="970" w:type="dxa"/>
            <w:tcBorders>
              <w:top w:val="nil"/>
              <w:left w:val="nil"/>
              <w:bottom w:val="single" w:sz="4" w:space="0" w:color="auto"/>
              <w:right w:val="nil"/>
            </w:tcBorders>
          </w:tcPr>
          <w:p w14:paraId="62A4F9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E049E2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2344B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B465D4A" w14:textId="1E74483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Katalogi działań</w:t>
            </w:r>
            <w:r w:rsidRPr="0028666F">
              <w:rPr>
                <w:rFonts w:ascii="Calibri" w:eastAsia="Times New Roman" w:hAnsi="Calibri" w:cs="Calibri"/>
                <w:color w:val="000000"/>
                <w:sz w:val="18"/>
                <w:szCs w:val="18"/>
                <w:lang w:eastAsia="pl-PL"/>
              </w:rPr>
              <w:br w:type="page"/>
              <w:t>Treść uwagi: 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Ochrona i zwiększanie retencji na obszarach rolniczych.</w:t>
            </w:r>
            <w:r w:rsidRPr="0028666F">
              <w:rPr>
                <w:rFonts w:ascii="Calibri" w:eastAsia="Times New Roman" w:hAnsi="Calibri" w:cs="Calibri"/>
                <w:color w:val="000000"/>
                <w:sz w:val="18"/>
                <w:szCs w:val="18"/>
                <w:lang w:eastAsia="pl-PL"/>
              </w:rPr>
              <w:br w:type="page"/>
              <w:t>Ochrona i zwiększanie retencji leśnej.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RWC_01.07</w:t>
            </w:r>
            <w:r w:rsidRPr="0028666F">
              <w:rPr>
                <w:rFonts w:ascii="Calibri" w:eastAsia="Times New Roman" w:hAnsi="Calibri" w:cs="Calibri"/>
                <w:color w:val="000000"/>
                <w:sz w:val="18"/>
                <w:szCs w:val="18"/>
                <w:lang w:eastAsia="pl-PL"/>
              </w:rPr>
              <w:br w:type="page"/>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RWC_01.05.</w:t>
            </w:r>
            <w:r w:rsidRPr="0028666F">
              <w:rPr>
                <w:rFonts w:ascii="Calibri" w:eastAsia="Times New Roman" w:hAnsi="Calibri" w:cs="Calibri"/>
                <w:color w:val="000000"/>
                <w:sz w:val="18"/>
                <w:szCs w:val="18"/>
                <w:lang w:eastAsia="pl-PL"/>
              </w:rPr>
              <w:br w:type="page"/>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ype="page"/>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ype="page"/>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ype="page"/>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0575DF1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15FD1F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2AAE1B5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45A8D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50E6CB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5FC9BC8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E948E33"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459</w:t>
            </w:r>
          </w:p>
        </w:tc>
        <w:tc>
          <w:tcPr>
            <w:tcW w:w="970" w:type="dxa"/>
            <w:tcBorders>
              <w:top w:val="nil"/>
              <w:left w:val="nil"/>
              <w:bottom w:val="single" w:sz="4" w:space="0" w:color="auto"/>
              <w:right w:val="nil"/>
            </w:tcBorders>
          </w:tcPr>
          <w:p w14:paraId="6420118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3D4CF0B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BBC38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0EDD29BC" w14:textId="260E71B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w:t>
            </w:r>
            <w:r w:rsidRPr="0028666F">
              <w:rPr>
                <w:rFonts w:ascii="Calibri" w:eastAsia="Times New Roman" w:hAnsi="Calibri" w:cs="Calibri"/>
                <w:color w:val="000000"/>
                <w:sz w:val="18"/>
                <w:szCs w:val="18"/>
                <w:lang w:eastAsia="pl-PL"/>
              </w:rPr>
              <w:br/>
              <w:t>Monitoring</w:t>
            </w:r>
          </w:p>
        </w:tc>
        <w:tc>
          <w:tcPr>
            <w:tcW w:w="2733" w:type="dxa"/>
            <w:tcBorders>
              <w:top w:val="nil"/>
              <w:left w:val="nil"/>
              <w:bottom w:val="single" w:sz="4" w:space="0" w:color="auto"/>
              <w:right w:val="single" w:sz="4" w:space="0" w:color="auto"/>
            </w:tcBorders>
            <w:shd w:val="clear" w:color="auto" w:fill="auto"/>
            <w:hideMark/>
          </w:tcPr>
          <w:p w14:paraId="5596C96B" w14:textId="7B57470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14B9E9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3B42DF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F8730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04AC739" w14:textId="0C256FE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5B04B93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951A92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460</w:t>
            </w:r>
          </w:p>
        </w:tc>
        <w:tc>
          <w:tcPr>
            <w:tcW w:w="970" w:type="dxa"/>
            <w:tcBorders>
              <w:top w:val="nil"/>
              <w:left w:val="nil"/>
              <w:bottom w:val="single" w:sz="4" w:space="0" w:color="auto"/>
              <w:right w:val="nil"/>
            </w:tcBorders>
          </w:tcPr>
          <w:p w14:paraId="2CD34CE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41393C6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BCF7E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241806D" w14:textId="176A8E0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barier migracyjnych</w:t>
            </w:r>
            <w:r w:rsidRPr="0028666F">
              <w:rPr>
                <w:rFonts w:ascii="Calibri" w:eastAsia="Times New Roman" w:hAnsi="Calibri" w:cs="Calibri"/>
                <w:color w:val="000000"/>
                <w:sz w:val="18"/>
                <w:szCs w:val="18"/>
                <w:lang w:eastAsia="pl-PL"/>
              </w:rPr>
              <w:br/>
              <w:t>Treść uwagi: 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55E8C7A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5E3FA3B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4A79563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BEE2E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6B69F5B9" w14:textId="5EB4CCC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4D67EEA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F4221F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461</w:t>
            </w:r>
          </w:p>
        </w:tc>
        <w:tc>
          <w:tcPr>
            <w:tcW w:w="970" w:type="dxa"/>
            <w:tcBorders>
              <w:top w:val="nil"/>
              <w:left w:val="nil"/>
              <w:bottom w:val="single" w:sz="4" w:space="0" w:color="auto"/>
              <w:right w:val="nil"/>
            </w:tcBorders>
          </w:tcPr>
          <w:p w14:paraId="071DAFF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18F34E4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90F97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763C4D13" w14:textId="6631DA2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28666F">
              <w:rPr>
                <w:rFonts w:ascii="Calibri" w:eastAsia="Times New Roman" w:hAnsi="Calibri" w:cs="Calibri"/>
                <w:color w:val="000000"/>
                <w:sz w:val="18"/>
                <w:szCs w:val="18"/>
                <w:lang w:eastAsia="pl-PL"/>
              </w:rPr>
              <w:br/>
              <w:t xml:space="preserve">Presja, Cele środowiskowe, </w:t>
            </w:r>
          </w:p>
        </w:tc>
        <w:tc>
          <w:tcPr>
            <w:tcW w:w="2733" w:type="dxa"/>
            <w:tcBorders>
              <w:top w:val="nil"/>
              <w:left w:val="nil"/>
              <w:bottom w:val="single" w:sz="4" w:space="0" w:color="auto"/>
              <w:right w:val="single" w:sz="4" w:space="0" w:color="auto"/>
            </w:tcBorders>
            <w:shd w:val="clear" w:color="auto" w:fill="auto"/>
            <w:hideMark/>
          </w:tcPr>
          <w:p w14:paraId="0265CCF0" w14:textId="71BA2669"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1673D0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7414A8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78BBAE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68EBFFC" w14:textId="5EBFE6A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0B3B34E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73A664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462</w:t>
            </w:r>
          </w:p>
        </w:tc>
        <w:tc>
          <w:tcPr>
            <w:tcW w:w="970" w:type="dxa"/>
            <w:tcBorders>
              <w:top w:val="nil"/>
              <w:left w:val="nil"/>
              <w:bottom w:val="single" w:sz="4" w:space="0" w:color="auto"/>
              <w:right w:val="nil"/>
            </w:tcBorders>
          </w:tcPr>
          <w:p w14:paraId="0672E98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0175557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D5D121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68B13D5" w14:textId="2FD5B97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Treść uwagi: 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6084A8CF"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Udrożnić dla ryb zaporę Zb. Jeziorsko odcinającą całą górna zlewnię Warty.</w:t>
            </w:r>
          </w:p>
        </w:tc>
        <w:tc>
          <w:tcPr>
            <w:tcW w:w="3009" w:type="dxa"/>
            <w:tcBorders>
              <w:top w:val="nil"/>
              <w:left w:val="nil"/>
              <w:bottom w:val="single" w:sz="4" w:space="0" w:color="auto"/>
              <w:right w:val="single" w:sz="4" w:space="0" w:color="auto"/>
            </w:tcBorders>
            <w:shd w:val="clear" w:color="auto" w:fill="auto"/>
            <w:hideMark/>
          </w:tcPr>
          <w:p w14:paraId="5C4CE7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D67DA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444E2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41B30107" w14:textId="59D5D10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4BB1033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96A113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463</w:t>
            </w:r>
          </w:p>
        </w:tc>
        <w:tc>
          <w:tcPr>
            <w:tcW w:w="970" w:type="dxa"/>
            <w:tcBorders>
              <w:top w:val="nil"/>
              <w:left w:val="nil"/>
              <w:bottom w:val="single" w:sz="4" w:space="0" w:color="auto"/>
              <w:right w:val="nil"/>
            </w:tcBorders>
          </w:tcPr>
          <w:p w14:paraId="7523F9E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0037A56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1D061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623BBD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r w:rsidRPr="0028666F">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9 </w:t>
            </w:r>
            <w:r w:rsidRPr="0028666F">
              <w:rPr>
                <w:rFonts w:ascii="Calibri" w:eastAsia="Times New Roman" w:hAnsi="Calibri" w:cs="Calibri"/>
                <w:color w:val="000000"/>
                <w:sz w:val="18"/>
                <w:szCs w:val="18"/>
                <w:lang w:eastAsia="pl-PL"/>
              </w:rPr>
              <w:br w:type="page"/>
              <w:t>Postęp i wdrożenie działań 2016-2021</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28E7D74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13ACBA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27A3D87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B3AD9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F1820D9" w14:textId="1B935F4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7C2B40" w:rsidRPr="0028666F" w14:paraId="38F2643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0D6364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464</w:t>
            </w:r>
          </w:p>
        </w:tc>
        <w:tc>
          <w:tcPr>
            <w:tcW w:w="970" w:type="dxa"/>
            <w:tcBorders>
              <w:top w:val="nil"/>
              <w:left w:val="nil"/>
              <w:bottom w:val="single" w:sz="4" w:space="0" w:color="auto"/>
              <w:right w:val="nil"/>
            </w:tcBorders>
          </w:tcPr>
          <w:p w14:paraId="14ECB94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588BB15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21EBE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083FB87"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PIĘTRZEŃ</w:t>
            </w:r>
            <w:r w:rsidRPr="0028666F">
              <w:rPr>
                <w:rFonts w:ascii="Calibri" w:eastAsia="Times New Roman" w:hAnsi="Calibri" w:cs="Calibri"/>
                <w:color w:val="000000"/>
                <w:sz w:val="18"/>
                <w:szCs w:val="18"/>
                <w:lang w:eastAsia="pl-PL"/>
              </w:rPr>
              <w:br/>
              <w:t>Treść uwagi: 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p>
        </w:tc>
        <w:tc>
          <w:tcPr>
            <w:tcW w:w="2733" w:type="dxa"/>
            <w:tcBorders>
              <w:top w:val="nil"/>
              <w:left w:val="nil"/>
              <w:bottom w:val="single" w:sz="4" w:space="0" w:color="auto"/>
              <w:right w:val="single" w:sz="4" w:space="0" w:color="auto"/>
            </w:tcBorders>
            <w:shd w:val="clear" w:color="auto" w:fill="auto"/>
            <w:hideMark/>
          </w:tcPr>
          <w:p w14:paraId="12557078"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p>
        </w:tc>
        <w:tc>
          <w:tcPr>
            <w:tcW w:w="3009" w:type="dxa"/>
            <w:tcBorders>
              <w:top w:val="nil"/>
              <w:left w:val="nil"/>
              <w:bottom w:val="single" w:sz="4" w:space="0" w:color="auto"/>
              <w:right w:val="single" w:sz="4" w:space="0" w:color="auto"/>
            </w:tcBorders>
            <w:shd w:val="clear" w:color="auto" w:fill="auto"/>
            <w:hideMark/>
          </w:tcPr>
          <w:p w14:paraId="72C870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0EA0286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13BED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6325B7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389045BB"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5FB646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465</w:t>
            </w:r>
          </w:p>
        </w:tc>
        <w:tc>
          <w:tcPr>
            <w:tcW w:w="970" w:type="dxa"/>
            <w:tcBorders>
              <w:top w:val="nil"/>
              <w:left w:val="nil"/>
              <w:bottom w:val="single" w:sz="4" w:space="0" w:color="auto"/>
              <w:right w:val="nil"/>
            </w:tcBorders>
          </w:tcPr>
          <w:p w14:paraId="584795C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4D494B9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E562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6E05899C" w14:textId="48628162"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28666F">
              <w:rPr>
                <w:rFonts w:ascii="Calibri" w:eastAsia="Times New Roman" w:hAnsi="Calibri" w:cs="Calibri"/>
                <w:color w:val="000000"/>
                <w:sz w:val="18"/>
                <w:szCs w:val="18"/>
                <w:lang w:eastAsia="pl-PL"/>
              </w:rPr>
              <w:br/>
              <w:t xml:space="preserve">Działania 2aPGW KPRWP – raport </w:t>
            </w:r>
          </w:p>
        </w:tc>
        <w:tc>
          <w:tcPr>
            <w:tcW w:w="2733" w:type="dxa"/>
            <w:tcBorders>
              <w:top w:val="nil"/>
              <w:left w:val="nil"/>
              <w:bottom w:val="single" w:sz="4" w:space="0" w:color="auto"/>
              <w:right w:val="single" w:sz="4" w:space="0" w:color="auto"/>
            </w:tcBorders>
            <w:shd w:val="clear" w:color="auto" w:fill="auto"/>
            <w:hideMark/>
          </w:tcPr>
          <w:p w14:paraId="657D1EAE" w14:textId="5ACECEC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0C0EE08A" w14:textId="44B055A9"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31C8D4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07E4F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08B8E75B" w14:textId="05866EE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4A55F61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CFFAB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466</w:t>
            </w:r>
          </w:p>
        </w:tc>
        <w:tc>
          <w:tcPr>
            <w:tcW w:w="970" w:type="dxa"/>
            <w:tcBorders>
              <w:top w:val="nil"/>
              <w:left w:val="nil"/>
              <w:bottom w:val="single" w:sz="4" w:space="0" w:color="auto"/>
              <w:right w:val="nil"/>
            </w:tcBorders>
          </w:tcPr>
          <w:p w14:paraId="72D18C6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6C0524E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C65ED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0D53BA96" w14:textId="1B75FC3D"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prawne i administracyjne</w:t>
            </w:r>
            <w:r w:rsidRPr="0028666F">
              <w:rPr>
                <w:rFonts w:ascii="Calibri" w:eastAsia="Times New Roman" w:hAnsi="Calibri" w:cs="Calibri"/>
                <w:color w:val="000000"/>
                <w:sz w:val="18"/>
                <w:szCs w:val="18"/>
                <w:lang w:eastAsia="pl-PL"/>
              </w:rPr>
              <w:br/>
              <w:t xml:space="preserve">Treść uwagi: 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2733" w:type="dxa"/>
            <w:tcBorders>
              <w:top w:val="nil"/>
              <w:left w:val="nil"/>
              <w:bottom w:val="single" w:sz="4" w:space="0" w:color="auto"/>
              <w:right w:val="single" w:sz="4" w:space="0" w:color="auto"/>
            </w:tcBorders>
            <w:shd w:val="clear" w:color="auto" w:fill="auto"/>
            <w:hideMark/>
          </w:tcPr>
          <w:p w14:paraId="6029C37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3D3D78B0" w14:textId="6059829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7A4BCF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96274F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12E5A95" w14:textId="1C8C340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4D468EC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ECDF89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467</w:t>
            </w:r>
          </w:p>
        </w:tc>
        <w:tc>
          <w:tcPr>
            <w:tcW w:w="970" w:type="dxa"/>
            <w:tcBorders>
              <w:top w:val="nil"/>
              <w:left w:val="nil"/>
              <w:bottom w:val="single" w:sz="4" w:space="0" w:color="auto"/>
              <w:right w:val="nil"/>
            </w:tcBorders>
          </w:tcPr>
          <w:p w14:paraId="1EC7845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672CC74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E51E05" w14:textId="0984D7F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5000" w:type="dxa"/>
            <w:tcBorders>
              <w:top w:val="nil"/>
              <w:left w:val="nil"/>
              <w:bottom w:val="single" w:sz="4" w:space="0" w:color="auto"/>
              <w:right w:val="single" w:sz="4" w:space="0" w:color="auto"/>
            </w:tcBorders>
            <w:shd w:val="clear" w:color="auto" w:fill="auto"/>
            <w:hideMark/>
          </w:tcPr>
          <w:p w14:paraId="5FBD86FF" w14:textId="582217A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ype="page"/>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Rozdz. 8.1. – 8.4.</w:t>
            </w:r>
            <w:r w:rsidRPr="0028666F">
              <w:rPr>
                <w:rFonts w:ascii="Calibri" w:eastAsia="Times New Roman" w:hAnsi="Calibri" w:cs="Calibri"/>
                <w:color w:val="000000"/>
                <w:sz w:val="18"/>
                <w:szCs w:val="18"/>
                <w:lang w:eastAsia="pl-PL"/>
              </w:rPr>
              <w:br w:type="page"/>
              <w:t>Art. 4.4. i 4.5.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04F0D508" w14:textId="4FE1DC0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262959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1B4AADC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AF8910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CE0205E" w14:textId="32498FF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1C6E84D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6E0B0A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468</w:t>
            </w:r>
          </w:p>
        </w:tc>
        <w:tc>
          <w:tcPr>
            <w:tcW w:w="970" w:type="dxa"/>
            <w:tcBorders>
              <w:top w:val="nil"/>
              <w:left w:val="nil"/>
              <w:bottom w:val="single" w:sz="4" w:space="0" w:color="auto"/>
              <w:right w:val="nil"/>
            </w:tcBorders>
          </w:tcPr>
          <w:p w14:paraId="14E5C54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4DCDB04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6F1315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DFEDFB9" w14:textId="42A0826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Konkretne zmiany prawne</w:t>
            </w:r>
            <w:r w:rsidRPr="0028666F">
              <w:rPr>
                <w:rFonts w:ascii="Calibri" w:eastAsia="Times New Roman" w:hAnsi="Calibri" w:cs="Calibri"/>
                <w:color w:val="000000"/>
                <w:sz w:val="18"/>
                <w:szCs w:val="18"/>
                <w:lang w:eastAsia="pl-PL"/>
              </w:rPr>
              <w:br/>
              <w:t>Treść uwagi: 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2733" w:type="dxa"/>
            <w:tcBorders>
              <w:top w:val="nil"/>
              <w:left w:val="nil"/>
              <w:bottom w:val="single" w:sz="4" w:space="0" w:color="auto"/>
              <w:right w:val="single" w:sz="4" w:space="0" w:color="auto"/>
            </w:tcBorders>
            <w:shd w:val="clear" w:color="auto" w:fill="auto"/>
            <w:hideMark/>
          </w:tcPr>
          <w:p w14:paraId="45D9A5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9AE41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3D0F6D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3F3139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F43F081" w14:textId="7846E93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6B3B712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6EB0F3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469</w:t>
            </w:r>
          </w:p>
        </w:tc>
        <w:tc>
          <w:tcPr>
            <w:tcW w:w="970" w:type="dxa"/>
            <w:tcBorders>
              <w:top w:val="nil"/>
              <w:left w:val="nil"/>
              <w:bottom w:val="single" w:sz="4" w:space="0" w:color="auto"/>
              <w:right w:val="nil"/>
            </w:tcBorders>
          </w:tcPr>
          <w:p w14:paraId="12B4568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B692C5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D6427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ZAŁĄCZNIKI IIaPGW</w:t>
            </w:r>
          </w:p>
        </w:tc>
        <w:tc>
          <w:tcPr>
            <w:tcW w:w="5000" w:type="dxa"/>
            <w:tcBorders>
              <w:top w:val="nil"/>
              <w:left w:val="nil"/>
              <w:bottom w:val="single" w:sz="4" w:space="0" w:color="auto"/>
              <w:right w:val="single" w:sz="4" w:space="0" w:color="auto"/>
            </w:tcBorders>
            <w:shd w:val="clear" w:color="auto" w:fill="auto"/>
            <w:hideMark/>
          </w:tcPr>
          <w:p w14:paraId="42C0D906" w14:textId="64E73C1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7B52968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2A652FE7" w14:textId="3B54365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06EB84C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45110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4F2A1F2" w14:textId="7CC08DF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7FFD5CF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271578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470</w:t>
            </w:r>
          </w:p>
        </w:tc>
        <w:tc>
          <w:tcPr>
            <w:tcW w:w="970" w:type="dxa"/>
            <w:tcBorders>
              <w:top w:val="nil"/>
              <w:left w:val="nil"/>
              <w:bottom w:val="single" w:sz="4" w:space="0" w:color="auto"/>
              <w:right w:val="nil"/>
            </w:tcBorders>
          </w:tcPr>
          <w:p w14:paraId="3138FA2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71E208B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774CD5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26F738E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w funkcjonowaniu zarządzania wód</w:t>
            </w:r>
            <w:r w:rsidRPr="0028666F">
              <w:rPr>
                <w:rFonts w:ascii="Calibri" w:eastAsia="Times New Roman" w:hAnsi="Calibri" w:cs="Calibri"/>
                <w:color w:val="000000"/>
                <w:sz w:val="18"/>
                <w:szCs w:val="18"/>
                <w:lang w:eastAsia="pl-PL"/>
              </w:rPr>
              <w:br/>
              <w:t>Treść uwagi: Bez modyfikacji podejścia Wód Polskich do tematu prac utrzymaniowych na rzekach i potokach oraz ciągłego monitoringu tego procesu stan wód będzie się pogarszał, przez m.in. zwiększenie presji hydromorfologicznej i pochodzącej z rolnictwa.</w:t>
            </w:r>
          </w:p>
        </w:tc>
        <w:tc>
          <w:tcPr>
            <w:tcW w:w="2733" w:type="dxa"/>
            <w:tcBorders>
              <w:top w:val="nil"/>
              <w:left w:val="nil"/>
              <w:bottom w:val="single" w:sz="4" w:space="0" w:color="auto"/>
              <w:right w:val="single" w:sz="4" w:space="0" w:color="auto"/>
            </w:tcBorders>
            <w:shd w:val="clear" w:color="auto" w:fill="auto"/>
            <w:hideMark/>
          </w:tcPr>
          <w:p w14:paraId="754E169B" w14:textId="5C1D840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4FC636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022DCE7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255953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84A933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mają rangę rozporządzenia, są ogólnodostepne i powszechnie obowiązujące.</w:t>
            </w:r>
          </w:p>
        </w:tc>
      </w:tr>
      <w:tr w:rsidR="007C2B40" w:rsidRPr="0028666F" w14:paraId="78BB8F7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5E5843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471</w:t>
            </w:r>
          </w:p>
        </w:tc>
        <w:tc>
          <w:tcPr>
            <w:tcW w:w="970" w:type="dxa"/>
            <w:tcBorders>
              <w:top w:val="nil"/>
              <w:left w:val="nil"/>
              <w:bottom w:val="single" w:sz="4" w:space="0" w:color="auto"/>
              <w:right w:val="nil"/>
            </w:tcBorders>
          </w:tcPr>
          <w:p w14:paraId="410D38D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Stowarzyszenie Ekologiczne EKO-UNIA </w:t>
            </w:r>
          </w:p>
        </w:tc>
        <w:tc>
          <w:tcPr>
            <w:tcW w:w="165" w:type="dxa"/>
            <w:tcBorders>
              <w:top w:val="nil"/>
              <w:left w:val="nil"/>
              <w:bottom w:val="single" w:sz="4" w:space="0" w:color="auto"/>
              <w:right w:val="single" w:sz="4" w:space="0" w:color="auto"/>
            </w:tcBorders>
            <w:shd w:val="clear" w:color="auto" w:fill="auto"/>
          </w:tcPr>
          <w:p w14:paraId="3349B52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DB712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3534BB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Zmiany w ocenie postępu działań – co 2 lata </w:t>
            </w:r>
            <w:r w:rsidRPr="0028666F">
              <w:rPr>
                <w:rFonts w:ascii="Calibri" w:eastAsia="Times New Roman" w:hAnsi="Calibri" w:cs="Calibri"/>
                <w:color w:val="000000"/>
                <w:sz w:val="18"/>
                <w:szCs w:val="18"/>
                <w:lang w:eastAsia="pl-PL"/>
              </w:rPr>
              <w:br/>
              <w:t>Treść uwagi: W przypadku budowli do udrożnienia, dla których nie sporządzono dokumentacji, powinny być ustalone następujące maksymalne terminy do oceny postępu działań: 2 lata – analiza sposobu udrożnienia/ 2 lata – projekt i decyzje / 2 lata – wykonanie.</w:t>
            </w:r>
          </w:p>
        </w:tc>
        <w:tc>
          <w:tcPr>
            <w:tcW w:w="2733" w:type="dxa"/>
            <w:tcBorders>
              <w:top w:val="nil"/>
              <w:left w:val="nil"/>
              <w:bottom w:val="single" w:sz="4" w:space="0" w:color="auto"/>
              <w:right w:val="single" w:sz="4" w:space="0" w:color="auto"/>
            </w:tcBorders>
            <w:shd w:val="clear" w:color="auto" w:fill="auto"/>
            <w:hideMark/>
          </w:tcPr>
          <w:p w14:paraId="0D8C64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5DE725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07A51CC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44ECC2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DFB9CC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707C7A3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E7B68A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472</w:t>
            </w:r>
          </w:p>
        </w:tc>
        <w:tc>
          <w:tcPr>
            <w:tcW w:w="970" w:type="dxa"/>
            <w:tcBorders>
              <w:top w:val="nil"/>
              <w:left w:val="nil"/>
              <w:bottom w:val="single" w:sz="4" w:space="0" w:color="auto"/>
              <w:right w:val="nil"/>
            </w:tcBorders>
          </w:tcPr>
          <w:p w14:paraId="6F6B815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0A4E1EA2"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1F9E4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1AC0C0F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16, Zał. 6 </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6FB6DCD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5543885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1AD22FE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C8355A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57ABB9F" w14:textId="408CE1E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79C86BE6"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2692CF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473</w:t>
            </w:r>
          </w:p>
        </w:tc>
        <w:tc>
          <w:tcPr>
            <w:tcW w:w="970" w:type="dxa"/>
            <w:tcBorders>
              <w:top w:val="nil"/>
              <w:left w:val="nil"/>
              <w:bottom w:val="single" w:sz="4" w:space="0" w:color="auto"/>
              <w:right w:val="nil"/>
            </w:tcBorders>
          </w:tcPr>
          <w:p w14:paraId="47EF580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4411AD7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53941D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309ECB9D" w14:textId="53C11A9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Ochrona i zwiększanie retencji na obszarach rolniczych.</w:t>
            </w:r>
            <w:r w:rsidRPr="0028666F">
              <w:rPr>
                <w:rFonts w:ascii="Calibri" w:eastAsia="Times New Roman" w:hAnsi="Calibri" w:cs="Calibri"/>
                <w:color w:val="000000"/>
                <w:sz w:val="18"/>
                <w:szCs w:val="18"/>
                <w:lang w:eastAsia="pl-PL"/>
              </w:rPr>
              <w:br w:type="page"/>
              <w:t>Ochrona i zwiększanie retencji leśnej.</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RWC_01.07</w:t>
            </w:r>
            <w:r w:rsidRPr="0028666F">
              <w:rPr>
                <w:rFonts w:ascii="Calibri" w:eastAsia="Times New Roman" w:hAnsi="Calibri" w:cs="Calibri"/>
                <w:color w:val="000000"/>
                <w:sz w:val="18"/>
                <w:szCs w:val="18"/>
                <w:lang w:eastAsia="pl-PL"/>
              </w:rPr>
              <w:br w:type="page"/>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RWC_01.05.</w:t>
            </w:r>
            <w:r w:rsidRPr="0028666F">
              <w:rPr>
                <w:rFonts w:ascii="Calibri" w:eastAsia="Times New Roman" w:hAnsi="Calibri" w:cs="Calibri"/>
                <w:color w:val="000000"/>
                <w:sz w:val="18"/>
                <w:szCs w:val="18"/>
                <w:lang w:eastAsia="pl-PL"/>
              </w:rPr>
              <w:br w:type="page"/>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ype="page"/>
              <w:t xml:space="preserve">  </w:t>
            </w:r>
            <w:r w:rsidRPr="0028666F">
              <w:rPr>
                <w:rFonts w:ascii="Calibri" w:eastAsia="Times New Roman" w:hAnsi="Calibri" w:cs="Calibri"/>
                <w:color w:val="000000"/>
                <w:sz w:val="18"/>
                <w:szCs w:val="18"/>
                <w:lang w:eastAsia="pl-PL"/>
              </w:rPr>
              <w:br w:type="page"/>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ype="page"/>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ype="page"/>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ype="page"/>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Katalogi działań</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6F6140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396B7A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6B46990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E695AF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AD2886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24A6119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8E060A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474</w:t>
            </w:r>
          </w:p>
        </w:tc>
        <w:tc>
          <w:tcPr>
            <w:tcW w:w="970" w:type="dxa"/>
            <w:tcBorders>
              <w:top w:val="nil"/>
              <w:left w:val="nil"/>
              <w:bottom w:val="single" w:sz="4" w:space="0" w:color="auto"/>
              <w:right w:val="nil"/>
            </w:tcBorders>
          </w:tcPr>
          <w:p w14:paraId="72E8912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5F155E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1DC423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09E44DBC" w14:textId="3607823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2733" w:type="dxa"/>
            <w:tcBorders>
              <w:top w:val="nil"/>
              <w:left w:val="nil"/>
              <w:bottom w:val="single" w:sz="4" w:space="0" w:color="auto"/>
              <w:right w:val="single" w:sz="4" w:space="0" w:color="auto"/>
            </w:tcBorders>
            <w:shd w:val="clear" w:color="auto" w:fill="auto"/>
            <w:hideMark/>
          </w:tcPr>
          <w:p w14:paraId="1686E96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50B518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4E88C2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F89B4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0DDB644" w14:textId="37F2ADE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542C611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1FE95B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475</w:t>
            </w:r>
          </w:p>
        </w:tc>
        <w:tc>
          <w:tcPr>
            <w:tcW w:w="970" w:type="dxa"/>
            <w:tcBorders>
              <w:top w:val="nil"/>
              <w:left w:val="nil"/>
              <w:bottom w:val="single" w:sz="4" w:space="0" w:color="auto"/>
              <w:right w:val="nil"/>
            </w:tcBorders>
          </w:tcPr>
          <w:p w14:paraId="6EC36E7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5A71C04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8E9E66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20395810" w14:textId="0C4F1F8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Rzeka Grabia, obszar Natura 2000 "Grabia" PLH100021</w:t>
            </w:r>
            <w:r w:rsidRPr="0028666F">
              <w:rPr>
                <w:rFonts w:ascii="Calibri" w:eastAsia="Times New Roman" w:hAnsi="Calibri" w:cs="Calibri"/>
                <w:color w:val="000000"/>
                <w:sz w:val="18"/>
                <w:szCs w:val="18"/>
                <w:lang w:eastAsia="pl-PL"/>
              </w:rPr>
              <w:br/>
              <w:t>Wpis z PZO z 2014 (w zmianie PZO z 2018 też):</w:t>
            </w:r>
            <w:r w:rsidRPr="0028666F">
              <w:rPr>
                <w:rFonts w:ascii="Calibri" w:eastAsia="Times New Roman" w:hAnsi="Calibri" w:cs="Calibri"/>
                <w:color w:val="000000"/>
                <w:sz w:val="18"/>
                <w:szCs w:val="18"/>
                <w:lang w:eastAsia="pl-PL"/>
              </w:rPr>
              <w:br/>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dla ryb.</w:t>
            </w:r>
            <w:r w:rsidRPr="0028666F">
              <w:rPr>
                <w:rFonts w:ascii="Calibri" w:eastAsia="Times New Roman" w:hAnsi="Calibri" w:cs="Calibri"/>
                <w:color w:val="000000"/>
                <w:sz w:val="18"/>
                <w:szCs w:val="18"/>
                <w:lang w:eastAsia="pl-PL"/>
              </w:rPr>
              <w:br/>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Kotlina Kłodzka</w:t>
            </w:r>
            <w:r w:rsidRPr="0028666F">
              <w:rPr>
                <w:rFonts w:ascii="Calibri" w:eastAsia="Times New Roman" w:hAnsi="Calibri" w:cs="Calibri"/>
                <w:color w:val="000000"/>
                <w:sz w:val="18"/>
                <w:szCs w:val="18"/>
                <w:lang w:eastAsia="pl-PL"/>
              </w:rPr>
              <w:br/>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Gwda</w:t>
            </w:r>
            <w:r w:rsidRPr="0028666F">
              <w:rPr>
                <w:rFonts w:ascii="Calibri" w:eastAsia="Times New Roman" w:hAnsi="Calibri" w:cs="Calibri"/>
                <w:color w:val="000000"/>
                <w:sz w:val="18"/>
                <w:szCs w:val="18"/>
                <w:lang w:eastAsia="pl-PL"/>
              </w:rPr>
              <w:br/>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Zbiorniki zaporowe - Jeziorsko</w:t>
            </w:r>
            <w:r w:rsidRPr="0028666F">
              <w:rPr>
                <w:rFonts w:ascii="Calibri" w:eastAsia="Times New Roman" w:hAnsi="Calibri" w:cs="Calibri"/>
                <w:color w:val="000000"/>
                <w:sz w:val="18"/>
                <w:szCs w:val="18"/>
                <w:lang w:eastAsia="pl-PL"/>
              </w:rPr>
              <w:br/>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Stara Rega – piętrzenie nr 451</w:t>
            </w:r>
            <w:r w:rsidRPr="0028666F">
              <w:rPr>
                <w:rFonts w:ascii="Calibri" w:eastAsia="Times New Roman" w:hAnsi="Calibri" w:cs="Calibri"/>
                <w:color w:val="000000"/>
                <w:sz w:val="18"/>
                <w:szCs w:val="18"/>
                <w:lang w:eastAsia="pl-PL"/>
              </w:rPr>
              <w:br/>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Ukleja – piętrzenie nr 397</w:t>
            </w:r>
            <w:r w:rsidRPr="0028666F">
              <w:rPr>
                <w:rFonts w:ascii="Calibri" w:eastAsia="Times New Roman" w:hAnsi="Calibri" w:cs="Calibri"/>
                <w:color w:val="000000"/>
                <w:sz w:val="18"/>
                <w:szCs w:val="18"/>
                <w:lang w:eastAsia="pl-PL"/>
              </w:rPr>
              <w:br/>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2F4125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Uzupełnić działania inwestycyjne   według wymagań dla ryb (kolumny – X-AD w zał. 4 „erraty”).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Udrożnić dla ryb zaporę Zb. Jeziorsko odcinającą całą górna zlewnię Warty.</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787053B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08498C7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89DC4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2799D926" w14:textId="6EADF7B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3B3B6BD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595AAD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476</w:t>
            </w:r>
          </w:p>
        </w:tc>
        <w:tc>
          <w:tcPr>
            <w:tcW w:w="970" w:type="dxa"/>
            <w:tcBorders>
              <w:top w:val="nil"/>
              <w:left w:val="nil"/>
              <w:bottom w:val="single" w:sz="4" w:space="0" w:color="auto"/>
              <w:right w:val="nil"/>
            </w:tcBorders>
          </w:tcPr>
          <w:p w14:paraId="19C7BAC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1E54E80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A56A49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28F62B3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PIĘTRZEŃ</w:t>
            </w:r>
          </w:p>
        </w:tc>
        <w:tc>
          <w:tcPr>
            <w:tcW w:w="2733" w:type="dxa"/>
            <w:tcBorders>
              <w:top w:val="nil"/>
              <w:left w:val="nil"/>
              <w:bottom w:val="single" w:sz="4" w:space="0" w:color="auto"/>
              <w:right w:val="single" w:sz="4" w:space="0" w:color="auto"/>
            </w:tcBorders>
            <w:shd w:val="clear" w:color="auto" w:fill="auto"/>
            <w:hideMark/>
          </w:tcPr>
          <w:p w14:paraId="06E4094A"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7545137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760926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829482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42C283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5118F95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1A5D71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477</w:t>
            </w:r>
          </w:p>
        </w:tc>
        <w:tc>
          <w:tcPr>
            <w:tcW w:w="970" w:type="dxa"/>
            <w:tcBorders>
              <w:top w:val="nil"/>
              <w:left w:val="nil"/>
              <w:bottom w:val="single" w:sz="4" w:space="0" w:color="auto"/>
              <w:right w:val="nil"/>
            </w:tcBorders>
          </w:tcPr>
          <w:p w14:paraId="023AB84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1BD152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DE12E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2D3BA9B" w14:textId="29BEC7B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 Zmiany prawne i administracyjne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FAAB6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1321B59F" w14:textId="08950DD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0F4146F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64C40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64145A1" w14:textId="2027979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ype="page"/>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528C0DB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622863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478</w:t>
            </w:r>
          </w:p>
        </w:tc>
        <w:tc>
          <w:tcPr>
            <w:tcW w:w="970" w:type="dxa"/>
            <w:tcBorders>
              <w:top w:val="nil"/>
              <w:left w:val="nil"/>
              <w:bottom w:val="single" w:sz="4" w:space="0" w:color="auto"/>
              <w:right w:val="nil"/>
            </w:tcBorders>
          </w:tcPr>
          <w:p w14:paraId="3584301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B34E39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70B71B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D166839" w14:textId="6FE52DF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2733" w:type="dxa"/>
            <w:tcBorders>
              <w:top w:val="nil"/>
              <w:left w:val="nil"/>
              <w:bottom w:val="single" w:sz="4" w:space="0" w:color="auto"/>
              <w:right w:val="single" w:sz="4" w:space="0" w:color="auto"/>
            </w:tcBorders>
            <w:shd w:val="clear" w:color="auto" w:fill="auto"/>
            <w:hideMark/>
          </w:tcPr>
          <w:p w14:paraId="5FA93E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7ACAE9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57934A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5E5747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EB28B04" w14:textId="7822305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 Zakaz prac utrzymaniowych negatywnie wpływających na cele środowiskowe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zlokalizowanych na ciekach znajdujących się na terenach: parków narodowych, rezerwatów przyrody oraz w obszarach Natura 2000, za wyjątkiem działań na terenach zabudowanych;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7C2B40" w:rsidRPr="0028666F" w14:paraId="57AAD45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1F709A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479</w:t>
            </w:r>
          </w:p>
        </w:tc>
        <w:tc>
          <w:tcPr>
            <w:tcW w:w="970" w:type="dxa"/>
            <w:tcBorders>
              <w:top w:val="nil"/>
              <w:left w:val="nil"/>
              <w:bottom w:val="single" w:sz="4" w:space="0" w:color="auto"/>
              <w:right w:val="nil"/>
            </w:tcBorders>
          </w:tcPr>
          <w:p w14:paraId="5D3A6C9D"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2565A32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3184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51A8D79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2733" w:type="dxa"/>
            <w:tcBorders>
              <w:top w:val="nil"/>
              <w:left w:val="nil"/>
              <w:bottom w:val="single" w:sz="4" w:space="0" w:color="auto"/>
              <w:right w:val="single" w:sz="4" w:space="0" w:color="auto"/>
            </w:tcBorders>
            <w:shd w:val="clear" w:color="auto" w:fill="auto"/>
            <w:hideMark/>
          </w:tcPr>
          <w:p w14:paraId="55629D02" w14:textId="4292247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432E2C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5D70A48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564671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37D3E95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7C2B40" w:rsidRPr="0028666F" w14:paraId="7946C8E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FA005F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480</w:t>
            </w:r>
          </w:p>
        </w:tc>
        <w:tc>
          <w:tcPr>
            <w:tcW w:w="970" w:type="dxa"/>
            <w:tcBorders>
              <w:top w:val="nil"/>
              <w:left w:val="nil"/>
              <w:bottom w:val="single" w:sz="4" w:space="0" w:color="auto"/>
              <w:right w:val="nil"/>
            </w:tcBorders>
          </w:tcPr>
          <w:p w14:paraId="4912773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5" w:type="dxa"/>
            <w:tcBorders>
              <w:top w:val="nil"/>
              <w:left w:val="nil"/>
              <w:bottom w:val="single" w:sz="4" w:space="0" w:color="auto"/>
              <w:right w:val="single" w:sz="4" w:space="0" w:color="auto"/>
            </w:tcBorders>
            <w:shd w:val="clear" w:color="auto" w:fill="auto"/>
          </w:tcPr>
          <w:p w14:paraId="6474CE6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01E1E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E8CB37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2733" w:type="dxa"/>
            <w:tcBorders>
              <w:top w:val="nil"/>
              <w:left w:val="nil"/>
              <w:bottom w:val="single" w:sz="4" w:space="0" w:color="auto"/>
              <w:right w:val="single" w:sz="4" w:space="0" w:color="auto"/>
            </w:tcBorders>
            <w:shd w:val="clear" w:color="auto" w:fill="auto"/>
            <w:hideMark/>
          </w:tcPr>
          <w:p w14:paraId="06CD883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15EF71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1DDCA5E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4D61DD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544539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7C2B40" w:rsidRPr="0028666F" w14:paraId="3A191D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B97117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481</w:t>
            </w:r>
          </w:p>
        </w:tc>
        <w:tc>
          <w:tcPr>
            <w:tcW w:w="970" w:type="dxa"/>
            <w:tcBorders>
              <w:top w:val="nil"/>
              <w:left w:val="nil"/>
              <w:bottom w:val="single" w:sz="4" w:space="0" w:color="auto"/>
              <w:right w:val="nil"/>
            </w:tcBorders>
          </w:tcPr>
          <w:p w14:paraId="5D86460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338F95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C2826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301196AB" w14:textId="11B3914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uwaga ogólna</w:t>
            </w:r>
            <w:r w:rsidRPr="0028666F">
              <w:rPr>
                <w:rFonts w:ascii="Calibri" w:eastAsia="Times New Roman" w:hAnsi="Calibri" w:cs="Calibri"/>
                <w:color w:val="000000"/>
                <w:sz w:val="18"/>
                <w:szCs w:val="18"/>
                <w:lang w:eastAsia="pl-PL"/>
              </w:rPr>
              <w:b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28666F">
              <w:rPr>
                <w:rFonts w:ascii="Calibri" w:eastAsia="Times New Roman" w:hAnsi="Calibri" w:cs="Calibri"/>
                <w:color w:val="000000"/>
                <w:sz w:val="18"/>
                <w:szCs w:val="18"/>
                <w:lang w:eastAsia="pl-PL"/>
              </w:rPr>
              <w:br/>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zakresie wszystkich wymagań (stan wód określono w nich jako dobry). </w:t>
            </w:r>
            <w:r w:rsidRPr="0028666F">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2733" w:type="dxa"/>
            <w:tcBorders>
              <w:top w:val="nil"/>
              <w:left w:val="nil"/>
              <w:bottom w:val="single" w:sz="4" w:space="0" w:color="auto"/>
              <w:right w:val="single" w:sz="4" w:space="0" w:color="auto"/>
            </w:tcBorders>
            <w:shd w:val="clear" w:color="auto" w:fill="auto"/>
            <w:hideMark/>
          </w:tcPr>
          <w:p w14:paraId="2DCDE22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009" w:type="dxa"/>
            <w:tcBorders>
              <w:top w:val="nil"/>
              <w:left w:val="nil"/>
              <w:bottom w:val="single" w:sz="4" w:space="0" w:color="auto"/>
              <w:right w:val="single" w:sz="4" w:space="0" w:color="auto"/>
            </w:tcBorders>
            <w:shd w:val="clear" w:color="auto" w:fill="auto"/>
            <w:hideMark/>
          </w:tcPr>
          <w:p w14:paraId="4E69EFA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720" w:type="dxa"/>
            <w:tcBorders>
              <w:top w:val="nil"/>
              <w:left w:val="nil"/>
              <w:bottom w:val="single" w:sz="4" w:space="0" w:color="auto"/>
              <w:right w:val="single" w:sz="4" w:space="0" w:color="auto"/>
            </w:tcBorders>
            <w:shd w:val="clear" w:color="000000" w:fill="FFFFFF"/>
            <w:hideMark/>
          </w:tcPr>
          <w:p w14:paraId="511C7CD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EE186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652AE8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7C2B40" w:rsidRPr="0028666F" w14:paraId="519C9CA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09FB252"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482</w:t>
            </w:r>
          </w:p>
        </w:tc>
        <w:tc>
          <w:tcPr>
            <w:tcW w:w="970" w:type="dxa"/>
            <w:tcBorders>
              <w:top w:val="nil"/>
              <w:left w:val="nil"/>
              <w:bottom w:val="single" w:sz="4" w:space="0" w:color="auto"/>
              <w:right w:val="nil"/>
            </w:tcBorders>
          </w:tcPr>
          <w:p w14:paraId="3988DDF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52B80F0B"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A25E95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B74BDD7" w14:textId="2D5590E4"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r w:rsidRPr="0028666F">
              <w:rPr>
                <w:rFonts w:ascii="Calibri" w:eastAsia="Times New Roman" w:hAnsi="Calibri" w:cs="Calibri"/>
                <w:color w:val="000000"/>
                <w:sz w:val="18"/>
                <w:szCs w:val="18"/>
                <w:lang w:eastAsia="pl-PL"/>
              </w:rPr>
              <w:t xml:space="preserve"> - terminy</w:t>
            </w:r>
            <w:r w:rsidRPr="0028666F">
              <w:rPr>
                <w:rFonts w:ascii="Calibri" w:eastAsia="Times New Roman" w:hAnsi="Calibri" w:cs="Calibri"/>
                <w:color w:val="000000"/>
                <w:sz w:val="18"/>
                <w:szCs w:val="18"/>
                <w:lang w:eastAsia="pl-PL"/>
              </w:rPr>
              <w:br w:type="page"/>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Odry, wskazano, że zmianie/dodaniu ulega 69 działań w IIaPGW Odry, przy zmianach celów środowiskowych dla 240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Zmiany te przekładają się na kolejne, radykalne zmiany w zestawieniu  budowli do działań poprawiających ich drożność  (Zał. 4 do „erraty” wcześniej zał. 1 do zał. 7 IIaPGW). Społeczeństwo zostało zmuszone do dokonania ponownej weryfikacji tego zestawienia (obecnie 2220 działań na konkretnych budowlach), choćby ze względu na całkowitą i nieuzasadnioną zmianę numeracji budowli w stosunku do publikacji w  wersji z kwietnia. Liczba budowli położonych na „nowych” obszarach chronionych dla gatunków gospodarczych w dorzeczu Odry to aż 942.</w:t>
            </w:r>
            <w:r w:rsidRPr="0028666F">
              <w:rPr>
                <w:rFonts w:ascii="Calibri" w:eastAsia="Times New Roman" w:hAnsi="Calibri" w:cs="Calibri"/>
                <w:color w:val="000000"/>
                <w:sz w:val="18"/>
                <w:szCs w:val="18"/>
                <w:lang w:eastAsia="pl-PL"/>
              </w:rPr>
              <w:br w:type="page"/>
              <w:t>Wszystkie ww. zmiany są znaczące i powinny być weryfikowalne w procesie udziału społecznego., Sposób ich wprowadzenia, ramy czasowe przewidziane na zapoznanie się z nimi stanowią naruszenie terminów przewidzianych w art. 14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8A3ACD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6A2B3F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dodatkowo:</w:t>
            </w:r>
            <w:r w:rsidRPr="0028666F">
              <w:rPr>
                <w:rFonts w:ascii="Calibri" w:eastAsia="Times New Roman" w:hAnsi="Calibri" w:cs="Calibri"/>
                <w:color w:val="000000"/>
                <w:sz w:val="18"/>
                <w:szCs w:val="18"/>
                <w:lang w:eastAsia="pl-PL"/>
              </w:rPr>
              <w:br w:type="page"/>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1720" w:type="dxa"/>
            <w:tcBorders>
              <w:top w:val="nil"/>
              <w:left w:val="nil"/>
              <w:bottom w:val="single" w:sz="4" w:space="0" w:color="auto"/>
              <w:right w:val="single" w:sz="4" w:space="0" w:color="auto"/>
            </w:tcBorders>
            <w:shd w:val="clear" w:color="000000" w:fill="FFFFFF"/>
            <w:hideMark/>
          </w:tcPr>
          <w:p w14:paraId="183F3B7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CD80C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75922E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ype="page"/>
              <w:t>Tym samym zachowane zostały terminy wymagane przepisami prawa oraz umożliwiające</w:t>
            </w:r>
            <w:r w:rsidRPr="0028666F">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7C2B40" w:rsidRPr="0028666F" w14:paraId="7AE45461"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031CCD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483</w:t>
            </w:r>
          </w:p>
        </w:tc>
        <w:tc>
          <w:tcPr>
            <w:tcW w:w="970" w:type="dxa"/>
            <w:tcBorders>
              <w:top w:val="nil"/>
              <w:left w:val="nil"/>
              <w:bottom w:val="single" w:sz="4" w:space="0" w:color="auto"/>
              <w:right w:val="nil"/>
            </w:tcBorders>
          </w:tcPr>
          <w:p w14:paraId="118C33B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4AA8C4A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78C31D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68608028"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chaos</w:t>
            </w:r>
            <w:r w:rsidRPr="0028666F">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28666F">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9217F2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009" w:type="dxa"/>
            <w:tcBorders>
              <w:top w:val="nil"/>
              <w:left w:val="nil"/>
              <w:bottom w:val="single" w:sz="4" w:space="0" w:color="auto"/>
              <w:right w:val="single" w:sz="4" w:space="0" w:color="auto"/>
            </w:tcBorders>
            <w:shd w:val="clear" w:color="auto" w:fill="auto"/>
            <w:hideMark/>
          </w:tcPr>
          <w:p w14:paraId="7519033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28666F">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28666F">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720" w:type="dxa"/>
            <w:tcBorders>
              <w:top w:val="nil"/>
              <w:left w:val="nil"/>
              <w:bottom w:val="single" w:sz="4" w:space="0" w:color="auto"/>
              <w:right w:val="single" w:sz="4" w:space="0" w:color="auto"/>
            </w:tcBorders>
            <w:shd w:val="clear" w:color="000000" w:fill="FFFFFF"/>
            <w:hideMark/>
          </w:tcPr>
          <w:p w14:paraId="5B9C55D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79576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BF2564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28666F">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28666F">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28666F">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28666F">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28666F">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28666F">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28666F">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28666F">
              <w:rPr>
                <w:rFonts w:ascii="Calibri" w:eastAsia="Times New Roman" w:hAnsi="Calibri" w:cs="Calibri"/>
                <w:color w:val="000000"/>
                <w:sz w:val="18"/>
                <w:szCs w:val="18"/>
                <w:lang w:eastAsia="pl-PL"/>
              </w:rPr>
              <w:br/>
              <w:t>Tym samym zachowane zostały terminy wymagane przepisami prawa oraz umożliwiające</w:t>
            </w:r>
            <w:r w:rsidRPr="0028666F">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7C2B40" w:rsidRPr="0028666F" w14:paraId="0DD0409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485F9B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484</w:t>
            </w:r>
          </w:p>
        </w:tc>
        <w:tc>
          <w:tcPr>
            <w:tcW w:w="970" w:type="dxa"/>
            <w:tcBorders>
              <w:top w:val="nil"/>
              <w:left w:val="nil"/>
              <w:bottom w:val="single" w:sz="4" w:space="0" w:color="auto"/>
              <w:right w:val="nil"/>
            </w:tcBorders>
          </w:tcPr>
          <w:p w14:paraId="42CA7BB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6CF9BE5A"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408617B"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10907CFC" w14:textId="258B214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geobaza</w:t>
            </w:r>
            <w:r w:rsidRPr="0028666F">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28666F">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2733" w:type="dxa"/>
            <w:tcBorders>
              <w:top w:val="nil"/>
              <w:left w:val="nil"/>
              <w:bottom w:val="single" w:sz="4" w:space="0" w:color="auto"/>
              <w:right w:val="single" w:sz="4" w:space="0" w:color="auto"/>
            </w:tcBorders>
            <w:shd w:val="clear" w:color="auto" w:fill="auto"/>
            <w:hideMark/>
          </w:tcPr>
          <w:p w14:paraId="12178619" w14:textId="125036D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wyznaczaniu wód „nienaturalnych” (SZCW i SCW) dane te powinny być upowszechnione na ogólnodostępnej platformie (jak w przypadku konsultacji aPZRP) oraz dostępne na wniosek. </w:t>
            </w:r>
          </w:p>
        </w:tc>
        <w:tc>
          <w:tcPr>
            <w:tcW w:w="3009" w:type="dxa"/>
            <w:tcBorders>
              <w:top w:val="nil"/>
              <w:left w:val="nil"/>
              <w:bottom w:val="single" w:sz="4" w:space="0" w:color="auto"/>
              <w:right w:val="single" w:sz="4" w:space="0" w:color="auto"/>
            </w:tcBorders>
            <w:shd w:val="clear" w:color="auto" w:fill="auto"/>
            <w:hideMark/>
          </w:tcPr>
          <w:p w14:paraId="2B80298D" w14:textId="62AE1ABF"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 działań ochronnych) znacząco obniża jakość konsultacji publicznych. Uwaga składana wielokrotnie m.in. w trakcie spotkań konsultacyjnych nie doczekała się żadnej reakcji.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Działanie Wód Polskich w tym zakresie jest sprzeczne z: </w:t>
            </w:r>
            <w:r w:rsidRPr="0028666F">
              <w:rPr>
                <w:rFonts w:ascii="Calibri" w:eastAsia="Times New Roman" w:hAnsi="Calibri" w:cs="Calibri"/>
                <w:color w:val="000000"/>
                <w:sz w:val="18"/>
                <w:szCs w:val="18"/>
                <w:lang w:eastAsia="pl-PL"/>
              </w:rPr>
              <w:br/>
              <w:t xml:space="preserve">art. 14 RDW – </w:t>
            </w:r>
            <w:r w:rsidRPr="0028666F">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28666F">
              <w:rPr>
                <w:rFonts w:ascii="Calibri" w:eastAsia="Times New Roman" w:hAnsi="Calibri" w:cs="Calibri"/>
                <w:color w:val="000000"/>
                <w:sz w:val="18"/>
                <w:szCs w:val="18"/>
                <w:lang w:eastAsia="pl-PL"/>
              </w:rPr>
              <w:br/>
              <w:t>Zał. VII – pkt 1, 3, 4</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6EC6D01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C2A53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EC02ECC" w14:textId="32B3F97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zachowania czytelności dokumentu zastosowano następującą jego strukturę:</w:t>
            </w:r>
            <w:r w:rsidRPr="0028666F">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28666F">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dane dot. zagadnień zaprezentowanych w części głównej, w tym załącznik nr 1 (Zestawienie główne) zawierający zbiorcze zestawienie danych charakteryzujących każdą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obszaru dorzecza w zakresie zagadnień objętych planem gospodarowania wodami. Załączniki tabelaryczne prezentują komplet danych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informacjami dotyczącymi wzajemnych powiązań pomiędzy zagadnieniami.</w:t>
            </w:r>
            <w:r w:rsidRPr="0028666F">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Zarówno informacje 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ich statusie, typologii, obszarach chronionych, ocenie stanu, ppk, zidentyfikowanych presjach, występujących budowlach w obszarze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28666F">
              <w:rPr>
                <w:rFonts w:ascii="Calibri" w:eastAsia="Times New Roman" w:hAnsi="Calibri" w:cs="Calibri"/>
                <w:color w:val="000000"/>
                <w:sz w:val="18"/>
                <w:szCs w:val="18"/>
                <w:lang w:eastAsia="pl-PL"/>
              </w:rPr>
              <w:br/>
              <w:t xml:space="preserve">Jednocześnie zarówno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 i wyniki projektu dot. wyznaczenia SCW i SZCW stanowiły przedmiot odrębnych, wcześniej przeprowadzonych konsultacji tych materiałów źródłowych, prace nad którymi zakończone zostały w okresie 2019-2020.</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472A6DF9"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94AE40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485</w:t>
            </w:r>
          </w:p>
        </w:tc>
        <w:tc>
          <w:tcPr>
            <w:tcW w:w="970" w:type="dxa"/>
            <w:tcBorders>
              <w:top w:val="nil"/>
              <w:left w:val="nil"/>
              <w:bottom w:val="single" w:sz="4" w:space="0" w:color="auto"/>
              <w:right w:val="nil"/>
            </w:tcBorders>
          </w:tcPr>
          <w:p w14:paraId="191BC8F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59F8E04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3BC0E10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7184BBB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podejście jest niezgodne z przepisami prawa krajowego i wspólnotowego.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28666F">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2733" w:type="dxa"/>
            <w:tcBorders>
              <w:top w:val="nil"/>
              <w:left w:val="nil"/>
              <w:bottom w:val="single" w:sz="4" w:space="0" w:color="auto"/>
              <w:right w:val="single" w:sz="4" w:space="0" w:color="auto"/>
            </w:tcBorders>
            <w:shd w:val="clear" w:color="auto" w:fill="auto"/>
            <w:hideMark/>
          </w:tcPr>
          <w:p w14:paraId="0C21C82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009" w:type="dxa"/>
            <w:tcBorders>
              <w:top w:val="nil"/>
              <w:left w:val="nil"/>
              <w:bottom w:val="single" w:sz="4" w:space="0" w:color="auto"/>
              <w:right w:val="single" w:sz="4" w:space="0" w:color="auto"/>
            </w:tcBorders>
            <w:shd w:val="clear" w:color="auto" w:fill="auto"/>
            <w:hideMark/>
          </w:tcPr>
          <w:p w14:paraId="070839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720" w:type="dxa"/>
            <w:tcBorders>
              <w:top w:val="nil"/>
              <w:left w:val="nil"/>
              <w:bottom w:val="single" w:sz="4" w:space="0" w:color="auto"/>
              <w:right w:val="single" w:sz="4" w:space="0" w:color="auto"/>
            </w:tcBorders>
            <w:shd w:val="clear" w:color="000000" w:fill="FFFFFF"/>
            <w:hideMark/>
          </w:tcPr>
          <w:p w14:paraId="6181094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E4EB28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C24B46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28666F">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28666F">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7C2B40" w:rsidRPr="0028666F" w14:paraId="0B7C9FE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1C9C206"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486</w:t>
            </w:r>
          </w:p>
        </w:tc>
        <w:tc>
          <w:tcPr>
            <w:tcW w:w="970" w:type="dxa"/>
            <w:tcBorders>
              <w:top w:val="nil"/>
              <w:left w:val="nil"/>
              <w:bottom w:val="single" w:sz="4" w:space="0" w:color="auto"/>
              <w:right w:val="nil"/>
            </w:tcBorders>
          </w:tcPr>
          <w:p w14:paraId="74252E7A"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5174F76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F4418A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272067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formularz</w:t>
            </w:r>
            <w:r w:rsidRPr="0028666F">
              <w:rPr>
                <w:rFonts w:ascii="Calibri" w:eastAsia="Times New Roman" w:hAnsi="Calibri" w:cs="Calibri"/>
                <w:color w:val="000000"/>
                <w:sz w:val="18"/>
                <w:szCs w:val="18"/>
                <w:lang w:eastAsia="pl-PL"/>
              </w:rPr>
              <w:b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2733" w:type="dxa"/>
            <w:tcBorders>
              <w:top w:val="nil"/>
              <w:left w:val="nil"/>
              <w:bottom w:val="single" w:sz="4" w:space="0" w:color="auto"/>
              <w:right w:val="single" w:sz="4" w:space="0" w:color="auto"/>
            </w:tcBorders>
            <w:shd w:val="clear" w:color="auto" w:fill="auto"/>
            <w:hideMark/>
          </w:tcPr>
          <w:p w14:paraId="2B6F20F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009" w:type="dxa"/>
            <w:tcBorders>
              <w:top w:val="nil"/>
              <w:left w:val="nil"/>
              <w:bottom w:val="single" w:sz="4" w:space="0" w:color="auto"/>
              <w:right w:val="single" w:sz="4" w:space="0" w:color="auto"/>
            </w:tcBorders>
            <w:shd w:val="clear" w:color="auto" w:fill="auto"/>
            <w:hideMark/>
          </w:tcPr>
          <w:p w14:paraId="6150180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720" w:type="dxa"/>
            <w:tcBorders>
              <w:top w:val="nil"/>
              <w:left w:val="nil"/>
              <w:bottom w:val="single" w:sz="4" w:space="0" w:color="auto"/>
              <w:right w:val="single" w:sz="4" w:space="0" w:color="auto"/>
            </w:tcBorders>
            <w:shd w:val="clear" w:color="000000" w:fill="FFFFFF"/>
            <w:hideMark/>
          </w:tcPr>
          <w:p w14:paraId="58B72AF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5F774A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1433C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28666F">
              <w:rPr>
                <w:rFonts w:ascii="Calibri" w:eastAsia="Times New Roman" w:hAnsi="Calibri" w:cs="Calibri"/>
                <w:color w:val="000000"/>
                <w:sz w:val="18"/>
                <w:szCs w:val="18"/>
                <w:lang w:eastAsia="pl-PL"/>
              </w:rPr>
              <w:br/>
              <w:t>- poprzez ankietę online na stronie;</w:t>
            </w:r>
            <w:r w:rsidRPr="0028666F">
              <w:rPr>
                <w:rFonts w:ascii="Calibri" w:eastAsia="Times New Roman" w:hAnsi="Calibri" w:cs="Calibri"/>
                <w:color w:val="000000"/>
                <w:sz w:val="18"/>
                <w:szCs w:val="18"/>
                <w:lang w:eastAsia="pl-PL"/>
              </w:rPr>
              <w:br/>
              <w:t>- poprzez wiadomość e-mail na adres: konsultacje@apgw.gov.pl lub apgw@mi.gov.pl;</w:t>
            </w:r>
            <w:r w:rsidRPr="0028666F">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28666F">
              <w:rPr>
                <w:rFonts w:ascii="Calibri" w:eastAsia="Times New Roman" w:hAnsi="Calibri" w:cs="Calibri"/>
                <w:color w:val="000000"/>
                <w:sz w:val="18"/>
                <w:szCs w:val="18"/>
                <w:lang w:eastAsia="pl-PL"/>
              </w:rPr>
              <w:br/>
              <w:t>- pisemnie, przesyłając uwagi na adres Ministerstwa Infrastruktury, ul. Chałubińskiego 4/6, 00-928 Warszawa;</w:t>
            </w:r>
            <w:r w:rsidRPr="0028666F">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7C2B40" w:rsidRPr="0028666F" w14:paraId="4F484BE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70F4AF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487</w:t>
            </w:r>
          </w:p>
        </w:tc>
        <w:tc>
          <w:tcPr>
            <w:tcW w:w="970" w:type="dxa"/>
            <w:tcBorders>
              <w:top w:val="nil"/>
              <w:left w:val="nil"/>
              <w:bottom w:val="single" w:sz="4" w:space="0" w:color="auto"/>
              <w:right w:val="nil"/>
            </w:tcBorders>
          </w:tcPr>
          <w:p w14:paraId="30BAE5B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D0B7DB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CE1AB79"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000" w:type="dxa"/>
            <w:tcBorders>
              <w:top w:val="nil"/>
              <w:left w:val="nil"/>
              <w:bottom w:val="single" w:sz="4" w:space="0" w:color="auto"/>
              <w:right w:val="single" w:sz="4" w:space="0" w:color="auto"/>
            </w:tcBorders>
            <w:shd w:val="clear" w:color="auto" w:fill="auto"/>
            <w:hideMark/>
          </w:tcPr>
          <w:p w14:paraId="487BEE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Konsultacje – dane ze strony aPGW</w:t>
            </w:r>
            <w:r w:rsidRPr="0028666F">
              <w:rPr>
                <w:rFonts w:ascii="Calibri" w:eastAsia="Times New Roman" w:hAnsi="Calibri" w:cs="Calibri"/>
                <w:color w:val="000000"/>
                <w:sz w:val="18"/>
                <w:szCs w:val="18"/>
                <w:lang w:eastAsia="pl-PL"/>
              </w:rPr>
              <w:br w:type="page"/>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58B417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A5A390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249DAF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6621C6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CE7AF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7C2B40" w:rsidRPr="0028666F" w14:paraId="4C2D992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3940BF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488</w:t>
            </w:r>
          </w:p>
        </w:tc>
        <w:tc>
          <w:tcPr>
            <w:tcW w:w="970" w:type="dxa"/>
            <w:tcBorders>
              <w:top w:val="nil"/>
              <w:left w:val="nil"/>
              <w:bottom w:val="single" w:sz="4" w:space="0" w:color="auto"/>
              <w:right w:val="nil"/>
            </w:tcBorders>
          </w:tcPr>
          <w:p w14:paraId="019D08E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06A986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645F4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69A852A3" w14:textId="5721689F"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Rozdz. 3</w:t>
            </w:r>
            <w:r w:rsidRPr="0028666F">
              <w:rPr>
                <w:rFonts w:ascii="Calibri" w:eastAsia="Times New Roman" w:hAnsi="Calibri" w:cs="Calibri"/>
                <w:color w:val="000000"/>
                <w:sz w:val="18"/>
                <w:szCs w:val="18"/>
                <w:lang w:eastAsia="pl-PL"/>
              </w:rPr>
              <w:br/>
              <w:t xml:space="preserve">W IIaPGW dla dorzecza Odry znacząco zmniejszono liczbę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(z 1735 do 1272), w stosunku do aPGW. Część cieków całkowicie usunięto z układu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część połączono z innymi ciekami, a największa 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zniknęła poprzez złączenie sąsiadujących części wód w obrębie tego samego cieku. W wyniku tych zabiegów średnia długość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zwiększyła się w dorzeczu Odry o ok. 30% – z 24 km do ponad 31 km.. Obecnie najdłuższa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ma aż 332 km (obszar źródłowy - Orla do Rdęcy), najdłuższa obejmująca jedną rzekę – 135 km (Odra od Baryczy do Bobru)  – wcześniej 2 mniejsze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Zarzadzanie i ochrona tak dużych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jest bardzo mało efektywna. Przyczyna takiego podejścia (takich zmian), nie została wyjaśniona w projekcie IIaPGW.  </w:t>
            </w:r>
            <w:r w:rsidRPr="0028666F">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mogłyby zostać zrealizowane względu na negatywne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Państwa członkowskie nie mają pełnej dowolności w ustalaniu granic i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wyniku konsultacji projektu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797723F8" w14:textId="45DAFDE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Uzasadnić w IIaPGW zmiany mające na celu ograniczenie ilości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szczególnie, że zostały utworzone na podstawie więcej niż jednego opracowania. Ponownie zweryfikować zasadność wyłączeń części cieków niebędących ciekami okresowymi z „sieci”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Ponownie zweryfikować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składające się wcześniej z przynajmniej 3 odrębnych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Różnice między nowym i starym układem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(dostępne publicznie warstwy przestrzenne) powinny być możliwe do zweryfikowania także w formie wizualnej. Przedstawione nieczytelne zbiorcze mapy – załączniki IIaPGW - tej roli nie spełniają.</w:t>
            </w:r>
          </w:p>
        </w:tc>
        <w:tc>
          <w:tcPr>
            <w:tcW w:w="3009" w:type="dxa"/>
            <w:tcBorders>
              <w:top w:val="nil"/>
              <w:left w:val="nil"/>
              <w:bottom w:val="single" w:sz="4" w:space="0" w:color="auto"/>
              <w:right w:val="single" w:sz="4" w:space="0" w:color="auto"/>
            </w:tcBorders>
            <w:shd w:val="clear" w:color="auto" w:fill="auto"/>
            <w:hideMark/>
          </w:tcPr>
          <w:p w14:paraId="6AABE710" w14:textId="3C9BCF1D"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Zmiany w zasięgu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mogły być zrealizowane ze względu na oddziaływanie na sąsiadujące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niż te, na których jest czy ma być położone.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wyniku daleko idących ujednoliceń powstały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„giganty” o długościach łącznych powyżej 200 km, a także bardzo długie odcinki pojedynczych cieków, których monitorowanie w jednym miejscu (punkcie) jest kompletnie niemiarodajne. </w:t>
            </w:r>
          </w:p>
        </w:tc>
        <w:tc>
          <w:tcPr>
            <w:tcW w:w="1720" w:type="dxa"/>
            <w:tcBorders>
              <w:top w:val="nil"/>
              <w:left w:val="nil"/>
              <w:bottom w:val="single" w:sz="4" w:space="0" w:color="auto"/>
              <w:right w:val="single" w:sz="4" w:space="0" w:color="auto"/>
            </w:tcBorders>
            <w:shd w:val="clear" w:color="000000" w:fill="FFFFFF"/>
            <w:hideMark/>
          </w:tcPr>
          <w:p w14:paraId="5FCC48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AFF67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32421B2" w14:textId="098ACC9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stanowiący materiał źródłowy dla IIaPGW. Wykaz jednostek planistycznych stanowiących materiał źródłowy do projektów IIaPGW był poddany oddzielnym konsultacjom społecznym w trakcie ich opracowywania.</w:t>
            </w:r>
          </w:p>
        </w:tc>
      </w:tr>
      <w:tr w:rsidR="007C2B40" w:rsidRPr="0028666F" w14:paraId="366C64B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C59782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489</w:t>
            </w:r>
          </w:p>
        </w:tc>
        <w:tc>
          <w:tcPr>
            <w:tcW w:w="970" w:type="dxa"/>
            <w:tcBorders>
              <w:top w:val="nil"/>
              <w:left w:val="nil"/>
              <w:bottom w:val="single" w:sz="4" w:space="0" w:color="auto"/>
              <w:right w:val="nil"/>
            </w:tcBorders>
          </w:tcPr>
          <w:p w14:paraId="5F63948F"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A471FB9"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98B3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2E30F765" w14:textId="5E528965"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Zbiornikowe, Rozdz. 3, 5.1. oraz 8.1., Zał. 3.1. oraz 8. , Zał. mapowe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obecnym IIaPGW wyróżniono zbiornikowe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278F9C7C" w14:textId="4D595FFF"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Zweryfikować wyznaczenie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Wyłączyć z wyznaczeń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cofki zbiorników mające charakter koryt rzecznych, delt i innych form stanowiących cenne siedliska przyrodnicze(obligatoryjnie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uznanych za zbiorniki limniczne).</w:t>
            </w:r>
          </w:p>
        </w:tc>
        <w:tc>
          <w:tcPr>
            <w:tcW w:w="3009" w:type="dxa"/>
            <w:tcBorders>
              <w:top w:val="nil"/>
              <w:left w:val="nil"/>
              <w:bottom w:val="single" w:sz="4" w:space="0" w:color="auto"/>
              <w:right w:val="single" w:sz="4" w:space="0" w:color="auto"/>
            </w:tcBorders>
            <w:shd w:val="clear" w:color="auto" w:fill="auto"/>
            <w:hideMark/>
          </w:tcPr>
          <w:p w14:paraId="4B72FCC4" w14:textId="2BA4BB1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wyznaczonych jako limniczne stosuje się klasyfikację jak dla jezior.</w:t>
            </w:r>
            <w:r w:rsidRPr="0028666F">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720" w:type="dxa"/>
            <w:tcBorders>
              <w:top w:val="nil"/>
              <w:left w:val="nil"/>
              <w:bottom w:val="single" w:sz="4" w:space="0" w:color="auto"/>
              <w:right w:val="single" w:sz="4" w:space="0" w:color="auto"/>
            </w:tcBorders>
            <w:shd w:val="clear" w:color="000000" w:fill="FFFFFF"/>
            <w:hideMark/>
          </w:tcPr>
          <w:p w14:paraId="1557BC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61D8F80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BB12885" w14:textId="7CF562B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IIaPGW prezentuje odrębnie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które w poprzednim planie gospodarowania wodami analizowane były w kategorii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 xml:space="preserve">Przyjęte podejście pozwala na charakterystykę każdej z kategorii wód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TW,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CW.</w:t>
            </w:r>
            <w:r w:rsidRPr="0028666F">
              <w:rPr>
                <w:rFonts w:ascii="Calibri" w:eastAsia="Times New Roman" w:hAnsi="Calibri" w:cs="Calibri"/>
                <w:color w:val="000000"/>
                <w:sz w:val="18"/>
                <w:szCs w:val="18"/>
                <w:lang w:eastAsia="pl-PL"/>
              </w:rPr>
              <w:br/>
              <w:t>W zał. 3.1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Zgłoszona uwaga w zakresie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7C2B40" w:rsidRPr="0028666F" w14:paraId="418ED05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75F7CC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490</w:t>
            </w:r>
          </w:p>
        </w:tc>
        <w:tc>
          <w:tcPr>
            <w:tcW w:w="970" w:type="dxa"/>
            <w:tcBorders>
              <w:top w:val="nil"/>
              <w:left w:val="nil"/>
              <w:bottom w:val="single" w:sz="4" w:space="0" w:color="auto"/>
              <w:right w:val="nil"/>
            </w:tcBorders>
          </w:tcPr>
          <w:p w14:paraId="25425A5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7D8FE40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2B3A55" w14:textId="63AA6B3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59699071" w14:textId="5854AC2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nienaturalnej części wód”,  a wszelkie niepewności, w tym brak danych, nie pozwalają na obniżenie wymogów celów środowiskowych (potencjał ekologiczny zamiast stanu).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dokumentem  </w:t>
            </w:r>
            <w:r w:rsidRPr="0028666F">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28666F">
              <w:rPr>
                <w:rFonts w:ascii="Calibri" w:eastAsia="Times New Roman" w:hAnsi="Calibri" w:cs="Calibri"/>
                <w:color w:val="000000"/>
                <w:sz w:val="18"/>
                <w:szCs w:val="18"/>
                <w:lang w:eastAsia="pl-PL"/>
              </w:rPr>
              <w:br/>
              <w:t>- dostępny np. na stronie konsultacji IIaPGW https://www.apgw.gov.pl/pl/news/show/90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Zalecenie z 2012 r.: </w:t>
            </w:r>
            <w:r w:rsidRPr="0028666F">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Powyższe zalecenie zostało wykonane w IIaPGW tylko częściowo.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Dane przedstawione w IIaPGW, w tym w załączniku 1 dla Odry (Zestawienie Główne), nie pozwalają w sposób przejrzysty ocenić sposobu wyznaczania SZCW, a warunki uznania (niekorzystny wpływ i brak innych opcji) nie są szczegółowo i indywidualnie dla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określone w projekcie IIaPGW.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28666F">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28666F">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p>
        </w:tc>
        <w:tc>
          <w:tcPr>
            <w:tcW w:w="2733" w:type="dxa"/>
            <w:tcBorders>
              <w:top w:val="nil"/>
              <w:left w:val="nil"/>
              <w:bottom w:val="single" w:sz="4" w:space="0" w:color="auto"/>
              <w:right w:val="single" w:sz="4" w:space="0" w:color="auto"/>
            </w:tcBorders>
            <w:shd w:val="clear" w:color="auto" w:fill="auto"/>
            <w:hideMark/>
          </w:tcPr>
          <w:p w14:paraId="41D7166B" w14:textId="7BC3A99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Każdorazowo udowodnić (dla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28666F">
              <w:rPr>
                <w:rFonts w:ascii="Calibri" w:eastAsia="Times New Roman" w:hAnsi="Calibri" w:cs="Calibri"/>
                <w:color w:val="000000"/>
                <w:sz w:val="18"/>
                <w:szCs w:val="18"/>
                <w:lang w:eastAsia="pl-PL"/>
              </w:rPr>
              <w:br/>
              <w:t xml:space="preserve">Należy przy tym wziąć pod uwagę, indywidualne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ustalenia KPRWP.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009" w:type="dxa"/>
            <w:tcBorders>
              <w:top w:val="nil"/>
              <w:left w:val="nil"/>
              <w:bottom w:val="single" w:sz="4" w:space="0" w:color="auto"/>
              <w:right w:val="single" w:sz="4" w:space="0" w:color="auto"/>
            </w:tcBorders>
            <w:shd w:val="clear" w:color="auto" w:fill="auto"/>
            <w:hideMark/>
          </w:tcPr>
          <w:p w14:paraId="7383D8C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241FC58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1E881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FB799A8" w14:textId="4EE7DBE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zakresie uzasadnienia wyznaczenia, sposobu użytkowania wód oraz zmian hydromorfologicznych z nimi związanych. Załącznik nr 3.1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7C2B40" w:rsidRPr="0028666F" w14:paraId="44048DF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EDAB13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491</w:t>
            </w:r>
          </w:p>
        </w:tc>
        <w:tc>
          <w:tcPr>
            <w:tcW w:w="970" w:type="dxa"/>
            <w:tcBorders>
              <w:top w:val="nil"/>
              <w:left w:val="nil"/>
              <w:bottom w:val="single" w:sz="4" w:space="0" w:color="auto"/>
              <w:right w:val="nil"/>
            </w:tcBorders>
          </w:tcPr>
          <w:p w14:paraId="46CDFD4C"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677B36C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CF17F4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OGÓLNY OPIS CECH CHARAKTERYSTYCZNYCH OBSZARU DORZECZA WRAZ Z WYKAZEM OBSZARÓW CHRONIONYCH</w:t>
            </w:r>
          </w:p>
        </w:tc>
        <w:tc>
          <w:tcPr>
            <w:tcW w:w="5000" w:type="dxa"/>
            <w:tcBorders>
              <w:top w:val="nil"/>
              <w:left w:val="nil"/>
              <w:bottom w:val="single" w:sz="4" w:space="0" w:color="auto"/>
              <w:right w:val="single" w:sz="4" w:space="0" w:color="auto"/>
            </w:tcBorders>
            <w:shd w:val="clear" w:color="auto" w:fill="auto"/>
            <w:hideMark/>
          </w:tcPr>
          <w:p w14:paraId="57ABD055" w14:textId="7C4BE8F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3.1.SZCW</w:t>
            </w:r>
            <w:r w:rsidRPr="0028666F">
              <w:rPr>
                <w:rFonts w:ascii="Calibri" w:eastAsia="Times New Roman" w:hAnsi="Calibri" w:cs="Calibri"/>
                <w:color w:val="000000"/>
                <w:sz w:val="18"/>
                <w:szCs w:val="18"/>
                <w:lang w:eastAsia="pl-PL"/>
              </w:rPr>
              <w:br/>
              <w:t xml:space="preserve">Część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wcześniej wyznaczone jako NATuralne (aPGW) w wyniku powiększenia (złączenia z innymi) uzyskało w nowym podziale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status SZCW. Błędem metodycznym było niewprowadzenie ponownej korekty podziału nowych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trakcie przyznawania im statusu NAT/SZCW/SCW tylko sztywne bazowanie na już wyznaczonym układzie.. </w:t>
            </w: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prawidłowym  utworzenie jednej dużej SZCW z mniejszych o mieszanym statucie.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Przykładem mogą być tutaj rzeki Kwisa i Bóbr w górnym, źródłowym biegu. W przypadku Kwisy do nowej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„Kwisa do zb. Leśna” dołączono też zbiorniki Leśna i Złotniki, co zadecydowało, że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wcześniej wyznaczone jako NAT obecnie mają status SCZW – dotyczy to aż 4 takich „starych” jednostek (nowa jedna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została utworzona aż z 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poprzedniego cyklu planistycznego).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„Bóbr od zb. Bukówka do Kamiennej” o statusie SZCW sytuacja jest podobna. Został również złożony z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aż 12, z których 9 miało status NAT!.</w:t>
            </w:r>
            <w:r w:rsidRPr="0028666F">
              <w:rPr>
                <w:rFonts w:ascii="Calibri" w:eastAsia="Times New Roman" w:hAnsi="Calibri" w:cs="Calibri"/>
                <w:color w:val="000000"/>
                <w:sz w:val="18"/>
                <w:szCs w:val="18"/>
                <w:lang w:eastAsia="pl-PL"/>
              </w:rPr>
              <w:br/>
              <w:t xml:space="preserve">Takich przykładów, szczególnie w częściach źródłowych jest wiele, również poza Sudetami. W analogicznej sytuacji, np. dopływy Kłodnicy. </w:t>
            </w:r>
          </w:p>
        </w:tc>
        <w:tc>
          <w:tcPr>
            <w:tcW w:w="2733" w:type="dxa"/>
            <w:tcBorders>
              <w:top w:val="nil"/>
              <w:left w:val="nil"/>
              <w:bottom w:val="single" w:sz="4" w:space="0" w:color="auto"/>
              <w:right w:val="single" w:sz="4" w:space="0" w:color="auto"/>
            </w:tcBorders>
            <w:shd w:val="clear" w:color="auto" w:fill="auto"/>
            <w:hideMark/>
          </w:tcPr>
          <w:p w14:paraId="7564201F" w14:textId="3102CA7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przywrócić wcześniejszy podział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wraz z poprzednim statusem wód w przypadkach, w których dane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utraciły status NAT tylko w wyniku złączenia z innymi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klasyfikowanymi jako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Dotyczy to także innych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dorzeczu Odry, w analogicznej sytuacji jak w przykładach w treści uwagi..</w:t>
            </w:r>
          </w:p>
        </w:tc>
        <w:tc>
          <w:tcPr>
            <w:tcW w:w="3009" w:type="dxa"/>
            <w:tcBorders>
              <w:top w:val="nil"/>
              <w:left w:val="nil"/>
              <w:bottom w:val="single" w:sz="4" w:space="0" w:color="auto"/>
              <w:right w:val="single" w:sz="4" w:space="0" w:color="auto"/>
            </w:tcBorders>
            <w:shd w:val="clear" w:color="auto" w:fill="auto"/>
            <w:hideMark/>
          </w:tcPr>
          <w:p w14:paraId="1D313DE6" w14:textId="754DB48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val="en-US" w:eastAsia="pl-PL"/>
              </w:rPr>
              <w:t xml:space="preserve">Zgodnie z wytycznymi CIS Guidance No2 „Identification of Water Bodies” (rozdz. </w:t>
            </w:r>
            <w:r w:rsidRPr="0028666F">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zostały utworzone z kilku, a nawet kilkunastu mniejszych, o różnym,stopniu naturalności morfologii koryta. Obniżanie wymagań potencjału ekologicznego w stosunku do stanu ekologicznego w tego typu częściach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byłoby niezgodne z celami RDW. Niewłaściwa jest w takim przypadku metodyka wskazana w rozdz. 8.1.2. IIaPGW. Jest to również sprzeczne z celami środowiskowymi obszarów chronionych, w tym Natura 2000.</w:t>
            </w:r>
          </w:p>
        </w:tc>
        <w:tc>
          <w:tcPr>
            <w:tcW w:w="1720" w:type="dxa"/>
            <w:tcBorders>
              <w:top w:val="nil"/>
              <w:left w:val="nil"/>
              <w:bottom w:val="single" w:sz="4" w:space="0" w:color="auto"/>
              <w:right w:val="single" w:sz="4" w:space="0" w:color="auto"/>
            </w:tcBorders>
            <w:shd w:val="clear" w:color="000000" w:fill="FFFFFF"/>
            <w:hideMark/>
          </w:tcPr>
          <w:p w14:paraId="052065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6D3EB1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AEEBE3A" w14:textId="722B08B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zwiększenie długości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SZCW i SCW wynosi 21% w IIaPGW, a w poprzednim cyklu planistycznym: 26% (aPGW) - statystyki te również potwierdzają brak wpływu aktualizacji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liczbę SZCW i SCW. Lokalne wzrosty liczby SZCW wynikają z lepszych danych w zakresie presji hydromorfologicznych oraz z zastosowania nowej metodyki.</w:t>
            </w:r>
          </w:p>
        </w:tc>
      </w:tr>
      <w:tr w:rsidR="007C2B40" w:rsidRPr="0028666F" w14:paraId="4FE0D52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DC7F15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492</w:t>
            </w:r>
          </w:p>
        </w:tc>
        <w:tc>
          <w:tcPr>
            <w:tcW w:w="970" w:type="dxa"/>
            <w:tcBorders>
              <w:top w:val="nil"/>
              <w:left w:val="nil"/>
              <w:bottom w:val="single" w:sz="4" w:space="0" w:color="auto"/>
              <w:right w:val="nil"/>
            </w:tcBorders>
          </w:tcPr>
          <w:p w14:paraId="7A83371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16E4E065"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5814C58" w14:textId="6F2A167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Wykaz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wraz z podaniem ich typów i ustalonych warunków referencyjnych oraz statusu</w:t>
            </w:r>
          </w:p>
        </w:tc>
        <w:tc>
          <w:tcPr>
            <w:tcW w:w="5000" w:type="dxa"/>
            <w:tcBorders>
              <w:top w:val="nil"/>
              <w:left w:val="nil"/>
              <w:bottom w:val="single" w:sz="4" w:space="0" w:color="auto"/>
              <w:right w:val="single" w:sz="4" w:space="0" w:color="auto"/>
            </w:tcBorders>
            <w:shd w:val="clear" w:color="auto" w:fill="auto"/>
            <w:hideMark/>
          </w:tcPr>
          <w:p w14:paraId="2C5ABB04" w14:textId="59AB0B21"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3.1. SZCW, Wyznaczenie SZCW niezgodnie z metodyką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procedurze wyznaczania SZCW dokonano manipulacji polegających na nadaniu statusu SZCW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które zgodnie z przyjętą metodyką powinny mieć status NATuralnych. </w:t>
            </w:r>
            <w:r w:rsidRPr="0028666F">
              <w:rPr>
                <w:rFonts w:ascii="Calibri" w:eastAsia="Times New Roman" w:hAnsi="Calibri" w:cs="Calibri"/>
                <w:color w:val="000000"/>
                <w:sz w:val="18"/>
                <w:szCs w:val="18"/>
                <w:lang w:eastAsia="pl-PL"/>
              </w:rPr>
              <w:br/>
              <w:t xml:space="preserve">W dorzeczu Odry jest to sześć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opisie przyczyny wyznaczenia (Zal. 1 Zestawienie Główne) widnieją zbliżone opisy dla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Odra na całym odcinku jest rzeką płynącą w korycie znacznie przekształconym w stosunku do koryta naturalnego. Nastąpiło znaczne skrócenie długości  rzeki, zlikwidowane zostały naturalne meandry, a brzegi są obustronnie uregulowane zabudową podłużną (tamy podłużne z ostrogami).”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Warta na całym odcinku jest rzeką płynącą w korycie znacznie przekształconym w stosunku do koryta naturalnego. Przekształcenia charakteryzują się licznymi obiektami zabudowy regulacyjnej o zróżnicowanym charakterze.”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Noteć na całym odcinku jest rzeką o znacznych przekształceniach w stosunku do koryta naturalnego. Brzegi są  uregulowane zabudową podłużną.”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informacjami od organizacji mających dostęp do dokumentów źródłowych, dla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28666F">
              <w:rPr>
                <w:rFonts w:ascii="Calibri" w:eastAsia="Times New Roman" w:hAnsi="Calibri" w:cs="Calibri"/>
                <w:color w:val="000000"/>
                <w:sz w:val="18"/>
                <w:szCs w:val="18"/>
                <w:lang w:eastAsia="pl-PL"/>
              </w:rPr>
              <w:br/>
              <w:t xml:space="preserve">Konieczne jest przywrócenie statusu wód NAT w stosunku do sześciu ww.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2FC54346"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Przywrócić dla:</w:t>
            </w:r>
            <w:r w:rsidRPr="0028666F">
              <w:rPr>
                <w:rFonts w:ascii="Calibri" w:eastAsia="Times New Roman" w:hAnsi="Calibri" w:cs="Calibri"/>
                <w:color w:val="000000"/>
                <w:sz w:val="18"/>
                <w:szCs w:val="18"/>
                <w:lang w:eastAsia="pl-PL"/>
              </w:rPr>
              <w:br/>
              <w:t xml:space="preserve">RW60001217999 Odra od Nysy Łużyckiej do Warty </w:t>
            </w:r>
            <w:r w:rsidRPr="0028666F">
              <w:rPr>
                <w:rFonts w:ascii="Calibri" w:eastAsia="Times New Roman" w:hAnsi="Calibri" w:cs="Calibri"/>
                <w:color w:val="000000"/>
                <w:sz w:val="18"/>
                <w:szCs w:val="18"/>
                <w:lang w:eastAsia="pl-PL"/>
              </w:rPr>
              <w:br/>
              <w:t xml:space="preserve">RW600012183519 Warta od Neru do Powy </w:t>
            </w:r>
            <w:r w:rsidRPr="0028666F">
              <w:rPr>
                <w:rFonts w:ascii="Calibri" w:eastAsia="Times New Roman" w:hAnsi="Calibri" w:cs="Calibri"/>
                <w:color w:val="000000"/>
                <w:sz w:val="18"/>
                <w:szCs w:val="18"/>
                <w:lang w:eastAsia="pl-PL"/>
              </w:rPr>
              <w:br/>
              <w:t xml:space="preserve">RW60001218399 Warta od Powy do Prosny </w:t>
            </w:r>
            <w:r w:rsidRPr="0028666F">
              <w:rPr>
                <w:rFonts w:ascii="Calibri" w:eastAsia="Times New Roman" w:hAnsi="Calibri" w:cs="Calibri"/>
                <w:color w:val="000000"/>
                <w:sz w:val="18"/>
                <w:szCs w:val="18"/>
                <w:lang w:eastAsia="pl-PL"/>
              </w:rPr>
              <w:br/>
              <w:t xml:space="preserve">RW600012188977 Noteć od Rudawy do ujścia </w:t>
            </w:r>
            <w:r w:rsidRPr="0028666F">
              <w:rPr>
                <w:rFonts w:ascii="Calibri" w:eastAsia="Times New Roman" w:hAnsi="Calibri" w:cs="Calibri"/>
                <w:color w:val="000000"/>
                <w:sz w:val="18"/>
                <w:szCs w:val="18"/>
                <w:lang w:eastAsia="pl-PL"/>
              </w:rPr>
              <w:br/>
              <w:t>RW60001219199 Odra od Warty do oddzielenia się Odry Zachodniej</w:t>
            </w:r>
            <w:r w:rsidRPr="0028666F">
              <w:rPr>
                <w:rFonts w:ascii="Calibri" w:eastAsia="Times New Roman" w:hAnsi="Calibri" w:cs="Calibri"/>
                <w:color w:val="000000"/>
                <w:sz w:val="18"/>
                <w:szCs w:val="18"/>
                <w:lang w:eastAsia="pl-PL"/>
              </w:rPr>
              <w:br/>
              <w:t>RW6000121999 Odra od Bukowej do ujścia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naturalny status wody (NAT).</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3DB29E76" w14:textId="09E80838"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Wyznaczenie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Odry  należy uznać za manipulację.</w:t>
            </w:r>
          </w:p>
        </w:tc>
        <w:tc>
          <w:tcPr>
            <w:tcW w:w="1720" w:type="dxa"/>
            <w:tcBorders>
              <w:top w:val="nil"/>
              <w:left w:val="nil"/>
              <w:bottom w:val="single" w:sz="4" w:space="0" w:color="auto"/>
              <w:right w:val="single" w:sz="4" w:space="0" w:color="auto"/>
            </w:tcBorders>
            <w:shd w:val="clear" w:color="000000" w:fill="FFFFFF"/>
            <w:hideMark/>
          </w:tcPr>
          <w:p w14:paraId="0875DA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C3A0B1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9C9702A" w14:textId="65F8B48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związku z powyższym scalenie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(czyli zwiększenie jej długości) nie prowadzi do przeszacowania presji hydromorfologicznych. W skali Polski udział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7C2B40" w:rsidRPr="0028666F" w14:paraId="2781F4CD"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F5ED19F"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493</w:t>
            </w:r>
          </w:p>
        </w:tc>
        <w:tc>
          <w:tcPr>
            <w:tcW w:w="970" w:type="dxa"/>
            <w:tcBorders>
              <w:top w:val="nil"/>
              <w:left w:val="nil"/>
              <w:bottom w:val="single" w:sz="4" w:space="0" w:color="auto"/>
              <w:right w:val="nil"/>
            </w:tcBorders>
          </w:tcPr>
          <w:p w14:paraId="739CBC6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5EF43D71"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AE5EE4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41F38FB5" w14:textId="3429885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5 Monitoring</w:t>
            </w:r>
            <w:r w:rsidRPr="0028666F">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oraz obszarów chronionych w rozumieniu RDW. Dane te nie są udostępniane przez Wody Polskie nawet na wniosek, mimo że organ ten jest w posiadaniu owych  danych (odpowiedź na wniosek jednej z organizacji ekologicznych).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7DCF2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009" w:type="dxa"/>
            <w:tcBorders>
              <w:top w:val="nil"/>
              <w:left w:val="nil"/>
              <w:bottom w:val="single" w:sz="4" w:space="0" w:color="auto"/>
              <w:right w:val="single" w:sz="4" w:space="0" w:color="auto"/>
            </w:tcBorders>
            <w:shd w:val="clear" w:color="auto" w:fill="auto"/>
            <w:hideMark/>
          </w:tcPr>
          <w:p w14:paraId="32420B5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720" w:type="dxa"/>
            <w:tcBorders>
              <w:top w:val="nil"/>
              <w:left w:val="nil"/>
              <w:bottom w:val="single" w:sz="4" w:space="0" w:color="auto"/>
              <w:right w:val="single" w:sz="4" w:space="0" w:color="auto"/>
            </w:tcBorders>
            <w:shd w:val="clear" w:color="000000" w:fill="FFFFFF"/>
            <w:hideMark/>
          </w:tcPr>
          <w:p w14:paraId="2AB9242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BABC99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860E019" w14:textId="76D00495"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28666F">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28666F">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28666F">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28666F">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części tabelarycznej IIaPGW. Informacja o ppk dla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28666F">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28666F">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7C2B40" w:rsidRPr="0028666F" w14:paraId="1D72269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F992E8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494</w:t>
            </w:r>
          </w:p>
        </w:tc>
        <w:tc>
          <w:tcPr>
            <w:tcW w:w="970" w:type="dxa"/>
            <w:tcBorders>
              <w:top w:val="nil"/>
              <w:left w:val="nil"/>
              <w:bottom w:val="single" w:sz="4" w:space="0" w:color="auto"/>
              <w:right w:val="nil"/>
            </w:tcBorders>
          </w:tcPr>
          <w:p w14:paraId="729A7A2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2B4E3D0F"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389362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w:t>
            </w:r>
          </w:p>
        </w:tc>
        <w:tc>
          <w:tcPr>
            <w:tcW w:w="5000" w:type="dxa"/>
            <w:tcBorders>
              <w:top w:val="nil"/>
              <w:left w:val="nil"/>
              <w:bottom w:val="single" w:sz="4" w:space="0" w:color="auto"/>
              <w:right w:val="single" w:sz="4" w:space="0" w:color="auto"/>
            </w:tcBorders>
            <w:shd w:val="clear" w:color="auto" w:fill="auto"/>
            <w:hideMark/>
          </w:tcPr>
          <w:p w14:paraId="71EF3781" w14:textId="3215766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Pokrycie siecią monitoringu w dorzeczu Odry znacząco się polepszyło w stosunku do poprzedniej aPGW, głównie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wcześniej niewyznaczonych zbiornikowych - RWr). W latach 2016-2021 monitorowano ylko nieco ponad 50%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(896 ppk na 1735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teraz ma to być 97%(1238 ppk na 1272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W przypadku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liczba ppk wzrosła o 148 (znacznie ponad 50%) , z 240/422 na 388/427, dzięki czemu pokrycie siecią monitoringowa  jeziornych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dorzeczu Odry wynosić będzie 91%.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lepszy monitoring wynika po części z  połączenia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nowe większe jednostki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po części z dużej ilości nowych ppk. Monitoringiem diagnostycznym będzie objęta średnio 77%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najmniejszy udział będzie wynosił ponad 2/3 (66,1% - Warta).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monitoringiem diagnostycznym i operacyjnym będą objęte wszystkie zbiorniki. Sieć monitoringu nadal wymaga rozszerzenia o brakujące kilkadziesiąt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i 39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LW, w miarę możliwości należy wzmoncnić sieć MD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p>
        </w:tc>
        <w:tc>
          <w:tcPr>
            <w:tcW w:w="2733" w:type="dxa"/>
            <w:tcBorders>
              <w:top w:val="nil"/>
              <w:left w:val="nil"/>
              <w:bottom w:val="single" w:sz="4" w:space="0" w:color="auto"/>
              <w:right w:val="single" w:sz="4" w:space="0" w:color="auto"/>
            </w:tcBorders>
            <w:shd w:val="clear" w:color="auto" w:fill="auto"/>
            <w:hideMark/>
          </w:tcPr>
          <w:p w14:paraId="013138B1" w14:textId="1A839AE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Należy objąć monitoringiem (choćby MO) wszystkie brakujące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wzmocnić sieć MD dla RW, uzupełnić sieć monitoringu dla LW oraz wprowadzić MD dla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RWr.</w:t>
            </w:r>
          </w:p>
        </w:tc>
        <w:tc>
          <w:tcPr>
            <w:tcW w:w="3009" w:type="dxa"/>
            <w:tcBorders>
              <w:top w:val="nil"/>
              <w:left w:val="nil"/>
              <w:bottom w:val="single" w:sz="4" w:space="0" w:color="auto"/>
              <w:right w:val="single" w:sz="4" w:space="0" w:color="auto"/>
            </w:tcBorders>
            <w:shd w:val="clear" w:color="auto" w:fill="auto"/>
            <w:hideMark/>
          </w:tcPr>
          <w:p w14:paraId="5858964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Jak w  treści uwagi.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720" w:type="dxa"/>
            <w:tcBorders>
              <w:top w:val="nil"/>
              <w:left w:val="nil"/>
              <w:bottom w:val="single" w:sz="4" w:space="0" w:color="auto"/>
              <w:right w:val="single" w:sz="4" w:space="0" w:color="auto"/>
            </w:tcBorders>
            <w:shd w:val="clear" w:color="000000" w:fill="FFFFFF"/>
            <w:hideMark/>
          </w:tcPr>
          <w:p w14:paraId="5989C93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5F8CA0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46B24DF" w14:textId="7C65E16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wraz z ich charakterystyką obejmującą: status, typ, cele środowiskowe oraz zagrożenie nieosiągnięciem celów środowiskowych, a także rodzaj presji oddziałującej na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7C2B40" w:rsidRPr="0028666F" w14:paraId="52E0551F"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F3EABA5"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495</w:t>
            </w:r>
          </w:p>
        </w:tc>
        <w:tc>
          <w:tcPr>
            <w:tcW w:w="970" w:type="dxa"/>
            <w:tcBorders>
              <w:top w:val="nil"/>
              <w:left w:val="nil"/>
              <w:bottom w:val="single" w:sz="4" w:space="0" w:color="auto"/>
              <w:right w:val="nil"/>
            </w:tcBorders>
          </w:tcPr>
          <w:p w14:paraId="624BB567"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D7B0FC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451A0E1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CELE ŚRODOWISKOWE DLA JEDNOLITYCH CZĘŚCI WÓD I OBSZARÓW CHRONIONYCH</w:t>
            </w:r>
          </w:p>
        </w:tc>
        <w:tc>
          <w:tcPr>
            <w:tcW w:w="5000" w:type="dxa"/>
            <w:tcBorders>
              <w:top w:val="nil"/>
              <w:left w:val="nil"/>
              <w:bottom w:val="single" w:sz="4" w:space="0" w:color="auto"/>
              <w:right w:val="single" w:sz="4" w:space="0" w:color="auto"/>
            </w:tcBorders>
            <w:shd w:val="clear" w:color="auto" w:fill="auto"/>
            <w:hideMark/>
          </w:tcPr>
          <w:p w14:paraId="139AF09B" w14:textId="6CB0937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Streszczenie niespecjalistyczne; IIaPGW Rozdział 7, 8, 9 Presja, Cele środowiskowe, </w:t>
            </w:r>
            <w:r w:rsidRPr="0028666F">
              <w:rPr>
                <w:rFonts w:ascii="Calibri" w:eastAsia="Times New Roman" w:hAnsi="Calibri" w:cs="Calibri"/>
                <w:color w:val="000000"/>
                <w:sz w:val="18"/>
                <w:szCs w:val="18"/>
                <w:lang w:eastAsia="pl-PL"/>
              </w:rPr>
              <w:br/>
              <w:t xml:space="preserve">Stopień 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jest żaden. W w wersji niespecjalistycznej projektu IIaPGW jest mowa o spełnieniu wszystkich wymogów przez 0,08%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dozreczy Odry! W klasyfikacji stanu/potencjału  cele środowiskowe spełniło 33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(1,9% wszystkich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w tym obszarze dorzecza) według starego podziału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według aktualnego – 65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(5,11%). Mimo lepszych wyników po ustaleniu nowych większych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tym tempie cele RDW osiągniemy najszybciej za kilkaset lat.</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Jednocześnie znacząca presja na elementy biologiczne zależne od hydromorfologii występuje w przypadku aż 85 %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(rozdz. 7 IIaPGW). Istotne jest w tej materii, że  zestaw działań likwidujących presje hydromorfologiczne w dorzeczu Odry na lata 2016-2021 nie istniał w przypadku działań renaturyzacyjnych innych niż udrożnienie budowli piętrzących. Dla tych ostatnich zaplanowano 226 działań, czyli 10 razy mniej niż w obecnym cyklu, ale i tak wiele z nich nie zostało wykonanych, w niektórych dorzeczach praktycznie wcale. Temat podjęty jest też poniżej w dalszej części uwag. </w:t>
            </w:r>
          </w:p>
        </w:tc>
        <w:tc>
          <w:tcPr>
            <w:tcW w:w="2733" w:type="dxa"/>
            <w:tcBorders>
              <w:top w:val="nil"/>
              <w:left w:val="nil"/>
              <w:bottom w:val="single" w:sz="4" w:space="0" w:color="auto"/>
              <w:right w:val="single" w:sz="4" w:space="0" w:color="auto"/>
            </w:tcBorders>
            <w:shd w:val="clear" w:color="auto" w:fill="auto"/>
            <w:hideMark/>
          </w:tcPr>
          <w:p w14:paraId="3A0D2DE5" w14:textId="7C07A606"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28666F">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28666F">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009" w:type="dxa"/>
            <w:tcBorders>
              <w:top w:val="nil"/>
              <w:left w:val="nil"/>
              <w:bottom w:val="single" w:sz="4" w:space="0" w:color="auto"/>
              <w:right w:val="single" w:sz="4" w:space="0" w:color="auto"/>
            </w:tcBorders>
            <w:shd w:val="clear" w:color="auto" w:fill="auto"/>
            <w:hideMark/>
          </w:tcPr>
          <w:p w14:paraId="26A67D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Liczby podane w treści uwagi nie wymagają komentarza, ani uzasadnienia.</w:t>
            </w:r>
          </w:p>
        </w:tc>
        <w:tc>
          <w:tcPr>
            <w:tcW w:w="1720" w:type="dxa"/>
            <w:tcBorders>
              <w:top w:val="nil"/>
              <w:left w:val="nil"/>
              <w:bottom w:val="single" w:sz="4" w:space="0" w:color="auto"/>
              <w:right w:val="single" w:sz="4" w:space="0" w:color="auto"/>
            </w:tcBorders>
            <w:shd w:val="clear" w:color="000000" w:fill="FFFFFF"/>
            <w:hideMark/>
          </w:tcPr>
          <w:p w14:paraId="5C38432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576341E"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2BA5F21" w14:textId="2E0E025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Informacją uzyskiwaną w każdej aktualizacji procesu jest określenie jego postępu, co w przypadku IIaPGW oznacza ocenę postępu w osiąganiu przez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28666F">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28666F">
              <w:rPr>
                <w:rFonts w:ascii="Calibri" w:eastAsia="Times New Roman" w:hAnsi="Calibri" w:cs="Calibri"/>
                <w:color w:val="000000"/>
                <w:sz w:val="18"/>
                <w:szCs w:val="18"/>
                <w:lang w:eastAsia="pl-PL"/>
              </w:rPr>
              <w:br/>
              <w:t xml:space="preserve">• dokonanych zmian legislacyjnych w zakresie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okresie 2011-2019;</w:t>
            </w:r>
            <w:r w:rsidRPr="0028666F">
              <w:rPr>
                <w:rFonts w:ascii="Calibri" w:eastAsia="Times New Roman" w:hAnsi="Calibri" w:cs="Calibri"/>
                <w:color w:val="000000"/>
                <w:sz w:val="18"/>
                <w:szCs w:val="18"/>
                <w:lang w:eastAsia="pl-PL"/>
              </w:rPr>
              <w:br/>
              <w:t xml:space="preserve">• celów środowiskowych przydzielonych do poszczególnych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w poprzednich cyklach planistycznych;</w:t>
            </w:r>
            <w:r w:rsidRPr="0028666F">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28666F">
              <w:rPr>
                <w:rFonts w:ascii="Calibri" w:eastAsia="Times New Roman" w:hAnsi="Calibri" w:cs="Calibri"/>
                <w:color w:val="000000"/>
                <w:sz w:val="18"/>
                <w:szCs w:val="18"/>
                <w:lang w:eastAsia="pl-PL"/>
              </w:rPr>
              <w:br/>
              <w:t xml:space="preserve">• wyników monitoringu i ocen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 wyszczególnieniem zmian w zakresie warunków referencyjnych do roku 2019 włącznie.</w:t>
            </w:r>
            <w:r w:rsidRPr="0028666F">
              <w:rPr>
                <w:rFonts w:ascii="Calibri" w:eastAsia="Times New Roman" w:hAnsi="Calibri" w:cs="Calibri"/>
                <w:color w:val="000000"/>
                <w:sz w:val="18"/>
                <w:szCs w:val="18"/>
                <w:lang w:eastAsia="pl-PL"/>
              </w:rPr>
              <w:br/>
              <w:t xml:space="preserve">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typologii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i inne.</w:t>
            </w:r>
            <w:r w:rsidRPr="0028666F">
              <w:rPr>
                <w:rFonts w:ascii="Calibri" w:eastAsia="Times New Roman" w:hAnsi="Calibri" w:cs="Calibri"/>
                <w:color w:val="000000"/>
                <w:sz w:val="18"/>
                <w:szCs w:val="18"/>
                <w:lang w:eastAsia="pl-PL"/>
              </w:rPr>
              <w:br/>
              <w:t xml:space="preserve">Przeprowadzona ocena uwzględnia oczywiście również przegląd zestawów działań przewidzianych do realizacji w cyklu 2010 – 2015 i 2016 -2021, w celu potwierdzenia ich wpływu na postęp w osiąganiu celów środowiskowych. Zestawy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28666F">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28666F">
              <w:rPr>
                <w:rFonts w:ascii="Calibri" w:eastAsia="Times New Roman" w:hAnsi="Calibri" w:cs="Calibri"/>
                <w:color w:val="000000"/>
                <w:sz w:val="18"/>
                <w:szCs w:val="18"/>
                <w:lang w:eastAsia="pl-PL"/>
              </w:rPr>
              <w:br/>
              <w:t xml:space="preserve">W efekcie dobrane zostały, w zestawy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28666F">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7C2B40" w:rsidRPr="0028666F" w14:paraId="5EBAC208"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32E61D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496</w:t>
            </w:r>
          </w:p>
        </w:tc>
        <w:tc>
          <w:tcPr>
            <w:tcW w:w="970" w:type="dxa"/>
            <w:tcBorders>
              <w:top w:val="nil"/>
              <w:left w:val="nil"/>
              <w:bottom w:val="single" w:sz="4" w:space="0" w:color="auto"/>
              <w:right w:val="nil"/>
            </w:tcBorders>
          </w:tcPr>
          <w:p w14:paraId="256BB42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2FEAB6C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A72B7C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POSTĘPU W OSIĄGANIU CELÓW ŚRODOWISKOWYCH</w:t>
            </w:r>
          </w:p>
        </w:tc>
        <w:tc>
          <w:tcPr>
            <w:tcW w:w="5000" w:type="dxa"/>
            <w:tcBorders>
              <w:top w:val="nil"/>
              <w:left w:val="nil"/>
              <w:bottom w:val="single" w:sz="4" w:space="0" w:color="auto"/>
              <w:right w:val="single" w:sz="4" w:space="0" w:color="auto"/>
            </w:tcBorders>
            <w:shd w:val="clear" w:color="auto" w:fill="auto"/>
            <w:hideMark/>
          </w:tcPr>
          <w:p w14:paraId="7E010BB4"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9 Postęp i wdrożenie działań 2016-2021</w:t>
            </w:r>
            <w:r w:rsidRPr="0028666F">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udrożnienie przegród było w dorzeczu Odry nie było).. Co do udrożnień budowli – można jedynie posiłkować się wykazem budowli do udrożnienia (w „erracie” zał. 4). Działań z aPWŚK wymieniono tam dla  dorzecza Odry 380 (różnica między zapisami aPWŚK i IIaPGW wynika z innego podejścia – tutaj zidentyfikowano każde piętrzenie), Wśród nich niewykonanych zadań (z cyklu 2016-2021)  jest przynajmniej 291. Na tej podstawie można stwierdzić, że w dorzeczu Odry ponad ¾ działań zaplanowanych na barierach (na lata 2016-2021) nie zostało wykonanych! W przypadku Kaczawy, rzeki istotnej dla ryb dwuśrodowiskowych (troć wędrowna), nie wykonano ani jednego udrożnienia i to mimo udostępnienia przez organizację ekologiczną (WWF Polska) gotowej koncepcji (Koncepcja udrożnienia rzeki Kaczawy na odcinku od ujścia rzeki Wilczej do ujścia Kaczawy do Odry, 2015). W przypadku Bobru wykonano prawdopodobnie 5 udrożnień, a w przypadku Elektrowni Żagań I nie zrealizowano żadnych działań, co więcej wykreślono je z realizacji w okresie 2021-2027.</w:t>
            </w:r>
          </w:p>
        </w:tc>
        <w:tc>
          <w:tcPr>
            <w:tcW w:w="2733" w:type="dxa"/>
            <w:tcBorders>
              <w:top w:val="nil"/>
              <w:left w:val="nil"/>
              <w:bottom w:val="single" w:sz="4" w:space="0" w:color="auto"/>
              <w:right w:val="single" w:sz="4" w:space="0" w:color="auto"/>
            </w:tcBorders>
            <w:shd w:val="clear" w:color="auto" w:fill="auto"/>
            <w:hideMark/>
          </w:tcPr>
          <w:p w14:paraId="092B045C"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Zapisy IIaPGW należy uzupełnić  o stopień wykonania działań z aPWŚK w dorzeczu Odry w odniesieniu do wszystkich kategorii i grup. </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5252FC9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720" w:type="dxa"/>
            <w:tcBorders>
              <w:top w:val="nil"/>
              <w:left w:val="nil"/>
              <w:bottom w:val="single" w:sz="4" w:space="0" w:color="auto"/>
              <w:right w:val="single" w:sz="4" w:space="0" w:color="auto"/>
            </w:tcBorders>
            <w:shd w:val="clear" w:color="000000" w:fill="FFFFFF"/>
            <w:hideMark/>
          </w:tcPr>
          <w:p w14:paraId="54B0E50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2150066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6127FBA" w14:textId="56EC3499"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28666F">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7C2B40" w:rsidRPr="0028666F" w14:paraId="476C30D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DB2A75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497</w:t>
            </w:r>
          </w:p>
        </w:tc>
        <w:tc>
          <w:tcPr>
            <w:tcW w:w="970" w:type="dxa"/>
            <w:tcBorders>
              <w:top w:val="nil"/>
              <w:left w:val="nil"/>
              <w:bottom w:val="single" w:sz="4" w:space="0" w:color="auto"/>
              <w:right w:val="nil"/>
            </w:tcBorders>
          </w:tcPr>
          <w:p w14:paraId="09CA86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39A24A47"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2085D8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PODSUMOWANIE DZIAŁAŃ ZAWARTYCH W APGW</w:t>
            </w:r>
          </w:p>
        </w:tc>
        <w:tc>
          <w:tcPr>
            <w:tcW w:w="5000" w:type="dxa"/>
            <w:tcBorders>
              <w:top w:val="nil"/>
              <w:left w:val="nil"/>
              <w:bottom w:val="single" w:sz="4" w:space="0" w:color="auto"/>
              <w:right w:val="single" w:sz="4" w:space="0" w:color="auto"/>
            </w:tcBorders>
            <w:shd w:val="clear" w:color="auto" w:fill="auto"/>
            <w:hideMark/>
          </w:tcPr>
          <w:p w14:paraId="35F91F25" w14:textId="3578B9E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10, Działania 2aPGW KPRWP – raport </w:t>
            </w:r>
            <w:r w:rsidRPr="0028666F">
              <w:rPr>
                <w:rFonts w:ascii="Calibri" w:eastAsia="Times New Roman" w:hAnsi="Calibri" w:cs="Calibri"/>
                <w:color w:val="000000"/>
                <w:sz w:val="18"/>
                <w:szCs w:val="18"/>
                <w:lang w:eastAsia="pl-PL"/>
              </w:rPr>
              <w:b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28666F">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28666F">
              <w:rPr>
                <w:rFonts w:ascii="Calibri" w:eastAsia="Times New Roman" w:hAnsi="Calibri" w:cs="Calibri"/>
                <w:color w:val="000000"/>
                <w:sz w:val="18"/>
                <w:szCs w:val="18"/>
                <w:lang w:eastAsia="pl-PL"/>
              </w:rPr>
              <w:br/>
              <w:t xml:space="preserve">Zgodnie z raportem - w żadnej 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nie wdrożono w pełni rekomendacji z KPRWP, na 43%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brak jest wdrożenia zapisów KPRWP, a w przypadku pozostałych 57%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zapisy KPRWP wdrożono w IIaPGW jedynie częściowo. Ponadto, w wyniku planowanych działań w ramach IIaPGW (inwestycje uznane za spełniające przesłanki art. 4.7 RDW), PPSS i aPZRP, dodatkowa presja wystąpi w prawie co trzeciej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(27%), nie wliczając w to prac utrzymaniowych. Taki stan rzeczy wymaga nie tylko pełnego wdrożenia KPRWP, ale i jego uzupełnienia.</w:t>
            </w:r>
            <w:r w:rsidRPr="0028666F">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o statusie SZCW.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28666F">
              <w:rPr>
                <w:rFonts w:ascii="Calibri" w:eastAsia="Times New Roman" w:hAnsi="Calibri" w:cs="Calibri"/>
                <w:color w:val="000000"/>
                <w:sz w:val="18"/>
                <w:szCs w:val="18"/>
                <w:lang w:eastAsia="pl-PL"/>
              </w:rPr>
              <w:br/>
              <w:t>http://www.ratujmyrzeki.pl/250-konsultacje-apgw</w:t>
            </w:r>
            <w:r w:rsidRPr="0028666F">
              <w:rPr>
                <w:rFonts w:ascii="Calibri" w:eastAsia="Times New Roman" w:hAnsi="Calibri" w:cs="Calibri"/>
                <w:color w:val="000000"/>
                <w:sz w:val="18"/>
                <w:szCs w:val="18"/>
                <w:lang w:eastAsia="pl-PL"/>
              </w:rPr>
              <w:br/>
              <w:t>https://hektarydlanatury.pl/downloads/Raport_dla_WWF_zalaczniki.pdf</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Udostępnione dane pozwalają na dokonanie samodzielnych analiz dotyczące konkretnych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28666F">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312CA822" w14:textId="483A690C"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Uzupełnić katalog działań o zapisy KPRWP, wraz z analizą dodatkowych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na których zidentyfikowano nowe presje hydromorfologiczne (przedsięwzięcia, prace utrzymaniowe).</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193AE417" w14:textId="47460B99"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derogacji z art. 4.4. i 4.5. Do podważenia są także podstawy wyznaczenia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jako SZCW.</w:t>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034D01A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C44249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1D3CFABF" w14:textId="122A2A6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KPRWP opracowany w 2019/2020 roku stanowi realizację wymagań RDW, a zawarte w nim działania były odpowiedzią na zidentyfikowane presje hydromorfologiczne (na podstawie danych z 2019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dalszych szczegółowych analiz w skali lokalnej.</w:t>
            </w:r>
            <w:r w:rsidRPr="0028666F">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aktualne wyniki z monitoringu GIOŚ z 2020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28666F">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jeziornych zespół ekspertów pracujący przy KPRWP opracował i uszczegółowił na potrzeby IIaPGW zestawy działań możliwe do wdrożenia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28666F">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28666F">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28666F">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tym oceny możliwości wdrożenia działania, weryfikacji wpływu wdrożenia działań renaturyzacyjnych na ryzyko powodziowe w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oraz zestawów działań aPGW wynikających z PO/PZO/ZO w celu eliminacji działań powtarzających się.</w:t>
            </w:r>
            <w:r w:rsidRPr="0028666F">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r w:rsidRPr="0028666F">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28666F">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Nazwa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Opis działania:</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Zastosowanie:</w:t>
            </w:r>
            <w:r w:rsidRPr="0028666F">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Nazwa działania: Monitoring skuteczności istniejących urządzeń do migracji ryb.</w:t>
            </w:r>
            <w:r w:rsidRPr="0028666F">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7C2B40" w:rsidRPr="0028666F" w14:paraId="50AF910E"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C9AEF44"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498</w:t>
            </w:r>
          </w:p>
        </w:tc>
        <w:tc>
          <w:tcPr>
            <w:tcW w:w="970" w:type="dxa"/>
            <w:tcBorders>
              <w:top w:val="nil"/>
              <w:left w:val="nil"/>
              <w:bottom w:val="single" w:sz="4" w:space="0" w:color="auto"/>
              <w:right w:val="nil"/>
            </w:tcBorders>
          </w:tcPr>
          <w:p w14:paraId="7ED9D5E5"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5EFBC5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919ED29" w14:textId="4D1A1D6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c>
          <w:tcPr>
            <w:tcW w:w="5000" w:type="dxa"/>
            <w:tcBorders>
              <w:top w:val="nil"/>
              <w:left w:val="nil"/>
              <w:bottom w:val="single" w:sz="4" w:space="0" w:color="auto"/>
              <w:right w:val="single" w:sz="4" w:space="0" w:color="auto"/>
            </w:tcBorders>
            <w:shd w:val="clear" w:color="auto" w:fill="auto"/>
            <w:hideMark/>
          </w:tcPr>
          <w:p w14:paraId="52AC32A2" w14:textId="18B953A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Rozdz. 8.1. – 8.4. Art. 4.4. i 4.5. RDW</w:t>
            </w:r>
            <w:r w:rsidRPr="0028666F">
              <w:rPr>
                <w:rFonts w:ascii="Calibri" w:eastAsia="Times New Roman" w:hAnsi="Calibri" w:cs="Calibri"/>
                <w:color w:val="000000"/>
                <w:sz w:val="18"/>
                <w:szCs w:val="18"/>
                <w:lang w:eastAsia="pl-PL"/>
              </w:rPr>
              <w:br w:type="page"/>
              <w:t>W stosunku do aPGW (2016-2021) w IIaPGW znacznie zwiększona została ilość „przyznanych” odstępstw z art. 4.5 RDW (złagodzenie celów 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11 /1735 = 0,63%IIaPGW –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 687/1272 = 54%.</w:t>
            </w:r>
            <w:r w:rsidRPr="0028666F">
              <w:rPr>
                <w:rFonts w:ascii="Calibri" w:eastAsia="Times New Roman" w:hAnsi="Calibri" w:cs="Calibri"/>
                <w:color w:val="000000"/>
                <w:sz w:val="18"/>
                <w:szCs w:val="18"/>
                <w:lang w:eastAsia="pl-PL"/>
              </w:rPr>
              <w:br w:type="page"/>
              <w:t xml:space="preserve">Tylko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 na 1272 (ok 17%) nie ma wyznaczonej żadnej derogacji (4.3, 4.4., 4.5), przy czym nie ma w projekcie IIaPGW zestawienia pozwalającego łatwe porównanie ile z tych 213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ma przyznaną wstępnie derogację 4.7.</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których obniżone zostały wskaźniki oceny, wrażliwe na ww. presje wyznaczenie odstępstwa nie powinno mieć miejsca.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331F4A8B" w14:textId="33F681A2"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Usunąć z listy odstępstw na podstawie art. 4.4 i 4.5 RDW te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nie wdrożono lub nie zaplanowano możliwych działań naprawczych.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527B7A3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660D0B1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D6E58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D4BD177" w14:textId="353F59BF"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to przypadki w których, zależnie od sytuacji, przyczyną złego stanu wód są warunki naturalne LUB przypadki w których uznano, że wystarczające będą krajowe działania horyzontalne wynikające z IIaPGW.</w:t>
            </w:r>
            <w:r w:rsidRPr="0028666F">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28666F">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765B0D3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A5CA338"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499</w:t>
            </w:r>
          </w:p>
        </w:tc>
        <w:tc>
          <w:tcPr>
            <w:tcW w:w="970" w:type="dxa"/>
            <w:tcBorders>
              <w:top w:val="nil"/>
              <w:left w:val="nil"/>
              <w:bottom w:val="single" w:sz="4" w:space="0" w:color="auto"/>
              <w:right w:val="nil"/>
            </w:tcBorders>
          </w:tcPr>
          <w:p w14:paraId="4EEE9314"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318D4A4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4680BE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69D1233" w14:textId="7E2E1923"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uzasadnione w PGW (patrz CIS Guidance No. 20).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załączniku 8 do IIaPGW nie mamy indywidualnych opisów, tylko powielane dla wielu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hasła, z których nie wynika, dlaczego akurat na danej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konkretna działalność człowieka np. rolnicza uniemożliwia wdrożenie działań naprawczych typu renaturyzacja czy udrożnienie piętrzeń. W związku z niewdrożeniem wielu działań naprawczych, opisy te wydają się być nieodpowiednie.</w:t>
            </w:r>
          </w:p>
        </w:tc>
        <w:tc>
          <w:tcPr>
            <w:tcW w:w="2733" w:type="dxa"/>
            <w:tcBorders>
              <w:top w:val="nil"/>
              <w:left w:val="nil"/>
              <w:bottom w:val="single" w:sz="4" w:space="0" w:color="auto"/>
              <w:right w:val="single" w:sz="4" w:space="0" w:color="auto"/>
            </w:tcBorders>
            <w:shd w:val="clear" w:color="auto" w:fill="auto"/>
            <w:hideMark/>
          </w:tcPr>
          <w:p w14:paraId="02D02FB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009" w:type="dxa"/>
            <w:tcBorders>
              <w:top w:val="nil"/>
              <w:left w:val="nil"/>
              <w:bottom w:val="single" w:sz="4" w:space="0" w:color="auto"/>
              <w:right w:val="single" w:sz="4" w:space="0" w:color="auto"/>
            </w:tcBorders>
            <w:shd w:val="clear" w:color="auto" w:fill="auto"/>
            <w:hideMark/>
          </w:tcPr>
          <w:p w14:paraId="07C2EBEE" w14:textId="661E81F6"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z odstępstwem wyklucza jego ustanowienie. </w:t>
            </w:r>
          </w:p>
        </w:tc>
        <w:tc>
          <w:tcPr>
            <w:tcW w:w="1720" w:type="dxa"/>
            <w:tcBorders>
              <w:top w:val="nil"/>
              <w:left w:val="nil"/>
              <w:bottom w:val="single" w:sz="4" w:space="0" w:color="auto"/>
              <w:right w:val="single" w:sz="4" w:space="0" w:color="auto"/>
            </w:tcBorders>
            <w:shd w:val="clear" w:color="000000" w:fill="FFFFFF"/>
            <w:hideMark/>
          </w:tcPr>
          <w:p w14:paraId="5BE1AD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7BC166E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594BE73" w14:textId="113F829E"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presji antropogenicznych i innych elementów wpływających na możliwość poddania szczegółowym analizom zdecydowanie większej liczby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Duża liczba odstępstw od celów środowiskowych nie wynika z tego, że je "przyznano" w IIaPGW, lecz z tego, że w wielu przypadkach nie osiągnięto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 zatem nastąpiło odstępstwo od założonego celu (=od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p>
        </w:tc>
      </w:tr>
      <w:tr w:rsidR="007C2B40" w:rsidRPr="0028666F" w14:paraId="51FA744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E1766E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500</w:t>
            </w:r>
          </w:p>
        </w:tc>
        <w:tc>
          <w:tcPr>
            <w:tcW w:w="970" w:type="dxa"/>
            <w:tcBorders>
              <w:top w:val="nil"/>
              <w:left w:val="nil"/>
              <w:bottom w:val="single" w:sz="4" w:space="0" w:color="auto"/>
              <w:right w:val="nil"/>
            </w:tcBorders>
          </w:tcPr>
          <w:p w14:paraId="02D37713"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58BCE8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F7DB9A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WYKAZ INWESTYCJI I DZIAŁAŃ</w:t>
            </w:r>
          </w:p>
        </w:tc>
        <w:tc>
          <w:tcPr>
            <w:tcW w:w="5000" w:type="dxa"/>
            <w:tcBorders>
              <w:top w:val="nil"/>
              <w:left w:val="nil"/>
              <w:bottom w:val="single" w:sz="4" w:space="0" w:color="auto"/>
              <w:right w:val="single" w:sz="4" w:space="0" w:color="auto"/>
            </w:tcBorders>
            <w:shd w:val="clear" w:color="auto" w:fill="auto"/>
            <w:hideMark/>
          </w:tcPr>
          <w:p w14:paraId="754717A3"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Rozdz. 16, Zał. 6 </w:t>
            </w:r>
            <w:r w:rsidRPr="0028666F">
              <w:rPr>
                <w:rFonts w:ascii="Calibri" w:eastAsia="Times New Roman" w:hAnsi="Calibri" w:cs="Calibri"/>
                <w:color w:val="000000"/>
                <w:sz w:val="18"/>
                <w:szCs w:val="18"/>
                <w:lang w:eastAsia="pl-PL"/>
              </w:rPr>
              <w:br/>
              <w:t xml:space="preserve">W projekcie IIaPGW opublikowano listę przedsięwzięć, która zgodnie z art. 436 PW, powinna spełniać w sposób obiektywny kryteria art. 68 PW, czyli spełniać warunki art. 4.7 RDW do udzielenia derogacji.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Spośród 160 przedsięwzięć rzekomo spełniających ww. kryteria, takie podejście zastosowano jedynie do 2 nowych przedsięwzięć zgłoszonych w latach 2016-2021, które przeszły procedurę oceny oddziaływania na środowisko (i/lub oceny wodnoprawnej) wraz z elementami oceny z art. 68 PW. Dodatkowo, dla jednego z nich - Wydobycie węgla brunatnego ze złoża Złoczew – 24 września 2021 r GDOŚ uchylił dśu wydaną przez RDOŚ w Łodzi.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Reszta przedsięwzięć - 158 -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28666F">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Spośród 158 „starych” przedsięwzięć aż 139 nie posiada wydanej decyzji o środowiskowych uwarunkowaniach (dśu), w tym tak znacząco negatywnie oddziałujące na środowisko jak:</w:t>
            </w:r>
            <w:r w:rsidRPr="0028666F">
              <w:rPr>
                <w:rFonts w:ascii="Calibri" w:eastAsia="Times New Roman" w:hAnsi="Calibri" w:cs="Calibri"/>
                <w:color w:val="000000"/>
                <w:sz w:val="18"/>
                <w:szCs w:val="18"/>
                <w:lang w:eastAsia="pl-PL"/>
              </w:rPr>
              <w:br/>
              <w:t>• „Rewitalizacja szlaku żeglownego Kanału Bydgoskiego i Noteci dolnej skanalizowanej (od km 14,8 do km 176,2) do parametrów drogi wodnej II klasy” – znaczące oddziaływanie na ponad 100 km rzeki i jej doliny oraz na siedliskowe obszary Natura 2000;</w:t>
            </w:r>
            <w:r w:rsidRPr="0028666F">
              <w:rPr>
                <w:rFonts w:ascii="Calibri" w:eastAsia="Times New Roman" w:hAnsi="Calibri" w:cs="Calibri"/>
                <w:color w:val="000000"/>
                <w:sz w:val="18"/>
                <w:szCs w:val="18"/>
                <w:lang w:eastAsia="pl-PL"/>
              </w:rPr>
              <w:br/>
              <w:t>• Zbiornik Piłka na rz. Miała (w grudniu 2016 dostał ODMOWĘ wydania dśu).</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Dotyczy to też około 100 regulacji rzek, w tym w obszarach Natura 2000, rezerwatach, parkach krajobrazowych (PK) czy obszarach przeznaczonych dla gatunków o znaczeniu gospodarczym:</w:t>
            </w:r>
            <w:r w:rsidRPr="0028666F">
              <w:rPr>
                <w:rFonts w:ascii="Calibri" w:eastAsia="Times New Roman" w:hAnsi="Calibri" w:cs="Calibri"/>
                <w:color w:val="000000"/>
                <w:sz w:val="18"/>
                <w:szCs w:val="18"/>
                <w:lang w:eastAsia="pl-PL"/>
              </w:rPr>
              <w:br/>
              <w:t>• Zestaw 16 inwestycji w Kotlinie Kłodzkiej obejmujących rzeki w obszarach Natura 2000 i PK, w tym m.in.:</w:t>
            </w:r>
            <w:r w:rsidRPr="0028666F">
              <w:rPr>
                <w:rFonts w:ascii="Calibri" w:eastAsia="Times New Roman" w:hAnsi="Calibri" w:cs="Calibri"/>
                <w:color w:val="000000"/>
                <w:sz w:val="18"/>
                <w:szCs w:val="18"/>
                <w:lang w:eastAsia="pl-PL"/>
              </w:rPr>
              <w:br/>
              <w:t>ochrona przed powodzią Kotliny Kłodzkiej - Potok Wilczka</w:t>
            </w:r>
            <w:r w:rsidRPr="0028666F">
              <w:rPr>
                <w:rFonts w:ascii="Calibri" w:eastAsia="Times New Roman" w:hAnsi="Calibri" w:cs="Calibri"/>
                <w:color w:val="000000"/>
                <w:sz w:val="18"/>
                <w:szCs w:val="18"/>
                <w:lang w:eastAsia="pl-PL"/>
              </w:rPr>
              <w:br/>
              <w:t>ochrona przed powodzią Kotliny Kłodzkiej - Bystrzyca Kłodzka</w:t>
            </w:r>
            <w:r w:rsidRPr="0028666F">
              <w:rPr>
                <w:rFonts w:ascii="Calibri" w:eastAsia="Times New Roman" w:hAnsi="Calibri" w:cs="Calibri"/>
                <w:color w:val="000000"/>
                <w:sz w:val="18"/>
                <w:szCs w:val="18"/>
                <w:lang w:eastAsia="pl-PL"/>
              </w:rPr>
              <w:br/>
              <w:t>ochrona przed powodzią doliny rzeki Białej Lądeckiej i rzeki Morawki</w:t>
            </w:r>
            <w:r w:rsidRPr="0028666F">
              <w:rPr>
                <w:rFonts w:ascii="Calibri" w:eastAsia="Times New Roman" w:hAnsi="Calibri" w:cs="Calibri"/>
                <w:color w:val="000000"/>
                <w:sz w:val="18"/>
                <w:szCs w:val="18"/>
                <w:lang w:eastAsia="pl-PL"/>
              </w:rPr>
              <w:br/>
              <w:t>• Zbiorniki i poldery, zbiornik Jeziorsko, zwiększenie przepustowości wlotu do zbiornika – rezerwat i obszar Natura 2000 ustanowiony dla ochrony ptaków; inwestycja może znacząco negatywnie oddziaływać na ważne siedliska gatunków chronionych w obszarach, na cofkę zbiornika i procesy hydromorfologiczne tam zachodzące.</w:t>
            </w:r>
            <w:r w:rsidRPr="0028666F">
              <w:rPr>
                <w:rFonts w:ascii="Calibri" w:eastAsia="Times New Roman" w:hAnsi="Calibri" w:cs="Calibri"/>
                <w:color w:val="000000"/>
                <w:sz w:val="18"/>
                <w:szCs w:val="18"/>
                <w:lang w:eastAsia="pl-PL"/>
              </w:rPr>
              <w:br/>
              <w:t>• Regulacja rzeki Warty w rejonie miasta Koła - obszar istotny dla ochrony troci wędrownej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Wśród pozostałych 19 inwestycji, aż 7 posiada dśu starszą niż 8 lat, co jest obecnie granicą ważności dokumentu, nie można tu mówić też o jakiejkolwiek dogłębnej i aktualnej ocenie wpływu na cele środowiskowe i analizie spełniania kryteriów derogacyjnych. Najstarsza z nich ma ponad 12 lat (2009 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 12 pozostałych dla przynajmniej jednego z  przedsięwzięć dśu została uchylona, czego świadomość mają Wody Polskie (wpis w IIaPGW):</w:t>
            </w:r>
            <w:r w:rsidRPr="0028666F">
              <w:rPr>
                <w:rFonts w:ascii="Calibri" w:eastAsia="Times New Roman" w:hAnsi="Calibri" w:cs="Calibri"/>
                <w:color w:val="000000"/>
                <w:sz w:val="18"/>
                <w:szCs w:val="18"/>
                <w:lang w:eastAsia="pl-PL"/>
              </w:rPr>
              <w:br/>
              <w:t>Jawornik-Myślibórz, gm. Paszowice</w:t>
            </w:r>
            <w:r w:rsidRPr="0028666F">
              <w:rPr>
                <w:rFonts w:ascii="Calibri" w:eastAsia="Times New Roman" w:hAnsi="Calibri" w:cs="Calibri"/>
                <w:color w:val="000000"/>
                <w:sz w:val="18"/>
                <w:szCs w:val="18"/>
                <w:lang w:eastAsia="pl-PL"/>
              </w:rPr>
              <w:br/>
              <w:t>A dla kilku toczy się procedura odwoławcza, w tym m.in. dla:</w:t>
            </w:r>
            <w:r w:rsidRPr="0028666F">
              <w:rPr>
                <w:rFonts w:ascii="Calibri" w:eastAsia="Times New Roman" w:hAnsi="Calibri" w:cs="Calibri"/>
                <w:color w:val="000000"/>
                <w:sz w:val="18"/>
                <w:szCs w:val="18"/>
                <w:lang w:eastAsia="pl-PL"/>
              </w:rPr>
              <w:br/>
              <w:t>Prace modernizacyjne na Odrze granicznej w celu zapewnienia zimowego lodołamania – tutaj odwołania od DŚU złożyło aż 11 podmiotów prawnych z Polski i Niemiec (w tym Ministerstwo Branderburgii); przedsięwzięcie w wyniku realizacji ingerowałoby znacząco w przynajmniej 5 obszarów Natura 2000.</w:t>
            </w:r>
            <w:r w:rsidRPr="0028666F">
              <w:rPr>
                <w:rFonts w:ascii="Calibri" w:eastAsia="Times New Roman" w:hAnsi="Calibri" w:cs="Calibri"/>
                <w:color w:val="000000"/>
                <w:sz w:val="18"/>
                <w:szCs w:val="18"/>
                <w:lang w:eastAsia="pl-PL"/>
              </w:rPr>
              <w:br/>
              <w:t>Przedsięwzięciami wykazującymi oddziaływania skumulowane z wyżej wymienionymi to:</w:t>
            </w:r>
            <w:r w:rsidRPr="0028666F">
              <w:rPr>
                <w:rFonts w:ascii="Calibri" w:eastAsia="Times New Roman" w:hAnsi="Calibri" w:cs="Calibri"/>
                <w:color w:val="000000"/>
                <w:sz w:val="18"/>
                <w:szCs w:val="18"/>
                <w:lang w:eastAsia="pl-PL"/>
              </w:rPr>
              <w:br/>
              <w:t>„Remont i modernizacja pozostałej zabudowy regulacyjnej na Odrze granicznej”,</w:t>
            </w:r>
            <w:r w:rsidRPr="0028666F">
              <w:rPr>
                <w:rFonts w:ascii="Calibri" w:eastAsia="Times New Roman" w:hAnsi="Calibri" w:cs="Calibri"/>
                <w:color w:val="000000"/>
                <w:sz w:val="18"/>
                <w:szCs w:val="18"/>
                <w:lang w:eastAsia="pl-PL"/>
              </w:rPr>
              <w:br/>
              <w:t>i będąca w realizacji „Modernizacja toru wodnego Świnoujście- Szczecin do głębokości 12,5 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Wśród przedsięwzięć pozostałych, posiadających dśu nie starszą niż 8 lat na uwagę zasługuje: Budowa zbiornika wodnego Wielowieś Klasztorna. Jest to jedno z najbardziej ingerujących w środowisko przedsięwzięć planowanych obecnie na rzekach w Polsce (znacząco negatywnie oddziaływałoby na dorzecze Warty), obejmuje jeden z lepiej zachowanych odcinków rzek w Wielkopolsce. Inwestycja generuje duże koszty społeczne, bo jej realizacja wymaga przesiedleń lokalnej ludności. Zbiornik nie ma realnego znaczenia przeciwpowodziowego, ani retencyjnego. Dolina Prosny na tym odcinku posiada duża naturalną retencję, prawdopodobnie porównywalną z pojemnością przeciwpowodziową zbiornika. Jego realizacja byłaby sprzeczna z celami środowiskowymi dla rzeki Prosny.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Należy dodać, że dla pozostałych (wyżej nie wymienionych) przedsięwzięć organizacje społeczne przeprowadziły (w roku 2015 i 2016) analizy zasadności derogacji, a ich wyniki przedstawiły w konsultacjach aPGW. W IIaPGW opisy derogacji dla tych działań praktycznie się nie zmieniły. </w:t>
            </w:r>
            <w:r w:rsidRPr="0028666F">
              <w:rPr>
                <w:rFonts w:ascii="Calibri" w:eastAsia="Times New Roman" w:hAnsi="Calibri" w:cs="Calibri"/>
                <w:color w:val="000000"/>
                <w:sz w:val="18"/>
                <w:szCs w:val="18"/>
                <w:lang w:eastAsia="pl-PL"/>
              </w:rPr>
              <w:br/>
              <w:t>Ponadto, w IIaPGW brak jest aktualnych danych o statusach inwestycji – część z nich jest obecnie realizowana lub nawet ukończona, np. „Modernizacja toru wodnego Świnoujście- Szczecin do głębokości 12,5 m” czy „Odbudowa Kanału Małgosia”.</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4362C80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28666F">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009" w:type="dxa"/>
            <w:tcBorders>
              <w:top w:val="nil"/>
              <w:left w:val="nil"/>
              <w:bottom w:val="single" w:sz="4" w:space="0" w:color="auto"/>
              <w:right w:val="single" w:sz="4" w:space="0" w:color="auto"/>
            </w:tcBorders>
            <w:shd w:val="clear" w:color="auto" w:fill="auto"/>
            <w:hideMark/>
          </w:tcPr>
          <w:p w14:paraId="3FA12357"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r>
          </w:p>
        </w:tc>
        <w:tc>
          <w:tcPr>
            <w:tcW w:w="1720" w:type="dxa"/>
            <w:tcBorders>
              <w:top w:val="nil"/>
              <w:left w:val="nil"/>
              <w:bottom w:val="single" w:sz="4" w:space="0" w:color="auto"/>
              <w:right w:val="single" w:sz="4" w:space="0" w:color="auto"/>
            </w:tcBorders>
            <w:shd w:val="clear" w:color="000000" w:fill="FFFFFF"/>
            <w:hideMark/>
          </w:tcPr>
          <w:p w14:paraId="23D5962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3EF007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12F1669E" w14:textId="492EB88A"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7C2B40" w:rsidRPr="0028666F" w14:paraId="4ED6DE6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104B4FB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501</w:t>
            </w:r>
          </w:p>
        </w:tc>
        <w:tc>
          <w:tcPr>
            <w:tcW w:w="970" w:type="dxa"/>
            <w:tcBorders>
              <w:top w:val="nil"/>
              <w:left w:val="nil"/>
              <w:bottom w:val="single" w:sz="4" w:space="0" w:color="auto"/>
              <w:right w:val="nil"/>
            </w:tcBorders>
          </w:tcPr>
          <w:p w14:paraId="343EC2E1"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66C6F493"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9A1862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44A3EBA5" w14:textId="53CAC4DB"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Katalogi działań</w:t>
            </w:r>
            <w:r w:rsidRPr="0028666F">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Ochrona i zwiększanie retencji na obszarach rolniczych.</w:t>
            </w:r>
            <w:r w:rsidRPr="0028666F">
              <w:rPr>
                <w:rFonts w:ascii="Calibri" w:eastAsia="Times New Roman" w:hAnsi="Calibri" w:cs="Calibri"/>
                <w:color w:val="000000"/>
                <w:sz w:val="18"/>
                <w:szCs w:val="18"/>
                <w:lang w:eastAsia="pl-PL"/>
              </w:rPr>
              <w:br/>
              <w:t>Ochrona i zwiększanie retencji leśnej.</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RWC_01.07</w:t>
            </w:r>
            <w:r w:rsidRPr="0028666F">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ramach programu PPSS.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RWC_01.05.</w:t>
            </w:r>
            <w:r w:rsidRPr="0028666F">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ramach programu PPSS.</w:t>
            </w:r>
            <w:r w:rsidRPr="0028666F">
              <w:rPr>
                <w:rFonts w:ascii="Calibri" w:eastAsia="Times New Roman" w:hAnsi="Calibri" w:cs="Calibri"/>
                <w:color w:val="000000"/>
                <w:sz w:val="18"/>
                <w:szCs w:val="18"/>
                <w:lang w:eastAsia="pl-PL"/>
              </w:rPr>
              <w:br/>
              <w:t xml:space="preserve">  </w:t>
            </w:r>
            <w:r w:rsidRPr="0028666F">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28666F">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28666F">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28666F">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28666F">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28666F">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28666F">
              <w:rPr>
                <w:rFonts w:ascii="Calibri" w:eastAsia="Times New Roman" w:hAnsi="Calibri" w:cs="Calibri"/>
                <w:color w:val="000000"/>
                <w:sz w:val="18"/>
                <w:szCs w:val="18"/>
                <w:lang w:eastAsia="pl-PL"/>
              </w:rPr>
              <w:br/>
            </w:r>
          </w:p>
        </w:tc>
        <w:tc>
          <w:tcPr>
            <w:tcW w:w="2733" w:type="dxa"/>
            <w:tcBorders>
              <w:top w:val="nil"/>
              <w:left w:val="nil"/>
              <w:bottom w:val="single" w:sz="4" w:space="0" w:color="auto"/>
              <w:right w:val="single" w:sz="4" w:space="0" w:color="auto"/>
            </w:tcBorders>
            <w:shd w:val="clear" w:color="auto" w:fill="auto"/>
            <w:hideMark/>
          </w:tcPr>
          <w:p w14:paraId="5F93E7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009" w:type="dxa"/>
            <w:tcBorders>
              <w:top w:val="nil"/>
              <w:left w:val="nil"/>
              <w:bottom w:val="single" w:sz="4" w:space="0" w:color="auto"/>
              <w:right w:val="single" w:sz="4" w:space="0" w:color="auto"/>
            </w:tcBorders>
            <w:shd w:val="clear" w:color="auto" w:fill="auto"/>
            <w:hideMark/>
          </w:tcPr>
          <w:p w14:paraId="4820C7F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720" w:type="dxa"/>
            <w:tcBorders>
              <w:top w:val="nil"/>
              <w:left w:val="nil"/>
              <w:bottom w:val="single" w:sz="4" w:space="0" w:color="auto"/>
              <w:right w:val="single" w:sz="4" w:space="0" w:color="auto"/>
            </w:tcBorders>
            <w:shd w:val="clear" w:color="000000" w:fill="FFFFFF"/>
            <w:hideMark/>
          </w:tcPr>
          <w:p w14:paraId="2CA4F48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4F459A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3C4C1BE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28666F">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7C2B40" w:rsidRPr="0028666F" w14:paraId="6012DB57"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41E264D"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502</w:t>
            </w:r>
          </w:p>
        </w:tc>
        <w:tc>
          <w:tcPr>
            <w:tcW w:w="970" w:type="dxa"/>
            <w:tcBorders>
              <w:top w:val="nil"/>
              <w:left w:val="nil"/>
              <w:bottom w:val="single" w:sz="4" w:space="0" w:color="auto"/>
              <w:right w:val="nil"/>
            </w:tcBorders>
          </w:tcPr>
          <w:p w14:paraId="33B02380"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74EC2F0"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7399381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5808DDEF" w14:textId="3A8D824F"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barier migracyjnych</w:t>
            </w:r>
            <w:r w:rsidRPr="0028666F">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28666F">
              <w:rPr>
                <w:rFonts w:ascii="Calibri" w:eastAsia="Times New Roman" w:hAnsi="Calibri" w:cs="Calibri"/>
                <w:color w:val="000000"/>
                <w:sz w:val="18"/>
                <w:szCs w:val="18"/>
                <w:lang w:eastAsia="pl-PL"/>
              </w:rPr>
              <w:br/>
              <w:t xml:space="preserve">lub </w:t>
            </w:r>
            <w:r w:rsidRPr="0028666F">
              <w:rPr>
                <w:rFonts w:ascii="Calibri" w:eastAsia="Times New Roman" w:hAnsi="Calibri" w:cs="Calibri"/>
                <w:color w:val="000000"/>
                <w:sz w:val="18"/>
                <w:szCs w:val="18"/>
                <w:lang w:eastAsia="pl-PL"/>
              </w:rPr>
              <w:br/>
              <w:t>Analiza możliwości  likwidacji budowli poprzecznych…</w:t>
            </w:r>
            <w:r w:rsidRPr="0028666F">
              <w:rPr>
                <w:rFonts w:ascii="Calibri" w:eastAsia="Times New Roman" w:hAnsi="Calibri" w:cs="Calibri"/>
                <w:color w:val="000000"/>
                <w:sz w:val="18"/>
                <w:szCs w:val="18"/>
                <w:lang w:eastAsia="pl-PL"/>
              </w:rPr>
              <w:br/>
              <w:t>lub</w:t>
            </w:r>
            <w:r w:rsidRPr="0028666F">
              <w:rPr>
                <w:rFonts w:ascii="Calibri" w:eastAsia="Times New Roman" w:hAnsi="Calibri" w:cs="Calibri"/>
                <w:color w:val="000000"/>
                <w:sz w:val="18"/>
                <w:szCs w:val="18"/>
                <w:lang w:eastAsia="pl-PL"/>
              </w:rPr>
              <w:br/>
              <w:t xml:space="preserve">Analiza możliwości  likwidacji budowli poprzecznych/przebudowa budowli poprzecznych </w:t>
            </w:r>
            <w:r w:rsidRPr="0028666F">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„Analiza możliwości przebudowy budowli poprzecznych…„</w:t>
            </w:r>
            <w:r w:rsidRPr="0028666F">
              <w:rPr>
                <w:rFonts w:ascii="Calibri" w:eastAsia="Times New Roman" w:hAnsi="Calibri" w:cs="Calibri"/>
                <w:color w:val="000000"/>
                <w:sz w:val="18"/>
                <w:szCs w:val="18"/>
                <w:lang w:eastAsia="pl-PL"/>
              </w:rPr>
              <w:br/>
              <w:t xml:space="preserve">należy dokonać zmiany na </w:t>
            </w:r>
            <w:r w:rsidRPr="0028666F">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„Monitoring skuteczności istniejących urządzeń do migracji ryb.” i/lub </w:t>
            </w:r>
            <w:r w:rsidRPr="0028666F">
              <w:rPr>
                <w:rFonts w:ascii="Calibri" w:eastAsia="Times New Roman" w:hAnsi="Calibri" w:cs="Calibri"/>
                <w:color w:val="000000"/>
                <w:sz w:val="18"/>
                <w:szCs w:val="18"/>
                <w:lang w:eastAsia="pl-PL"/>
              </w:rPr>
              <w:br/>
              <w:t>„Kontrola funkcjonowania urządzeń do migracji ryb.”</w:t>
            </w:r>
            <w:r w:rsidRPr="0028666F">
              <w:rPr>
                <w:rFonts w:ascii="Calibri" w:eastAsia="Times New Roman" w:hAnsi="Calibri" w:cs="Calibri"/>
                <w:color w:val="000000"/>
                <w:sz w:val="18"/>
                <w:szCs w:val="18"/>
                <w:lang w:eastAsia="pl-PL"/>
              </w:rPr>
              <w:br/>
              <w:t>należy dodać kolejne działanie (Działanie I lub Działanie II):</w:t>
            </w:r>
            <w:r w:rsidRPr="0028666F">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Tam gdzie jest:</w:t>
            </w:r>
            <w:r w:rsidRPr="0028666F">
              <w:rPr>
                <w:rFonts w:ascii="Calibri" w:eastAsia="Times New Roman" w:hAnsi="Calibri" w:cs="Calibri"/>
                <w:color w:val="000000"/>
                <w:sz w:val="18"/>
                <w:szCs w:val="18"/>
                <w:lang w:eastAsia="pl-PL"/>
              </w:rPr>
              <w:br/>
              <w:t xml:space="preserve">„Ocena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należy dodać działanie (Działanie I lub Działanie II):</w:t>
            </w:r>
            <w:r w:rsidRPr="0028666F">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 realizacja działań inwestycyjnych ukierunkowanych na neutralizację negatywnego oddziaływania i osiągnięcie celów środowiskowych.”</w:t>
            </w:r>
          </w:p>
        </w:tc>
        <w:tc>
          <w:tcPr>
            <w:tcW w:w="2733" w:type="dxa"/>
            <w:tcBorders>
              <w:top w:val="nil"/>
              <w:left w:val="nil"/>
              <w:bottom w:val="single" w:sz="4" w:space="0" w:color="auto"/>
              <w:right w:val="single" w:sz="4" w:space="0" w:color="auto"/>
            </w:tcBorders>
            <w:shd w:val="clear" w:color="auto" w:fill="auto"/>
            <w:hideMark/>
          </w:tcPr>
          <w:p w14:paraId="6736FA1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4325C74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 Tylko takie zapisy pozwolą na osiągnięcie celów środowiskowych do 2027 r.</w:t>
            </w:r>
          </w:p>
        </w:tc>
        <w:tc>
          <w:tcPr>
            <w:tcW w:w="1720" w:type="dxa"/>
            <w:tcBorders>
              <w:top w:val="nil"/>
              <w:left w:val="nil"/>
              <w:bottom w:val="single" w:sz="4" w:space="0" w:color="auto"/>
              <w:right w:val="single" w:sz="4" w:space="0" w:color="auto"/>
            </w:tcBorders>
            <w:shd w:val="clear" w:color="000000" w:fill="FFFFFF"/>
            <w:hideMark/>
          </w:tcPr>
          <w:p w14:paraId="1B5BF1F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15DBF5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7482FC38" w14:textId="29B278B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28666F">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28666F">
              <w:rPr>
                <w:rFonts w:ascii="Calibri" w:eastAsia="Times New Roman" w:hAnsi="Calibri" w:cs="Calibri"/>
                <w:color w:val="000000"/>
                <w:sz w:val="18"/>
                <w:szCs w:val="18"/>
                <w:lang w:eastAsia="pl-PL"/>
              </w:rPr>
              <w:br/>
              <w:t>Zgodnie z uwagą zmieniono natomiast zakres działania RWHM_02.06 oraz RWHM_02.08.</w:t>
            </w:r>
            <w:r w:rsidRPr="0028666F">
              <w:rPr>
                <w:rFonts w:ascii="Calibri" w:eastAsia="Times New Roman" w:hAnsi="Calibri" w:cs="Calibri"/>
                <w:color w:val="000000"/>
                <w:sz w:val="18"/>
                <w:szCs w:val="18"/>
                <w:lang w:eastAsia="pl-PL"/>
              </w:rPr>
              <w:br/>
              <w:t>Obecne brzmienie:</w:t>
            </w:r>
            <w:r w:rsidRPr="0028666F">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7C2B40" w:rsidRPr="0028666F" w14:paraId="7B7476AA"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4E758121"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503</w:t>
            </w:r>
          </w:p>
        </w:tc>
        <w:tc>
          <w:tcPr>
            <w:tcW w:w="970" w:type="dxa"/>
            <w:tcBorders>
              <w:top w:val="nil"/>
              <w:left w:val="nil"/>
              <w:bottom w:val="single" w:sz="4" w:space="0" w:color="auto"/>
              <w:right w:val="nil"/>
            </w:tcBorders>
          </w:tcPr>
          <w:p w14:paraId="0CE7B7B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3080A4F4"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244EF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39A78018" w14:textId="1B8EFF2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Odry)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Zaniechania i braki mogące skutkować nieosiągnięciem celów środowiskowych w rozumieniu RDW, w tym celów dla obszarów Natura 2000,  to m.in.:</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Rzeka Grabia, obszar Natura 2000 "Grabia" PLH100021</w:t>
            </w:r>
            <w:r w:rsidRPr="0028666F">
              <w:rPr>
                <w:rFonts w:ascii="Calibri" w:eastAsia="Times New Roman" w:hAnsi="Calibri" w:cs="Calibri"/>
                <w:color w:val="000000"/>
                <w:sz w:val="18"/>
                <w:szCs w:val="18"/>
                <w:lang w:eastAsia="pl-PL"/>
              </w:rPr>
              <w:br w:type="page"/>
              <w:t>Wpis z PZO z 2014 (w zmianie PZO z 2018 też):</w:t>
            </w:r>
            <w:r w:rsidRPr="0028666F">
              <w:rPr>
                <w:rFonts w:ascii="Calibri" w:eastAsia="Times New Roman" w:hAnsi="Calibri" w:cs="Calibri"/>
                <w:color w:val="000000"/>
                <w:sz w:val="18"/>
                <w:szCs w:val="18"/>
                <w:lang w:eastAsia="pl-PL"/>
              </w:rPr>
              <w:br w:type="page"/>
              <w:t>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w:t>
            </w:r>
            <w:r w:rsidRPr="0028666F">
              <w:rPr>
                <w:rFonts w:ascii="Calibri" w:eastAsia="Times New Roman" w:hAnsi="Calibri" w:cs="Calibri"/>
                <w:color w:val="000000"/>
                <w:sz w:val="18"/>
                <w:szCs w:val="18"/>
                <w:lang w:eastAsia="pl-PL"/>
              </w:rPr>
              <w:br w:type="page"/>
              <w:t>dla ryb.</w:t>
            </w:r>
            <w:r w:rsidRPr="0028666F">
              <w:rPr>
                <w:rFonts w:ascii="Calibri" w:eastAsia="Times New Roman" w:hAnsi="Calibri" w:cs="Calibri"/>
                <w:color w:val="000000"/>
                <w:sz w:val="18"/>
                <w:szCs w:val="18"/>
                <w:lang w:eastAsia="pl-PL"/>
              </w:rPr>
              <w:br w:type="page"/>
              <w:t>W aPGW 2016-2021 był wpis do zadań dla obszarów chronionych, ale już nie w działaniach na budowlach piętrzących – żadnych działań nie przeprowadzono.</w:t>
            </w:r>
            <w:r w:rsidRPr="0028666F">
              <w:rPr>
                <w:rFonts w:ascii="Calibri" w:eastAsia="Times New Roman" w:hAnsi="Calibri" w:cs="Calibri"/>
                <w:color w:val="000000"/>
                <w:sz w:val="18"/>
                <w:szCs w:val="18"/>
                <w:lang w:eastAsia="pl-PL"/>
              </w:rPr>
              <w:br w:type="page"/>
              <w:t>W IIaPGW zaproponowano realizację działań wynikających z analizy drożności, ale tylko dla 3 piętrzeń z kilkunastu zlokalizowanych w obszarze. Co niedopuszczalne, pierwszy próg od dołu (od Widawki) pozostanie nieudrożniony, a przecież budowa ma 2,5 m wysokości. Niedrożne pozostaną również dwa piętrzenia na Widawce, poniżej ujścia Grabi, mimo, że też mogą znacząco oddziaływać na obszar Natura 2000.</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Kotlina Kłodzka</w:t>
            </w:r>
            <w:r w:rsidRPr="0028666F">
              <w:rPr>
                <w:rFonts w:ascii="Calibri" w:eastAsia="Times New Roman" w:hAnsi="Calibri" w:cs="Calibri"/>
                <w:color w:val="000000"/>
                <w:sz w:val="18"/>
                <w:szCs w:val="18"/>
                <w:lang w:eastAsia="pl-PL"/>
              </w:rPr>
              <w:br w:type="page"/>
              <w:t>Wiele barier na rzekach Kotliny Kłodzkiej, również w obszarach Natura 2000 ma pozostać nieudrożnionych. Wyłącznie „ocenę wpływu” zaproponowano dla piętrzeń m.in. na: Białej Lądeckiej, Morawce, Bystrzycy. Jednocześnie na wszystkich tych rzekach planowane są nowe poważne ingerencje hydrotechniczne.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Gwda</w:t>
            </w:r>
            <w:r w:rsidRPr="0028666F">
              <w:rPr>
                <w:rFonts w:ascii="Calibri" w:eastAsia="Times New Roman" w:hAnsi="Calibri" w:cs="Calibri"/>
                <w:color w:val="000000"/>
                <w:sz w:val="18"/>
                <w:szCs w:val="18"/>
                <w:lang w:eastAsia="pl-PL"/>
              </w:rPr>
              <w:br w:type="page"/>
              <w:t>Głomia – dopływ Gwdy z wpisaną do celów środowiskowych drożnością dla ryb –dwa piętrzenia w dolnym biegu blokujące migracje nie zostały w ogóle wpisane w działania na budowlach IIaPGW.</w:t>
            </w:r>
            <w:r w:rsidRPr="0028666F">
              <w:rPr>
                <w:rFonts w:ascii="Calibri" w:eastAsia="Times New Roman" w:hAnsi="Calibri" w:cs="Calibri"/>
                <w:color w:val="000000"/>
                <w:sz w:val="18"/>
                <w:szCs w:val="18"/>
                <w:lang w:eastAsia="pl-PL"/>
              </w:rPr>
              <w:br w:type="page"/>
              <w:t>Piława – niedrożne piętrzenie nr 2914 (celem środowiskowym jest zapewnienie drożności cieku dla migracji ichtiofauny, o ile jest monitorowany wskaźnik diadromiczny D). W ramach IIapGW zaproponowano tylko ocenę wpływu, brak działań udrożnieniowych.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Zbiorniki zaporowe - Jeziorsko</w:t>
            </w:r>
            <w:r w:rsidRPr="0028666F">
              <w:rPr>
                <w:rFonts w:ascii="Calibri" w:eastAsia="Times New Roman" w:hAnsi="Calibri" w:cs="Calibri"/>
                <w:color w:val="000000"/>
                <w:sz w:val="18"/>
                <w:szCs w:val="18"/>
                <w:lang w:eastAsia="pl-PL"/>
              </w:rPr>
              <w:br w:type="page"/>
              <w:t xml:space="preserve">Z 19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RWr (zaporowe), tylko Zb. Otmuchów ma mieć wybudowaną przepławkę. Co niedopuszczalne, zaniechano budowy przepławki na Zb. Jeziorsko. Nie zaplanowano tam żadnego zadania, nawet „Oceny wpływu…”. Zbiornik Jeziorsko granicą stanowi obecnie granicę występowania ryb dwuśrodowiskowych – certy i troci wędrownej. Jeszcze do 1986 r. powyżej zbiornika występowała i tarła się certa (Penczak T. 1986. Charakterystyka ichtiofauny Warty i jej dopływów w granicach Załęczańskiego Parku Krajobrazowego. </w:t>
            </w:r>
            <w:r w:rsidRPr="0028666F">
              <w:rPr>
                <w:rFonts w:ascii="Calibri" w:eastAsia="Times New Roman" w:hAnsi="Calibri" w:cs="Calibri"/>
                <w:color w:val="000000"/>
                <w:sz w:val="18"/>
                <w:szCs w:val="18"/>
                <w:lang w:val="en-US" w:eastAsia="pl-PL"/>
              </w:rPr>
              <w:t xml:space="preserve">Acta Univ. Łódz., Folia Sozol. 2: 365-376. ). W opracowaniu Restoring migratory fish and connectivity of rivers in Poland, 2006 - Edited by Wiesław Wiśniewolski and Jacek Engel, Wyd. </w:t>
            </w:r>
            <w:r w:rsidRPr="0028666F">
              <w:rPr>
                <w:rFonts w:ascii="Calibri" w:eastAsia="Times New Roman" w:hAnsi="Calibri" w:cs="Calibri"/>
                <w:color w:val="000000"/>
                <w:sz w:val="18"/>
                <w:szCs w:val="18"/>
                <w:lang w:eastAsia="pl-PL"/>
              </w:rPr>
              <w:t xml:space="preserve">IRS i WWF Polska, s. 82 Warta powyżej zbiornika była wskazana jako rzeka istotna dla ww. gatunków diadromicznych. Umożliwienie migracji przez zaporę Zb. Jeziorsko (właśnie remontowaną za dziesiątki mln zł) jest też istotne dla innych dalekodystansowych migrantów, jak boleń.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Stara Rega – piętrzenie nr 451</w:t>
            </w:r>
            <w:r w:rsidRPr="0028666F">
              <w:rPr>
                <w:rFonts w:ascii="Calibri" w:eastAsia="Times New Roman" w:hAnsi="Calibri" w:cs="Calibri"/>
                <w:color w:val="000000"/>
                <w:sz w:val="18"/>
                <w:szCs w:val="18"/>
                <w:lang w:eastAsia="pl-PL"/>
              </w:rPr>
              <w:br w:type="page"/>
              <w:t xml:space="preserve">Elektrownia, wymaga pilnego udrożnienia ze względu na cel środowiskowy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wyznaczenie jej jako obszaru istotnego dla gatunków ryb o znaczeniu gospodarczym; lokalizację w obszarze Natura 2000 Trzebiatowsko-Kołobrzeski Pas Nadmorski, ustanowionym m.in. dla ochrony łososia i minoga rzecznego. W IIaPGW (zał. 4 erraty) zaplanowano tylko działanie „Ocena wpływu …” zamiast działań inwestycyjnych. Sytuację dramatycznie pogorszy realizacja, planowanych w ramach PPSS, inwestycji polegających na budowie nowych barier migracyjnych w całej zlewni Starej Regi i ogólnie  - Regi i rzek przymorza w Zarządzie Zlewni Gryfice.</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Ukleja – piętrzenie nr 397</w:t>
            </w:r>
            <w:r w:rsidRPr="0028666F">
              <w:rPr>
                <w:rFonts w:ascii="Calibri" w:eastAsia="Times New Roman" w:hAnsi="Calibri" w:cs="Calibri"/>
                <w:color w:val="000000"/>
                <w:sz w:val="18"/>
                <w:szCs w:val="18"/>
                <w:lang w:eastAsia="pl-PL"/>
              </w:rPr>
              <w:br w:type="page"/>
              <w:t>IIaPGW proponuje  działania „Kontrola…” i „Monitoring…”, a piętrzenie wymaga pilnej przebudowy (istotne z punktu widzenia ochrony obszaru Natura 2000 i ryb dwuśrodowiskowych).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69E9DA3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Uzupełnić działania inwestycyjne   według wymagań dla ryb (kolumny – X-AD w zał. 4 „erraty”).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28666F">
              <w:rPr>
                <w:rFonts w:ascii="Calibri" w:eastAsia="Times New Roman" w:hAnsi="Calibri" w:cs="Calibri"/>
                <w:color w:val="000000"/>
                <w:sz w:val="18"/>
                <w:szCs w:val="18"/>
                <w:lang w:eastAsia="pl-PL"/>
              </w:rPr>
              <w:br w:type="page"/>
              <w:t>Udrożnić dla ryb zaporę Zb. Jeziorsko odcinającą całą górna zlewnię Warty.</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3009" w:type="dxa"/>
            <w:tcBorders>
              <w:top w:val="nil"/>
              <w:left w:val="nil"/>
              <w:bottom w:val="single" w:sz="4" w:space="0" w:color="auto"/>
              <w:right w:val="single" w:sz="4" w:space="0" w:color="auto"/>
            </w:tcBorders>
            <w:shd w:val="clear" w:color="auto" w:fill="auto"/>
            <w:hideMark/>
          </w:tcPr>
          <w:p w14:paraId="4B64F3A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7AE423A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1D39DE7F"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hideMark/>
          </w:tcPr>
          <w:p w14:paraId="50197398" w14:textId="15329BFC"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których dotyczy rozporządzenie.</w:t>
            </w:r>
            <w:r w:rsidRPr="0028666F">
              <w:rPr>
                <w:rFonts w:ascii="Calibri" w:eastAsia="Times New Roman" w:hAnsi="Calibri" w:cs="Calibri"/>
                <w:color w:val="000000"/>
                <w:sz w:val="18"/>
                <w:szCs w:val="18"/>
                <w:lang w:eastAsia="pl-PL"/>
              </w:rPr>
              <w:br w:type="page"/>
              <w:t xml:space="preserve">Należy podkreślić, iż w ramach IIaPGW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28666F">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28666F">
              <w:rPr>
                <w:rFonts w:ascii="Calibri" w:eastAsia="Times New Roman" w:hAnsi="Calibri" w:cs="Calibri"/>
                <w:color w:val="000000"/>
                <w:sz w:val="18"/>
                <w:szCs w:val="18"/>
                <w:lang w:eastAsia="pl-PL"/>
              </w:rPr>
              <w:br w:type="page"/>
              <w:t xml:space="preserve">Nazwa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w:t>
            </w:r>
            <w:r w:rsidRPr="0028666F">
              <w:rPr>
                <w:rFonts w:ascii="Calibri" w:eastAsia="Times New Roman" w:hAnsi="Calibri" w:cs="Calibri"/>
                <w:color w:val="000000"/>
                <w:sz w:val="18"/>
                <w:szCs w:val="18"/>
                <w:lang w:eastAsia="pl-PL"/>
              </w:rPr>
              <w:br w:type="page"/>
              <w:t xml:space="preserve">Opis działania: Ocena wpływu budowli poprzecznych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28666F">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28666F">
              <w:rPr>
                <w:rFonts w:ascii="Calibri" w:eastAsia="Times New Roman" w:hAnsi="Calibri" w:cs="Calibri"/>
                <w:color w:val="000000"/>
                <w:sz w:val="18"/>
                <w:szCs w:val="18"/>
                <w:lang w:eastAsia="pl-PL"/>
              </w:rPr>
              <w:br w:type="page"/>
              <w:t>Nazwa działania: Monitoring skuteczności istniejących urządzeń do migracji ryb.</w:t>
            </w:r>
            <w:r w:rsidRPr="0028666F">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28666F">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28666F">
              <w:rPr>
                <w:rFonts w:ascii="Calibri" w:eastAsia="Times New Roman" w:hAnsi="Calibri" w:cs="Calibri"/>
                <w:color w:val="000000"/>
                <w:sz w:val="18"/>
                <w:szCs w:val="18"/>
                <w:lang w:eastAsia="pl-PL"/>
              </w:rPr>
              <w:br w:type="page"/>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7C2B40" w:rsidRPr="0028666F" w14:paraId="699587DC"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3DF95FE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504</w:t>
            </w:r>
          </w:p>
        </w:tc>
        <w:tc>
          <w:tcPr>
            <w:tcW w:w="970" w:type="dxa"/>
            <w:tcBorders>
              <w:top w:val="nil"/>
              <w:left w:val="nil"/>
              <w:bottom w:val="single" w:sz="4" w:space="0" w:color="auto"/>
              <w:right w:val="nil"/>
            </w:tcBorders>
          </w:tcPr>
          <w:p w14:paraId="22E0FC68"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2C3FF34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C65C2C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ZESTAW DZIAŁAŃ</w:t>
            </w:r>
          </w:p>
        </w:tc>
        <w:tc>
          <w:tcPr>
            <w:tcW w:w="5000" w:type="dxa"/>
            <w:tcBorders>
              <w:top w:val="nil"/>
              <w:left w:val="nil"/>
              <w:bottom w:val="single" w:sz="4" w:space="0" w:color="auto"/>
              <w:right w:val="single" w:sz="4" w:space="0" w:color="auto"/>
            </w:tcBorders>
            <w:shd w:val="clear" w:color="auto" w:fill="auto"/>
            <w:hideMark/>
          </w:tcPr>
          <w:p w14:paraId="56EE95D9"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Działania -udrożnienia </w:t>
            </w:r>
            <w:r w:rsidRPr="0028666F">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Odry</w:t>
            </w:r>
            <w:r w:rsidRPr="0028666F">
              <w:rPr>
                <w:rFonts w:ascii="Calibri" w:eastAsia="Times New Roman" w:hAnsi="Calibri" w:cs="Calibri"/>
                <w:color w:val="000000"/>
                <w:sz w:val="18"/>
                <w:szCs w:val="18"/>
                <w:lang w:eastAsia="pl-PL"/>
              </w:rPr>
              <w:br/>
              <w:t>ODBUDOWA PIĘTRZEŃ</w:t>
            </w:r>
            <w:r w:rsidRPr="0028666F">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Odry znalazło się 10 takich działań, z czego większość z budowli do odbudowy/przebudowy  prawdopodobnie nie istnieje albo istnieją one w stanie umożliwiającym gatunkom wodnym migrację. Odbudowa jazów, czy to na cele rolnicze, czy w ramach budowy MEW powinny być traktowane nie jako działanie polepszające warunki hydromorfologiczne lecz jako zagrożenie dla celów środowiskowych.</w:t>
            </w:r>
            <w:r w:rsidRPr="0028666F">
              <w:rPr>
                <w:rFonts w:ascii="Calibri" w:eastAsia="Times New Roman" w:hAnsi="Calibri" w:cs="Calibri"/>
                <w:color w:val="000000"/>
                <w:sz w:val="18"/>
                <w:szCs w:val="18"/>
                <w:lang w:eastAsia="pl-PL"/>
              </w:rPr>
              <w:br/>
              <w:t>Szczególnie bulwersujące jest wprowadzenie do IIaPGW działania (prolongacja z aPWŚK):</w:t>
            </w:r>
            <w:r w:rsidRPr="0028666F">
              <w:rPr>
                <w:rFonts w:ascii="Calibri" w:eastAsia="Times New Roman" w:hAnsi="Calibri" w:cs="Calibri"/>
                <w:color w:val="000000"/>
                <w:sz w:val="18"/>
                <w:szCs w:val="18"/>
                <w:lang w:eastAsia="pl-PL"/>
              </w:rPr>
              <w:br/>
              <w:t>wykonanie przepławki dla ryb w ramach zadania "Odbudowa urządzeń piętrzących na rzecze Bukowa - 8 szt. (w km: 17+451 wraz z przepławką-Kocień W., 22+52, 22+63, 22+915 - Górnica, 24+239-Biernatowo, 32+611-Smolarnia, 36+338, 36+768-Straduń"</w:t>
            </w:r>
            <w:r w:rsidRPr="0028666F">
              <w:rPr>
                <w:rFonts w:ascii="Calibri" w:eastAsia="Times New Roman" w:hAnsi="Calibri" w:cs="Calibri"/>
                <w:color w:val="000000"/>
                <w:sz w:val="18"/>
                <w:szCs w:val="18"/>
                <w:lang w:eastAsia="pl-PL"/>
              </w:rPr>
              <w:br/>
              <w:t xml:space="preserve">Realizacja tego przedsięwzięcia to budowa nowych barier migracyjnych i behawioralnych na rzece, równoznaczna z wprowadzeniem nowej silnej presji hydromorfologicznej. Część piętrzeń sąsiaduje z obszarem Natura 2000 utworzonych  dla ochrony ryb „Dolina Bukówki”, planowane budowle kumulują oddziaływania z innymi istniejącymi piętrzeniami na rzece, które nomen-omen mają być udrożnione dla migracji.  Odcinek, gdzie planowane są nowe budowle jest regularnie odmulany (miało to miejsce także w tym roku), co jest usprawiedliwiane utrzymaniem urządzeń wodnych i cieku we właściwym stanie (kumulacja presji).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Także zaplanowane w ramach IIaPGW wykonanie przepławki dla ryb w ramach zadania "Odbudowa jazu Klawek" może być niewłaściwe i znacząco oddziaływać na obszar Natura 2000 „Dolina Łobżonki”. Lepszą środowiskowo opcją może być przebudowa jazu bez funkcji piętrzenia, jak to miało miejsce w przypadku progu w Stróżach na Białej Tarnowskiej.</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2733" w:type="dxa"/>
            <w:tcBorders>
              <w:top w:val="nil"/>
              <w:left w:val="nil"/>
              <w:bottom w:val="single" w:sz="4" w:space="0" w:color="auto"/>
              <w:right w:val="single" w:sz="4" w:space="0" w:color="auto"/>
            </w:tcBorders>
            <w:shd w:val="clear" w:color="auto" w:fill="auto"/>
            <w:hideMark/>
          </w:tcPr>
          <w:p w14:paraId="19F79734" w14:textId="77777777" w:rsidR="007C2B40" w:rsidRPr="0028666F" w:rsidRDefault="007C2B40" w:rsidP="007C2B40">
            <w:pPr>
              <w:spacing w:after="240"/>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art. 435 PW). Bezwzględnie należy wykreślić działanie „wykonanie przepławki dla ryb” w ramach zadania "Odbudowa urządzeń piętrzących na rzece Bukowa - 8 szt. (w km: 17+451 wraz z przepławką-Kocień W., 22+52, 22+63, 22+915 - Górnica, 24+239-Biernatowo, 32+611-Smolarnia, 36+338, 36+768-Straduń" jako próbę „podpięcia” pod działania ochronne budowy nowych piętrzeń powodujących stworzenie nowej bariery migracyjnej w postaci nie tylko samego piętrzenia, ale i bariery behawioralnej oraz silniejszej presji ze źródeł rolniczych.</w:t>
            </w:r>
            <w:r w:rsidRPr="0028666F">
              <w:rPr>
                <w:rFonts w:ascii="Calibri" w:eastAsia="Times New Roman" w:hAnsi="Calibri" w:cs="Calibri"/>
                <w:color w:val="000000"/>
                <w:sz w:val="18"/>
                <w:szCs w:val="18"/>
                <w:lang w:eastAsia="pl-PL"/>
              </w:rPr>
              <w:br/>
            </w:r>
          </w:p>
        </w:tc>
        <w:tc>
          <w:tcPr>
            <w:tcW w:w="3009" w:type="dxa"/>
            <w:tcBorders>
              <w:top w:val="nil"/>
              <w:left w:val="nil"/>
              <w:bottom w:val="single" w:sz="4" w:space="0" w:color="auto"/>
              <w:right w:val="single" w:sz="4" w:space="0" w:color="auto"/>
            </w:tcBorders>
            <w:shd w:val="clear" w:color="auto" w:fill="auto"/>
            <w:hideMark/>
          </w:tcPr>
          <w:p w14:paraId="4A70528C"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Realizacja działania polegającego na odbudowie piętrzeń na rz. Bukówce (Bukowej wg działania) stworzy nową barierę migracyjną dla ryb i innych organizmów wodnych.</w:t>
            </w:r>
            <w:r w:rsidRPr="0028666F">
              <w:rPr>
                <w:rFonts w:ascii="Calibri" w:eastAsia="Times New Roman" w:hAnsi="Calibri" w:cs="Calibri"/>
                <w:color w:val="000000"/>
                <w:sz w:val="18"/>
                <w:szCs w:val="18"/>
                <w:lang w:eastAsia="pl-PL"/>
              </w:rPr>
              <w:br/>
              <w:t xml:space="preserve">Inne odbudowy/przebudowy urządzeń piętrzących zaplanowane w IIaPGW też wymagają weryfikacji, bo mogą wykazywać podobne znaczące negatywne oddziaływania. </w:t>
            </w:r>
            <w:r w:rsidRPr="0028666F">
              <w:rPr>
                <w:rFonts w:ascii="Calibri" w:eastAsia="Times New Roman" w:hAnsi="Calibri" w:cs="Calibri"/>
                <w:color w:val="000000"/>
                <w:sz w:val="18"/>
                <w:szCs w:val="18"/>
                <w:lang w:eastAsia="pl-PL"/>
              </w:rPr>
              <w:br/>
              <w:t xml:space="preserve"> </w:t>
            </w:r>
          </w:p>
        </w:tc>
        <w:tc>
          <w:tcPr>
            <w:tcW w:w="1720" w:type="dxa"/>
            <w:tcBorders>
              <w:top w:val="nil"/>
              <w:left w:val="nil"/>
              <w:bottom w:val="single" w:sz="4" w:space="0" w:color="auto"/>
              <w:right w:val="single" w:sz="4" w:space="0" w:color="auto"/>
            </w:tcBorders>
            <w:shd w:val="clear" w:color="000000" w:fill="FFFFFF"/>
            <w:hideMark/>
          </w:tcPr>
          <w:p w14:paraId="521BA89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0A1F79A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hideMark/>
          </w:tcPr>
          <w:p w14:paraId="7489E7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7C2B40" w:rsidRPr="0028666F" w14:paraId="3F77B970"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2889F08B"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505</w:t>
            </w:r>
          </w:p>
        </w:tc>
        <w:tc>
          <w:tcPr>
            <w:tcW w:w="970" w:type="dxa"/>
            <w:tcBorders>
              <w:top w:val="nil"/>
              <w:left w:val="nil"/>
              <w:bottom w:val="single" w:sz="4" w:space="0" w:color="auto"/>
              <w:right w:val="nil"/>
            </w:tcBorders>
          </w:tcPr>
          <w:p w14:paraId="4EDDD45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2F290C1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54C298F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8721850" w14:textId="21E112B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tych dokumentów. PPSS jest przyjęty rozporządzeniem, jego nieprzeanalizowanie działania będą wykazywać (w większości przypadków) znaczące negatywne oddziaływania na. </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 Zmiany prawne i administracyjne</w:t>
            </w:r>
          </w:p>
        </w:tc>
        <w:tc>
          <w:tcPr>
            <w:tcW w:w="2733" w:type="dxa"/>
            <w:tcBorders>
              <w:top w:val="nil"/>
              <w:left w:val="nil"/>
              <w:bottom w:val="single" w:sz="4" w:space="0" w:color="auto"/>
              <w:right w:val="single" w:sz="4" w:space="0" w:color="auto"/>
            </w:tcBorders>
            <w:shd w:val="clear" w:color="auto" w:fill="auto"/>
            <w:hideMark/>
          </w:tcPr>
          <w:p w14:paraId="5C1B88D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009" w:type="dxa"/>
            <w:tcBorders>
              <w:top w:val="nil"/>
              <w:left w:val="nil"/>
              <w:bottom w:val="single" w:sz="4" w:space="0" w:color="auto"/>
              <w:right w:val="single" w:sz="4" w:space="0" w:color="auto"/>
            </w:tcBorders>
            <w:shd w:val="clear" w:color="auto" w:fill="auto"/>
            <w:hideMark/>
          </w:tcPr>
          <w:p w14:paraId="275D3011" w14:textId="1FE427B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Dokumenty sektorowe powinny być spójne  z IIaPGW. Jest to wymóg RDW.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 na etapie tworzenia. </w:t>
            </w:r>
          </w:p>
        </w:tc>
        <w:tc>
          <w:tcPr>
            <w:tcW w:w="1720" w:type="dxa"/>
            <w:tcBorders>
              <w:top w:val="nil"/>
              <w:left w:val="nil"/>
              <w:bottom w:val="single" w:sz="4" w:space="0" w:color="auto"/>
              <w:right w:val="single" w:sz="4" w:space="0" w:color="auto"/>
            </w:tcBorders>
            <w:shd w:val="clear" w:color="000000" w:fill="FFFFFF"/>
            <w:hideMark/>
          </w:tcPr>
          <w:p w14:paraId="3D09CA1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9B1DB0"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48CEC566" w14:textId="18905EB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1EECACA2"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6F11E04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506</w:t>
            </w:r>
          </w:p>
        </w:tc>
        <w:tc>
          <w:tcPr>
            <w:tcW w:w="970" w:type="dxa"/>
            <w:tcBorders>
              <w:top w:val="nil"/>
              <w:left w:val="nil"/>
              <w:bottom w:val="single" w:sz="4" w:space="0" w:color="auto"/>
              <w:right w:val="nil"/>
            </w:tcBorders>
          </w:tcPr>
          <w:p w14:paraId="1BD67896"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DDCD628"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6C1070D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4DC56CFA" w14:textId="707A3E84"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Konkretne zmiany prawne</w:t>
            </w:r>
            <w:r w:rsidRPr="0028666F">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28666F">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MPHP, cieki wyróżnione i niewyróżnione);</w:t>
            </w:r>
            <w:r w:rsidRPr="0028666F">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28666F">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28666F">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28666F">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28666F">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28666F">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2733" w:type="dxa"/>
            <w:tcBorders>
              <w:top w:val="nil"/>
              <w:left w:val="nil"/>
              <w:bottom w:val="single" w:sz="4" w:space="0" w:color="auto"/>
              <w:right w:val="single" w:sz="4" w:space="0" w:color="auto"/>
            </w:tcBorders>
            <w:shd w:val="clear" w:color="auto" w:fill="auto"/>
            <w:hideMark/>
          </w:tcPr>
          <w:p w14:paraId="29F2855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57F14DBD"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1720" w:type="dxa"/>
            <w:tcBorders>
              <w:top w:val="nil"/>
              <w:left w:val="nil"/>
              <w:bottom w:val="single" w:sz="4" w:space="0" w:color="auto"/>
              <w:right w:val="single" w:sz="4" w:space="0" w:color="auto"/>
            </w:tcBorders>
            <w:shd w:val="clear" w:color="000000" w:fill="FFFFFF"/>
            <w:hideMark/>
          </w:tcPr>
          <w:p w14:paraId="5F40394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DE24F08"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2DFEB183" w14:textId="2224CC0B"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28666F">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28666F">
              <w:rPr>
                <w:rFonts w:ascii="Calibri" w:eastAsia="Times New Roman" w:hAnsi="Calibri" w:cs="Calibri"/>
                <w:color w:val="000000"/>
                <w:sz w:val="18"/>
                <w:szCs w:val="18"/>
                <w:lang w:eastAsia="pl-PL"/>
              </w:rPr>
              <w:br/>
              <w:t xml:space="preserve">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Analizy presji uwzględniały wszystkie zidentyfikowane w Bazach Identyfikacji Presji źródła presji.</w:t>
            </w:r>
            <w:r w:rsidRPr="0028666F">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28666F">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7C2B40" w:rsidRPr="0028666F" w14:paraId="76CAD1F5"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78A7859C"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507</w:t>
            </w:r>
          </w:p>
        </w:tc>
        <w:tc>
          <w:tcPr>
            <w:tcW w:w="970" w:type="dxa"/>
            <w:tcBorders>
              <w:top w:val="nil"/>
              <w:left w:val="nil"/>
              <w:bottom w:val="single" w:sz="4" w:space="0" w:color="auto"/>
              <w:right w:val="nil"/>
            </w:tcBorders>
          </w:tcPr>
          <w:p w14:paraId="4DBDABC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0074DAAD"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1DF5D45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7AE02855"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Dotyczy: Zmiany w funkcjonowaniu zarządzania wód</w:t>
            </w:r>
            <w:r w:rsidRPr="0028666F">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28666F">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2733" w:type="dxa"/>
            <w:tcBorders>
              <w:top w:val="nil"/>
              <w:left w:val="nil"/>
              <w:bottom w:val="single" w:sz="4" w:space="0" w:color="auto"/>
              <w:right w:val="single" w:sz="4" w:space="0" w:color="auto"/>
            </w:tcBorders>
            <w:shd w:val="clear" w:color="auto" w:fill="auto"/>
            <w:hideMark/>
          </w:tcPr>
          <w:p w14:paraId="04782D98" w14:textId="4121F111"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i je wdrażać, zamiast zajmować się tylko pracami utrzymaniowymi pogarszającymi stan hydromorfologiczny, z powoływaniem się na przepisy Prawa wodnego w tym zakresie.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009" w:type="dxa"/>
            <w:tcBorders>
              <w:top w:val="nil"/>
              <w:left w:val="nil"/>
              <w:bottom w:val="single" w:sz="4" w:space="0" w:color="auto"/>
              <w:right w:val="single" w:sz="4" w:space="0" w:color="auto"/>
            </w:tcBorders>
            <w:shd w:val="clear" w:color="auto" w:fill="auto"/>
            <w:hideMark/>
          </w:tcPr>
          <w:p w14:paraId="1179E0E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720" w:type="dxa"/>
            <w:tcBorders>
              <w:top w:val="nil"/>
              <w:left w:val="nil"/>
              <w:bottom w:val="single" w:sz="4" w:space="0" w:color="auto"/>
              <w:right w:val="single" w:sz="4" w:space="0" w:color="auto"/>
            </w:tcBorders>
            <w:shd w:val="clear" w:color="000000" w:fill="FFFFFF"/>
            <w:hideMark/>
          </w:tcPr>
          <w:p w14:paraId="0BB50E9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3BFCFA64"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731E91C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mają rangę rozporządzenia, są ogólnodostepne i powszechnie obowiązujące.</w:t>
            </w:r>
          </w:p>
        </w:tc>
      </w:tr>
      <w:tr w:rsidR="007C2B40" w:rsidRPr="0028666F" w14:paraId="74413864" w14:textId="77777777" w:rsidTr="007C2B40">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5DE5A867"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508</w:t>
            </w:r>
          </w:p>
        </w:tc>
        <w:tc>
          <w:tcPr>
            <w:tcW w:w="970" w:type="dxa"/>
            <w:tcBorders>
              <w:top w:val="nil"/>
              <w:left w:val="nil"/>
              <w:bottom w:val="single" w:sz="4" w:space="0" w:color="auto"/>
              <w:right w:val="nil"/>
            </w:tcBorders>
          </w:tcPr>
          <w:p w14:paraId="4E7A4FC2"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5" w:type="dxa"/>
            <w:tcBorders>
              <w:top w:val="nil"/>
              <w:left w:val="nil"/>
              <w:bottom w:val="single" w:sz="4" w:space="0" w:color="auto"/>
              <w:right w:val="single" w:sz="4" w:space="0" w:color="auto"/>
            </w:tcBorders>
            <w:shd w:val="clear" w:color="auto" w:fill="auto"/>
          </w:tcPr>
          <w:p w14:paraId="4552A53C"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0E99CDE2"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3D7C1DD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Dotyczy: Zmiany w ocenie postępu działań – co 2 lata </w:t>
            </w:r>
            <w:r w:rsidRPr="0028666F">
              <w:rPr>
                <w:rFonts w:ascii="Calibri" w:eastAsia="Times New Roman" w:hAnsi="Calibri" w:cs="Calibri"/>
                <w:color w:val="000000"/>
                <w:sz w:val="18"/>
                <w:szCs w:val="18"/>
                <w:lang w:eastAsia="pl-PL"/>
              </w:rPr>
              <w:br w:type="page"/>
              <w:t>W przypadku budowli do udrożnienia, dla których nie sporządzono dokumentacji, powinny być ustalone następujące maksymalne terminy do oceny postępu działań: 2 lata – analiza sposobu udrożnienia/ 2 lata – projekt i decyzje / 2 lata – wykonanie.</w:t>
            </w:r>
            <w:r w:rsidRPr="0028666F">
              <w:rPr>
                <w:rFonts w:ascii="Calibri" w:eastAsia="Times New Roman" w:hAnsi="Calibri" w:cs="Calibri"/>
                <w:color w:val="000000"/>
                <w:sz w:val="18"/>
                <w:szCs w:val="18"/>
                <w:lang w:eastAsia="pl-PL"/>
              </w:rPr>
              <w:br w:type="page"/>
              <w:t>Część projektu planu, do którego zgłaszana jest uwaga (numer rozdziału, strona dokumentu, nr załącznika)</w:t>
            </w:r>
            <w:r w:rsidRPr="0028666F">
              <w:rPr>
                <w:rFonts w:ascii="Calibri" w:eastAsia="Times New Roman" w:hAnsi="Calibri" w:cs="Calibri"/>
                <w:color w:val="000000"/>
                <w:sz w:val="18"/>
                <w:szCs w:val="18"/>
                <w:lang w:eastAsia="pl-PL"/>
              </w:rPr>
              <w:br w:type="page"/>
            </w:r>
            <w:r w:rsidRPr="0028666F">
              <w:rPr>
                <w:rFonts w:ascii="Calibri" w:eastAsia="Times New Roman" w:hAnsi="Calibri" w:cs="Calibri"/>
                <w:color w:val="000000"/>
                <w:sz w:val="18"/>
                <w:szCs w:val="18"/>
                <w:lang w:eastAsia="pl-PL"/>
              </w:rPr>
              <w:br w:type="page"/>
            </w:r>
          </w:p>
        </w:tc>
        <w:tc>
          <w:tcPr>
            <w:tcW w:w="2733" w:type="dxa"/>
            <w:tcBorders>
              <w:top w:val="nil"/>
              <w:left w:val="nil"/>
              <w:bottom w:val="single" w:sz="4" w:space="0" w:color="auto"/>
              <w:right w:val="single" w:sz="4" w:space="0" w:color="auto"/>
            </w:tcBorders>
            <w:shd w:val="clear" w:color="auto" w:fill="auto"/>
            <w:hideMark/>
          </w:tcPr>
          <w:p w14:paraId="5D91603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Jak w treści uwagi.</w:t>
            </w:r>
          </w:p>
        </w:tc>
        <w:tc>
          <w:tcPr>
            <w:tcW w:w="3009" w:type="dxa"/>
            <w:tcBorders>
              <w:top w:val="nil"/>
              <w:left w:val="nil"/>
              <w:bottom w:val="single" w:sz="4" w:space="0" w:color="auto"/>
              <w:right w:val="single" w:sz="4" w:space="0" w:color="auto"/>
            </w:tcBorders>
            <w:shd w:val="clear" w:color="auto" w:fill="auto"/>
            <w:hideMark/>
          </w:tcPr>
          <w:p w14:paraId="2D246C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720" w:type="dxa"/>
            <w:tcBorders>
              <w:top w:val="nil"/>
              <w:left w:val="nil"/>
              <w:bottom w:val="single" w:sz="4" w:space="0" w:color="auto"/>
              <w:right w:val="single" w:sz="4" w:space="0" w:color="auto"/>
            </w:tcBorders>
            <w:shd w:val="clear" w:color="000000" w:fill="FFFFFF"/>
            <w:hideMark/>
          </w:tcPr>
          <w:p w14:paraId="69759499"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 - </w:t>
            </w:r>
          </w:p>
        </w:tc>
        <w:tc>
          <w:tcPr>
            <w:tcW w:w="1014" w:type="dxa"/>
            <w:tcBorders>
              <w:top w:val="nil"/>
              <w:left w:val="nil"/>
              <w:bottom w:val="single" w:sz="4" w:space="0" w:color="auto"/>
              <w:right w:val="single" w:sz="4" w:space="0" w:color="auto"/>
            </w:tcBorders>
            <w:shd w:val="clear" w:color="auto" w:fill="auto"/>
            <w:hideMark/>
          </w:tcPr>
          <w:p w14:paraId="5ED2B35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54379AFA"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28666F">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7C2B40" w:rsidRPr="0028666F" w14:paraId="62250401" w14:textId="77777777" w:rsidTr="00C1789A">
        <w:trPr>
          <w:trHeight w:val="454"/>
        </w:trPr>
        <w:tc>
          <w:tcPr>
            <w:tcW w:w="420" w:type="dxa"/>
            <w:tcBorders>
              <w:top w:val="nil"/>
              <w:left w:val="single" w:sz="4" w:space="0" w:color="auto"/>
              <w:bottom w:val="single" w:sz="4" w:space="0" w:color="auto"/>
              <w:right w:val="single" w:sz="4" w:space="0" w:color="auto"/>
            </w:tcBorders>
            <w:shd w:val="clear" w:color="auto" w:fill="auto"/>
            <w:hideMark/>
          </w:tcPr>
          <w:p w14:paraId="051D50CA" w14:textId="77777777" w:rsidR="007C2B40" w:rsidRPr="0028666F" w:rsidRDefault="007C2B40" w:rsidP="007C2B40">
            <w:pPr>
              <w:ind w:firstLine="0"/>
              <w:jc w:val="center"/>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509</w:t>
            </w:r>
          </w:p>
        </w:tc>
        <w:tc>
          <w:tcPr>
            <w:tcW w:w="970" w:type="dxa"/>
            <w:tcBorders>
              <w:top w:val="nil"/>
              <w:left w:val="nil"/>
              <w:bottom w:val="single" w:sz="4" w:space="0" w:color="auto"/>
              <w:right w:val="nil"/>
            </w:tcBorders>
          </w:tcPr>
          <w:p w14:paraId="50B0FD9E" w14:textId="77777777" w:rsidR="007C2B40" w:rsidRPr="0028666F" w:rsidRDefault="007C2B40" w:rsidP="007C2B40">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Koalicja Czystego Bałtyku </w:t>
            </w:r>
          </w:p>
        </w:tc>
        <w:tc>
          <w:tcPr>
            <w:tcW w:w="165" w:type="dxa"/>
            <w:tcBorders>
              <w:top w:val="nil"/>
              <w:left w:val="nil"/>
              <w:bottom w:val="single" w:sz="4" w:space="0" w:color="auto"/>
              <w:right w:val="single" w:sz="4" w:space="0" w:color="auto"/>
            </w:tcBorders>
            <w:shd w:val="clear" w:color="auto" w:fill="auto"/>
          </w:tcPr>
          <w:p w14:paraId="30FE84FE" w14:textId="77777777" w:rsidR="007C2B40" w:rsidRPr="0028666F" w:rsidRDefault="007C2B40" w:rsidP="007C2B40">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hideMark/>
          </w:tcPr>
          <w:p w14:paraId="2F40E203"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hideMark/>
          </w:tcPr>
          <w:p w14:paraId="672B497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Przesyłam zespołową analizę II aPGW dla dorzecza Odry wykonaną przez osoby podpisane w dokumencie, reprezentujące: Polski Klub Ekologiczny, Koalicję Czystego Bałtyku, Fundację Rozwój Tak - Odkrywki Nie, Towarzystwo Przyjaciół Rzek Iny i Gowienicy.</w:t>
            </w:r>
            <w:r w:rsidRPr="0028666F">
              <w:rPr>
                <w:rFonts w:ascii="Calibri" w:eastAsia="Times New Roman" w:hAnsi="Calibri" w:cs="Calibri"/>
                <w:color w:val="000000"/>
                <w:sz w:val="18"/>
                <w:szCs w:val="18"/>
                <w:lang w:eastAsia="pl-PL"/>
              </w:rPr>
              <w:br/>
              <w:t>Jest to analiza IIaPGW przede wszystkim pod kątem zapisów umożliwiających osiągnięcie celów RDW. Finalna publikacja całego raportu - zawierająca także pozostałe dorzecza europejskie - planowana jest na 26.10.2021.</w:t>
            </w:r>
            <w:r w:rsidRPr="0028666F">
              <w:rPr>
                <w:rFonts w:ascii="Calibri" w:eastAsia="Times New Roman" w:hAnsi="Calibri" w:cs="Calibri"/>
                <w:color w:val="000000"/>
                <w:sz w:val="18"/>
                <w:szCs w:val="18"/>
                <w:lang w:eastAsia="pl-PL"/>
              </w:rPr>
              <w:br/>
              <w:t>Liczymy, iż uwagi te będą pomocną dłonią w doprowadzeniu projektu do finalnej najlepszej wersji, spełniającej swoją funkcję dla dorzecza Odry - dobrego gospodarowania wodami.</w:t>
            </w:r>
            <w:r w:rsidRPr="0028666F">
              <w:rPr>
                <w:rFonts w:ascii="Calibri" w:eastAsia="Times New Roman" w:hAnsi="Calibri" w:cs="Calibri"/>
                <w:color w:val="000000"/>
                <w:sz w:val="18"/>
                <w:szCs w:val="18"/>
                <w:lang w:eastAsia="pl-PL"/>
              </w:rPr>
              <w:br/>
              <w:t xml:space="preserve">Treść uwagi znajduje się w załączonym pliku. </w:t>
            </w:r>
          </w:p>
        </w:tc>
        <w:tc>
          <w:tcPr>
            <w:tcW w:w="2733" w:type="dxa"/>
            <w:tcBorders>
              <w:top w:val="nil"/>
              <w:left w:val="nil"/>
              <w:bottom w:val="single" w:sz="4" w:space="0" w:color="auto"/>
              <w:right w:val="single" w:sz="4" w:space="0" w:color="auto"/>
            </w:tcBorders>
            <w:shd w:val="clear" w:color="auto" w:fill="auto"/>
            <w:hideMark/>
          </w:tcPr>
          <w:p w14:paraId="02AEDCF6"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3009" w:type="dxa"/>
            <w:tcBorders>
              <w:top w:val="nil"/>
              <w:left w:val="nil"/>
              <w:bottom w:val="single" w:sz="4" w:space="0" w:color="auto"/>
              <w:right w:val="single" w:sz="4" w:space="0" w:color="auto"/>
            </w:tcBorders>
            <w:shd w:val="clear" w:color="auto" w:fill="auto"/>
            <w:hideMark/>
          </w:tcPr>
          <w:p w14:paraId="095F84B7"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t>
            </w:r>
          </w:p>
        </w:tc>
        <w:tc>
          <w:tcPr>
            <w:tcW w:w="1720" w:type="dxa"/>
            <w:tcBorders>
              <w:top w:val="nil"/>
              <w:left w:val="nil"/>
              <w:bottom w:val="single" w:sz="4" w:space="0" w:color="auto"/>
              <w:right w:val="single" w:sz="4" w:space="0" w:color="auto"/>
            </w:tcBorders>
            <w:shd w:val="clear" w:color="000000" w:fill="FFFFFF"/>
            <w:hideMark/>
          </w:tcPr>
          <w:p w14:paraId="30730E91"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509_KoalicjaCzystegoBałtyku</w:t>
            </w:r>
          </w:p>
        </w:tc>
        <w:tc>
          <w:tcPr>
            <w:tcW w:w="1014" w:type="dxa"/>
            <w:tcBorders>
              <w:top w:val="nil"/>
              <w:left w:val="nil"/>
              <w:bottom w:val="single" w:sz="4" w:space="0" w:color="auto"/>
              <w:right w:val="single" w:sz="4" w:space="0" w:color="auto"/>
            </w:tcBorders>
            <w:shd w:val="clear" w:color="auto" w:fill="auto"/>
            <w:hideMark/>
          </w:tcPr>
          <w:p w14:paraId="49028FFB" w14:textId="77777777"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hideMark/>
          </w:tcPr>
          <w:p w14:paraId="025A6D70" w14:textId="1CFB80E0" w:rsidR="007C2B40" w:rsidRPr="0028666F" w:rsidRDefault="007C2B40" w:rsidP="007C2B40">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1/ Likwidacja zapór i adaptacja barier: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Działania przypisywane były na podstawie informacji na temat budowli poprzecznych: wysokości piętrzenia (od wysokości piętrzenia jest uzależniony wpływ np. na ciągłość biologiczną), występowania urządzeń do migracji ryb a także braku wystarczających danych na temat obiektów. Szczegółowy opis sposobu przypisywania działań do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 opisany w Katalogu działań. Nie ma kategorii o charakterze priorytetowym dla działań dotyczących przebudowy budowli, natomiast w pierwszej kolejności wykonywana jest szczegółowa analiza dotycząca możliwości udrożnienia budowli, następnie natomiast realizacja działań zgodnie z wykonaną analizą</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2/ Energia wodna: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Zgłoszona uwaga nie dotyczy konsultowanego dokumentu IIaPGW. Przy tym należy również podkreślić, że Wykaz Inwestycji i Działań nie jest wykazem planowanych inwestycji, lecz jest to dokument o funkcji sprawozdawczej. Pokazuje on wyłącznie takie działania i inwestycje, które uniemożliwią osiągnięcie celów środowiskowych, ale wobec nich stwierdzono (w aPGW z 2016 r., w ocenie wodnoprawnej lub w decyzji o środowiskowych uwarunkowaniach) dopuszczalność ich realizacji ze względu na spełnienie przesłanek wskazanych w art. 4 ust. 7 Ramowej Dyrektywy Wodnej (w art. 68 ustawy Prawo wodne).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3/ Żegluga śródlądowa: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Istniejąca infrastruktura związana z transportem żeglugowym jest również uwzględniona jako presja hydromorfologiczna, m.in. przy obliczeniu wskaźnika HIR.</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4/ Ochrona i renaturyzacja ekosystemu słodkowodnego oraz NBS</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Zestaw działań naprawczych IIaPGW został zweryfikowany, uwzględniono uwagi w zakresie KPRWP zgłoszone w trakcie konsultacji społecznych. Rozbudowano zestawy działań naprawczych IIaPGW w zakresie likwidacji presji hydromorfologicznych, wskazano dodatkowe działania techniczne mające na celu przywrócenie ciągłości biologicznej cieków, działania techniczne w zakresie renaturyzacji koryta oraz rozszerzono zakres działań nietechnicznych do działań 2- etapowych, obejmujących część analityczną oraz w przypadku, kiedy analizy wykażą negatywny wpływ budowli na ciągłość lub brak skuteczności istniejących urządzeń służących migracji ryb, obejmujący realizację działań technicznych. W zestawach działań II aPGW w celu przywrócenia drożności cieków, przypisano konkretne działania dla konkretnych obiektów, których szczegółowe zestawienie zawiera Załącznik 1 IIaPGW Wykaz działań dla budowli. W IIaPGW włączono dodatkowo wszystkie działania nakierowane na poprawę i ochronę warunków hydromorfologicznych wód powierzchniowych implementowane z PZO/PO dla obszarów przyrodniczo chronionych.</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5/ Alokacja zasobów wodnych i kontrola poboru wody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Dokumentowanie zasobów dyspozycyjnych wód podziemnych, a także prowadzenie bazy danych oraz aktualizowanego corocznie wykazu zasobód wód podziemnych w obszarach bilansowych (zasoby dyspozycyjne)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pd (zasoby dostępne) jest zadaniem stałym państwowej służby hydrogeologicznej, realizowanym przez PIG-PIB. Informacje te są udostępniane na zasadach określonych w ustawie Prawo wodne i ustawie o ponownym wykorzystaniu informacji sektora publicznego (dane publiczne). Ponadto wykonywany jest bilans zasobów wód podziemnych (ilość zasobów, wielkość poboru oraz stopień wykorzystania zasobów) w jednostkach bilansowych i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Informacje te są m.in. przesyłane do GUS w ramach Programu badań statystyki publicznej [są to badania o numerach: 1. Zasoby eksploatacyjne wód podziemnych – symbol badania w PBSSP 2020: 1.01.05(005); 2. Bilans zasobów wód podziemnych w Polsce – symbol badania w PBSSP 2020: 1.01.05(005).]. Dane te są aktualizowane corocznie - wobec tego w naszej opinii są one określane i aktualizowane na bieżaco.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6/ Zarządzanie ryzykiem wystąpienia suszy</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Celem IIaPGW jest zapewnienie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 xml:space="preserve"> (poprawa ich stanu jakościowego) oraz obszarów chronionych. Zagadnienia stanu ilościowego związane są m.in z retencją wód - zagadnienie stanowiące przedmiot PPSS. W związku z tym działania zmierzające do zwiększenia retencji w obszarach rolniczych zostały wskazane tylko w tych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gdzie w wyniku przeprowadzonych analiz nałożyło się wysokie ryzyko suszy (zdefiniowane w oparciu o analizy przeprowadzone PPSS) i jednocześnie dominującym źródłem presji zanieczyszczajacych było rolnictwo (na podstawie badań PMŚ i wyników opracowania "Analiza znaczących oddziaływań antropogenicznych wraz z oceną ich wpływu na stan wód oraz ryzykiem nieosiągnięcia celów środowiskowych, PGWWP 2020).</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7/ Zarządzanie ryzykiem powodziowym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Zgłoszona uwaga nie dotyczy konsultowanego dokumentu IIaPGW tylko aPZRP. Powinna zostać zgłoszona w trakcie konsultacji publicznych aPZRP. Na etapie konsultacji społecznych projektów IIaPGW nie ma możliwości uwzględnienia zgłoszonej uwagi.</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8/ Rolnictwo</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Oprócz działań wymienionych w uwadze należy wymienić działanie „Zwiększenie ilości i czasu retencji wód na gruntach rolnych", które ma wdrożyć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9/ Kopalnie węgla i elektrownie węglowe</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W zakresie racjonalnego gospodarowania zasobami wód podziemnych oraz ich ochronę ilościową w IIaPGW przewidziano do realizacji szereg działań ukierunkowanych na ograniczenie presji ilościowej, w tym także presji związanej z działalności górniczą (odwodnienia wyrobisk górniczych). W katalogu działań krajowych znajdują się dwa działania obowiązujące na obszarze całego kraju: [1] "Przegląd pozwoleń wodnoprawnych na pobór wód, a także realizacji tych pozwoleń, co najmniej raz na 4 lata" - przypisane do PGW WP oraz [2] "Przegląd pozwoleń wodnoprawnych na wprowadzanie ścieków do wód lub do ziemi, lub do urządzeń kanalizacyjnych, a także realizacji tych pozwoleń, co najmniej raz na 4 lata" - przypisane do PGW WP. Ponadto dla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pd, w których stwierdzono zagrożenie dla stanu ilościowego lub stan słaby ilościowy przewidziano działanie: "Dodatkowy przegląd udzielonych pozwoleń wodnoprawnych związanych z poborem wód podziemnych" - przypisane do PGW WP. Działanie to obejmuje wszystkich użytkowników wód funkcjonujcych w ramach szczególnego korzystania z wód, a więc także podmioty prowadzce działalność górnicz.</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10/ Wyłączenia (odstępstwa)</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Każda weryfikacja zestawów działań determinuje konieczność dokonania również weryfikacji danych w Wykazie Odstępstw.</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11/ Przegląd i aktualizacja informacji nt. w wdrażania poprzednich PGWD</w:t>
            </w:r>
            <w:r w:rsidRPr="0028666F">
              <w:rPr>
                <w:rFonts w:ascii="Calibri" w:eastAsia="Times New Roman" w:hAnsi="Calibri" w:cs="Calibri"/>
                <w:color w:val="000000"/>
                <w:sz w:val="18"/>
                <w:szCs w:val="18"/>
                <w:lang w:eastAsia="pl-PL"/>
              </w:rPr>
              <w:br/>
            </w:r>
            <w:r w:rsidRPr="0028666F">
              <w:rPr>
                <w:rFonts w:ascii="Calibri" w:eastAsia="Times New Roman" w:hAnsi="Calibri" w:cs="Calibri"/>
                <w:color w:val="000000"/>
                <w:sz w:val="18"/>
                <w:szCs w:val="18"/>
                <w:lang w:eastAsia="pl-PL"/>
              </w:rPr>
              <w:br/>
              <w:t xml:space="preserve">Zgodnie z Zał. 5.1.1 ocena postępu została ustalona dla 1709 z 1736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RW.</w:t>
            </w:r>
          </w:p>
        </w:tc>
      </w:tr>
      <w:tr w:rsidR="001C4812" w:rsidRPr="0028666F" w14:paraId="7FAD98B7"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1177B8C" w14:textId="77777777" w:rsidR="001C4812" w:rsidRPr="0028666F"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510</w:t>
            </w:r>
          </w:p>
        </w:tc>
        <w:tc>
          <w:tcPr>
            <w:tcW w:w="970" w:type="dxa"/>
            <w:tcBorders>
              <w:top w:val="single" w:sz="4" w:space="0" w:color="auto"/>
              <w:left w:val="single" w:sz="4" w:space="0" w:color="auto"/>
              <w:bottom w:val="single" w:sz="4" w:space="0" w:color="auto"/>
            </w:tcBorders>
            <w:shd w:val="clear" w:color="auto" w:fill="auto"/>
          </w:tcPr>
          <w:p w14:paraId="3CEB8AE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Tomasz Jaksina</w:t>
            </w:r>
          </w:p>
        </w:tc>
        <w:tc>
          <w:tcPr>
            <w:tcW w:w="165" w:type="dxa"/>
            <w:tcBorders>
              <w:top w:val="single" w:sz="4" w:space="0" w:color="auto"/>
              <w:bottom w:val="single" w:sz="4" w:space="0" w:color="auto"/>
              <w:right w:val="single" w:sz="4" w:space="0" w:color="auto"/>
            </w:tcBorders>
            <w:shd w:val="clear" w:color="auto" w:fill="auto"/>
          </w:tcPr>
          <w:p w14:paraId="333C2F4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single" w:sz="4" w:space="0" w:color="auto"/>
              <w:bottom w:val="single" w:sz="4" w:space="0" w:color="auto"/>
              <w:right w:val="single" w:sz="4" w:space="0" w:color="auto"/>
            </w:tcBorders>
            <w:shd w:val="clear" w:color="auto" w:fill="auto"/>
          </w:tcPr>
          <w:p w14:paraId="26EED0E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2D1B990" w14:textId="4C054316"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Jaka była metodyka przeznaczenia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na cele rekreacyjne w tym kąpieliska?</w:t>
            </w:r>
          </w:p>
        </w:tc>
        <w:tc>
          <w:tcPr>
            <w:tcW w:w="2733" w:type="dxa"/>
            <w:tcBorders>
              <w:top w:val="single" w:sz="4" w:space="0" w:color="auto"/>
              <w:left w:val="nil"/>
              <w:bottom w:val="single" w:sz="4" w:space="0" w:color="auto"/>
              <w:right w:val="single" w:sz="4" w:space="0" w:color="auto"/>
            </w:tcBorders>
            <w:shd w:val="clear" w:color="auto" w:fill="auto"/>
          </w:tcPr>
          <w:p w14:paraId="32C89C4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51F6C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19B638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14710B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E58CC98" w14:textId="209CE332"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IIaPGW nie przeznacza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na cele rekreacyjne, w tym kąpieliska, a wskazuje obszary chronione, w tym między innymi obszary chronione, z uwagi na przeznaczenie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na cele rekreacyjne, w tym kąpieliska. Sam wykaz kąpielisk przygotowywany jest w ramach odrębnych przepisów dotyczących organizacji kąpielisk (wykazy kąpielisk określa rada gminy w drodze uchwały). Na potrzeby IIaPGW w ramach projektu "Ustalenie celów środowiskowych" zaktualizowane zostały wykazy obszarów chronionych, dodatkowo uwzględnione również zostały wykazy kąpielisk z roku 2020. Niemniej jednak IIaPGW analizuje kąpieliska w rozumieniu konieczności przypisania celów środowiskowych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W przypadku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przeznaczonych na cele rekreacyjne, w tym kąpieliska, cel dla przedmiotowych obszarów powinien obowiązywać dla kąpieliska, czyli „fragmentu wód” wykorzystywanych do celów kąpieliskowych zlokalizowanego na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lub mającego połączenie hydrologiczne z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(np. na dopływie do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Zatem wymóg dotrzymania warunków sanitarnych stanowi dodatkowy cel, który nie dotyczy całej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Natomiast w przypadku obszarów chronionych, gdzie kąpielisko nie ma połączenia hydrologicznego z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cele środowiskowe nie były wskazywane.</w:t>
            </w:r>
          </w:p>
        </w:tc>
      </w:tr>
      <w:tr w:rsidR="001C4812" w:rsidRPr="0028666F" w14:paraId="0D9A3B0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1C898D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511</w:t>
            </w:r>
          </w:p>
        </w:tc>
        <w:tc>
          <w:tcPr>
            <w:tcW w:w="970" w:type="dxa"/>
            <w:tcBorders>
              <w:top w:val="single" w:sz="4" w:space="0" w:color="auto"/>
              <w:left w:val="single" w:sz="4" w:space="0" w:color="auto"/>
              <w:bottom w:val="single" w:sz="4" w:space="0" w:color="auto"/>
            </w:tcBorders>
            <w:shd w:val="clear" w:color="auto" w:fill="auto"/>
          </w:tcPr>
          <w:p w14:paraId="479C73C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Jacek Engel</w:t>
            </w:r>
          </w:p>
        </w:tc>
        <w:tc>
          <w:tcPr>
            <w:tcW w:w="165" w:type="dxa"/>
            <w:tcBorders>
              <w:top w:val="single" w:sz="4" w:space="0" w:color="auto"/>
              <w:left w:val="nil"/>
              <w:bottom w:val="single" w:sz="4" w:space="0" w:color="auto"/>
              <w:right w:val="single" w:sz="4" w:space="0" w:color="auto"/>
            </w:tcBorders>
            <w:shd w:val="clear" w:color="auto" w:fill="auto"/>
          </w:tcPr>
          <w:p w14:paraId="5811926C"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52B14D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50CC8E78" w14:textId="3CD6E9A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Dlaczego zestawy działań nie zostały opracowane/zaproponowane dla wszystkich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w:t>
            </w:r>
          </w:p>
        </w:tc>
        <w:tc>
          <w:tcPr>
            <w:tcW w:w="2733" w:type="dxa"/>
            <w:tcBorders>
              <w:top w:val="single" w:sz="4" w:space="0" w:color="auto"/>
              <w:left w:val="nil"/>
              <w:bottom w:val="single" w:sz="4" w:space="0" w:color="auto"/>
              <w:right w:val="single" w:sz="4" w:space="0" w:color="auto"/>
            </w:tcBorders>
            <w:shd w:val="clear" w:color="auto" w:fill="auto"/>
          </w:tcPr>
          <w:p w14:paraId="52827B2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2BBF7D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01FB71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BBED76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35B38AD" w14:textId="66D388B4"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Zestawy działań opracowano dla tych jednolitych części wód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w przypadku których poza stosowaniem działań ogólnokrajowych (dotyczących wszystkich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 katalog działań krajowych, zidentyfikowana została konieczność zaplanowania działań ukierunkowanych na konkretne presje (hydromorfologiczne, fizykochemiczne, na stan ilościowy lub chemiczny) z uwagi na stwierdzone ryzyko nieosiągnięcia celów środowiskowych. Zestawy działań naprawczych zawierają również działania dla obszarów chronionych wynikające bezpośrednio z planów zadań ochronnych (PZO) lub planu ochrony (PO).</w:t>
            </w:r>
            <w:r w:rsidRPr="008B085E">
              <w:rPr>
                <w:rFonts w:ascii="Calibri" w:eastAsia="Times New Roman" w:hAnsi="Calibri" w:cs="Calibri"/>
                <w:color w:val="000000"/>
                <w:sz w:val="18"/>
                <w:szCs w:val="18"/>
                <w:lang w:eastAsia="pl-PL"/>
              </w:rPr>
              <w:br/>
              <w:t xml:space="preserve">W przypadku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dla których nie zidentyfikowano konieczności budowania zestawów działań, realizowane powinny być działania z katalogu działań krajowych – co odpowiednio oznaczone jest w załączniku do IIaPGW – Zestaw działań.</w:t>
            </w:r>
          </w:p>
        </w:tc>
      </w:tr>
      <w:tr w:rsidR="001C4812" w:rsidRPr="0028666F" w14:paraId="4CE8EAA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0D6A6CC"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512</w:t>
            </w:r>
          </w:p>
        </w:tc>
        <w:tc>
          <w:tcPr>
            <w:tcW w:w="970" w:type="dxa"/>
            <w:tcBorders>
              <w:top w:val="single" w:sz="4" w:space="0" w:color="auto"/>
              <w:left w:val="single" w:sz="4" w:space="0" w:color="auto"/>
              <w:bottom w:val="single" w:sz="4" w:space="0" w:color="auto"/>
            </w:tcBorders>
            <w:shd w:val="clear" w:color="auto" w:fill="auto"/>
          </w:tcPr>
          <w:p w14:paraId="75C9CF9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Jacek Engel</w:t>
            </w:r>
          </w:p>
        </w:tc>
        <w:tc>
          <w:tcPr>
            <w:tcW w:w="165" w:type="dxa"/>
            <w:tcBorders>
              <w:top w:val="nil"/>
              <w:left w:val="nil"/>
              <w:bottom w:val="single" w:sz="4" w:space="0" w:color="auto"/>
              <w:right w:val="single" w:sz="4" w:space="0" w:color="auto"/>
            </w:tcBorders>
            <w:shd w:val="clear" w:color="auto" w:fill="auto"/>
          </w:tcPr>
          <w:p w14:paraId="5A2E2B9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84A7E2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CD61FD2" w14:textId="455C6A1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nie ma konfliktu pomiędzy działaniem w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&amp;#34;ograniczenie zużycia wody w rolnictwie&amp;#34;, a promowaną i dofinansowywaną budową nowych ujęć wód podziemnych na potrzeby rolnictwa?</w:t>
            </w:r>
          </w:p>
        </w:tc>
        <w:tc>
          <w:tcPr>
            <w:tcW w:w="2733" w:type="dxa"/>
            <w:tcBorders>
              <w:top w:val="single" w:sz="4" w:space="0" w:color="auto"/>
              <w:left w:val="nil"/>
              <w:bottom w:val="single" w:sz="4" w:space="0" w:color="auto"/>
              <w:right w:val="single" w:sz="4" w:space="0" w:color="auto"/>
            </w:tcBorders>
            <w:shd w:val="clear" w:color="auto" w:fill="auto"/>
          </w:tcPr>
          <w:p w14:paraId="5D8F6E9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293672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BE864F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D76E50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53CE9FA" w14:textId="2CBF20C3"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 xml:space="preserve">Nie występuje taki konflikt. W programie dofinansowania ujęć, w celu nawadniania terenów rolniczych, jest wprowadzone ograniczenie. To dofinansowanie nie może mieć miejsca dla jednolitych części wód podziemnych o stanie słabym ilościowym. W przypadku dzisiaj omawianych przykładów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pd nr 1 czy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nr 9, które były w stanie słabym ilościowym, działania związane z budową kolejnych ujęć na potrzeby nawodnień rolniczych nie będą mogły być realizowane w ramach tego programu. Dla jednolitych części proponujemy działania mające na celu ograniczenie zużycia wody w rolnictwie, czyli promowanie wodooszczędnych technologii, ponowne wykorzystywanie wody, działania, które spowodują mniejsze zużycie wody w rolnictwie a nie intensyfikację poboru w celu nawodnień. Nielogicznym byłoby gdybyśmy dla jednolitych, gdzie mamy już stan słaby ilościowych, wspierali takie działania. Dla pozostałych jednolitych części wód podziemnych, w których stan ilościowy jest dobry, gdzie nie widzimy zagrożenia i procent wykorzystania zasobów odnawialnych jest bardzo niewielki, przy zachowaniu wszelkich przepisów prawa i wszelkich procedur, przy wykonywaniu ujęć zgodnie ze sztuką hydrogeologiczną, jest możliwość budowy i eksploatacji nowych ujęć.</w:t>
            </w:r>
            <w:r w:rsidRPr="008B085E">
              <w:rPr>
                <w:rFonts w:ascii="Calibri" w:eastAsia="Times New Roman" w:hAnsi="Calibri" w:cs="Calibri"/>
                <w:color w:val="000000"/>
                <w:sz w:val="18"/>
                <w:szCs w:val="18"/>
                <w:lang w:eastAsia="pl-PL"/>
              </w:rPr>
              <w:br/>
              <w:t>Doprecyzowanie odpowiedzi po spotkaniu konsultacyjnym.</w:t>
            </w:r>
            <w:r w:rsidRPr="008B085E">
              <w:rPr>
                <w:rFonts w:ascii="Calibri" w:eastAsia="Times New Roman" w:hAnsi="Calibri" w:cs="Calibri"/>
                <w:color w:val="000000"/>
                <w:sz w:val="18"/>
                <w:szCs w:val="18"/>
                <w:lang w:eastAsia="pl-PL"/>
              </w:rPr>
              <w:br/>
              <w:t xml:space="preserve">W przypadku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o słabym stanie ilościowym inwestycje dotyczące ulepszenia istniejącej instalacji nawadniającej lub elementu infrastruktury nawadniającej mogą być realizowane, jeżeli inwestycja zapewnia efektywne zmniejszenie zużycia wody na poziomie inwestycji wynoszące co najmniej 50% potencjalnej oszczędności wody możliwej dzięki tej inwestycji, a w przypadku inwestycji pojedynczego gospodarstwa rolnego inwestycja, która doprowadzi również do zmniejszenia całkowitego zużycia wody w gospodarstwie rolnym sięgającego co najmniej 50% potencjalnej oszczędności wody możliwej na poziomie inwestycji. Całkowite zużycie wody w gospodarstwie rolnym obejmuje wodę sprzedawaną przez gospodarstwo rolne (art. 46 ust. 4 rozporządzenia Parlamentu Europejskiego i Rady 1305/2013). Jednocześnie w ramach inwestycji jest lub ma zostać zainstalowany system pomiaru wody umożliwiający mierzenie zużycia wody na poziomie wspieranej inwestycji.</w:t>
            </w:r>
          </w:p>
        </w:tc>
      </w:tr>
      <w:tr w:rsidR="001C4812" w:rsidRPr="0028666F" w14:paraId="7BFF626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E7E9914"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513</w:t>
            </w:r>
          </w:p>
        </w:tc>
        <w:tc>
          <w:tcPr>
            <w:tcW w:w="970" w:type="dxa"/>
            <w:tcBorders>
              <w:top w:val="single" w:sz="4" w:space="0" w:color="auto"/>
              <w:left w:val="single" w:sz="4" w:space="0" w:color="auto"/>
              <w:bottom w:val="single" w:sz="4" w:space="0" w:color="auto"/>
            </w:tcBorders>
            <w:shd w:val="clear" w:color="auto" w:fill="auto"/>
          </w:tcPr>
          <w:p w14:paraId="79C365A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Agnieszka Kolada</w:t>
            </w:r>
          </w:p>
        </w:tc>
        <w:tc>
          <w:tcPr>
            <w:tcW w:w="165" w:type="dxa"/>
            <w:tcBorders>
              <w:top w:val="nil"/>
              <w:left w:val="nil"/>
              <w:bottom w:val="single" w:sz="4" w:space="0" w:color="auto"/>
              <w:right w:val="single" w:sz="4" w:space="0" w:color="auto"/>
            </w:tcBorders>
            <w:shd w:val="clear" w:color="auto" w:fill="auto"/>
          </w:tcPr>
          <w:p w14:paraId="581F0218"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8A0318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497F315" w14:textId="53E87919"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sam fakt nieosiągnięcia celu środowiskowego przez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był przesłanką do wskazania odstępstwa? Odstępstwo, co do zasady, powinno być czymś bardzo wyjątkowym i sam fakt nieosiągniecia celów nie może być dla niego przesłanką.</w:t>
            </w:r>
          </w:p>
        </w:tc>
        <w:tc>
          <w:tcPr>
            <w:tcW w:w="2733" w:type="dxa"/>
            <w:tcBorders>
              <w:top w:val="single" w:sz="4" w:space="0" w:color="auto"/>
              <w:left w:val="nil"/>
              <w:bottom w:val="single" w:sz="4" w:space="0" w:color="auto"/>
              <w:right w:val="single" w:sz="4" w:space="0" w:color="auto"/>
            </w:tcBorders>
            <w:shd w:val="clear" w:color="auto" w:fill="auto"/>
          </w:tcPr>
          <w:p w14:paraId="045568F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BA77FD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3E09EA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B33E31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09C6C9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Ustanowienie odstępstwa powinno być czymś arcy wyjątkowym. Zasadą jest to, że powinniśmy dążyć do spełnienia norm środowiskowych i te normy środowiskowe powinny zostać osiągnięte w określonych terminach. Ramowa Dyrektywa Wodna wskazuje te terminy i wskazuje, w jakich przypadkach można je odroczyć, sugeruje również o ile te terminy można odroczyć. Jeżeli cel środowiskowy jak dotąd nie został osiągnięty, to jest to podstawa do analizy przesłanek do ustanowienia odstępstwa w trybie art. 4.4-4.6 RDW.</w:t>
            </w:r>
          </w:p>
        </w:tc>
      </w:tr>
      <w:tr w:rsidR="001C4812" w:rsidRPr="0028666F" w14:paraId="31DDE35C"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F6FF3ED"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514</w:t>
            </w:r>
          </w:p>
        </w:tc>
        <w:tc>
          <w:tcPr>
            <w:tcW w:w="970" w:type="dxa"/>
            <w:tcBorders>
              <w:top w:val="single" w:sz="4" w:space="0" w:color="auto"/>
              <w:left w:val="single" w:sz="4" w:space="0" w:color="auto"/>
              <w:bottom w:val="single" w:sz="4" w:space="0" w:color="auto"/>
            </w:tcBorders>
            <w:shd w:val="clear" w:color="auto" w:fill="auto"/>
          </w:tcPr>
          <w:p w14:paraId="54ED762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Tomasz Jaksina</w:t>
            </w:r>
          </w:p>
        </w:tc>
        <w:tc>
          <w:tcPr>
            <w:tcW w:w="165" w:type="dxa"/>
            <w:tcBorders>
              <w:top w:val="nil"/>
              <w:left w:val="nil"/>
              <w:bottom w:val="single" w:sz="4" w:space="0" w:color="auto"/>
              <w:right w:val="single" w:sz="4" w:space="0" w:color="auto"/>
            </w:tcBorders>
            <w:shd w:val="clear" w:color="auto" w:fill="auto"/>
          </w:tcPr>
          <w:p w14:paraId="34DBAD8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A9E218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F7975C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 PGW będzie katalog niespodziewanych katastrof naturalnych i antropologicznych warunkujących odstępstwo od osiągnięcia celu środowiskowego?</w:t>
            </w:r>
          </w:p>
        </w:tc>
        <w:tc>
          <w:tcPr>
            <w:tcW w:w="2733" w:type="dxa"/>
            <w:tcBorders>
              <w:top w:val="single" w:sz="4" w:space="0" w:color="auto"/>
              <w:left w:val="nil"/>
              <w:bottom w:val="single" w:sz="4" w:space="0" w:color="auto"/>
              <w:right w:val="single" w:sz="4" w:space="0" w:color="auto"/>
            </w:tcBorders>
            <w:shd w:val="clear" w:color="auto" w:fill="auto"/>
          </w:tcPr>
          <w:p w14:paraId="01A7906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45AD19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B26C34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91F509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16319B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 planach gospodarowania wodami (dalej PGW) nie będzie wskazanego w uwadze "katalogu niespodziewanych katastrof naturalnych i antropologicznych warunkujących odstępstwo od osiągnięcia celu środowiskowego". PGW określa natomiast warunki zastosowania odstępstwa w trybie art. 4 ust. 6 RDW, tj. związanego z czasowym pogorszeniem stanu wód w wyniku zjawisk o charakterze naturalnym lub będących skutkiem siły wyższej, nadzwyczajnych lub niemożliwych do przewidzenia. Ustanawia definicje zjawisk i ich wskaźniki, które powinny być traktowane jako jedna z przesłanek (art. 65 ust. 1 pkt 2 ustawy z dnia 20 lipca 2017 r. - Prawo wodne) warunkującej zastosowanie ww. odstępstwa.</w:t>
            </w:r>
          </w:p>
        </w:tc>
      </w:tr>
      <w:tr w:rsidR="001C4812" w:rsidRPr="0028666F" w14:paraId="6ADCF68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868198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515</w:t>
            </w:r>
          </w:p>
        </w:tc>
        <w:tc>
          <w:tcPr>
            <w:tcW w:w="970" w:type="dxa"/>
            <w:tcBorders>
              <w:top w:val="single" w:sz="4" w:space="0" w:color="auto"/>
              <w:left w:val="single" w:sz="4" w:space="0" w:color="auto"/>
              <w:bottom w:val="single" w:sz="4" w:space="0" w:color="auto"/>
            </w:tcBorders>
            <w:shd w:val="clear" w:color="auto" w:fill="auto"/>
          </w:tcPr>
          <w:p w14:paraId="3CA78F4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Jacek Engel</w:t>
            </w:r>
          </w:p>
        </w:tc>
        <w:tc>
          <w:tcPr>
            <w:tcW w:w="165" w:type="dxa"/>
            <w:tcBorders>
              <w:top w:val="nil"/>
              <w:left w:val="nil"/>
              <w:bottom w:val="single" w:sz="4" w:space="0" w:color="auto"/>
              <w:right w:val="single" w:sz="4" w:space="0" w:color="auto"/>
            </w:tcBorders>
            <w:shd w:val="clear" w:color="auto" w:fill="auto"/>
          </w:tcPr>
          <w:p w14:paraId="03317F94"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CF7F4E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F7A4AB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uważacie Państwo, że forma aPGW (setki nieopisanych plików, ) jest właściwa dla potrzeb konsultacji ? Czy zamawiający jest zadowolony z otrzymanego produktu?</w:t>
            </w:r>
          </w:p>
        </w:tc>
        <w:tc>
          <w:tcPr>
            <w:tcW w:w="2733" w:type="dxa"/>
            <w:tcBorders>
              <w:top w:val="single" w:sz="4" w:space="0" w:color="auto"/>
              <w:left w:val="nil"/>
              <w:bottom w:val="single" w:sz="4" w:space="0" w:color="auto"/>
              <w:right w:val="single" w:sz="4" w:space="0" w:color="auto"/>
            </w:tcBorders>
            <w:shd w:val="clear" w:color="auto" w:fill="auto"/>
          </w:tcPr>
          <w:p w14:paraId="4190F2F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0C5FF9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6EC1CF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B206ED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64A48F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podczas spotkania konsultacyjnego.</w:t>
            </w:r>
            <w:r w:rsidRPr="008B085E">
              <w:rPr>
                <w:rFonts w:ascii="Calibri" w:eastAsia="Times New Roman" w:hAnsi="Calibri" w:cs="Calibri"/>
                <w:color w:val="000000"/>
                <w:sz w:val="18"/>
                <w:szCs w:val="18"/>
                <w:lang w:eastAsia="pl-PL"/>
              </w:rPr>
              <w:br/>
              <w:t>Struktura planu gospodarowania wodami, jej zawartość, jest określona w Ramowej Dyrektywie Wodnej, a w ślad za dyrektywą - w ustawie Prawo wodne oraz w rozporządzeniu. Staraliśmy się przygotować projekty planów jak najbardziej czytelne. Niestety nie da się takiej ilości informacji i danych włożyć w jeden dokument. Fizycznie oczywiście się da, ale wówczas nie będzie on czytelny. Musimy mieć na względzie, że projekt planów gospodarowania wodami, każdego z 9 planów, musi być w kolejnym kroku jeszcze przeredagowany na rozporządzenie - akt prawny. Ze względu na to, że plany gospodarowania wodami to nie tylko tekst, ale też całe zaplecze baz danych, informacji przestrzennych, różnego rodzaju zestawień, wydaje nam się, że zaproponowana w tym cyklu forma jest optymalna. Gdyby ode mnie zależało to katalog, który jest w dyrektywie, bym znacznie skrócił. Jednak wszystkie elementy, które są wymienione, muszą się w planie gospodarowania wodami znaleźć. Z radością przyjmiemy propozycje jak pogodzić jedno z drugim, czy też zapewnić taką formułę planów, która będzie czytelna. Mam świadomość jak ten dokument się czyta, jak trudno jest znaleźć w nim różne informacje, więc każdy pomysł jest do rozważenia. W przypadku nieopisanych plików, bardzo prosimy o ich wskazanie. Staraliśmy się dołożyć wszelkich starań, żeby uniknąć takich przypadków, ale w każdej takiej sytuacji prosimy o sygnał - zostanie to skorygowane.</w:t>
            </w:r>
          </w:p>
        </w:tc>
      </w:tr>
      <w:tr w:rsidR="001C4812" w:rsidRPr="0028666F" w14:paraId="247FF75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9EB777C"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516</w:t>
            </w:r>
          </w:p>
        </w:tc>
        <w:tc>
          <w:tcPr>
            <w:tcW w:w="970" w:type="dxa"/>
            <w:tcBorders>
              <w:top w:val="single" w:sz="4" w:space="0" w:color="auto"/>
              <w:left w:val="single" w:sz="4" w:space="0" w:color="auto"/>
              <w:bottom w:val="single" w:sz="4" w:space="0" w:color="auto"/>
            </w:tcBorders>
            <w:shd w:val="clear" w:color="auto" w:fill="auto"/>
          </w:tcPr>
          <w:p w14:paraId="1953980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Jacek Engel</w:t>
            </w:r>
          </w:p>
        </w:tc>
        <w:tc>
          <w:tcPr>
            <w:tcW w:w="165" w:type="dxa"/>
            <w:tcBorders>
              <w:top w:val="nil"/>
              <w:left w:val="nil"/>
              <w:bottom w:val="single" w:sz="4" w:space="0" w:color="auto"/>
              <w:right w:val="single" w:sz="4" w:space="0" w:color="auto"/>
            </w:tcBorders>
            <w:shd w:val="clear" w:color="auto" w:fill="auto"/>
          </w:tcPr>
          <w:p w14:paraId="36FD19E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6D8152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AAF54C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dokumenty udostępnione w konsultacjach są ostatecznymi? Czy będą jeszcze zmieniane? Od którego dnia liczycie Państwo półroczny okres konsultacji - od załadowania pierwszych dokumentów, czy od dnia załadowania kolejnych? Czy nie uważacie Państwo, że należy poinformować o zmianach w udostępnionej dokumentacji?</w:t>
            </w:r>
          </w:p>
        </w:tc>
        <w:tc>
          <w:tcPr>
            <w:tcW w:w="2733" w:type="dxa"/>
            <w:tcBorders>
              <w:top w:val="single" w:sz="4" w:space="0" w:color="auto"/>
              <w:left w:val="nil"/>
              <w:bottom w:val="single" w:sz="4" w:space="0" w:color="auto"/>
              <w:right w:val="single" w:sz="4" w:space="0" w:color="auto"/>
            </w:tcBorders>
            <w:shd w:val="clear" w:color="auto" w:fill="auto"/>
          </w:tcPr>
          <w:p w14:paraId="43541C3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CCABC6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8AB6AA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327665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98D804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Konsultacje społeczne projektów IIaPGW rozpoczęte zostały dnia 14 kwietnia 2021 r. - od tej daty liczony jest okres 6 miesięcy, w związku z czym konsultacje trwają do dnia 14 października 2021 r. Z dniem rozpoczęcia konsultacji społecznych udostępnione zostały projekty IIaPGW. Konsultowane dokumenty w trakcie trwania konsultacji społecznych nie podlegają bieżącej aktualizacji. Konsultacjom społecznym poddawany jest projekt IIaPGW (upubliczniona wersja wraz z rozpoczęciem konsultacji społecznych), który w wyniku przeprowadzonego procesu konsultacji społecznych może ulec modyfikacji, ale modyfikacje te prezentowane są jako ostateczna wersja dokumentu po konsultacjach społecznych. W wyjątkowych sytuacjach (dokonanych w trakcie procesu konsultacji społecznych zmian prawa wpływających na treść konsultowanego dokumentu) dopuszcza się przedłożenie w ramach konsultacji erraty do projektu dokumentu wskazującego dokonywane zmiany. Informacja o zamieszczeniu erraty przekazywana jest do ogółu społeczeństwa zgodnie z zasadami konsultacji społecznych.</w:t>
            </w:r>
            <w:r w:rsidRPr="008B085E">
              <w:rPr>
                <w:rFonts w:ascii="Calibri" w:eastAsia="Times New Roman" w:hAnsi="Calibri" w:cs="Calibri"/>
                <w:color w:val="000000"/>
                <w:sz w:val="18"/>
                <w:szCs w:val="18"/>
                <w:lang w:eastAsia="pl-PL"/>
              </w:rPr>
              <w:br w:type="page"/>
              <w:t>Komplet dokumentów poddawanych konsultacjom dostępny był od dnia 14 kwietnia 2021 na stronie apgw.gov.pl. W dniu 14 kwietnia 2021 r. ze strony MI link do dokumentów przekazanych do konsultacji przekierowywał do strony apgw.gov.pl.</w:t>
            </w:r>
            <w:r w:rsidRPr="008B085E">
              <w:rPr>
                <w:rFonts w:ascii="Calibri" w:eastAsia="Times New Roman" w:hAnsi="Calibri" w:cs="Calibri"/>
                <w:color w:val="000000"/>
                <w:sz w:val="18"/>
                <w:szCs w:val="18"/>
                <w:lang w:eastAsia="pl-PL"/>
              </w:rPr>
              <w:br w:type="page"/>
              <w:t>W czasie trwania konsultacji społecznych projektów IIaPGW nastąpiły istotne zmiany, które miały wpływ na treść projektów IIaPGW, tj.:</w:t>
            </w:r>
            <w:r w:rsidRPr="008B085E">
              <w:rPr>
                <w:rFonts w:ascii="Calibri" w:eastAsia="Times New Roman" w:hAnsi="Calibri" w:cs="Calibri"/>
                <w:color w:val="000000"/>
                <w:sz w:val="18"/>
                <w:szCs w:val="18"/>
                <w:lang w:eastAsia="pl-PL"/>
              </w:rPr>
              <w:br w:type="page"/>
              <w:t>• wejście w życie rozporządzenia Ministra Rolnictwa i Rozwoju Wsi z dnia 6 maja 2021 roku w sprawie określenia gatunków zwierząt wodnych o znaczeniu gospodarczym oraz obszarów przeznaczonych do ochrony tych gatunków (Dz. U. z 2021 poz. 896), które należy uwzględnić w rejestrze wykazów obszarów chronionych,</w:t>
            </w:r>
            <w:r w:rsidRPr="008B085E">
              <w:rPr>
                <w:rFonts w:ascii="Calibri" w:eastAsia="Times New Roman" w:hAnsi="Calibri" w:cs="Calibri"/>
                <w:color w:val="000000"/>
                <w:sz w:val="18"/>
                <w:szCs w:val="18"/>
                <w:lang w:eastAsia="pl-PL"/>
              </w:rPr>
              <w:br w:type="page"/>
              <w:t>• zmiana projektu VI aktualizacji Krajowego Programu Oczyszczania Ścieków Komunalnych (VI aKPOŚK), w wyniku którego zmieniły się inwestycje i działania w kategorii działań: gospodarka ściekowa.</w:t>
            </w:r>
            <w:r w:rsidRPr="008B085E">
              <w:rPr>
                <w:rFonts w:ascii="Calibri" w:eastAsia="Times New Roman" w:hAnsi="Calibri" w:cs="Calibri"/>
                <w:color w:val="000000"/>
                <w:sz w:val="18"/>
                <w:szCs w:val="18"/>
                <w:lang w:eastAsia="pl-PL"/>
              </w:rPr>
              <w:br w:type="page"/>
              <w:t>W związku z powyższym, aby zachować spójność i aktualność projektów IIaPGW ze wskazanymi dokumentami, zostały przygotowane erraty do następujących projektów IIaPGW:</w:t>
            </w:r>
            <w:r w:rsidRPr="008B085E">
              <w:rPr>
                <w:rFonts w:ascii="Calibri" w:eastAsia="Times New Roman" w:hAnsi="Calibri" w:cs="Calibri"/>
                <w:color w:val="000000"/>
                <w:sz w:val="18"/>
                <w:szCs w:val="18"/>
                <w:lang w:eastAsia="pl-PL"/>
              </w:rPr>
              <w:br w:type="page"/>
              <w:t>• Errata w zakresie obszarów przeznaczonych do ochrony gatunków zwierząt wodnych o znaczeniu gospodarczym, o których mowa w art. 85 i 317 ust. 4 ustawy Prawo wodne (projekt IIaPGW dla obszaru dorzecza Niemna, projekt IIaPGW dla obszaru dorzecza Pregoły, projekt IIaPGW dla obszaru dorzecza Odry i projekt IIaPGW dla obszaru dorzecza Wisły)</w:t>
            </w:r>
            <w:r w:rsidRPr="008B085E">
              <w:rPr>
                <w:rFonts w:ascii="Calibri" w:eastAsia="Times New Roman" w:hAnsi="Calibri" w:cs="Calibri"/>
                <w:color w:val="000000"/>
                <w:sz w:val="18"/>
                <w:szCs w:val="18"/>
                <w:lang w:eastAsia="pl-PL"/>
              </w:rPr>
              <w:br w:type="page"/>
              <w:t>• Errata dotycząca zmian w projekcie VI KPOŚK w zakresie obszarów aglomeracji oraz zaplanowanych inwestycji (projekt IIaPGW dla obszaru dorzecza Dunaju, projekt IIaPGW dla obszaru dorzecza Łaby, projekt IIaPGW dla obszaru dorzecza Niemna, projekt IIaPGW dla obszaru dorzecza Pregoły, projekt IIaPGW dla obszaru dorzecza Odry i projekt IIaPGW dla obszaru dorzecza Wisły).</w:t>
            </w:r>
            <w:r w:rsidRPr="008B085E">
              <w:rPr>
                <w:rFonts w:ascii="Calibri" w:eastAsia="Times New Roman" w:hAnsi="Calibri" w:cs="Calibri"/>
                <w:color w:val="000000"/>
                <w:sz w:val="18"/>
                <w:szCs w:val="18"/>
                <w:lang w:eastAsia="pl-PL"/>
              </w:rPr>
              <w:br w:type="page"/>
              <w:t>Erraty przekazano do publicznej wiadomości 30 września 2021 r.</w:t>
            </w:r>
          </w:p>
        </w:tc>
      </w:tr>
      <w:tr w:rsidR="001C4812" w:rsidRPr="0028666F" w14:paraId="3A27585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C41B27B"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517</w:t>
            </w:r>
          </w:p>
        </w:tc>
        <w:tc>
          <w:tcPr>
            <w:tcW w:w="970" w:type="dxa"/>
            <w:tcBorders>
              <w:top w:val="single" w:sz="4" w:space="0" w:color="auto"/>
              <w:left w:val="single" w:sz="4" w:space="0" w:color="auto"/>
              <w:bottom w:val="single" w:sz="4" w:space="0" w:color="auto"/>
            </w:tcBorders>
            <w:shd w:val="clear" w:color="auto" w:fill="auto"/>
          </w:tcPr>
          <w:p w14:paraId="5F68F0A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Zespół Elektrowni Pątnów – Adamów – Konin S.A.</w:t>
            </w:r>
          </w:p>
        </w:tc>
        <w:tc>
          <w:tcPr>
            <w:tcW w:w="165" w:type="dxa"/>
            <w:tcBorders>
              <w:top w:val="nil"/>
              <w:left w:val="nil"/>
              <w:bottom w:val="single" w:sz="4" w:space="0" w:color="auto"/>
              <w:right w:val="single" w:sz="4" w:space="0" w:color="auto"/>
            </w:tcBorders>
            <w:shd w:val="clear" w:color="auto" w:fill="auto"/>
          </w:tcPr>
          <w:p w14:paraId="57E4F395"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5618ED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AB0D32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Proszę o informację, czy taka inwestycja jak odkrywka węgla brunatnego złoże ,,Tomisławice&amp;#34;, która została zgłoszona przez KWB Konin do Planu gospodarowania wodami na obszarze dorzecza Odry w 2010r. i kontynuowana jest jej eksploatacja - wymaga zgłoszenia do II aktualizacji planów gospodarowania wodami (IIaPGW) ? Czy też zgłoszenie do IIaPGW dotyczy tylko nowych inwestycji?</w:t>
            </w:r>
          </w:p>
        </w:tc>
        <w:tc>
          <w:tcPr>
            <w:tcW w:w="2733" w:type="dxa"/>
            <w:tcBorders>
              <w:top w:val="single" w:sz="4" w:space="0" w:color="auto"/>
              <w:left w:val="nil"/>
              <w:bottom w:val="single" w:sz="4" w:space="0" w:color="auto"/>
              <w:right w:val="single" w:sz="4" w:space="0" w:color="auto"/>
            </w:tcBorders>
            <w:shd w:val="clear" w:color="auto" w:fill="auto"/>
          </w:tcPr>
          <w:p w14:paraId="3CA12FD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EB65A6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04B6D37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4DB895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52FE9C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 ogóle nie mamy już w tej chwili mechanizmu zgłoszeń. Na naszej stronie www.apgw.gov.pl znajdą państwo w formie animacji instruktarz skąd się biorą inwestycje w planach gospodarowania wodami. Zestaw przedsięwzięć, które są planowane, to są nowe przedsięwzięcia, ewentualnie takie, które już otrzymały odstępstwo w poprzednich edycjach planów gospodarowania wodami, a których realizację inwestor podtrzymuje, czyli do tej pory nie zrealizował i nic się w tych planach, jeżeli chodzi o charakter przedsięwzięcia, o jego miejsce, specyfikę rozwiązań – nic się nie zmieniło. Natomiast nie mamy już mechanizmu, który funkcjonował jeszcze 6 lat temu w poprzedniej aktualizacji Planów gospodarowania wodami – zgłaszania inwestycji. W Planach gospodarowania wodami znajdują się te przedsięwzięcia, które albo już były w aktualizacji Planów gospodarowania wodami, bądź w Planach gospodarowania wodami, bądź przeszły w międzyczasie przez procedurę oceny wodnoprawnej.</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 charakterystyce jednolitych części wód i w analizie presji uwzględniane są presje wynikające ze zrealizowanych juz inwestycji. Różnica polega na tym, że tak długo, jak mówimy o planowanej inwestycji i odstępstwie z art. 4.7 RDW, to mówimy o przedsięwzięciach planowanych. Natomiast to, co zostało już zrealizowane, co już istnieje i nie jest nową inwestycją w tym rozumieniu, jest uwzględniane przy wszystkich pozostałych analizach, czyli już traktujemy jako element istniejący naszego środowiska i jest to przyczynek bądź do programu działań, bądź do wyznaczenia danej jednolitej części wód jako silnie zmienioną - jeżeli mówimy o powierzchniowych częściach wód. Nowe przedsięwzięcia to są te, które dopiero są planowane i których realizacja jeszcze nie nastąpiła.</w:t>
            </w:r>
          </w:p>
        </w:tc>
      </w:tr>
      <w:tr w:rsidR="001C4812" w:rsidRPr="0028666F" w14:paraId="7C715DEE"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276046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518</w:t>
            </w:r>
          </w:p>
        </w:tc>
        <w:tc>
          <w:tcPr>
            <w:tcW w:w="970" w:type="dxa"/>
            <w:tcBorders>
              <w:top w:val="single" w:sz="4" w:space="0" w:color="auto"/>
              <w:left w:val="single" w:sz="4" w:space="0" w:color="auto"/>
              <w:bottom w:val="single" w:sz="4" w:space="0" w:color="auto"/>
            </w:tcBorders>
            <w:shd w:val="clear" w:color="auto" w:fill="auto"/>
          </w:tcPr>
          <w:p w14:paraId="5493159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Energopomiar</w:t>
            </w:r>
          </w:p>
        </w:tc>
        <w:tc>
          <w:tcPr>
            <w:tcW w:w="165" w:type="dxa"/>
            <w:tcBorders>
              <w:top w:val="nil"/>
              <w:left w:val="nil"/>
              <w:bottom w:val="single" w:sz="4" w:space="0" w:color="auto"/>
              <w:right w:val="single" w:sz="4" w:space="0" w:color="auto"/>
            </w:tcBorders>
            <w:shd w:val="clear" w:color="auto" w:fill="auto"/>
          </w:tcPr>
          <w:p w14:paraId="29AF4015"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33A286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92C581A" w14:textId="335DE8FB"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Wśród działań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zaproponowano ograniczenie wody w przemyśle, czy to oznacza weryfikacje pozwoleń i ich ograniczenie?</w:t>
            </w:r>
          </w:p>
        </w:tc>
        <w:tc>
          <w:tcPr>
            <w:tcW w:w="2733" w:type="dxa"/>
            <w:tcBorders>
              <w:top w:val="single" w:sz="4" w:space="0" w:color="auto"/>
              <w:left w:val="nil"/>
              <w:bottom w:val="single" w:sz="4" w:space="0" w:color="auto"/>
              <w:right w:val="single" w:sz="4" w:space="0" w:color="auto"/>
            </w:tcBorders>
            <w:shd w:val="clear" w:color="auto" w:fill="auto"/>
          </w:tcPr>
          <w:p w14:paraId="253C93C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FFDBA7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3E84A0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16C57E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4758B6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Samo działanie dotyczące ograniczenia zużycia wody w przemyśle nie zawiera w sobie działań dotyczących weryfikacji ograniczenia pozwoleń wodnoprawnych. Działanie dedykowane jest podmiotom gospodarczym i ma ono na celu analizę zastosowania przez podmioty gospodarcze najlepszych technik ograniczających zużycie wody. Natomiast jak najbardziej w ramach aktualizacji Planów gospodarowania wodami mamy dwa działania zaproponowane, które dotyczą pozwoleń wodnoprawnych. Jest to działanie, które jest w katalogu działań krajowych, jest to przegląd pozwoleń wodnoprawnych, jak również mamy działanie uzupełniające, zaproponowane w zestawie działań i ono już jest dedykowane jednolitym częściom wód podziemnych, które są zagrożone jeśli chodzi o stan ilościowy. W takim wypadku proponujemy dodatkowy przegląd pozwoleń wodnoprawnych zgodnie z art. 415 ustawy Prawo wodne. W momencie kiedy jest zagrożenie osiągnięcia celu środowiskowego, które jest potwierdzone badaniami monitoringowymi, jest możliwość na podstawie takiego działania, czyli dodatkowego przeglądu pozwoleń wodnoprawnych, weryfikacji ograniczenia pozwoleń wodnoprawnych. Można powiedzieć, że w samym tym działaniu nie mamy ujętego tego działania, natomiast inne działania jak najbardziej są dedykowane, tak, że będzie taka możliwość.</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Istniejące pobory wód podziemnych uwzględniane są w ramach presji, pogłębionej analizy presji, również w ramach oceny stanu. Są robione testy kwalifikacyjne, to jest I1 i wtedy określone jest na podstawie bilansu wodnego, czyli porównujemy jaki jest pobór do zasobów, które mamy możliwe do wykorzystania. Jeśli chodzi o dostępność zasobów, to tutaj również takie analizy zostały przeprowadzone. Jeżeli w Planie gospodarowania wodami wpisane są działania jak przegląd pozwoleń wodnoprawnych, to wynika to z konkretnej analizy.</w:t>
            </w:r>
          </w:p>
        </w:tc>
      </w:tr>
      <w:tr w:rsidR="001C4812" w:rsidRPr="0028666F" w14:paraId="55003402"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42D752A"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519</w:t>
            </w:r>
          </w:p>
        </w:tc>
        <w:tc>
          <w:tcPr>
            <w:tcW w:w="970" w:type="dxa"/>
            <w:tcBorders>
              <w:top w:val="single" w:sz="4" w:space="0" w:color="auto"/>
              <w:left w:val="single" w:sz="4" w:space="0" w:color="auto"/>
              <w:bottom w:val="single" w:sz="4" w:space="0" w:color="auto"/>
            </w:tcBorders>
            <w:shd w:val="clear" w:color="auto" w:fill="auto"/>
          </w:tcPr>
          <w:p w14:paraId="7EF48FE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0742050A"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AC7FC0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51C05D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Dlaczego nie udrożniono Kaczawy zgodnie z zapisami dotychczasowego aPWŚK? Jakie instrumenty mają Wody Polskie do egzekwowania udrożnienia jazów użytkowanych przez prywatnych właścicieli?</w:t>
            </w:r>
          </w:p>
        </w:tc>
        <w:tc>
          <w:tcPr>
            <w:tcW w:w="2733" w:type="dxa"/>
            <w:tcBorders>
              <w:top w:val="single" w:sz="4" w:space="0" w:color="auto"/>
              <w:left w:val="nil"/>
              <w:bottom w:val="single" w:sz="4" w:space="0" w:color="auto"/>
              <w:right w:val="single" w:sz="4" w:space="0" w:color="auto"/>
            </w:tcBorders>
            <w:shd w:val="clear" w:color="auto" w:fill="auto"/>
          </w:tcPr>
          <w:p w14:paraId="0F17C6A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E2D5A4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CEC11B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770190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27D1E4C" w14:textId="2FAACA15"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 ramach opracowywania IIaPGW podstawę informacji dotyczących statusów realizacji działań z aPWŚK stanowiły raporty z realizacji działań przedkładane do ministra właściwego ds. gospodarki wodnej przez pomioty zobowiązane do ich realizacji.</w:t>
            </w:r>
            <w:r w:rsidRPr="008B085E">
              <w:rPr>
                <w:rFonts w:ascii="Calibri" w:eastAsia="Times New Roman" w:hAnsi="Calibri" w:cs="Calibri"/>
                <w:color w:val="000000"/>
                <w:sz w:val="18"/>
                <w:szCs w:val="18"/>
                <w:lang w:eastAsia="pl-PL"/>
              </w:rPr>
              <w:br/>
              <w:t xml:space="preserve">W przypadku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której dotyczy uwaga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RW600011138999) w ramach sprawozdawczości nie udzielono informacji o przyczynach braku realizacji działań zaplanowanych do realizacji: 6 działań dotyczących przywrócenia drożności cieku istotnego dla zachowania ciągłości morfologicznej. W ramach IIaPGW działania z aPWŚK dot. zapewnienia drożności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RW600011138999 zostały prolongowane i znajdują się w zestawach działań IIaPGW.</w:t>
            </w:r>
            <w:r w:rsidRPr="008B085E">
              <w:rPr>
                <w:rFonts w:ascii="Calibri" w:eastAsia="Times New Roman" w:hAnsi="Calibri" w:cs="Calibri"/>
                <w:color w:val="000000"/>
                <w:sz w:val="18"/>
                <w:szCs w:val="18"/>
                <w:lang w:eastAsia="pl-PL"/>
              </w:rPr>
              <w:br/>
              <w:t>Odnosząc się do drugiej części uwagi wskazać należy, iż zagadnienie sprawozdawczości z realizacji aPWŚK (a więc programów działań dla aPGW) jest uregulowane przepisami. Wszystkie podmioty posiadające przypisane do 'siebie' działania w aPGW powinny przedkładać sprawozdania z realizacji aPGW (czyli działań aPWŚK) do ministra właściwego ds. gospodarki wodnej. Na chwilę obecną nie ma dodatkowych instrumentów ani narzędzi prawnych umożliwiających egzekwowanie, czy też wpływ na podmioty, użytkowników w zakresie realizacji działań PGW.</w:t>
            </w:r>
          </w:p>
        </w:tc>
      </w:tr>
      <w:tr w:rsidR="001C4812" w:rsidRPr="0028666F" w14:paraId="79686DD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3D807DF"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520</w:t>
            </w:r>
          </w:p>
        </w:tc>
        <w:tc>
          <w:tcPr>
            <w:tcW w:w="970" w:type="dxa"/>
            <w:tcBorders>
              <w:top w:val="single" w:sz="4" w:space="0" w:color="auto"/>
              <w:left w:val="single" w:sz="4" w:space="0" w:color="auto"/>
              <w:bottom w:val="single" w:sz="4" w:space="0" w:color="auto"/>
            </w:tcBorders>
            <w:shd w:val="clear" w:color="auto" w:fill="auto"/>
          </w:tcPr>
          <w:p w14:paraId="11B2B30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0F8A01A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C6E712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3F6FCC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wobec niewątpliwego, negatywnego wpływu ładunku soli dopływającego z Czech powodującego, że już na granicy wartość wskaźnika PEW osiąga 850 mS, nie należałoby zastosować przepisu zawartego w punkcie 8 załącznika 13 do rozp. klasyf. i wyłączyć ten wskaźnik z klasyfikacji potencjału ekologicznego, tym bardziej, że RDW nie wymaga ustalania wskaźników zasolenia dla SZCW.</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654CD09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EEBDAF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93D38C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CB944A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A8C74C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Rozporządzenie wskazuje możliwość, z uwagi na istniejące tło hydrochemiczne, do wyłączenia wskaźnika fizykochemicznego z klasyfikacji potencjału ekologicznego. Natomiast musimy mieć na uwadze, że to są właśnie te sytuacje na pograniczu wypływów naturalnych a tych, które są efektem działalności antropogenicznej człowieka. Tutaj jest też pytanie o powiązania transgraniczne Polska - Czechy i tego co otrzymujemy. W Planie gospodarowania wodami oczywiście zajmujemy się obszarem Polski, mając na uwadze to, że są sytuacje kiedy cały pakiet już do nas wpływa od sąsiadów, dlatego ta jednolita część wód akurat ma wskazane odstępstwo. To jest element, to narzędzie, dzięki któremu jesteśmy w stanie, czy próbujemy osiągnąć cel środowiskowy przypisując odstępstwo, dobierając działania, aby ta jakość jednolitej części wód została polepszona. Nie jesteśmy oczywiście w stanie - my na poziomie IIaPGW, ingerować w to, co nasi sąsiedzi planują. To też jest moment na to, żeby móc zderzyć się z planami, zarówno dla Międzynarodowego Obszaru Dorzecza Odry, jak i planów konsultowanych dla strony czeskiej. Ze swojej strony idziemy raczej w kierunku odstępstw niż sztywnego obniżania parametrów fizykochemicznych, właśnie ze względu na to czy m.in. mając na uwadze to, czy powinny być jednak naturalne procesy, dla których specjalnych zmian czy odwrócenia być nie powinno. Samo wyznaczenie silnie zmienionej części wód nie jest wskazaniem wprost do obniżania parametrów wskaźników fizykochemicznych.</w:t>
            </w:r>
          </w:p>
        </w:tc>
      </w:tr>
      <w:tr w:rsidR="001C4812" w:rsidRPr="0028666F" w14:paraId="6BD453F8"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64A23C6"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521</w:t>
            </w:r>
          </w:p>
        </w:tc>
        <w:tc>
          <w:tcPr>
            <w:tcW w:w="970" w:type="dxa"/>
            <w:tcBorders>
              <w:top w:val="single" w:sz="4" w:space="0" w:color="auto"/>
              <w:left w:val="single" w:sz="4" w:space="0" w:color="auto"/>
              <w:bottom w:val="single" w:sz="4" w:space="0" w:color="auto"/>
            </w:tcBorders>
            <w:shd w:val="clear" w:color="auto" w:fill="auto"/>
          </w:tcPr>
          <w:p w14:paraId="554B40F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43081BF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926DE6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532FDECD" w14:textId="55440A8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Jak chcą Państwo osiągnąć niepogorszenie stanu ilościowego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Pd 105, skoro kopalnia Turów ma dalej działać i nadal odpompowywać wodę z tego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do 2044 roku?</w:t>
            </w:r>
          </w:p>
        </w:tc>
        <w:tc>
          <w:tcPr>
            <w:tcW w:w="2733" w:type="dxa"/>
            <w:tcBorders>
              <w:top w:val="single" w:sz="4" w:space="0" w:color="auto"/>
              <w:left w:val="nil"/>
              <w:bottom w:val="single" w:sz="4" w:space="0" w:color="auto"/>
              <w:right w:val="single" w:sz="4" w:space="0" w:color="auto"/>
            </w:tcBorders>
            <w:shd w:val="clear" w:color="auto" w:fill="auto"/>
          </w:tcPr>
          <w:p w14:paraId="6E834B3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DE8862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C6F104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BD0880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9FE4CC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Tutaj jest problem dwutorowy. Rzeczywiście wskazany cel środowiskowy tj. utrzymanie stanu istniejącego, czyli w ramach drugiej aktualizacji Planów gospodarowania wodami jest propozycja utrzymania derogacji z art. 4.5 RDW dla tej jednolitej części wód podziemnych. Natomiast to jest aspekt prawny. Z punktu widzenia warunków hydrogeologicznych, tego co się dzieje w rejonie Worka Turoszowskiego, to jest aspekt całkowicie inny. Złoża te zostały opisane z końcem XIX wieku. Pierwsza kopalnia w tamtym rejonie powstała już w 1905 r. Nie mówimy tutaj o pojawieniu się, czy o zmianach warunków hydrogeologicznych z ostatnich pięciu czy piętnastu lat, tylko o stałym oddziaływaniu, o stałym odwodnieniu trwającym co najmniej 116 lat. Przekształcenia warunków wodnych w tamtym rejonie możnaby traktować, jeśli popatrzeć na tak długą perspektywę czasową 116 lat, niemalże jako nowo wykształcone warunki naturalne, takie oczywiście tu użycie słowa „naturalne” jest nadużyciem, niemniej stałe warstwy wodonośne w obrębie piętra czwartorzędowego są osuszone od niemal pięćdziesięciu lat. Nagłe odwrócenie czy próba przywrócenia stosunków wodnych do tych sprzed 116 lat, prawdopodobnie byłaby jeszcze gorsza niż utrzymanie stanu istniejącego. To co się w tym między czasie zadziało w nadkładzie - zmagazynowanie dużej ilości substancji pochodzących chociażby z wód infiltracyjnych, które zostały w jakiś sposób wykorzystane, część odparowała, a sucha pozostała. Mogłaby dać tak duży ładunek zanieczyszczeń - nie wiem, czy to udźwignęłyby jednolite części wód powierzchniowych. Całkowicie więc utrzymanie tego status quo do roku 2044 czy powolne odchodzenie od wydobycia i opracowanie długofalowego planu regulacji tych stosunków wodnych, raczej jest sensownym rozwiązaniem niż próbą przywrócenia stanu środowiska sprzed lat 116, a przynajmniej z ostatnich 50, 70 lat, kiedy na dużą skalę działa kopalnia Turoszowska i Turów. One w międzyczasie zmieniły nazwę, w mojej ocenie nie ma sensu przywracania tego tak szybko.</w:t>
            </w:r>
          </w:p>
        </w:tc>
      </w:tr>
      <w:tr w:rsidR="001C4812" w:rsidRPr="0028666F" w14:paraId="1D062DC4"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BA63D9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522</w:t>
            </w:r>
          </w:p>
        </w:tc>
        <w:tc>
          <w:tcPr>
            <w:tcW w:w="970" w:type="dxa"/>
            <w:tcBorders>
              <w:top w:val="single" w:sz="4" w:space="0" w:color="auto"/>
              <w:left w:val="single" w:sz="4" w:space="0" w:color="auto"/>
              <w:bottom w:val="single" w:sz="4" w:space="0" w:color="auto"/>
            </w:tcBorders>
            <w:shd w:val="clear" w:color="auto" w:fill="auto"/>
          </w:tcPr>
          <w:p w14:paraId="4395A44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i Gminy Strzelin</w:t>
            </w:r>
          </w:p>
        </w:tc>
        <w:tc>
          <w:tcPr>
            <w:tcW w:w="165" w:type="dxa"/>
            <w:tcBorders>
              <w:top w:val="nil"/>
              <w:left w:val="nil"/>
              <w:bottom w:val="single" w:sz="4" w:space="0" w:color="auto"/>
              <w:right w:val="single" w:sz="4" w:space="0" w:color="auto"/>
            </w:tcBorders>
            <w:shd w:val="clear" w:color="auto" w:fill="auto"/>
          </w:tcPr>
          <w:p w14:paraId="5ECCB44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E2DCCC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E14FFB2" w14:textId="18130EB4"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Znaczna grupa potencjalnych zasobów wód podziemnych, łącznie z historycznymi otworami hydrogeologicznymi (czasem zabudowanych studniami) zlokalizowana jest na terenach dzierżawionych przez rolników lub spółki rolne od KOWR w ramach dużych kompleksów rolnych. Niestety obiekty te często nie są zinwentaryzowane geodezyjnie.</w:t>
            </w:r>
            <w:r w:rsidRPr="008B085E">
              <w:rPr>
                <w:rFonts w:ascii="Calibri" w:eastAsia="Times New Roman" w:hAnsi="Calibri" w:cs="Calibri"/>
                <w:color w:val="000000"/>
                <w:sz w:val="18"/>
                <w:szCs w:val="18"/>
                <w:lang w:eastAsia="pl-PL"/>
              </w:rPr>
              <w:br/>
              <w:t xml:space="preserve">Czy w kontekście pojawiających się deficytów wody, celów ustalonych dla ochrony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oraz hierarchii potrzeb w zakresie wykorzystywania wód podziemnych nie warto rozważyć jakiegoś szczególnego zapisu w aPGW (wytycznych, rekomendacji) dla trybu zbywania lub wieloletniej dzierżawy tych nieruchomości. Np. poprzez wprowadzenie opiniowania takich transakcji przez PGW Wody Polskie i/lub lokalne samorządy, ewentualnie poprzez odpowiednie klauzule warunkowe w zawieranych umowach?</w:t>
            </w:r>
            <w:r w:rsidRPr="008B085E">
              <w:rPr>
                <w:rFonts w:ascii="Calibri" w:eastAsia="Times New Roman" w:hAnsi="Calibri" w:cs="Calibri"/>
                <w:color w:val="000000"/>
                <w:sz w:val="18"/>
                <w:szCs w:val="18"/>
                <w:lang w:eastAsia="pl-PL"/>
              </w:rPr>
              <w:br/>
              <w:t xml:space="preserve">Brak działań w tym obszarze zwiększa zagrożenie dla jakości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(m.in. presje wynikające z intensywnego, rolniczego wykorzystywanie gruntów bez uwzględnienia występowania pod nimi zbiorników, dawnych ujęć wód) i/lub uniemożliwia (utrudnia) sięgniecie do tych zasobów na potrzeby zaopatrzenia mieszkańców.</w:t>
            </w:r>
            <w:r w:rsidRPr="008B085E">
              <w:rPr>
                <w:rFonts w:ascii="Calibri" w:eastAsia="Times New Roman" w:hAnsi="Calibri" w:cs="Calibri"/>
                <w:color w:val="000000"/>
                <w:sz w:val="18"/>
                <w:szCs w:val="18"/>
                <w:lang w:eastAsia="pl-PL"/>
              </w:rPr>
              <w:br/>
              <w:t>Zagadnienie to być może dotyczy także nieruchomości posiadających aktualnie innych niż KOWR właścicieli/administratorów z sektora publicznego.</w:t>
            </w:r>
            <w:r w:rsidRPr="008B085E">
              <w:rPr>
                <w:rFonts w:ascii="Calibri" w:eastAsia="Times New Roman" w:hAnsi="Calibri" w:cs="Calibri"/>
                <w:color w:val="000000"/>
                <w:sz w:val="18"/>
                <w:szCs w:val="18"/>
                <w:lang w:eastAsia="pl-PL"/>
              </w:rPr>
              <w:br/>
              <w:t>Wydaje się iż są to przypadki, których nie obejmują działania opisane w aPGW (rozd.13), gdyż nie zostały one nigdzie precyzyjnie zidentyfikowane lub zinwentaryzowane.</w:t>
            </w:r>
          </w:p>
        </w:tc>
        <w:tc>
          <w:tcPr>
            <w:tcW w:w="2733" w:type="dxa"/>
            <w:tcBorders>
              <w:top w:val="single" w:sz="4" w:space="0" w:color="auto"/>
              <w:left w:val="nil"/>
              <w:bottom w:val="single" w:sz="4" w:space="0" w:color="auto"/>
              <w:right w:val="single" w:sz="4" w:space="0" w:color="auto"/>
            </w:tcBorders>
            <w:shd w:val="clear" w:color="auto" w:fill="auto"/>
          </w:tcPr>
          <w:p w14:paraId="36A24BF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B49502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69385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47E5A4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E5A65F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podczas spotkania konsultacyjnego.</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 prawie wodnym są trzy typy użytkowania wód: powszechne, zwykłe i szczególne. Z każdym wiążą się określone zapisy i możliwości korzystania z wód. To jest jeden aspekt, który potem poniekąd przekłada się na to, co można zrobić z daną studnią. Innym aspektem jest to, że my nie jesteśmy w stanie i chyba nie ma w Polsce takiej instytucji, która jest w stanie zapanować nad tym, na jakie cele jest wykorzystywana woda z danego ujęcia. Wśród działań Państwowego Instytutu Geologicznego jest prowadzenie m.in. bazy, w której ewidencjonujemy wszystkie studnie, dla których zostały wykonane projekty robót geologicznych. Dla których są wykonane dokumentacje hydrogeologiczne. Natomiast np. nie dysponujemy danymi na temat studni wykonanej w ramach zwykłego korzystania z wód i takich, które jeszcze się mieszczą w granicach prawa geologicznego i górniczego, czyli tych najpłytszych studni, które mają głębokość do 30 m. Tych studni, każdy właściciel działki, w ramach zwykłego korzystania z wód, może sobie wykonać dowolną ilość, aby tylko nie przekroczył średnio dobowego poboru w ciągu roku i jeszcze 5 m3 na dobę. Nie musi dokonywać nawet ich zgłoszenia. Co do producentów rolnych, oni uzyskali nawet uproszczone formy wykonywania takich studni, ale one znajdują się w ewidencji PIG. Baza PIG zawiera w sobie kilkadziesiąt tysięcy, ok. 181 tys. otworów z całej Polski (studni). Nie jesteśmy w stanie ewidencjonować zmian prawnych. Powiedzmy jedno, może być taka całkowicie hipotetyczna sytuacja, że ktoś wykonał studnie w ramach zwykłego korzystania z wód i ona miała głębokość do 30 metrów, wobec tego nie istniały przesłanki prawne do wykonywania dla niej projektu robót geologicznych i dokumentowania tego otworu. Natomiast z czasem, po sprzedaży, działka zmieniła stan prawny, znalazła się w obrębie przedsiębiorstwa i ta woda jest wykorzystywana wtedy na potrzebny powszechnego albo szczególnego korzystania z wód. Tych formalności, m.in. również wtedy udokumentowania i uzyskania pozwolenia wodnoprawnego na pobór wód, powinien dopełnić aktualny właściciel takiej studni czy ujęcia i wtedy ona powinna siłą rzeczy znaleźć się w ewidencji. Dokumentacja hydrogeologiczna powinna znaleźć się w zasobach Narodowego Archiwum Geologicznego i wtedy będzie wciągnięta do zasobów bazy danych więc oficjalnie uzyskamy o niej informacje.</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Natomiast próbujemy wnioskować, nawet jeśli nie o wykonywanie projektów robót i dokumentacji, to o przekazywanie do starostwa przez wykonującego tego typu płytkie studnie, które nie wchodzą w zakres prawa geologicznego i górniczego, informacji o wykonaniu tego otworu, co pozwoliłoby na uzyskanie informacji w ogóle o istnieniu takiego otworu.</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Próby takie podejmowane były przy ostatnich zmianach w prawie geologicznym i górniczym.</w:t>
            </w:r>
          </w:p>
        </w:tc>
      </w:tr>
      <w:tr w:rsidR="001C4812" w:rsidRPr="0028666F" w14:paraId="0B9717B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1166FE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523</w:t>
            </w:r>
          </w:p>
        </w:tc>
        <w:tc>
          <w:tcPr>
            <w:tcW w:w="970" w:type="dxa"/>
            <w:tcBorders>
              <w:top w:val="single" w:sz="4" w:space="0" w:color="auto"/>
              <w:left w:val="single" w:sz="4" w:space="0" w:color="auto"/>
              <w:bottom w:val="single" w:sz="4" w:space="0" w:color="auto"/>
            </w:tcBorders>
            <w:shd w:val="clear" w:color="auto" w:fill="auto"/>
          </w:tcPr>
          <w:p w14:paraId="24CEBCA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2A27B85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0D8D15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8E4566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Jednym z głównych problemów gospodarowania wodami jest brak rzetelnego planowania strategicznego. Do tego też w dużym skrócie dąży RDW – aby wszystkie działania w danej zlewni były odpowiednio ze sobą powiązane, odpowiadały na rzeczywiste potrzeby zlewni, regionu wodnego i dorzecza z nadrzędną zasadą osiągnięcia/utrzymania dobrego stanu wód. Tymczasem z obecnych konsultacji wynika, że jakiekolwiek informacje o oddziaływaniu danego przedsięwzięcia czy grupy przedsięwzięć będą dostępne na etapie decyzji środowiskowej czyli na etapie, kiedy nie jest już możliwe wariantowanie strategiczne. I tu pytanie do przedstawiciela Wód Polskich – dlaczego do Założeń do planów rozwoju śródlądowych dróg wodnych w Polsce na lata 2016–2020 z perspektywą do roku 2030” nie wykonano w odpowiednim czasie prognozy ooś, tak aby wnioski mogły być uwzględnione w IIaPGW? Samo przyjęcie programu w 2016 r. powinno być uwarunkowane analizami wynikającymi m.in. z RDW i strategicznymi analizami dotyczącymi celów budowy dróg wodnych.</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5AD40FD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470F4E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C6F885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DCF918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F0EF34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Założenia do planów rozwoju śródlądowych dróg wodnych w Polsce na lata 2016–2020 z perspektywą do roku 2030 nie są programem rozwoju w rozumieniu art. 15 ust. 4 pkt 2 ustawy z dnia 6 grudnia 2006 r. o zasadach prowadzenia polityki rozwoju. To wyłącznie kierunkowy dokument, wskazujący priorytetowe działania, które powinny być wykonane w celu przywrócenia najważniejszym polskim rzekom ich naturalnych funkcji gospodarczych. Dokument wskazuje także zadania, których wdrożenie pozwoli na rozwój śródlądowych dróg wodnych oraz ich zaplecza m.in. w postaci portów. Z uwagi na charakter dokumentu nie podlegał on procedurze oddziaływania na środowisko.</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 dokumencie wskazano: W celu realizacji Założeń do planów rozwoju śródlądowych dróg wodnych w Polsce na lata 2016–2020 z perspektywą do roku 2030 Ministerstwo Gospodarki Morskiej i Żeglugi Śródlądowej opracuje koncepcje oraz studia wykonalności dla poszczególnych śródlądowych dróg wodnych oraz brakujących połączeń. Dokumenty te będą procedowane zgodnie z wymogami prawnymi, w tym zostaną poddane strategicznym ocenom oddziaływania na środowisko.</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 celu realizacji priorytetów wskazanych w Założeniach do planów rozwoju śródlądowych dróg wodnych w Polsce na lata 2016–2020 z perspektywą do roku 2030 zostaną opracowane koncepcje oraz studia wykonalności dla poszczególnych śródlądowych dróg wodnych oraz brakujących połączeń. Dokumenty te będą procedowane zgodnie z wymogami prawnymi, w tym zostaną poddane strategicznym ocenom oddziaływania na środowisko. Wymóg ten stanowi wypełnienie zapisów ustawy Prawo wodne, w którym minister właściwy do spraw żeglugi śródlądowej został zobowiązany do przygotowania planu lub programu rozwoju śródlądowych dróg wodnych o szczególnym znaczeniu transportowym.</w:t>
            </w:r>
          </w:p>
        </w:tc>
      </w:tr>
      <w:tr w:rsidR="001C4812" w:rsidRPr="0028666F" w14:paraId="0B968A5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E74F702"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524</w:t>
            </w:r>
          </w:p>
        </w:tc>
        <w:tc>
          <w:tcPr>
            <w:tcW w:w="970" w:type="dxa"/>
            <w:tcBorders>
              <w:top w:val="single" w:sz="4" w:space="0" w:color="auto"/>
              <w:left w:val="single" w:sz="4" w:space="0" w:color="auto"/>
              <w:bottom w:val="single" w:sz="4" w:space="0" w:color="auto"/>
            </w:tcBorders>
            <w:shd w:val="clear" w:color="auto" w:fill="auto"/>
          </w:tcPr>
          <w:p w14:paraId="2834DE6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i Gminy Strzelin</w:t>
            </w:r>
          </w:p>
        </w:tc>
        <w:tc>
          <w:tcPr>
            <w:tcW w:w="165" w:type="dxa"/>
            <w:tcBorders>
              <w:top w:val="nil"/>
              <w:left w:val="nil"/>
              <w:bottom w:val="single" w:sz="4" w:space="0" w:color="auto"/>
              <w:right w:val="single" w:sz="4" w:space="0" w:color="auto"/>
            </w:tcBorders>
            <w:shd w:val="clear" w:color="auto" w:fill="auto"/>
          </w:tcPr>
          <w:p w14:paraId="0F458EC8"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A83554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B6CC2E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 Planie wskazano przypisane Gminą działanie „Zrównoważone gospodarowanie wodą opadową i szarą”. Czy zakładana jest dla urealniania tego działania rekomendacja w aPGW do wprowadzenia przepisów jednoznacznie regulujących całościowo te kwestie, w tym ewentualnej opłaty za powierzchnie zabudowane dla wszystkich użytkowników systemów odprowadzania i retencji wód opadowych?</w:t>
            </w:r>
          </w:p>
        </w:tc>
        <w:tc>
          <w:tcPr>
            <w:tcW w:w="2733" w:type="dxa"/>
            <w:tcBorders>
              <w:top w:val="single" w:sz="4" w:space="0" w:color="auto"/>
              <w:left w:val="nil"/>
              <w:bottom w:val="single" w:sz="4" w:space="0" w:color="auto"/>
              <w:right w:val="single" w:sz="4" w:space="0" w:color="auto"/>
            </w:tcBorders>
            <w:shd w:val="clear" w:color="auto" w:fill="auto"/>
          </w:tcPr>
          <w:p w14:paraId="367E77B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CC409E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7BD2CB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F68AEF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E0BF3D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 tym momencie dzieją się już zmiany legislacyjne wprowadzające regulacje, które mają na celu wzmocnienie opłaty za tzw. utraconą retencję. Trzeba podkreślić, że aktualnie obowiązująca ustawa wprowadziła w 2018 r. opłaty za utraconą retencję, czyli tzw. powierzchnie uszczelnione. Rozpoczynając prace nad ustawą, tzw. ustawą suszową, mówiliśmy o tzw. opłacie od „betonozy”, czyli powierzchni uszczelnianych. Te przepisy są wzmacniane w ramach prac nad tzw. ustawą suszową, która jest aktualnie procedowana i ponownie ujrzy światło dzienne już niebawem i będzie można zapoznać się z tymi przepisami. Ponadto, te przepisy przewidują wzmocnienie działań związanych z zagospodarowaniem wód opadowych, roztopowych czy też odpowiednim zagospodarowaniem terenów, aby można było działać w kierunku zatrzymania wód opadowych i roztopowych. W mojej ocenie te przepisy są przygotowywane, więc nie ma zasadności, aby wzmacniać jeszcze, czy też wskazywać propozycje takich działań w aktualizacji Planów gospodarowania wodami z uwagi na to, że te działania są już realizowane.</w:t>
            </w:r>
          </w:p>
        </w:tc>
      </w:tr>
      <w:tr w:rsidR="001C4812" w:rsidRPr="0028666F" w14:paraId="0A4D9B0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945585D"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525</w:t>
            </w:r>
          </w:p>
        </w:tc>
        <w:tc>
          <w:tcPr>
            <w:tcW w:w="970" w:type="dxa"/>
            <w:tcBorders>
              <w:top w:val="single" w:sz="4" w:space="0" w:color="auto"/>
              <w:left w:val="single" w:sz="4" w:space="0" w:color="auto"/>
              <w:bottom w:val="single" w:sz="4" w:space="0" w:color="auto"/>
            </w:tcBorders>
            <w:shd w:val="clear" w:color="auto" w:fill="auto"/>
          </w:tcPr>
          <w:p w14:paraId="645BA2D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i Gminy Strzelin</w:t>
            </w:r>
          </w:p>
        </w:tc>
        <w:tc>
          <w:tcPr>
            <w:tcW w:w="165" w:type="dxa"/>
            <w:tcBorders>
              <w:top w:val="nil"/>
              <w:left w:val="nil"/>
              <w:bottom w:val="single" w:sz="4" w:space="0" w:color="auto"/>
              <w:right w:val="single" w:sz="4" w:space="0" w:color="auto"/>
            </w:tcBorders>
            <w:shd w:val="clear" w:color="auto" w:fill="auto"/>
          </w:tcPr>
          <w:p w14:paraId="2A827DF4"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B26B26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698406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Być może przeoczyłem te informacje w innych częściach dokumentu, ale czy istnieją analogiczne dla opisanych w katalogu działań w Zał.7.1. z zakresu odpadów komunalnych jakiekolwiek działania (i podmioty odpowiedzialne) w obszarze odpadów z działalności gospodarczej i wytwórców z grupy podmiotów prawnych (innych niż komunalne). Obecnie są to odpady całkowicie wyłączone z bieżącego nadzoru i kontroli na poziomie lokalnym (brak kompetencji Burmistrza i w większości przypadków Starosty). Niewłaściwe gospodarowanie odpadami innymi niż komunalne częstokroć stanowi większe zagrożenie dla środowiska wodnego.</w:t>
            </w:r>
          </w:p>
        </w:tc>
        <w:tc>
          <w:tcPr>
            <w:tcW w:w="2733" w:type="dxa"/>
            <w:tcBorders>
              <w:top w:val="single" w:sz="4" w:space="0" w:color="auto"/>
              <w:left w:val="nil"/>
              <w:bottom w:val="single" w:sz="4" w:space="0" w:color="auto"/>
              <w:right w:val="single" w:sz="4" w:space="0" w:color="auto"/>
            </w:tcBorders>
            <w:shd w:val="clear" w:color="auto" w:fill="auto"/>
          </w:tcPr>
          <w:p w14:paraId="59EAFD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7152B7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230DB4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759205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13A72A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Jeżeli chodzi o zagadnienie związane z odpadami, to przede wszystkim zestawy działań bazują na aktualnie obowiązujących przepisach. W tym wypadku jest cała ustawa o odpadach.Ona w sposób szczegółowy wskazuje i określa środki służące ochronie, zarówno środowiska życia jak i zdrowia ludzi, które mają zapobiegać i zmniejszać negatywny wpływ chociażby składowania, przetwarzania, gospodarowania odpadów. Tam definiowane są odpady, w tym komunalne i inne, sposób postępowania z nimi i obowiązki spoczywające na właścicielach odpadów. Jeżeli chodzi o zestawy działań to odsyłam do katalogu działań krajowych, gdzie znalazł się szereg działań w postaci zakazów, nakazów. Do katalogów dobrych praktyk także służących m.in. do kontroli pozwoleń wodnoprawnych, w zakresie prowadzenia czy składowania odpadów. To są również działania dotyczące zakazu gromadzenia ścieków, nawozów, środków chemicznych, składowania np. w obszarach szczególnego zagrożenia powodziowego. Tutaj na poziomie zestawów działań, sprecyzowano czy wskazano takie obszary, można powiedzieć problematyczne, odnosząc się do obowiązujących przepisów prawa, wskazywano na poziomie krajowym szereg przepisów ukierunkowanych na poprawne gospodarowanie odpadami. To obowiązki kontrolno-prawne, które mają służyć przeciwdziałaniu awariom przemysłowym. Szereg działań, wskazanych również dla różnych kategorii wód, więc kierowanych dla obszarów, zarówno sektora rolniczego, czyli odpadów pochodzących z sektora rolniczego, z sektora gospodarki komunalnej jak i przemysłu. W katalogu działań krajowych znajdziecie państwo szereg działań naprawczych. Natomiast ustawa o odpadach generalnie definiuje co rozumiemy pod słowem odpady, jak mamy z odpadami niebezpiecznymi. Uwzględniliśmy to zagadnienie w sposób jak najbardziej szeroko mogliśmy, z danymi, które mieliśmy zwłaszcza w przypadku precyzyjnego wskazywania działań służących ograniczeniu negatywnego wpływu presji punktowych. Wskazaliśmy, gdzie mieliśmy informacje, że są składowiska, a w monitoringu wskazywane były przekroczenia substancji świadczące, że pochodzą właśnie ze źródeł gdzie takie odpady mogą być składowane. To te działania były projektowane już do konkretnych jednolitych części wód (zestawy działań). Działania na poziomie kraju znajdują się w katalogu krajowym. Jeśli państwo będziecie analizować te działania i uznacie, że jeszcze dobrze by jakieś działanie znalazło się, to prosimy o zgłoszenia takiego zawiadomienia w formularzu. Oczywiście przeanalizujemy takie działanie i jeżeli będzie zasadne, wprowadzimy jako działanie krajowe.</w:t>
            </w:r>
          </w:p>
        </w:tc>
      </w:tr>
      <w:tr w:rsidR="001C4812" w:rsidRPr="0028666F" w14:paraId="75535633" w14:textId="77777777" w:rsidTr="00777201">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E4243DF" w14:textId="77777777" w:rsidR="001C4812" w:rsidRPr="00777201" w:rsidRDefault="001C4812" w:rsidP="001C4812">
            <w:pPr>
              <w:ind w:firstLine="0"/>
              <w:jc w:val="center"/>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526</w:t>
            </w:r>
          </w:p>
        </w:tc>
        <w:tc>
          <w:tcPr>
            <w:tcW w:w="970" w:type="dxa"/>
            <w:tcBorders>
              <w:top w:val="single" w:sz="4" w:space="0" w:color="auto"/>
              <w:left w:val="single" w:sz="4" w:space="0" w:color="auto"/>
              <w:bottom w:val="single" w:sz="4" w:space="0" w:color="auto"/>
            </w:tcBorders>
            <w:shd w:val="clear" w:color="auto" w:fill="auto"/>
          </w:tcPr>
          <w:p w14:paraId="2F32AF69"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46800A1D" w14:textId="77777777" w:rsidR="001C4812" w:rsidRPr="00777201"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910D280"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55685BC7"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Na pytania dotyczące wartości granicznych dla SZCW, ze strony prowadzących padają odpowiedzi, że są w załączniku 3.1, i że trzeba dokładnie czytać tekst projektu aPGW. W punkcie 5 projektu załącznik 3.1. jest w tym kontekście wymieniany kilkukrotnie i wszyscy szukający granic wskaźników fizykochemicznych, w tym ja, dziwią się, że nie można ich znaleźć. Tymczasem, w punkcie 8.1.2. można wyczytać, że wartości graniczne dla elementów fizykochemicznych są wyznaczone tylko dla zbiorników zaporowych. Sam tego od razu nie dostrzegłem i nikt z odpowiadających na takie pytania tego wprost nie powiedział.</w:t>
            </w:r>
            <w:r w:rsidRPr="00777201">
              <w:rPr>
                <w:rFonts w:ascii="Calibri" w:eastAsia="Times New Roman" w:hAnsi="Calibri" w:cs="Calibri"/>
                <w:color w:val="000000"/>
                <w:sz w:val="18"/>
                <w:szCs w:val="18"/>
                <w:lang w:eastAsia="pl-PL"/>
              </w:rPr>
              <w:br/>
              <w:t>Teraz pytanie: dlaczego wbrew treści punku 2 zał. 7 rozporządzenia klasyfikacyjnego, w projekcie aPGW nie ma w nim podanych wartości granicznych dla elementów fizykochemicznych?</w:t>
            </w:r>
          </w:p>
        </w:tc>
        <w:tc>
          <w:tcPr>
            <w:tcW w:w="2733" w:type="dxa"/>
            <w:tcBorders>
              <w:top w:val="single" w:sz="4" w:space="0" w:color="auto"/>
              <w:left w:val="nil"/>
              <w:bottom w:val="single" w:sz="4" w:space="0" w:color="auto"/>
              <w:right w:val="single" w:sz="4" w:space="0" w:color="auto"/>
            </w:tcBorders>
            <w:shd w:val="clear" w:color="auto" w:fill="auto"/>
          </w:tcPr>
          <w:p w14:paraId="1F95D4FC"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2188C68"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auto" w:fill="auto"/>
          </w:tcPr>
          <w:p w14:paraId="12CF48DA"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52A8938" w14:textId="77777777" w:rsidR="001C4812" w:rsidRPr="00777201" w:rsidRDefault="001C4812" w:rsidP="001C4812">
            <w:pPr>
              <w:ind w:firstLine="0"/>
              <w:jc w:val="left"/>
              <w:rPr>
                <w:rFonts w:ascii="Calibri" w:eastAsia="Times New Roman" w:hAnsi="Calibri" w:cs="Calibri"/>
                <w:color w:val="000000"/>
                <w:sz w:val="18"/>
                <w:szCs w:val="18"/>
                <w:lang w:eastAsia="pl-PL"/>
              </w:rPr>
            </w:pPr>
            <w:r w:rsidRPr="00777201">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tcPr>
          <w:p w14:paraId="558DE774" w14:textId="042A87EB" w:rsidR="005A3473" w:rsidRPr="00F57DBC" w:rsidRDefault="001C4812" w:rsidP="00DF168C">
            <w:pPr>
              <w:ind w:firstLine="0"/>
              <w:rPr>
                <w:rFonts w:ascii="Calibri" w:eastAsia="Times New Roman" w:hAnsi="Calibri" w:cs="Calibri"/>
                <w:sz w:val="18"/>
                <w:szCs w:val="18"/>
                <w:lang w:eastAsia="pl-PL"/>
              </w:rPr>
            </w:pPr>
            <w:r w:rsidRPr="00777201">
              <w:rPr>
                <w:rFonts w:ascii="Calibri" w:eastAsia="Times New Roman" w:hAnsi="Calibri" w:cs="Calibri"/>
                <w:color w:val="000000"/>
                <w:sz w:val="18"/>
                <w:szCs w:val="18"/>
                <w:lang w:eastAsia="pl-PL"/>
              </w:rPr>
              <w:t>Odpowiedzi udzielono na spotkaniu konsultacyjnym.</w:t>
            </w:r>
            <w:r w:rsidRPr="00777201">
              <w:rPr>
                <w:rFonts w:ascii="Calibri" w:eastAsia="Times New Roman" w:hAnsi="Calibri" w:cs="Calibri"/>
                <w:color w:val="000000"/>
                <w:sz w:val="18"/>
                <w:szCs w:val="18"/>
                <w:lang w:eastAsia="pl-PL"/>
              </w:rPr>
              <w:br/>
              <w:t xml:space="preserve">Tak rzeczywiście przywołujemy, przedstawiamy i wskazujemy załącznik nr 3.1 </w:t>
            </w:r>
            <w:r w:rsidR="005A3473">
              <w:rPr>
                <w:rFonts w:ascii="Calibri" w:eastAsia="Times New Roman" w:hAnsi="Calibri" w:cs="Calibri"/>
                <w:color w:val="000000"/>
                <w:sz w:val="18"/>
                <w:szCs w:val="18"/>
                <w:lang w:eastAsia="pl-PL"/>
              </w:rPr>
              <w:t xml:space="preserve">(Wartości graniczne SCW i SZCW) </w:t>
            </w:r>
            <w:r w:rsidRPr="00777201">
              <w:rPr>
                <w:rFonts w:ascii="Calibri" w:eastAsia="Times New Roman" w:hAnsi="Calibri" w:cs="Calibri"/>
                <w:color w:val="000000"/>
                <w:sz w:val="18"/>
                <w:szCs w:val="18"/>
                <w:lang w:eastAsia="pl-PL"/>
              </w:rPr>
              <w:t>do planów w którym są wskazane wartości graniczne dla potencjału ekologicznego. Jeżeli chodzi o samo wskazywanie to głównym dokumentem wskazującym sposoby klasyfikacji potencjału ekologicznego jest rozporządzenie klasyfikacyjne. To ono odnosi, jeżeli chodzi o silnie zmienione i sztuczne części wód i wartości graniczne do tego, że są one wskazywane w Planie gospodarowania wodami. Poszczególne zakładki załącznika są dedykowane kategoriom wód: rzecznym, zbiornikowym i jeziornym oddzielnie, wskazane są w nich, w poszczególnych kolumnach, konkretne wartości, jeżeli chodzi o elementy biologiczne i hydromorfologiczne. Wartości graniczne dot. wskaźników fizykochemicznych nie zostały zmodyfikowane dla SCW i SZCW a tym samym obowiązują te, które zostały wskazane w rozporządzeniu. PGW (załącznik 3.1.) zostanie uzupełniony w tym zakresie dla wyeliminowania wątpliwości czytelnika. Dziękujemy za takie pytania i uwagi bo właśnie one pozwalają nam na to, żeby jeszcze weryfikować i pochylać się nad dopracowywaniem IIaPGW, aby były maksymalnie czytelne i użyteczne dla odbiorcy. Generalnie załącznik 3.1 to jest załącznik,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Pr="00777201">
              <w:rPr>
                <w:rFonts w:ascii="Calibri" w:eastAsia="Times New Roman" w:hAnsi="Calibri" w:cs="Calibri"/>
                <w:color w:val="000000"/>
                <w:sz w:val="18"/>
                <w:szCs w:val="18"/>
                <w:lang w:eastAsia="pl-PL"/>
              </w:rPr>
              <w:br/>
              <w:t>Uzupełnienie odpowiedzi po spotkaniu konsultacyjnym:</w:t>
            </w:r>
            <w:r w:rsidRPr="00777201">
              <w:rPr>
                <w:rFonts w:ascii="Calibri" w:eastAsia="Times New Roman" w:hAnsi="Calibri" w:cs="Calibri"/>
                <w:color w:val="000000"/>
                <w:sz w:val="18"/>
                <w:szCs w:val="18"/>
                <w:lang w:eastAsia="pl-PL"/>
              </w:rPr>
              <w:br/>
            </w:r>
            <w:r w:rsidR="005A3473" w:rsidRPr="00F57DBC">
              <w:rPr>
                <w:rFonts w:ascii="Calibri" w:eastAsia="Times New Roman" w:hAnsi="Calibri" w:cs="Calibri"/>
                <w:sz w:val="18"/>
                <w:szCs w:val="18"/>
                <w:lang w:eastAsia="pl-PL"/>
              </w:rPr>
              <w:t xml:space="preserve">W przypadku wartości granicznych dot. wskaźników fizykochemicznych </w:t>
            </w:r>
            <w:r w:rsidR="005A3473">
              <w:rPr>
                <w:rFonts w:ascii="Calibri" w:eastAsia="Times New Roman" w:hAnsi="Calibri" w:cs="Calibri"/>
                <w:sz w:val="18"/>
                <w:szCs w:val="18"/>
                <w:lang w:eastAsia="pl-PL"/>
              </w:rPr>
              <w:t xml:space="preserve">ostatecznie </w:t>
            </w:r>
            <w:r w:rsidR="005A3473" w:rsidRPr="00F57DBC">
              <w:rPr>
                <w:rFonts w:ascii="Calibri" w:eastAsia="Times New Roman" w:hAnsi="Calibri" w:cs="Calibri"/>
                <w:sz w:val="18"/>
                <w:szCs w:val="18"/>
                <w:lang w:eastAsia="pl-PL"/>
              </w:rPr>
              <w:t>zastosowano dwa rodzaje podejścia:</w:t>
            </w:r>
          </w:p>
          <w:p w14:paraId="3FF52B1A" w14:textId="4A0C068C" w:rsidR="005A3473" w:rsidRPr="00F57DBC" w:rsidRDefault="005A3473" w:rsidP="00DF168C">
            <w:pPr>
              <w:pStyle w:val="Akapitzlist"/>
              <w:numPr>
                <w:ilvl w:val="0"/>
                <w:numId w:val="1"/>
              </w:numPr>
              <w:ind w:left="354" w:hanging="283"/>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3B8355BE" w14:textId="7B74AB6D" w:rsidR="005A3473" w:rsidRPr="00F57DBC" w:rsidRDefault="005A3473" w:rsidP="00DF168C">
            <w:pPr>
              <w:pStyle w:val="Akapitzlist"/>
              <w:numPr>
                <w:ilvl w:val="0"/>
                <w:numId w:val="1"/>
              </w:numPr>
              <w:ind w:left="354" w:hanging="283"/>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3BDF01C2" w14:textId="04B9E022" w:rsidR="001C4812" w:rsidRPr="00DF168C" w:rsidRDefault="005A3473" w:rsidP="00DF168C">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p>
        </w:tc>
      </w:tr>
      <w:tr w:rsidR="001C4812" w:rsidRPr="0028666F" w14:paraId="5B479A94"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91EE3DB"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526</w:t>
            </w:r>
          </w:p>
        </w:tc>
        <w:tc>
          <w:tcPr>
            <w:tcW w:w="970" w:type="dxa"/>
            <w:tcBorders>
              <w:top w:val="single" w:sz="4" w:space="0" w:color="auto"/>
              <w:left w:val="single" w:sz="4" w:space="0" w:color="auto"/>
              <w:bottom w:val="single" w:sz="4" w:space="0" w:color="auto"/>
            </w:tcBorders>
            <w:shd w:val="clear" w:color="auto" w:fill="auto"/>
          </w:tcPr>
          <w:p w14:paraId="51180FD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232394C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710481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6A9E54F" w14:textId="7530CF75"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 powszechnie dostępnych informacji (dokumenty planistyczne, dokumentacje przetargowe itd.) wynika, że dla samej Odry można obecnie podać ok. 90 inwestycji będących na różnym etapie: od planowanych, poprzez te będące w procesie inwestycyjnym (projektowane) oraz inwestycje realizowane. Dlaczego w wykazie inwestycji w IIaPGW znalazło się tylko 8 inwestycji?</w:t>
            </w:r>
            <w:r w:rsidRPr="008B085E">
              <w:rPr>
                <w:rFonts w:ascii="Calibri" w:eastAsia="Times New Roman" w:hAnsi="Calibri" w:cs="Calibri"/>
                <w:color w:val="000000"/>
                <w:sz w:val="18"/>
                <w:szCs w:val="18"/>
                <w:lang w:eastAsia="pl-PL"/>
              </w:rPr>
              <w:br w:type="page"/>
              <w:t xml:space="preserve">I kolejne pytanie - jeśli tych inwestycji nie ma w IIaPGW, to w takim razie, w jakim dokumencie zostanie przeanalizowany skumulowany wpływ tych wszystkich inwestycji (zawartych w różnych planach i programach) na cele środowiskowe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w zakresie zarówno derogacji z art. 4.7 jak i w zakresie potencjalnych kolizji działań służących osiągnięciu dobrego stanu wód z nieuwzględnionymi tu inwestycjami?</w:t>
            </w:r>
          </w:p>
        </w:tc>
        <w:tc>
          <w:tcPr>
            <w:tcW w:w="2733" w:type="dxa"/>
            <w:tcBorders>
              <w:top w:val="single" w:sz="4" w:space="0" w:color="auto"/>
              <w:left w:val="nil"/>
              <w:bottom w:val="single" w:sz="4" w:space="0" w:color="auto"/>
              <w:right w:val="single" w:sz="4" w:space="0" w:color="auto"/>
            </w:tcBorders>
            <w:shd w:val="clear" w:color="auto" w:fill="auto"/>
          </w:tcPr>
          <w:p w14:paraId="2ECECA7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E39E4A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E051DE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558F4D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0B5D8B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 II aktualizacji Planów gospodarowania wodami znalazły się informacje o tych inwestycjach, które posiadają decyzję wydaną właśnie z odstępstwem, o którym dziś mówimy, bądź też inwestycje, które były wpisane do poprzedniego Planu gospodarowania wodami - takie inwestycje, co do których poprzedni Plan gospodarowania wodami wskazał i ustanowił odstępstwa od osiągnięcia celów środowiskowych dla konkretnych inwestycji.</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Na etapie postępowań administracyjnych w sprawie środowiskowych uwarunkowań i pozwoleń prawnych i przy ocenach wodnoprawnych, tam przepisy się wzajemnie do siebie odsyłają i każdy z tych przepisów mówi o konieczności uwzględnienia innych presji i innych działań mających wpływ na stan wód, na stan środowiska, w tym o ocenie oddziaływań skumulowanych. To jest jeden poziom, taki szczegółowy, kiedy mówimy o konkretnych inwestycjach, poziom wyższy to z pewnością byłby ten poziom, kiedy mielibyśmy dokumenty strategiczne dotyczące żeglugi śródlądowej dla konkretnych rzek. Tam byłaby przeprowadzona strategiczna ocena oddziaływania na środowisko. Na dzisiejszym spotkaniu tego głębiej nie będziemy poruszać. Natomiast to zagadnienie było już poruszane, na którymś z wcześniejszych spotkań konsultacyjnych - była mowa o tym, że to jest kwestia przyszłości, żeby takie oceny były wykonane. Wszystko wskazuje na to, że to jest coś, co jest przed nami. Pamiętajmy, że Plan gospodarowania wodami nie wyznacza ram dla realizacji tego typu przedsięwzięć, nie ustanawia dla nich odstępstw i dlatego nie ma podstawy, żeby formułować tutaj oczekiwanie względem przeprowadzenia oceny oddziaływań skumulowanych dla przedsięwzięć wpisanych do Wykazu inwestycji i działań. Tym bardziej do tych inwestycji, które znajdują się poza Wykazami inwestycji i działań z takich przyczyn, że te inwestycje nie mogą fizycznie i prawnie znaleźć się w tych dokumentach.</w:t>
            </w:r>
          </w:p>
        </w:tc>
      </w:tr>
      <w:tr w:rsidR="001C4812" w:rsidRPr="0028666F" w14:paraId="6E9DBB9A"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501FF26"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528</w:t>
            </w:r>
          </w:p>
        </w:tc>
        <w:tc>
          <w:tcPr>
            <w:tcW w:w="970" w:type="dxa"/>
            <w:tcBorders>
              <w:top w:val="single" w:sz="4" w:space="0" w:color="auto"/>
              <w:left w:val="single" w:sz="4" w:space="0" w:color="auto"/>
              <w:bottom w:val="single" w:sz="4" w:space="0" w:color="auto"/>
            </w:tcBorders>
            <w:shd w:val="clear" w:color="auto" w:fill="auto"/>
          </w:tcPr>
          <w:p w14:paraId="18A642E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„Energopomiar” Sp. z o.o.</w:t>
            </w:r>
          </w:p>
        </w:tc>
        <w:tc>
          <w:tcPr>
            <w:tcW w:w="165" w:type="dxa"/>
            <w:tcBorders>
              <w:top w:val="nil"/>
              <w:left w:val="nil"/>
              <w:bottom w:val="single" w:sz="4" w:space="0" w:color="auto"/>
              <w:right w:val="single" w:sz="4" w:space="0" w:color="auto"/>
            </w:tcBorders>
            <w:shd w:val="clear" w:color="auto" w:fill="auto"/>
          </w:tcPr>
          <w:p w14:paraId="3D605EB2"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51DABE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E58A392" w14:textId="6F6AAB18"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w związku z faktem, iż nie możemy pogarszać stanu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Pd, każdy nowy pobór wód z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o złym stanie ilościowym, może stanowić przesłankę do odmowy wydania pozwolenia wodnoprawnego?</w:t>
            </w:r>
          </w:p>
        </w:tc>
        <w:tc>
          <w:tcPr>
            <w:tcW w:w="2733" w:type="dxa"/>
            <w:tcBorders>
              <w:top w:val="single" w:sz="4" w:space="0" w:color="auto"/>
              <w:left w:val="nil"/>
              <w:bottom w:val="single" w:sz="4" w:space="0" w:color="auto"/>
              <w:right w:val="single" w:sz="4" w:space="0" w:color="auto"/>
            </w:tcBorders>
            <w:shd w:val="clear" w:color="auto" w:fill="auto"/>
          </w:tcPr>
          <w:p w14:paraId="3987EC0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E76E08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18F501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1FF4D2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A40AF9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To jest dość skomplikowana kwestia, należy się odnieść do trzech zasadniczych elementów. Pozwolenie wodnoprawne, o które występuje wnioskujący, odbywa się w zakresie zasobów dyspozycyjnych, natomiast zasoby dyspozycyjne w skali kraju zostały określone prawie dla całego kraju w określonych dokumentacjach, które uzyskały decyzje administracyjne. Te zasoby dyspozycyjne zostały następnie przeliczone do tzw. zasobów dostępnych do zagospodarowania, w zakresie jednolitych części wód podziemnych. Nie są to wprost przeniesione jeden do jednego wartości, pomimo że są bardzo zbliżone - to jest jeden aspekt tego problemu. Drugi aspekt to to, że sam proces oceny stanu jednolitych części wód podziemnych to nie jest tylko odniesienie się do samej wartości poboru. W zakresie oceny stanu ilościowego wykonuje się kilka testów kwalifikacyjnych, a efektem wyników tych testów jest przydzielenie dobrego lub złego stanu ilościowego, więc nie można tak wprost tego powiedzieć. Jeżeli natomiast zrobić taki skrót myślowy, że zły czy słaby stan ilościowy można utożsamić wyłącznie z testem bilansu wodnego, wtedy zakładamy, że zasoby dyspozycyjne czy zasoby dostępne do zagospodarowania w obrębie jednolitej części wód podziemnych są przekroczone. To też nie zamyka drogi dla inwestora w możliwości uzyskania pozwolenia wodnoprawnego, tylko wtedy inwestor musi wykazać w toku prowadzonego postępowania, że pobór, którego będzie dokonywał, nie spowoduje pogorszenia stanu jednolitej części wód podziemnych. Nie tylko, że ich nie naruszy, ale nie pogorszy tych istniejących i wtedy to jest kwestia interpretacji organu czy udzielić mu takiego pozwolenia, czy nie.</w:t>
            </w:r>
          </w:p>
        </w:tc>
      </w:tr>
      <w:tr w:rsidR="001C4812" w:rsidRPr="0028666F" w14:paraId="6461D256" w14:textId="77777777" w:rsidTr="00F101E1">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432EB2C" w14:textId="77777777" w:rsidR="001C4812" w:rsidRPr="00F101E1" w:rsidRDefault="001C4812" w:rsidP="001C4812">
            <w:pPr>
              <w:ind w:firstLine="0"/>
              <w:jc w:val="center"/>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529</w:t>
            </w:r>
          </w:p>
        </w:tc>
        <w:tc>
          <w:tcPr>
            <w:tcW w:w="970" w:type="dxa"/>
            <w:tcBorders>
              <w:top w:val="single" w:sz="4" w:space="0" w:color="auto"/>
              <w:left w:val="single" w:sz="4" w:space="0" w:color="auto"/>
              <w:bottom w:val="single" w:sz="4" w:space="0" w:color="auto"/>
            </w:tcBorders>
            <w:shd w:val="clear" w:color="auto" w:fill="auto"/>
          </w:tcPr>
          <w:p w14:paraId="2074C3F0"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hAnsi="Calibri" w:cs="Calibri"/>
                <w:color w:val="000000"/>
                <w:sz w:val="18"/>
                <w:szCs w:val="18"/>
              </w:rPr>
              <w:t>„Energopomiar” Sp. z o.o.</w:t>
            </w:r>
          </w:p>
        </w:tc>
        <w:tc>
          <w:tcPr>
            <w:tcW w:w="165" w:type="dxa"/>
            <w:tcBorders>
              <w:top w:val="nil"/>
              <w:left w:val="nil"/>
              <w:bottom w:val="single" w:sz="4" w:space="0" w:color="auto"/>
              <w:right w:val="single" w:sz="4" w:space="0" w:color="auto"/>
            </w:tcBorders>
            <w:shd w:val="clear" w:color="auto" w:fill="auto"/>
          </w:tcPr>
          <w:p w14:paraId="3A8D9692" w14:textId="77777777" w:rsidR="001C4812" w:rsidRPr="00F101E1"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4D62459"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63D44D9" w14:textId="356ADA35"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 xml:space="preserve">Gdzie należy szukać wartości granicznych dla potencjału ekologicznego </w:t>
            </w:r>
            <w:r w:rsidR="00370EC8">
              <w:rPr>
                <w:rFonts w:ascii="Calibri" w:eastAsia="Times New Roman" w:hAnsi="Calibri" w:cs="Calibri"/>
                <w:color w:val="000000"/>
                <w:sz w:val="18"/>
                <w:szCs w:val="18"/>
                <w:lang w:eastAsia="pl-PL"/>
              </w:rPr>
              <w:t>JCWP</w:t>
            </w:r>
            <w:r w:rsidRPr="00F101E1">
              <w:rPr>
                <w:rFonts w:ascii="Calibri" w:eastAsia="Times New Roman" w:hAnsi="Calibri" w:cs="Calibri"/>
                <w:color w:val="000000"/>
                <w:sz w:val="18"/>
                <w:szCs w:val="18"/>
                <w:lang w:eastAsia="pl-PL"/>
              </w:rPr>
              <w:t>P, o których mowa w Rozporządzeniu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(załącznik 7, pkt 2)?</w:t>
            </w:r>
          </w:p>
        </w:tc>
        <w:tc>
          <w:tcPr>
            <w:tcW w:w="2733" w:type="dxa"/>
            <w:tcBorders>
              <w:top w:val="single" w:sz="4" w:space="0" w:color="auto"/>
              <w:left w:val="nil"/>
              <w:bottom w:val="single" w:sz="4" w:space="0" w:color="auto"/>
              <w:right w:val="single" w:sz="4" w:space="0" w:color="auto"/>
            </w:tcBorders>
            <w:shd w:val="clear" w:color="auto" w:fill="auto"/>
          </w:tcPr>
          <w:p w14:paraId="7786FC7D"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0914871"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auto" w:fill="auto"/>
          </w:tcPr>
          <w:p w14:paraId="3094C26F"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5F3FCAE" w14:textId="77777777"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uwzględniono częściowo</w:t>
            </w:r>
          </w:p>
        </w:tc>
        <w:tc>
          <w:tcPr>
            <w:tcW w:w="4649" w:type="dxa"/>
            <w:tcBorders>
              <w:top w:val="nil"/>
              <w:left w:val="nil"/>
              <w:bottom w:val="single" w:sz="4" w:space="0" w:color="auto"/>
              <w:right w:val="single" w:sz="4" w:space="0" w:color="auto"/>
            </w:tcBorders>
            <w:shd w:val="clear" w:color="auto" w:fill="auto"/>
          </w:tcPr>
          <w:p w14:paraId="0673A1F3" w14:textId="77777777" w:rsidR="00F101E1" w:rsidRPr="00F57DBC" w:rsidRDefault="001C4812" w:rsidP="00F101E1">
            <w:pPr>
              <w:ind w:firstLine="0"/>
              <w:rPr>
                <w:rFonts w:ascii="Calibri" w:eastAsia="Times New Roman" w:hAnsi="Calibri" w:cs="Calibri"/>
                <w:sz w:val="18"/>
                <w:szCs w:val="18"/>
                <w:lang w:eastAsia="pl-PL"/>
              </w:rPr>
            </w:pPr>
            <w:r w:rsidRPr="00F101E1">
              <w:rPr>
                <w:rFonts w:ascii="Calibri" w:eastAsia="Times New Roman" w:hAnsi="Calibri" w:cs="Calibri"/>
                <w:color w:val="000000"/>
                <w:sz w:val="18"/>
                <w:szCs w:val="18"/>
                <w:lang w:eastAsia="pl-PL"/>
              </w:rPr>
              <w:t>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 wartości graniczne dla klas jakości wód powierzchniowych wskaźników jakości wód powierzchniowych, będące podstawą klasyfikacji potencjału ekologicznego jednolitych części wód powierzchniowych wyznaczonych jako silnie zmienione jednolite części wód powierzchniowych określa się w rozporządzeniu, o którym mowa w art. 321 ustawy Prawo wodne, w ramach planu gospodarowania wodami na obszarze dorzecza lub w ramach jego aktualizacji.</w:t>
            </w:r>
            <w:r w:rsidRPr="00F101E1">
              <w:rPr>
                <w:rFonts w:ascii="Calibri" w:eastAsia="Times New Roman" w:hAnsi="Calibri" w:cs="Calibri"/>
                <w:color w:val="000000"/>
                <w:sz w:val="18"/>
                <w:szCs w:val="18"/>
                <w:lang w:eastAsia="pl-PL"/>
              </w:rPr>
              <w:br/>
            </w:r>
            <w:r w:rsidR="00F101E1" w:rsidRPr="00F57DBC">
              <w:rPr>
                <w:rFonts w:ascii="Calibri" w:eastAsia="Times New Roman" w:hAnsi="Calibri" w:cs="Calibri"/>
                <w:sz w:val="18"/>
                <w:szCs w:val="18"/>
                <w:lang w:eastAsia="pl-PL"/>
              </w:rPr>
              <w:t xml:space="preserve">IIaPGW prezentuje te dane w załączniku </w:t>
            </w:r>
            <w:r w:rsidR="00F101E1" w:rsidRPr="00F57DBC">
              <w:rPr>
                <w:rFonts w:ascii="Calibri" w:eastAsia="Times New Roman" w:hAnsi="Calibri" w:cs="Calibri"/>
                <w:i/>
                <w:iCs/>
                <w:sz w:val="18"/>
                <w:szCs w:val="18"/>
                <w:lang w:eastAsia="pl-PL"/>
              </w:rPr>
              <w:t>Wartości graniczne SCW i SZCW</w:t>
            </w:r>
            <w:r w:rsidR="00F101E1" w:rsidRPr="00F57DBC">
              <w:rPr>
                <w:rFonts w:ascii="Calibri" w:eastAsia="Times New Roman" w:hAnsi="Calibri" w:cs="Calibri"/>
                <w:sz w:val="18"/>
                <w:szCs w:val="18"/>
                <w:lang w:eastAsia="pl-PL"/>
              </w:rPr>
              <w:t>,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00F101E1" w:rsidRPr="00F57DBC">
              <w:rPr>
                <w:rFonts w:ascii="Calibri" w:eastAsia="Times New Roman" w:hAnsi="Calibri" w:cs="Calibri"/>
                <w:sz w:val="18"/>
                <w:szCs w:val="18"/>
                <w:lang w:eastAsia="pl-PL"/>
              </w:rPr>
              <w:b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1D18AB64" w14:textId="7DDA1E74" w:rsidR="00F101E1" w:rsidRPr="00F57DBC" w:rsidRDefault="00F101E1" w:rsidP="00F101E1">
            <w:pPr>
              <w:pStyle w:val="Akapitzlist"/>
              <w:numPr>
                <w:ilvl w:val="0"/>
                <w:numId w:val="1"/>
              </w:numPr>
              <w:ind w:left="354" w:hanging="283"/>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5673D313" w14:textId="30B5998D" w:rsidR="00F101E1" w:rsidRPr="00F57DBC" w:rsidRDefault="00F101E1" w:rsidP="00F101E1">
            <w:pPr>
              <w:pStyle w:val="Akapitzlist"/>
              <w:numPr>
                <w:ilvl w:val="0"/>
                <w:numId w:val="1"/>
              </w:numPr>
              <w:ind w:left="354" w:hanging="283"/>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15CF9663" w14:textId="1F884984" w:rsidR="00F101E1" w:rsidRDefault="00F101E1" w:rsidP="00F101E1">
            <w:pPr>
              <w:ind w:firstLine="0"/>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p>
          <w:p w14:paraId="0C318FAF" w14:textId="30A03B50" w:rsidR="001C4812" w:rsidRPr="00F101E1" w:rsidRDefault="001C4812" w:rsidP="001C4812">
            <w:pPr>
              <w:ind w:firstLine="0"/>
              <w:jc w:val="left"/>
              <w:rPr>
                <w:rFonts w:ascii="Calibri" w:eastAsia="Times New Roman" w:hAnsi="Calibri" w:cs="Calibri"/>
                <w:color w:val="000000"/>
                <w:sz w:val="18"/>
                <w:szCs w:val="18"/>
                <w:lang w:eastAsia="pl-PL"/>
              </w:rPr>
            </w:pPr>
            <w:r w:rsidRPr="00F101E1">
              <w:rPr>
                <w:rFonts w:ascii="Calibri" w:eastAsia="Times New Roman" w:hAnsi="Calibri" w:cs="Calibri"/>
                <w:color w:val="000000"/>
                <w:sz w:val="18"/>
                <w:szCs w:val="18"/>
                <w:lang w:eastAsia="pl-PL"/>
              </w:rPr>
              <w:t>.</w:t>
            </w:r>
          </w:p>
        </w:tc>
      </w:tr>
      <w:tr w:rsidR="001C4812" w:rsidRPr="0028666F" w14:paraId="785C7429"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7CF1C10"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530</w:t>
            </w:r>
          </w:p>
        </w:tc>
        <w:tc>
          <w:tcPr>
            <w:tcW w:w="970" w:type="dxa"/>
            <w:tcBorders>
              <w:top w:val="single" w:sz="4" w:space="0" w:color="auto"/>
              <w:left w:val="single" w:sz="4" w:space="0" w:color="auto"/>
              <w:bottom w:val="single" w:sz="4" w:space="0" w:color="auto"/>
            </w:tcBorders>
            <w:shd w:val="clear" w:color="auto" w:fill="auto"/>
          </w:tcPr>
          <w:p w14:paraId="7F745E1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i Gminy Strzelin</w:t>
            </w:r>
          </w:p>
        </w:tc>
        <w:tc>
          <w:tcPr>
            <w:tcW w:w="165" w:type="dxa"/>
            <w:tcBorders>
              <w:top w:val="nil"/>
              <w:left w:val="nil"/>
              <w:bottom w:val="single" w:sz="4" w:space="0" w:color="auto"/>
              <w:right w:val="single" w:sz="4" w:space="0" w:color="auto"/>
            </w:tcBorders>
            <w:shd w:val="clear" w:color="auto" w:fill="auto"/>
          </w:tcPr>
          <w:p w14:paraId="2E4A6EC0"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8877FD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140F90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wobec nakreślonych celów środowiskowych rozważane jest uporządkowanie kwestii własności nieruchomości istotnych z punktu widzenia ochrony i kształtowania zasobów wodnych?</w:t>
            </w:r>
            <w:r w:rsidRPr="008B085E">
              <w:rPr>
                <w:rFonts w:ascii="Calibri" w:eastAsia="Times New Roman" w:hAnsi="Calibri" w:cs="Calibri"/>
                <w:color w:val="000000"/>
                <w:sz w:val="18"/>
                <w:szCs w:val="18"/>
                <w:lang w:eastAsia="pl-PL"/>
              </w:rPr>
              <w:br/>
              <w:t>W wyniku kolejnych zmian prawnych m.in. część dawnych starorzeczy, koryt młynówek, a nawet fragmenty nabrzeży koryt cieków podstawowych zmieniły właściciela, co odzwierciedlają aktualne zapisy geodezyjne. Nieruchomości (działki) te zostały np. przypisane jako własność Skarbu Państwa do Wojewody i/lub działającego w jego imieniu Starosty. Kolejne zdarzenia pokazują, że jest to niekorzystne dla szeroko pojętego zarzadzania wodami. Wydaje się, że w jakieś formule powinny być one zidentyfikowane i po odpowiedniej weryfikacji ewentualnie ulokowane w strukturach działania PGW Wody Polskie.</w:t>
            </w:r>
          </w:p>
        </w:tc>
        <w:tc>
          <w:tcPr>
            <w:tcW w:w="2733" w:type="dxa"/>
            <w:tcBorders>
              <w:top w:val="single" w:sz="4" w:space="0" w:color="auto"/>
              <w:left w:val="nil"/>
              <w:bottom w:val="single" w:sz="4" w:space="0" w:color="auto"/>
              <w:right w:val="single" w:sz="4" w:space="0" w:color="auto"/>
            </w:tcBorders>
            <w:shd w:val="clear" w:color="auto" w:fill="auto"/>
          </w:tcPr>
          <w:p w14:paraId="349E872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0B344C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861427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63FC71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7C6955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Trudne pytanie, wykraczające poza Plany gospodarowania wodami. Mogę powiedzieć tyle, że porządkowanie danych dotyczących zarówno własności działek, ale i przebiegu cieków, wszystko co gromadzimy w naszych zasobach bazodanowych, w szczególności w Systemie Informacyjnym Gospodarowania Wodami, to jest proces ciągły. Mam nadzieję, że doczekamy się takiego momentu, gdzie wszystkie dane niezbędne do gospodarowania wodami w tym systemie się znajdą i będą na bieżąco aktualizowane. Kwestia działek to jest jeden z tych elementów. Ja nie chcę się wypowiadać odnośnie do tego, czy przypisanie takiemu właścicielowi czy innemu i rozwiązania ustawowe są właściwe w tej chwili. To nie nasza gestia, my stosujemy prawo, nie kreujemy go. Natomiast z pewnością jest to jedno z zagadnień, które wymaga porządkowania. W każdym razie jest to uporządkowanie, skompletowanie danych przestrzennych dotyczących również działek.</w:t>
            </w:r>
          </w:p>
        </w:tc>
      </w:tr>
      <w:tr w:rsidR="001C4812" w:rsidRPr="0028666F" w14:paraId="7E6FB616"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DE13A44"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531</w:t>
            </w:r>
          </w:p>
        </w:tc>
        <w:tc>
          <w:tcPr>
            <w:tcW w:w="970" w:type="dxa"/>
            <w:tcBorders>
              <w:top w:val="single" w:sz="4" w:space="0" w:color="auto"/>
              <w:left w:val="single" w:sz="4" w:space="0" w:color="auto"/>
              <w:bottom w:val="single" w:sz="4" w:space="0" w:color="auto"/>
            </w:tcBorders>
            <w:shd w:val="clear" w:color="auto" w:fill="auto"/>
          </w:tcPr>
          <w:p w14:paraId="1484EF7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4AE26006"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98A92D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42FC84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Proszę o wskazanie zasadności wskazywania w załączniku nr 4 SSQ wyłącznie dla lat 2010-2018. Większość z tego okresu 2010-2018 to były lata hydrologicznie suche, co może niekorzystanie wpłynąć na ewentualną ocenę wpływu zrzutu ścieków w przyszłości, jeżeli organy właściwe do pozwoleń zażądają takich analiz w operatach wodnoprawnych na podstawie SSQ z PGW.</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3822150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E8E200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D6EE4D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24DC61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CB59DB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Przywołany przez autora pytania załącznik nr 4, tj. wykaz emisji stężeń w Planie gospodarowania wodami to jest zestawienie informacji dla każdej jednolitej części wód o stężeniach, jakie występują w jednolitych częściach wód. Drugi pakiet tego wykazu, to są informacje o podmiotach, które w danej jednolitej części wód są źródłem generowanych w obrębie jednolitej części wód emisji. Rzeczywiście, pojawia się tam wartość dotycząca przepływów, natomiast jest to wartość dotycząca przepływów wykorzystywana w trakcie realizacji drugiej aktualizacji Planów gospodarowania wodami. Wygenerowana i wyliczona na podstawie danych Instytutu Meteorologii i Gospodarki Wodnej, na potrzeby analizy znaczących oddziaływań antropogenicznych, traktowana jest w załączniku nr 4 w wykazie stężeń emisji jako informacja dająca tło dla innych prezentowanych w tym załączniku danych. Dlaczego akurat 2010-1018 - w tym przypadku generalnie przepływy i informacje o nich w celu wykorzystania do analiz potrzebują odpowiedniej długości cykli obserwacyjnych. Okres 2010-2018 został uznany za maksymalnie optymalny dla wygenerowania wyników. Natomiast co do przywoływania czy powoływania się na IIaPGW, żeby wskazywać wartości przepływów przy wydawaniu decyzji administracyjnych - Plan gospodarowania wodami nie jest dokumentem, który ustanawia przepływy. On nie określa ich, dane monitoringowe dotyczące samych w sobie przepływów to rola i odpowiedzialność Instytutu Meteorologii i Gospodarki Wodnej i informacji o przepływach charakterystycznych generalnie dla jednolitych części wód w przypadku opracowywania operatów wodnoprawnych. Każdorazowo muszą być uzyskiwane aktualne i pozyskiwane z dostępnych źródeł. Informacja w załączniku nr 4 nie jest charakterystyką danej jednolitej części wód z punktu widzenia przypisanych jej przepływów. To jest tło dla prezentowanych danych, a na potrzeby operatów wodnoprawnych wykorzystywane powinny być aktualne przepływy, pozyskiwane z IMGW.</w:t>
            </w:r>
          </w:p>
        </w:tc>
      </w:tr>
      <w:tr w:rsidR="001C4812" w:rsidRPr="0028666F" w14:paraId="32A6F70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EA976EF"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532</w:t>
            </w:r>
          </w:p>
        </w:tc>
        <w:tc>
          <w:tcPr>
            <w:tcW w:w="970" w:type="dxa"/>
            <w:tcBorders>
              <w:top w:val="single" w:sz="4" w:space="0" w:color="auto"/>
              <w:left w:val="single" w:sz="4" w:space="0" w:color="auto"/>
              <w:bottom w:val="single" w:sz="4" w:space="0" w:color="auto"/>
            </w:tcBorders>
            <w:shd w:val="clear" w:color="auto" w:fill="auto"/>
          </w:tcPr>
          <w:p w14:paraId="66447BE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6C53096A"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89D0AF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BB97486" w14:textId="749BDC60"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Jak dokonać analizy wpływu ścieków na odbiornik w sytuacji braku badań monitoringowych dla nowo utworzonych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oraz fakt, że dla odprowadzania wód zasolonych parametrem są chlorki i siarczany, a w wodach rzeki badana będzie PEW. </w:t>
            </w:r>
          </w:p>
        </w:tc>
        <w:tc>
          <w:tcPr>
            <w:tcW w:w="2733" w:type="dxa"/>
            <w:tcBorders>
              <w:top w:val="single" w:sz="4" w:space="0" w:color="auto"/>
              <w:left w:val="nil"/>
              <w:bottom w:val="single" w:sz="4" w:space="0" w:color="auto"/>
              <w:right w:val="single" w:sz="4" w:space="0" w:color="auto"/>
            </w:tcBorders>
            <w:shd w:val="clear" w:color="auto" w:fill="auto"/>
          </w:tcPr>
          <w:p w14:paraId="24B822A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7154E2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76536C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0F3DBC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643D09D" w14:textId="481068FB"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To jest sytuacja, w której rzeczywiście będziemy musieli się przez moment poruszać, tzn. zmiana układu planistycznego, czyli aktualizacja jednostek planistycznych, oczywiście spowodowała zmiany geometrii jednolitych części wód. Jednolite części wód są monitorowane dotychczas w ramach sieci monitoringu ustalonego dla danego układu jednostek planistycznych, i to są wyniki, którymi dysponujemy. Druga aktualizacja Planów gospodarowania wodami prezentuje proponowaną sieć monitoringu dla nowego układu planistycznego. Kolejny cykl planistyczny to będą przypisane punkty pomiarowo-kontrolne reprezentatywne dla danej jednolitej części wód w układzie planistycznym obowiązującym w danym cyklu. Co nie oznacza, że każda jednolita część wód w nowym układzie planistycznym zawsze jest monitorowana. Tak, na pewno będą takie przypadki, gdy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będzie niemonitorowana. Generalnie nie wszystkie jednolite części wód są objęte monitoringiem. Założeniem jest obejmowanie siecią monitoringu coraz większej liczby jednolitych części wód, za to odpowiada Państwowy Monitoring Środowiska. Aktualizacje oceny stanu jednolitych części wód jak najbardziej będą źródłem informacji co do stanu jednolitej części wód w nowym układzie planistycznym. Poza tym pozostaje nam uzyskiwanie informacji o samych wynikach monitoringowych z punktów pomiarowo-kontrolnych, które są dostępne na stronach internetowych Państwowego Monitoringu Środowiska.</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Sytuacja jest nietypowa i wymaga współdziałania, zarówno po stronie wykonawców dokumentacji środowiskowych, w tym operatów wodnoprawnych czy raportów środowiskowych, jak i po stronie organów administracji. Być może jakimś punktem wyjścia jest współpraca z Inspekcją Ochrony Środowiska, choćby roboczy kontakt związany z przygotowaniem takich operatów wodnoprawnych czy innych dokumentów, stanowiących załączniki do wniosków o wydanie decyzji administracyjnych. Współpraca z ekspertami z Głównego Inspektoratu Ochrony Środowiska pozwolić może na odnalezienie się w danych o stanie wód przełożonych na nowe wykazy jednolitych części wód powierzchniowych w taki sposób, żebyś uzyskać informację, który z punktów monitoringowych jest reprezentatywny dla danej jednolitej części wód powierzchniowych.</w:t>
            </w:r>
          </w:p>
        </w:tc>
      </w:tr>
      <w:tr w:rsidR="001C4812" w:rsidRPr="0028666F" w14:paraId="4126CFBE"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A5F487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533</w:t>
            </w:r>
          </w:p>
        </w:tc>
        <w:tc>
          <w:tcPr>
            <w:tcW w:w="970" w:type="dxa"/>
            <w:tcBorders>
              <w:top w:val="single" w:sz="4" w:space="0" w:color="auto"/>
              <w:left w:val="single" w:sz="4" w:space="0" w:color="auto"/>
              <w:bottom w:val="single" w:sz="4" w:space="0" w:color="auto"/>
            </w:tcBorders>
            <w:shd w:val="clear" w:color="auto" w:fill="auto"/>
          </w:tcPr>
          <w:p w14:paraId="446AF7C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56B0A09A"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10E11D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3CEE2B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Jak będzie wyglądać aPGW w formie rozporządzenia Ministra Infrastruktury? Czy forma, w szczególności załączników, będzie adekwatna do zaprezentowanego projektu PGW.</w:t>
            </w:r>
          </w:p>
        </w:tc>
        <w:tc>
          <w:tcPr>
            <w:tcW w:w="2733" w:type="dxa"/>
            <w:tcBorders>
              <w:top w:val="single" w:sz="4" w:space="0" w:color="auto"/>
              <w:left w:val="nil"/>
              <w:bottom w:val="single" w:sz="4" w:space="0" w:color="auto"/>
              <w:right w:val="single" w:sz="4" w:space="0" w:color="auto"/>
            </w:tcBorders>
            <w:shd w:val="clear" w:color="auto" w:fill="auto"/>
          </w:tcPr>
          <w:p w14:paraId="52DC1AC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0FC737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FE6DCB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6AE710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D33393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To jest dość istotne pytanie w kontekście ostatecznego kształtu Planów gospodarowania wodami. Trzeba wskazać, że załącznikiem do rozporządzenia jest Plan gospodarowania wodami. Natomiast technika legislacyjna przewiduje, że do załącznika mogą być załączniki jeszcze poziom niżej. Tym samym nie przewidujemy znacznych zmian jeżeli chodzi o układ dokumentu, który jest aktualnie konsultowany. Podsumowując, przewidujemy, że rozporządzenie przyjmie w formie załącznika Plan gospodarowania wodami. Jesteśmy świadomi, że ilość prezentowanych danych musi być w taki sposób przygotowana, aby była transparentna dla odbiorcy i można było łatwo te dane wyszukać. Natomiast z drugiej strony należy podkreślić, że wymagania związane z techniką legislacyjną, czy też wymagania związane z samą publikacją rozporządzeń, będą w pewien sposób nas ograniczały. Tu ewentualnie dokumenty mogą ulec zmianie pod kątem graficznym. Na dzień dzisiejszy nie przewidujemy istotnych zmian.</w:t>
            </w:r>
          </w:p>
        </w:tc>
      </w:tr>
      <w:tr w:rsidR="001C4812" w:rsidRPr="0028666F" w14:paraId="1A44E6F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8FC80EC"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534</w:t>
            </w:r>
          </w:p>
        </w:tc>
        <w:tc>
          <w:tcPr>
            <w:tcW w:w="970" w:type="dxa"/>
            <w:tcBorders>
              <w:top w:val="single" w:sz="4" w:space="0" w:color="auto"/>
              <w:left w:val="single" w:sz="4" w:space="0" w:color="auto"/>
              <w:bottom w:val="single" w:sz="4" w:space="0" w:color="auto"/>
            </w:tcBorders>
            <w:shd w:val="clear" w:color="auto" w:fill="auto"/>
          </w:tcPr>
          <w:p w14:paraId="59EA897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KGHM Polska Miedź S.A. </w:t>
            </w:r>
          </w:p>
        </w:tc>
        <w:tc>
          <w:tcPr>
            <w:tcW w:w="165" w:type="dxa"/>
            <w:tcBorders>
              <w:top w:val="nil"/>
              <w:left w:val="nil"/>
              <w:bottom w:val="single" w:sz="4" w:space="0" w:color="auto"/>
              <w:right w:val="single" w:sz="4" w:space="0" w:color="auto"/>
            </w:tcBorders>
            <w:shd w:val="clear" w:color="auto" w:fill="auto"/>
          </w:tcPr>
          <w:p w14:paraId="15A9839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32AD38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D01FCC5" w14:textId="2904950D"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Zgodnie z nazwą kolumny w załączniku nr 8 do IIaPGW,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Odra od Baryczy do Bobru wskazuje się, że PEW i Cu, są parametrami powodującymi zły stan wód tej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i są wskaźnikami, które dają wysoki stopień pewności na osiągnięcie celów środowiskowych do 2027 r. Skąd pewność, że po 2027 r. dobry potencjał zostanie dla tej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osiągnięty, w szczególności biorąc pod uwagę fakt, że PEW już na w Górnej Odrze jest przekroczona z uwagi na ładunek soli dopływający z Czech.</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104AEEC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5B720A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D6BC69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AAF2DC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D7B3249" w14:textId="0F2B8BC8" w:rsidR="001C4812" w:rsidRPr="0028666F" w:rsidRDefault="001C4812" w:rsidP="007D7BB1">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Generalnie wszystkie wyniki analiz, jakie są prezentowane w aktualizacji Planów gospodarowania wodami, w tym też oczywiście informacje wskazywane co do skuteczności zastosowanych działań dla osiągnięcia celów środowiskowych, nigdy nie są w 100% pewne. O tym czy uda nam się osiągnąć i spełnić cel środowiskowy dowiemy się po tym, jak wdrożone zostaną działania, które są zaplanowane i wyniki monitoringowe potwierdzą nam, czy udało się osiągnąć cel. To jest jeden z elementów każdej aktualizacji planów. To jest właśnie moment kiedy weryfikujemy, czy cele środowiskowe zostały spełnione, a potem są kolejne kroki. To, czy zostanie osiągnięty, to dowiemy się tak naprawdę za czas jakiś.</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Warto też podkreślić, że mówimy: przekroczenie wartości składnika, np. jeśli mówimy o ocenie stanu wód, ale powinniśmy pamiętać, że możemy mieć do czynienia z sytuacją, kiedy to przekroczenie ma dość niewielki charakter. Czym innym jest przekroczenie wartości o 90%, czym innym jest przekroczenie wartości o 10%. Państwo zapewne się domyślają, że łatwiej jest zbić przekroczenie, które jest o 10%, niż jeśli wynosi 90%. W analizowanym przypadku, który został przywołany w pytaniu, mamy sytuację, że przekroczenie tych wskaźników, np. przewodności elektrolitycznej, nie osiąga wartości 50%. Pozwala nam to zatem sądzić, że skuteczność działań naprawczych pozwoli na osiągnięcie celów środowiskowych, rozumianych jako wartości poszczególnych elementów odpowiadające stanowi dobremu.</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Kwestia współpracy czy rozwiązywania wspólnego problemu gospodarki wodnej jest też wymogiem Ramowej Dyrektywy Wodnej, czyli państwa, które dzielą jeden obszar dorzecza mogą ze sobą współpracować. To się dzieje na bazie współpracy bilateralnej bądź w przypadku akurat Odry, mamy poza komisjami dwustronnymi komisję trójstronną – Międzynarodową Komisję Ochrony Odry. Jeżeli nasza odpowiedź dla autorów pytania nie była satysfakcjonująca proponuję skorzystać z okazji wzięcia udziału w konsultacjach II aktualizacji Planów gospodarowania wodami dla obszaru dorzecza Odry po czeskiej stronie. Taka możliwość jest, trwają konsultacje wspólnego Planu gospodarowania wodami dla międzynarodowego obszaru dorzecza Odry, gdzie ten wątek również można poruszyć. Sprawdzić, jakie działania podejmuje strona czeska, jak ocenia swoje części wód na Górnej Odrze po stronie Republiki Czeskiej, jakie działania planuje w szczególności w tym zakresie, który państwa interesował. Jaką też skuteczność przewiduje, czy tam są odstępstwa, czy nie ma. .</w:t>
            </w:r>
          </w:p>
        </w:tc>
      </w:tr>
      <w:tr w:rsidR="001C4812" w:rsidRPr="0028666F" w14:paraId="3EA6ED0F" w14:textId="77777777" w:rsidTr="00DF168C">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05CB63E" w14:textId="77777777" w:rsidR="001C4812" w:rsidRPr="00DC2CF8" w:rsidRDefault="001C4812" w:rsidP="001C4812">
            <w:pPr>
              <w:ind w:firstLine="0"/>
              <w:jc w:val="center"/>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535</w:t>
            </w:r>
          </w:p>
        </w:tc>
        <w:tc>
          <w:tcPr>
            <w:tcW w:w="970" w:type="dxa"/>
            <w:tcBorders>
              <w:top w:val="single" w:sz="4" w:space="0" w:color="auto"/>
              <w:left w:val="single" w:sz="4" w:space="0" w:color="auto"/>
              <w:bottom w:val="single" w:sz="4" w:space="0" w:color="auto"/>
            </w:tcBorders>
            <w:shd w:val="clear" w:color="auto" w:fill="auto"/>
          </w:tcPr>
          <w:p w14:paraId="5FC84AAE"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21E5CD1B" w14:textId="77777777" w:rsidR="001C4812" w:rsidRPr="00DC2CF8"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7FA3AC3"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5ACF5ED" w14:textId="76C65A35"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 xml:space="preserve">Na spotkaniach konsultacyjnych mowa była o tym, że w zał. 3.1. wskazano wartości graniczne dla potencjału ekologicznego dla silnie zmienionych </w:t>
            </w:r>
            <w:r w:rsidR="00370EC8">
              <w:rPr>
                <w:rFonts w:ascii="Calibri" w:eastAsia="Times New Roman" w:hAnsi="Calibri" w:cs="Calibri"/>
                <w:color w:val="000000"/>
                <w:sz w:val="18"/>
                <w:szCs w:val="18"/>
                <w:lang w:eastAsia="pl-PL"/>
              </w:rPr>
              <w:t>JCWP</w:t>
            </w:r>
            <w:r w:rsidRPr="00DC2CF8">
              <w:rPr>
                <w:rFonts w:ascii="Calibri" w:eastAsia="Times New Roman" w:hAnsi="Calibri" w:cs="Calibri"/>
                <w:color w:val="000000"/>
                <w:sz w:val="18"/>
                <w:szCs w:val="18"/>
                <w:lang w:eastAsia="pl-PL"/>
              </w:rPr>
              <w:t>P. Proszę o interpretację tego załącznik</w:t>
            </w:r>
            <w:r w:rsidRPr="00DC2CF8">
              <w:rPr>
                <w:rFonts w:ascii="Calibri" w:eastAsia="Times New Roman" w:hAnsi="Calibri" w:cs="Calibri"/>
                <w:color w:val="000000"/>
                <w:sz w:val="18"/>
                <w:szCs w:val="18"/>
                <w:lang w:eastAsia="pl-PL"/>
              </w:rPr>
              <w:br/>
              <w:t xml:space="preserve">ponieważ np. dla </w:t>
            </w:r>
            <w:r w:rsidR="00370EC8">
              <w:rPr>
                <w:rFonts w:ascii="Calibri" w:eastAsia="Times New Roman" w:hAnsi="Calibri" w:cs="Calibri"/>
                <w:color w:val="000000"/>
                <w:sz w:val="18"/>
                <w:szCs w:val="18"/>
                <w:lang w:eastAsia="pl-PL"/>
              </w:rPr>
              <w:t>JCWP</w:t>
            </w:r>
            <w:r w:rsidRPr="00DC2CF8">
              <w:rPr>
                <w:rFonts w:ascii="Calibri" w:eastAsia="Times New Roman" w:hAnsi="Calibri" w:cs="Calibri"/>
                <w:color w:val="000000"/>
                <w:sz w:val="18"/>
                <w:szCs w:val="18"/>
                <w:lang w:eastAsia="pl-PL"/>
              </w:rPr>
              <w:t>P Odra od Baryczy do Bobru wartości granicznych dla parametrów fizykochemicznych, w tym charakteryzujących zasolenie nie wskazano.</w:t>
            </w:r>
            <w:r w:rsidRPr="00DC2CF8">
              <w:rPr>
                <w:rFonts w:ascii="Calibri" w:eastAsia="Times New Roman" w:hAnsi="Calibri" w:cs="Calibri"/>
                <w:color w:val="000000"/>
                <w:sz w:val="18"/>
                <w:szCs w:val="18"/>
                <w:lang w:eastAsia="pl-PL"/>
              </w:rPr>
              <w:br/>
              <w:t xml:space="preserve">W załączniku 7 do projektu rozporządzenia dot. klasyfikacji wód, wskazano, że: wartości graniczne dla klas jakości wód powierzchniowych wskaźników jakości wód powierzchniowych będące podstawą klasyfikacji potencjału ekologicznego </w:t>
            </w:r>
            <w:r w:rsidR="00370EC8">
              <w:rPr>
                <w:rFonts w:ascii="Calibri" w:eastAsia="Times New Roman" w:hAnsi="Calibri" w:cs="Calibri"/>
                <w:color w:val="000000"/>
                <w:sz w:val="18"/>
                <w:szCs w:val="18"/>
                <w:lang w:eastAsia="pl-PL"/>
              </w:rPr>
              <w:t>JCWP</w:t>
            </w:r>
            <w:r w:rsidRPr="00DC2CF8">
              <w:rPr>
                <w:rFonts w:ascii="Calibri" w:eastAsia="Times New Roman" w:hAnsi="Calibri" w:cs="Calibri"/>
                <w:color w:val="000000"/>
                <w:sz w:val="18"/>
                <w:szCs w:val="18"/>
                <w:lang w:eastAsia="pl-PL"/>
              </w:rPr>
              <w:t xml:space="preserve">P dla silnie zmienionych </w:t>
            </w:r>
            <w:r w:rsidR="00370EC8">
              <w:rPr>
                <w:rFonts w:ascii="Calibri" w:eastAsia="Times New Roman" w:hAnsi="Calibri" w:cs="Calibri"/>
                <w:color w:val="000000"/>
                <w:sz w:val="18"/>
                <w:szCs w:val="18"/>
                <w:lang w:eastAsia="pl-PL"/>
              </w:rPr>
              <w:t>JCWP</w:t>
            </w:r>
            <w:r w:rsidRPr="00DC2CF8">
              <w:rPr>
                <w:rFonts w:ascii="Calibri" w:eastAsia="Times New Roman" w:hAnsi="Calibri" w:cs="Calibri"/>
                <w:color w:val="000000"/>
                <w:sz w:val="18"/>
                <w:szCs w:val="18"/>
                <w:lang w:eastAsia="pl-PL"/>
              </w:rPr>
              <w:t>P określa się w ramach planu gospodarowania wodami na obszarze dorzecza lub jego aktualizacji, w rozporządzeniu, o którym mowa w art. 321 ustawy.</w:t>
            </w:r>
          </w:p>
        </w:tc>
        <w:tc>
          <w:tcPr>
            <w:tcW w:w="2733" w:type="dxa"/>
            <w:tcBorders>
              <w:top w:val="single" w:sz="4" w:space="0" w:color="auto"/>
              <w:left w:val="nil"/>
              <w:bottom w:val="single" w:sz="4" w:space="0" w:color="auto"/>
              <w:right w:val="single" w:sz="4" w:space="0" w:color="auto"/>
            </w:tcBorders>
            <w:shd w:val="clear" w:color="auto" w:fill="auto"/>
          </w:tcPr>
          <w:p w14:paraId="77634994"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70AB3B8"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auto" w:fill="auto"/>
          </w:tcPr>
          <w:p w14:paraId="309D648C"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1272C5F" w14:textId="77777777" w:rsidR="001C4812" w:rsidRPr="00DC2CF8" w:rsidRDefault="001C4812" w:rsidP="001C4812">
            <w:pPr>
              <w:ind w:firstLine="0"/>
              <w:jc w:val="left"/>
              <w:rPr>
                <w:rFonts w:ascii="Calibri" w:eastAsia="Times New Roman" w:hAnsi="Calibri" w:cs="Calibri"/>
                <w:color w:val="000000"/>
                <w:sz w:val="18"/>
                <w:szCs w:val="18"/>
                <w:lang w:eastAsia="pl-PL"/>
              </w:rPr>
            </w:pPr>
            <w:r w:rsidRPr="00DC2CF8">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tcPr>
          <w:p w14:paraId="7FE98A06" w14:textId="77777777" w:rsidR="00DC2CF8" w:rsidRPr="00F57DBC" w:rsidRDefault="001C4812" w:rsidP="00DC2CF8">
            <w:pPr>
              <w:ind w:firstLine="0"/>
              <w:jc w:val="left"/>
              <w:rPr>
                <w:rFonts w:ascii="Calibri" w:eastAsia="Times New Roman" w:hAnsi="Calibri" w:cs="Calibri"/>
                <w:sz w:val="18"/>
                <w:szCs w:val="18"/>
                <w:lang w:eastAsia="pl-PL"/>
              </w:rPr>
            </w:pPr>
            <w:r w:rsidRPr="00DC2CF8">
              <w:rPr>
                <w:rFonts w:ascii="Calibri" w:eastAsia="Times New Roman" w:hAnsi="Calibri" w:cs="Calibri"/>
                <w:color w:val="000000"/>
                <w:sz w:val="18"/>
                <w:szCs w:val="18"/>
                <w:lang w:eastAsia="pl-PL"/>
              </w:rPr>
              <w:t>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 wartości graniczne dla klas jakości wód powierzchniowych wskaźników jakości wód powierzchniowych, będące podstawą klasyfikacji potencjału ekologicznego jednolitych części wód powierzchniowych wyznaczonych jako silnie zmienione jednolite części wód powierzchniowych określa się w rozporządzeniu, o którym mowa w art. 321 ustawy pr.w., w ramach planu gospodarowania wodami na obszarze dorzecza lub w ramach jego aktualizacji.</w:t>
            </w:r>
            <w:r w:rsidRPr="00DC2CF8">
              <w:rPr>
                <w:rFonts w:ascii="Calibri" w:eastAsia="Times New Roman" w:hAnsi="Calibri" w:cs="Calibri"/>
                <w:color w:val="000000"/>
                <w:sz w:val="18"/>
                <w:szCs w:val="18"/>
                <w:lang w:eastAsia="pl-PL"/>
              </w:rPr>
              <w:br/>
            </w:r>
            <w:r w:rsidR="00DC2CF8" w:rsidRPr="00F57DBC">
              <w:rPr>
                <w:rFonts w:ascii="Calibri" w:eastAsia="Times New Roman" w:hAnsi="Calibri" w:cs="Calibri"/>
                <w:sz w:val="18"/>
                <w:szCs w:val="18"/>
                <w:lang w:eastAsia="pl-PL"/>
              </w:rPr>
              <w:t xml:space="preserve">IIaPGW prezentuje te dane w załączniku </w:t>
            </w:r>
            <w:r w:rsidR="00DC2CF8" w:rsidRPr="00F57DBC">
              <w:rPr>
                <w:rFonts w:ascii="Calibri" w:eastAsia="Times New Roman" w:hAnsi="Calibri" w:cs="Calibri"/>
                <w:i/>
                <w:iCs/>
                <w:sz w:val="18"/>
                <w:szCs w:val="18"/>
                <w:lang w:eastAsia="pl-PL"/>
              </w:rPr>
              <w:t>Wartości graniczne SCW i SZCW</w:t>
            </w:r>
            <w:r w:rsidR="00DC2CF8" w:rsidRPr="00F57DBC">
              <w:rPr>
                <w:rFonts w:ascii="Calibri" w:eastAsia="Times New Roman" w:hAnsi="Calibri" w:cs="Calibri"/>
                <w:sz w:val="18"/>
                <w:szCs w:val="18"/>
                <w:lang w:eastAsia="pl-PL"/>
              </w:rPr>
              <w:t>,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00DC2CF8" w:rsidRPr="00F57DBC">
              <w:rPr>
                <w:rFonts w:ascii="Calibri" w:eastAsia="Times New Roman" w:hAnsi="Calibri" w:cs="Calibri"/>
                <w:sz w:val="18"/>
                <w:szCs w:val="18"/>
                <w:lang w:eastAsia="pl-PL"/>
              </w:rPr>
              <w:b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3D60F653" w14:textId="646C9FBC" w:rsidR="00DC2CF8" w:rsidRPr="00F57DBC" w:rsidRDefault="00DC2CF8" w:rsidP="00DC2CF8">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F57DBC">
              <w:rPr>
                <w:rFonts w:cstheme="minorHAnsi"/>
                <w:sz w:val="18"/>
                <w:szCs w:val="18"/>
                <w:shd w:val="clear" w:color="auto" w:fill="FFFFFF"/>
              </w:rPr>
              <w:t>p RW określonego typu”</w:t>
            </w:r>
          </w:p>
          <w:p w14:paraId="4BD6A897" w14:textId="3CB12811" w:rsidR="00DC2CF8" w:rsidRPr="00F57DBC" w:rsidRDefault="00DC2CF8" w:rsidP="00DC2CF8">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F57DBC">
              <w:rPr>
                <w:rFonts w:eastAsia="Times New Roman" w:cstheme="minorHAnsi"/>
                <w:sz w:val="18"/>
                <w:szCs w:val="18"/>
                <w:lang w:eastAsia="pl-PL"/>
              </w:rPr>
              <w:t>p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76DE065C" w14:textId="2E71AA59" w:rsidR="001C4812" w:rsidRPr="00DC2CF8" w:rsidRDefault="00DC2CF8" w:rsidP="00DC2CF8">
            <w:pPr>
              <w:ind w:firstLine="0"/>
              <w:jc w:val="left"/>
              <w:rPr>
                <w:rFonts w:ascii="Calibri" w:eastAsia="Times New Roman" w:hAnsi="Calibri" w:cs="Calibri"/>
                <w:color w:val="000000"/>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p>
        </w:tc>
      </w:tr>
      <w:tr w:rsidR="001C4812" w:rsidRPr="0028666F" w14:paraId="6330D2A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4E1392F"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536</w:t>
            </w:r>
          </w:p>
        </w:tc>
        <w:tc>
          <w:tcPr>
            <w:tcW w:w="970" w:type="dxa"/>
            <w:tcBorders>
              <w:top w:val="single" w:sz="4" w:space="0" w:color="auto"/>
              <w:left w:val="single" w:sz="4" w:space="0" w:color="auto"/>
              <w:bottom w:val="single" w:sz="4" w:space="0" w:color="auto"/>
            </w:tcBorders>
            <w:shd w:val="clear" w:color="auto" w:fill="auto"/>
          </w:tcPr>
          <w:p w14:paraId="6F5B86A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5" w:type="dxa"/>
            <w:tcBorders>
              <w:top w:val="nil"/>
              <w:left w:val="nil"/>
              <w:bottom w:val="single" w:sz="4" w:space="0" w:color="auto"/>
              <w:right w:val="single" w:sz="4" w:space="0" w:color="auto"/>
            </w:tcBorders>
            <w:shd w:val="clear" w:color="auto" w:fill="auto"/>
          </w:tcPr>
          <w:p w14:paraId="2549B8E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847D9C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77A68E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Zgodnie rozporządzeniem Ministra Gospodarki Morskiej i Żeglugi Śródlądowej z dnia 11 października 2019r. w sprawie klasyfikacji stanu ekologicznego i stanu chemicznego oraz sposobu klasyfikacji stanu jednolitych części wód powierzchniowych, a także środowiskowych norm jakościowych dla substancji priorytetowych wartości graniczne dla klas jakości wód powierzchniowych wskaźników fizykochemicznych jakości wód powierzchniowych odnoszące się do jednolitych części wód powierzchniowych typu RwN obowiązujące od 2022 to:, tlen rozpuszczony, BZT5, OWO, ChZt-Cr, przewodność elektrolityczna właściwa w 20 ° C, azot amonowy, azot azotanowy, azot ogólny, fosfor fosforanowy (V), fosfor ogólny.</w:t>
            </w:r>
            <w:r w:rsidRPr="008B085E">
              <w:rPr>
                <w:rFonts w:ascii="Calibri" w:eastAsia="Times New Roman" w:hAnsi="Calibri" w:cs="Calibri"/>
                <w:color w:val="000000"/>
                <w:sz w:val="18"/>
                <w:szCs w:val="18"/>
                <w:lang w:eastAsia="pl-PL"/>
              </w:rPr>
              <w:br/>
              <w:t>Zgodnie z przekazanymi informacjami w trakcie konsultacji wartości graniczne wskaźników fizykochemicznych dla SZCW znajdują się w załączniku 3.1 do IIaPGW. Analizując ww. załącznik w mojej ocenie wymienione są wyłącznie wskaźniki biologiczne i hydromorfologiczne.</w:t>
            </w:r>
            <w:r w:rsidRPr="008B085E">
              <w:rPr>
                <w:rFonts w:ascii="Calibri" w:eastAsia="Times New Roman" w:hAnsi="Calibri" w:cs="Calibri"/>
                <w:color w:val="000000"/>
                <w:sz w:val="18"/>
                <w:szCs w:val="18"/>
                <w:lang w:eastAsia="pl-PL"/>
              </w:rPr>
              <w:br/>
              <w:t>W związku z powyższym prośba o wskazanie, pozycji ww. wymienionym załączniku charakteryzują powyższe parametry fizykochemiczne.</w:t>
            </w:r>
          </w:p>
        </w:tc>
        <w:tc>
          <w:tcPr>
            <w:tcW w:w="2733" w:type="dxa"/>
            <w:tcBorders>
              <w:top w:val="single" w:sz="4" w:space="0" w:color="auto"/>
              <w:left w:val="nil"/>
              <w:bottom w:val="single" w:sz="4" w:space="0" w:color="auto"/>
              <w:right w:val="single" w:sz="4" w:space="0" w:color="auto"/>
            </w:tcBorders>
            <w:shd w:val="clear" w:color="auto" w:fill="auto"/>
          </w:tcPr>
          <w:p w14:paraId="4E1850C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5E06FE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E311FC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D9CAD4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tcPr>
          <w:p w14:paraId="1EB00EB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Rzeczywiście w IIaPGW to załącznik 3.1 jest tym załącznikiem, który wskazuje wartości graniczne, jeżeli chodzi o potencjał ekologiczny. Wartości graniczne dla elementów biologicznych, hydromorfologicznych. Jeżeli chodzi o fizykochemię to samo wskazanie sztucznej czy silnie zmienionej części wód nie determinuje obniżenia wartości wskaźników fizykochemicznych, a zatem jeżeli nie są wskazane obniżone wartości składników fizykochemicznych obowiązujące dla tych jednolitych części wód, to tak naprawdę obowiązują te najbardziej zbliżone dla danego typu naturalnej jednolitej części. Tutaj oczywiście przyjmujemy tę uwagę, widzimy, że jest wątpliwość, która czytelnikowi sprawia pewien kłopot. Jeżeli chodzi o samo uwzględnienie tego zagadnienia to pochylimy się, żeby doprecyzować w załączniku 3.1, aby nie było wątpliwości gdzie odniesienia do samej fizykochemii się znajdują. Załącznik nr 3.1. zostanie odpowiednio uzupełniony.</w:t>
            </w:r>
          </w:p>
        </w:tc>
      </w:tr>
      <w:tr w:rsidR="001C4812" w:rsidRPr="0028666F" w14:paraId="64CA5D61"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30F150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537</w:t>
            </w:r>
          </w:p>
        </w:tc>
        <w:tc>
          <w:tcPr>
            <w:tcW w:w="970" w:type="dxa"/>
            <w:tcBorders>
              <w:top w:val="single" w:sz="4" w:space="0" w:color="auto"/>
              <w:left w:val="single" w:sz="4" w:space="0" w:color="auto"/>
              <w:bottom w:val="single" w:sz="4" w:space="0" w:color="auto"/>
            </w:tcBorders>
            <w:shd w:val="clear" w:color="auto" w:fill="auto"/>
          </w:tcPr>
          <w:p w14:paraId="54A6BA1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KGHM Polska Miedź S.A.</w:t>
            </w:r>
          </w:p>
        </w:tc>
        <w:tc>
          <w:tcPr>
            <w:tcW w:w="165" w:type="dxa"/>
            <w:tcBorders>
              <w:top w:val="nil"/>
              <w:left w:val="nil"/>
              <w:bottom w:val="single" w:sz="4" w:space="0" w:color="auto"/>
              <w:right w:val="single" w:sz="4" w:space="0" w:color="auto"/>
            </w:tcBorders>
            <w:shd w:val="clear" w:color="auto" w:fill="auto"/>
          </w:tcPr>
          <w:p w14:paraId="1B3E94B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ADC3AC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DC889C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Zgodnie z art. 4 pkt 4c Ramowej Dyrektywy Wodnej przedłużenie terminu osiągnięcia celów środowiskowych powinno być ograniczone do maksimum dwóch dalszych uaktualnień planu gospodarowania wodami w dorzeczu, z wyjątkiem przypadków gdy warunki naturalne uniemożliwiają osiągnięcie celów w tym okresie. Jak będzie wyglądać określenie celów środowiskowych po 2027 r. w sytuacji, gdy założony cel nie zostanie osiągnięty.</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115AD08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3FE326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9E0096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2D4D36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9BE4E3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Wybiegamy daleko w przyszłość, ale to jest ten rok szczególny w gospodarowaniu wodami i w planistyce. Cele środowiskowe będziemy wyznaczali w ten sam sposób, więc ja bym to pytanie troszkę zmodyfikował, mianowicie: jak będziemy traktowali te jednolite części wód, dla których nadal nie osiągniemy celu środowiskowego, bo tą datą graniczną był rok 2015. Stosowanie tego konkretnego ustępu 4c w art. 4 Ramowej Dyrektywny Wodnej jest problemem ogólnoeuropejskim. Scenariusze są dwa: jeden optymistyczny, drugi realistyczny. Optymistyczny to taki, że w ogóle nie będzie trzeba korzystać z odstępstw, bo wszystkie wody osiągną dobry stan, co jest oczywiście mało prawdopodobne. Zatem bardziej ten realistyczny. Z jednej strony były nadzieje, że ten zapis zostanie zmieniony przy okazji weryfikacji Dyrektywy. Nie wydarzyło się to, nie zdecydowano o korekcie. Najprawdopodobniej bardziej chętnie i na większą skalę będą wszystkie państwa Unii sięgały po art. 4.5 RDW, czyli o obniżenie celów środowiskowych. Jakie konsekwencje takiego ruchu będą, czy jaka będzie reakcja Komisji Europejskiej, trudno powiedzieć. Natomiast dość łatwo sobie można wyobrazić w takiej sytuacji, być może po raz pierwszy postępowanie przed Trybunałem Sprawiedliwości - 27 kontra Komisja Europejska. W praktyce to by tak zadziałało. Przy utrzymaniu tego zapisu, tak jak on jest w Dyrektywie, a wszystko wskazuje na to, że takim zostanie, czy to sięgnięcie po odstępstwo z art. 4. pkt 4c będzie znacznie trudniejsze, prawie wszystkie konieczne odstępstwa będą przypisywane poprzez obniżenie celów środowiskowych, czyli z art. 4.5 Ramowej Dyrektywny Wodnej, ze wszystkimi tego konsekwencjami.</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To jest przykład, kiedy chęć podtrzymania ambitnych celów, tu mam na myśli organizacje ekologiczne, które bardzo pilnowały, żeby nie zmieniać tego artykułu w dyrektywnie, może spowodować efekt dokładnie odwrotny od zakładanego. Nie da się zlikwidować sektorów gospodarki, np. rolnictwa, które powodują, że dla dużej puli części wód cel środowiskowy w postaci dobrego stanu nie może być osiągnięty z powodu biogenów. Efektem takiej twardej postawy może być otwarcie furtki do obniżania celów środowiskowych.</w:t>
            </w:r>
          </w:p>
        </w:tc>
      </w:tr>
      <w:tr w:rsidR="001C4812" w:rsidRPr="0028666F" w14:paraId="1107B8EE"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26D393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538</w:t>
            </w:r>
          </w:p>
        </w:tc>
        <w:tc>
          <w:tcPr>
            <w:tcW w:w="970" w:type="dxa"/>
            <w:tcBorders>
              <w:top w:val="single" w:sz="4" w:space="0" w:color="auto"/>
              <w:left w:val="single" w:sz="4" w:space="0" w:color="auto"/>
              <w:bottom w:val="single" w:sz="4" w:space="0" w:color="auto"/>
            </w:tcBorders>
            <w:shd w:val="clear" w:color="auto" w:fill="auto"/>
          </w:tcPr>
          <w:p w14:paraId="7337D64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„Energopomiar” Sp. z o.o.</w:t>
            </w:r>
          </w:p>
        </w:tc>
        <w:tc>
          <w:tcPr>
            <w:tcW w:w="165" w:type="dxa"/>
            <w:tcBorders>
              <w:top w:val="nil"/>
              <w:left w:val="nil"/>
              <w:bottom w:val="single" w:sz="4" w:space="0" w:color="auto"/>
              <w:right w:val="single" w:sz="4" w:space="0" w:color="auto"/>
            </w:tcBorders>
            <w:shd w:val="clear" w:color="auto" w:fill="auto"/>
          </w:tcPr>
          <w:p w14:paraId="40254F71"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2658B7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CA4909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Bardzo proszę o wytłumaczenie mechanizmu odraczania osiągnięcia celów środowiskowych w czasie. Do jakiego roku cele są odraczane w zakresie których parametrów?</w:t>
            </w:r>
          </w:p>
        </w:tc>
        <w:tc>
          <w:tcPr>
            <w:tcW w:w="2733" w:type="dxa"/>
            <w:tcBorders>
              <w:top w:val="single" w:sz="4" w:space="0" w:color="auto"/>
              <w:left w:val="nil"/>
              <w:bottom w:val="single" w:sz="4" w:space="0" w:color="auto"/>
              <w:right w:val="single" w:sz="4" w:space="0" w:color="auto"/>
            </w:tcBorders>
            <w:shd w:val="clear" w:color="auto" w:fill="auto"/>
          </w:tcPr>
          <w:p w14:paraId="104C304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5E5B0F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7C3005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EF2140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7F7306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Nie ma daty granicznej. Według jednej z interpretacji Ramowej Dyrektywy Wodnej, rok 2027 to był absolutnie koniec. Świat się jednak nie kończy na roku 2027. Co więcej, odstępstwa z pozostałych artykułów, z ustępów art. 4 można stosować, ten art. 4 pkt 4c również. Natomiast coraz trudniej będzie uzasadnić stosowanie odstępstw, chociażby z tego powodu, że będą mijały kolejne cykle planistyczne, a rokiem granicznym był rok 2015. Wszystkie części wód, które nie są w dobrym stanie, wymagają uzasadnienia przyczyn, ewentualnie sięgnięcia po odstępstwa i uzasadnienia, że te przesłanki do danego odstępstwa są spełnione. Odstępstwa wymagają wyjaśnień, które muszą być zawarte w Planach gospodarowania wodami - szczegółowych, prawidłowych i na tyle przekonujących, że nie będą budziły wątpliwości przez oceniającego, czyli zespół ekspertów pracujących na rzecz Komisji Europejskiej, który co sześć lat ocenia Plany gospodarowania wodami wszystkich państw. W przypadku złej argumentacji, czy też takiej, którą Komisja i eksperci będą podważali, kolejnym krokiem jest rozpoczęcie procedury naruszeniowej, która może się skończyć skierowaniem sprawy do Europejskiego Trybunału.</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Cała dyrektywa bazuje na wiedzy eksperckiej, na danych i na ich interpretacji, na umiejętności wyciągania wniosków z tych danych. Im dane są dokładniejsze, tym łatwiej jest to zrobić. Te narzędzia, które my nazywamy oceną ekspercką, w Dyrektywie są wpisane jako „Expert Judgment”. Taki system stworzono, z tym się trzeba pogodzić. Aczkolwiek, trudniej jest się obronić przed ewentualnymi zarzutami, co do niedokładności, błędnych wniosków, błędów merytorycznych.</w:t>
            </w:r>
          </w:p>
        </w:tc>
      </w:tr>
      <w:tr w:rsidR="001C4812" w:rsidRPr="0028666F" w14:paraId="7754B86B"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04E4512"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539</w:t>
            </w:r>
          </w:p>
        </w:tc>
        <w:tc>
          <w:tcPr>
            <w:tcW w:w="970" w:type="dxa"/>
            <w:tcBorders>
              <w:top w:val="single" w:sz="4" w:space="0" w:color="auto"/>
              <w:left w:val="single" w:sz="4" w:space="0" w:color="auto"/>
              <w:bottom w:val="single" w:sz="4" w:space="0" w:color="auto"/>
            </w:tcBorders>
            <w:shd w:val="clear" w:color="auto" w:fill="auto"/>
          </w:tcPr>
          <w:p w14:paraId="05BCAF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32AEA43A"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0DF123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8CBD82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 aPZRP wymieniono m.in. budowę stopni wodnych Lubiąż i Ścinawa oraz regulację Odry od ujścia Nysy Kłodzkiej do ujścia Warty (pod nazwą „korekta łuków”) mające przystosować Odrę do V klasy drogi wodnej. To duże inwestycje hydrotechniczne niewątpliwie zmieniające charakterystykę fizyczną części wód i obejmujące zasięgiem kilkaset kilometrów rzeki. W aPZRP wskazano, że jest on zgodny z IIaPGW. Po opublikowaniu IIaPGW okazało się, że w dokumencie nie zostały wymienione tak duże inwestycje będące w przypadku Lubiąża i Ścinawy na etapie postępowania w spawie wydania decyzji środowiskowej. W jaki sposób zatem zapewniono w tym przypadku zgodność pomiędzy IIaPGW a aPZRP?</w:t>
            </w:r>
          </w:p>
        </w:tc>
        <w:tc>
          <w:tcPr>
            <w:tcW w:w="2733" w:type="dxa"/>
            <w:tcBorders>
              <w:top w:val="single" w:sz="4" w:space="0" w:color="auto"/>
              <w:left w:val="nil"/>
              <w:bottom w:val="single" w:sz="4" w:space="0" w:color="auto"/>
              <w:right w:val="single" w:sz="4" w:space="0" w:color="auto"/>
            </w:tcBorders>
            <w:shd w:val="clear" w:color="auto" w:fill="auto"/>
          </w:tcPr>
          <w:p w14:paraId="7F30EF5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35BCBC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3A4867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9C6D3B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BB55A4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Nie wiem, czy w Planach zarządzania ryzykiem powodziowym jest dokładnie, literalnie taki zapis, jaki przywołany jest w pytaniu. Być może tak. Jeżeli jest, to wymaga korekty. Właśnie z tych samych powodów, dla których żegluga nie mogła się znaleźć w aPGW czy przedsięwzięcia planowane w przyszłości, dotyczące rozwoju żeglugi. Takie przedsięwzięcia, które są wpisane w pakiet działań z zakresu ochrony przeciwpowodziowej, również z automatu nie były przenoszone do Planu gospodarowania wodami. Plan zarządzania ryzykiem powodziowym ułatwi ewentualne uzasadnienie odstępstwa, ponieważ dokonuje już oceny skuteczności danego działania pod kątem celu, któremu on ma służyć, ochrony przed powodzią. Jest to pewien krok do oceny celowości w skuteczności i zasadności danego przedsięwzięcia do pozytywnej odpowiedzi, czy te 3 aspekty zachodzą, czy nie. Natomiast on też nie rozstrzyga czy te przedsięwzięcia będą realizowane jeden do jednego, tak jak są tu zapisane. Czy będą wymagały odstępstwa, może nie będą, a jeżeli będą to czy takie odstępstwo będzie przyznane. To się będzie działo w procedurze administracyjnej, zgodnie z zapisami ustawy Prawo wodne.</w:t>
            </w:r>
          </w:p>
        </w:tc>
      </w:tr>
      <w:tr w:rsidR="001C4812" w:rsidRPr="0028666F" w14:paraId="600AD9E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833D949"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540</w:t>
            </w:r>
          </w:p>
        </w:tc>
        <w:tc>
          <w:tcPr>
            <w:tcW w:w="970" w:type="dxa"/>
            <w:tcBorders>
              <w:top w:val="single" w:sz="4" w:space="0" w:color="auto"/>
              <w:left w:val="single" w:sz="4" w:space="0" w:color="auto"/>
              <w:bottom w:val="single" w:sz="4" w:space="0" w:color="auto"/>
            </w:tcBorders>
            <w:shd w:val="clear" w:color="auto" w:fill="auto"/>
          </w:tcPr>
          <w:p w14:paraId="4823751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5" w:type="dxa"/>
            <w:tcBorders>
              <w:top w:val="nil"/>
              <w:left w:val="nil"/>
              <w:bottom w:val="single" w:sz="4" w:space="0" w:color="auto"/>
              <w:right w:val="single" w:sz="4" w:space="0" w:color="auto"/>
            </w:tcBorders>
            <w:shd w:val="clear" w:color="auto" w:fill="auto"/>
          </w:tcPr>
          <w:p w14:paraId="1350270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4F64DC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812860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Dlaczego główny dokument planistyczny kraju w zakresie gospodarowania wodami nie uwzględnił realnie planów żeglugowych, które od kilku lat są dostępne jako oficjalne dokumenty – np. Uchwała Nr 79 Rady Ministrów z dnia 14 czerwca 2016 r. w sprawie przyjęcia „Założeń do planów rozwoju śródlądowych dróg wodnych w Polsce na lata 2016–2020 z perspektywą do roku 2030”? IIaPGW co prawda wymienia „Założenia…” w analizowanych dokumentach, ale nie przekłada się to na ocenę osiągnięcia celów środowiskowych, w tym derogacje z art. 4.7.</w:t>
            </w:r>
          </w:p>
        </w:tc>
        <w:tc>
          <w:tcPr>
            <w:tcW w:w="2733" w:type="dxa"/>
            <w:tcBorders>
              <w:top w:val="single" w:sz="4" w:space="0" w:color="auto"/>
              <w:left w:val="nil"/>
              <w:bottom w:val="single" w:sz="4" w:space="0" w:color="auto"/>
              <w:right w:val="single" w:sz="4" w:space="0" w:color="auto"/>
            </w:tcBorders>
            <w:shd w:val="clear" w:color="auto" w:fill="auto"/>
          </w:tcPr>
          <w:p w14:paraId="79ACF0B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A9AA60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9DFE11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CC9F52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ACEF14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Nie ocenię innych dokumentów, podobnie Plan gospodarowania wodami nie ocenia inwestycji i wpływu inwestycji na środowisko. Od tego jest procedura oceny wodnoprawnej, zastępowana w określonych przypadkach przez decyzję o środowiskowych uwarunkowaniach. Przypisanie derogacji z art. 4.7 RDW dla planowanych inwestycji z przytoczonego programu dotyczącego żeglugi śródlądowej czy z jakichkolwiek innych programów rządowych spowodowałoby, że rozporządzenie, bo taką rangę będzie miał Plan gospodarowania wodami, określałoby już przy pisaniu odstępstwa z art. 4.7 RDW czy sankcjonowałoby przypisanie i powstałaby wątpliwość, czy jest wiążące wobec tego prawnie dla organu, który będzie opiniował przedsięwzięcie w decyzji o środowiskowych uwarunkowaniach. Z tego powodu plan, podobnie jak to dotyczy danych hydrologicznych czy danych o ocenie stanu wód, w przypadku przedsięwzięć, planowanych inwestycji, stanowi zestawienie informacji dotyczących przyznanych już odstępstw od celów środowiskowych, odstęp z artykułu 4.7. Nie zastępuje procedury oceny wodnoprawnej i decyzji o środowiskowych uwarunkowaniach. Był to jeden z wymogów stawianych przez Komisję Europejską przy okazji reformy gospodarki wodnej w Polsce i jeden z zarzutów do systemu, który uprzednio w kraju mieliśmy, że decyzja dotycząca tego czy dane przedsięwzięcie dostaje odstępstwo czy nie, podejmowana jest właśnie raz na 6 lat przez zespół ekspercki wybrany w drodze postępowania w udzielaniu zamówienia publicznego. Tymczasem w opinii Komisji decydować o tym, czy odstępstwo można przyznać czy nie, powinien wyspecjalizowany organ w drodze decyzji administracyjnej. Tak to obecnie w pustawie Prawo wodne jest zapisane, stąd też nie można było w Planie gospodarowania wodami dokonać oceny wpływu przedsięwzięć jeszcze nie "zmaterializowanych", aczkolwiek zapisanych w dokumencie rządowym, ponieważ byłoby to złamanie Prawa wodnego, wyjściem poza to, co wolno władzy wodnej.</w:t>
            </w:r>
          </w:p>
        </w:tc>
      </w:tr>
      <w:tr w:rsidR="001C4812" w:rsidRPr="0028666F" w14:paraId="591D51C5" w14:textId="77777777" w:rsidTr="00EF0BFF">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B574E96" w14:textId="77777777" w:rsidR="001C4812" w:rsidRPr="00EF0BFF" w:rsidRDefault="001C4812" w:rsidP="001C4812">
            <w:pPr>
              <w:ind w:firstLine="0"/>
              <w:jc w:val="center"/>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541</w:t>
            </w:r>
          </w:p>
        </w:tc>
        <w:tc>
          <w:tcPr>
            <w:tcW w:w="970" w:type="dxa"/>
            <w:tcBorders>
              <w:top w:val="single" w:sz="4" w:space="0" w:color="auto"/>
              <w:left w:val="single" w:sz="4" w:space="0" w:color="auto"/>
              <w:bottom w:val="single" w:sz="4" w:space="0" w:color="auto"/>
            </w:tcBorders>
            <w:shd w:val="clear" w:color="auto" w:fill="auto"/>
          </w:tcPr>
          <w:p w14:paraId="7F6EA322"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hAnsi="Calibri" w:cs="Calibri"/>
                <w:color w:val="000000"/>
                <w:sz w:val="18"/>
                <w:szCs w:val="18"/>
              </w:rPr>
              <w:t>PCC Rokita SA</w:t>
            </w:r>
          </w:p>
        </w:tc>
        <w:tc>
          <w:tcPr>
            <w:tcW w:w="165" w:type="dxa"/>
            <w:tcBorders>
              <w:top w:val="nil"/>
              <w:left w:val="nil"/>
              <w:bottom w:val="single" w:sz="4" w:space="0" w:color="auto"/>
              <w:right w:val="single" w:sz="4" w:space="0" w:color="auto"/>
            </w:tcBorders>
            <w:shd w:val="clear" w:color="auto" w:fill="auto"/>
          </w:tcPr>
          <w:p w14:paraId="52755CF7" w14:textId="77777777" w:rsidR="001C4812" w:rsidRPr="00EF0BF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B7C5541"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BDFA389"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 xml:space="preserve">Szczególnie w odniesieniu do działań na wodach rzecznych należy mieć świadomość, że mimo osiągnięcia, w co nie wątpię, zakładanych celów i realnej poprawy stanu wód, ich klasyfikacja może się nie poprawić, bo zasada &amp;#34;one out - all out&amp;#34; w połączeniu z ustaleniem często nierealnych do osiągnięcia wartości granicznych (mam na myśli PEW) powoduje, że stan/potencjał będą nadal poniżej dobrego. </w:t>
            </w:r>
          </w:p>
        </w:tc>
        <w:tc>
          <w:tcPr>
            <w:tcW w:w="2733" w:type="dxa"/>
            <w:tcBorders>
              <w:top w:val="single" w:sz="4" w:space="0" w:color="auto"/>
              <w:left w:val="nil"/>
              <w:bottom w:val="single" w:sz="4" w:space="0" w:color="auto"/>
              <w:right w:val="single" w:sz="4" w:space="0" w:color="auto"/>
            </w:tcBorders>
            <w:shd w:val="clear" w:color="auto" w:fill="auto"/>
          </w:tcPr>
          <w:p w14:paraId="7D91A199"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6F15AE6"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auto" w:fill="auto"/>
          </w:tcPr>
          <w:p w14:paraId="04390E30"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BE1F8BE"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710586E" w14:textId="77777777" w:rsidR="001C4812" w:rsidRPr="00EF0BFF" w:rsidRDefault="001C4812" w:rsidP="001C4812">
            <w:pPr>
              <w:ind w:firstLine="0"/>
              <w:jc w:val="left"/>
              <w:rPr>
                <w:rFonts w:ascii="Calibri" w:eastAsia="Times New Roman" w:hAnsi="Calibri" w:cs="Calibri"/>
                <w:color w:val="000000"/>
                <w:sz w:val="18"/>
                <w:szCs w:val="18"/>
                <w:lang w:eastAsia="pl-PL"/>
              </w:rPr>
            </w:pPr>
            <w:r w:rsidRPr="00EF0BFF">
              <w:rPr>
                <w:rFonts w:ascii="Calibri" w:eastAsia="Times New Roman" w:hAnsi="Calibri" w:cs="Calibri"/>
                <w:color w:val="000000"/>
                <w:sz w:val="18"/>
                <w:szCs w:val="18"/>
                <w:lang w:eastAsia="pl-PL"/>
              </w:rPr>
              <w:t>Odpowiedzi udzielono na spotkaniu konsultacyjnym.</w:t>
            </w:r>
            <w:r w:rsidRPr="00EF0BFF">
              <w:rPr>
                <w:rFonts w:ascii="Calibri" w:eastAsia="Times New Roman" w:hAnsi="Calibri" w:cs="Calibri"/>
                <w:color w:val="000000"/>
                <w:sz w:val="18"/>
                <w:szCs w:val="18"/>
                <w:lang w:eastAsia="pl-PL"/>
              </w:rPr>
              <w:br w:type="page"/>
            </w:r>
            <w:r w:rsidRPr="00EF0BFF">
              <w:rPr>
                <w:rFonts w:ascii="Calibri" w:eastAsia="Times New Roman" w:hAnsi="Calibri" w:cs="Calibri"/>
                <w:color w:val="000000"/>
                <w:sz w:val="18"/>
                <w:szCs w:val="18"/>
                <w:lang w:eastAsia="pl-PL"/>
              </w:rPr>
              <w:br w:type="page"/>
              <w:t>Niewiele możemy zrobić, bo zasada “one out - all out”, która staje się coraz większym, również europejskim, problemem, w praktyce gospodarowania wodami w zakresie wskaźników chemicznych i biologicznych, jest literalnie wpisana, zwłaszcza w przypadku chemicznych. Jeden decyduje i koniec - zły wynik. W przypadku fizykochemii jest wyinterpretowana z definicji normatywnych z zał. 5 - pojawia się w przewodniku. Natomiast z zasadą “one out-all out” w przypadku fizykochemii jest tak, że zwyczajowo się przyjęło jej stosowanie. Część krajów stosuje dość rygorystycznie, część nie, są takie, które w ogóle nie stosują i zaryzykowały. Trzeba się z nią pogodzić. Tak długo, jak RDW jest tak skonstruowana jak jest, że trzeba się z tą zasadą pogodzić i z konsekwencjami, gdzie rzeczywiście odnotowywana poprawa stanu wód jest zakrywana przez jeden wskaźnik, który uparcie poprawić się nie chce, albo przez nowy wskaźnik wprowadzony do monitoringu, tutaj głównie mam na myśli rozszerzaną cyklicznie listę substancji priorytetowych, czyli wskaźników wchodzących w skład oceny stanu chemicznego. Jeden nowy wskaźnik powoduje, że odnotowywane są przekroczenia i po raz kolejny to dojście do dobrego stanu się odsuwa. Był to też jeden z powodów rozpoczęcia dyskusji o konieczności zmian w dyrektywie, ale z różnych powodów to się nie udało. Polemizowałbym ze stwierdzeniem o tych nierealnych czy wyśrubowanych wartościach liczbowych, w przypadku chemii one określone są w dyrektywie. Trudno więc tutaj je podważać, po prostu mamy je przyjęte zgodnie z procedurą, więc każde z państw miało okazję do wypowiedzenia się na temat i ewentualnie do oprotestowania. My je w dyrektywie mamy, rzeczywiście są bardzo wyśrubowane, a w przypadku biologii i fizykochemii to jest również to, jak wyglądają te wskaźniki, pokłosie systemu oceny stanu wód określonego w dyrektywie i ćwiczenia interkalibracyjnego, trwającego 12 lat - ćwiczenia polegającego na uspójnieniu metodyk. W dużym uproszczeniu chodziło o to, żeby dobry stan oznaczał to samo, niezależnie jaką metodę w danym kraju się stosuje. A fizykochemia statystycznie przelicza, zawsze można lepiej statystycznie przeliczyć na większej puli i pewnie to się będzie działo w kolejnych cyklach planistycznych. Jest to natomiast statystyczne przeliczenie, aby zapewnić korelację pomiędzy tym dobrym stanem biologii, a dobrym stanem wskaźników fizyko-chemicznych, które pełnią rolę wspierającą dla biologicznych, mają potwierdzić dobry stan bądź stan bardzo dobry. Z tym systemem musimy żyć, on ma swoje wady i my stosujący go na co dzień, zwłaszcza wykorzystujący na potrzeby decyzji administracyjnych, wady tego systemu widzimy w pełnej krasie.</w:t>
            </w:r>
          </w:p>
        </w:tc>
      </w:tr>
      <w:tr w:rsidR="001C4812" w:rsidRPr="0028666F" w14:paraId="2A9C48E4"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4D6DC4A"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542</w:t>
            </w:r>
          </w:p>
        </w:tc>
        <w:tc>
          <w:tcPr>
            <w:tcW w:w="970" w:type="dxa"/>
            <w:tcBorders>
              <w:top w:val="single" w:sz="4" w:space="0" w:color="auto"/>
              <w:left w:val="single" w:sz="4" w:space="0" w:color="auto"/>
              <w:bottom w:val="single" w:sz="4" w:space="0" w:color="auto"/>
            </w:tcBorders>
            <w:shd w:val="clear" w:color="auto" w:fill="auto"/>
          </w:tcPr>
          <w:p w14:paraId="51CDE80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34B835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2FAE49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E2161D5" w14:textId="01F9C62C"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Odnośnie pytania o zasolenie wód, to proszę powiedzieć, czy ostatecznie z klasyfikacji stanu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wykreślono wskaźniki zasolenia wód, pozostawiając jedynie badanie przewodności w 20oC? To miało obowiązywać od 2022 r. Nie pomoże to w walce z zanieczyszczeniem zasoleniem.</w:t>
            </w:r>
            <w:r w:rsidRPr="008B085E">
              <w:rPr>
                <w:rFonts w:ascii="Calibri" w:eastAsia="Times New Roman" w:hAnsi="Calibri" w:cs="Calibri"/>
                <w:color w:val="000000"/>
                <w:sz w:val="18"/>
                <w:szCs w:val="18"/>
                <w:lang w:eastAsia="pl-PL"/>
              </w:rPr>
              <w:br/>
            </w:r>
          </w:p>
        </w:tc>
        <w:tc>
          <w:tcPr>
            <w:tcW w:w="2733" w:type="dxa"/>
            <w:tcBorders>
              <w:top w:val="single" w:sz="4" w:space="0" w:color="auto"/>
              <w:left w:val="nil"/>
              <w:bottom w:val="single" w:sz="4" w:space="0" w:color="auto"/>
              <w:right w:val="single" w:sz="4" w:space="0" w:color="auto"/>
            </w:tcBorders>
            <w:shd w:val="clear" w:color="auto" w:fill="auto"/>
          </w:tcPr>
          <w:p w14:paraId="71B2F97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A189F2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D9E3DB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AB23EE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324820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Same wskaźniki klasyfikacji regulowane są przez rozporządzenie klasyfikacyjne, które w obecnie obowiązującej formie, pomimo ostatnich zmian, w grupie wskaźników dotyczących zasolenia pozostawia przewodność i to się nie zmieniło. Natomiast to nie jest tak, że poprzez pozostawienie przewodności w grupie wskaźników zasolenia, zasolenie zupełnie znika i nie jest elementem, który jest analizowany. Obowiązujące w 2020 roku wszystkie przepisy i uwarunkowania, są oczywiście konsumowane są w IIaPGW, które patrzy z perspektywy okresu, który będzie przed nami i do tych zapisów rozporządzenia klasyfikacyjnego się odnosi, a więc również wszystkie zapisy IIaPGW opierają się na tym, co obowiązywać będzie od 2022 roku. Zgodnie zatem z rozporządzeniem klasyfikacyjnym od roku 2022 w grupie zasolenia zostaje tylko przewodność.</w:t>
            </w:r>
          </w:p>
        </w:tc>
      </w:tr>
      <w:tr w:rsidR="001C4812" w:rsidRPr="0028666F" w14:paraId="733C4296"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8A5153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543</w:t>
            </w:r>
          </w:p>
        </w:tc>
        <w:tc>
          <w:tcPr>
            <w:tcW w:w="970" w:type="dxa"/>
            <w:tcBorders>
              <w:top w:val="single" w:sz="4" w:space="0" w:color="auto"/>
              <w:left w:val="single" w:sz="4" w:space="0" w:color="auto"/>
              <w:bottom w:val="single" w:sz="4" w:space="0" w:color="auto"/>
            </w:tcBorders>
            <w:shd w:val="clear" w:color="auto" w:fill="auto"/>
          </w:tcPr>
          <w:p w14:paraId="002BCD4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2B6EDEA8"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7609FE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0E37D7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Sześć działań udrożnienia budowli na Gwdzie nie uzyskało prolongacji na 2022-2027. Czy oznacza to, ze na pewno wykonano działania przywracające ciągłość, czy tak zadeklarowały WP lub użytkownik piętrzenia (ankieta)? Na podstawie wielu innych przykładów ze zlewni Wisły twierdzę, że są sytuacje gdzie zrezygnowano z działań udrożnieniowych tam gdzie nie wykonano skutecznej przepławki (np. Wisłoka - Mielec, Dunajec - Czchów).</w:t>
            </w:r>
          </w:p>
        </w:tc>
        <w:tc>
          <w:tcPr>
            <w:tcW w:w="2733" w:type="dxa"/>
            <w:tcBorders>
              <w:top w:val="single" w:sz="4" w:space="0" w:color="auto"/>
              <w:left w:val="nil"/>
              <w:bottom w:val="single" w:sz="4" w:space="0" w:color="auto"/>
              <w:right w:val="single" w:sz="4" w:space="0" w:color="auto"/>
            </w:tcBorders>
            <w:shd w:val="clear" w:color="auto" w:fill="auto"/>
          </w:tcPr>
          <w:p w14:paraId="2250430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C290BE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DB9C5D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AE813A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4462D1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Jeżeli chodzi o działania wskazywane dla budowli, mają Państwo też możliwość zweryfikowania w załączniku do zestawu działań, wykaz budowli. Tutaj wskazaliśmy ponad 5200 budowli do działań, zarówno udrożnieniowych jak i monitoringu urządzeń, jeśli są takowe na danych budowlach piętrzących – urządzeń do migracji ryb, monitoringu, czy one są sprawne, bo nie zawsze mieliśmy tą informację. Bazowaliśmy głównie na danych pochodzących ze zbiorów danych lub danych pochodzących z ankietyzacji. Podstawą były też statusy realizacji działań, które były planowane na wcześniejszy okres i miały zostać zakończone w roku 2021. Jeżeli mają Państwo informacje, że takie działania nie zostały wykonane, czyli są budowle, które nie zostały udrożnione, a wcześniej zostały wskazane w aPWŚK do realizacji, to bardzo byśmy prosili o takie informacje. Eksperci bardzo szczegółowo podeszli do kwestii tworzenia tego wykazu budowli do udrożnień. Analizowano każdą budowlę oddzielnie, natomiast faktem jest, że odpowiedź na ankiety nie była tak pełna jakbyśmy chcieli. Mieliśmy statusy realizacji działań i one są podstawą do przypisywania kolejnych działań tam, gdzie mogliśmy weryfikować. Po to jest teraz ten etap otwarty dla społeczeństwa, czyli etap konsultowania, że jeżeli Państwo mają wiedzę, że coś tam jeszcze nie zostało zrealizowane, a nie zostało ujęte w IIaPGW, teraz w tym zestawie działań, to bardzo byśmy prosili, żeby taką informację o konkretnej budowli, najlepiej lokalizacji podać i ewentualnie jeśli jest możliwość wskazania propozycji, czy to miałaby być budowa tylko jakiegoś urządzenia służącego migracji, czy np. jest możliwość przerobienia tego na bystrze, bo rozumiem, że często osoby zainteresowane mają szerszą wiedzę na temat danego terenu i wiedzą do czego taki obiekt piętrzący służył. Może już nie pełni swojej funkcji, może można go rozebrać, a może można go w jakiś sposób pozostawić otwartym, żeby ta ciągłość morfologiczna i biologiczna była. O takie informacje prosimy.</w:t>
            </w:r>
          </w:p>
        </w:tc>
      </w:tr>
      <w:tr w:rsidR="001C4812" w:rsidRPr="0028666F" w14:paraId="20CA36DA"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9D36B0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544</w:t>
            </w:r>
          </w:p>
        </w:tc>
        <w:tc>
          <w:tcPr>
            <w:tcW w:w="970" w:type="dxa"/>
            <w:tcBorders>
              <w:top w:val="single" w:sz="4" w:space="0" w:color="auto"/>
              <w:left w:val="single" w:sz="4" w:space="0" w:color="auto"/>
              <w:bottom w:val="single" w:sz="4" w:space="0" w:color="auto"/>
            </w:tcBorders>
            <w:shd w:val="clear" w:color="auto" w:fill="auto"/>
          </w:tcPr>
          <w:p w14:paraId="6EBDD32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35AFA7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447FCD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8BC0B90" w14:textId="7D95A9A4"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Dla rzeki Bukówki określono katalog działań naprawczych - udrożnienia budowli piętrzących. Niestety znalazło się tu też odtworzenie 8 piętrzeń tuż powyżej obszaru Natura 2000. Odtworzenie piętrzeń (nawet z przepławkami) to zwiększenie presji hydromorfologicznej na elementy biologiczne. Powinno być wykreślone z działań poprawiających stan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Bukówka została w tym miejscu pogłębiona w wyniku prac odmuleniowych. Wymaga prac renaturyzacyjnych. Budowa jazów powinna wymagać oceny wpływu na osiągnięcie celów środowiskowych w procedurze oceny ooś dla wszystkich piętrzeń łącznie. Czy ta lista ulegnie jeszcze weryfikacji?</w:t>
            </w:r>
            <w:r w:rsidRPr="008B085E">
              <w:rPr>
                <w:rFonts w:ascii="Calibri" w:eastAsia="Times New Roman" w:hAnsi="Calibri" w:cs="Calibri"/>
                <w:color w:val="000000"/>
                <w:sz w:val="18"/>
                <w:szCs w:val="18"/>
                <w:lang w:eastAsia="pl-PL"/>
              </w:rPr>
              <w:br/>
            </w:r>
          </w:p>
        </w:tc>
        <w:tc>
          <w:tcPr>
            <w:tcW w:w="2733" w:type="dxa"/>
            <w:tcBorders>
              <w:top w:val="single" w:sz="4" w:space="0" w:color="auto"/>
              <w:left w:val="nil"/>
              <w:bottom w:val="single" w:sz="4" w:space="0" w:color="auto"/>
              <w:right w:val="single" w:sz="4" w:space="0" w:color="auto"/>
            </w:tcBorders>
            <w:shd w:val="clear" w:color="auto" w:fill="auto"/>
          </w:tcPr>
          <w:p w14:paraId="1114816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AB45FE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4D0B9F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67B6C1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7EF422B" w14:textId="3937D5DB"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 xml:space="preserve">Ja myślę, że takie uwagi są bardzo istotne, ponieważ Państwo macie najlepszą wiedzę, czyli wiedzę taką bezpośrednio z terenu. My bazowaliśmy w skali kraju na danych, które spływały do nas w ramach statusów realizacji działań i tutaj była informacja, że te działania są wykonane. W związku z tym dla działań, które zostały wykonane i dla których wskazano te budowle do migracji ryb, wskazywaliśmy działania jako monitoring. Jeżeli jest wiedza, że tych budowli jeszcze nie ma na tym cieku, to również proszę, żeby w formularzu opisać. Zespół ekspertów, który w tym wypadku akurat tę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bardzo szczegółowo przeanalizował, ponieważ akurat poza tym działaniem, o którym jest mowa, czyli prolongacją działania z aPWŚK, mamy analizę przebudowy budowli piętrzących, budowy przepławek wskazaną do kilometrów. I tutaj informacja z tego, co zostało mi przekazane dotyczyła budowli już istniejących. Jeśli jest wiedza, że jakieś informacje już mamy powiedzmy niepewne, lub tych budowli jeszcze nie ma, to także byśmy prosili o informacje. Może wskażemy tam weryfikację, możliwość zastąpienia tych budowli np. bystrzami, czy w taki sposób, żeby tę ciągłość morfologiczną jednak zachować, z racji tego, że cele środowiskowe to jest nie tylko sama ciągłość, ale także siedliska niezbędne do tego, aby ta ichtiofauna miała możliwość rozrodu i bytowania. Tutaj mamy obszar Natury 2000 i Pan tu wspomniał o pracach utrzymaniowych, pogłębianiu, wskazano również działanie dotyczące prac utrzymaniowych, czyli weryfikacja wpływu tych prac i możliwość modyfikacji. Jeżeli jest wiedza, że rzeczywiście te działania negatywnie oddziałowują na cele, zwłaszcza wskazane w planie zadań ochronnych, czy wskazane dla obszarów dolina Bukówki, to jak najbardziej byśmy prosili o te informacje. Eksperci się na pewno ustosunkują i udzielą odpowiedzi. Tak jak powiedziałam, jeżeli te budowle rzeczywiście jeszcze nie zostały wybudowane, to przeanalizujemy możliwość innej formy, bo tutaj ten ciek został wskazany do udrożnienia w oparciu o priorytety, czyli jest to ciek szczególnie istotny bądź te cele środowiskowe nie zostały spełnione dla gatunków chronionych.</w:t>
            </w:r>
          </w:p>
        </w:tc>
      </w:tr>
      <w:tr w:rsidR="001C4812" w:rsidRPr="0028666F" w14:paraId="2ECD8E8A"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8A70AC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545</w:t>
            </w:r>
          </w:p>
        </w:tc>
        <w:tc>
          <w:tcPr>
            <w:tcW w:w="970" w:type="dxa"/>
            <w:tcBorders>
              <w:top w:val="single" w:sz="4" w:space="0" w:color="auto"/>
              <w:left w:val="single" w:sz="4" w:space="0" w:color="auto"/>
              <w:bottom w:val="single" w:sz="4" w:space="0" w:color="auto"/>
            </w:tcBorders>
            <w:shd w:val="clear" w:color="auto" w:fill="auto"/>
          </w:tcPr>
          <w:p w14:paraId="0B548BD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585AF5E"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4A5711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9EFF47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Absurdalne jest, że na rzece Kcynce, jednej z gorszych regulacji w Polsce w ostatnich latach nie wyznaczono presji hydromorfologicznej. Jest to naturalna część wód. Wydana w 2021 decyzja pozwoli na &amp;#34;dokończenie&amp;#34; rzeki. Czy jest możliwość dopisania pakietu działań renaturyzacyjnch po zakończeniu regulacji?</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158352A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A06921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91EF91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4458E9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B7BFE0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t>Ja sprawdziłam zestaw działań dla tej konkretnej jednolitej i tutaj co do statusu nie będę dyskutować, ponieważ projekt IIaPGW konsumował pewne programy i projekty dokumentów, które zostały opracowane wcześniej. Przy wyznaczaniu statusu, kierowano się szeregiem różnych przesłanek w ramach zrealizowanego projektu dot. silnie zmienionych i sztucznych części wód - teraz nie jest czas, żeby je weryfikować. Jeżeli chodzi o konkretną jednolitą mamy wskazane działanie na drożność. I tutaj pojawiły się działania, które mają na celu przywrócenie ciągłości biologicznej i zapewnienie możliwości spełnienia celów środowiskowych. Jeżeli chodzi o propozycję działań, które Państwo by widzieli w ramach pakietu działań renaturyzacyjnych, czy potrzeb, to jak najbardziej można zgłaszać takie potrzeby na formularzach. Jeżeli chodzi o weryfikację zasadności wdrożenia zespół ekspertów będzie analizował presje, które zostały wskazane dla tej jednolitej części wód. Pamiętajmy, że jednolita część wód, kiedy zostaje wskazana jako silnie zmieniona, posiada pewne przekształcenia, pełniące funkcje. Oczywiście działania, o których tutaj wspomina autor pytania poprzedzone są uzyskaniem dokumentacji. Ja przekonana jestem, że były wykonywane oceny oddziaływania na środowisko w przypadku, kiedy dotyczyło to siedlisk chronionych, łęgowych czy nadrzecznych. Z pewnością taki wpływ na środowisko był wymagany. W związku z tym działania minimalizacyjne i kompensujące także. Oczywiście, tak jak powiedziałam, to jest indywidualne podejście, więc prosimy o wypełnienie formularza, zawarcie informacji, ewentualnie wskazanie działań. Będziemy jako eksperci weryfikować możliwość ich wdrożenia. Chętnie takie działania dopiszemy.</w:t>
            </w:r>
          </w:p>
        </w:tc>
      </w:tr>
      <w:tr w:rsidR="001C4812" w:rsidRPr="0028666F" w14:paraId="3D7AEB4E"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EE213DC"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546</w:t>
            </w:r>
          </w:p>
        </w:tc>
        <w:tc>
          <w:tcPr>
            <w:tcW w:w="970" w:type="dxa"/>
            <w:tcBorders>
              <w:top w:val="single" w:sz="4" w:space="0" w:color="auto"/>
              <w:left w:val="single" w:sz="4" w:space="0" w:color="auto"/>
              <w:bottom w:val="single" w:sz="4" w:space="0" w:color="auto"/>
            </w:tcBorders>
            <w:shd w:val="clear" w:color="auto" w:fill="auto"/>
          </w:tcPr>
          <w:p w14:paraId="62209C9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MPWiK w m.st. Warszawie S.A.</w:t>
            </w:r>
          </w:p>
        </w:tc>
        <w:tc>
          <w:tcPr>
            <w:tcW w:w="165" w:type="dxa"/>
            <w:tcBorders>
              <w:top w:val="nil"/>
              <w:left w:val="nil"/>
              <w:bottom w:val="single" w:sz="4" w:space="0" w:color="auto"/>
              <w:right w:val="single" w:sz="4" w:space="0" w:color="auto"/>
            </w:tcBorders>
            <w:shd w:val="clear" w:color="auto" w:fill="auto"/>
          </w:tcPr>
          <w:p w14:paraId="18241324"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AFF0E1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5CC632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Jakie rozwiązanie PGW proponuje w związku wysokim stężeniem chlorków w Wiśle , których źródłem są zasolone wody odprowadzane do rzeki z zakładów górniczych? Oprócz tego, ze nie są osiągane cele środowiskowe (stężenie chlorków nie powinno być wyższe niż 75,6 mg/l) , ma to również wpływ na jakość wody dostarczanej mieszkańcom, w przypadku gdy źródłem wody jest rzeka Wisła. Woda ujmowana z Wisły ze względu na wysoką jak dla wody powierzchniowej zawartość chlorków, cechuje się stosunkowo dużą korozyjnością, co przyczynia się m.in. do tzw. wtórnego zanieczyszczenie produktami korozji w sieci wodociągowej (wzrost kosztów gospodarczych i społecznych). Zagadnienie nabiera szczególnego znaczenia w kontekście obserwowanych zmian klimatycznych i wydłużających się okresów suszy hydrologicznej, co w dalszej perspektywie będzie pogłębiać problem wysokiego stężenia chlorów w rzece Wiśle, których poziom wzrasta przy niskich stanach wody w rzece. Biorąc pod uwagę nadrzędny interes społeczny, którym jest zaopatrzenie ludności w wodę, czy zostały przewidziane działania mające na celu zaostrzenie przepisów prawnych, dotyczących jakości wód kopalnianych, odprowadzanych do wód powierzchniowych?</w:t>
            </w:r>
          </w:p>
        </w:tc>
        <w:tc>
          <w:tcPr>
            <w:tcW w:w="2733" w:type="dxa"/>
            <w:tcBorders>
              <w:top w:val="single" w:sz="4" w:space="0" w:color="auto"/>
              <w:left w:val="nil"/>
              <w:bottom w:val="single" w:sz="4" w:space="0" w:color="auto"/>
              <w:right w:val="single" w:sz="4" w:space="0" w:color="auto"/>
            </w:tcBorders>
            <w:shd w:val="clear" w:color="auto" w:fill="auto"/>
          </w:tcPr>
          <w:p w14:paraId="6D05482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EADF0B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1F8495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D23472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D6CAEC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Potrzeba zaostrzenia przepisów zawartych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 z 2019 r. poz. 1311) lub w poszczególnych pozwoleniach wodnoprawnych jest na bieżąco analizowana i aktualizowana. Zaopatrzenie w wodę pitną oraz energię elektryczną są elementami infrastrukry krytycznej i oba aspekty są ważne dla szeroko pojętego interesu społecznego. Ponadto wdrażany plan przeciwdziałania skutkom suszy powinnien przyczynić się do zmniejszenia częstotliwości występowania niżówek i zjawiska zatężenia zanieczyszczeń w wodach rzek.</w:t>
            </w:r>
          </w:p>
        </w:tc>
      </w:tr>
      <w:tr w:rsidR="001C4812" w:rsidRPr="0028666F" w14:paraId="30D7C111"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FA1DA5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547</w:t>
            </w:r>
          </w:p>
        </w:tc>
        <w:tc>
          <w:tcPr>
            <w:tcW w:w="970" w:type="dxa"/>
            <w:tcBorders>
              <w:top w:val="single" w:sz="4" w:space="0" w:color="auto"/>
              <w:left w:val="single" w:sz="4" w:space="0" w:color="auto"/>
              <w:bottom w:val="single" w:sz="4" w:space="0" w:color="auto"/>
            </w:tcBorders>
            <w:shd w:val="clear" w:color="auto" w:fill="auto"/>
          </w:tcPr>
          <w:p w14:paraId="6F420EA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Czas Nieruchomości </w:t>
            </w:r>
          </w:p>
        </w:tc>
        <w:tc>
          <w:tcPr>
            <w:tcW w:w="165" w:type="dxa"/>
            <w:tcBorders>
              <w:top w:val="nil"/>
              <w:left w:val="nil"/>
              <w:bottom w:val="single" w:sz="4" w:space="0" w:color="auto"/>
              <w:right w:val="single" w:sz="4" w:space="0" w:color="auto"/>
            </w:tcBorders>
            <w:shd w:val="clear" w:color="auto" w:fill="auto"/>
          </w:tcPr>
          <w:p w14:paraId="5437F3D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192E96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C11143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Noteć Górna od Kruszwicy aż do Barcina jest w wielu miejscach fatalnie zaniedbana...W wielu miejscach zamulona o głębokości szlaku wodnego często poniżej 1 m...Przypomnijmy jeszcze w latach 50-60 pływały tędy barki z towarami a dziś szerokość w niektórych miejscach kilka metrów oraz głębokość w wielu miejscach poniżej 1m powoduje skutek w braku rozwoju turystyki wodnej oraz działa też źle np na rybostan. Czy są jakieś plany aby poprawić ten stan rzeczy ?</w:t>
            </w:r>
          </w:p>
        </w:tc>
        <w:tc>
          <w:tcPr>
            <w:tcW w:w="2733" w:type="dxa"/>
            <w:tcBorders>
              <w:top w:val="single" w:sz="4" w:space="0" w:color="auto"/>
              <w:left w:val="nil"/>
              <w:bottom w:val="single" w:sz="4" w:space="0" w:color="auto"/>
              <w:right w:val="single" w:sz="4" w:space="0" w:color="auto"/>
            </w:tcBorders>
            <w:shd w:val="clear" w:color="auto" w:fill="auto"/>
          </w:tcPr>
          <w:p w14:paraId="36428A1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1B81AE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EEBD5A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87005B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C98112D" w14:textId="4296324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Głównym celem 2apgw jest koordynowanie działań mających na celu osiągnięcie lub utrzymanie co najmniej dobrego stanu wód oraz ekosystemów od wód zależnych. Przywróceniu warunków dla niezawodnego transportu wodnego śródlądowego na śródlądowych drogach wodnych w Polsce służy Krajowy Program Żeglugowy 2030 (KPŻ2030).</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Jednakże 2apgw uwzględnia sposoby użutkowania wód: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RW RW6000111881999 Noteć od Kanału Warta-Gopło do Noteci Zachodniej została wyznaczona jako silnie zmieniona część wód (SZCW) m.in. z uwagi na transport żeglugowy. w związku z powyższym cele środowiskowe zostały zastosowane do tej funkcji.</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Działania naprawcze IIaPGW mają służyć poprawie stanu wód, zachowaniu dobrego stanu wód i umożliwienia spełnienia celów środowiskowych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RW RW6000111881999 Noteć od Kanału Warta-Gopło do Noteci Zachodniej wyznaczona jako SZCW, w zestawie działań 2apgw wskazano dla tej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działania mające na celu poprawę jakości wód w tym: Przebudowa sieci kanalizacyjnej w ul. Sikorskiego i Alei Kopernika w Inowrocławiu, Budowa sieci kanalizacji sanitarnej w Radziejowie IV etap, Modernizacja sieci kanalizacji sanitarnej w Radziejowie ,Modernizacja części osadowej oczyszczalni ścieków w aglomeracji Inowrocław w celu poprawy jakości odprowadzanych ścieków (ID oczyszczalni: PLKP0070). Obligatoryjne dla tej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są działania zawarte w katalogu krajowego załącznik 7.1 wynikające z Dyrektywy Parlamentu Europejskiego i Rady 2000/60/WE z dnia 23 października 2000 r. ustanawiająca ramy wspólnotowego działania w dziedzinie polityki wodnej (Dz.U. UE L 327 z dnia 22 grudnia 2000 r.), w tym: Prowadzenie prac utrzymaniowych zgodnie z Katalogiem dobrych praktyk prac utrzymaniowych i robót hydrotechnicznych oraz Zakaz prac utrzymaniowych negatywnie wpływających na cele środowiskowe na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zlokalizowanych na ciekach znajdujących się na terenach: parków narodowych, rezerwatów przyrody oraz w obszarach Natura 2000, za wyjątkiem działań na terenach zabudowanych. Ze względu na zły stan ilościowy wód podziemnych wskazano działania w Załączniku 7.7., których realizacja będzie miała wpływ na poprawę stanu wód powierzchniowych w tym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 . Działania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to między innymi: ograniczenie zużycia wody w rolnictwie, przeprowadzenie szkoleń dla prowadzących działalność rolniczą w zakresie możliwości zastosowania wodooszczędnych technik nawadniania gruntów ornych oraz sposobów retencjonowania i zagospodarowania wód opadowych w rolnictwie wraz z przekazaniem informacji o możliwych programach pozyskiwania środków na realizację działań w dowiązaniu do specyfiki produkcji rolnej; w przemyśle: przeprowadzenie przez podmiot prowadzący działalność gospodarczą analizy możliwości ograniczenia zużycia wody w przemyśle poprzez zastosowanie najlepszych dostępnych technik oszczędzających wodę wraz z oceną możliwości ich zastosowania, opracowanie wniosku na potrzeby ustanowienia obszaru ochronnego zbiornika wód śródlądowych dla GZWP nr 138 (Pradolina Toruń-Eberswalde (Noteć)), wydanie rozporządzenia ustanawiającego obszar ochronny zbiornika wód śródlądowych, w drodze aktu prawa miejscowego dla GZWP nr 138 (Pradolina Toruń - Eberswalde (Noteć)), dodatkowy przegląd pozwoleń wodnoprawnych, uwzględniający faktyczne zapotrzebowanie na wodę oraz dostępne zasoby wód podziemnych, a nie możliwości techniczne poboru wody z ujęcia, wykonanie dokumentacji hydrogeologicznej określającej warunki hydrogeologiczne w związku z zakończeniem odwadniania odkrywki Tomisławice ZG PAK Kopalni Węgla Brunatnego Konin SA, opracowanej i zatwierdzonej zgodnie z ustawą z dnia 9 czerwca 2011 roku Prawo geologiczne i górnicze oraz rozporządzeniem Ministra Środowiska z dnia 18 listopada 2016 r. w sprawie dokumentacji hydrogeologicznej i geologiczno-inżynierskiej, przeprowadzenie szkoleń dla prowadzących działalność rolniczą w zakresie stosowania działań ze "Zbioru zaleceń dobrej praktyki rolniczej" oraz rozpoznania warunków środowiskowych w celu doboru optymalnych działań ze "Zbioru zaleceń dobrej praktyki rolniczej". Rozpoznanie po szkoleniu powinien prowadzić prowadzący działalność rolniczą, w doborze właściwych praktyk powinien prowadzącego działalność wspomagać ODR, opracowanie programu zagospodarowania wód odwodnieniowych (zrzut do wód powierzchniowych, uwzględniający warunki przyrodnicze i hydrologiczne wód powierzchniowych i hydrogeologiczne wód podziemnych), złożenie wniosków o weryfikację zasobów eksploatacyjnych ujęć wód podziemnych w trybie wykonania dodatku do dokumentacji hydrogeologicznej, do właściwych organów administracji geologicznej.</w:t>
            </w:r>
          </w:p>
        </w:tc>
      </w:tr>
      <w:tr w:rsidR="001C4812" w:rsidRPr="0028666F" w14:paraId="7CF9992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0167B3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548</w:t>
            </w:r>
          </w:p>
        </w:tc>
        <w:tc>
          <w:tcPr>
            <w:tcW w:w="970" w:type="dxa"/>
            <w:tcBorders>
              <w:top w:val="single" w:sz="4" w:space="0" w:color="auto"/>
              <w:left w:val="single" w:sz="4" w:space="0" w:color="auto"/>
              <w:bottom w:val="single" w:sz="4" w:space="0" w:color="auto"/>
            </w:tcBorders>
            <w:shd w:val="clear" w:color="auto" w:fill="auto"/>
          </w:tcPr>
          <w:p w14:paraId="59820F9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Kcynia</w:t>
            </w:r>
          </w:p>
        </w:tc>
        <w:tc>
          <w:tcPr>
            <w:tcW w:w="165" w:type="dxa"/>
            <w:tcBorders>
              <w:top w:val="nil"/>
              <w:left w:val="nil"/>
              <w:bottom w:val="single" w:sz="4" w:space="0" w:color="auto"/>
              <w:right w:val="single" w:sz="4" w:space="0" w:color="auto"/>
            </w:tcBorders>
            <w:shd w:val="clear" w:color="auto" w:fill="auto"/>
          </w:tcPr>
          <w:p w14:paraId="6D9C5A62"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244559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2946297" w14:textId="12A13062"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Na podstawie dokonanej w 2019 r. pogłębionej analizy presji na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Kcynka RW600017188529 wynika, że rzeczka ta została zakwalifikowana do wód, która nieosiąganie dobrego stanu wód ze względu na stan fizyko-chemiczny. Czy starając się o uzyskanie decyzji środowiskowej wymaganej sporządzeniem raportu środowiskowego przed 2018 r. - zanim powołano organ Wody Polskie nie powinno w tym raporcie odnieść się do tego dokumentu jeżeli decyzja został wydana w 2021, a postępowanie rozpoczęło się w 2016 r.?</w:t>
            </w:r>
          </w:p>
        </w:tc>
        <w:tc>
          <w:tcPr>
            <w:tcW w:w="2733" w:type="dxa"/>
            <w:tcBorders>
              <w:top w:val="single" w:sz="4" w:space="0" w:color="auto"/>
              <w:left w:val="nil"/>
              <w:bottom w:val="single" w:sz="4" w:space="0" w:color="auto"/>
              <w:right w:val="single" w:sz="4" w:space="0" w:color="auto"/>
            </w:tcBorders>
            <w:shd w:val="clear" w:color="auto" w:fill="auto"/>
          </w:tcPr>
          <w:p w14:paraId="0197017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91F039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5D8E8B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D653A7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F80D860" w14:textId="79486EA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Wyniki pogłębionej analizy presji nie stanowią dokumentu bazowego na potrzeby przeprowadzanych ocen oddziaływania na środowisko planowanych przedsięwzięć w zakresie oddziaływania na osiągnięcie celów środowiskowych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Do czasu wejścia w życie IIaPGW, dokumentem obowiązującym jest aPGW (2016). W ramach opracowywania raportów ooś autorzy przywoływać mogą/powinni dostępne, możliwie najbardziej aktualne dane dotyczące danego zagadnienia. Niemniej jednak nie oznacza to zasadności wymogu uwzględnienia wyników pogłębionej analizy presji, jeżeli zakres przygotowanego raportu jest zgodny z wymogami ustawy ooś.</w:t>
            </w:r>
          </w:p>
        </w:tc>
      </w:tr>
      <w:tr w:rsidR="001C4812" w:rsidRPr="0028666F" w14:paraId="456B34E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E74D1BF"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549</w:t>
            </w:r>
          </w:p>
        </w:tc>
        <w:tc>
          <w:tcPr>
            <w:tcW w:w="970" w:type="dxa"/>
            <w:tcBorders>
              <w:top w:val="single" w:sz="4" w:space="0" w:color="auto"/>
              <w:left w:val="single" w:sz="4" w:space="0" w:color="auto"/>
              <w:bottom w:val="single" w:sz="4" w:space="0" w:color="auto"/>
            </w:tcBorders>
            <w:shd w:val="clear" w:color="auto" w:fill="auto"/>
          </w:tcPr>
          <w:p w14:paraId="329F53F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2564304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F9DB51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039194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Górna Noteć to olbrzymi problem przesuszenia Kujaw wynikający z funkcjonowania kopalni odkrywowych. Tu nie pomoże Zbiornik Siarzewo, czy podpiętzranie rzek i jezior (zwiększenie presji hydromorfo), tylko ograniczenie wpływu u źródeł - kopalni. Czy WP mają jakikolwiek wpływ na ich funkcjonowanie? Czy możliwe jest choćby wymuszenie takich działań jak na KWB Turów (przesłony)?</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198AD40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DF46B8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4CDFE3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D9EA50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A2CD81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Dostrzegamy ten problem i z wielką troską temu problemowi się przyglądamy i staramy się znaleźć działania zaradcze, czyli środki, które spowodują, że ta sytuacja się poprawi. Niemniej jednak, w tym pytaniu zawartych jest kilka ważnych elementów, ale troszkę nie do końca ze sobą powiązanych. Zbiornik Siarzewo to przede wszystkim jest zbiornik, który jest planowany do wykonania na Wiśle, czyli to jest dorzecze Wisły, natomiast Górna Noteć, to mówimy tutaj o dorzeczu Odry. Więc jedno na drugie nie będzie miało wpływu. Natomiast oczywiście prawdą jest, że funkcjonowanie górnictwa odkrywkowego w tym momencie na tym rejonie, jak wspominałam funkcjonują odkrywki węgla brunatnego. One niewątpliwie mają wpływ, jeżeli chodzi o stan zasobów wodnych, zarówno wód powierzchniowych jak i podziemnych, na tym rejonie. Wspominałam o tym, że bardzo ważne jest, żeby szczególnie przy prowadzeniu tego typu działalności górniczej, była ona poprzedzona bardzo szczegółowymi analizami, związanymi z odwodnieniem, z prowadzeniem eksploatacji, z likwidacją odkrywek, i z ochroną zasobów wodnych w tym rejonie. Ten obszar Górnej Noteci, zresztą w ogóle cały ten obszar północnej wielkopolski jest bardzo wrażliwym i specyficznym regionem. Tutaj nakładają się na te problemy związane z zasobami wodnymi, mówię o sprawach ilościowych, nakładają się zarówno elementy naturalne, bo jest to obszar naturalnie predysponowany do występowania susz. Jest to obszar Polski, w którym częstotliwość występowania susz, różnych jej etapów, mam na myśli zarówno suszę atmosferyczną, hydrologiczną, rolniczą, czy wreszcie suszę niżówkę hydrogeologiczną, gdzie ta częstotliwość występowania tego zjawiska jest stosunkowo duża, jedna z największych w naszym kraju. Te warunki naturalne związane z niewielką ilością opadów, z odpływem podziemnym, ze specyfiką tego regionu - jesteśmy tutaj w strefie wododziałowej pomiędzy dorzeczem Wisły i Odry, więc to też ta specyfika, hydrodynamika w takich regionach cechuje się odmienną specyfiką. Więc z jednej strony ten obszar jest tak jak powiedziałam w sposób naturalny, predysponowany do występowania zjawiska suszy. Często to zjawisko występuje, no a z drugiej strony prowadzona działalność, zagospodarowanie terenu także potęguje te naturalne zjawiska i oczywiście wpływa w sposób też negatywny. Ale mam tu na myśli nie tylko działalność górniczą, która, żeby kopalina mogła być eksploatowana to odwodnienie musi być prowadzone. W tym przypadku jest to odwodnienie w głębszych poziomach, ale ono także się przekłada na te poziomy płytsze, ma mniejszy zasięg, ale jednak też się przekłada. Natomiast specyfika tego regionu, czyli działalność rolnicza również ma wpływ niewątpliwie na kwestie związane z deficytem zasobów wodnych, spadek lesistości. Wiele tu jest elementów, które w sposób powiązany powodują, że np. pojezierze powickie, czy w ogóle pojezierze gnieźnieńskie, faktycznie jest dotknięte kwestią ubytków wody, czy nawet wręcz deficytów, czy charakteryzuje się jakimś tam ujemnym deficytem wodnym. Możemy temu zaradzić w ten sposób, że po prostu ta działalność, która jest realizowana, która jest prowadzona i mam tu na myśli zarówno działalność górniczą oczywiście, ale także inne sposoby zagospodarowania tego terenu, no one muszą być robione zawsze z wielką troską o te zasoby wodne. Są planowane do realizacji, przez jednostki terytorialne, szereg inwestycji właśnie podpiętrzeń, zastawek, mających na celu spowolnienie odpływu, zatrzymanie wody w jeziorach, zatrzymanie wody w rzekach. Jeżeli chodzi o pojezierze powickie, planowane jest i teraz są prowadzone szerokie analizy i konsultacje takiej koncepcji przerzutu wody z kanału ślesickiego do jeziora wilczyńskiego, żeby te ubytki w jeziorach uzupełnić. Szereg rozwiązań i działań wydaje się bardziej lub mniej technicznych, jest możliwych do realizacji. Konieczna jest współpraca pomiędzy wszystkimi podmiotami zaangażowanymi czy funkcjonującymi w tym regionie, zarówno tej jednostki, która prowadzi działalność górniczą, jak również władz lokalnych, samorządowych i tej władzy związanej z gospodarką wodną, żeby te działania faktycznie były prowadzone w sposób kompleksowy, żeby te analizy poprzedzały wszelkie wdrażane inwestycje.</w:t>
            </w:r>
          </w:p>
        </w:tc>
      </w:tr>
      <w:tr w:rsidR="001C4812" w:rsidRPr="0028666F" w14:paraId="3811E7F2"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CD8C155"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550</w:t>
            </w:r>
          </w:p>
        </w:tc>
        <w:tc>
          <w:tcPr>
            <w:tcW w:w="970" w:type="dxa"/>
            <w:tcBorders>
              <w:top w:val="single" w:sz="4" w:space="0" w:color="auto"/>
              <w:left w:val="single" w:sz="4" w:space="0" w:color="auto"/>
              <w:bottom w:val="single" w:sz="4" w:space="0" w:color="auto"/>
            </w:tcBorders>
            <w:shd w:val="clear" w:color="auto" w:fill="auto"/>
          </w:tcPr>
          <w:p w14:paraId="627D9DB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817518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19FE47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E0D629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Kiedy w końcu odbędą się konsultacje prognozy oddziaływania na środowisko IIaPGW? Czy będą w tracie konsultacji dokumentu (ja miało być), czy po tym okresie?</w:t>
            </w:r>
          </w:p>
        </w:tc>
        <w:tc>
          <w:tcPr>
            <w:tcW w:w="2733" w:type="dxa"/>
            <w:tcBorders>
              <w:top w:val="single" w:sz="4" w:space="0" w:color="auto"/>
              <w:left w:val="nil"/>
              <w:bottom w:val="single" w:sz="4" w:space="0" w:color="auto"/>
              <w:right w:val="single" w:sz="4" w:space="0" w:color="auto"/>
            </w:tcBorders>
            <w:shd w:val="clear" w:color="auto" w:fill="auto"/>
          </w:tcPr>
          <w:p w14:paraId="128BB97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555AB7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29FF3C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D57392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638B20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Kilkakrotnie wskazywaliśmy, zachęcaliśmy i dziękujemy, że Państwo są czujni i pamiętacie, że strategiczna ocena przeprowadzana jest dla IIaPGW i będą konsultacje społeczne. Sama procedura Strategicznej Oceny Oddziaływania na Środowisko jest o tyle istotna czy jej moment rozpoczęcia jest o tyle istotny, że poddawane strategicznym ocenom są projekty IIaPGW, które powinny w idealnym procesie, harmonogramie być w zasadzie ostateczne po konsultacjach społecznych, a więc takie w których potencjalne zmiany już nie następują, chyba, że właśnie w wyniku przeprowadzanych strategicznych ocen oddziaływania na środowisko. Konieczność równoległego przeprowadzenia tych dwóch procesów, aby harmonogramy mogły się zgrać i te terminy wymagane przez Komisję Europejską mogły być realne przyjęte jest tak, że Strategiczna Ocena Odziaływania na Środowisko prowadzona jest poniekąd równolegle, natomiast możliwie jak na najbardziej zaawansowanym etapie, kiedy te projekty IIaPGW mają już niewielką szansę na modyfikację. Mówiąc wprost, każda zmiana po rozpoczęciu strategicznej oceny oddziaływania na środowisko będzie powodowała konieczność powtarzania całej procedury. Jeszcze w trakcie trwania konsultacji społecznych IIaPGW rozpoczną się konsultacje społeczne strategicznej oceny, o których zostaniecie Państwo poinformowani, bo zgodnie ze wszystkimi wymogami ta informacja jest wcześniej podawana do publicznej wiadomości, a więc chwila cierpliwości już niedługo na pewno będą. Konsultacje społeczne Strategicznej Oceny Oddziaływania na Środowisko IIaPGW zostały przeprowadzone w dniach od 30 września do 20 października 2021 roku.</w:t>
            </w:r>
          </w:p>
        </w:tc>
      </w:tr>
      <w:tr w:rsidR="001C4812" w:rsidRPr="0028666F" w14:paraId="36A4100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1FBF400"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551</w:t>
            </w:r>
          </w:p>
        </w:tc>
        <w:tc>
          <w:tcPr>
            <w:tcW w:w="970" w:type="dxa"/>
            <w:tcBorders>
              <w:top w:val="single" w:sz="4" w:space="0" w:color="auto"/>
              <w:left w:val="single" w:sz="4" w:space="0" w:color="auto"/>
              <w:bottom w:val="single" w:sz="4" w:space="0" w:color="auto"/>
            </w:tcBorders>
            <w:shd w:val="clear" w:color="auto" w:fill="auto"/>
          </w:tcPr>
          <w:p w14:paraId="59CC699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1FC55B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870673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B34120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Dobre pytanie p. radnego Pezackiego. Szczególnie w przypadku Kcynki, która od lat jest regulowana i teraz ma być kontynuacja. Działanie, które raczej wydrenuje pola niż wpłynie pozytywnie na rolnictwo. To samo z wezbraniami.</w:t>
            </w:r>
          </w:p>
        </w:tc>
        <w:tc>
          <w:tcPr>
            <w:tcW w:w="2733" w:type="dxa"/>
            <w:tcBorders>
              <w:top w:val="single" w:sz="4" w:space="0" w:color="auto"/>
              <w:left w:val="nil"/>
              <w:bottom w:val="single" w:sz="4" w:space="0" w:color="auto"/>
              <w:right w:val="single" w:sz="4" w:space="0" w:color="auto"/>
            </w:tcBorders>
            <w:shd w:val="clear" w:color="auto" w:fill="auto"/>
          </w:tcPr>
          <w:p w14:paraId="07A5669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F5DC84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BDA588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28377E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89AD32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Brak możliwości odniesienia się do uwagi ze względu na brak dookreślonego w treści pytania, czy wniosku.</w:t>
            </w:r>
          </w:p>
        </w:tc>
      </w:tr>
      <w:tr w:rsidR="001C4812" w:rsidRPr="0028666F" w14:paraId="388CC427"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F08EE7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552</w:t>
            </w:r>
          </w:p>
        </w:tc>
        <w:tc>
          <w:tcPr>
            <w:tcW w:w="970" w:type="dxa"/>
            <w:tcBorders>
              <w:top w:val="single" w:sz="4" w:space="0" w:color="auto"/>
              <w:left w:val="single" w:sz="4" w:space="0" w:color="auto"/>
              <w:bottom w:val="single" w:sz="4" w:space="0" w:color="auto"/>
            </w:tcBorders>
            <w:shd w:val="clear" w:color="auto" w:fill="auto"/>
          </w:tcPr>
          <w:p w14:paraId="24B0889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Kcynia</w:t>
            </w:r>
          </w:p>
        </w:tc>
        <w:tc>
          <w:tcPr>
            <w:tcW w:w="165" w:type="dxa"/>
            <w:tcBorders>
              <w:top w:val="nil"/>
              <w:left w:val="nil"/>
              <w:bottom w:val="single" w:sz="4" w:space="0" w:color="auto"/>
              <w:right w:val="single" w:sz="4" w:space="0" w:color="auto"/>
            </w:tcBorders>
            <w:shd w:val="clear" w:color="auto" w:fill="auto"/>
          </w:tcPr>
          <w:p w14:paraId="2376033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167464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200DD93" w14:textId="0899EBAD"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Na czym konkretnie będą polegały działania ukierunkowane na redukcję presji na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w ograniczeniu skumulowanych, chemicznych i fizykochemicznych zanieczyszczeń rozproszonych z rolnictwa? Na czym będą polegały wspominane w poprzedniej prezentacji &amp;#34;strefy buforowe&amp;#34; oraz ich umocowanie prawne?</w:t>
            </w:r>
          </w:p>
        </w:tc>
        <w:tc>
          <w:tcPr>
            <w:tcW w:w="2733" w:type="dxa"/>
            <w:tcBorders>
              <w:top w:val="single" w:sz="4" w:space="0" w:color="auto"/>
              <w:left w:val="nil"/>
              <w:bottom w:val="single" w:sz="4" w:space="0" w:color="auto"/>
              <w:right w:val="single" w:sz="4" w:space="0" w:color="auto"/>
            </w:tcBorders>
            <w:shd w:val="clear" w:color="auto" w:fill="auto"/>
          </w:tcPr>
          <w:p w14:paraId="264135E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EBED5A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A16907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EB07B7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37E8A4E" w14:textId="387674CB"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Jeżeli chodzi o presje ze źródeł rozproszonych, to w tej aktualizacji planów gospodarowania udało się zidentyfikować, w których przypadkach za jakie zanieczyszczenia odpowiada presja rozproszona – źródła rolnicze. Tutaj ogromna praca, która została wykonana, to identyfikacja tych źródeł, że konkretne przekroczone substancje biogenne pochodzą właśnie z tych źródeł. To był pierwszy element. Drugi, mamy pakiet działań. I one są zarówno na poziomie krajowym – to są zakazy, nakazy, kontrole, ale także dobre praktyki. Na poziomie indywidualnych działań naprawczych, tutaj są wspomniane strefy buforowe, ale mamy także kontrole programu azotanowego, gdzie odpowiedzialny jest GIOŚ, za wykonanie tych działań czy działania edukacyjne. W przypadku działań buforowych, są one szczególnie istotne i były głównie wskazywane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jeziornych. W nawiązaniu do krajowego programu renaturyzacji, tutaj te strefy buforowe zostały potraktowane jako priorytetowe z tego względu, że są bardzo optymalnymi działaniami i przynoszącymi szybki efekt z otrzymania ładunków biogenów, które dostają się do jezior. I w przypadku podmiotów odpowiedzialnych za te strefy buforowe to jest tak, jak pozwala prawo. Mamy właściciela wód odpowiedzialnego za pewne strefy, mamy też właścicieli indywidualnych. Często są to rolnicy, dla których zaproponowano działania w formie edukacyjnych by przekazywać informacje i wiedzę, dlaczego te strefy buforowe powinni tworzyć i powinno być to w ich interesie. Poprawa jakości wód w jeziorach bezpośrednio będzie przekładać się również na stosunki wodne w zlewni np. w przypadku programów rekultywacji dla jezior również są wskazane działania polegające na odtwarzaniu stref buforowych. Także tutaj, indywidualnie już do każdej jednolitej części wód, jest przypisany również podmiot odpowiedzialny za realizację. W przypadku tych źródeł rozproszonych mogliśmy weryfikować na podstawie markerów, które źródło presji jest bardziej odpowiedzialne za stan fizykochemiczny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Natomiast cały pakiet działań ma na celu eliminacje i poprawę stanu jakościowego, czyli pakiet zarówno, jeżeli chodzi o wdrożenie krajowego programu oczyszczania, czy wdrożenie w tym momencie działań dla gruntów rolniczych. To jest bardzo szczegółowo opracowany zestaw, w tym nawet działania, które polegają na poprawie retencji na gruntach rolniczych, wskazywane jako presje skumulowane przyczyniają się także do tego redukowania ładunków, które dostają się do wód powierzchniowych, bo polegają np. na zatrzymywaniu wody w rowach melioracyjnych. W pewien sposób zapobiegają bezpośrednio dostawom chociażby podawanych w opadach. Jeżeli chodzi o ten pakiet działań skierowanych na eliminację źródeł zanieczyszczeń pochodzenia rolniczego jest bardzo szeroki i precyzyjnie dobierany niż do konkretnych presji. Myślę, że odpowiemy bardziej szczegółowo na Państwa wszystkie pytania, szczegółowo w wersji pisemnej. Mam nadzieję, że chociaż w części wyjaśniłam cały proces tworzenie zestawów działań w aspekcie likwidowania tych presji.</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Jedno z działań dotyczących projektu konsultowanego obecnie planu zarządzania ryzykiem powodziowym również przewiduje wdrożenie mechanizmów zapisanych w instrumentach zarządzania ryzykiem powodziowym a wśród tych mechanizmów są między innymi zmiany prawne ukierunkowane między innymi właśnie na strefy buforowe wzdłuż cieków wodnych. W tym zakresie odsyłam Państwa do spotkań konsultacyjnych, dotyczących planów zarządzania ryzykiem powodziowym. Najbliższe już jutro, www.stoppowodzi.pl</w:t>
            </w:r>
          </w:p>
        </w:tc>
      </w:tr>
      <w:tr w:rsidR="001C4812" w:rsidRPr="0028666F" w14:paraId="6079E50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B4DE2A4"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553</w:t>
            </w:r>
          </w:p>
        </w:tc>
        <w:tc>
          <w:tcPr>
            <w:tcW w:w="970" w:type="dxa"/>
            <w:tcBorders>
              <w:top w:val="single" w:sz="4" w:space="0" w:color="auto"/>
              <w:left w:val="single" w:sz="4" w:space="0" w:color="auto"/>
              <w:bottom w:val="single" w:sz="4" w:space="0" w:color="auto"/>
            </w:tcBorders>
            <w:shd w:val="clear" w:color="auto" w:fill="auto"/>
          </w:tcPr>
          <w:p w14:paraId="45FC523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BEB015C"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1A0308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97208C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złagodzenie z art. 4.5 jest udokumentowane w IIapgw czy w dokumentach towarzyszących?</w:t>
            </w:r>
            <w:r w:rsidRPr="008B085E">
              <w:rPr>
                <w:rFonts w:ascii="Calibri" w:eastAsia="Times New Roman" w:hAnsi="Calibri" w:cs="Calibri"/>
                <w:color w:val="000000"/>
                <w:sz w:val="18"/>
                <w:szCs w:val="18"/>
                <w:lang w:eastAsia="pl-PL"/>
              </w:rPr>
              <w:br w:type="page"/>
              <w:t>Czy złagodzenie celu środowiskowego dotyczy daty wejściowej (2022) czy całego cyklu planistycznego do 2027?</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26C879F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3FACCE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794405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D74417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000243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Odpowiedź na pytanie pierwsze: tak, oczywiście jest udokumentowane. Jest na tę okoliczność specjalny załącznik pod nazwą wykaz odstępstw.</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Odpowiedź na pytanie drugie: tak, badamy jaki jest dzisiejszy stan wód, a więc stan wyjściowy i patrzymy do kiedy ma być osiągnięty możliwy najlepszy stan wód, do 2027 roku, tam gdzie tylko jest to możliwe. W ramach kolejnego cyklu aktualizacyjnego planów, będzie to wszystko oczywiście weryfikowane.</w:t>
            </w:r>
          </w:p>
        </w:tc>
      </w:tr>
      <w:tr w:rsidR="001C4812" w:rsidRPr="0028666F" w14:paraId="4ABC617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F53832D"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554</w:t>
            </w:r>
          </w:p>
        </w:tc>
        <w:tc>
          <w:tcPr>
            <w:tcW w:w="970" w:type="dxa"/>
            <w:tcBorders>
              <w:top w:val="single" w:sz="4" w:space="0" w:color="auto"/>
              <w:left w:val="single" w:sz="4" w:space="0" w:color="auto"/>
              <w:bottom w:val="single" w:sz="4" w:space="0" w:color="auto"/>
            </w:tcBorders>
            <w:shd w:val="clear" w:color="auto" w:fill="auto"/>
          </w:tcPr>
          <w:p w14:paraId="01DC1C1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42E1716"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7388F7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FE3DAE9" w14:textId="3C6ABDE5"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będą wprowadzone nowe mechanizmy prawne egzekwowania realizacji działań naprawczych? W latach 2016-2021 ogrom działań nie wykonano, 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nie osiągnęły dobrego stanu/potencjału eko czy dobrego stanu wód. Dlatego, ze nic za brak podjęcia działań nikomu nie groził, np. Wody Polskie czy użytkownik nie zrobił przepławki i jest ok. A teraz mamy termin 2027 w którym musi być już osiągnięty cel dyrektywy (z wył substancji priorytetowych).</w:t>
            </w:r>
          </w:p>
        </w:tc>
        <w:tc>
          <w:tcPr>
            <w:tcW w:w="2733" w:type="dxa"/>
            <w:tcBorders>
              <w:top w:val="single" w:sz="4" w:space="0" w:color="auto"/>
              <w:left w:val="nil"/>
              <w:bottom w:val="single" w:sz="4" w:space="0" w:color="auto"/>
              <w:right w:val="single" w:sz="4" w:space="0" w:color="auto"/>
            </w:tcBorders>
            <w:shd w:val="clear" w:color="auto" w:fill="auto"/>
          </w:tcPr>
          <w:p w14:paraId="2351F5F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A55A5A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2BFBAF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075BA9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F848A5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Plany gospodarowania wodami nie posiadają takich narzędzi służących do egzekwowania wdrażania działań naprawczych, tym niemniej corocznie jednostki zobligowane do wdrożenia tych działań składają coroczny raport do ministra właściwego do spraw gospodarki wodnej, czyli Ministerstwa Infrastruktury, z realizacji działań naprawczych, do których zostały zobligowane. A oprócz tego, na półmetku cyklu planistycznego, Polska składa raport do Komisji Europejskiej, w którym znajduje się wykaz i stopień zaawansowania realizacji tych działań naprawczych.</w:t>
            </w:r>
          </w:p>
        </w:tc>
      </w:tr>
      <w:tr w:rsidR="001C4812" w:rsidRPr="0028666F" w14:paraId="54073D4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7F39959"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555</w:t>
            </w:r>
          </w:p>
        </w:tc>
        <w:tc>
          <w:tcPr>
            <w:tcW w:w="970" w:type="dxa"/>
            <w:tcBorders>
              <w:top w:val="single" w:sz="4" w:space="0" w:color="auto"/>
              <w:left w:val="single" w:sz="4" w:space="0" w:color="auto"/>
              <w:bottom w:val="single" w:sz="4" w:space="0" w:color="auto"/>
            </w:tcBorders>
            <w:shd w:val="clear" w:color="auto" w:fill="auto"/>
          </w:tcPr>
          <w:p w14:paraId="174ECEF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56789B7"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01B081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8128006" w14:textId="3BD029B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wszystkie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które wg monitoringu lub oceny eksperckiej nie osiągnęły dobrego stanu/potencjału do 2021 r. z automatu dostały derogację z 4.4 lub 4.5? Jeśli nie, to na jakiej podstawie dokonano wyboru?</w:t>
            </w:r>
          </w:p>
        </w:tc>
        <w:tc>
          <w:tcPr>
            <w:tcW w:w="2733" w:type="dxa"/>
            <w:tcBorders>
              <w:top w:val="single" w:sz="4" w:space="0" w:color="auto"/>
              <w:left w:val="nil"/>
              <w:bottom w:val="single" w:sz="4" w:space="0" w:color="auto"/>
              <w:right w:val="single" w:sz="4" w:space="0" w:color="auto"/>
            </w:tcBorders>
            <w:shd w:val="clear" w:color="auto" w:fill="auto"/>
          </w:tcPr>
          <w:p w14:paraId="18C630F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6510B7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E325DC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D446AF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4C77CA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Jeżeli do tej pory nie osiągnęliśmy celów środowiskowych, to musimy udowodnić z czego to wynikało - musimy wykazać. A więc syntetyczna odpowiedź byłaby taka: tak, jeżeli w danym stanie wód badania pokazały, że nie osiągnęliśmy celów środowiskowych, to musimy ustanowić odstępstwo. Jeśli byśmy nie ustalili odstępstwa dla jednolitej części wód, która jest w stanie złym, otóż proszę Państwa żaden przepis nie przewiduje takiego scenariusza. Przepis mówi tak: mamy osiągnąć cel środowiskowy. Jeżeli go osiągamy to dobrze, jeżeli go nie osiągniemy, to musimy ustanowić odstępstwo. Odstępstwo jest może tutaj dość niefortunnym sformułowaniem zapisanym w prawie, dlatego musimy zrozumieć istotę sprawy. Musi to być forma sprawozdania na temat powodów, dla których po pierwsze nie osiągnęliśmy celów środowiskowych, a po drugie musimy uzasadnić czy to nieosiągnięcie jest zgodne z prawem. Czy możemy je obronić pod względem prawnym. Czyli wykazujemy z czego ono wynika i jaka jest nasza recepta na ten problem. Dlatego te załączniki dotyczące wykazów odstępstw czy wykazów działań są tak obszerne, ponieważ to jest szereg aspektów, które musiały być uwzględnione.</w:t>
            </w:r>
          </w:p>
        </w:tc>
      </w:tr>
      <w:tr w:rsidR="001C4812" w:rsidRPr="0028666F" w14:paraId="6D67235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4C7E394"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556</w:t>
            </w:r>
          </w:p>
        </w:tc>
        <w:tc>
          <w:tcPr>
            <w:tcW w:w="970" w:type="dxa"/>
            <w:tcBorders>
              <w:top w:val="single" w:sz="4" w:space="0" w:color="auto"/>
              <w:left w:val="single" w:sz="4" w:space="0" w:color="auto"/>
              <w:bottom w:val="single" w:sz="4" w:space="0" w:color="auto"/>
            </w:tcBorders>
            <w:shd w:val="clear" w:color="auto" w:fill="auto"/>
          </w:tcPr>
          <w:p w14:paraId="7372837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B2AA994"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EB8468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E7709AD" w14:textId="56CFCDE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W ramach przeciwdziałania presji hydromorfologicznej (i nie tylko) wykonano w poprzednim cyklu planistycznym szczegółowy Krajowy Program Renaturyzacji Wód Środowiskowych. Miał być dokumentem towarzyszącym IIaPGW. Czy został wykorzystany w tworzeniu działań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w całości, czy wybiórczo? Jeśli wybiórczo lub wcale, to kto dokonywał ostatecznego wyboru?</w:t>
            </w:r>
          </w:p>
        </w:tc>
        <w:tc>
          <w:tcPr>
            <w:tcW w:w="2733" w:type="dxa"/>
            <w:tcBorders>
              <w:top w:val="single" w:sz="4" w:space="0" w:color="auto"/>
              <w:left w:val="nil"/>
              <w:bottom w:val="single" w:sz="4" w:space="0" w:color="auto"/>
              <w:right w:val="single" w:sz="4" w:space="0" w:color="auto"/>
            </w:tcBorders>
            <w:shd w:val="clear" w:color="auto" w:fill="auto"/>
          </w:tcPr>
          <w:p w14:paraId="37BB214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0F80B7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6DBAA7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4269A5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7FB43DC" w14:textId="3874C64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Krajowy program renaturyzacji wód powierzchniowych był nakierowany przede wszystkim na analizę presji hydromorfologicznych i w ramach tego programu działania były wskazywane do likwidacji presji związanych z przekształceniem hydromorfologii i w efekcie powstało kilka tzw. priorytetyzacji.</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Jedna z priorytetyzacji była wskazywana pod kątem konieczności udrożnienia budowli piętrzących ze względu na cele środowiskowe dla ryb i ze względu na drożność cieków istotnych i szczególnie istotnych. Ten element został włączony bezpośrednio w aPGW i są wskazane nie tylko jednolite części wód, które należy ze względu na nie osiągnięty cel środowiskowy dla elementów biologicznych i stwierdzone presje na ciągłość, wdrożyć działanie, ale także znajduje się wykaz konkretnych budowli piętrzących ze wskazanymi działaniami. Przesłanki, którymi kierowali się eksperci przypisując działania z kryterium pierwszego krajowego programu renaturyzacji były dokładnie takie same w przypadku ciągłości. Jeżeli chodzi o renaturyzację w formie brzmienia – projekt renaturyzacji rzeczywiście został wdrożony bezpośrednio dla obszarów priorytetowych. W przypadku jezior, część tych renaturyzacji znalazła się bezpośrednio, duża część została uszczegółowiona o dane dotyczące jakości wód, czyli do krajowego programu renaturyzacji eksperci dołożyli jeszcze informacje w zakresie stanu fizykochemicznego. W efekcie powstał pakiet działań tych indywidualnych programów naprawczych dla jezior, czyli programów rekultywacji, które np. w krajowym programie renaturyzacji uwzględniały tylko jeden aspekt presji hydromorfologicznej. Natomiast w przypadku jednolitej części wód rzecznych znalazło się tylko kilka działań brzmiących wprost jako programy renaturyzacji wskazane dla naturalnych części wód w krajowym programie renaturyzacji. Dla silnie zmienionych zostały one zamienione na działania z testu restytucji. Głównie działania wskazane dla silnie zmienionych części wód, polegające na odtwarzaniu stref buforowych, tworzeniu ich, ewentualnie na odtwarzanie zadrzewień. Cały test restytucji, który był wskazywany, czy działania możliwe do realizacji dla jednolitych części wód silnie zmienionych, tak aby ich funkcje zostały zachowane. Praca przy zestawach działań to była praca ekspertów na danych, które były opracowane i zebrane w ciągu kilku ostatnich lat, danych monitoringowych, analizach presji, ale także praca zespołu ekspertów i grup roboczych wód polskich. W efekcie uzyskaliśmy taki zestaw działań dla rzek - dla dorzecza Odry to jest ponad 10 000 działań. Jednocześnie, czego nie było w krajowym programie renaturyzacji, a pojawia się w aPGW - mamy ponad 6 000 działań np. w przypadku dorzecza Odry, które wynikają z zapisów planów zadań ochronnych. To są też działania, które są nakierowane na redukcję presji hydromorfologicznych. W związku z tym nie mogliśmy powielać działań, nie mogliśmy wskazywać opracowania programu renaruryzacji, jeżeli wiedzieliśmy konkretnie, już po analizie presji i danych z planu antropopresji, jakie problemy ma konkretna rzeka. Oczywiście to nie zmienia faktu, że takie działania renaturyzacyjne, jeżeli państwo wiecie i znacie cieki, które rzeczywiście potrzebują takich działań jak najbardziej można zgłaszać, bądź konkretnie jednolite części wód, dla których działania z krajowego programu należałoby bezpośrednio w takiej nazwie wprowadzić. Sprawdzić czy w danej jednolitej, ten stan hydromorfologiczny jest zły i konieczne jest wdrożenie takich działań. My działania proponowaliśmy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dla których stwierdzono ryzyko nieosiągnięcia celów środowiskowych, wynikających z presji znaczących, czyli takich które należy w pierwszej kolejności zlikwidować, czyli np. ta ciągłość powodowana chociażby przez budowle piętrzące. Po to są konsultacje, mogą Państwo zgłaszać jednolitą część wód w formularzu. Będą analizowane przez ekspertów. I w przypadku stwierdzenia zasadności włączone do zestawu działań.</w:t>
            </w:r>
          </w:p>
        </w:tc>
      </w:tr>
      <w:tr w:rsidR="001C4812" w:rsidRPr="0028666F" w14:paraId="37DABAA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8C49BD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557</w:t>
            </w:r>
          </w:p>
        </w:tc>
        <w:tc>
          <w:tcPr>
            <w:tcW w:w="970" w:type="dxa"/>
            <w:tcBorders>
              <w:top w:val="single" w:sz="4" w:space="0" w:color="auto"/>
              <w:left w:val="single" w:sz="4" w:space="0" w:color="auto"/>
              <w:bottom w:val="single" w:sz="4" w:space="0" w:color="auto"/>
            </w:tcBorders>
            <w:shd w:val="clear" w:color="auto" w:fill="auto"/>
          </w:tcPr>
          <w:p w14:paraId="199ABD0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Ryszard Grzegorz Karaszewski </w:t>
            </w:r>
          </w:p>
        </w:tc>
        <w:tc>
          <w:tcPr>
            <w:tcW w:w="165" w:type="dxa"/>
            <w:tcBorders>
              <w:top w:val="nil"/>
              <w:left w:val="nil"/>
              <w:bottom w:val="single" w:sz="4" w:space="0" w:color="auto"/>
              <w:right w:val="single" w:sz="4" w:space="0" w:color="auto"/>
            </w:tcBorders>
            <w:shd w:val="clear" w:color="auto" w:fill="auto"/>
          </w:tcPr>
          <w:p w14:paraId="6051908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4234C1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92BB4AC" w14:textId="0F24D5A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przy ustalenia warunków korzystania z wód danego regionu wodnego brane są pod uwagę opinie, które były kierowane do poszczególnych Zarządów Zlewni lub Regionalnych Zarządów Gospodarki Wodnej tj. czy wnioski kierowane np. przez pięć lat znajdują jakieś odzwierciedlenie w danych planistycznych wdrażanych w ramach projektu gospodarowania wodami? Czy opinie takie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jednolite części wód są możliwe do zweryfikowania w PGW?</w:t>
            </w:r>
          </w:p>
        </w:tc>
        <w:tc>
          <w:tcPr>
            <w:tcW w:w="2733" w:type="dxa"/>
            <w:tcBorders>
              <w:top w:val="single" w:sz="4" w:space="0" w:color="auto"/>
              <w:left w:val="nil"/>
              <w:bottom w:val="single" w:sz="4" w:space="0" w:color="auto"/>
              <w:right w:val="single" w:sz="4" w:space="0" w:color="auto"/>
            </w:tcBorders>
            <w:shd w:val="clear" w:color="auto" w:fill="auto"/>
          </w:tcPr>
          <w:p w14:paraId="2CBF16E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9DE95C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B23CDE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79FDB8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AB4DEF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Wprost czytając tą uwagę rzeczywiście może tak być. Generalnie warunki korzystania z wód, jako dokument, funkcjonują niezależnie i w zasadzie funkcjonują już niedługo. Plany gospodarowania wodami, jeżeli chodzi o przekładanie, czy takie wprost przekładanie warunków korzystania z wód w rozumieniu dokumentów funkcjonujących, to tutaj nie ma takiego zastosowania. Warunki korzystania z wód poszczególnych regionów były jednym z materiałów źródłowych, które były wykorzystywane na potrzeby przypisywania, planowania, analizowania działań w ramach IIAPGW. To co możemy podkreślić, to to, że wszelkiego rodzaju uwarunkowania, zapisy, jak również zestawy działań wypracowywane są nie niezależnie i zupełnie samodzielnie przez wykonawcę, a analizowane i rozpatrywane w ramach grupy roboczej, która powołana jest w ramach realizacji tego zadania, a więc przy bezpośrednim udziale również przedstawicieli poszczególnych regionalnych zarządów gospodarki wodnej. Tym samym wszelkie zgłaszane dotychczas opinie, dotyczące między innymi również warunków korzystania z wód; zapewne są analizowane, uwzględniane i jeżeli była taka konieczność, to te informacje na pewno znajdywały odzwierciedlenie w prowadzonych rozmowach i analizach na etapie przygotowywania tych wszystkich informacji.</w:t>
            </w:r>
          </w:p>
        </w:tc>
      </w:tr>
      <w:tr w:rsidR="001C4812" w:rsidRPr="0028666F" w14:paraId="6942C5A4"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D370AA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558</w:t>
            </w:r>
          </w:p>
        </w:tc>
        <w:tc>
          <w:tcPr>
            <w:tcW w:w="970" w:type="dxa"/>
            <w:tcBorders>
              <w:top w:val="single" w:sz="4" w:space="0" w:color="auto"/>
              <w:left w:val="single" w:sz="4" w:space="0" w:color="auto"/>
              <w:bottom w:val="single" w:sz="4" w:space="0" w:color="auto"/>
            </w:tcBorders>
            <w:shd w:val="clear" w:color="auto" w:fill="auto"/>
          </w:tcPr>
          <w:p w14:paraId="23A0AA2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5AC227C"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7B3CF1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81D1367" w14:textId="6ECBBC8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Podbijam pytanie pani Jolanty N.-G. z Zarządu Zlewni. Wykonano warstwy gis na podstawie wcześniejszych dokumentów towarzyszących, ale ich nie udostępniono, jak widać nawet Zarządom Zlewni. Nowy podział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jest tak poważny, że nie da się zobrazować działań do starych warstw. Wszystkie warstwy użyte choćby w załączniku Załączniki Graficzne powinny być publicznie dostępne choćby w hydroportalu czy innej mapie (najlepiej też jako warstwy shp do ściągnięcia) - jak działania z aPZRP. Inaczej konsultacje są bardzo nieefektywne. Czy warstwy gis będą udostępnione chociaż przy prognozie ooś dla IIaPGW?</w:t>
            </w:r>
          </w:p>
        </w:tc>
        <w:tc>
          <w:tcPr>
            <w:tcW w:w="2733" w:type="dxa"/>
            <w:tcBorders>
              <w:top w:val="single" w:sz="4" w:space="0" w:color="auto"/>
              <w:left w:val="nil"/>
              <w:bottom w:val="single" w:sz="4" w:space="0" w:color="auto"/>
              <w:right w:val="single" w:sz="4" w:space="0" w:color="auto"/>
            </w:tcBorders>
            <w:shd w:val="clear" w:color="auto" w:fill="auto"/>
          </w:tcPr>
          <w:p w14:paraId="3E7E330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A7880DE"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BF478A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CC5546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943633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Całość materiałów możliwa jest do uzyskania w formie udostępnienia informacji o środowisku, a więc na podstawie wniosku przedłożonego do PGWWP o udostępnienie danych. Warstwy upublicznione zostaną po wejściu w życie IIaPGW a tym samym od momentu obowiązywania nowego układu jednostek planistycznych prezentowanego w IIaPGW.</w:t>
            </w:r>
          </w:p>
        </w:tc>
      </w:tr>
      <w:tr w:rsidR="001C4812" w:rsidRPr="0028666F" w14:paraId="111D3BF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1A5246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559</w:t>
            </w:r>
          </w:p>
        </w:tc>
        <w:tc>
          <w:tcPr>
            <w:tcW w:w="970" w:type="dxa"/>
            <w:tcBorders>
              <w:top w:val="single" w:sz="4" w:space="0" w:color="auto"/>
              <w:left w:val="single" w:sz="4" w:space="0" w:color="auto"/>
              <w:bottom w:val="single" w:sz="4" w:space="0" w:color="auto"/>
            </w:tcBorders>
            <w:shd w:val="clear" w:color="auto" w:fill="auto"/>
          </w:tcPr>
          <w:p w14:paraId="77727EF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Stacja Badawcza w Popielnie</w:t>
            </w:r>
          </w:p>
        </w:tc>
        <w:tc>
          <w:tcPr>
            <w:tcW w:w="165" w:type="dxa"/>
            <w:tcBorders>
              <w:top w:val="nil"/>
              <w:left w:val="nil"/>
              <w:bottom w:val="single" w:sz="4" w:space="0" w:color="auto"/>
              <w:right w:val="single" w:sz="4" w:space="0" w:color="auto"/>
            </w:tcBorders>
            <w:shd w:val="clear" w:color="auto" w:fill="auto"/>
          </w:tcPr>
          <w:p w14:paraId="7E7E047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37DA27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5CF993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Zajmujemy się pozbawioną przez człowieka rzeką Bełcząc (odnoga rzeki Liwiec) wg. Wojewódzkiego Zarządu Melioracji i Zasobów Wodnych w Sokołowie Podlaskim w 2016/7 r. uznano, że jedną przyczyn pozbawienia przepływu rzeki Bełcząc przepływu naturalnego była zwiększona populacja bobrów! Uzyskaliśmy opinię Instytutu Rozrodu Zwierząt i Badań Żywności PAN w Popielnie sporządzoną po wizji w terenie wg. prof. Zygmunta Giżejewskiego do pozbawienia przepływu naturalnego przyczynił się człowiek Wojewódzki Sąd Administracyjny Wyrokiem z dnia 12 marca 2020 r. uznał, że zgodnie ze stanowiskiem GDOŚ, szkoda jest historyczna. Zwracaliśmy się do RZGW w Lublinie przywrócenie przepływu RZGW w Lublinie uznał, że program renaturyzacji rzek jeszcze nie został wdrożony i musimy czekać! Co możemy w tym stanie spraw zrobić, aby przepływ został przywrócony. Pomijam inne aspekty i powody, dla których natrafiliśmy na nieprzychylne potraktowanie naszych inicjatyw. </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4835738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59CC8E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AD3D96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C48009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14B4ED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Zgłoszona uwaga nie dotyczy konsultowanego dokumentu. Prosimy o bezpośrednie zgłoszenie się do PGWWP w przedmiotowej sprawie.</w:t>
            </w:r>
          </w:p>
        </w:tc>
      </w:tr>
      <w:tr w:rsidR="001C4812" w:rsidRPr="0028666F" w14:paraId="196E1F3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993529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560</w:t>
            </w:r>
          </w:p>
        </w:tc>
        <w:tc>
          <w:tcPr>
            <w:tcW w:w="970" w:type="dxa"/>
            <w:tcBorders>
              <w:top w:val="single" w:sz="4" w:space="0" w:color="auto"/>
              <w:left w:val="single" w:sz="4" w:space="0" w:color="auto"/>
              <w:bottom w:val="single" w:sz="4" w:space="0" w:color="auto"/>
            </w:tcBorders>
            <w:shd w:val="clear" w:color="auto" w:fill="auto"/>
          </w:tcPr>
          <w:p w14:paraId="13D46A7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Stacja Badawcza w Popielnie</w:t>
            </w:r>
          </w:p>
        </w:tc>
        <w:tc>
          <w:tcPr>
            <w:tcW w:w="165" w:type="dxa"/>
            <w:tcBorders>
              <w:top w:val="nil"/>
              <w:left w:val="nil"/>
              <w:bottom w:val="single" w:sz="4" w:space="0" w:color="auto"/>
              <w:right w:val="single" w:sz="4" w:space="0" w:color="auto"/>
            </w:tcBorders>
            <w:shd w:val="clear" w:color="auto" w:fill="auto"/>
          </w:tcPr>
          <w:p w14:paraId="5704F128"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3A45F8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3F1894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Co z renaturyzacją rzek od kiedy zostanie wprowadzony plan i kiedy będzie gotowa mapa Polskich rzek przewidzianych do renaturyzacji?</w:t>
            </w:r>
          </w:p>
        </w:tc>
        <w:tc>
          <w:tcPr>
            <w:tcW w:w="2733" w:type="dxa"/>
            <w:tcBorders>
              <w:top w:val="single" w:sz="4" w:space="0" w:color="auto"/>
              <w:left w:val="nil"/>
              <w:bottom w:val="single" w:sz="4" w:space="0" w:color="auto"/>
              <w:right w:val="single" w:sz="4" w:space="0" w:color="auto"/>
            </w:tcBorders>
            <w:shd w:val="clear" w:color="auto" w:fill="auto"/>
          </w:tcPr>
          <w:p w14:paraId="642C03F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07A1FEA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CB2AB7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D692F4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746927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Jeżeli chodzi o działania renaturyzacyjne dla jednolitych części wód, to tak naprawdę jest to szereg działań rozbitych na mniejsze elementy składowe. Mamy tutaj cały pakiet działań, które są nakierowane bezpośrednio na udrożnienia, czyli przywrócenie ciągłości biologicznej, bądź morfologicznej. Są tam wykazy budowli, które przewidziane są do udrożnienia, w skali kraju to jest ponad 5 200 budowli, które wskazano do przebudowy, bądź rozbiórki, bądź budowy przepławek. Zatem działania nie nazywają się stricte renaturyzacja, ale dotyczą konkretnych budowli i konkretnych prac, które trzeba wykonać, żeby cele środowiskowe były osiągnięte. Jeżeli chodzi o termin realizacji działań, to one w zakresie realizacji powinny być zakończone do 2027 roku. Harmonogram został wskazany przy każdym działaniu. Jeżeli chodzi o typowe programy renaturyzacji, to rzeczywiście z nazwy jest ich kilka, ale z tego względu też rozbiliśmy te działania, że nie nazywają się renaturyzacja danej jednolitej części wód, tylko zostały one uszczegółowione do konkretnych problemów. T.j. zejście do poszczególnych budowli, ewentualnie dla silnie zmienionych wskazane pakiety działań z programu wyznaczania silnie zmienionych części wód, czyli tzw. wdrożenie działań restytucyjnych. W tym przypadku w dużej mierze jest to właśnie odtwarzanie zadrzewień wzdłuż brzegów, przywracanie ciągłości dla naturalnych. Część działań z krajowego programu renaturyzacji wskazanych np. dla jezior, zostało zamienionych i uszczegółowionych na indywidualne programy naprawcze i w tym wypadku jakby ten zabieg został wykonany, dlatego, że musieliśmy uwzględnić jeszcze stan fizykochemiczny. Mamy tutaj indywidualne programy i tych programów rekultywacji wskazanych np. dla jednolitych części wód jeziornych jest sporo.</w:t>
            </w:r>
          </w:p>
        </w:tc>
      </w:tr>
      <w:tr w:rsidR="001C4812" w:rsidRPr="0028666F" w14:paraId="35DBFCD9"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0AFA8F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561</w:t>
            </w:r>
          </w:p>
        </w:tc>
        <w:tc>
          <w:tcPr>
            <w:tcW w:w="970" w:type="dxa"/>
            <w:tcBorders>
              <w:top w:val="single" w:sz="4" w:space="0" w:color="auto"/>
              <w:left w:val="single" w:sz="4" w:space="0" w:color="auto"/>
              <w:bottom w:val="single" w:sz="4" w:space="0" w:color="auto"/>
            </w:tcBorders>
            <w:shd w:val="clear" w:color="auto" w:fill="auto"/>
          </w:tcPr>
          <w:p w14:paraId="5DF0EEF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F0CED52"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DF9505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508BBC4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 tym IIapgw też jest lista działań z art. 4.7 tylko te z zeszłego cyklu. Większość, jak nie wszystkie. Nie prawdą jest, że tylko te które mają decyzję środowiskową (prawomocną), czy ocenę wodnoprawną. Na przykład Zbiornik Piłka na rz. Miała (RZGW Bydgoszcz), który w 2016 dostał ODMOWĘ wydania decyzji środowiskowej. To że nadal te inwestycje są planowane nie upoważniało do wpisania ich w IIaPGW. Czy w wersji do prognozy ooś zostaną wykreślone te bez właściwej oceny /decyzji?</w:t>
            </w:r>
          </w:p>
        </w:tc>
        <w:tc>
          <w:tcPr>
            <w:tcW w:w="2733" w:type="dxa"/>
            <w:tcBorders>
              <w:top w:val="single" w:sz="4" w:space="0" w:color="auto"/>
              <w:left w:val="nil"/>
              <w:bottom w:val="single" w:sz="4" w:space="0" w:color="auto"/>
              <w:right w:val="single" w:sz="4" w:space="0" w:color="auto"/>
            </w:tcBorders>
            <w:shd w:val="clear" w:color="auto" w:fill="auto"/>
          </w:tcPr>
          <w:p w14:paraId="1BC38D4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80F6BD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2A9779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A5DBD2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92FB26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Tak, to prawda. Nie jest tak, że w wykazie inwestycji i działań znajdują się tylko te inwestycje, które mają decyzje środowiskową. Mówiłem, że są dwie grupy: inwestycje z poprzedniego apgw, co do którego potwierdzono ich aktualność, zamiar ich realizacji, oraz aktualność przesłanek uzasadniajacych ustanowienie tego typu odstępstwa; oraz druga grupa inwestycji czyli te, co do których nie było w poprzednim planie gospodarowania wodami, albo i nawet może i było, ale ważniejsze jest to, że mają one wydaną decyzję, w ramach której potwierdzono spełnianie przesłanek z artykułu 68 Prawa wodnego, czyli artykuł 4.7 ramowej dyrektywy wodnej</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To jest zagadnienie, które musi być głębiej przeanalizowane, czyli musimy się zastanowić. Prosimy o zgłoszenie tej uwagi i wniosku nie tylko w formie pytania na czacie, ale uwagi i wniosku, żebyśmy mieli formalną podstawę do analizy tego właśnie zagadnienia: czy w wykazie inwestycji mają znaleźć się inwestycje, które uzyskały decyzję środowiskową powołującą się na derogację 4.7 RDW, co do której wiemy, że ta decyzja nie jest ostateczna, że została uchylona, że nie jest ostateczna. Prosimy o zgłoszenie takiej uwagi.</w:t>
            </w:r>
          </w:p>
        </w:tc>
      </w:tr>
      <w:tr w:rsidR="001C4812" w:rsidRPr="0028666F" w14:paraId="2D0E7081"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37FEC2B"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562</w:t>
            </w:r>
          </w:p>
        </w:tc>
        <w:tc>
          <w:tcPr>
            <w:tcW w:w="970" w:type="dxa"/>
            <w:tcBorders>
              <w:top w:val="single" w:sz="4" w:space="0" w:color="auto"/>
              <w:left w:val="single" w:sz="4" w:space="0" w:color="auto"/>
              <w:bottom w:val="single" w:sz="4" w:space="0" w:color="auto"/>
            </w:tcBorders>
            <w:shd w:val="clear" w:color="auto" w:fill="auto"/>
          </w:tcPr>
          <w:p w14:paraId="6D94179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5590FBB"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4BD751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341CC60" w14:textId="6BB0B7A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Czy Wody Polskie niezwłocznie udostępnią Fundacji Greenmind (na wniosek) warstwy przestrzenne użyte do stworzenia IIaPGW oraz (przynajmniej niektóre) dokumenty źródłowe w rozumieniu RDW - zgodnie z art. 14 RDW; wymienionych w rozdz. 24.3 IIaPGW - i czy pozwolą nam je upublicznić? Ostatnie spotkanie, a Państwo nadal nie udostępniliście warstw przestrzennych, w tym nowego podziału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Pytały o to na spotkaniach nawet Zarządy Zlewni! Można było to zrobić choćby w postaci ogólnodostępnej mapy, jak w hydroportalu, czy konsultacjach aPZRP. Warstwy te istnieją, mają przypisane konkretne atrybuty i są składową IIaPGW, ponieważ zostały użyte do jego tworzenia.</w:t>
            </w:r>
            <w:r w:rsidRPr="008B085E">
              <w:rPr>
                <w:rFonts w:ascii="Calibri" w:eastAsia="Times New Roman" w:hAnsi="Calibri" w:cs="Calibri"/>
                <w:color w:val="000000"/>
                <w:sz w:val="18"/>
                <w:szCs w:val="18"/>
                <w:lang w:eastAsia="pl-PL"/>
              </w:rPr>
              <w:br/>
              <w:t>Chcemy użyć tych danych sami w ramach konsultacji, a także przekazać zainteresowanym osobom trzecim, które chciałyby się skutecznie włączyć w konsultacje tego najważniejszego „wodnego” dokumentu. Nie zrobiliście tego Wy – Wody Polskie, to chcemy naprawić ten błąd. Wiemy też, że niektórym organizacjom na wcześniejszym etapie odmówiono pozwolenia udostępnienia dokumentów osobom trzecim. Mamy nadzieję, że było to związane tylko i wyłącznie z prawdopodobieństwem zmian w ostatecznej formie dokumentu. Przypominamy – większość ww. dokumentacji powstała przy wsparciu finansowym UE, a WP powinny wspierać inicjatywy upowszechniające udział społeczny przy tworzeniu PGW.</w:t>
            </w:r>
          </w:p>
        </w:tc>
        <w:tc>
          <w:tcPr>
            <w:tcW w:w="2733" w:type="dxa"/>
            <w:tcBorders>
              <w:top w:val="single" w:sz="4" w:space="0" w:color="auto"/>
              <w:left w:val="nil"/>
              <w:bottom w:val="single" w:sz="4" w:space="0" w:color="auto"/>
              <w:right w:val="single" w:sz="4" w:space="0" w:color="auto"/>
            </w:tcBorders>
            <w:shd w:val="clear" w:color="auto" w:fill="auto"/>
          </w:tcPr>
          <w:p w14:paraId="5E4A2A4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E44065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2B3DB5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8F2B17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18EC45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Ciekawa formuła deklaracji publicznych, chyba pierwszy raz w tych konsultacjach społecznych się pojawiła. Udostępniamy, jest procedura. Zainteresowani zgłaszają się do nas z wnioskiem o udostępnienie danych. Zresztą to dotyczy nie tylko jednolitych części wód, danych źródłowych do planów gospodarowania wodami, czy opracowań, które powstawały w cyklu planistycznym. My je udostępniamy, natomiast bez uprawnienia do przekazywania dalej. Musimy wiedzieć jak te dokumenty krążą. Co istotne nie ma ich np. wykazu jednolitych części wód, części z warstw przestrzennych, którymi dysponujemy, nie ma na hydroportalu. Nie ma z bardzo prostej przyczyny – na hydroportalu zamieszczamy to, co obowiązuje w tym momencie, według obecnego stanu prawnego. Z tego powodu, wrzucenie na hydroportal równolegle dwóch układów jednolitych części wód mogłoby doprowadzić do zamieszania, w każdym razie wprowadzić w błąd. Musimy pamiętać, że dane z hydroportalu są również wykorzystywane na potrzeby postępowań administracyjnych przez naszych klientów, tych, którzy do nas się zgłaszają, do Wód Polskich. Z tego powodu hydroportal to dane bieżące, obowiązujące, natomiast wszystkie inne informacje, którymi dysponujemy, dane, są publicznie dostępne, wystarczy wniosek do nas. One były zresztą prezentowane – wykaz jednolitych części wód i wyniki prac dotyczących weryfikacji tego wykazu i typologii w ramach spotkań, które dotyczyły tego tematu. Parę lat temu ten wykaz był prezentowany, wyniki weryfikacji, nie jest to żaden tajny dokument. Udostępniamy i udostępnimy. Tu nie potrzebna jest żadna dodatkowa deklaracja czy obietnica.</w:t>
            </w:r>
          </w:p>
        </w:tc>
      </w:tr>
      <w:tr w:rsidR="001C4812" w:rsidRPr="0028666F" w14:paraId="393824CB"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DFEE23A"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563</w:t>
            </w:r>
          </w:p>
        </w:tc>
        <w:tc>
          <w:tcPr>
            <w:tcW w:w="970" w:type="dxa"/>
            <w:tcBorders>
              <w:top w:val="single" w:sz="4" w:space="0" w:color="auto"/>
              <w:left w:val="single" w:sz="4" w:space="0" w:color="auto"/>
              <w:bottom w:val="single" w:sz="4" w:space="0" w:color="auto"/>
            </w:tcBorders>
            <w:shd w:val="clear" w:color="auto" w:fill="auto"/>
          </w:tcPr>
          <w:p w14:paraId="56398AF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7895BD0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382EEA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10A1611" w14:textId="085885D0"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Odnośnie spełnienia celów środowiskowych poprzez realizację działań udrażniających bariery:</w:t>
            </w:r>
            <w:r w:rsidRPr="008B085E">
              <w:rPr>
                <w:rFonts w:ascii="Calibri" w:eastAsia="Times New Roman" w:hAnsi="Calibri" w:cs="Calibri"/>
                <w:color w:val="000000"/>
                <w:sz w:val="18"/>
                <w:szCs w:val="18"/>
                <w:lang w:eastAsia="pl-PL"/>
              </w:rPr>
              <w:br/>
              <w:t>Na ostatnim spotkaniu, przy pytaniu jak można zmusić prywatnych użytkowników piętrzeń do ich udrożnienia „dla migracji” była mowa o czarach. Fakt jest taki, że przeglądy aktualnych pozwoleń wodnoprawnych w tym względzie nie działają, Ministerstwa pisały, że zgodnie z konstytucją prywatnych użytkowników do czegokolwiek można zmusić ustawą a nie rozporządzeniem. Plany zadań ochronnych Natura 2000 to rozporządzenie, IIaPGW też. Do tego same Wody Polskie nie realizują działań ochronnych i najwyraźniej ani Dyrektorowi danego RZGW ani Zarządu Zlewni nic za to nie grozi.</w:t>
            </w:r>
            <w:r w:rsidRPr="008B085E">
              <w:rPr>
                <w:rFonts w:ascii="Calibri" w:eastAsia="Times New Roman" w:hAnsi="Calibri" w:cs="Calibri"/>
                <w:color w:val="000000"/>
                <w:sz w:val="18"/>
                <w:szCs w:val="18"/>
                <w:lang w:eastAsia="pl-PL"/>
              </w:rPr>
              <w:br/>
              <w:t xml:space="preserve">Na Bobrze od ujścia do Kwisy (nowa złączona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prawie 100km) w aPWŚK do udrożnienia było ponad 40 budowli (większość WP), udrożniono 2. Do tego w latach 2020-2021 zbudowano nową MEW z nowym piętrzeniem w km 50+140, na odcinku bez barier (na podstawie DŚU z 2011 r. wydanej bez ooś). Jest gorzej niż było, a to obszar Natura 2000 dla m.in. ryb! Cele środowiskowe nic nie znaczą.</w:t>
            </w:r>
            <w:r w:rsidRPr="008B085E">
              <w:rPr>
                <w:rFonts w:ascii="Calibri" w:eastAsia="Times New Roman" w:hAnsi="Calibri" w:cs="Calibri"/>
                <w:color w:val="000000"/>
                <w:sz w:val="18"/>
                <w:szCs w:val="18"/>
                <w:lang w:eastAsia="pl-PL"/>
              </w:rPr>
              <w:br/>
              <w:t>PYTANIE: Co Wody Polskie zamierzają zrobić, aby w latach 2021-2027 (finalny termin dobrego stanu wód) udrożniono bariery migracyjne, tam gdzie do tej pory się nie udało. Sposób zarządzania? Zmiany prawne? Zmiany kadrowe?</w:t>
            </w:r>
          </w:p>
        </w:tc>
        <w:tc>
          <w:tcPr>
            <w:tcW w:w="2733" w:type="dxa"/>
            <w:tcBorders>
              <w:top w:val="single" w:sz="4" w:space="0" w:color="auto"/>
              <w:left w:val="nil"/>
              <w:bottom w:val="single" w:sz="4" w:space="0" w:color="auto"/>
              <w:right w:val="single" w:sz="4" w:space="0" w:color="auto"/>
            </w:tcBorders>
            <w:shd w:val="clear" w:color="auto" w:fill="auto"/>
          </w:tcPr>
          <w:p w14:paraId="2AFD7A1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942B91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FC4CD8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C0C8F4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8E1604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O zmianach prawnych, zwłaszcza kadrowych, to myślę nie miejsce rozmawiać, natomiast w jaki sposób planujemy wdrażać. To, co w planach gospodarowania wodami jest zawarte i dotyczy działań, które powinny być podjęte przez Wody Polskie, zwłaszcza w kontekście inwestycji, po opublikowaniu planów, będzie Wody Polskie obowiązywało. Będziemy mieli rozporządzenie. Tutaj warto zwrócić uwagę na to, że przy poprzednich planach gospodarowania wodami, Program wodnośrodowiskowy kraju nie miał rangi dokumentu prawnie wiążącego. Tym razem, to jest jedna z różnic między aktualizacją planów i II aktualizacją planów gospodarowania wodami. Program działań staje się elementem rozporządzenia, integralną częścią planów gospodarowania wodami. Wody Polskie również te zapisy będą obowiązywały. My ze swojej strony – Departament Zarządzania Środowiskiem Wodnym, przekażemy te informacje, kompletne zestawienie, zresztą całe plany gospodarowania wodami również do departamentu, który zajmuje się inwestycjami. Kwestia czasu, pieniędzy i organizacji. Natomiast w szczegółach na to pytanie ja nie powinienem odpowiadać, bo nie ja zarządzam później realizacją tego programu. Natomiast będzie to obowiązek Wód Polskich. Trzymamy kciuki, żeby się udało, żeby wystarczyło środków i ludzi.</w:t>
            </w:r>
          </w:p>
        </w:tc>
      </w:tr>
      <w:tr w:rsidR="001C4812" w:rsidRPr="0028666F" w14:paraId="4C57E66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9E849C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564</w:t>
            </w:r>
          </w:p>
        </w:tc>
        <w:tc>
          <w:tcPr>
            <w:tcW w:w="970" w:type="dxa"/>
            <w:tcBorders>
              <w:top w:val="single" w:sz="4" w:space="0" w:color="auto"/>
              <w:left w:val="single" w:sz="4" w:space="0" w:color="auto"/>
              <w:bottom w:val="single" w:sz="4" w:space="0" w:color="auto"/>
            </w:tcBorders>
            <w:shd w:val="clear" w:color="auto" w:fill="auto"/>
          </w:tcPr>
          <w:p w14:paraId="1F631C7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Główny Inspektorat Ochrony Środowiska</w:t>
            </w:r>
          </w:p>
        </w:tc>
        <w:tc>
          <w:tcPr>
            <w:tcW w:w="165" w:type="dxa"/>
            <w:tcBorders>
              <w:top w:val="nil"/>
              <w:left w:val="nil"/>
              <w:bottom w:val="single" w:sz="4" w:space="0" w:color="auto"/>
              <w:right w:val="single" w:sz="4" w:space="0" w:color="auto"/>
            </w:tcBorders>
            <w:shd w:val="clear" w:color="auto" w:fill="auto"/>
          </w:tcPr>
          <w:p w14:paraId="38475AB8"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247010C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A3F494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Dlaczego w harmonogramie wdrożenia działań nie ujęto roku 2026?</w:t>
            </w:r>
          </w:p>
        </w:tc>
        <w:tc>
          <w:tcPr>
            <w:tcW w:w="2733" w:type="dxa"/>
            <w:tcBorders>
              <w:top w:val="single" w:sz="4" w:space="0" w:color="auto"/>
              <w:left w:val="nil"/>
              <w:bottom w:val="single" w:sz="4" w:space="0" w:color="auto"/>
              <w:right w:val="single" w:sz="4" w:space="0" w:color="auto"/>
            </w:tcBorders>
            <w:shd w:val="clear" w:color="auto" w:fill="auto"/>
          </w:tcPr>
          <w:p w14:paraId="68EBE79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D21476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0BC29C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D9CAE5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ED7EAC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Tutaj proszę się nie doszukiwać żadnych podtekstów, żadnego zamierzonego działania. Jest ujęty rok 2027. Pamiętajmy, że nowy plan gospodarowania wodami, wedle zamierzeń ma zacząć obowiązywać od 2028 roku, a więc do czasu jego przyjęcia, czyli do końca 2027 roku nawiązuje harmonogram, o którym jest mowa w planach gospodarowania wodami, tych które są przedmiotem naszych dzisiejszych konsultacji. 2027 rok jest poprzedzony rokiem 2026, zatem jeżeli ktoś jest na tyle ambitny, że chciałby przypisane mu działania zrealizować do roku 2026 a nie rok później, to super, trzymamy kciuki i to jest jak najbardziej pożądane zagadnienie.</w:t>
            </w:r>
          </w:p>
        </w:tc>
      </w:tr>
      <w:tr w:rsidR="001C4812" w:rsidRPr="0028666F" w14:paraId="29B72E0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33004FE"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565</w:t>
            </w:r>
          </w:p>
        </w:tc>
        <w:tc>
          <w:tcPr>
            <w:tcW w:w="970" w:type="dxa"/>
            <w:tcBorders>
              <w:top w:val="single" w:sz="4" w:space="0" w:color="auto"/>
              <w:left w:val="single" w:sz="4" w:space="0" w:color="auto"/>
              <w:bottom w:val="single" w:sz="4" w:space="0" w:color="auto"/>
            </w:tcBorders>
            <w:shd w:val="clear" w:color="auto" w:fill="auto"/>
          </w:tcPr>
          <w:p w14:paraId="443C67D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5C68FF65"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31AA06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F897486" w14:textId="1FEC3FC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aPZRP może stanowić podstawę dla urzędów, że te przedsięwzięcia rzeczywiście działają przeciwpowodziowo i powinny te organy uwzględniać to przy analizie nadrzędnego interesu publicznego.</w:t>
            </w:r>
            <w:r w:rsidRPr="008B085E">
              <w:rPr>
                <w:rFonts w:ascii="Calibri" w:eastAsia="Times New Roman" w:hAnsi="Calibri" w:cs="Calibri"/>
                <w:color w:val="000000"/>
                <w:sz w:val="18"/>
                <w:szCs w:val="18"/>
                <w:lang w:eastAsia="pl-PL"/>
              </w:rPr>
              <w:br/>
              <w:t>Po pierwsze – PZRP powinien uwzględniać cele środowiskowe, co wynika z art. 7.3. dyrektywy 2007/60/WE. Po drugie, sam wpis do aPZRP nic nie znaczy, a już na pewno nie to, że inwestycje tam zawarte na pewno oddziałują przeciwpowodziowo i to nadrzędnie nad innymi przesłankami interesu publicznego. Tutaj, na Środkowej Odrze mamy wpisane do aPZRP: SW Lubiąż i SW Ścinawa. Są to projekty stopni żeglugowych nie przeciwpowodziowych. Same Wody Polskie przyznają, że redukcja fali przez SW Lubiąż to.. 8 cm przy kilkumetrowej fali.</w:t>
            </w:r>
            <w:r w:rsidRPr="008B085E">
              <w:rPr>
                <w:rFonts w:ascii="Calibri" w:eastAsia="Times New Roman" w:hAnsi="Calibri" w:cs="Calibri"/>
                <w:color w:val="000000"/>
                <w:sz w:val="18"/>
                <w:szCs w:val="18"/>
                <w:lang w:eastAsia="pl-PL"/>
              </w:rPr>
              <w:br/>
              <w:t xml:space="preserve">PYTANIE: Czy to ma przeważać nad celami środowiskowymi dla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czy celami środowiskowymi dla obszarów Natura 2000? Dlaczego prezes WP, Przemysław Daca , woli twierdzić publicznie, że SW Lubiąż i Ścinawa powstaną, zamiast zapewniać, że WP w końcu zrealizują wszystkie postanowienia decyzji środowiskowej dla SW Malczyce i zrobione zostanie wszystko, żeby osiągnąć dobry stan wód dla tego odcinka Odry?</w:t>
            </w:r>
          </w:p>
        </w:tc>
        <w:tc>
          <w:tcPr>
            <w:tcW w:w="2733" w:type="dxa"/>
            <w:tcBorders>
              <w:top w:val="single" w:sz="4" w:space="0" w:color="auto"/>
              <w:left w:val="nil"/>
              <w:bottom w:val="single" w:sz="4" w:space="0" w:color="auto"/>
              <w:right w:val="single" w:sz="4" w:space="0" w:color="auto"/>
            </w:tcBorders>
            <w:shd w:val="clear" w:color="auto" w:fill="auto"/>
          </w:tcPr>
          <w:p w14:paraId="07482D5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7005BC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3CD3D0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3AB12A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4F86E9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Doprecyzowując to, co przy poprzednich spotkaniach mówiłem, Plan Zarządzania Ryzykiem Powodziowym wskazuje na pakiet przedsięwzięć, które co do zasady powinny zapewnić najlepszą z możliwych ochronę przed powodzią, czy też zarządzanie falą powodziową, zarządzanie ryzykiem powodziowym. On nie przesądza ani o realizacji poszczególnych inwestycji – one muszą przejść swoją ścieżkę ocen oddziaływania na środowisko. Natomiast jest pewną wskazówką, to znaczy przy ocenie nadrzędnego interesu społecznego, aczkolwiek trzeba pamiętać, że to jest jeden z kilku warunków, który musi być spełniony, żebyśmy mogli mówić o przyznaniu odstępstwa z art. 4.7 RDW. Jeżeli któreś z przedsięwzięć w opinii uczestników naszych spotkań, zapisanych w aPZRP, nie chronią odpowiednio, albo budzą wątpliwości co do skuteczności w aspekcie przeciwpowodziowym, to to pytanie nie jest do nas – do departamentu zarządzania środowiskiem i nie powinno być kierowane do planów gospodarowania wodami, tylko do zespołu, który opracowywuje aPZRP. Jutro jest ostatnie spotkanie konsultacyjne, o ile wiem, więc szansa na podniesienie tego rodzaju wątpliwości i pytań.</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Przy analizach inwestycji, które ostatecznie znalazły się w projekcie aktualizacji Planów Zarządzania Ryzykiem Powodziowym, ten aspekt środowiskowy i oddziaływania przedsięwzięcia, planowanych rozwiązań, proponowanych w PZRP, na środowisko w tym obszary chronione, również był brany pod uwagę. Nie znam kuchni, więc nie jestem w stanie opowiedzieć jak bardzo szczegółowo to się odbywało, natomiast również brano pod uwagę. Aczkolwiek, jeżeli mają Państwo wątpliwości, czy chcieliby się dowiedzieć czegoś więcej na ten temat, to w imieniu koleżanek i kolegów z Departamentu Ochrony przed Powodzią i Suszą, zachęcam do udziału w jutrzejszym spotkaniu. To ostatnia szansa do rozmowy prawie, że takiej bezpośredniej. Można również zadać pytania w formie pisemnej, zgłosić uwagi, będą udzielane odpowiedzi w sposób pisemny zbiorczo.</w:t>
            </w:r>
          </w:p>
        </w:tc>
      </w:tr>
      <w:tr w:rsidR="001C4812" w:rsidRPr="0028666F" w14:paraId="3325E482"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36CE16F" w14:textId="77777777" w:rsidR="001C4812" w:rsidRPr="00480452" w:rsidRDefault="001C4812" w:rsidP="001C4812">
            <w:pPr>
              <w:ind w:firstLine="0"/>
              <w:jc w:val="center"/>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566</w:t>
            </w:r>
          </w:p>
        </w:tc>
        <w:tc>
          <w:tcPr>
            <w:tcW w:w="970" w:type="dxa"/>
            <w:tcBorders>
              <w:top w:val="single" w:sz="4" w:space="0" w:color="auto"/>
              <w:left w:val="single" w:sz="4" w:space="0" w:color="auto"/>
              <w:bottom w:val="single" w:sz="4" w:space="0" w:color="auto"/>
            </w:tcBorders>
            <w:shd w:val="clear" w:color="auto" w:fill="auto"/>
          </w:tcPr>
          <w:p w14:paraId="33114FF1"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3A34AAB1" w14:textId="77777777" w:rsidR="001C4812" w:rsidRPr="00480452"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1850F7C"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38AFD0F4" w14:textId="6EFD4F4D"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 xml:space="preserve">Jako że jest to ostatnie spotkanie, chciałem sprostować interpretację mojego pytania ze spotkania w Bydgoszczy. Nie sugerowałem, jak to interpretował prowadzący, że chciałbym zmiany kwalifikacji </w:t>
            </w:r>
            <w:r w:rsidR="00370EC8">
              <w:rPr>
                <w:rFonts w:ascii="Calibri" w:eastAsia="Times New Roman" w:hAnsi="Calibri" w:cs="Calibri"/>
                <w:color w:val="000000"/>
                <w:sz w:val="18"/>
                <w:szCs w:val="18"/>
                <w:lang w:eastAsia="pl-PL"/>
              </w:rPr>
              <w:t>JCWP</w:t>
            </w:r>
            <w:r w:rsidRPr="00480452">
              <w:rPr>
                <w:rFonts w:ascii="Calibri" w:eastAsia="Times New Roman" w:hAnsi="Calibri" w:cs="Calibri"/>
                <w:color w:val="000000"/>
                <w:sz w:val="18"/>
                <w:szCs w:val="18"/>
                <w:lang w:eastAsia="pl-PL"/>
              </w:rPr>
              <w:t xml:space="preserve">p z naturalnej na SZCW, dlatego że zaplanowano tam, czy już realizowane są regulacje. Wręcz przeciwnie. Mało o tym było mówione podczas konsultacji, ale kwalifikacja </w:t>
            </w:r>
            <w:r w:rsidR="00370EC8">
              <w:rPr>
                <w:rFonts w:ascii="Calibri" w:eastAsia="Times New Roman" w:hAnsi="Calibri" w:cs="Calibri"/>
                <w:color w:val="000000"/>
                <w:sz w:val="18"/>
                <w:szCs w:val="18"/>
                <w:lang w:eastAsia="pl-PL"/>
              </w:rPr>
              <w:t>JCWP</w:t>
            </w:r>
            <w:r w:rsidRPr="00480452">
              <w:rPr>
                <w:rFonts w:ascii="Calibri" w:eastAsia="Times New Roman" w:hAnsi="Calibri" w:cs="Calibri"/>
                <w:color w:val="000000"/>
                <w:sz w:val="18"/>
                <w:szCs w:val="18"/>
                <w:lang w:eastAsia="pl-PL"/>
              </w:rPr>
              <w:t xml:space="preserve">p jako SZCW, to de facto samo w sobie jest derogacja. Ocena wskaźników hydromorfologicznych jest obniżona. Nawet jeśli </w:t>
            </w:r>
            <w:r w:rsidR="00370EC8">
              <w:rPr>
                <w:rFonts w:ascii="Calibri" w:eastAsia="Times New Roman" w:hAnsi="Calibri" w:cs="Calibri"/>
                <w:color w:val="000000"/>
                <w:sz w:val="18"/>
                <w:szCs w:val="18"/>
                <w:lang w:eastAsia="pl-PL"/>
              </w:rPr>
              <w:t>JCWP</w:t>
            </w:r>
            <w:r w:rsidRPr="00480452">
              <w:rPr>
                <w:rFonts w:ascii="Calibri" w:eastAsia="Times New Roman" w:hAnsi="Calibri" w:cs="Calibri"/>
                <w:color w:val="000000"/>
                <w:sz w:val="18"/>
                <w:szCs w:val="18"/>
                <w:lang w:eastAsia="pl-PL"/>
              </w:rPr>
              <w:t>p jest w dużym stopniu uregulowana nie oznacza to automatycznie, że ma mieć ona status SZCW. Musi być to uzasadnione ważnym interesem środowiska lub człowieka.</w:t>
            </w:r>
            <w:r w:rsidRPr="00480452">
              <w:rPr>
                <w:rFonts w:ascii="Calibri" w:eastAsia="Times New Roman" w:hAnsi="Calibri" w:cs="Calibri"/>
                <w:color w:val="000000"/>
                <w:sz w:val="18"/>
                <w:szCs w:val="18"/>
                <w:lang w:eastAsia="pl-PL"/>
              </w:rPr>
              <w:br/>
              <w:t>PYTANIE: Jaka jest różnica w nowym IIaPGW odnośnie do łagodzenia kryteriów środowiskowych dla SZCW w stosunku do poprzedniego planu - to się zmieniło i wymaga wyjaśnienia.</w:t>
            </w:r>
          </w:p>
        </w:tc>
        <w:tc>
          <w:tcPr>
            <w:tcW w:w="2733" w:type="dxa"/>
            <w:tcBorders>
              <w:top w:val="single" w:sz="4" w:space="0" w:color="auto"/>
              <w:left w:val="nil"/>
              <w:bottom w:val="single" w:sz="4" w:space="0" w:color="auto"/>
              <w:right w:val="single" w:sz="4" w:space="0" w:color="auto"/>
            </w:tcBorders>
            <w:shd w:val="clear" w:color="auto" w:fill="auto"/>
          </w:tcPr>
          <w:p w14:paraId="4BEFF05D"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EE503D0"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2D02F35"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7AFECA1" w14:textId="77777777" w:rsidR="001C4812" w:rsidRPr="00480452" w:rsidRDefault="001C4812" w:rsidP="001C481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37F5E9CF" w14:textId="77777777" w:rsidR="00480452" w:rsidRPr="00480452" w:rsidRDefault="001C4812" w:rsidP="0048045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Podstawowa różnica, jeżeli dobrze interpretuję intencje autora, to musimy sobie przypomnieć to, o czym mówimy po raz któryś na każdym ze spotkań, że II APGW prezentując wyniki wykorzystuje informacje, wyniki prac przeprowadzonych przez zespoły ekspertów na wcześniejszych etapach, między innymi projektów wyznaczania silnie zmienionych i sztucznych części wód oraz ustalenia celów środowiskowych. To są te elementy, a zwłaszcza praca dotycząca silnie zmienionych i sztucznych części wód, która miała na celu zweryfikowanie i przypisanie czy uwzględnienie przesłanek dla tych jednolitych części wód, które powinny być uznane za silnie zmienione, czy też sztuczne części wód. Sama metodyka wyznaczania silnie zmienionych i sztucznych części wód jest oczywiście elementem dostępnym, jeżeli ktoś ma bardziej szczegółowe zapotrzebowanie na informacje, jakie było konkretne, szczegółowe podejście, to zachęcam do zapoznania się. Natomiast taką główną różnicą jest wykorzystanie w tym cyklu planistycznym wskaźnika HIR, który przy wyznaczeniu silnie zmienionych i sztucznych części wód był brany pod uwagę. Wcześniej go nie było, bo nie był dookreślony, a więc to jest ta różnica, która na pewno pomiędzy oboma cyklami planistycznymi jest widoczna. Jeżeli chodzi o samo wyznaczanie silnie zmienionych i sztucznych części wód, a więc nadanie statusów, to myślę, że to jest ten element, który przede wszystkim różnicuje. Jeżeli chodzi o inne elementy, to też o tym wskazywaliśmy, chociażby to przypisywanie czy odnoszenie się do silnie zmienionych i sztucznych części wód w rozumieniu wartości granicznych, to jest ten element, który dzisiaj nie rozporządzenie klasyfikacyjne, a aPGW określa, zgodnie z literą prawa.</w:t>
            </w:r>
            <w:r w:rsidR="00480452" w:rsidRPr="00480452">
              <w:rPr>
                <w:rFonts w:ascii="Calibri" w:eastAsia="Times New Roman" w:hAnsi="Calibri" w:cs="Calibri"/>
                <w:color w:val="000000"/>
                <w:sz w:val="18"/>
                <w:szCs w:val="18"/>
                <w:lang w:eastAsia="pl-PL"/>
              </w:rPr>
              <w:t xml:space="preserve"> </w:t>
            </w:r>
          </w:p>
          <w:p w14:paraId="0B518F90" w14:textId="77777777" w:rsidR="00480452" w:rsidRPr="00480452" w:rsidRDefault="00480452" w:rsidP="00480452">
            <w:pPr>
              <w:ind w:firstLine="0"/>
              <w:jc w:val="left"/>
              <w:rPr>
                <w:rFonts w:ascii="Calibri" w:eastAsia="Times New Roman" w:hAnsi="Calibri" w:cs="Calibri"/>
                <w:color w:val="000000"/>
                <w:sz w:val="18"/>
                <w:szCs w:val="18"/>
                <w:lang w:eastAsia="pl-PL"/>
              </w:rPr>
            </w:pPr>
            <w:r w:rsidRPr="00480452">
              <w:rPr>
                <w:rFonts w:ascii="Calibri" w:eastAsia="Times New Roman" w:hAnsi="Calibri" w:cs="Calibri"/>
                <w:color w:val="000000"/>
                <w:sz w:val="18"/>
                <w:szCs w:val="18"/>
                <w:lang w:eastAsia="pl-PL"/>
              </w:rPr>
              <w:t>Uzupełniono po spotkaniu konsultacyjnym:</w:t>
            </w:r>
          </w:p>
          <w:p w14:paraId="449C1E3E" w14:textId="070D7C8D" w:rsidR="00480452" w:rsidRPr="00480452" w:rsidRDefault="00480452" w:rsidP="00480452">
            <w:pPr>
              <w:ind w:firstLine="0"/>
              <w:jc w:val="left"/>
              <w:rPr>
                <w:rFonts w:ascii="Calibri" w:eastAsia="Times New Roman" w:hAnsi="Calibri" w:cs="Calibri"/>
                <w:sz w:val="18"/>
                <w:szCs w:val="18"/>
                <w:lang w:eastAsia="pl-PL"/>
              </w:rPr>
            </w:pPr>
            <w:r w:rsidRPr="00480452">
              <w:rPr>
                <w:rFonts w:ascii="Calibri" w:eastAsia="Times New Roman" w:hAnsi="Calibri" w:cs="Calibri"/>
                <w:sz w:val="18"/>
                <w:szCs w:val="18"/>
                <w:lang w:eastAsia="pl-PL"/>
              </w:rPr>
              <w:t xml:space="preserve">IIaPGW w załączniku </w:t>
            </w:r>
            <w:r w:rsidRPr="00480452">
              <w:rPr>
                <w:rFonts w:ascii="Calibri" w:eastAsia="Times New Roman" w:hAnsi="Calibri" w:cs="Calibri"/>
                <w:i/>
                <w:iCs/>
                <w:sz w:val="18"/>
                <w:szCs w:val="18"/>
                <w:lang w:eastAsia="pl-PL"/>
              </w:rPr>
              <w:t>Wartości graniczne SCW i SZCW</w:t>
            </w:r>
            <w:r w:rsidRPr="00480452">
              <w:rPr>
                <w:rFonts w:ascii="Calibri" w:eastAsia="Times New Roman" w:hAnsi="Calibri" w:cs="Calibri"/>
                <w:sz w:val="18"/>
                <w:szCs w:val="18"/>
                <w:lang w:eastAsia="pl-PL"/>
              </w:rPr>
              <w:t xml:space="preserve"> prezentuje ustalone wartości graniczne dla elementów, które stanowią element dla oceny potencjału ekologicznego jednolitych wód sztucznych i silnie zmienionych.</w:t>
            </w:r>
            <w:r w:rsidRPr="00480452">
              <w:rPr>
                <w:rFonts w:ascii="Calibri" w:eastAsia="Times New Roman" w:hAnsi="Calibri" w:cs="Calibri"/>
                <w:sz w:val="18"/>
                <w:szCs w:val="18"/>
                <w:lang w:eastAsia="pl-PL"/>
              </w:rPr>
              <w:b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34411C32" w14:textId="2EC14F57" w:rsidR="00480452" w:rsidRPr="00480452" w:rsidRDefault="00480452" w:rsidP="00480452">
            <w:pPr>
              <w:pStyle w:val="Akapitzlist"/>
              <w:numPr>
                <w:ilvl w:val="0"/>
                <w:numId w:val="1"/>
              </w:numPr>
              <w:ind w:left="354" w:hanging="283"/>
              <w:jc w:val="left"/>
              <w:rPr>
                <w:rFonts w:eastAsia="Times New Roman" w:cstheme="minorHAnsi"/>
                <w:sz w:val="18"/>
                <w:szCs w:val="18"/>
                <w:lang w:eastAsia="pl-PL"/>
              </w:rPr>
            </w:pPr>
            <w:r w:rsidRPr="00480452">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370EC8">
              <w:rPr>
                <w:rFonts w:cstheme="minorHAnsi"/>
                <w:sz w:val="18"/>
                <w:szCs w:val="18"/>
                <w:shd w:val="clear" w:color="auto" w:fill="FFFFFF"/>
              </w:rPr>
              <w:t>JCWP</w:t>
            </w:r>
            <w:r w:rsidRPr="00480452">
              <w:rPr>
                <w:rFonts w:cstheme="minorHAnsi"/>
                <w:sz w:val="18"/>
                <w:szCs w:val="18"/>
                <w:shd w:val="clear" w:color="auto" w:fill="FFFFFF"/>
              </w:rPr>
              <w:t>p RW określonego typu”</w:t>
            </w:r>
          </w:p>
          <w:p w14:paraId="4315B74D" w14:textId="27491C7F" w:rsidR="001C4812" w:rsidRPr="00480452" w:rsidRDefault="00480452" w:rsidP="00480452">
            <w:pPr>
              <w:pStyle w:val="Akapitzlist"/>
              <w:numPr>
                <w:ilvl w:val="0"/>
                <w:numId w:val="1"/>
              </w:numPr>
              <w:ind w:left="354" w:hanging="283"/>
              <w:jc w:val="left"/>
              <w:rPr>
                <w:rFonts w:ascii="Calibri" w:eastAsia="Times New Roman" w:hAnsi="Calibri" w:cs="Calibri"/>
                <w:sz w:val="18"/>
                <w:szCs w:val="18"/>
                <w:lang w:eastAsia="pl-PL"/>
              </w:rPr>
            </w:pPr>
            <w:r w:rsidRPr="00480452">
              <w:rPr>
                <w:rFonts w:eastAsia="Times New Roman" w:cstheme="minorHAnsi"/>
                <w:sz w:val="18"/>
                <w:szCs w:val="18"/>
                <w:lang w:eastAsia="pl-PL"/>
              </w:rPr>
              <w:t>dla pozostałych SCW i SZCW (</w:t>
            </w:r>
            <w:r w:rsidR="00370EC8">
              <w:rPr>
                <w:rFonts w:eastAsia="Times New Roman" w:cstheme="minorHAnsi"/>
                <w:sz w:val="18"/>
                <w:szCs w:val="18"/>
                <w:lang w:eastAsia="pl-PL"/>
              </w:rPr>
              <w:t>JCWP</w:t>
            </w:r>
            <w:r w:rsidRPr="00480452">
              <w:rPr>
                <w:rFonts w:eastAsia="Times New Roman" w:cstheme="minorHAnsi"/>
                <w:sz w:val="18"/>
                <w:szCs w:val="18"/>
                <w:lang w:eastAsia="pl-PL"/>
              </w:rPr>
              <w:t>p RW</w:t>
            </w:r>
            <w:r w:rsidRPr="00480452">
              <w:rPr>
                <w:rFonts w:ascii="Calibri" w:eastAsia="Times New Roman" w:hAnsi="Calibri" w:cs="Calibri"/>
                <w:sz w:val="18"/>
                <w:szCs w:val="18"/>
                <w:lang w:eastAsia="pl-PL"/>
              </w:rPr>
              <w:t>)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tc>
      </w:tr>
      <w:tr w:rsidR="001C4812" w:rsidRPr="0028666F" w14:paraId="33FD5B4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FBC196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567</w:t>
            </w:r>
          </w:p>
        </w:tc>
        <w:tc>
          <w:tcPr>
            <w:tcW w:w="970" w:type="dxa"/>
            <w:tcBorders>
              <w:top w:val="single" w:sz="4" w:space="0" w:color="auto"/>
              <w:left w:val="single" w:sz="4" w:space="0" w:color="auto"/>
              <w:bottom w:val="single" w:sz="4" w:space="0" w:color="auto"/>
            </w:tcBorders>
            <w:shd w:val="clear" w:color="auto" w:fill="auto"/>
          </w:tcPr>
          <w:p w14:paraId="7E277DE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4C14E51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8A4D68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6C7D875" w14:textId="63FB8720"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Dzień dobry. Chciałem zapytać, czy rzeczywiście tak jak w rozdz. 19.1 IIaPGW Odra, wymienione tam &amp;#34;dokumenty powiązane&amp;#34; mają wpływ na ustalenia IIaPGW, a nie na odwrót? Tzn. czy 2apgw musi uwzględniać enigmatyczny program „Retencja korytowa - program kształtowania zasobów wodnych na terenach rolniczych”, nie posiadający żadnej strategicznej oceny, ale realizowany przez WP m.in. poprzez regulację rzek i całych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w zlewni Warty, jak Rgieliwka, Struga Biskupia, Meszna. Myślałem, że musi być na odwrót. Że ustalenia 2apgw dotyczące celów środowiskowych i działań powinny być najważniejszym wyznacznikiem planów, programów, działań.</w:t>
            </w:r>
          </w:p>
        </w:tc>
        <w:tc>
          <w:tcPr>
            <w:tcW w:w="2733" w:type="dxa"/>
            <w:tcBorders>
              <w:top w:val="single" w:sz="4" w:space="0" w:color="auto"/>
              <w:left w:val="nil"/>
              <w:bottom w:val="single" w:sz="4" w:space="0" w:color="auto"/>
              <w:right w:val="single" w:sz="4" w:space="0" w:color="auto"/>
            </w:tcBorders>
            <w:shd w:val="clear" w:color="auto" w:fill="auto"/>
          </w:tcPr>
          <w:p w14:paraId="7BC7D64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C74FAA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6EBF9DD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818545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8698AC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Rozdział 19 planu gospodarowania wodami dla każdego dorzecza, w tym również dla Odry, to jest rozdział, który poświęcony jest wskazaniu, zresztą zgodnie z zakresem wymaganym dla planów gospodarowania wodami, w którym prezentowany jest wykaz programów i planów gospodarowania, jaki obowiązuje dla danego obszaru dorzecza. Ten rozdział, żeby rzeczywiście w sposób w miarę przejrzyście prezentować informacje, został skonstruowany w podziale na dwa typy w rozumieniu zależności dokumentów i powiązań pomiędzy sobą. Głównymi dwiema grupami jest jedna grupa dokumentów, która tak została nazwana, powiązana, wpływająca na ustalenia II aPGW, oraz grupa dokumentów, na które II aPGW wpływa. Ale od razu zaznaczam, że oczywiście zapisy czy ustalenia planów gospodarowania wodami w rozumieniu ustaleń celów środowiskowych, to są ustalenia, które obowiązują i muszą być uwzględniane każdorazowo. Te informacje w rozdziale 19 mają na celu wskazanie powiązań w rozumieniu dokumentów, analiz programów, analizowanych na potrzeby opracowania IIaPGW, nie zawsze oznacza to przekładanie z tego dokumentu, z tego programu czy planu wprost działań, bo to są zestawy działań, przypisywane działania, wyniki analiz prowadzonych w ramach IIaPGW. Natomiast program wskazany w uwadze, dotyczący retencji korytowej rzeczywiście znajduje się w pakiecie programów, dotyczących wspomagania rozwoju małej retencji na obszarach wiejskich i miejskich. Takie programy, ponieważ funkcjonują i są również dla obszaru dorzecza Odry, to w dokumencie planu gospodarowania wodami są wskazane jako ten pakiet dokumentów, który tak naprawdę analizowany, czy o którego istnieniu wiedzieć powinniśmy, albowiem plany gospodarowania wodami i inne programy i plany strategiczne, ich spójność w zależności od poziomu szczegółowości informacji w nich zawartych, czy to są dokumenty strategiczne, czy to są dokumenty operacyjno wdrożeniowe, to już szczegóły rozpatrywane dla każdego z tych dokumentów odrębnie. Ale to są dokumenty analizowane w ramach IIaPGW, co nie znaczy, że działania z tego programu są uwzględnione w IIaPGW. Te informacje w rozdziale 19, w przypadku tych programów czy planów, które stanowiły bezpośrednio źródło danych, jeżeli chodzi o działania też są dookreślone, więc ta informacja się znajduje. Dodatkowo zestawy działań, jeżeli mamy przypisane działania w zestawie działań, to każde z jednolitych części wód, każde działanie ma dookreślone źródło pochodzenia, tzn, jeżeli działanie pochodzi z jakiegoś planu czy programu, to tam jest doprecyzowane i tam jest między innymi informacja, że np. działanie jest z krajowego programu oczyszczania ścieków komunalnych.</w:t>
            </w:r>
          </w:p>
        </w:tc>
      </w:tr>
      <w:tr w:rsidR="001C4812" w:rsidRPr="0028666F" w14:paraId="1DF5A4A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9A32648"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568</w:t>
            </w:r>
          </w:p>
        </w:tc>
        <w:tc>
          <w:tcPr>
            <w:tcW w:w="970" w:type="dxa"/>
            <w:tcBorders>
              <w:top w:val="single" w:sz="4" w:space="0" w:color="auto"/>
              <w:left w:val="single" w:sz="4" w:space="0" w:color="auto"/>
              <w:bottom w:val="single" w:sz="4" w:space="0" w:color="auto"/>
            </w:tcBorders>
            <w:shd w:val="clear" w:color="auto" w:fill="auto"/>
          </w:tcPr>
          <w:p w14:paraId="2300652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Obornickie Stowarzyszenie Wodniackie „APLAGA”</w:t>
            </w:r>
          </w:p>
        </w:tc>
        <w:tc>
          <w:tcPr>
            <w:tcW w:w="165" w:type="dxa"/>
            <w:tcBorders>
              <w:top w:val="nil"/>
              <w:left w:val="nil"/>
              <w:bottom w:val="single" w:sz="4" w:space="0" w:color="auto"/>
              <w:right w:val="single" w:sz="4" w:space="0" w:color="auto"/>
            </w:tcBorders>
            <w:shd w:val="clear" w:color="auto" w:fill="auto"/>
          </w:tcPr>
          <w:p w14:paraId="61368B6C"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48F95C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3721AE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Jakie działania planowane są w ramach drugiej aktualizacji Planów gospodarowania wodami na obszarach dorzeczy (II aPGW) w celu poprawy ciągłości biologicznej i morfologicznej rzeki Wełny od Dopływu poniżej Jez. Łęgowo do ujścia, RW60002418699, Flinty, RW60001018689 oraz Małej Wełny od Dopł. z Rejowca do ujścia, RW600025186699. Wybudowane urządzenia hydrotechniczne bez przepławek (lub z niewłaściwie działającymi przepławkami) stanowiących barierę zaburzającą swobodną migrację ryb na tych ciekach stanowiący korytarz ekologiczny. Czy zostanie wprowadzony ciągły monitoring migracji ryb na tych ciekach?</w:t>
            </w:r>
          </w:p>
        </w:tc>
        <w:tc>
          <w:tcPr>
            <w:tcW w:w="2733" w:type="dxa"/>
            <w:tcBorders>
              <w:top w:val="single" w:sz="4" w:space="0" w:color="auto"/>
              <w:left w:val="nil"/>
              <w:bottom w:val="single" w:sz="4" w:space="0" w:color="auto"/>
              <w:right w:val="single" w:sz="4" w:space="0" w:color="auto"/>
            </w:tcBorders>
            <w:shd w:val="clear" w:color="auto" w:fill="auto"/>
          </w:tcPr>
          <w:p w14:paraId="1B7F1CC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680111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A1BFF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0F2EB6A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E20DE1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 zakresie ciągłości, tutaj zaproponowano działania wynikające z analizy danych, również budowli. Wskazano dla części z nich przebudowę urządzeń, wskazano działanie jak kontrola funkcjonowania urządzeń służących do migracji ryb, ocena wpływu również tych urządzeń na skuteczność, zwłaszcza powyżej odcinka cieku istotnego. Te działania, jak Państwo zobaczycie w zestawach działań zostały rozbite w zależności od czasami poszczególnych obiektów. To było uwarunkowane informacjami, które mieliśmy o danym obiekcie. Jeżeli Państwo macie wiedzę o funkcjonowaniu, bądź właśnie niefunkcjonowaniu danego obiektu, a w zestawach działań zostało wskazane analiza tego urządzenia i jego skuteczności, to prosimy w formularzu taką informację zgłosić, że urządzenie jest nieskuteczne i wtedy my możemy iść o piętro wyżej z działaniami, zaproponować działania już w zakresie przywrócenia czy modernizacji tego urządzenia. Jeżeli chodzi o Wełnę, to tak jak powiedziałam, działania z punktu widzenia ciągłości były analizowane szczegółowo, w wykazie budowli piętrzących mają Państwo informacje, które budowle były przewidziane do jakich działań, działania techniczne i nietechniczne przewidziane są dla tej jednolitej.</w:t>
            </w:r>
          </w:p>
        </w:tc>
      </w:tr>
      <w:tr w:rsidR="001C4812" w:rsidRPr="0028666F" w14:paraId="7CE82F6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3BB45C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569</w:t>
            </w:r>
          </w:p>
        </w:tc>
        <w:tc>
          <w:tcPr>
            <w:tcW w:w="970" w:type="dxa"/>
            <w:tcBorders>
              <w:top w:val="single" w:sz="4" w:space="0" w:color="auto"/>
              <w:left w:val="single" w:sz="4" w:space="0" w:color="auto"/>
              <w:bottom w:val="single" w:sz="4" w:space="0" w:color="auto"/>
            </w:tcBorders>
            <w:shd w:val="clear" w:color="auto" w:fill="auto"/>
          </w:tcPr>
          <w:p w14:paraId="7270E7B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07549A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E96F86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0C4BA4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Witam, proszę o dokładne wyjaśnienie podstawy prawnej odroczenia osiągnięcia dobrego stanu wód do 2033 i 2039 roku dla substancji priorytetowych. Z wskazanych w IIaPGW podstaw prawnych to nie wynika. Jest to bardzo niezrozumiałe i brak odniesień do takich możliwości przedłużenia derogacji choćby na stronach Komisji Europejskiej.</w:t>
            </w:r>
          </w:p>
        </w:tc>
        <w:tc>
          <w:tcPr>
            <w:tcW w:w="2733" w:type="dxa"/>
            <w:tcBorders>
              <w:top w:val="single" w:sz="4" w:space="0" w:color="auto"/>
              <w:left w:val="nil"/>
              <w:bottom w:val="single" w:sz="4" w:space="0" w:color="auto"/>
              <w:right w:val="single" w:sz="4" w:space="0" w:color="auto"/>
            </w:tcBorders>
            <w:shd w:val="clear" w:color="auto" w:fill="auto"/>
          </w:tcPr>
          <w:p w14:paraId="762AD90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4D409C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588E2D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F7395D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0475DD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Podstawa prawna jest zapisana w ramowej dyrektywie wodnej. Prawo wodne w tym kontekście musimy czytać w duchu wynikającym z ramowej dyrektywy wodnej. Sytuacja tutaj wygląda następująco. Wiemy, że na cel środowiskowy składają się określone wskaźniki. Te wskaźniki, które stanowiły już w ramowej dyrektywie wodnej składowe celu środowiskowego, dla nich dyrektywa dawała możliwość dwukrotnego odroczenia terminu osiągnięcia celów środowiskowych, a więc do roku 2027. Więc skąd nagle rok 2033 i 2039, jak rozumiem, że to jest właśnie sednem pytania. Więc on wynika z tego, że nie wszystkie, lecz wyłącznie nowe substancje priorytetowe, wybrana część, kilkanaście spośród kilkudziesięciu substancji priorytetowych zostało po raz pierwszy składową celu środowiskowego, w późniejszym czasie niż te pierwotnie ustalone cele środowiskowe. I właśnie dla tych później ustanowionych wskaźników można dwukrotnie odroczyć w czasie termin osiągniecia celów środowiskowych. W ślad za tym, jeżeli lista substancji priorytetowych w najbliższych 6 latach zostanie wydłużona w ramach UE o kolejne substancje, to będzie to oznaczało, że być może w planach gospodarowania, tych, które wejdą w życie od 2028 roku zostałyby te nowe substancje składową celu środowiskowego i dla nich też będzie jeszcze bardziej odroczony termin osiągnięcia celu środowiskowego. Krótko mówiąc, to wynika z harmonogramu i z perspektywy dwukrotnego odroczenia w czasie, dwukrotnego w ramach cyklów aktualizacyjnych planów gospodarowania wodami, możliwość odroczenia celów środowiskowych.</w:t>
            </w:r>
          </w:p>
        </w:tc>
      </w:tr>
      <w:tr w:rsidR="001C4812" w:rsidRPr="0028666F" w14:paraId="4ADC6F2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26ED5FC"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570</w:t>
            </w:r>
          </w:p>
        </w:tc>
        <w:tc>
          <w:tcPr>
            <w:tcW w:w="970" w:type="dxa"/>
            <w:tcBorders>
              <w:top w:val="single" w:sz="4" w:space="0" w:color="auto"/>
              <w:left w:val="single" w:sz="4" w:space="0" w:color="auto"/>
              <w:bottom w:val="single" w:sz="4" w:space="0" w:color="auto"/>
            </w:tcBorders>
            <w:shd w:val="clear" w:color="auto" w:fill="auto"/>
          </w:tcPr>
          <w:p w14:paraId="2114097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8BC5A93"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CEB774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04C536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Na przykładzie Rgilewki spytam jednocześnie o wyższość szkodliwego dla rzek &amp;#34;programu kształtowania zasobów wodnych&amp;#34; nad dokumentem wynikającym z zobowiązań z IIaPGW - programem renaturyzacji (Krajowy program renaturyzacji wód powierzchniowych) i kto o tym ostatecznie zdecydował (Ministerstwo Infrastruktury?) Wspomniana Rgilewka, która zmieniła się w wyniku I etapu regulacji z 2014 r. miała zapisane w KPRWP pełen pakiet kilkunastu działań renaturyzacyjnych, w tym odtwarzanie siedlisk w korycie, deregulacja brzegów, a w 2apgw został TYLKO dodatkowy przegląd pozwoleń wodnoprawnych. Teraz będzie zamiast tego II etap regulacji już na całą rzekę. Podobnie rzecz się ma na Strudze Biskupiej - zamiast renaturyzacji siedlisk - regulacja i budowa jazów jako jedyny sposób na presje górnicze.</w:t>
            </w:r>
          </w:p>
        </w:tc>
        <w:tc>
          <w:tcPr>
            <w:tcW w:w="2733" w:type="dxa"/>
            <w:tcBorders>
              <w:top w:val="single" w:sz="4" w:space="0" w:color="auto"/>
              <w:left w:val="nil"/>
              <w:bottom w:val="single" w:sz="4" w:space="0" w:color="auto"/>
              <w:right w:val="single" w:sz="4" w:space="0" w:color="auto"/>
            </w:tcBorders>
            <w:shd w:val="clear" w:color="auto" w:fill="auto"/>
          </w:tcPr>
          <w:p w14:paraId="4B29A55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17B8B02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34BA9A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8B9514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6870CFB0" w14:textId="7C9AA679"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Trudne, ale bardzo ważne pytanie. Myślę, że tak, w pierwszej kolejności jeszcze raz podkreślę w planach gospodarowania wodami na rok 2021-2027 znalazły się tylko działania naprawcze, bądź działania wskazane w planach zadań ochronnych, planach ochrony, które służą do poprawy utrzymania warunków niezbędnych do osiągnięcia celów środowiskowych, w zakresie poprawy stanu fizykochemicznego, chemicznego czy hydromorfologicznego w kontekście poprawy stanu elementów biologicznych. Teraz jak się mają działania, które wprowadzają działania techniczne, planowane w ramach innych projektów do naszych działań naprawczych. W ramach IIaPGW analizowano presje na zasadzie: wyniki analizy presji i programy antropopresji, gdzie wskazane zostały presje znaczące w tym presje hydromorfologiczne, fizykochemiczne, chemiczne ze zidentyfikowanymi źródłami. Na tej podstawie zestawiając to z celami środowiskowymi, które będą obowiązywać od 2021 roku i wynikami monitoringu, określono potrzebę wdrażania działań. Oczywiście to nie jest jednoznaczne z tym, że pozostałe rzeki, dla których nie ma tak szczegółowo działań nie wymagają podjęcia działań chociażby renaturyzacyjnych, wskazanych w krajowym programie renaturyzacji i tam te przekształcenia hydromorfologiczne, które były w tym programie główną przesłanką do wskazywania działań renaturyzacyjnych są i jak najbardziej takie działania można wdrażać. Natomiast z punktu widzenia presji znaczących, czyli takich, które wpływają na osiągnięcie celów środowiskowych, nie były one zweryfikowane pod kątem, żeby te działania znalazły się jako te dodatkowe. Co nie zmienia faktu, że Państwo w ramach formularzy możecie takie działania jak najbardziej zgłosić, czyli konkretna nazwa jednolitej części wód, nazwa działania, odniesienie do krajowego programu. Krajowy program renaturyzacji został włączony bardzo szeroko dla APGW, ale rozbity, nie jeden do jednego, tylko rozbity na działania w zakresie ciągłości biologicznej, morfologicznej; działania w zakresie obszarów chronionych, czyli takie, gdzie rzeczywiście ta poprawa warunków hydromorfologicznych jest już konkretnie sprecyzowana do danego obszaru i zdefiniowana w tych dokumentach; rozbity na działania w zakresie prac utrzymaniowych, dlatego nie zostało przełożone jakby jeden do jednego. Natomiast te działania są. W przypadku konkretnych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jeżeli Państwo widzicie potrzebę, że tam to działanie mogłoby być zrealizowane, jeśli my w tych celach środowiskowych po analizach monitoringu stanu wód, czyli ten element biologiczny jeszcze też był brany pod uwagę i fizykochemiczny, nie stwierdziliśmy tych presji istotnych i dajemy możliwość, że środowisko w jakiś sposób ma szanse te wskaźniki osiągnąć w takim stanie, żeby ten dobry stan był osiągnięty, to nie wskazywano tych działań technicznych. Ale podsumowując na formularzu można zgłosić takie działanie, wskazując z jakiego programu pochodzi, a zespół ekspertów w danym zakresie jak najbardziej je przeanalizuje, oceni skuteczność i w przypadku stwierdzenia zasadności, po konsultacji z grupą roboczą Wód Polskich, to działanie znajdzie się w IIaPGW.</w:t>
            </w:r>
          </w:p>
        </w:tc>
      </w:tr>
      <w:tr w:rsidR="001C4812" w:rsidRPr="0028666F" w14:paraId="6EB2CB01"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5A1DBD5"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571</w:t>
            </w:r>
          </w:p>
        </w:tc>
        <w:tc>
          <w:tcPr>
            <w:tcW w:w="970" w:type="dxa"/>
            <w:tcBorders>
              <w:top w:val="single" w:sz="4" w:space="0" w:color="auto"/>
              <w:left w:val="single" w:sz="4" w:space="0" w:color="auto"/>
              <w:bottom w:val="single" w:sz="4" w:space="0" w:color="auto"/>
            </w:tcBorders>
            <w:shd w:val="clear" w:color="auto" w:fill="auto"/>
          </w:tcPr>
          <w:p w14:paraId="2D7B1C9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6705D9F9"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668819F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E592A3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Pytanie dot. derogacji 4.7: skoro może dotyczyć tylko nowych zmian morfologicznych wód powierzchniowych, to dlaczego przyznaje się derogacje 4.7 dla inwestycji oddziałujących na wody podziemne? np kopalnia Złoczew, Brzezinka III, nowa kopalnia cynku i ołowiu, i wiele innych? </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Drugie pytanie - jak się mają te derogacje do zasady niepogorszenia stanu wód, skoro ewidentnie i trwale go pogorszą? </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Trzecie pytanie: dlaczego i na jakiej podstawie wydano derogacje dla inwestycji, które będą oddziaływać długo po 2027, a nawet po 2039 roku? W tym dla inwestycji nieposiadającej prawomocnej decyzji środowiskowej, czyli kopalni Złoczew?</w:t>
            </w:r>
          </w:p>
        </w:tc>
        <w:tc>
          <w:tcPr>
            <w:tcW w:w="2733" w:type="dxa"/>
            <w:tcBorders>
              <w:top w:val="single" w:sz="4" w:space="0" w:color="auto"/>
              <w:left w:val="nil"/>
              <w:bottom w:val="single" w:sz="4" w:space="0" w:color="auto"/>
              <w:right w:val="single" w:sz="4" w:space="0" w:color="auto"/>
            </w:tcBorders>
            <w:shd w:val="clear" w:color="auto" w:fill="auto"/>
          </w:tcPr>
          <w:p w14:paraId="0DB65CA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80C204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743ECF1B"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89C290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09DFEDCF" w14:textId="3F12E871"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Derogacja 4.7 RDW może być przypisana dla trzech grup ingerencji w środowisko wodne. Najczęściej będzie to nowa zmiana fizyczna w wodach powierzchniowych lub nowa zmiana poziomu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podziemnych, a w przypadku, gdy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jej stan ekologiczny, potencjał ekologiczny jest w tym stanie najwyższym, w klasie 1, to wówczas pogorszenie do klasy 2 może być uwarunkowane, może być usprawiedliwione w odniesieniu do nowych zrównoważonych form działalności gospodarczej. A więc nie tylko nowe zmiany morfologiczne w wodach. W tym pytaniu też ukryte jest drugie i trzecie. Od tego jest ta derogacja, bo wiemy, że będzie to pogorszenie i wiemy, że co do zasady ono jest niedopuszczalne, dlatego w drodze derogacji, wyjątku od reguły zostało udzielone na etapie postępowań administracyjnych lub poprzedniego aPGW odstępstwo, w odniesieniu do tej nowej presji. To jest to samo. Artykuł 4.7 RDW, artykuł 68 Prawa wodnego, które nie mają w sobie jakiegoś limitu czasowego, czyli może powstać na mocy tej derogacji nowa inwestycja, nowe przedsięwzięcie, które w sposób trwały pogorszy stan wód, albo trwale uniemożliwi osiągnięcie tych celów środowiskowych. Czyli została udzielona zgoda.</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Drugi wątek z tym związany – kwestia prawomocnej decyzji środowiskowej, czyli kopalni Złoczew. Otóż, w wykazie inwestycji i działań, które stanowi załącznik do planów są pokazane dane o inwestycjach i przedsięwzięciach, które miały ustanowioną derogację w poprzednich planach, lub inwestycji, które nie były pokazane w poprzednich planach, ale mają wydaną decyzję administracyjną. Decyzja administracyjna dla kopalni Złoczew została wydana i to jest pewien fakt. Natomiast faktem jest również to, że jak wynika z pytania została ona już uchylona, a przepraszam – raczej nie jest ostateczna nawet jeśli nadano jej rygor natychmiastowej wykonalności, to to jest kwestia analizy prawnej, czy taka inwestycja powinna się znaleźć w wykazie inwestycji i odstępstw. Powiem tak, proszę tę uwagę zgłosić. To jest być może zagadnienie, które wymaga ponownego pochylenia się nad nim, żeby rozważyć zasadność w tym zakresie.</w:t>
            </w:r>
          </w:p>
        </w:tc>
      </w:tr>
      <w:tr w:rsidR="001C4812" w:rsidRPr="0028666F" w14:paraId="333CDE7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C22D70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572</w:t>
            </w:r>
          </w:p>
        </w:tc>
        <w:tc>
          <w:tcPr>
            <w:tcW w:w="970" w:type="dxa"/>
            <w:tcBorders>
              <w:top w:val="single" w:sz="4" w:space="0" w:color="auto"/>
              <w:left w:val="single" w:sz="4" w:space="0" w:color="auto"/>
              <w:bottom w:val="single" w:sz="4" w:space="0" w:color="auto"/>
            </w:tcBorders>
            <w:shd w:val="clear" w:color="auto" w:fill="auto"/>
          </w:tcPr>
          <w:p w14:paraId="3FA0168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B8C79C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729A1F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3382BC4" w14:textId="725DFD2E"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W wykazie inwestycji z derogacjami 4.7 (zał.6) brak informacji o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 na które będą oddziaływać, brak informacji o konflikcie z obszarami Natura2000, brak informacji o charakterze tych oddziaływań. Uzasadnienia są często nieaktualne, bardzo często są kalką dla danego typu inwestycji, co nie jest wystarczające. Dlaczego tabela ma takie braki? Gdzie znajdują się pełne informacje uzasadniające przesłanki wymienione w art. 4.-4.7 RDW?</w:t>
            </w:r>
          </w:p>
        </w:tc>
        <w:tc>
          <w:tcPr>
            <w:tcW w:w="2733" w:type="dxa"/>
            <w:tcBorders>
              <w:top w:val="single" w:sz="4" w:space="0" w:color="auto"/>
              <w:left w:val="nil"/>
              <w:bottom w:val="single" w:sz="4" w:space="0" w:color="auto"/>
              <w:right w:val="single" w:sz="4" w:space="0" w:color="auto"/>
            </w:tcBorders>
            <w:shd w:val="clear" w:color="auto" w:fill="auto"/>
          </w:tcPr>
          <w:p w14:paraId="4CF3FBA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4709526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BAA865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7EFAFE9"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13C595B" w14:textId="56F345E5"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 xml:space="preserve">Zacznę od końca, te informacje są właśnie w wykazie inwestycji i działań. Postawmy pytanie: czy tam muszą być pokazane informacje o konflikcie z obszarami Natura 2000? Nie widzę ku temu podstawy prawnej, żeby taka informacja tam musiała być zamieszczona. Czy tam musi być zamieszczona informacja o charakterze tych oddziaływań? Znów, nie widzę podstawy prawnej, ale może postawmy to pytanie nieco inaczej: gdybyśmy to tu pokazali, no to pytanie z jaką szczegółowością to powinno być? Pamiętajmy, że mówimy o pewnych ustaleniach strategicznych, a więc powstaje pytanie- jak bardzo szczegółowo to by musiało być opisane? Czy przepisać wszystkie ustalenia decyzji środowiskowej? Wydaje się, że nie o to chodzi. Natomiast w odniesieniu do tego, czy w wykazie inwestycji i działań są pokazane informacje o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na które będzie oddziaływać ta inwestycja, to taka informacja jest podana w miarodajny sposób w wykazie inwestycji i odstępstw. Tam są stosowne kolumny przypisane właśnie na tę okoliczność. Natomiast żadna tabela nie będzie idealna, nie łudźmy się, że jesteśmy w stanie opracować jakikolwiek załącznik do planów, jakikolwiek plan, który będzie idealny. Na tym polegają nauki przyrodnicze, nauki merytoryczne, że to co dzisiaj będziemy uznawali za najwyższy stan wiedzy, najlepszą możliwą praktykę, to za pół roku już będzie nieaktualne. Proszę pamiętać o tym, że w planie gospodarowania wodami konsumujemy pewne informacje, które już były wcześniej przygotowane. Oddajemy tym samym stopień szczegółowości adekwatny do czasu przygotowania tych dokumentów. Dlatego też cała filozofia ramowej dyrektywy wodnej odwołuje się również do tego, żeby cyklicznie aktualizować te dokumenty. Natomiast jeżeli uważają Państwo, że jest tutaj coś konkretnego, co warto dodać i znajdujemy na to podstawę prawną, proszę taką stosowną argumentację przygotować, wówczas będzie to niewątpliwie konieczne do uwzględnienia, jeśli wynika to z przepisów.</w:t>
            </w:r>
          </w:p>
        </w:tc>
      </w:tr>
      <w:tr w:rsidR="001C4812" w:rsidRPr="0028666F" w14:paraId="17513ED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130209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573</w:t>
            </w:r>
          </w:p>
        </w:tc>
        <w:tc>
          <w:tcPr>
            <w:tcW w:w="970" w:type="dxa"/>
            <w:tcBorders>
              <w:top w:val="single" w:sz="4" w:space="0" w:color="auto"/>
              <w:left w:val="single" w:sz="4" w:space="0" w:color="auto"/>
              <w:bottom w:val="single" w:sz="4" w:space="0" w:color="auto"/>
            </w:tcBorders>
            <w:shd w:val="clear" w:color="auto" w:fill="auto"/>
          </w:tcPr>
          <w:p w14:paraId="6E5E85F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3B46110C"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A08DBB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0E2CE7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Kiedy i w ramach jakich procedur administracyjnych zostanie przeprowadzona strategiczna ocena oddziaływania zestawu inwestycji dotyczących przywracania wody regionie górniczym Konin-Turek (Wlkp Wschodnia)? Czy wszystkie planowane działania są ujęte w IIaPGW, a jeśli tak to gdzie konkretnie? To bardzo istotne żeby konsultacje tych działań odbyły się ZANIM zostaną one wpisane w danym kształcie do IIaPGW i zanim rozpocznie się proces inwestycyjny, a w tym wypadku, jak na razie, tak się nie dzieje.</w:t>
            </w:r>
          </w:p>
        </w:tc>
        <w:tc>
          <w:tcPr>
            <w:tcW w:w="2733" w:type="dxa"/>
            <w:tcBorders>
              <w:top w:val="single" w:sz="4" w:space="0" w:color="auto"/>
              <w:left w:val="nil"/>
              <w:bottom w:val="single" w:sz="4" w:space="0" w:color="auto"/>
              <w:right w:val="single" w:sz="4" w:space="0" w:color="auto"/>
            </w:tcBorders>
            <w:shd w:val="clear" w:color="auto" w:fill="auto"/>
          </w:tcPr>
          <w:p w14:paraId="68172E7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C5DEAB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1A02286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FD4BA8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F05A9D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Strategiczna ocena dokumentu jest w trakcie wykonywania w tej chwili. Jesteśmy przy konsultacjach społecznych, które z powodu okresu pandemicznego nie ułatwiają tych rzeczy, ale strategiczna ocena dokumentu aPGW jest robiona. Gdzie można znaleźć dane? Po pierwsze tu jest problem dość szeroki; nie wszystkie prace daje się wziąć pod uwagę jednoczasowo. Proszę wziąć pod uwagę, że np. dopiero w 2019 roku została powołana sejmowa grupa do spraw powołania obszaru ochronnego dla jezior wielkopolskich. I prace tej grupy trwają. Dopiero w zeszłym roku została wydana monografia, dotycząca możliwości zaopatrzenia w wodę i zabezpieczenia dla odkrywki Jóźwin 2B i Kazimierz Północny, to są też propozycje. I tutaj nie zapadły żadne ostateczne ustalenia, to wszystko jest na etapie koncepcyjnym i trudno nawet zaplanować jakieś działania, ponieważ nie można planować działania dla nieustalonych, nie podjętych ostatecznie decyzji. Proponujemy w ramach działań wykonanie analiz dotyczących zagospodarowania zarówno wód powierzchniowych jak i podziemnych z odkrywek, zabezpieczenia tego i to ma być wykonane do roku 2027. Takie działanie jest założone dla regionu wodnego Warty. Plus kilka innych wspomagających. Nie mniej cały czas katalog działań pomijając aPGW jest otwarty. I tutaj cały czas jest otwarty kanał nie tylko na działania samych kopalni, które dość aktywnie działają, ale też współuczestnictwo w ocenie tych działań wszystkich organizacji ekologicznych. Najlepszym przykładem jest rejon jezior Powidzkich i jezior na północny-wschód od nich, gdzie przez kilka kolejnych lat obserwowane było wysychanie tych jezior i w części tych jezior poziom wody opadał o 4-5 metrów. Dopiero po szczegółowych analizach geologicznych okazało się, że akurat w kilku przypadkach kopalnia nie ma nic z tym wspólnego, ponieważ jeziora te są zawieszone na glinach zwałowych, odcięte od poziomów, które są drenowane przez kopalnie i tylko akurat suchy cykl hydrologiczny przyczynił się do spadku poziomu wody w tych jeziorach, więc cała sprawa jest wielowątkowa.</w:t>
            </w:r>
          </w:p>
        </w:tc>
      </w:tr>
      <w:tr w:rsidR="001C4812" w:rsidRPr="0028666F" w14:paraId="0D0E61B5"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2E3F49A"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574</w:t>
            </w:r>
          </w:p>
        </w:tc>
        <w:tc>
          <w:tcPr>
            <w:tcW w:w="970" w:type="dxa"/>
            <w:tcBorders>
              <w:top w:val="single" w:sz="4" w:space="0" w:color="auto"/>
              <w:left w:val="single" w:sz="4" w:space="0" w:color="auto"/>
              <w:bottom w:val="single" w:sz="4" w:space="0" w:color="auto"/>
            </w:tcBorders>
            <w:shd w:val="clear" w:color="auto" w:fill="auto"/>
          </w:tcPr>
          <w:p w14:paraId="1E2B8A8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Obornickie Stowarzyszenie Wodniackie „APLAGA”</w:t>
            </w:r>
          </w:p>
        </w:tc>
        <w:tc>
          <w:tcPr>
            <w:tcW w:w="165" w:type="dxa"/>
            <w:tcBorders>
              <w:top w:val="nil"/>
              <w:left w:val="nil"/>
              <w:bottom w:val="single" w:sz="4" w:space="0" w:color="auto"/>
              <w:right w:val="single" w:sz="4" w:space="0" w:color="auto"/>
            </w:tcBorders>
            <w:shd w:val="clear" w:color="auto" w:fill="auto"/>
          </w:tcPr>
          <w:p w14:paraId="076DCA3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9F4494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BACB8D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 ramach drugiej aktualizacji Planów gospodarowania wodami na obszarach dorzeczy Odry (II aPGW) planuje się wprowadzić mechanizmy, które nie dopuszczą rozpoczynania rekultywacji jezior bez odcięcia dopływu zanieczyszczeń ze zlewni? Dla przykładu rekultywację Jeziora Rogoźno (LW10251) i Jeziora Budziszewskiego (LW10249) rozpoczęto pomimo tego, że istniało wiele źródeł zanieczyszczeń ich wód zarówno na terenie gminy Rogoźno, jak i wcześniejszych odcinkach zlewni. Przyczyny i źródła zanieczyszczeń zostały opisane we wielu publicznie dostępnych dokumentach i przedstawione jednostkom prowadzącym rekultywację i monitoring. Realizując powyższe działania wyrzucono w błoto około 2 mln złotych, które mogły być przeznaczone na pilne potrzeby uregulowania gospodarki wodno-ściekowej w Gminie Rogoźno.</w:t>
            </w:r>
          </w:p>
        </w:tc>
        <w:tc>
          <w:tcPr>
            <w:tcW w:w="2733" w:type="dxa"/>
            <w:tcBorders>
              <w:top w:val="single" w:sz="4" w:space="0" w:color="auto"/>
              <w:left w:val="nil"/>
              <w:bottom w:val="single" w:sz="4" w:space="0" w:color="auto"/>
              <w:right w:val="single" w:sz="4" w:space="0" w:color="auto"/>
            </w:tcBorders>
            <w:shd w:val="clear" w:color="auto" w:fill="auto"/>
          </w:tcPr>
          <w:p w14:paraId="3C3C980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7BA02E2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B17C5E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A0FA45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7520F97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W przypadku wskazanych jezior sytuacja jest taka jak w wielu innych. Mamy tutaj nagromadzenie w osadach dennych zanieczyszczeń, głównie też substancji biogennych pochodzących ze źródeł rozproszonych; dodatkowo przez wiele lat dostarczane zanieczyszczenia bytowe. W tym momencie odcięcie źródeł punktowych, czyli komunalnych spowodowało jakby sytuację, gdzie już nie mamy dostaw nowych zanieczyszczeń z tego źródła, aczkolwiek ciągle mamy dostawy np. ze źródeł rozproszonych – jak z rolnictwa, bo brakuje stref buforowych. Ale co w przypadku jezior i co już też podkreślałam i zespół ekspertów jak najbardziej uwzględniał, dochodzi do wtórnego zanieczyszczenia, czyli z tych osadów dennych uwalniane są ładunki; głównie w okresie letnim jest to uciążliwe z racji tego, że te jeziora zakwitają. Skuteczność programu rekultywacji jest taka, że po jego wdrożeniu należy również mieć na uwadze to, co się dzieje w zlewni. Czyli tam też za działaniami podąża cały szereg działań porządkujących gospodarkę ściekową, komunalną, ale to są także działania na poziomie krajowym, czyli takie, które nie znalazły się już indywidualnie w danym zestawie dla jeziora, ale obowiązują – to jest kodeks dobrych praktyk rolniczych, czyli strefy buforowe, ale także działania informacyjne i edukacyjne dla rolników. Tutaj podobnie, jest nałożenie się presji skumulowanych, czyli mamy szereg przyczynowo - skutkowy zjawisk naturalnych z tą presją antropogeniczną. I taka presja, która w przypadku tych jezior, o których była mowa przed chwilą i tych tutaj, to jest fakt taki, że rzeczywiście intensywne rolnictwo przy zwiększaniu częstotliwości susz powoduje, że ten pobór wód, płytkich wód podziemnych z takich ujęć wierconych jest bardzo zintensyfikowany, co mogłam oglądać chociażby 2 tygodnie temu jeżdżąc po tej okolicy i przyznaję, że działania edukacyjne, informacyjne dla rolników pokazujące, że pozyskiwanie wody do nawodnień i nieefektywne nawodnienia w południa- czyli zraszacze itd. powodują, że to wszystko przekłada się zarówno na stan wód w jeziorze jak i na efektywność tych działań, o których mówimy – czyli rekultywacji. Programy indywidualne, naprawcze dla jezior są zdefiniowane w APGW, ale one są wskazane jako tą część nietechniczna i techniczna. I ta część techniczna ma już precyzyjnie określić możliwości wdrożenia i kolejność przede wszystkim poszczególnych elementów rekultywacji, a co więcej wdrożenia działań w zlewni. Często wdrożenia działań normalizujących stan ilościowy, czyli chociażby to gospodarowanie wodą w innych sektorach, które jest kluczowe i gospodarki ściekowej. Jeziora to jest taki zapis tego, co działo się nie tylko w ostatnich 10 latach, ale w kilkudziesięciu, kilkuset, a nawet jak powiercimy sobie to kilku tysięcy lat. W związku z tym są to bardzo podatne ekosystemy na degradację zarówno z przyczyn klimatycznych plus presje antropogeniczne. Dlatego projekty rekultywacji są indywidualne i w APGW znalazły się wskazania, zalecenia; ale proszę pamiętać to nie są gotowe projekty rekultywacji, a obligowanie do ich opracowania, aktualizacji i wdrożenia w konkretnym harmonogramie.</w:t>
            </w:r>
          </w:p>
        </w:tc>
      </w:tr>
      <w:tr w:rsidR="001C4812" w:rsidRPr="0028666F" w14:paraId="457DACC2"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BC727C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575</w:t>
            </w:r>
          </w:p>
        </w:tc>
        <w:tc>
          <w:tcPr>
            <w:tcW w:w="970" w:type="dxa"/>
            <w:tcBorders>
              <w:top w:val="single" w:sz="4" w:space="0" w:color="auto"/>
              <w:left w:val="single" w:sz="4" w:space="0" w:color="auto"/>
              <w:bottom w:val="single" w:sz="4" w:space="0" w:color="auto"/>
            </w:tcBorders>
            <w:shd w:val="clear" w:color="auto" w:fill="auto"/>
          </w:tcPr>
          <w:p w14:paraId="224D108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Jezioro Rogozińskie</w:t>
            </w:r>
          </w:p>
        </w:tc>
        <w:tc>
          <w:tcPr>
            <w:tcW w:w="165" w:type="dxa"/>
            <w:tcBorders>
              <w:top w:val="nil"/>
              <w:left w:val="nil"/>
              <w:bottom w:val="single" w:sz="4" w:space="0" w:color="auto"/>
              <w:right w:val="single" w:sz="4" w:space="0" w:color="auto"/>
            </w:tcBorders>
            <w:shd w:val="clear" w:color="auto" w:fill="auto"/>
          </w:tcPr>
          <w:p w14:paraId="017EBBD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5FA046B"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138875B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Wody Jeziora Rogoźno i Jeziora Budziszewskiego, oraz Małej Wełny są zanieczyszczone biogenami, co objawia się zakwitami sinicowymi. Zakwitami uniemożliwiającymi od wielu lat na korzystanie w okresie letnim z wód.</w:t>
            </w:r>
            <w:r w:rsidRPr="008B085E">
              <w:rPr>
                <w:rFonts w:ascii="Calibri" w:eastAsia="Times New Roman" w:hAnsi="Calibri" w:cs="Calibri"/>
                <w:color w:val="000000"/>
                <w:sz w:val="18"/>
                <w:szCs w:val="18"/>
                <w:lang w:eastAsia="pl-PL"/>
              </w:rPr>
              <w:br w:type="page"/>
              <w:t>Czy Zarząd Gospodarki Wodnej przewiduje działania zmierzające do ustalenia źródeł zanieczyszczeń zlewni Małej Wełny?</w:t>
            </w:r>
            <w:r w:rsidRPr="008B085E">
              <w:rPr>
                <w:rFonts w:ascii="Calibri" w:eastAsia="Times New Roman" w:hAnsi="Calibri" w:cs="Calibri"/>
                <w:color w:val="000000"/>
                <w:sz w:val="18"/>
                <w:szCs w:val="18"/>
                <w:lang w:eastAsia="pl-PL"/>
              </w:rPr>
              <w:br w:type="page"/>
              <w:t>Na rzekach Małej Wełnie i Wełnie budowane przegrody uniemożliwiające swobodny przepływ ryb. Na wybudowanych jazach istnieją przepławki, które nie spełniają swego zadania. Czy Zarząd przewiduje inwentaryzację wybudowanych przegród pod tym kątem?</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75196BD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B4BCA7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5A2EE4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69CED4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D48309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type="page"/>
            </w:r>
            <w:r w:rsidRPr="008B085E">
              <w:rPr>
                <w:rFonts w:ascii="Calibri" w:eastAsia="Times New Roman" w:hAnsi="Calibri" w:cs="Calibri"/>
                <w:color w:val="000000"/>
                <w:sz w:val="18"/>
                <w:szCs w:val="18"/>
                <w:lang w:eastAsia="pl-PL"/>
              </w:rPr>
              <w:br w:type="page"/>
              <w:t>W przypadku zestawów działań uwzględniliśmy analizę presji, gdzie były określone źródła presji punktowe i rozproszone i mogliśmy identyfikować, czy problem stanu fizykochemicznego jest efektem danego typu źródła zanieczyszczeń. W przypadku Małej Wełny rzeczywiście brak działań wynika poniekąd z celów środowiskowych. Proszę wziąć pod uwagę, że w metodyce wskazane zostały przesłanki uwzględniające zarówno wynik monitoringu danych wskaźników, w tym biologicznych plus cele środowiskowe, które zostały określone na lata 2021 – 2027 i w tych przypadkach, gdzie te cele środowiskowe wymagały drożności czy to dla ryb dwuśrodowiskowych, czy gatunków chronionych, dodatkowo stwierdzone były w monitoringu problemy, czyli wskaźniki odpowiadające wartościom stanu poniżej dobrego, to te działania się znalazły. Jeżeli chodzi o informacje, budowle i skuteczność przepławek, czy ich drożność; tu także bazowaliśmy na danych pochodzących z bazy HYMO, bazy presji, a także z ankietyzacji. Jeżeli macie Państwo informacje, że jakieś budowle są niesprawne, to prosimy w formularzach zgłaszać takie informacje z lokalizacją danej budowli i propozycją działania. Myślę, że w przypadku Małej Wełny, istotne będzie udrożnienie przede wszystkim tych jazów przy ujściowym odcinku, gdzie otworzą tak naprawdę tę rzekę dla ryb. Natomiast tak, jak wskazałam ważne są też cele środowiskowe, bo one były przesłanką do podejmowania w pierwszej kolejności działań udrożnieniowych, co nie zmienia faktu, że jeżeli będzie potrzeba, chęć udrożnienia jakiegoś odcinka cieku, czy z racji obszarów chronionych będzie taka inicjatywa, to myślę, że jak najbardziej w krajowym programie renaturyzacji większość cieków została wskazana do udrożnień. Tutaj mieliśmy priorytety i priorytetem było osiągnięcie celów środowiskowych tam, gdzie one są zagrożone.</w:t>
            </w:r>
          </w:p>
        </w:tc>
      </w:tr>
      <w:tr w:rsidR="001C4812" w:rsidRPr="0028666F" w14:paraId="7938E258"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159716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576</w:t>
            </w:r>
          </w:p>
        </w:tc>
        <w:tc>
          <w:tcPr>
            <w:tcW w:w="970" w:type="dxa"/>
            <w:tcBorders>
              <w:top w:val="single" w:sz="4" w:space="0" w:color="auto"/>
              <w:left w:val="single" w:sz="4" w:space="0" w:color="auto"/>
              <w:bottom w:val="single" w:sz="4" w:space="0" w:color="auto"/>
            </w:tcBorders>
            <w:shd w:val="clear" w:color="auto" w:fill="auto"/>
          </w:tcPr>
          <w:p w14:paraId="5F5F8D7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6FC24E3E"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0C40812F"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1A8A7D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Wody Polskie, a wcześniej WZMiUWy i RZGW nie mają żadnej mocy na wymuszenie od prywatnych użytkowników/ właścicieli/ administratorów piętrzeń ich przebudowy lub prawidłowego działania, aby były drożne dla organizmów wodnych? W poprzednim apgw miał być udrożniony ciek istotny dla migracji - Kończak. Działania inwestycyjne. Zgodnie z zapisami IIapgw pierwszym piętrzeniem na rzece administruje słynna firma DJT - a na zbiorniku (kiedyś stawy) budowany jest ich słynny zamek w Stobnicy. Przepławka nie funkcjonuje prawidłowo (zapis z 2apgw), ale zalecono tylko monitoring i kontrolę, zamiast przebudowy czy realnych działań. Przez ostatnie 6 lat nie udało się najwyraźniej tego wymusić, ani właściwego jej działania jeśli sprawna. Żadne piętrzenie na Kończaku udrożnione nie zostało i wg zapisów 2apgw... już nie musi być udrożnione. Wyżej piętrzeniem administrują Lasy Państwowe i też zostały zwolnione z tego obowiązku. Na Wełnie w obszarze Natura 2000 też wiele przepławek nie zostało przebudowanych mimo wpisu 6-7 lat temu do aPGW.</w:t>
            </w:r>
          </w:p>
        </w:tc>
        <w:tc>
          <w:tcPr>
            <w:tcW w:w="2733" w:type="dxa"/>
            <w:tcBorders>
              <w:top w:val="single" w:sz="4" w:space="0" w:color="auto"/>
              <w:left w:val="nil"/>
              <w:bottom w:val="single" w:sz="4" w:space="0" w:color="auto"/>
              <w:right w:val="single" w:sz="4" w:space="0" w:color="auto"/>
            </w:tcBorders>
            <w:shd w:val="clear" w:color="auto" w:fill="auto"/>
          </w:tcPr>
          <w:p w14:paraId="5E3BACA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25C9DA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618CE9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0BB005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1085F32" w14:textId="583F512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Plan gospodarowania wodami uwzględnia wszystkie obiekty, które stanowią problem, barierę dla migracji organizmów wodnych w tym ryb na ciekach istotnych i powodują ryzyko nieosiągnięcia celów. Czy jesteśmy w stanie? W zestawach działań zostały wskazane budowle z lokalizacją, tam, gdzie była informacja, że są urządzeniami do migracji, ale nie znamy ich skuteczności, a znajdują się w obrębie tych części wód gdzie mamy cel środowiskowy wskazany jednoznacznie, czyli drożność dla ryb i gatunków chronionych. I z monitoringu wychodzi rzeczywiście, że jest jakiś problem, bo elementy biologiczne i wskaźniki biologiczne w tym ichtiofauna pokazują stan zły. Tam wskazywaliśmy takie działania jak właśnie analiza czy monitoring urządzeń do migracji ryb, czyli stwierdzenie tego czy dane urządzenie jest sprawne i w jakim zakresie te cele środowiskowe mogą być zrealizowane. Proszę pamiętać, że IIaPGW zawiera bardzo dużo działań z zakresu udrożnień budowli. Ponad 5500 takich budowli znalazło się w zestawach działań z konkretną lokalizacją, konkretnym działaniem. Będzie ich jeszcze więcej z racji tego, że doszło rozporządzenie o gatunkach zwierząt wodnych o znaczeniu gospodarczym. Bardzo byśmy prosili o wskazanie w formularzach tych obiektów, które może nie zostały uwzględnione z racji braku pełnych danych, informacji o danym obiekcie, np. wysokości piętrzenia czy funkcjonowania takiego urządzenia do migracji, a znajdują się właśnie na tych ciekach, gdzie te cele środowiskowe jednoznacznie muszą uwzględnić ciągłość biologiczną. Eksperci w pierwszej kolejności analizowali możliwość pełnego udrożnienia takich budowli czy przywrócenia również ciągłości morfologicznej, ale proszę zwrócić uwagę, że szereg z tych urządzeń pełni funkcje i wiele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posiada status silnie zmienionych ze względu na te obiekty, które pełnią funkcje gospodarcze, energetyczne itd. W związku z tym musieliśmy też mieć informacje zwrotne. Nieczęsto one pojawiały się w pełnym zakresie, dotyczącym możliwości wdrożenia danego działania, zwłaszcza od właścicieli prywatnych obiektów. Nie mamy takiej mocy sprawczej. Mam nadzieję, że konieczność zapewnienia ciągłości przede wszystkim dla cieków istotnych i szczególnie istotnych będzie podstawą realizacji takich inwestycji w przyszłości i unikniemy tego, że będziemy musieli naprawiać i już przy realizacji będziemy mogli zapewniać tego typu rozwiązania.</w:t>
            </w:r>
          </w:p>
        </w:tc>
      </w:tr>
      <w:tr w:rsidR="001C4812" w:rsidRPr="0028666F" w14:paraId="2C4221A6"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6503A5D"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577</w:t>
            </w:r>
          </w:p>
        </w:tc>
        <w:tc>
          <w:tcPr>
            <w:tcW w:w="970" w:type="dxa"/>
            <w:tcBorders>
              <w:top w:val="single" w:sz="4" w:space="0" w:color="auto"/>
              <w:left w:val="single" w:sz="4" w:space="0" w:color="auto"/>
              <w:bottom w:val="single" w:sz="4" w:space="0" w:color="auto"/>
            </w:tcBorders>
            <w:shd w:val="clear" w:color="auto" w:fill="auto"/>
          </w:tcPr>
          <w:p w14:paraId="1EDBC6F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Obornickie Stowarzyszenie Wodniackie „APLAGA”</w:t>
            </w:r>
          </w:p>
        </w:tc>
        <w:tc>
          <w:tcPr>
            <w:tcW w:w="165" w:type="dxa"/>
            <w:tcBorders>
              <w:top w:val="nil"/>
              <w:left w:val="nil"/>
              <w:bottom w:val="single" w:sz="4" w:space="0" w:color="auto"/>
              <w:right w:val="single" w:sz="4" w:space="0" w:color="auto"/>
            </w:tcBorders>
            <w:shd w:val="clear" w:color="auto" w:fill="auto"/>
          </w:tcPr>
          <w:p w14:paraId="706BFE7D"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7A0EF3A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AA70DD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Czy w ramach drugiej aktualizacji Planów gospodarowania wodami na obszarach dorzeczy Odry (II aPGW) planuje się odnieść się do stref ciszy oraz zakazu pływania jednostek z napędem motorowym (w tym skuterów wodnych) na jeziorach, na których Wody Polskie wykonują prawa właścicielskie i stanowią one własność Skarbu Państwa?</w:t>
            </w:r>
            <w:r w:rsidRPr="008B085E">
              <w:rPr>
                <w:rFonts w:ascii="Calibri" w:eastAsia="Times New Roman" w:hAnsi="Calibri" w:cs="Calibri"/>
                <w:color w:val="000000"/>
                <w:sz w:val="18"/>
                <w:szCs w:val="18"/>
                <w:lang w:eastAsia="pl-PL"/>
              </w:rPr>
              <w:br/>
              <w:t>Uchwała X/75/19 z dnia 27 czerwca 2019 roku Rady Powiatu Obornickiego otworzyła jeziora Rogoźno i Budziszewskie na pływanie motorówek i skuterów praktycznie bez żadnych ograniczeń:</w:t>
            </w:r>
            <w:r w:rsidRPr="008B085E">
              <w:rPr>
                <w:rFonts w:ascii="Calibri" w:eastAsia="Times New Roman" w:hAnsi="Calibri" w:cs="Calibri"/>
                <w:color w:val="000000"/>
                <w:sz w:val="18"/>
                <w:szCs w:val="18"/>
                <w:lang w:eastAsia="pl-PL"/>
              </w:rPr>
              <w:br/>
              <w:t>• bez ograniczenia mocy tych jednostek (mogą pływać jednostki nawet do 400 kM, które osiągają prędkości powyżej 100 km/h i swobodnie mogłyby pływać także po wodach Bałtyku),</w:t>
            </w:r>
            <w:r w:rsidRPr="008B085E">
              <w:rPr>
                <w:rFonts w:ascii="Calibri" w:eastAsia="Times New Roman" w:hAnsi="Calibri" w:cs="Calibri"/>
                <w:color w:val="000000"/>
                <w:sz w:val="18"/>
                <w:szCs w:val="18"/>
                <w:lang w:eastAsia="pl-PL"/>
              </w:rPr>
              <w:br/>
              <w:t>• bez ograniczeń czasowych (od godziny 10.00 do 1 godziny po kalendarzowym zachodzie słońca),</w:t>
            </w:r>
            <w:r w:rsidRPr="008B085E">
              <w:rPr>
                <w:rFonts w:ascii="Calibri" w:eastAsia="Times New Roman" w:hAnsi="Calibri" w:cs="Calibri"/>
                <w:color w:val="000000"/>
                <w:sz w:val="18"/>
                <w:szCs w:val="18"/>
                <w:lang w:eastAsia="pl-PL"/>
              </w:rPr>
              <w:br/>
              <w:t>• każdego dnia tygodnia (od poniedziałku do niedzieli),</w:t>
            </w:r>
            <w:r w:rsidRPr="008B085E">
              <w:rPr>
                <w:rFonts w:ascii="Calibri" w:eastAsia="Times New Roman" w:hAnsi="Calibri" w:cs="Calibri"/>
                <w:color w:val="000000"/>
                <w:sz w:val="18"/>
                <w:szCs w:val="18"/>
                <w:lang w:eastAsia="pl-PL"/>
              </w:rPr>
              <w:br/>
              <w:t>• przez cały sezon (od 15 maja do 31 października),</w:t>
            </w:r>
            <w:r w:rsidRPr="008B085E">
              <w:rPr>
                <w:rFonts w:ascii="Calibri" w:eastAsia="Times New Roman" w:hAnsi="Calibri" w:cs="Calibri"/>
                <w:color w:val="000000"/>
                <w:sz w:val="18"/>
                <w:szCs w:val="18"/>
                <w:lang w:eastAsia="pl-PL"/>
              </w:rPr>
              <w:br/>
              <w:t>• bez ograniczenia pływania w okresie lęgowym ptaków.</w:t>
            </w:r>
            <w:r w:rsidRPr="008B085E">
              <w:rPr>
                <w:rFonts w:ascii="Calibri" w:eastAsia="Times New Roman" w:hAnsi="Calibri" w:cs="Calibri"/>
                <w:color w:val="000000"/>
                <w:sz w:val="18"/>
                <w:szCs w:val="18"/>
                <w:lang w:eastAsia="pl-PL"/>
              </w:rPr>
              <w:br/>
              <w:t>W dniach 7-8 listopada 2019 r. na Konferencji w Centrum Edukacji Ekologicznej i Rewitalizacji Jezior w Szczecinku, omawiany był wpływ dopuszczenia do pływania motorówek i skuterów wodnych na rekultywację chemiczną płytkiego jeziora, którego średnia głębokość wynosi do 3 metrów.</w:t>
            </w:r>
            <w:r w:rsidRPr="008B085E">
              <w:rPr>
                <w:rFonts w:ascii="Calibri" w:eastAsia="Times New Roman" w:hAnsi="Calibri" w:cs="Calibri"/>
                <w:color w:val="000000"/>
                <w:sz w:val="18"/>
                <w:szCs w:val="18"/>
                <w:lang w:eastAsia="pl-PL"/>
              </w:rPr>
              <w:br/>
              <w:t>W przedmiotowej sprawie wypowiedział się dr inż. Michał Łopata z Uniwersytetu Warmińsko-Mazurskiego (Wydział Nauk o Środowisku, Katedra Inżynierii Ochrony Wód), wskazując, że pływające motorówki i skutery będą powodowały resuspensję. Spowoduje ona, że do obiegu jeziornego zostaną włączone osady poderwane siłą odrzutu mas wodnych. Finalnie w wyniku pływania motorówek i skuterów efekt pracy włożonej w rekultywację zostanie zaprzepaszczony.</w:t>
            </w:r>
            <w:r w:rsidRPr="008B085E">
              <w:rPr>
                <w:rFonts w:ascii="Calibri" w:eastAsia="Times New Roman" w:hAnsi="Calibri" w:cs="Calibri"/>
                <w:color w:val="000000"/>
                <w:sz w:val="18"/>
                <w:szCs w:val="18"/>
                <w:lang w:eastAsia="pl-PL"/>
              </w:rPr>
              <w:br/>
              <w:t>W grudniu 2012 roku odbyła się konferencja w sprawie czystości wód Zalewu Sulejowskiego, którego średnia głębokość jest taka sama jak średnia głębokość jeziora Rogoźno (z dokładnością do 0,3 m). Jest to kolejna konferencja, na której omawiano wpływ łodzi motorowych na jakość wód jeziora, gdzie zostały rozwiane wątpliwości i chętnie propagowane &amp;#34;fake neews&amp;#34; mówiące, że „motorówki i skutery są korzystne dla jakości wody w jeziorze Rogoźno, ponieważ dotleniają wodę”. Resuspensja wywołana łodziami spowoduje szybkie wydzielenie fosforu do toni wodnej, a jednocześnie natlenienie osadów. Pomoże to w wiązaniu fosforu w osadach (natlenienie), ale niekorzystny efekt wydzielania z powodu resuspensji będzie przeważał.</w:t>
            </w:r>
          </w:p>
        </w:tc>
        <w:tc>
          <w:tcPr>
            <w:tcW w:w="2733" w:type="dxa"/>
            <w:tcBorders>
              <w:top w:val="single" w:sz="4" w:space="0" w:color="auto"/>
              <w:left w:val="nil"/>
              <w:bottom w:val="single" w:sz="4" w:space="0" w:color="auto"/>
              <w:right w:val="single" w:sz="4" w:space="0" w:color="auto"/>
            </w:tcBorders>
            <w:shd w:val="clear" w:color="auto" w:fill="auto"/>
          </w:tcPr>
          <w:p w14:paraId="65CAAA6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AF8EFB7"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2B110A5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47C64A5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D1E3E20"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Efekt resuspensji osadów rzeczywiście powoduje chwilowy wzrost stężeń biogenów w toni wodnej, w wyniku kontaktu cząstek osadu z wodą. Może również nieznacznie obniżyć zawartość tlenu w toni wodnej, wskutek jego poboru przez bakterie znajdujące się na poderwanym z dna osadzie. Zasięg oddziaływania falowania jest jednak bardzo zmienny – uzależniony od szybkości i wielkości łodzi oraz intensywności ich użytkowania. Zwykle dotyczy jedynie płytkiego litoralu, porośniętego przez roślinność oczeretową (trzcina, pałka). Jeżeli jezioro ma dobrze rozwinięty pas roślinności przybrzeżnej, efekt resuspensji jest niewielki. Niekorzystny wpływ łodzi jest widoczny przez stosunkowo krótki czas, gdyż poderwane z dna cząstki osadu ponownie sedymentują na dno jeziora. W wyniku kontaktu z tonią wodną zachodzi proces adsorpcji fosforu na cząstkach mineralnych i organicznych, w wyniku którego odprowadzany jest on ponownie do osadów dennych. Jeżeli jezioro jest w trakcie rekultywacji, to prowadzone zabiegi inaktywacji fosforu w toni wodnej dodatkowo ograniczają negatywny wpływ resuspensji na jakość wody. Ponieważ jakość wód w wymienionych jeziorach jest monitorowana, w przypadku zauważenia jej pogorszenia się, jest możliwość podjęcia niezbędnych działań eliminujących ten wpływ.</w:t>
            </w:r>
          </w:p>
        </w:tc>
      </w:tr>
      <w:tr w:rsidR="001C4812" w:rsidRPr="0028666F" w14:paraId="260F13FF"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011B6D9"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578</w:t>
            </w:r>
          </w:p>
        </w:tc>
        <w:tc>
          <w:tcPr>
            <w:tcW w:w="970" w:type="dxa"/>
            <w:tcBorders>
              <w:top w:val="single" w:sz="4" w:space="0" w:color="auto"/>
              <w:left w:val="single" w:sz="4" w:space="0" w:color="auto"/>
              <w:bottom w:val="single" w:sz="4" w:space="0" w:color="auto"/>
            </w:tcBorders>
            <w:shd w:val="clear" w:color="auto" w:fill="auto"/>
          </w:tcPr>
          <w:p w14:paraId="42A058A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C75025E"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FE8842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262281E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Kolejny jaskrawy przykład pomijania w apgw i 2 apgw działań przywrócenia migracji wpisanych do planów zadań ochronnych obszarów Natura 2000: Rzeka Grabia, obszar Natura 2000 &amp;#34;Grabia&amp;#34; </w:t>
            </w:r>
            <w:r w:rsidRPr="008B085E">
              <w:rPr>
                <w:rFonts w:ascii="Calibri" w:eastAsia="Times New Roman" w:hAnsi="Calibri" w:cs="Calibri"/>
                <w:color w:val="000000"/>
                <w:sz w:val="18"/>
                <w:szCs w:val="18"/>
                <w:lang w:eastAsia="pl-PL"/>
              </w:rPr>
              <w:br w:type="page"/>
              <w:t>Wpis z PZO z 2014 (w uzupełnieniu z 2018 też): Poprawa biologicznej ciągłości cieku – w trakcie uaktualniania decyzji wodnoprawnych dla budowli piętrzących w okresie przewidzianym na osiągnięcie celów środowiskowych dla rzeki Grabi, zgodnie z wymogami Ramowej Dyrektywy Wodnej do roku 2021. Modernizacja istniejących progów wodnych poprzez wyposażenie ich w przepławki dla ryb.</w:t>
            </w:r>
            <w:r w:rsidRPr="008B085E">
              <w:rPr>
                <w:rFonts w:ascii="Calibri" w:eastAsia="Times New Roman" w:hAnsi="Calibri" w:cs="Calibri"/>
                <w:color w:val="000000"/>
                <w:sz w:val="18"/>
                <w:szCs w:val="18"/>
                <w:lang w:eastAsia="pl-PL"/>
              </w:rPr>
              <w:br w:type="page"/>
              <w:t>W apgw 2016-2021 był wpis do zadań dla obszarów chronionych, ale już nie w działaniach a budowlach piętrzących. Nic nie udrożniono, nastał rok 2021.</w:t>
            </w:r>
            <w:r w:rsidRPr="008B085E">
              <w:rPr>
                <w:rFonts w:ascii="Calibri" w:eastAsia="Times New Roman" w:hAnsi="Calibri" w:cs="Calibri"/>
                <w:color w:val="000000"/>
                <w:sz w:val="18"/>
                <w:szCs w:val="18"/>
                <w:lang w:eastAsia="pl-PL"/>
              </w:rPr>
              <w:br w:type="page"/>
              <w:t>W nowym 2apgw zaproponowano realizację działań wynikających z analizy drożności, ale TYLKO DO 3 piętrzeń z KILKUNASTU. Na przykład pierwszy od dołu (od Widawki) pozostanie nieudrożniony. Budowa 2,5 m wysokości.</w:t>
            </w:r>
            <w:r w:rsidRPr="008B085E">
              <w:rPr>
                <w:rFonts w:ascii="Calibri" w:eastAsia="Times New Roman" w:hAnsi="Calibri" w:cs="Calibri"/>
                <w:color w:val="000000"/>
                <w:sz w:val="18"/>
                <w:szCs w:val="18"/>
                <w:lang w:eastAsia="pl-PL"/>
              </w:rPr>
              <w:br w:type="page"/>
              <w:t>Dlaczego? Interes osób prywatnych nad zapisami ochronnymi obszarów chronionych? Nieudolność zarządców czy brak chęci ze strony WP?</w:t>
            </w:r>
            <w:r w:rsidRPr="008B085E">
              <w:rPr>
                <w:rFonts w:ascii="Calibri" w:eastAsia="Times New Roman" w:hAnsi="Calibri" w:cs="Calibri"/>
                <w:color w:val="000000"/>
                <w:sz w:val="18"/>
                <w:szCs w:val="18"/>
                <w:lang w:eastAsia="pl-PL"/>
              </w:rPr>
              <w:br w:type="page"/>
            </w:r>
          </w:p>
        </w:tc>
        <w:tc>
          <w:tcPr>
            <w:tcW w:w="2733" w:type="dxa"/>
            <w:tcBorders>
              <w:top w:val="single" w:sz="4" w:space="0" w:color="auto"/>
              <w:left w:val="nil"/>
              <w:bottom w:val="single" w:sz="4" w:space="0" w:color="auto"/>
              <w:right w:val="single" w:sz="4" w:space="0" w:color="auto"/>
            </w:tcBorders>
            <w:shd w:val="clear" w:color="auto" w:fill="auto"/>
          </w:tcPr>
          <w:p w14:paraId="14DDEAB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082FF2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5C8307E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29D3247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uwzględniono</w:t>
            </w:r>
          </w:p>
        </w:tc>
        <w:tc>
          <w:tcPr>
            <w:tcW w:w="4649" w:type="dxa"/>
            <w:tcBorders>
              <w:top w:val="nil"/>
              <w:left w:val="nil"/>
              <w:bottom w:val="single" w:sz="4" w:space="0" w:color="auto"/>
              <w:right w:val="single" w:sz="4" w:space="0" w:color="auto"/>
            </w:tcBorders>
            <w:shd w:val="clear" w:color="auto" w:fill="auto"/>
          </w:tcPr>
          <w:p w14:paraId="242B23F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Zgodnie z Zarządzeniem Regionalnego Dyrektora Ochrony Środowiska w Łodzi z dnia 18 lutego 2014 r. w sprawie ustanowienia planu zadań ochronnych dla obszaru Natura 2000 Grabia PLH1000 termin realizacji działania mającego na celu na poprawę stanu ochrony przedmiotów ochrony obszaru Natura 2000 Grabia (minogi, koza) w postaci "Poprawy biologicznej ciągłości cieku" ma określony termin realizacji do roku 2021, tym samym nie może być uwzględnione w IIaPGW w kategorii działań implementowanych. Wspomniane zarządzenie wraz z późniejszymi zmianami jest obowiązującym aktem prawnym i z tego faktu wynika jego nieuwzględnienie. W celu wprowadzenia wspomnianego zapisu do IIaPGW należałoby najpierw dokonać stosownej zmiany w samym akcie prawnym, ustanawiającym PZO zmianiając termin realizacji działania. Zmiany zarządzenia nie uwzgledniają zmiany terminu realizacji działania. Mimo to przeanalizowano zestaw działań dla Grabii oraz PZO dla obszaru chronionego. Dla konkretnych obiektów przypisano działania z grupy działań przywrócenia ciągłości biologicznej.</w:t>
            </w:r>
          </w:p>
        </w:tc>
      </w:tr>
      <w:tr w:rsidR="001C4812" w:rsidRPr="0028666F" w14:paraId="25DFAE53"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B7ED4A3"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579</w:t>
            </w:r>
          </w:p>
        </w:tc>
        <w:tc>
          <w:tcPr>
            <w:tcW w:w="970" w:type="dxa"/>
            <w:tcBorders>
              <w:top w:val="single" w:sz="4" w:space="0" w:color="auto"/>
              <w:left w:val="single" w:sz="4" w:space="0" w:color="auto"/>
              <w:bottom w:val="single" w:sz="4" w:space="0" w:color="auto"/>
            </w:tcBorders>
            <w:shd w:val="clear" w:color="auto" w:fill="auto"/>
          </w:tcPr>
          <w:p w14:paraId="3BB03121"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71599680"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14EFB2B3"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4AA73CC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Dlaczego za Planami gospodarowania wodami nie idą pieniądze? Powinien istnieć prosty mechanizm przeznaczania środków z opłat za usługi wodne na realizację zestawów działań z IIaPGW. Byłoby to zgodne z zasadą „Zanieczyszczający płaci” i zasadą zwrotu kosztów usług wodnych (pokrycie kosztów przywrócenia dobrego stanu wód). Dokąd obecnie idą środki z tych opłat, na co są przeznaczane? Dlaczego IIaPGW nie zawiera rekomendacji usunięcia zwolnień z opłat dla najbardziej obciążających wody użytkowników (górnictwo, energetyka węglowa, pobór wód podziemnych do nawodnień rolniczych)?</w:t>
            </w:r>
          </w:p>
        </w:tc>
        <w:tc>
          <w:tcPr>
            <w:tcW w:w="2733" w:type="dxa"/>
            <w:tcBorders>
              <w:top w:val="single" w:sz="4" w:space="0" w:color="auto"/>
              <w:left w:val="nil"/>
              <w:bottom w:val="single" w:sz="4" w:space="0" w:color="auto"/>
              <w:right w:val="single" w:sz="4" w:space="0" w:color="auto"/>
            </w:tcBorders>
            <w:shd w:val="clear" w:color="auto" w:fill="auto"/>
          </w:tcPr>
          <w:p w14:paraId="0CD40154"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C43B53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0C8C576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7F00C787"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BF3751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Kilka ciekawych wątków, łącznie z polityką finansową Wód Polskich. Zaczynając od samego początku. Plan gospodarowania wodami jest dokumentem o charakterze strategicznym, ale nie jest planem inwestycyjnym, w związku z czym on rzeczywiście nie niesie za sobą zapewnienia finansowania, nie przyznaje środków finansowych, nie wskazuje dokładnie źródeł. To do tych instytucji czy jednostek wskazanych w planie gospodarowania wodami jako odpowiedzialne za realizację działań prośrodowiskowych należy montaż finansowy. W praktyce, gdybyśmy nawet mieli możliwość przypisania jakichś szacunków dokładnych bez projektów nawet, bo tu mówimy o działaniach, nie jesteśmy w stanie rozpisać szczegółowo kosztów, ale nawet gdybyśmy byli, to samo np. wskazanie, że źródłem by były pieniądze z budżetu państwa, albo pieniądze unijne, też nie miałoby mocy sprawczej. Dopiero o te pieniądze trzeba się postarać, w przypadku pieniędzy wspólnotowych złożyć odpowiedni wniosek, przygotować dokumentację itd. Plan gospodarowania wodami takiej mocy nie ma. Czy pieniądze z opłat są kierowane na działania? Po części tak, ale również na prace utrzymaniowe, na ochronę przed powodzią, na szereg innych zadań, które realizują Wody Polskie. I jak to zawsze w naszej rzeczywistości tych pieniędzy jest mniej niż byśmy chcieli. Wszystkich środków z opłat nie możemy przerzucić tylko na ten cel, bo zapomnielibyśmy wtedy o całej innej, dość długiej liście wydatków, związanych z gospodarowaniem wodami, na które również finansowanie Wody Polskie muszą zapewnić.</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Rekomendacje, dotyczące usunięcia zwolnień z opłat. To jest kwestia podejścia do pomysłów, do różnego rodzaju recept natury legislacyjnej. Rzeczywiście plan gospodarowania wodami przynajmniej w teorii może proponować rozwiązania prawne, zmiany prawne, natomiast jeśli to są zmiany o takim dość rewolucyjnym charakterze, dość kontrowersyjne, które wymagają też konsultacji między różnymi resortami; one są dość trudne do wpisania do planów gospodarowania wodami również ze względu na pewną praktykę legislacyjną w naszym kraju, czyli konieczność przewidzenia przed wpisaniem do pgw, należałoby taki projekt ustawy już wpisać do prac legislacyjnych rządu, a na to trzeba mieć zgodę od odpowiednich resortów zaangażowanych i tak dalej. Na to po prostu czasu nie ma. Te pomysły, recepty na poprawę stanu wód, one się rodzą prawie do ostatniej chwili przed sporządzeniem dokumentu, który jest skierowany do konsultacji społecznych. W ramach konsultacji społecznych również ze strony uczestników tych konsultacji otrzymujemy kolejne propozycje. Te natury legislacyjne są dość trudne ze względu na taką a nie inną praktykę w naszym kraju, jeżeli chodzi o legislację. Być może w innych 26 krajach Unii wygląda to trochę łatwiej, może mają inne tradycje związane ze stanowieniem prawa.</w:t>
            </w:r>
          </w:p>
        </w:tc>
      </w:tr>
      <w:tr w:rsidR="001C4812" w:rsidRPr="0028666F" w14:paraId="430A0A3B"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12F7E1F"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580</w:t>
            </w:r>
          </w:p>
        </w:tc>
        <w:tc>
          <w:tcPr>
            <w:tcW w:w="970" w:type="dxa"/>
            <w:tcBorders>
              <w:top w:val="single" w:sz="4" w:space="0" w:color="auto"/>
              <w:left w:val="single" w:sz="4" w:space="0" w:color="auto"/>
              <w:bottom w:val="single" w:sz="4" w:space="0" w:color="auto"/>
            </w:tcBorders>
            <w:shd w:val="clear" w:color="auto" w:fill="auto"/>
          </w:tcPr>
          <w:p w14:paraId="6606282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15403A0A"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BFF567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DA5F6D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Jeszcze pytanie o hierarchię, co jest ważniejsze - cele środowiskowe, czy np. inwestycje z aPZRP? Czy dlatego, że prace nad projektem aPZRP skończono wcześniej?</w:t>
            </w:r>
            <w:r w:rsidRPr="008B085E">
              <w:rPr>
                <w:rFonts w:ascii="Calibri" w:eastAsia="Times New Roman" w:hAnsi="Calibri" w:cs="Calibri"/>
                <w:color w:val="000000"/>
                <w:sz w:val="18"/>
                <w:szCs w:val="18"/>
                <w:lang w:eastAsia="pl-PL"/>
              </w:rPr>
              <w:br/>
              <w:t>Podam przykład ze zbiornika Jeziorsko. Cofka jego jest cenna dla ptaków, jest tu ptasi obszar Natura 2000 oraz rezerwat. Celem jest zachowanie populacji ptaków co wymaga braku ingerencji w ów cofkę. A co mamy w aPZRP?</w:t>
            </w:r>
            <w:r w:rsidRPr="008B085E">
              <w:rPr>
                <w:rFonts w:ascii="Calibri" w:eastAsia="Times New Roman" w:hAnsi="Calibri" w:cs="Calibri"/>
                <w:color w:val="000000"/>
                <w:sz w:val="18"/>
                <w:szCs w:val="18"/>
                <w:lang w:eastAsia="pl-PL"/>
              </w:rPr>
              <w:br/>
              <w:t>&amp;#34;Zwiększenie przepustowości wlotu do Zbiornika Wodnego Jeziorsko&amp;#34; PPI_91</w:t>
            </w:r>
          </w:p>
        </w:tc>
        <w:tc>
          <w:tcPr>
            <w:tcW w:w="2733" w:type="dxa"/>
            <w:tcBorders>
              <w:top w:val="single" w:sz="4" w:space="0" w:color="auto"/>
              <w:left w:val="nil"/>
              <w:bottom w:val="single" w:sz="4" w:space="0" w:color="auto"/>
              <w:right w:val="single" w:sz="4" w:space="0" w:color="auto"/>
            </w:tcBorders>
            <w:shd w:val="clear" w:color="auto" w:fill="auto"/>
          </w:tcPr>
          <w:p w14:paraId="12FB727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364244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43D00C0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F6A8C1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58DFC0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Nie jest ważniejsze ani jedno, ani drugie. Cała sztuka polega na tym, żeby połączyć dwa cele: zapewnić możliwość realizacji zadań związanych z ochroną przeciwpowodziową z innymi również aspektami gospodarki wodnej, możliwości korzystania z wód, jednocześnie jak najmniej szkodząc środowisku. PZRP czy jego aktualizacja, to jest recepta na bezpieczne przeprowadzenie fali powodziowej, czy zarządzania powodzią, która w efekcie przyniesie jak najmniejsze straty. A plan gospodarowania wodami to z kolei recepta na dobry stan wód. Zapisanie przedsięwzięcia w planie zarządzania ryzykiem powodziowym oznacza, że ono ma swój sens, wpisuje się w pakiet zadań, które mają na celu ochronę przed powodzią. Natomiast to, czy takie działanie konkretne, w jakim zakresie i czy w ogóle będzie realizowane, to jest kwestia przejścia już przez procedurę konkretną, dotyczącą oceny wpływu danego przedsięwzięcia na możliwość osiągnięcia celów środowiskowych. W konsekwencji, jeżeli ten test wyjdzie dla przedsięwzięcia pozytywnie, wtedy się pojawia derogacja czy odstępstwo z art.4.7 RDW. W odróżnieniu od poprzedniego cyklu planistycznego tego sprzężenia oznaczającego, że co w PZRP to w APGW już nie mamy. Dla inwestora i dla oceniającego organu, który później bada wpływ przedsięwzięcia na stan wód istnienie danego przedsięwzięcia na liście przedsięwzięć w PZRP jest do pewnego stopnia potwierdzeniem skuteczności działania na rzecz ochrony przeciwpowodziowej, no i pewną przesłanką do rozważań nadrzędnego interesu społecznego.</w:t>
            </w:r>
          </w:p>
        </w:tc>
      </w:tr>
      <w:tr w:rsidR="001C4812" w:rsidRPr="0028666F" w14:paraId="325D1A8E"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3375F09"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581</w:t>
            </w:r>
          </w:p>
        </w:tc>
        <w:tc>
          <w:tcPr>
            <w:tcW w:w="970" w:type="dxa"/>
            <w:tcBorders>
              <w:top w:val="single" w:sz="4" w:space="0" w:color="auto"/>
              <w:left w:val="single" w:sz="4" w:space="0" w:color="auto"/>
              <w:bottom w:val="single" w:sz="4" w:space="0" w:color="auto"/>
            </w:tcBorders>
            <w:shd w:val="clear" w:color="auto" w:fill="auto"/>
          </w:tcPr>
          <w:p w14:paraId="2E45C1CC"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45288DBE"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3FD29BAC"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0DAAF3AC" w14:textId="2E1DC908"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xml:space="preserve">Jakim cudem przyczyną słabego stanu wód może być „test klasyfikacyjny” ? Co jest faktyczną przyczyną i dlaczego nie jest ona wymieniona? Jakie presje na wody są przyczyną słabego stanu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062, 083, 070?</w:t>
            </w:r>
          </w:p>
        </w:tc>
        <w:tc>
          <w:tcPr>
            <w:tcW w:w="2733" w:type="dxa"/>
            <w:tcBorders>
              <w:top w:val="single" w:sz="4" w:space="0" w:color="auto"/>
              <w:left w:val="nil"/>
              <w:bottom w:val="single" w:sz="4" w:space="0" w:color="auto"/>
              <w:right w:val="single" w:sz="4" w:space="0" w:color="auto"/>
            </w:tcBorders>
            <w:shd w:val="clear" w:color="auto" w:fill="auto"/>
          </w:tcPr>
          <w:p w14:paraId="7252CD5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6D9BB9B3"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0A2FEC0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6B7FC1CE"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1F3AEB2F" w14:textId="045F9105"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PIG wykonując testy klasyfikacyjne w ramach oceny stanu jesteśmy dalecy od cudów, ponieważ obowiązują nas konkretne zapisy metodyki. Tę metodykę zaktualizowaną w ubiegłym roku mogą Państwo znaleźć na podstronach GIOŚ-u. I stąd te "cuda", które wymyślamy biorą się z zapisów, które tam się znajdują. Być może ja dokonałem w poprzedniej części naszego spotkania nadmiernego skrótu myślowego, oczywiście nie test klasyfikacyjny a wyniki tego testu są podstawą do zakwalifikowania części jednolitej jako część wód o stanie słabym. W metodyce oceny stanu wykonuje się 9 testów klasyfikacyjnych, z tego jest 8 testów przeznaczonych dla oceny ilościowej i 8 dla oceny stanu chemicznego. Słaby wynik w jakimkolwiek z tych testów skutkuje odpowiednio albo otrzymaniem słabego stanu ilościowego, albo słabego stanu chemicznego dla danej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a w przełożeniu jako stan ogólny słaby dla danej części. Tu polecam Państwu lekturę metodyki. Jakie presje są przyczyną stanu słabego w poszczególnych jednolitych częściach ? W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pd nr 70 mamy do czynienia z presjami rolniczymi głównie. Tam w kilku punktach monitoringowych obserwowane są od kilku lat zwiększone stężenia zarówno azotanów jak i potasu. W ocenie stanu wód wykonanej w 2016 roku 28% powierzchni pierwszego kompleksu wodonośnego znajdowało się w zasięgu podwyższonych stężeń tych dwóch związków. Teraz w teście klasyfikacyjnym C1, wykonanym w 2020 roku już 39% jednostki znajdowało się w zakresie tych podwyższonych stężeń. Więc to nie jest cud, tylko niestety matematyka, która jest nieubłagana, stąd słaby stan chemiczny w jednolitej nr 70. Natomiast pozostałe dwie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nr 62 i 83, to są jednolite części obciążone oczywiście rolnictwem.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pd nr 83 to jest rejon Bełchatowa i rozległego leja depresji wytworzonego działaniem kopalni odkrywkowej Bełchatów, natomiast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pd nr 62 to jest cała działalność odkrywek węgla brunatnego z poziomów paleogeńsko- neogeńskich i rozwiniętym tam lejem depresji. Efektem jest znaczny pobór wód podziemnych, który dorównuje niemalże zasobom odnawialnym w tych jednolitych częściach. I znowu nie ma cudu, tylko po prostu zapisy metodyki, w których znajduje się stwierdzenie, że pobór przekraczający 80% zasobów już stanowi podstawę do przyznania stanu słabego.</w:t>
            </w:r>
          </w:p>
        </w:tc>
      </w:tr>
      <w:tr w:rsidR="001C4812" w:rsidRPr="0028666F" w14:paraId="1C54E269"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8D08111"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582</w:t>
            </w:r>
          </w:p>
        </w:tc>
        <w:tc>
          <w:tcPr>
            <w:tcW w:w="970" w:type="dxa"/>
            <w:tcBorders>
              <w:top w:val="single" w:sz="4" w:space="0" w:color="auto"/>
              <w:left w:val="single" w:sz="4" w:space="0" w:color="auto"/>
              <w:bottom w:val="single" w:sz="4" w:space="0" w:color="auto"/>
            </w:tcBorders>
            <w:shd w:val="clear" w:color="auto" w:fill="auto"/>
          </w:tcPr>
          <w:p w14:paraId="31F44DF5"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5" w:type="dxa"/>
            <w:tcBorders>
              <w:top w:val="nil"/>
              <w:left w:val="nil"/>
              <w:bottom w:val="single" w:sz="4" w:space="0" w:color="auto"/>
              <w:right w:val="single" w:sz="4" w:space="0" w:color="auto"/>
            </w:tcBorders>
            <w:shd w:val="clear" w:color="auto" w:fill="auto"/>
          </w:tcPr>
          <w:p w14:paraId="045F6F3F"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C3B830D"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721F6848"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Na Zbiorniku Jeziorsko nie planuje się budowy skutecznie działającej przepławki. Jest to zdaniem WP niepotrzebne? Dlaczego wydano miliony złotych na gruntowną modernizację zapory czołowej i jazu, a nie pomyślano o przepławce? Nawet filmy wędkarzy pokazują, że ryby chcą iść w górę rzeki.</w:t>
            </w:r>
          </w:p>
        </w:tc>
        <w:tc>
          <w:tcPr>
            <w:tcW w:w="2733" w:type="dxa"/>
            <w:tcBorders>
              <w:top w:val="single" w:sz="4" w:space="0" w:color="auto"/>
              <w:left w:val="nil"/>
              <w:bottom w:val="single" w:sz="4" w:space="0" w:color="auto"/>
              <w:right w:val="single" w:sz="4" w:space="0" w:color="auto"/>
            </w:tcBorders>
            <w:shd w:val="clear" w:color="auto" w:fill="auto"/>
          </w:tcPr>
          <w:p w14:paraId="39F074D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58BF181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60D4A0F"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36DEF166"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21DFA8A1"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Cele środowiskowe dla zbiornika Jeziorsko nie wskazują potrzeby zapewnienia drożności dla migracji ichtiofauny dlatego nie zaproponowano działań dotyczących drożności.</w:t>
            </w:r>
          </w:p>
        </w:tc>
      </w:tr>
      <w:tr w:rsidR="001C4812" w:rsidRPr="0028666F" w14:paraId="3CDC3A22"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F7E9947"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583</w:t>
            </w:r>
          </w:p>
        </w:tc>
        <w:tc>
          <w:tcPr>
            <w:tcW w:w="970" w:type="dxa"/>
            <w:tcBorders>
              <w:top w:val="single" w:sz="4" w:space="0" w:color="auto"/>
              <w:left w:val="single" w:sz="4" w:space="0" w:color="auto"/>
              <w:bottom w:val="single" w:sz="4" w:space="0" w:color="auto"/>
            </w:tcBorders>
            <w:shd w:val="clear" w:color="auto" w:fill="auto"/>
          </w:tcPr>
          <w:p w14:paraId="36CB2F68"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2BE670F0"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42877DF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2F7E084"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Punkt 1. na slajdzie o derogacjach nie jest realizowany. Dla derogacji 4.7 nie podano konkretnych rodzajów presji, derogacje są wydane „in blanco” - dlaczego??</w:t>
            </w:r>
            <w:r w:rsidRPr="008B085E">
              <w:rPr>
                <w:rFonts w:ascii="Calibri" w:eastAsia="Times New Roman" w:hAnsi="Calibri" w:cs="Calibri"/>
                <w:color w:val="000000"/>
                <w:sz w:val="18"/>
                <w:szCs w:val="18"/>
                <w:lang w:eastAsia="pl-PL"/>
              </w:rPr>
              <w:br/>
              <w:t>„Dla derogacji 4.7 nie podano konkretnych rodzajów presji, derogacje są wydane „in blanco” - dlaczego??”</w:t>
            </w:r>
          </w:p>
        </w:tc>
        <w:tc>
          <w:tcPr>
            <w:tcW w:w="2733" w:type="dxa"/>
            <w:tcBorders>
              <w:top w:val="single" w:sz="4" w:space="0" w:color="auto"/>
              <w:left w:val="nil"/>
              <w:bottom w:val="single" w:sz="4" w:space="0" w:color="auto"/>
              <w:right w:val="single" w:sz="4" w:space="0" w:color="auto"/>
            </w:tcBorders>
            <w:shd w:val="clear" w:color="auto" w:fill="auto"/>
          </w:tcPr>
          <w:p w14:paraId="5A6D10D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252C606D"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327BF849"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58F0D55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4C382204" w14:textId="77777777" w:rsidR="00F872EF" w:rsidRDefault="001C4812" w:rsidP="00F872EF">
            <w:pPr>
              <w:ind w:firstLine="0"/>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 </w:t>
            </w:r>
            <w:r w:rsidR="00F872EF" w:rsidRPr="0028666F">
              <w:rPr>
                <w:rFonts w:ascii="Calibri" w:eastAsia="Times New Roman" w:hAnsi="Calibri" w:cs="Calibri"/>
                <w:color w:val="000000"/>
                <w:sz w:val="18"/>
                <w:szCs w:val="18"/>
                <w:lang w:eastAsia="pl-PL"/>
              </w:rPr>
              <w:t>W obecnym stanie prawnym PGW nie ustanawiają odstępstw dla inwestycji, lecz prezentują już ustanowione (w aPGW z 2016 r. lub w decyzjach wydanych po 2017 r.) odstępstwa - jest to zatem forma sprawozdania, a nie forma rozstrzygająca. Szczegółowe analizy dotyczące konkretnych inwestycji będą prowadzone na etapie postępowań administracyjnych, których elementem będzie analiza wpływu na cele środowiskowe oraz analiza konieczności i możliwości zastosowania odstępstw w trybie art. 68 ustawy Prawo wodne (art. 4.7 RDW</w:t>
            </w:r>
            <w:r w:rsidR="00F872EF">
              <w:rPr>
                <w:rFonts w:ascii="Calibri" w:eastAsia="Times New Roman" w:hAnsi="Calibri" w:cs="Calibri"/>
                <w:color w:val="000000"/>
                <w:sz w:val="18"/>
                <w:szCs w:val="18"/>
                <w:lang w:eastAsia="pl-PL"/>
              </w:rPr>
              <w:t>).</w:t>
            </w:r>
          </w:p>
          <w:p w14:paraId="2A348B99" w14:textId="183CE4C7" w:rsidR="001C4812" w:rsidRPr="0028666F" w:rsidRDefault="00F872EF" w:rsidP="00F872EF">
            <w:pPr>
              <w:ind w:firstLine="0"/>
              <w:jc w:val="left"/>
              <w:rPr>
                <w:rFonts w:ascii="Calibri" w:eastAsia="Times New Roman" w:hAnsi="Calibri" w:cs="Calibri"/>
                <w:color w:val="000000"/>
                <w:sz w:val="18"/>
                <w:szCs w:val="18"/>
                <w:lang w:eastAsia="pl-PL"/>
              </w:rPr>
            </w:pPr>
            <w:r w:rsidRPr="0028666F">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370EC8">
              <w:rPr>
                <w:rFonts w:ascii="Calibri" w:eastAsia="Times New Roman" w:hAnsi="Calibri" w:cs="Calibri"/>
                <w:color w:val="000000"/>
                <w:sz w:val="18"/>
                <w:szCs w:val="18"/>
                <w:lang w:eastAsia="pl-PL"/>
              </w:rPr>
              <w:t>JCWP</w:t>
            </w:r>
            <w:r w:rsidRPr="0028666F">
              <w:rPr>
                <w:rFonts w:ascii="Calibri" w:eastAsia="Times New Roman" w:hAnsi="Calibri" w:cs="Calibri"/>
                <w:color w:val="000000"/>
                <w:sz w:val="18"/>
                <w:szCs w:val="18"/>
                <w:lang w:eastAsia="pl-PL"/>
              </w:rPr>
              <w:t>P),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1C4812" w:rsidRPr="0028666F" w14:paraId="614B2CED" w14:textId="77777777" w:rsidTr="00C1789A">
        <w:trPr>
          <w:trHeight w:val="454"/>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7AF041D" w14:textId="77777777" w:rsidR="001C4812" w:rsidRDefault="001C4812" w:rsidP="001C4812">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584</w:t>
            </w:r>
          </w:p>
        </w:tc>
        <w:tc>
          <w:tcPr>
            <w:tcW w:w="970" w:type="dxa"/>
            <w:tcBorders>
              <w:top w:val="single" w:sz="4" w:space="0" w:color="auto"/>
              <w:left w:val="single" w:sz="4" w:space="0" w:color="auto"/>
              <w:bottom w:val="single" w:sz="4" w:space="0" w:color="auto"/>
            </w:tcBorders>
            <w:shd w:val="clear" w:color="auto" w:fill="auto"/>
          </w:tcPr>
          <w:p w14:paraId="403DBD9A"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5" w:type="dxa"/>
            <w:tcBorders>
              <w:top w:val="nil"/>
              <w:left w:val="nil"/>
              <w:bottom w:val="single" w:sz="4" w:space="0" w:color="auto"/>
              <w:right w:val="single" w:sz="4" w:space="0" w:color="auto"/>
            </w:tcBorders>
            <w:shd w:val="clear" w:color="auto" w:fill="auto"/>
          </w:tcPr>
          <w:p w14:paraId="1B9F9A75" w14:textId="77777777" w:rsidR="001C4812" w:rsidRPr="0028666F" w:rsidRDefault="001C4812" w:rsidP="001C4812">
            <w:pPr>
              <w:ind w:firstLine="0"/>
              <w:jc w:val="left"/>
              <w:rPr>
                <w:rFonts w:ascii="Calibri" w:eastAsia="Times New Roman" w:hAnsi="Calibri" w:cs="Calibri"/>
                <w:color w:val="000000"/>
                <w:sz w:val="18"/>
                <w:szCs w:val="18"/>
                <w:lang w:eastAsia="pl-PL"/>
              </w:rPr>
            </w:pPr>
          </w:p>
        </w:tc>
        <w:tc>
          <w:tcPr>
            <w:tcW w:w="2256" w:type="dxa"/>
            <w:tcBorders>
              <w:top w:val="nil"/>
              <w:left w:val="nil"/>
              <w:bottom w:val="single" w:sz="4" w:space="0" w:color="auto"/>
              <w:right w:val="single" w:sz="4" w:space="0" w:color="auto"/>
            </w:tcBorders>
            <w:shd w:val="clear" w:color="auto" w:fill="auto"/>
          </w:tcPr>
          <w:p w14:paraId="54F5485A"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inne/pozostałe</w:t>
            </w:r>
          </w:p>
        </w:tc>
        <w:tc>
          <w:tcPr>
            <w:tcW w:w="5000" w:type="dxa"/>
            <w:tcBorders>
              <w:top w:val="nil"/>
              <w:left w:val="nil"/>
              <w:bottom w:val="single" w:sz="4" w:space="0" w:color="auto"/>
              <w:right w:val="single" w:sz="4" w:space="0" w:color="auto"/>
            </w:tcBorders>
            <w:shd w:val="clear" w:color="auto" w:fill="auto"/>
          </w:tcPr>
          <w:p w14:paraId="60E59A55"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„Nie dająca się przewidzieć” poważna awaria Czajki została przewidziana w toku procedury OOŚ dla tej oczyszczalni (i zignorowana). Czy taka awaria miałaby być w przyszłości objęta derogacją 4.6?</w:t>
            </w:r>
          </w:p>
        </w:tc>
        <w:tc>
          <w:tcPr>
            <w:tcW w:w="2733" w:type="dxa"/>
            <w:tcBorders>
              <w:top w:val="single" w:sz="4" w:space="0" w:color="auto"/>
              <w:left w:val="nil"/>
              <w:bottom w:val="single" w:sz="4" w:space="0" w:color="auto"/>
              <w:right w:val="single" w:sz="4" w:space="0" w:color="auto"/>
            </w:tcBorders>
            <w:shd w:val="clear" w:color="auto" w:fill="auto"/>
          </w:tcPr>
          <w:p w14:paraId="635E8F76"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3009" w:type="dxa"/>
            <w:tcBorders>
              <w:top w:val="single" w:sz="4" w:space="0" w:color="auto"/>
              <w:left w:val="nil"/>
              <w:bottom w:val="single" w:sz="4" w:space="0" w:color="auto"/>
              <w:right w:val="single" w:sz="4" w:space="0" w:color="auto"/>
            </w:tcBorders>
            <w:shd w:val="clear" w:color="auto" w:fill="auto"/>
          </w:tcPr>
          <w:p w14:paraId="3DB280E0"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720" w:type="dxa"/>
            <w:tcBorders>
              <w:top w:val="single" w:sz="4" w:space="0" w:color="auto"/>
              <w:left w:val="nil"/>
              <w:bottom w:val="single" w:sz="4" w:space="0" w:color="auto"/>
              <w:right w:val="single" w:sz="4" w:space="0" w:color="auto"/>
            </w:tcBorders>
            <w:shd w:val="clear" w:color="000000" w:fill="FFFFFF"/>
          </w:tcPr>
          <w:p w14:paraId="0406F782" w14:textId="77777777" w:rsidR="001C4812" w:rsidRPr="0028666F" w:rsidRDefault="001C4812" w:rsidP="001C4812">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014" w:type="dxa"/>
            <w:tcBorders>
              <w:top w:val="nil"/>
              <w:left w:val="nil"/>
              <w:bottom w:val="single" w:sz="4" w:space="0" w:color="auto"/>
              <w:right w:val="single" w:sz="4" w:space="0" w:color="auto"/>
            </w:tcBorders>
            <w:shd w:val="clear" w:color="auto" w:fill="auto"/>
          </w:tcPr>
          <w:p w14:paraId="1A51D972" w14:textId="77777777"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wyjaśnienie</w:t>
            </w:r>
          </w:p>
        </w:tc>
        <w:tc>
          <w:tcPr>
            <w:tcW w:w="4649" w:type="dxa"/>
            <w:tcBorders>
              <w:top w:val="nil"/>
              <w:left w:val="nil"/>
              <w:bottom w:val="single" w:sz="4" w:space="0" w:color="auto"/>
              <w:right w:val="single" w:sz="4" w:space="0" w:color="auto"/>
            </w:tcBorders>
            <w:shd w:val="clear" w:color="auto" w:fill="auto"/>
          </w:tcPr>
          <w:p w14:paraId="510FAC20" w14:textId="4E1AA31F" w:rsidR="001C4812" w:rsidRPr="0028666F" w:rsidRDefault="001C4812" w:rsidP="001C4812">
            <w:pPr>
              <w:ind w:firstLine="0"/>
              <w:jc w:val="left"/>
              <w:rPr>
                <w:rFonts w:ascii="Calibri" w:eastAsia="Times New Roman" w:hAnsi="Calibri" w:cs="Calibri"/>
                <w:color w:val="000000"/>
                <w:sz w:val="18"/>
                <w:szCs w:val="18"/>
                <w:lang w:eastAsia="pl-PL"/>
              </w:rPr>
            </w:pPr>
            <w:r w:rsidRPr="008B085E">
              <w:rPr>
                <w:rFonts w:ascii="Calibri" w:eastAsia="Times New Roman" w:hAnsi="Calibri" w:cs="Calibri"/>
                <w:color w:val="000000"/>
                <w:sz w:val="18"/>
                <w:szCs w:val="18"/>
                <w:lang w:eastAsia="pl-PL"/>
              </w:rPr>
              <w:t>Odpowiedzi udzielono na spotkaniu konsultacyjnym.</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 xml:space="preserve">Co do zasady nie, a to z tego powodu, że derogacje z art. 4.6 ramowej dyrektywy wodnej dotyczą w skrócie dwóch przypadków. Mówimy o zjawiskach naturalnych, które doprowadziły do pogorszenia stanu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wtedy taka </w:t>
            </w:r>
            <w:r w:rsidR="00370EC8">
              <w:rPr>
                <w:rFonts w:ascii="Calibri" w:eastAsia="Times New Roman" w:hAnsi="Calibri" w:cs="Calibri"/>
                <w:color w:val="000000"/>
                <w:sz w:val="18"/>
                <w:szCs w:val="18"/>
                <w:lang w:eastAsia="pl-PL"/>
              </w:rPr>
              <w:t>JCWP</w:t>
            </w:r>
            <w:r w:rsidRPr="008B085E">
              <w:rPr>
                <w:rFonts w:ascii="Calibri" w:eastAsia="Times New Roman" w:hAnsi="Calibri" w:cs="Calibri"/>
                <w:color w:val="000000"/>
                <w:sz w:val="18"/>
                <w:szCs w:val="18"/>
                <w:lang w:eastAsia="pl-PL"/>
              </w:rPr>
              <w:t xml:space="preserve"> nie narusza postanowień dyrektywy, innymi słowy, jeżeli przyczyną pogorszenia stanu, nieosiągnięcia celu są zjawiska naturalne: susze, powodzie, różnego rodzaju kataklizmy, wówczas naruszenia dyrektywy nie ma. Drugi przypadek – awaria, której nie dało się przewidzieć. Awarie przewidywalne, zwłaszcza te, które są w dokumentach dotyczących funkcjonowania danego przedsiębiorstwa, czy określone w pozwoleniu wodnoprawnym, nie są nieprzewidywalnymi. I nie są przesłanką do przypisania odstępstwa z art. 4.6 RDW. To jest zresztą dość ciekawe odstępstwo, bo przypisywane jest „post factum”. To jest uzasadnienie do wytłumaczenia się ze zdarzenia, które już nastąpiło, ale jest jeden warunek. Otóż te zjawiska, które mogą leżeć u podstaw przypisania odstępstwa z art. 4.6 muszą być "a priori" przewidziane w planie gospodarowania wodami na ten okres najbliższych 6 lat.</w:t>
            </w:r>
            <w:r w:rsidRPr="008B085E">
              <w:rPr>
                <w:rFonts w:ascii="Calibri" w:eastAsia="Times New Roman" w:hAnsi="Calibri" w:cs="Calibri"/>
                <w:color w:val="000000"/>
                <w:sz w:val="18"/>
                <w:szCs w:val="18"/>
                <w:lang w:eastAsia="pl-PL"/>
              </w:rPr>
              <w:br/>
            </w:r>
            <w:r w:rsidRPr="008B085E">
              <w:rPr>
                <w:rFonts w:ascii="Calibri" w:eastAsia="Times New Roman" w:hAnsi="Calibri" w:cs="Calibri"/>
                <w:color w:val="000000"/>
                <w:sz w:val="18"/>
                <w:szCs w:val="18"/>
                <w:lang w:eastAsia="pl-PL"/>
              </w:rPr>
              <w:br/>
              <w:t>Tutaj mówimy o takich zjawiskach, które nie są typowe. W przypadku awarii Czajki, czyli awarii układu przesyłowego, tego rodzaju zdarzenie przewidziano, przynajmniej w mojej opinii, bo inaczej nie byłoby dwóch układów przesyłowych zaprojektowanych – kolektor A i kolektor B, ale nie przewidziano, że obydwa ulegną awarii prawie dzień po dniu. Ale to nie jest przesłanka do 4.6.</w:t>
            </w:r>
          </w:p>
        </w:tc>
      </w:tr>
    </w:tbl>
    <w:p w14:paraId="1C07701E" w14:textId="77777777" w:rsidR="009F26E3" w:rsidRDefault="009F26E3"/>
    <w:sectPr w:rsidR="009F26E3" w:rsidSect="000602F3">
      <w:headerReference w:type="even" r:id="rId11"/>
      <w:headerReference w:type="default" r:id="rId12"/>
      <w:footerReference w:type="even" r:id="rId13"/>
      <w:footerReference w:type="default" r:id="rId14"/>
      <w:headerReference w:type="first" r:id="rId15"/>
      <w:footerReference w:type="first" r:id="rId16"/>
      <w:pgSz w:w="23811" w:h="16838" w:orient="landscape" w:code="8"/>
      <w:pgMar w:top="1843" w:right="1417" w:bottom="1417" w:left="1417" w:header="28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D5D9" w16cex:dateUtc="2022-03-30T15:47:00Z"/>
  <w16cex:commentExtensible w16cex:durableId="2609D6B5" w16cex:dateUtc="2022-04-19T22:47:00Z"/>
  <w16cex:commentExtensible w16cex:durableId="2609D5DA" w16cex:dateUtc="2022-03-30T15:53:00Z"/>
  <w16cex:commentExtensible w16cex:durableId="2609D734" w16cex:dateUtc="2022-04-19T22:49:00Z"/>
  <w16cex:commentExtensible w16cex:durableId="2609D5DB" w16cex:dateUtc="2022-03-31T15:53:00Z"/>
  <w16cex:commentExtensible w16cex:durableId="2609DAAC" w16cex:dateUtc="2022-04-19T23:04:00Z"/>
  <w16cex:commentExtensible w16cex:durableId="2609D5DC" w16cex:dateUtc="2022-03-31T15:56:00Z"/>
  <w16cex:commentExtensible w16cex:durableId="2609DC06" w16cex:dateUtc="2022-04-19T23:10:00Z"/>
  <w16cex:commentExtensible w16cex:durableId="2609D5DD" w16cex:dateUtc="2022-03-31T15:57:00Z"/>
  <w16cex:commentExtensible w16cex:durableId="2609DCAC" w16cex:dateUtc="2022-04-19T23:13:00Z"/>
  <w16cex:commentExtensible w16cex:durableId="2609D5DE" w16cex:dateUtc="2022-03-30T15:58:00Z"/>
  <w16cex:commentExtensible w16cex:durableId="2609DCD6" w16cex:dateUtc="2022-04-19T23:13:00Z"/>
  <w16cex:commentExtensible w16cex:durableId="2609D5DF" w16cex:dateUtc="2022-03-30T16:01:00Z"/>
  <w16cex:commentExtensible w16cex:durableId="2609DDA5" w16cex:dateUtc="2022-04-19T23:17:00Z"/>
  <w16cex:commentExtensible w16cex:durableId="2609D5E0" w16cex:dateUtc="2022-04-03T21:02:00Z"/>
  <w16cex:commentExtensible w16cex:durableId="2609DE15" w16cex:dateUtc="2022-04-19T23:19:00Z"/>
  <w16cex:commentExtensible w16cex:durableId="2609D5E1" w16cex:dateUtc="2022-04-03T21:04:00Z"/>
  <w16cex:commentExtensible w16cex:durableId="2609DEB5" w16cex:dateUtc="2022-04-19T23:21:00Z"/>
  <w16cex:commentExtensible w16cex:durableId="2609D5E2" w16cex:dateUtc="2022-04-03T21:07:00Z"/>
  <w16cex:commentExtensible w16cex:durableId="2609DF17" w16cex:dateUtc="2022-04-19T23:23:00Z"/>
  <w16cex:commentExtensible w16cex:durableId="2609D5E3" w16cex:dateUtc="2022-04-03T21:08:00Z"/>
  <w16cex:commentExtensible w16cex:durableId="2609DFDA" w16cex:dateUtc="2022-04-19T23:26:00Z"/>
  <w16cex:commentExtensible w16cex:durableId="2609D5E5" w16cex:dateUtc="2022-03-30T16:03:00Z"/>
  <w16cex:commentExtensible w16cex:durableId="2609E1CD" w16cex:dateUtc="2022-04-19T23: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612A7" w14:textId="77777777" w:rsidR="008C1B59" w:rsidRDefault="008C1B59" w:rsidP="000602F3">
      <w:r>
        <w:separator/>
      </w:r>
    </w:p>
  </w:endnote>
  <w:endnote w:type="continuationSeparator" w:id="0">
    <w:p w14:paraId="5D217289" w14:textId="77777777" w:rsidR="008C1B59" w:rsidRDefault="008C1B59" w:rsidP="0006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9781" w14:textId="77777777" w:rsidR="00113612" w:rsidRDefault="0011361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60EF" w14:textId="77777777" w:rsidR="00113612" w:rsidRDefault="0011361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0B4B3" w14:textId="77777777" w:rsidR="00113612" w:rsidRDefault="001136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96438" w14:textId="77777777" w:rsidR="008C1B59" w:rsidRDefault="008C1B59" w:rsidP="000602F3">
      <w:r>
        <w:separator/>
      </w:r>
    </w:p>
  </w:footnote>
  <w:footnote w:type="continuationSeparator" w:id="0">
    <w:p w14:paraId="727C6428" w14:textId="77777777" w:rsidR="008C1B59" w:rsidRDefault="008C1B59" w:rsidP="0006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AACBD" w14:textId="77777777" w:rsidR="00113612" w:rsidRDefault="0011361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2A7C" w14:textId="77777777" w:rsidR="00113612" w:rsidRDefault="00113612">
    <w:pPr>
      <w:pStyle w:val="Nagwek"/>
      <w:rPr>
        <w:rFonts w:ascii="Calibri" w:eastAsia="Times New Roman" w:hAnsi="Calibri" w:cs="Calibri"/>
        <w:b/>
        <w:bCs/>
        <w:color w:val="000000"/>
        <w:lang w:eastAsia="pl-PL"/>
      </w:rPr>
    </w:pPr>
  </w:p>
  <w:p w14:paraId="0E6BA739" w14:textId="77777777" w:rsidR="00113612" w:rsidRDefault="00113612">
    <w:pPr>
      <w:pStyle w:val="Nagwek"/>
      <w:rPr>
        <w:rFonts w:ascii="Calibri" w:eastAsia="Times New Roman" w:hAnsi="Calibri" w:cs="Calibri"/>
        <w:b/>
        <w:bCs/>
        <w:color w:val="000000"/>
        <w:lang w:eastAsia="pl-PL"/>
      </w:rPr>
    </w:pPr>
  </w:p>
  <w:p w14:paraId="52FAF6D2" w14:textId="77777777" w:rsidR="00113612" w:rsidRDefault="00113612">
    <w:pPr>
      <w:pStyle w:val="Nagwek"/>
      <w:rPr>
        <w:rFonts w:ascii="Calibri" w:eastAsia="Times New Roman" w:hAnsi="Calibri" w:cs="Calibri"/>
        <w:b/>
        <w:bCs/>
        <w:color w:val="000000"/>
        <w:lang w:eastAsia="pl-PL"/>
      </w:rPr>
    </w:pPr>
  </w:p>
  <w:p w14:paraId="00DBAA37" w14:textId="77777777" w:rsidR="00113612" w:rsidRDefault="00113612">
    <w:pPr>
      <w:pStyle w:val="Nagwek"/>
      <w:rPr>
        <w:rFonts w:ascii="Calibri" w:eastAsia="Times New Roman" w:hAnsi="Calibri" w:cs="Calibri"/>
        <w:b/>
        <w:bCs/>
        <w:color w:val="000000"/>
        <w:lang w:eastAsia="pl-PL"/>
      </w:rPr>
    </w:pPr>
  </w:p>
  <w:p w14:paraId="061D9DE1" w14:textId="77777777" w:rsidR="00113612" w:rsidRDefault="00113612">
    <w:pPr>
      <w:pStyle w:val="Nagwek"/>
      <w:rPr>
        <w:rFonts w:ascii="Calibri" w:eastAsia="Times New Roman" w:hAnsi="Calibri" w:cs="Calibri"/>
        <w:b/>
        <w:bCs/>
        <w:color w:val="000000"/>
        <w:lang w:eastAsia="pl-PL"/>
      </w:rPr>
    </w:pPr>
  </w:p>
  <w:p w14:paraId="393E866C" w14:textId="77777777" w:rsidR="00113612" w:rsidRDefault="00113612">
    <w:pPr>
      <w:pStyle w:val="Nagwek"/>
      <w:rPr>
        <w:rFonts w:ascii="Calibri" w:eastAsia="Times New Roman" w:hAnsi="Calibri" w:cs="Calibri"/>
        <w:b/>
        <w:bCs/>
        <w:color w:val="000000"/>
        <w:lang w:eastAsia="pl-PL"/>
      </w:rPr>
    </w:pPr>
    <w:r w:rsidRPr="000602F3">
      <w:rPr>
        <w:rFonts w:ascii="Calibri" w:eastAsia="Times New Roman" w:hAnsi="Calibri" w:cs="Calibri"/>
        <w:b/>
        <w:bCs/>
        <w:color w:val="000000"/>
        <w:lang w:eastAsia="pl-PL"/>
      </w:rPr>
      <w:t xml:space="preserve">ZESTAWIENIE UWAG ZGŁOSZONYCH W TRAKCIE KONSULTACJI SPOŁECZNYCH PROJEKTU </w:t>
    </w:r>
    <w:r>
      <w:rPr>
        <w:rFonts w:ascii="Calibri" w:eastAsia="Times New Roman" w:hAnsi="Calibri" w:cs="Calibri"/>
        <w:b/>
        <w:bCs/>
        <w:color w:val="000000"/>
        <w:lang w:eastAsia="pl-PL"/>
      </w:rPr>
      <w:tab/>
      <w:t>DRUGIEJ AKTUALIZACJI PLANU GOSPODAROWANIA WODAMI (</w:t>
    </w:r>
    <w:r w:rsidRPr="000602F3">
      <w:rPr>
        <w:rFonts w:ascii="Calibri" w:eastAsia="Times New Roman" w:hAnsi="Calibri" w:cs="Calibri"/>
        <w:b/>
        <w:bCs/>
        <w:color w:val="000000"/>
        <w:lang w:eastAsia="pl-PL"/>
      </w:rPr>
      <w:t>IIaPGW</w:t>
    </w:r>
    <w:r>
      <w:rPr>
        <w:rFonts w:ascii="Calibri" w:eastAsia="Times New Roman" w:hAnsi="Calibri" w:cs="Calibri"/>
        <w:b/>
        <w:bCs/>
        <w:color w:val="000000"/>
        <w:lang w:eastAsia="pl-PL"/>
      </w:rPr>
      <w:t>)</w:t>
    </w:r>
    <w:r w:rsidRPr="000602F3">
      <w:rPr>
        <w:rFonts w:ascii="Calibri" w:eastAsia="Times New Roman" w:hAnsi="Calibri" w:cs="Calibri"/>
        <w:b/>
        <w:bCs/>
        <w:color w:val="000000"/>
        <w:lang w:eastAsia="pl-PL"/>
      </w:rPr>
      <w:t xml:space="preserve"> </w:t>
    </w:r>
    <w:r>
      <w:rPr>
        <w:rFonts w:ascii="Calibri" w:eastAsia="Times New Roman" w:hAnsi="Calibri" w:cs="Calibri"/>
        <w:b/>
        <w:bCs/>
        <w:color w:val="000000"/>
        <w:lang w:eastAsia="pl-PL"/>
      </w:rPr>
      <w:t>NA</w:t>
    </w:r>
    <w:r w:rsidRPr="000602F3">
      <w:rPr>
        <w:rFonts w:ascii="Calibri" w:eastAsia="Times New Roman" w:hAnsi="Calibri" w:cs="Calibri"/>
        <w:b/>
        <w:bCs/>
        <w:color w:val="000000"/>
        <w:lang w:eastAsia="pl-PL"/>
      </w:rPr>
      <w:t xml:space="preserve"> OBSZAR</w:t>
    </w:r>
    <w:r>
      <w:rPr>
        <w:rFonts w:ascii="Calibri" w:eastAsia="Times New Roman" w:hAnsi="Calibri" w:cs="Calibri"/>
        <w:b/>
        <w:bCs/>
        <w:color w:val="000000"/>
        <w:lang w:eastAsia="pl-PL"/>
      </w:rPr>
      <w:t>ZE</w:t>
    </w:r>
    <w:r w:rsidRPr="000602F3">
      <w:rPr>
        <w:rFonts w:ascii="Calibri" w:eastAsia="Times New Roman" w:hAnsi="Calibri" w:cs="Calibri"/>
        <w:b/>
        <w:bCs/>
        <w:color w:val="000000"/>
        <w:lang w:eastAsia="pl-PL"/>
      </w:rPr>
      <w:t xml:space="preserve"> DORZECZA </w:t>
    </w:r>
    <w:r>
      <w:rPr>
        <w:rFonts w:ascii="Calibri" w:eastAsia="Times New Roman" w:hAnsi="Calibri" w:cs="Calibri"/>
        <w:b/>
        <w:bCs/>
        <w:color w:val="000000"/>
        <w:lang w:eastAsia="pl-PL"/>
      </w:rPr>
      <w:t>ODRY</w:t>
    </w:r>
    <w:r w:rsidRPr="000602F3">
      <w:rPr>
        <w:rFonts w:ascii="Calibri" w:eastAsia="Times New Roman" w:hAnsi="Calibri" w:cs="Calibri"/>
        <w:b/>
        <w:bCs/>
        <w:color w:val="000000"/>
        <w:lang w:eastAsia="pl-PL"/>
      </w:rPr>
      <w:t xml:space="preserve"> (14.04.2021 - 14.10.2021)</w:t>
    </w:r>
  </w:p>
  <w:p w14:paraId="2EB7BFB9" w14:textId="77777777" w:rsidR="00113612" w:rsidRDefault="0011361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B3D7" w14:textId="77777777" w:rsidR="00113612" w:rsidRDefault="0011361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B6D19"/>
    <w:multiLevelType w:val="hybridMultilevel"/>
    <w:tmpl w:val="434C1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2F3"/>
    <w:rsid w:val="000311B3"/>
    <w:rsid w:val="00040957"/>
    <w:rsid w:val="00044721"/>
    <w:rsid w:val="000602F3"/>
    <w:rsid w:val="00061EC9"/>
    <w:rsid w:val="0008663F"/>
    <w:rsid w:val="00096BC6"/>
    <w:rsid w:val="000B16E5"/>
    <w:rsid w:val="000B2E71"/>
    <w:rsid w:val="000D6B96"/>
    <w:rsid w:val="00113612"/>
    <w:rsid w:val="0014388A"/>
    <w:rsid w:val="00161CC7"/>
    <w:rsid w:val="00165DD7"/>
    <w:rsid w:val="00197698"/>
    <w:rsid w:val="001A18D8"/>
    <w:rsid w:val="001C4812"/>
    <w:rsid w:val="001E243D"/>
    <w:rsid w:val="001E404E"/>
    <w:rsid w:val="00206924"/>
    <w:rsid w:val="00211E44"/>
    <w:rsid w:val="00222141"/>
    <w:rsid w:val="00232B2A"/>
    <w:rsid w:val="00254277"/>
    <w:rsid w:val="0028666F"/>
    <w:rsid w:val="00340B03"/>
    <w:rsid w:val="00344386"/>
    <w:rsid w:val="00347D28"/>
    <w:rsid w:val="0035458C"/>
    <w:rsid w:val="00370EC8"/>
    <w:rsid w:val="003B1AF2"/>
    <w:rsid w:val="003C7318"/>
    <w:rsid w:val="003D25C3"/>
    <w:rsid w:val="003D2840"/>
    <w:rsid w:val="003E0FE7"/>
    <w:rsid w:val="00425C9F"/>
    <w:rsid w:val="004744CC"/>
    <w:rsid w:val="00480452"/>
    <w:rsid w:val="0049190C"/>
    <w:rsid w:val="004930F7"/>
    <w:rsid w:val="004A68B1"/>
    <w:rsid w:val="004B09DD"/>
    <w:rsid w:val="004C60C7"/>
    <w:rsid w:val="004F7363"/>
    <w:rsid w:val="004F7B9E"/>
    <w:rsid w:val="00510E72"/>
    <w:rsid w:val="005222C8"/>
    <w:rsid w:val="005650CE"/>
    <w:rsid w:val="005A3473"/>
    <w:rsid w:val="005A7C7F"/>
    <w:rsid w:val="005B0177"/>
    <w:rsid w:val="005B5FD0"/>
    <w:rsid w:val="005B6DCF"/>
    <w:rsid w:val="005D5368"/>
    <w:rsid w:val="005F515F"/>
    <w:rsid w:val="00601A0F"/>
    <w:rsid w:val="00623E83"/>
    <w:rsid w:val="006620C6"/>
    <w:rsid w:val="0067266D"/>
    <w:rsid w:val="006D7A1B"/>
    <w:rsid w:val="006F4C50"/>
    <w:rsid w:val="007101ED"/>
    <w:rsid w:val="00721E63"/>
    <w:rsid w:val="00730A55"/>
    <w:rsid w:val="00737B63"/>
    <w:rsid w:val="00777201"/>
    <w:rsid w:val="007C2B40"/>
    <w:rsid w:val="007C6B16"/>
    <w:rsid w:val="007D7BB1"/>
    <w:rsid w:val="007F01F8"/>
    <w:rsid w:val="00864E98"/>
    <w:rsid w:val="008A7C5D"/>
    <w:rsid w:val="008C1B59"/>
    <w:rsid w:val="008D428E"/>
    <w:rsid w:val="00916184"/>
    <w:rsid w:val="0092135D"/>
    <w:rsid w:val="009357AB"/>
    <w:rsid w:val="0094031E"/>
    <w:rsid w:val="009F26E3"/>
    <w:rsid w:val="009F49C7"/>
    <w:rsid w:val="00A31CB2"/>
    <w:rsid w:val="00A355B5"/>
    <w:rsid w:val="00A52A94"/>
    <w:rsid w:val="00AB1F90"/>
    <w:rsid w:val="00AC4770"/>
    <w:rsid w:val="00AE4E62"/>
    <w:rsid w:val="00B00FB6"/>
    <w:rsid w:val="00B1773D"/>
    <w:rsid w:val="00B40BEC"/>
    <w:rsid w:val="00B65162"/>
    <w:rsid w:val="00B83E36"/>
    <w:rsid w:val="00BA63E1"/>
    <w:rsid w:val="00BB3C6A"/>
    <w:rsid w:val="00BD262F"/>
    <w:rsid w:val="00C02B07"/>
    <w:rsid w:val="00C1789A"/>
    <w:rsid w:val="00C35D42"/>
    <w:rsid w:val="00C55AF7"/>
    <w:rsid w:val="00C575D9"/>
    <w:rsid w:val="00C7336A"/>
    <w:rsid w:val="00CD5FC4"/>
    <w:rsid w:val="00CE7DE9"/>
    <w:rsid w:val="00D043A7"/>
    <w:rsid w:val="00D22D78"/>
    <w:rsid w:val="00D32B2A"/>
    <w:rsid w:val="00D411F6"/>
    <w:rsid w:val="00D66651"/>
    <w:rsid w:val="00D86E84"/>
    <w:rsid w:val="00D91057"/>
    <w:rsid w:val="00DC2CF8"/>
    <w:rsid w:val="00DD746A"/>
    <w:rsid w:val="00DF168C"/>
    <w:rsid w:val="00DF7AA4"/>
    <w:rsid w:val="00E05515"/>
    <w:rsid w:val="00E4392B"/>
    <w:rsid w:val="00E47ABC"/>
    <w:rsid w:val="00E52001"/>
    <w:rsid w:val="00E70F3D"/>
    <w:rsid w:val="00E96B3A"/>
    <w:rsid w:val="00EA6A36"/>
    <w:rsid w:val="00EF0BFF"/>
    <w:rsid w:val="00F101E1"/>
    <w:rsid w:val="00F17503"/>
    <w:rsid w:val="00F4097F"/>
    <w:rsid w:val="00F71813"/>
    <w:rsid w:val="00F86078"/>
    <w:rsid w:val="00F872EF"/>
    <w:rsid w:val="00F91712"/>
    <w:rsid w:val="00FE0DF6"/>
    <w:rsid w:val="00FF30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D6530"/>
  <w15:chartTrackingRefBased/>
  <w15:docId w15:val="{20F35EFD-B412-4565-97B9-8A1C993E1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line="240"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02F3"/>
    <w:pPr>
      <w:tabs>
        <w:tab w:val="center" w:pos="4536"/>
        <w:tab w:val="right" w:pos="9072"/>
      </w:tabs>
    </w:pPr>
  </w:style>
  <w:style w:type="character" w:customStyle="1" w:styleId="NagwekZnak">
    <w:name w:val="Nagłówek Znak"/>
    <w:basedOn w:val="Domylnaczcionkaakapitu"/>
    <w:link w:val="Nagwek"/>
    <w:uiPriority w:val="99"/>
    <w:rsid w:val="000602F3"/>
  </w:style>
  <w:style w:type="paragraph" w:styleId="Stopka">
    <w:name w:val="footer"/>
    <w:basedOn w:val="Normalny"/>
    <w:link w:val="StopkaZnak"/>
    <w:uiPriority w:val="99"/>
    <w:unhideWhenUsed/>
    <w:rsid w:val="000602F3"/>
    <w:pPr>
      <w:tabs>
        <w:tab w:val="center" w:pos="4536"/>
        <w:tab w:val="right" w:pos="9072"/>
      </w:tabs>
    </w:pPr>
  </w:style>
  <w:style w:type="character" w:customStyle="1" w:styleId="StopkaZnak">
    <w:name w:val="Stopka Znak"/>
    <w:basedOn w:val="Domylnaczcionkaakapitu"/>
    <w:link w:val="Stopka"/>
    <w:uiPriority w:val="99"/>
    <w:rsid w:val="000602F3"/>
  </w:style>
  <w:style w:type="character" w:styleId="Odwoaniedokomentarza">
    <w:name w:val="annotation reference"/>
    <w:basedOn w:val="Domylnaczcionkaakapitu"/>
    <w:uiPriority w:val="99"/>
    <w:semiHidden/>
    <w:unhideWhenUsed/>
    <w:rsid w:val="00BB3C6A"/>
    <w:rPr>
      <w:sz w:val="16"/>
      <w:szCs w:val="16"/>
    </w:rPr>
  </w:style>
  <w:style w:type="paragraph" w:styleId="Tekstkomentarza">
    <w:name w:val="annotation text"/>
    <w:basedOn w:val="Normalny"/>
    <w:link w:val="TekstkomentarzaZnak"/>
    <w:uiPriority w:val="99"/>
    <w:semiHidden/>
    <w:unhideWhenUsed/>
    <w:rsid w:val="00BB3C6A"/>
    <w:rPr>
      <w:sz w:val="20"/>
      <w:szCs w:val="20"/>
    </w:rPr>
  </w:style>
  <w:style w:type="character" w:customStyle="1" w:styleId="TekstkomentarzaZnak">
    <w:name w:val="Tekst komentarza Znak"/>
    <w:basedOn w:val="Domylnaczcionkaakapitu"/>
    <w:link w:val="Tekstkomentarza"/>
    <w:uiPriority w:val="99"/>
    <w:semiHidden/>
    <w:rsid w:val="00BB3C6A"/>
    <w:rPr>
      <w:sz w:val="20"/>
      <w:szCs w:val="20"/>
    </w:rPr>
  </w:style>
  <w:style w:type="paragraph" w:styleId="Tematkomentarza">
    <w:name w:val="annotation subject"/>
    <w:basedOn w:val="Tekstkomentarza"/>
    <w:next w:val="Tekstkomentarza"/>
    <w:link w:val="TematkomentarzaZnak"/>
    <w:uiPriority w:val="99"/>
    <w:semiHidden/>
    <w:unhideWhenUsed/>
    <w:rsid w:val="00BB3C6A"/>
    <w:rPr>
      <w:b/>
      <w:bCs/>
    </w:rPr>
  </w:style>
  <w:style w:type="character" w:customStyle="1" w:styleId="TematkomentarzaZnak">
    <w:name w:val="Temat komentarza Znak"/>
    <w:basedOn w:val="TekstkomentarzaZnak"/>
    <w:link w:val="Tematkomentarza"/>
    <w:uiPriority w:val="99"/>
    <w:semiHidden/>
    <w:rsid w:val="00BB3C6A"/>
    <w:rPr>
      <w:b/>
      <w:bCs/>
      <w:sz w:val="20"/>
      <w:szCs w:val="20"/>
    </w:rPr>
  </w:style>
  <w:style w:type="paragraph" w:styleId="Poprawka">
    <w:name w:val="Revision"/>
    <w:hidden/>
    <w:uiPriority w:val="99"/>
    <w:semiHidden/>
    <w:rsid w:val="0049190C"/>
    <w:pPr>
      <w:spacing w:line="240" w:lineRule="auto"/>
      <w:ind w:firstLine="0"/>
      <w:jc w:val="left"/>
    </w:pPr>
  </w:style>
  <w:style w:type="paragraph" w:styleId="Tekstdymka">
    <w:name w:val="Balloon Text"/>
    <w:basedOn w:val="Normalny"/>
    <w:link w:val="TekstdymkaZnak"/>
    <w:uiPriority w:val="99"/>
    <w:semiHidden/>
    <w:unhideWhenUsed/>
    <w:rsid w:val="0049190C"/>
    <w:rPr>
      <w:rFonts w:ascii="Segoe UI" w:hAnsi="Segoe UI" w:cs="Segoe UI"/>
      <w:sz w:val="18"/>
      <w:szCs w:val="18"/>
    </w:rPr>
  </w:style>
  <w:style w:type="character" w:customStyle="1" w:styleId="TekstdymkaZnak">
    <w:name w:val="Tekst dymka Znak"/>
    <w:basedOn w:val="Domylnaczcionkaakapitu"/>
    <w:link w:val="Tekstdymka"/>
    <w:uiPriority w:val="99"/>
    <w:semiHidden/>
    <w:rsid w:val="0049190C"/>
    <w:rPr>
      <w:rFonts w:ascii="Segoe UI" w:hAnsi="Segoe UI" w:cs="Segoe UI"/>
      <w:sz w:val="18"/>
      <w:szCs w:val="18"/>
    </w:rPr>
  </w:style>
  <w:style w:type="paragraph" w:styleId="Akapitzlist">
    <w:name w:val="List Paragraph"/>
    <w:basedOn w:val="Normalny"/>
    <w:uiPriority w:val="34"/>
    <w:qFormat/>
    <w:rsid w:val="006D7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327315">
      <w:bodyDiv w:val="1"/>
      <w:marLeft w:val="0"/>
      <w:marRight w:val="0"/>
      <w:marTop w:val="0"/>
      <w:marBottom w:val="0"/>
      <w:divBdr>
        <w:top w:val="none" w:sz="0" w:space="0" w:color="auto"/>
        <w:left w:val="none" w:sz="0" w:space="0" w:color="auto"/>
        <w:bottom w:val="none" w:sz="0" w:space="0" w:color="auto"/>
        <w:right w:val="none" w:sz="0" w:space="0" w:color="auto"/>
      </w:divBdr>
    </w:div>
    <w:div w:id="714231729">
      <w:bodyDiv w:val="1"/>
      <w:marLeft w:val="0"/>
      <w:marRight w:val="0"/>
      <w:marTop w:val="0"/>
      <w:marBottom w:val="0"/>
      <w:divBdr>
        <w:top w:val="none" w:sz="0" w:space="0" w:color="auto"/>
        <w:left w:val="none" w:sz="0" w:space="0" w:color="auto"/>
        <w:bottom w:val="none" w:sz="0" w:space="0" w:color="auto"/>
        <w:right w:val="none" w:sz="0" w:space="0" w:color="auto"/>
      </w:divBdr>
    </w:div>
    <w:div w:id="192395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0f259f9-296d-45ec-b40f-2b565e2e2123"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20" ma:contentTypeDescription="Create a new document." ma:contentTypeScope="" ma:versionID="cf1b93eebcc3854adc59ab5355008bfb">
  <xsd:schema xmlns:xsd="http://www.w3.org/2001/XMLSchema" xmlns:xs="http://www.w3.org/2001/XMLSchema" xmlns:p="http://schemas.microsoft.com/office/2006/metadata/properties" xmlns:ns1="http://schemas.microsoft.com/sharepoint/v3" xmlns:ns2="6f613be0-efef-4148-8d6c-4c6445522e24" xmlns:ns3="c947fafa-9138-486d-ae8b-4def84560bfe" xmlns:ns4="c5a445d0-5d19-4ba4-b755-822631e11c1e" targetNamespace="http://schemas.microsoft.com/office/2006/metadata/properties" ma:root="true" ma:fieldsID="6442dca07c623177a622810a68ab8acc" ns1:_="" ns2:_="" ns3:_="" ns4:_="">
    <xsd:import namespace="http://schemas.microsoft.com/sharepoint/v3"/>
    <xsd:import namespace="6f613be0-efef-4148-8d6c-4c6445522e24"/>
    <xsd:import namespace="c947fafa-9138-486d-ae8b-4def84560bfe"/>
    <xsd:import namespace="c5a445d0-5d19-4ba4-b755-822631e11c1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0"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0067_m02" ma:index="18" nillable="true" ma:displayName="Data i godzina" ma:default="[today]" ma:format="DateTime" ma:internalName="_x0067_m02">
      <xsd:simpleType>
        <xsd:restriction base="dms:DateTime"/>
      </xsd:simpleType>
    </xsd:element>
    <xsd:element name="Godzina_x0020_Dodania" ma:index="19" nillable="true" ma:displayName="Godzina Dodania" ma:default="[today]" ma:format="DateTime" ma:internalName="Godzina_x0020_Dodania">
      <xsd:simpleType>
        <xsd:restriction base="dms:DateTime"/>
      </xsd:simpleType>
    </xsd:element>
    <xsd:element name="MediaServiceLocation" ma:index="21"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0f259f9-296d-45ec-b40f-2b565e2e21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a445d0-5d19-4ba4-b755-822631e11c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453cc47-13e0-4380-a8c3-08ddacfb2b2f}" ma:internalName="TaxCatchAll" ma:showField="CatchAllData" ma:web="c947fafa-9138-486d-ae8b-4def84560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7_m02 xmlns="6f613be0-efef-4148-8d6c-4c6445522e24">2022-01-13T18:57:45+00:00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2022-01-13T18:57:45+00:00</Godzina_x0020_Dodania>
    <TaxCatchAll xmlns="c5a445d0-5d19-4ba4-b755-822631e11c1e" xsi:nil="true"/>
    <lcf76f155ced4ddcb4097134ff3c332f xmlns="6f613be0-efef-4148-8d6c-4c6445522e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75E78-1B11-422D-A51F-2E4CEE65C531}">
  <ds:schemaRefs>
    <ds:schemaRef ds:uri="Microsoft.SharePoint.Taxonomy.ContentTypeSync"/>
  </ds:schemaRefs>
</ds:datastoreItem>
</file>

<file path=customXml/itemProps2.xml><?xml version="1.0" encoding="utf-8"?>
<ds:datastoreItem xmlns:ds="http://schemas.openxmlformats.org/officeDocument/2006/customXml" ds:itemID="{76222A09-3055-4248-8142-035D2946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c5a445d0-5d19-4ba4-b755-822631e11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765EF0-17C2-4B66-AA67-B88BCB891EE7}">
  <ds:schemaRefs>
    <ds:schemaRef ds:uri="http://schemas.microsoft.com/office/2006/metadata/properties"/>
    <ds:schemaRef ds:uri="http://schemas.microsoft.com/office/infopath/2007/PartnerControls"/>
    <ds:schemaRef ds:uri="6f613be0-efef-4148-8d6c-4c6445522e24"/>
    <ds:schemaRef ds:uri="http://schemas.microsoft.com/sharepoint/v3"/>
    <ds:schemaRef ds:uri="c5a445d0-5d19-4ba4-b755-822631e11c1e"/>
  </ds:schemaRefs>
</ds:datastoreItem>
</file>

<file path=customXml/itemProps4.xml><?xml version="1.0" encoding="utf-8"?>
<ds:datastoreItem xmlns:ds="http://schemas.openxmlformats.org/officeDocument/2006/customXml" ds:itemID="{EAA2CEE4-7E3C-4210-AC63-7595FFCB27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391131</Words>
  <Characters>2346786</Characters>
  <Application>Microsoft Office Word</Application>
  <DocSecurity>0</DocSecurity>
  <Lines>19556</Lines>
  <Paragraphs>5464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Klukowska, Katarzyna</dc:creator>
  <cp:keywords/>
  <dc:description/>
  <cp:lastModifiedBy>Brzozowska Patrycja</cp:lastModifiedBy>
  <cp:revision>2</cp:revision>
  <cp:lastPrinted>2022-01-13T17:32:00Z</cp:lastPrinted>
  <dcterms:created xsi:type="dcterms:W3CDTF">2022-05-06T10:32:00Z</dcterms:created>
  <dcterms:modified xsi:type="dcterms:W3CDTF">2022-05-06T10:32:00Z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2021-12-17T13:49:53Z</vt:filetime>
  </property>
</Properties>
</file>