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12FF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E0A4E4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229A2A" w14:textId="77777777" w:rsidR="00244C7E" w:rsidRDefault="00000000">
      <w:pPr>
        <w:pStyle w:val="Nagwek1"/>
        <w:spacing w:after="3"/>
        <w:ind w:left="355"/>
      </w:pPr>
      <w:r>
        <w:t>I.</w:t>
      </w:r>
      <w:r>
        <w:rPr>
          <w:rFonts w:ascii="Arial" w:eastAsia="Arial" w:hAnsi="Arial" w:cs="Arial"/>
        </w:rPr>
        <w:t xml:space="preserve"> </w:t>
      </w:r>
      <w:r>
        <w:t xml:space="preserve">CEL </w:t>
      </w:r>
    </w:p>
    <w:p w14:paraId="30451385" w14:textId="77777777" w:rsidR="001A76F2" w:rsidRDefault="00000000">
      <w:pPr>
        <w:ind w:left="353" w:right="0"/>
      </w:pPr>
      <w:r>
        <w:t xml:space="preserve">  </w:t>
      </w:r>
      <w:r w:rsidR="007D77AF">
        <w:tab/>
      </w:r>
      <w:r>
        <w:t xml:space="preserve"> Celem procedury jest zapewnienie jednolitych zasad prowadzenia kontroli, obiektywnej oceny poziomu ryzyka oraz przejrzystości działań organu wobec przedsiębiorców. </w:t>
      </w:r>
    </w:p>
    <w:p w14:paraId="08812736" w14:textId="0AF33BAD" w:rsidR="00244C7E" w:rsidRDefault="00000000">
      <w:pPr>
        <w:ind w:left="353" w:right="0"/>
      </w:pPr>
      <w:r>
        <w:t xml:space="preserve">Klasyfikacja ryzyka ma na celu zwiększenie przewidywalności i transparentności kontroli. </w:t>
      </w:r>
    </w:p>
    <w:p w14:paraId="0419FDDB" w14:textId="77777777" w:rsidR="0035308E" w:rsidRDefault="0035308E" w:rsidP="0035308E">
      <w:pPr>
        <w:spacing w:after="121"/>
        <w:ind w:right="52"/>
      </w:pPr>
      <w:r>
        <w:t xml:space="preserve">Zasady określone w niniejszym dokumencie nie obejmują kontroli dotyczących bezpieczeństwa żywności i żywienia, które regulowane są odrębnymi zarządzeniami Głównego Inspektora Sanitarnego. </w:t>
      </w:r>
    </w:p>
    <w:p w14:paraId="6ADD8115" w14:textId="77777777" w:rsidR="0035308E" w:rsidRDefault="0035308E">
      <w:pPr>
        <w:ind w:left="353" w:right="0"/>
      </w:pPr>
    </w:p>
    <w:p w14:paraId="5DC9EFF3" w14:textId="77777777" w:rsidR="00244C7E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270712FF" w14:textId="77777777" w:rsidR="00244C7E" w:rsidRDefault="00000000">
      <w:pPr>
        <w:spacing w:after="0" w:line="259" w:lineRule="auto"/>
        <w:ind w:left="355" w:right="0" w:hanging="10"/>
        <w:jc w:val="left"/>
      </w:pP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TRYB POSTĘPOWANIA  </w:t>
      </w:r>
    </w:p>
    <w:p w14:paraId="557092AF" w14:textId="77777777" w:rsidR="00244C7E" w:rsidRDefault="00000000">
      <w:pPr>
        <w:spacing w:after="0" w:line="259" w:lineRule="auto"/>
        <w:ind w:left="1080" w:right="0" w:firstLine="0"/>
        <w:jc w:val="left"/>
      </w:pPr>
      <w:r>
        <w:rPr>
          <w:b/>
        </w:rPr>
        <w:t xml:space="preserve"> </w:t>
      </w:r>
    </w:p>
    <w:p w14:paraId="5AB81971" w14:textId="77777777" w:rsidR="00244C7E" w:rsidRDefault="00000000">
      <w:pPr>
        <w:pStyle w:val="Nagwek1"/>
        <w:spacing w:after="3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Przepisy ogólne </w:t>
      </w:r>
    </w:p>
    <w:p w14:paraId="63B4E408" w14:textId="77777777" w:rsidR="00244C7E" w:rsidRDefault="00000000">
      <w:pPr>
        <w:ind w:left="728" w:right="0"/>
      </w:pPr>
      <w:r>
        <w:t xml:space="preserve">Przedstawiony schemat stanowi realizację obowiązków wynikających z ustawy  z dnia 6 marca 2018 r. – Prawo przedsiębiorców: </w:t>
      </w:r>
    </w:p>
    <w:p w14:paraId="2D9CFAE6" w14:textId="77777777" w:rsidR="00244C7E" w:rsidRDefault="00000000">
      <w:pPr>
        <w:numPr>
          <w:ilvl w:val="0"/>
          <w:numId w:val="1"/>
        </w:numPr>
        <w:ind w:right="0" w:hanging="336"/>
      </w:pPr>
      <w:r>
        <w:t xml:space="preserve">Art. 47 ust. 1 „Kontrole przeprowadza się zgodnie z okresowym planem kontroli po uprzednim dokonaniu okresowej analizy prawdopodobieństwa naruszenia prawa w ramach wykonywania działalności gospodarczej (kontrola planowa). Analiza obejmuje identyfikację obszarów podmiotowych i przedmiotowych, w których ryzyko naruszenia przepisów jest największe. W oparciu o wyniki analizy określa się zasady umożliwiające przypisanie przedsiębiorców do jednej z następujących kategorii ryzyka: niskie, średnie, wysokie. Sposób przeprowadzenia analizy określa organ kontroli lub organ nadrzędny”, </w:t>
      </w:r>
    </w:p>
    <w:p w14:paraId="7A5203EC" w14:textId="77777777" w:rsidR="00244C7E" w:rsidRDefault="00000000">
      <w:pPr>
        <w:numPr>
          <w:ilvl w:val="0"/>
          <w:numId w:val="1"/>
        </w:numPr>
        <w:ind w:right="0" w:hanging="336"/>
      </w:pPr>
      <w:r>
        <w:t xml:space="preserve">Art. 47 ust. 1a „Organ kontroli zamieszcza w Biuletynie Informacji Publicznej na stronie podmiotowej urzędu obsługującego ten organ informację o zasadach umożliwiających przypisanie przedsiębiorców do właściwej dla nich kategorii ryzyka, na podstawie dotychczasowej okresowej analizy, o której mowa w ust. 1, w terminie 3 miesięcy od dnia przyjęcia kolejnej okresowej analizy, zastępującej dotychczasową okresową analizę, z wyjątkiem informacji niejawnych oraz innych informacji stanowiących tajemnicę prawnie chronioną. Zakres udostępnianych informacji podlega ograniczeniu również ze względu na prywatność osoby fizycznej oraz tajemnicę przedsiębiorcy”, </w:t>
      </w:r>
    </w:p>
    <w:p w14:paraId="376D61AE" w14:textId="77777777" w:rsidR="00244C7E" w:rsidRDefault="00000000">
      <w:pPr>
        <w:numPr>
          <w:ilvl w:val="0"/>
          <w:numId w:val="1"/>
        </w:numPr>
        <w:ind w:right="0" w:hanging="336"/>
      </w:pPr>
      <w:r>
        <w:t xml:space="preserve">Art. 55a. 1. Organ kontroli może przeprowadzić kontrolę planową przedsiębiorcy, który został przypisany do jednej z kategorii ryzyka, o których mowa w art. 47 ust. </w:t>
      </w:r>
    </w:p>
    <w:p w14:paraId="7A492E3E" w14:textId="77777777" w:rsidR="00244C7E" w:rsidRDefault="00000000">
      <w:pPr>
        <w:spacing w:after="10"/>
        <w:ind w:left="1450" w:right="0" w:hanging="10"/>
        <w:jc w:val="left"/>
      </w:pPr>
      <w:r>
        <w:t xml:space="preserve">1, w przypadku:  </w:t>
      </w:r>
    </w:p>
    <w:p w14:paraId="647FFF26" w14:textId="77777777" w:rsidR="00244C7E" w:rsidRDefault="00000000">
      <w:pPr>
        <w:numPr>
          <w:ilvl w:val="1"/>
          <w:numId w:val="1"/>
        </w:numPr>
        <w:ind w:right="0" w:hanging="260"/>
      </w:pPr>
      <w:r>
        <w:t xml:space="preserve">niskiego ryzyka – nie częściej niż raz w ciągu 5 lat;  </w:t>
      </w:r>
    </w:p>
    <w:p w14:paraId="1D6C541C" w14:textId="77777777" w:rsidR="00244C7E" w:rsidRDefault="00000000">
      <w:pPr>
        <w:numPr>
          <w:ilvl w:val="1"/>
          <w:numId w:val="1"/>
        </w:numPr>
        <w:ind w:right="0" w:hanging="260"/>
      </w:pPr>
      <w:r>
        <w:t xml:space="preserve">średniego ryzyka – nie częściej niż raz w ciągu 3 lat;  </w:t>
      </w:r>
    </w:p>
    <w:p w14:paraId="5FE380F3" w14:textId="77777777" w:rsidR="00244C7E" w:rsidRDefault="00000000">
      <w:pPr>
        <w:numPr>
          <w:ilvl w:val="1"/>
          <w:numId w:val="1"/>
        </w:numPr>
        <w:ind w:right="0" w:hanging="260"/>
      </w:pPr>
      <w:r>
        <w:lastRenderedPageBreak/>
        <w:t xml:space="preserve">wysokiego ryzyka – tak często, jak to jest konieczne dla zapewnienia skutecznego stosowania odpowiednich przepisów, z uwzględnieniem wysokiego ryzyka wystąpienia nieprawidłowości oraz środków niezbędnych do jego ograniczania.  </w:t>
      </w:r>
    </w:p>
    <w:p w14:paraId="35D6CEC2" w14:textId="77777777" w:rsidR="00244C7E" w:rsidRDefault="00000000" w:rsidP="007D77AF">
      <w:pPr>
        <w:numPr>
          <w:ilvl w:val="1"/>
          <w:numId w:val="2"/>
        </w:numPr>
        <w:ind w:left="1134" w:right="0" w:hanging="283"/>
      </w:pPr>
      <w:r>
        <w:t xml:space="preserve">Przepisu ust. 1 nie stosuje się w przypadkach, gdy ratyfikowane umowy międzynarodowe albo bezpośrednio stosowane przepisy prawa Unii Europejskiej, albo przepisy odrębne określają inaczej częstotliwość przeprowadzania kontroli.  </w:t>
      </w:r>
    </w:p>
    <w:p w14:paraId="7E3D251B" w14:textId="6BF29CC3" w:rsidR="00244C7E" w:rsidRDefault="00244C7E" w:rsidP="007D77AF">
      <w:pPr>
        <w:spacing w:after="0" w:line="259" w:lineRule="auto"/>
        <w:ind w:left="1134" w:right="0" w:hanging="283"/>
        <w:jc w:val="left"/>
      </w:pPr>
    </w:p>
    <w:p w14:paraId="0AC570F4" w14:textId="77777777" w:rsidR="00244C7E" w:rsidRDefault="00000000" w:rsidP="007D77AF">
      <w:pPr>
        <w:numPr>
          <w:ilvl w:val="1"/>
          <w:numId w:val="2"/>
        </w:numPr>
        <w:ind w:left="1134" w:right="0" w:hanging="283"/>
      </w:pPr>
      <w:r>
        <w:t xml:space="preserve">Przepisu ust. 1 nie stosuje się do:  </w:t>
      </w:r>
    </w:p>
    <w:p w14:paraId="538AF0F8" w14:textId="77777777" w:rsidR="00244C7E" w:rsidRDefault="00000000" w:rsidP="007D77AF">
      <w:pPr>
        <w:numPr>
          <w:ilvl w:val="1"/>
          <w:numId w:val="3"/>
        </w:numPr>
        <w:ind w:left="1134" w:right="0" w:hanging="283"/>
        <w:jc w:val="left"/>
      </w:pPr>
      <w:r>
        <w:t xml:space="preserve">kontroli i analiz będących we właściwości organów Krajowej Administracji Skarbowej;  </w:t>
      </w:r>
    </w:p>
    <w:p w14:paraId="144B3A01" w14:textId="77777777" w:rsidR="00244C7E" w:rsidRDefault="00000000" w:rsidP="007D77AF">
      <w:pPr>
        <w:numPr>
          <w:ilvl w:val="1"/>
          <w:numId w:val="3"/>
        </w:numPr>
        <w:spacing w:after="10"/>
        <w:ind w:left="1134" w:right="0" w:hanging="283"/>
        <w:jc w:val="left"/>
      </w:pPr>
      <w:r>
        <w:t xml:space="preserve">kontroli prowadzonych na podstawie ustawy z dnia 25 sierpnia 2006 r. o systemie monitorowania i kontrolowania jakości paliw.  </w:t>
      </w:r>
    </w:p>
    <w:p w14:paraId="24FCFF06" w14:textId="77777777" w:rsidR="00244C7E" w:rsidRDefault="00000000" w:rsidP="007D77AF">
      <w:pPr>
        <w:numPr>
          <w:ilvl w:val="1"/>
          <w:numId w:val="1"/>
        </w:numPr>
        <w:ind w:left="1134" w:right="0" w:hanging="283"/>
      </w:pPr>
      <w:r>
        <w:t xml:space="preserve">Jeżeli przedsiębiorca wykonuje działalność gospodarczą w więcej niż jednym zakładzie lub innej wyodrębnionej części przedsiębiorstwa, przepis ust. 1 stosuje się do zakładu lub części przedsiębiorstwa.  </w:t>
      </w:r>
    </w:p>
    <w:p w14:paraId="18D047AC" w14:textId="77777777" w:rsidR="00244C7E" w:rsidRDefault="00000000" w:rsidP="007D77AF">
      <w:pPr>
        <w:numPr>
          <w:ilvl w:val="1"/>
          <w:numId w:val="1"/>
        </w:numPr>
        <w:ind w:left="1134" w:right="0" w:hanging="283"/>
      </w:pPr>
      <w:r>
        <w:t xml:space="preserve">Przepisu ust. 4 nie stosuje się do kontroli działalności gospodarczej </w:t>
      </w:r>
      <w:proofErr w:type="spellStart"/>
      <w:r>
        <w:t>mikroprzedsiębiorców</w:t>
      </w:r>
      <w:proofErr w:type="spellEnd"/>
      <w:r>
        <w:t xml:space="preserve"> oraz małych przedsiębiorców. </w:t>
      </w:r>
    </w:p>
    <w:p w14:paraId="095A57B2" w14:textId="77777777" w:rsidR="00244C7E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9E302B5" w14:textId="77777777" w:rsidR="00244C7E" w:rsidRDefault="00000000">
      <w:pPr>
        <w:ind w:left="728" w:right="0"/>
      </w:pPr>
      <w:r>
        <w:t xml:space="preserve">W przypadku branży spożywczej, zgodnie z obowiązującymi przepisami, częstotliwość i zakres kontroli urzędowych prowadzonych przez organy Państwowej Inspekcji Sanitarnej są uzależnione od kategorii ryzyka, jaką przypisano danemu zakładowi spożywczemu. </w:t>
      </w:r>
    </w:p>
    <w:p w14:paraId="7EAC3DF3" w14:textId="77777777" w:rsidR="0035308E" w:rsidRDefault="0035308E">
      <w:pPr>
        <w:spacing w:after="3" w:line="259" w:lineRule="auto"/>
        <w:ind w:left="730" w:right="0" w:hanging="10"/>
        <w:jc w:val="left"/>
        <w:rPr>
          <w:b/>
        </w:rPr>
      </w:pPr>
    </w:p>
    <w:p w14:paraId="44EBB8B0" w14:textId="5574D8C1" w:rsidR="00244C7E" w:rsidRPr="0035308E" w:rsidRDefault="00000000">
      <w:pPr>
        <w:spacing w:after="3" w:line="259" w:lineRule="auto"/>
        <w:ind w:left="730" w:right="0" w:hanging="10"/>
        <w:jc w:val="left"/>
        <w:rPr>
          <w:bCs/>
        </w:rPr>
      </w:pPr>
      <w:r w:rsidRPr="0035308E">
        <w:rPr>
          <w:bCs/>
        </w:rPr>
        <w:t xml:space="preserve">Podstawa prawna: </w:t>
      </w:r>
    </w:p>
    <w:p w14:paraId="22191719" w14:textId="77777777" w:rsidR="00244C7E" w:rsidRDefault="00000000">
      <w:pPr>
        <w:ind w:left="1088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Rozporządzenie (UE) 2017/625 Parlamentu Europejskiego i Rady z dnia 15 marca 2017 r. w sprawie urzędowych kontroli,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krajowe przepisy wykonawcze, m.in.: </w:t>
      </w:r>
    </w:p>
    <w:p w14:paraId="3797E7C9" w14:textId="77777777" w:rsidR="00244C7E" w:rsidRDefault="00000000">
      <w:pPr>
        <w:numPr>
          <w:ilvl w:val="0"/>
          <w:numId w:val="4"/>
        </w:numPr>
        <w:spacing w:after="0" w:line="259" w:lineRule="auto"/>
        <w:ind w:right="44" w:hanging="360"/>
      </w:pPr>
      <w:r>
        <w:t xml:space="preserve">ustawa z dnia 25 sierpnia 2006 r. o bezpieczeństwie żywności i żywienia, </w:t>
      </w:r>
    </w:p>
    <w:p w14:paraId="59A3CB5B" w14:textId="77777777" w:rsidR="00244C7E" w:rsidRDefault="00000000">
      <w:pPr>
        <w:numPr>
          <w:ilvl w:val="0"/>
          <w:numId w:val="4"/>
        </w:numPr>
        <w:ind w:right="44" w:hanging="360"/>
      </w:pPr>
      <w:r>
        <w:t xml:space="preserve">o zarządzenie Głównego Inspektora Sanitarnego nr 291/19 z dnia 13 grudnia 2019 r. zmieniające zarządzenie w sprawie procedury przeprowadzania urzędowej kontroli żywności oraz materiałów i wyrobów przeznaczonych do kontaktu z żywnością. </w:t>
      </w:r>
    </w:p>
    <w:p w14:paraId="7BBD4AE1" w14:textId="77777777" w:rsidR="00244C7E" w:rsidRDefault="00000000">
      <w:pPr>
        <w:ind w:left="728" w:right="0"/>
      </w:pPr>
      <w:r>
        <w:t xml:space="preserve">W procedurze wprowadzonej ww. zarządzeniem GIS jest instrukcja dotyczącą kryteriów oceny zakładu produkcji/obrotu żywnością/żywienia zbiorowego/materiałów i wyrobów przeznaczonych do kontaktu z żywnością, która określa kryteria oceny zakładu uwzględniając rodzaj ryzyka -ryzyko niskie, średnie i duże a także kategoryzacja zakładów w oparciu o profil działalności. Kategoria nie jest przypisywana raz, w każdej chwili może ulec zmianie. Na podstawie ustaleń kontrolnych może zostać podwyższona, obniżona lub utrzymana. </w:t>
      </w:r>
    </w:p>
    <w:p w14:paraId="27EE9E5D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3E1CBF" w14:textId="77777777" w:rsidR="00244C7E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1E17F63" w14:textId="77777777" w:rsidR="00244C7E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2E0D50D" w14:textId="77777777" w:rsidR="00244C7E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65A36A2" w14:textId="77777777" w:rsidR="00244C7E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DEE8F57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FDAFB4" w14:textId="77777777" w:rsidR="00244C7E" w:rsidRDefault="00000000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14:paraId="6BEDBBB9" w14:textId="77777777" w:rsidR="00244C7E" w:rsidRDefault="00000000">
      <w:pPr>
        <w:pStyle w:val="Nagwek1"/>
        <w:spacing w:after="3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Zakres stosowania </w:t>
      </w:r>
    </w:p>
    <w:p w14:paraId="1A478C77" w14:textId="77777777" w:rsidR="00244C7E" w:rsidRDefault="00000000">
      <w:pPr>
        <w:spacing w:after="5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E95D1C6" w14:textId="44EDF5F2" w:rsidR="0035308E" w:rsidRDefault="00000000" w:rsidP="0035308E">
      <w:pPr>
        <w:tabs>
          <w:tab w:val="center" w:pos="720"/>
          <w:tab w:val="center" w:pos="354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5308E">
        <w:t xml:space="preserve">Obejmuje kontrolę w poniższych obszarach: </w:t>
      </w:r>
    </w:p>
    <w:p w14:paraId="649D8965" w14:textId="541B03FD" w:rsidR="0035308E" w:rsidRDefault="00683C7A" w:rsidP="0035308E">
      <w:pPr>
        <w:numPr>
          <w:ilvl w:val="2"/>
          <w:numId w:val="10"/>
        </w:numPr>
        <w:spacing w:after="34" w:line="250" w:lineRule="auto"/>
        <w:ind w:left="661" w:right="52" w:hanging="338"/>
      </w:pPr>
      <w:r>
        <w:t>epidemiologii</w:t>
      </w:r>
      <w:r w:rsidR="0035308E">
        <w:t xml:space="preserve">; </w:t>
      </w:r>
    </w:p>
    <w:p w14:paraId="0AACDA2F" w14:textId="77777777" w:rsidR="0035308E" w:rsidRDefault="0035308E" w:rsidP="00683C7A">
      <w:pPr>
        <w:numPr>
          <w:ilvl w:val="2"/>
          <w:numId w:val="10"/>
        </w:numPr>
        <w:spacing w:after="34" w:line="240" w:lineRule="auto"/>
        <w:ind w:left="663" w:right="51" w:hanging="340"/>
        <w:contextualSpacing/>
      </w:pPr>
      <w:r>
        <w:t xml:space="preserve">higieny dzieci i młodzieży; </w:t>
      </w:r>
    </w:p>
    <w:p w14:paraId="1B25170B" w14:textId="0BCE7B50" w:rsidR="00F102DE" w:rsidRDefault="00683C7A" w:rsidP="00683C7A">
      <w:pPr>
        <w:numPr>
          <w:ilvl w:val="2"/>
          <w:numId w:val="10"/>
        </w:numPr>
        <w:spacing w:after="113" w:line="240" w:lineRule="auto"/>
        <w:ind w:left="663" w:right="51" w:hanging="340"/>
        <w:contextualSpacing/>
      </w:pPr>
      <w:r>
        <w:t>higieny pracy, produktów biobójczych, produktów kosmetycznych, substancji chemicznych i ich mieszanin;</w:t>
      </w:r>
    </w:p>
    <w:p w14:paraId="243B0588" w14:textId="640FA263" w:rsidR="0035308E" w:rsidRDefault="00683C7A" w:rsidP="00683C7A">
      <w:pPr>
        <w:numPr>
          <w:ilvl w:val="2"/>
          <w:numId w:val="10"/>
        </w:numPr>
        <w:spacing w:after="113" w:line="240" w:lineRule="auto"/>
        <w:ind w:left="663" w:right="51" w:hanging="340"/>
        <w:contextualSpacing/>
      </w:pPr>
      <w:r>
        <w:t>higieny komunalnej , w tym bezpieczeństwa  zdrowotnego wody</w:t>
      </w:r>
      <w:r w:rsidR="0035308E">
        <w:t xml:space="preserve">. </w:t>
      </w:r>
    </w:p>
    <w:p w14:paraId="074FFEB0" w14:textId="77777777" w:rsidR="0035308E" w:rsidRDefault="0035308E" w:rsidP="0035308E">
      <w:pPr>
        <w:spacing w:after="121"/>
        <w:ind w:right="52"/>
      </w:pPr>
      <w:r>
        <w:t xml:space="preserve">Szczegółowe zasady klasyfikacji ryzyka, w tym opis kryteriów punktowych i przykładów ich stosowania, zostały określone w załącznikach nr 1–4 do niniejszej procedury. Załączniki stanowią integralną część procedury i zawierają szczegółowe wytyczne właściwe dla poszczególnych obszarów nadzoru. </w:t>
      </w:r>
    </w:p>
    <w:p w14:paraId="60C58AC2" w14:textId="54A15AF2" w:rsidR="00244C7E" w:rsidRDefault="00244C7E">
      <w:pPr>
        <w:spacing w:after="0" w:line="259" w:lineRule="auto"/>
        <w:ind w:left="0" w:right="0" w:firstLine="0"/>
        <w:jc w:val="left"/>
      </w:pPr>
    </w:p>
    <w:p w14:paraId="5D6EDC8A" w14:textId="77777777" w:rsidR="007D77AF" w:rsidRDefault="007D77AF">
      <w:pPr>
        <w:spacing w:after="0" w:line="259" w:lineRule="auto"/>
        <w:ind w:left="0" w:right="0" w:firstLine="0"/>
        <w:jc w:val="left"/>
      </w:pPr>
    </w:p>
    <w:p w14:paraId="4B874A9C" w14:textId="77777777" w:rsidR="007D77AF" w:rsidRDefault="007D77AF">
      <w:pPr>
        <w:spacing w:after="0" w:line="259" w:lineRule="auto"/>
        <w:ind w:left="0" w:right="0" w:firstLine="0"/>
        <w:jc w:val="left"/>
      </w:pPr>
    </w:p>
    <w:p w14:paraId="156916EF" w14:textId="77777777" w:rsidR="00244C7E" w:rsidRDefault="00000000">
      <w:pPr>
        <w:pStyle w:val="Nagwek1"/>
        <w:spacing w:after="3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Kryteria oceny ryzyka  </w:t>
      </w:r>
    </w:p>
    <w:p w14:paraId="7BA19C39" w14:textId="77777777" w:rsidR="00244C7E" w:rsidRDefault="00000000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6FFDF96" w14:textId="56B16EF0" w:rsidR="00F102DE" w:rsidRDefault="00F102DE">
      <w:pPr>
        <w:ind w:left="728" w:right="0"/>
      </w:pPr>
      <w:r>
        <w:t xml:space="preserve">Ocena ryzyka dokonywana jest przed tworzeniem rocznych planów kontroli, dla każdego typu nadzorowanego obiektu  oraz w każdym przypadku aktualizacji danych o przedsiębiorcy. Dokonuje się analizy prawdopodobieństwa naruszeń prawa i skutków wystąpienia tych naruszeń. </w:t>
      </w:r>
    </w:p>
    <w:p w14:paraId="6874D280" w14:textId="77777777" w:rsidR="00244C7E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4BC5543" w14:textId="77777777" w:rsidR="00244C7E" w:rsidRDefault="00000000">
      <w:pPr>
        <w:ind w:left="728" w:right="0"/>
      </w:pPr>
      <w:r>
        <w:t xml:space="preserve">Opiera się na dwóch kryteriach: </w:t>
      </w:r>
    </w:p>
    <w:p w14:paraId="1E85A5A7" w14:textId="77777777" w:rsidR="00F102DE" w:rsidRDefault="00F102DE">
      <w:pPr>
        <w:ind w:left="728" w:right="0"/>
      </w:pPr>
    </w:p>
    <w:p w14:paraId="5197D448" w14:textId="77777777" w:rsidR="00F102DE" w:rsidRDefault="00F102DE">
      <w:pPr>
        <w:ind w:left="728" w:right="0"/>
      </w:pPr>
    </w:p>
    <w:tbl>
      <w:tblPr>
        <w:tblStyle w:val="TableGrid"/>
        <w:tblW w:w="8520" w:type="dxa"/>
        <w:tblInd w:w="-103" w:type="dxa"/>
        <w:tblCellMar>
          <w:top w:w="57" w:type="dxa"/>
          <w:left w:w="101" w:type="dxa"/>
          <w:right w:w="122" w:type="dxa"/>
        </w:tblCellMar>
        <w:tblLook w:val="04A0" w:firstRow="1" w:lastRow="0" w:firstColumn="1" w:lastColumn="0" w:noHBand="0" w:noVBand="1"/>
      </w:tblPr>
      <w:tblGrid>
        <w:gridCol w:w="2305"/>
        <w:gridCol w:w="4890"/>
        <w:gridCol w:w="1325"/>
      </w:tblGrid>
      <w:tr w:rsidR="00F102DE" w14:paraId="2EBE3856" w14:textId="77777777" w:rsidTr="00747FC1">
        <w:trPr>
          <w:trHeight w:val="26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FE6E" w14:textId="77777777" w:rsidR="00F102DE" w:rsidRDefault="00F102DE" w:rsidP="00747FC1">
            <w:pPr>
              <w:spacing w:after="0" w:line="259" w:lineRule="auto"/>
              <w:ind w:left="19" w:right="0" w:firstLine="0"/>
              <w:jc w:val="center"/>
            </w:pPr>
            <w:r>
              <w:t xml:space="preserve">Kryterium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AEC2" w14:textId="77777777" w:rsidR="00F102DE" w:rsidRDefault="00F102DE" w:rsidP="00747FC1">
            <w:pPr>
              <w:spacing w:after="0" w:line="259" w:lineRule="auto"/>
              <w:ind w:left="23" w:right="0" w:firstLine="0"/>
              <w:jc w:val="center"/>
            </w:pPr>
            <w:r>
              <w:t xml:space="preserve">Opis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2F80" w14:textId="77777777" w:rsidR="00F102DE" w:rsidRDefault="00F102DE" w:rsidP="00747FC1">
            <w:pPr>
              <w:spacing w:after="0" w:line="259" w:lineRule="auto"/>
              <w:ind w:left="0" w:right="0" w:firstLine="0"/>
              <w:jc w:val="left"/>
            </w:pPr>
            <w:r>
              <w:t xml:space="preserve">Punktacja </w:t>
            </w:r>
          </w:p>
        </w:tc>
      </w:tr>
      <w:tr w:rsidR="00F102DE" w14:paraId="5BF86554" w14:textId="77777777" w:rsidTr="00747FC1">
        <w:trPr>
          <w:trHeight w:val="104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1861" w14:textId="77777777" w:rsidR="00F102DE" w:rsidRDefault="00F102DE" w:rsidP="00747FC1">
            <w:pPr>
              <w:spacing w:after="0" w:line="259" w:lineRule="auto"/>
              <w:ind w:left="2" w:right="0" w:firstLine="0"/>
              <w:jc w:val="left"/>
            </w:pPr>
            <w:r>
              <w:t xml:space="preserve">Prawdopodobieństwo naruszenia prawa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29D" w14:textId="77777777" w:rsidR="00F102DE" w:rsidRDefault="00F102DE" w:rsidP="00747FC1">
            <w:pPr>
              <w:spacing w:after="0" w:line="259" w:lineRule="auto"/>
              <w:ind w:left="2" w:right="0" w:firstLine="0"/>
              <w:jc w:val="left"/>
            </w:pPr>
            <w:r>
              <w:t xml:space="preserve">Na podstawie historii kontroli i charakteru działalności, wpływu na zdrowie publiczne, występowania czynników szkodliwych, złożonych  skargi, częstotliwości i rodzaju naruszeń.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CE8D" w14:textId="77777777" w:rsidR="00F102DE" w:rsidRDefault="00F102DE" w:rsidP="00F102DE">
            <w:pPr>
              <w:numPr>
                <w:ilvl w:val="0"/>
                <w:numId w:val="11"/>
              </w:numPr>
              <w:spacing w:after="0" w:line="259" w:lineRule="auto"/>
              <w:ind w:right="0" w:hanging="171"/>
              <w:jc w:val="left"/>
            </w:pPr>
            <w:r>
              <w:t xml:space="preserve">– niska  </w:t>
            </w:r>
          </w:p>
          <w:p w14:paraId="10A6D5EF" w14:textId="77777777" w:rsidR="00F102DE" w:rsidRDefault="00F102DE" w:rsidP="00F102DE">
            <w:pPr>
              <w:numPr>
                <w:ilvl w:val="0"/>
                <w:numId w:val="11"/>
              </w:numPr>
              <w:spacing w:after="0" w:line="259" w:lineRule="auto"/>
              <w:ind w:right="0" w:hanging="171"/>
              <w:jc w:val="left"/>
            </w:pPr>
            <w:r>
              <w:t xml:space="preserve">– średnia  </w:t>
            </w:r>
          </w:p>
          <w:p w14:paraId="6B69FC13" w14:textId="77777777" w:rsidR="00F102DE" w:rsidRDefault="00F102DE" w:rsidP="00F102DE">
            <w:pPr>
              <w:numPr>
                <w:ilvl w:val="0"/>
                <w:numId w:val="11"/>
              </w:numPr>
              <w:spacing w:after="0" w:line="259" w:lineRule="auto"/>
              <w:ind w:right="0" w:hanging="171"/>
              <w:jc w:val="left"/>
            </w:pPr>
            <w:r>
              <w:t xml:space="preserve">– wysoka </w:t>
            </w:r>
          </w:p>
        </w:tc>
      </w:tr>
      <w:tr w:rsidR="00F102DE" w14:paraId="445F3492" w14:textId="77777777" w:rsidTr="00747FC1">
        <w:trPr>
          <w:trHeight w:val="787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2E3E" w14:textId="77777777" w:rsidR="00F102DE" w:rsidRDefault="00F102DE" w:rsidP="00747FC1">
            <w:pPr>
              <w:spacing w:after="0" w:line="259" w:lineRule="auto"/>
              <w:ind w:left="2" w:right="0" w:firstLine="0"/>
              <w:jc w:val="left"/>
            </w:pPr>
            <w:r>
              <w:t xml:space="preserve">Skutek naruszenia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DB7D" w14:textId="77777777" w:rsidR="00F102DE" w:rsidRDefault="00F102DE" w:rsidP="00747FC1">
            <w:pPr>
              <w:spacing w:after="2" w:line="238" w:lineRule="auto"/>
              <w:ind w:left="2" w:right="0" w:firstLine="0"/>
            </w:pPr>
            <w:r>
              <w:t xml:space="preserve">Potencjalny wpływ naruszeń na zdrowie i życie ludzi lub środowisko. </w:t>
            </w:r>
          </w:p>
          <w:p w14:paraId="30B71185" w14:textId="77777777" w:rsidR="00F102DE" w:rsidRDefault="00F102DE" w:rsidP="00747FC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DD40" w14:textId="77777777" w:rsidR="00F102DE" w:rsidRDefault="00F102DE" w:rsidP="00F102DE">
            <w:pPr>
              <w:numPr>
                <w:ilvl w:val="0"/>
                <w:numId w:val="12"/>
              </w:numPr>
              <w:spacing w:after="0" w:line="259" w:lineRule="auto"/>
              <w:ind w:right="0" w:hanging="171"/>
              <w:jc w:val="left"/>
            </w:pPr>
            <w:r>
              <w:t xml:space="preserve">– niski </w:t>
            </w:r>
          </w:p>
          <w:p w14:paraId="665FDA75" w14:textId="77777777" w:rsidR="00F102DE" w:rsidRDefault="00F102DE" w:rsidP="00F102DE">
            <w:pPr>
              <w:numPr>
                <w:ilvl w:val="0"/>
                <w:numId w:val="12"/>
              </w:numPr>
              <w:spacing w:after="0" w:line="259" w:lineRule="auto"/>
              <w:ind w:right="0" w:hanging="171"/>
              <w:jc w:val="left"/>
            </w:pPr>
            <w:r>
              <w:t xml:space="preserve">– średni </w:t>
            </w:r>
          </w:p>
          <w:p w14:paraId="064C9E3D" w14:textId="77777777" w:rsidR="00F102DE" w:rsidRDefault="00F102DE" w:rsidP="00F102DE">
            <w:pPr>
              <w:numPr>
                <w:ilvl w:val="0"/>
                <w:numId w:val="12"/>
              </w:numPr>
              <w:spacing w:after="0" w:line="259" w:lineRule="auto"/>
              <w:ind w:right="0" w:hanging="171"/>
              <w:jc w:val="left"/>
            </w:pPr>
            <w:r>
              <w:t xml:space="preserve">– wysoki </w:t>
            </w:r>
          </w:p>
        </w:tc>
      </w:tr>
    </w:tbl>
    <w:p w14:paraId="1370978A" w14:textId="77777777" w:rsidR="00F102DE" w:rsidRDefault="00F102DE" w:rsidP="00F102DE">
      <w:pPr>
        <w:spacing w:after="233"/>
        <w:ind w:right="52"/>
      </w:pPr>
      <w:r>
        <w:t xml:space="preserve">Uwaga: Oceny dokonuje inspektor właściwy dla danego obszaru nadzoru. Wynik punktowy służy do przypisania obiektu do kategorii ryzyka: niskie, średnie lub wysokie.   </w:t>
      </w:r>
    </w:p>
    <w:p w14:paraId="44B755E6" w14:textId="77777777" w:rsidR="00F102DE" w:rsidRDefault="00F102DE" w:rsidP="00F102DE">
      <w:pPr>
        <w:spacing w:after="233"/>
        <w:ind w:right="52"/>
      </w:pPr>
    </w:p>
    <w:p w14:paraId="3AAA02C8" w14:textId="77777777" w:rsidR="007D77AF" w:rsidRDefault="007D77AF" w:rsidP="00F102DE">
      <w:pPr>
        <w:spacing w:after="233"/>
        <w:ind w:right="52"/>
      </w:pPr>
    </w:p>
    <w:p w14:paraId="69338D62" w14:textId="77777777" w:rsidR="00F102DE" w:rsidRPr="00F102DE" w:rsidRDefault="00F102DE" w:rsidP="00F102DE">
      <w:pPr>
        <w:numPr>
          <w:ilvl w:val="0"/>
          <w:numId w:val="13"/>
        </w:numPr>
        <w:spacing w:after="114" w:line="259" w:lineRule="auto"/>
        <w:ind w:right="45" w:hanging="225"/>
        <w:rPr>
          <w:b/>
          <w:bCs/>
        </w:rPr>
      </w:pPr>
      <w:r w:rsidRPr="00F102DE">
        <w:rPr>
          <w:b/>
          <w:bCs/>
        </w:rPr>
        <w:t xml:space="preserve">Macierz oceny ryzyka  </w:t>
      </w:r>
    </w:p>
    <w:p w14:paraId="79C3D445" w14:textId="77777777" w:rsidR="00F102DE" w:rsidRDefault="00F102DE" w:rsidP="00F102DE">
      <w:pPr>
        <w:spacing w:after="9"/>
        <w:ind w:right="52"/>
      </w:pPr>
      <w:r>
        <w:t xml:space="preserve">Punktacja końcowa służy przypisaniu obiektu do jednej z kategorii ryzyka, zgodnie z pkt 4. </w:t>
      </w:r>
    </w:p>
    <w:tbl>
      <w:tblPr>
        <w:tblStyle w:val="TableGrid"/>
        <w:tblW w:w="7750" w:type="dxa"/>
        <w:tblInd w:w="-103" w:type="dxa"/>
        <w:tblCellMar>
          <w:top w:w="91" w:type="dxa"/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3718"/>
        <w:gridCol w:w="1166"/>
        <w:gridCol w:w="1430"/>
        <w:gridCol w:w="1436"/>
      </w:tblGrid>
      <w:tr w:rsidR="00F102DE" w14:paraId="0342275B" w14:textId="77777777" w:rsidTr="00747FC1">
        <w:trPr>
          <w:trHeight w:val="1042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8B35BF1" w14:textId="77777777" w:rsidR="00F102DE" w:rsidRDefault="00F102DE" w:rsidP="00747FC1">
            <w:pPr>
              <w:spacing w:after="0" w:line="259" w:lineRule="auto"/>
              <w:ind w:left="0" w:right="0" w:firstLine="0"/>
              <w:jc w:val="left"/>
            </w:pPr>
            <w:r>
              <w:t xml:space="preserve">Skutek ↓ / Prawdopodobieństwo →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3DB1693" w14:textId="77777777" w:rsidR="00F102DE" w:rsidRDefault="00F102DE" w:rsidP="00747FC1">
            <w:pPr>
              <w:spacing w:after="0" w:line="259" w:lineRule="auto"/>
              <w:ind w:left="64" w:right="0" w:firstLine="0"/>
              <w:jc w:val="left"/>
            </w:pPr>
            <w:r>
              <w:t xml:space="preserve">1 (niska)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6FDE011" w14:textId="77777777" w:rsidR="00F102DE" w:rsidRDefault="00F102DE" w:rsidP="00747FC1">
            <w:pPr>
              <w:spacing w:after="0" w:line="259" w:lineRule="auto"/>
              <w:ind w:left="5" w:right="0" w:firstLine="0"/>
              <w:jc w:val="center"/>
            </w:pPr>
            <w:r>
              <w:t xml:space="preserve">2 (średnia)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BDC7" w14:textId="77777777" w:rsidR="00F102DE" w:rsidRDefault="00F102DE" w:rsidP="00747FC1">
            <w:pPr>
              <w:spacing w:after="0" w:line="259" w:lineRule="auto"/>
              <w:ind w:left="9" w:right="0" w:firstLine="0"/>
              <w:jc w:val="center"/>
            </w:pPr>
            <w:r>
              <w:t xml:space="preserve">3 (wysoka) </w:t>
            </w:r>
          </w:p>
        </w:tc>
      </w:tr>
      <w:tr w:rsidR="00F102DE" w14:paraId="09C50A15" w14:textId="77777777" w:rsidTr="00747FC1">
        <w:trPr>
          <w:trHeight w:val="353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EC7A0B" w14:textId="77777777" w:rsidR="00F102DE" w:rsidRDefault="00F102DE" w:rsidP="00747FC1">
            <w:pPr>
              <w:spacing w:after="0" w:line="259" w:lineRule="auto"/>
              <w:ind w:left="0" w:right="0" w:firstLine="0"/>
              <w:jc w:val="left"/>
            </w:pPr>
            <w:r>
              <w:t xml:space="preserve">1 (niski)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A12C360" w14:textId="77777777" w:rsidR="00F102DE" w:rsidRDefault="00F102DE" w:rsidP="00747FC1">
            <w:pPr>
              <w:spacing w:after="0" w:line="259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DE2061" w14:textId="77777777" w:rsidR="00F102DE" w:rsidRDefault="00F102DE" w:rsidP="00747FC1">
            <w:pPr>
              <w:spacing w:after="0" w:line="259" w:lineRule="auto"/>
              <w:ind w:left="5" w:right="0" w:firstLine="0"/>
              <w:jc w:val="center"/>
            </w:pPr>
            <w:r>
              <w:t xml:space="preserve">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8CEF4D" w14:textId="77777777" w:rsidR="00F102DE" w:rsidRDefault="00F102DE" w:rsidP="00747FC1">
            <w:pPr>
              <w:spacing w:after="0" w:line="259" w:lineRule="auto"/>
              <w:ind w:left="7" w:right="0" w:firstLine="0"/>
              <w:jc w:val="center"/>
            </w:pPr>
            <w:r>
              <w:t xml:space="preserve">3 </w:t>
            </w:r>
          </w:p>
        </w:tc>
      </w:tr>
      <w:tr w:rsidR="00F102DE" w14:paraId="78166C6B" w14:textId="77777777" w:rsidTr="00747FC1">
        <w:trPr>
          <w:trHeight w:val="33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208871" w14:textId="77777777" w:rsidR="00F102DE" w:rsidRDefault="00F102DE" w:rsidP="00747FC1">
            <w:pPr>
              <w:spacing w:after="0" w:line="259" w:lineRule="auto"/>
              <w:ind w:left="0" w:right="0" w:firstLine="0"/>
              <w:jc w:val="left"/>
            </w:pPr>
            <w:r>
              <w:t xml:space="preserve">2 (średni)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61F3575" w14:textId="77777777" w:rsidR="00F102DE" w:rsidRDefault="00F102DE" w:rsidP="00747FC1">
            <w:pPr>
              <w:spacing w:after="0" w:line="259" w:lineRule="auto"/>
              <w:ind w:left="1" w:right="0" w:firstLine="0"/>
              <w:jc w:val="center"/>
            </w:pPr>
            <w:r>
              <w:t xml:space="preserve">2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652C49C" w14:textId="77777777" w:rsidR="00F102DE" w:rsidRDefault="00F102DE" w:rsidP="00747FC1">
            <w:pPr>
              <w:spacing w:after="0" w:line="259" w:lineRule="auto"/>
              <w:ind w:left="7" w:right="0" w:firstLine="0"/>
              <w:jc w:val="center"/>
            </w:pPr>
            <w:r>
              <w:t xml:space="preserve">4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04D7F38" w14:textId="77777777" w:rsidR="00F102DE" w:rsidRDefault="00F102DE" w:rsidP="00747FC1">
            <w:pPr>
              <w:spacing w:after="0" w:line="259" w:lineRule="auto"/>
              <w:ind w:left="5" w:right="0" w:firstLine="0"/>
              <w:jc w:val="center"/>
            </w:pPr>
            <w:r>
              <w:t xml:space="preserve">6 </w:t>
            </w:r>
          </w:p>
        </w:tc>
      </w:tr>
      <w:tr w:rsidR="00F102DE" w14:paraId="624FA57B" w14:textId="77777777" w:rsidTr="00747FC1">
        <w:trPr>
          <w:trHeight w:val="353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4A465A" w14:textId="77777777" w:rsidR="00F102DE" w:rsidRDefault="00F102DE" w:rsidP="00747FC1">
            <w:pPr>
              <w:spacing w:after="0" w:line="259" w:lineRule="auto"/>
              <w:ind w:left="0" w:right="0" w:firstLine="0"/>
              <w:jc w:val="left"/>
            </w:pPr>
            <w:r>
              <w:t xml:space="preserve">3 (wysoki)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799961" w14:textId="77777777" w:rsidR="00F102DE" w:rsidRDefault="00F102DE" w:rsidP="00747FC1">
            <w:pPr>
              <w:spacing w:after="0" w:line="259" w:lineRule="auto"/>
              <w:ind w:left="3" w:right="0" w:firstLine="0"/>
              <w:jc w:val="center"/>
            </w:pPr>
            <w:r>
              <w:t xml:space="preserve">3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6FDD7EE" w14:textId="77777777" w:rsidR="00F102DE" w:rsidRDefault="00F102DE" w:rsidP="00747FC1">
            <w:pPr>
              <w:spacing w:after="0" w:line="259" w:lineRule="auto"/>
              <w:ind w:left="5" w:right="0" w:firstLine="0"/>
              <w:jc w:val="center"/>
            </w:pPr>
            <w:r>
              <w:t xml:space="preserve">6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51C06B" w14:textId="77777777" w:rsidR="00F102DE" w:rsidRDefault="00F102DE" w:rsidP="00747FC1">
            <w:pPr>
              <w:spacing w:after="0" w:line="259" w:lineRule="auto"/>
              <w:ind w:left="7" w:right="0" w:firstLine="0"/>
              <w:jc w:val="center"/>
            </w:pPr>
            <w:r>
              <w:t xml:space="preserve">9 </w:t>
            </w:r>
          </w:p>
        </w:tc>
      </w:tr>
    </w:tbl>
    <w:p w14:paraId="248C4D02" w14:textId="77777777" w:rsidR="00F102DE" w:rsidRDefault="00F102DE" w:rsidP="00F102DE">
      <w:pPr>
        <w:spacing w:after="114" w:line="259" w:lineRule="auto"/>
        <w:ind w:left="-5" w:right="45"/>
      </w:pPr>
      <w:r>
        <w:t xml:space="preserve">Legenda: </w:t>
      </w:r>
    </w:p>
    <w:p w14:paraId="3572F9BA" w14:textId="77777777" w:rsidR="00F102DE" w:rsidRDefault="00F102DE" w:rsidP="00F102DE">
      <w:pPr>
        <w:numPr>
          <w:ilvl w:val="2"/>
          <w:numId w:val="14"/>
        </w:numPr>
        <w:spacing w:after="9" w:line="250" w:lineRule="auto"/>
        <w:ind w:right="52" w:hanging="334"/>
      </w:pPr>
      <w:r>
        <w:t xml:space="preserve">1–2 pkt – niskie ryzyko </w:t>
      </w:r>
    </w:p>
    <w:p w14:paraId="16E330A9" w14:textId="77777777" w:rsidR="00F102DE" w:rsidRDefault="00F102DE" w:rsidP="00F102DE">
      <w:pPr>
        <w:numPr>
          <w:ilvl w:val="2"/>
          <w:numId w:val="14"/>
        </w:numPr>
        <w:spacing w:after="9" w:line="250" w:lineRule="auto"/>
        <w:ind w:right="52" w:hanging="334"/>
      </w:pPr>
      <w:r>
        <w:t xml:space="preserve">3–5 pkt – średnie ryzyko </w:t>
      </w:r>
    </w:p>
    <w:p w14:paraId="24CE7FF0" w14:textId="77777777" w:rsidR="00F102DE" w:rsidRDefault="00F102DE" w:rsidP="00F102DE">
      <w:pPr>
        <w:numPr>
          <w:ilvl w:val="2"/>
          <w:numId w:val="14"/>
        </w:numPr>
        <w:spacing w:after="232" w:line="250" w:lineRule="auto"/>
        <w:ind w:right="52" w:hanging="334"/>
      </w:pPr>
      <w:r>
        <w:t xml:space="preserve">6–9 pkt – wysokie ryzyko </w:t>
      </w:r>
    </w:p>
    <w:p w14:paraId="41156E07" w14:textId="2AC262A4" w:rsidR="00244C7E" w:rsidRDefault="00F102DE" w:rsidP="00F102DE">
      <w:pPr>
        <w:spacing w:after="236"/>
        <w:ind w:right="52"/>
      </w:pPr>
      <w:r>
        <w:t xml:space="preserve">Uwaga: Inspektor przypisuje kategorię ryzyka na podstawie punktacji. </w:t>
      </w:r>
    </w:p>
    <w:p w14:paraId="6E2AC886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A5BAF8B" w14:textId="77777777" w:rsidR="00244C7E" w:rsidRDefault="00000000">
      <w:pPr>
        <w:pStyle w:val="Nagwek1"/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Klasyfikacja ryzyka a częstotliwość kontroli planowanych </w:t>
      </w:r>
    </w:p>
    <w:p w14:paraId="2A6A52DF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F9F3BA" w14:textId="77777777" w:rsidR="00244C7E" w:rsidRDefault="00000000">
      <w:pPr>
        <w:spacing w:after="1" w:line="258" w:lineRule="auto"/>
        <w:ind w:left="-5" w:right="0" w:hanging="10"/>
        <w:jc w:val="left"/>
      </w:pPr>
      <w:r>
        <w:t xml:space="preserve">Ryzyko, to prawdopodobieństwo wystąpienia szczególnego zagrożenia obniżenia bezpieczeństwa dla ochrony zdrowia lub życia oraz ochrony środowiska. Kategorię ryzyka stanowi wynik punktowy określony na podstawie iloczynu skutku naruszenia przepisów i prawdopodobieństwa wystąpienia naruszenia przepisów sanitarnych.  </w:t>
      </w:r>
    </w:p>
    <w:p w14:paraId="4F0801AF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356B9F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6E6C74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43991A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553C4E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F76F94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80422E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77A824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7A4737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0AF686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A061F3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DA7714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16FEE7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3DA614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584342" w14:textId="7C2BD5D1" w:rsidR="00244C7E" w:rsidRDefault="00000000" w:rsidP="00D57F9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1E1923A7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798DFE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8" w:type="dxa"/>
        <w:tblInd w:w="-70" w:type="dxa"/>
        <w:tblCellMar>
          <w:top w:w="69" w:type="dxa"/>
          <w:left w:w="94" w:type="dxa"/>
        </w:tblCellMar>
        <w:tblLook w:val="04A0" w:firstRow="1" w:lastRow="0" w:firstColumn="1" w:lastColumn="0" w:noHBand="0" w:noVBand="1"/>
      </w:tblPr>
      <w:tblGrid>
        <w:gridCol w:w="1243"/>
        <w:gridCol w:w="2048"/>
        <w:gridCol w:w="2655"/>
        <w:gridCol w:w="3112"/>
      </w:tblGrid>
      <w:tr w:rsidR="00244C7E" w14:paraId="0BD17F3E" w14:textId="77777777" w:rsidTr="00F102DE">
        <w:trPr>
          <w:trHeight w:val="77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1852" w14:textId="77777777" w:rsidR="00244C7E" w:rsidRDefault="00000000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18"/>
              </w:rPr>
              <w:t xml:space="preserve">Wynik punktowy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F3D5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18"/>
              </w:rPr>
              <w:t xml:space="preserve">Kategoria ryzyka wynikająca z uzyskanej punktacji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F764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18"/>
              </w:rPr>
              <w:t xml:space="preserve">Opis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75F7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18"/>
              </w:rPr>
              <w:t xml:space="preserve">Częstotliwość kontroli planowanych  </w:t>
            </w:r>
          </w:p>
        </w:tc>
      </w:tr>
      <w:tr w:rsidR="00244C7E" w14:paraId="0C99780E" w14:textId="77777777" w:rsidTr="00F102DE">
        <w:trPr>
          <w:trHeight w:val="318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2052" w14:textId="77777777" w:rsidR="00244C7E" w:rsidRDefault="00000000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18"/>
              </w:rPr>
              <w:t xml:space="preserve">1 – 2 pkt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EFD5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 xml:space="preserve">niskie ryzyko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BCF0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 xml:space="preserve">Działalność gospodarcza o małym prawdopodobieństwie wystąpienia zagrożenia zdrowia lub życia. 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EEA6" w14:textId="77777777" w:rsidR="00244C7E" w:rsidRDefault="00000000">
            <w:pPr>
              <w:spacing w:after="0" w:line="235" w:lineRule="auto"/>
              <w:ind w:left="14" w:right="0" w:firstLine="0"/>
              <w:jc w:val="left"/>
            </w:pPr>
            <w:r>
              <w:rPr>
                <w:sz w:val="18"/>
              </w:rPr>
              <w:t xml:space="preserve">Nie częściej niż raz na 5 lat, ale nie rzadziej niż raz na 6 lat. </w:t>
            </w:r>
          </w:p>
          <w:p w14:paraId="25501745" w14:textId="77777777" w:rsidR="00244C7E" w:rsidRDefault="00000000">
            <w:pPr>
              <w:spacing w:after="0" w:line="259" w:lineRule="auto"/>
              <w:ind w:left="14" w:right="28" w:firstLine="0"/>
              <w:jc w:val="left"/>
            </w:pPr>
            <w:r>
              <w:rPr>
                <w:sz w:val="18"/>
              </w:rPr>
              <w:t xml:space="preserve">Zakłada się, że w każdym przypadku właściwy terenowo państwowy inspektor sanitarny może zwiększyć częstotliwość kontroli w danym obiekcie, kierując się innymi uzasadnionymi przesłankami wynikającymi z aktualnej sytuacji sanitarno-epidemiologicznej. </w:t>
            </w:r>
          </w:p>
        </w:tc>
      </w:tr>
      <w:tr w:rsidR="00244C7E" w14:paraId="4F8B48F8" w14:textId="77777777" w:rsidTr="00F102DE">
        <w:trPr>
          <w:trHeight w:val="270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5739" w14:textId="77777777" w:rsidR="00244C7E" w:rsidRDefault="00000000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18"/>
              </w:rPr>
              <w:t xml:space="preserve">3 – 5 pkt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1101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 xml:space="preserve">średnie ryzyko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3166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 xml:space="preserve">Działalność gospodarcza o umiarkowanym prawdopodobieństwie wystąpienia zagrożenia zdrowia lub życia. 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EE53" w14:textId="77777777" w:rsidR="00244C7E" w:rsidRDefault="00000000">
            <w:pPr>
              <w:spacing w:after="0" w:line="257" w:lineRule="auto"/>
              <w:ind w:left="0" w:right="0" w:firstLine="14"/>
              <w:jc w:val="left"/>
            </w:pPr>
            <w:r>
              <w:rPr>
                <w:sz w:val="18"/>
              </w:rPr>
              <w:t xml:space="preserve">Nie częściej niż raz na 3 lata, ale nie rzadziej niż raz na 4 lata.  </w:t>
            </w:r>
          </w:p>
          <w:p w14:paraId="58159894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Zakłada się, że w każdym przypadku właściwy terenowo państwowy inspektor sanitarny może zwiększyć częstotliwość kontroli w danym obiekcie, kierując się innymi uzasadnionymi przesłankami wynikającymi z aktualnej sytuacji sanitarno-epidemiologicznej. </w:t>
            </w:r>
          </w:p>
        </w:tc>
      </w:tr>
      <w:tr w:rsidR="00244C7E" w14:paraId="2B0C4B74" w14:textId="77777777" w:rsidTr="00F102DE">
        <w:trPr>
          <w:trHeight w:val="268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3ED1" w14:textId="77777777" w:rsidR="00244C7E" w:rsidRDefault="00000000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18"/>
              </w:rPr>
              <w:t xml:space="preserve">6 – 9 pkt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A0E7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 xml:space="preserve">wysokie ryzyko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BAF8" w14:textId="77777777" w:rsidR="00244C7E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 xml:space="preserve">Działalność gospodarcza o wysokim prawdopodobieństwie wystąpienia zagrożenia zdrowia lub życia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271" w14:textId="77777777" w:rsidR="00244C7E" w:rsidRDefault="00000000">
            <w:pPr>
              <w:spacing w:after="0" w:line="257" w:lineRule="auto"/>
              <w:ind w:left="14" w:right="0" w:firstLine="0"/>
              <w:jc w:val="left"/>
            </w:pPr>
            <w:r>
              <w:rPr>
                <w:sz w:val="18"/>
              </w:rPr>
              <w:t xml:space="preserve">Nie częściej niż raz na rok , ale nie rzadziej niż raz na 2 lata. </w:t>
            </w:r>
          </w:p>
          <w:p w14:paraId="344736C1" w14:textId="77777777" w:rsidR="00244C7E" w:rsidRDefault="00000000">
            <w:pPr>
              <w:spacing w:after="0" w:line="259" w:lineRule="auto"/>
              <w:ind w:left="14" w:right="28" w:firstLine="0"/>
              <w:jc w:val="left"/>
            </w:pPr>
            <w:r>
              <w:rPr>
                <w:sz w:val="18"/>
              </w:rPr>
              <w:t xml:space="preserve">Zakłada się, że w każdym przypadku właściwy terenowo państwowy inspektor sanitarny może zwiększyć częstotliwość kontroli w danym obiekcie, kierując się innymi uzasadnionymi przesłankami wynikającymi z aktualnej sytuacji sanitarno-epidemiologicznej. </w:t>
            </w:r>
          </w:p>
        </w:tc>
      </w:tr>
    </w:tbl>
    <w:p w14:paraId="11B7639B" w14:textId="77777777" w:rsidR="00244C7E" w:rsidRDefault="00000000">
      <w:pPr>
        <w:spacing w:after="0" w:line="259" w:lineRule="auto"/>
        <w:ind w:left="711" w:right="0" w:firstLine="0"/>
        <w:jc w:val="left"/>
      </w:pPr>
      <w:r>
        <w:t xml:space="preserve"> </w:t>
      </w:r>
    </w:p>
    <w:p w14:paraId="4374E935" w14:textId="77777777" w:rsidR="00244C7E" w:rsidRDefault="00000000">
      <w:pPr>
        <w:spacing w:after="6" w:line="259" w:lineRule="auto"/>
        <w:ind w:left="0" w:right="0" w:firstLine="0"/>
        <w:jc w:val="left"/>
      </w:pPr>
      <w:r>
        <w:t xml:space="preserve"> </w:t>
      </w:r>
    </w:p>
    <w:p w14:paraId="77235D0F" w14:textId="77777777" w:rsidR="00244C7E" w:rsidRDefault="00000000">
      <w:pPr>
        <w:spacing w:after="220" w:line="258" w:lineRule="auto"/>
        <w:ind w:left="-5" w:right="0" w:hanging="1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Uwaga: </w:t>
      </w:r>
      <w:r>
        <w:t xml:space="preserve">Kategorie służą planowaniu częstotliwości kontroli i ustalaniu priorytetów działań.    </w:t>
      </w:r>
      <w:r>
        <w:tab/>
        <w:t xml:space="preserve">Klasyfikacja ryzyka podlega aktualizacji w przypadku zmian w działalności przedsiębiorcy    </w:t>
      </w:r>
      <w:r>
        <w:tab/>
        <w:t xml:space="preserve">lub nowych informacji wpływających na ryzyko. </w:t>
      </w:r>
    </w:p>
    <w:p w14:paraId="17819892" w14:textId="3A9379F7" w:rsidR="00244C7E" w:rsidRDefault="00244C7E">
      <w:pPr>
        <w:spacing w:after="0" w:line="259" w:lineRule="auto"/>
        <w:ind w:left="0" w:right="0" w:firstLine="0"/>
        <w:jc w:val="left"/>
      </w:pPr>
    </w:p>
    <w:p w14:paraId="2255F8FD" w14:textId="5CD4274B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3DD35B" w14:textId="77777777" w:rsidR="00244C7E" w:rsidRDefault="00000000">
      <w:pPr>
        <w:pStyle w:val="Nagwek1"/>
        <w:ind w:left="35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Zasady dotyczące częstotliwości kontroli przedsiębiorcy  </w:t>
      </w:r>
    </w:p>
    <w:p w14:paraId="65B933B9" w14:textId="77777777" w:rsidR="00683C7A" w:rsidRDefault="00000000" w:rsidP="00683C7A">
      <w:pPr>
        <w:numPr>
          <w:ilvl w:val="2"/>
          <w:numId w:val="10"/>
        </w:numPr>
        <w:spacing w:after="34" w:line="250" w:lineRule="auto"/>
        <w:ind w:left="661" w:right="52" w:hanging="338"/>
      </w:pPr>
      <w:r>
        <w:t>6.1 Załącznik nr 1 –</w:t>
      </w:r>
      <w:r w:rsidR="007D77AF">
        <w:t xml:space="preserve"> obszaru</w:t>
      </w:r>
      <w:r>
        <w:t xml:space="preserve"> </w:t>
      </w:r>
      <w:r w:rsidR="00683C7A">
        <w:t xml:space="preserve">epidemiologii; </w:t>
      </w:r>
    </w:p>
    <w:p w14:paraId="761482DE" w14:textId="001CA381" w:rsidR="00244C7E" w:rsidRDefault="00000000" w:rsidP="00683C7A">
      <w:pPr>
        <w:numPr>
          <w:ilvl w:val="2"/>
          <w:numId w:val="10"/>
        </w:numPr>
        <w:spacing w:after="34" w:line="250" w:lineRule="auto"/>
        <w:ind w:left="661" w:right="52" w:hanging="338"/>
      </w:pPr>
      <w:r>
        <w:t xml:space="preserve">6.2 Załącznik nr 2 – obszar higieny dzieci i młodzieży,  </w:t>
      </w:r>
    </w:p>
    <w:p w14:paraId="0BED6FB8" w14:textId="2951A297" w:rsidR="00244C7E" w:rsidRDefault="00000000" w:rsidP="00683C7A">
      <w:pPr>
        <w:numPr>
          <w:ilvl w:val="2"/>
          <w:numId w:val="10"/>
        </w:numPr>
        <w:spacing w:after="113" w:line="240" w:lineRule="auto"/>
        <w:ind w:left="663" w:right="51" w:hanging="338"/>
        <w:contextualSpacing/>
      </w:pPr>
      <w:r>
        <w:t xml:space="preserve">6.3 Załącznik nr 3 – </w:t>
      </w:r>
      <w:r w:rsidR="00683C7A">
        <w:t>obszar higieny pracy, produktów biobójczych, produktów kosmetycznych, substancji chemicznych i ich mieszanin;</w:t>
      </w:r>
    </w:p>
    <w:p w14:paraId="52906B59" w14:textId="77777777" w:rsidR="00683C7A" w:rsidRDefault="00000000" w:rsidP="00683C7A">
      <w:pPr>
        <w:numPr>
          <w:ilvl w:val="2"/>
          <w:numId w:val="10"/>
        </w:numPr>
        <w:spacing w:after="113" w:line="240" w:lineRule="auto"/>
        <w:ind w:left="663" w:right="51" w:hanging="338"/>
        <w:contextualSpacing/>
      </w:pPr>
      <w:r>
        <w:t xml:space="preserve">6.4 Załącznik nr 4 – obszar </w:t>
      </w:r>
      <w:r w:rsidR="00683C7A">
        <w:t xml:space="preserve">higieny komunalnej , w tym bezpieczeństwa  zdrowotnego wody. </w:t>
      </w:r>
    </w:p>
    <w:p w14:paraId="36A826CA" w14:textId="65B205EB" w:rsidR="00244C7E" w:rsidRDefault="00000000" w:rsidP="001A76F2">
      <w:pPr>
        <w:spacing w:after="113" w:line="250" w:lineRule="auto"/>
        <w:ind w:right="52"/>
      </w:pPr>
      <w:r>
        <w:t xml:space="preserve"> </w:t>
      </w:r>
    </w:p>
    <w:p w14:paraId="6BE4F46A" w14:textId="77777777" w:rsidR="00244C7E" w:rsidRDefault="00000000">
      <w:pPr>
        <w:pStyle w:val="Nagwek1"/>
        <w:ind w:left="35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Działania kontrolne przypisane do kategorii ryzyka </w:t>
      </w:r>
    </w:p>
    <w:p w14:paraId="498168F7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0" w:type="dxa"/>
        <w:tblInd w:w="-70" w:type="dxa"/>
        <w:tblCellMar>
          <w:top w:w="6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244C7E" w14:paraId="41312633" w14:textId="77777777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949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Kategoria ryzyka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38EC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Częstotliwość kontroli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8070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Zakres i charakter kontroli </w:t>
            </w:r>
          </w:p>
        </w:tc>
      </w:tr>
      <w:tr w:rsidR="00244C7E" w14:paraId="1F7F08FF" w14:textId="77777777">
        <w:trPr>
          <w:trHeight w:val="8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4061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Niskie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883" w14:textId="77777777" w:rsidR="00244C7E" w:rsidRDefault="00000000">
            <w:pPr>
              <w:spacing w:after="0" w:line="259" w:lineRule="auto"/>
              <w:ind w:left="0" w:right="15" w:firstLine="0"/>
              <w:jc w:val="left"/>
            </w:pPr>
            <w:r>
              <w:t>Zgodnie z planem kontroli – nie częściej niż raz na w ciągu 5 lat.</w:t>
            </w: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BA2C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t>Kontrola planowa, działania rutynowe.</w:t>
            </w:r>
            <w:r>
              <w:rPr>
                <w:b/>
              </w:rPr>
              <w:t xml:space="preserve"> </w:t>
            </w:r>
          </w:p>
        </w:tc>
      </w:tr>
      <w:tr w:rsidR="00244C7E" w14:paraId="66CA5F6B" w14:textId="77777777">
        <w:trPr>
          <w:trHeight w:val="8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DE66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Średnie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DF00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t>Według planu lub w razie  potrzeby – nie częściej niż raz  na w ciągu 3 lat.</w:t>
            </w: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C4B7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Kontrola planowa, interwencyjna lub na wniosek strony. </w:t>
            </w:r>
          </w:p>
        </w:tc>
      </w:tr>
      <w:tr w:rsidR="00244C7E" w14:paraId="5A90E3EA" w14:textId="77777777">
        <w:trPr>
          <w:trHeight w:val="139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7BE3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Wysokie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A282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t>Tak często, jak to jest  konieczne dla zapewnienia  skutecznego stosowania  przepisów i ograniczenia  ryzyka.</w:t>
            </w: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3690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Kontrola planowa, nieplanowana lub doraźna, w tym bez uprzedzenia. </w:t>
            </w:r>
          </w:p>
        </w:tc>
      </w:tr>
    </w:tbl>
    <w:p w14:paraId="03846B4B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 </w:t>
      </w:r>
      <w:r>
        <w:tab/>
        <w:t xml:space="preserve"> </w:t>
      </w:r>
    </w:p>
    <w:p w14:paraId="0A14C336" w14:textId="77777777" w:rsidR="00244C7E" w:rsidRDefault="00000000">
      <w:pPr>
        <w:ind w:left="8" w:right="0"/>
      </w:pPr>
      <w:r>
        <w:t xml:space="preserve">Schemat określa maksymalną częstotliwość kontroli zgodnie z art. 55a 1. ww. ustawy: dla ryzyka niskiego – raz na 5 lat, dla ryzyka średniego – raz na 3 lata, dla ryzyka wysokiego –  tak często, jak wymaga charakter zagrożenia. Nie stosuje się przedziałów czasu, aby zapewnić jednolite i zgodne z przepisami prawa stosowanie częstotliwości kontroli.  </w:t>
      </w:r>
    </w:p>
    <w:p w14:paraId="5991B37A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9F2663" w14:textId="77777777" w:rsidR="00244C7E" w:rsidRDefault="00000000">
      <w:pPr>
        <w:numPr>
          <w:ilvl w:val="0"/>
          <w:numId w:val="6"/>
        </w:numPr>
        <w:ind w:right="0" w:hanging="240"/>
      </w:pPr>
      <w:r>
        <w:t xml:space="preserve">Odstępstwa od podanej częstotliwości mogą wynikać z:  </w:t>
      </w:r>
    </w:p>
    <w:p w14:paraId="0590805B" w14:textId="77777777" w:rsidR="00244C7E" w:rsidRDefault="00000000">
      <w:pPr>
        <w:ind w:left="353" w:right="475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ratyfikowanych umów międzynarodowych, 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przepisów prawa Unii Europejskiej, 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przepisów odrębnych.  </w:t>
      </w:r>
    </w:p>
    <w:p w14:paraId="1398D51D" w14:textId="77777777" w:rsidR="00244C7E" w:rsidRDefault="00000000">
      <w:pPr>
        <w:numPr>
          <w:ilvl w:val="0"/>
          <w:numId w:val="6"/>
        </w:numPr>
        <w:ind w:right="0" w:hanging="240"/>
      </w:pPr>
      <w:r>
        <w:t>Dodatkowe czynniki wpływające</w:t>
      </w:r>
      <w:r>
        <w:rPr>
          <w:b/>
        </w:rPr>
        <w:t xml:space="preserve"> </w:t>
      </w:r>
      <w:r>
        <w:t>na priorytet kontroli:</w:t>
      </w:r>
      <w:r>
        <w:rPr>
          <w:b/>
        </w:rPr>
        <w:t xml:space="preserve">  </w:t>
      </w:r>
    </w:p>
    <w:p w14:paraId="693479E5" w14:textId="77777777" w:rsidR="00244C7E" w:rsidRDefault="00000000">
      <w:pPr>
        <w:ind w:left="353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wielkość narażonej populacji,  </w:t>
      </w:r>
    </w:p>
    <w:p w14:paraId="1D354785" w14:textId="77777777" w:rsidR="00244C7E" w:rsidRDefault="00000000">
      <w:pPr>
        <w:spacing w:after="10"/>
        <w:ind w:left="370" w:right="0" w:hanging="10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warunki zdrowotne populacji,  </w:t>
      </w:r>
    </w:p>
    <w:p w14:paraId="2005806D" w14:textId="77777777" w:rsidR="00244C7E" w:rsidRDefault="00000000">
      <w:pPr>
        <w:ind w:left="353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inwazyjność zabiegów i usług,  </w:t>
      </w:r>
    </w:p>
    <w:p w14:paraId="0E1C978A" w14:textId="77777777" w:rsidR="00244C7E" w:rsidRDefault="00000000">
      <w:pPr>
        <w:ind w:left="353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ryzyka wynikające ze specyfiki obiektu.  </w:t>
      </w:r>
    </w:p>
    <w:p w14:paraId="68185951" w14:textId="20EF5320" w:rsidR="00244C7E" w:rsidRDefault="00000000" w:rsidP="00D57F9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4515C62B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603304" w14:textId="77777777" w:rsidR="00244C7E" w:rsidRDefault="00000000">
      <w:pPr>
        <w:pStyle w:val="Nagwek1"/>
        <w:ind w:left="10"/>
      </w:pPr>
      <w:r>
        <w:t xml:space="preserve">8. Zwiększenie częstotliwości kontroli  </w:t>
      </w:r>
    </w:p>
    <w:p w14:paraId="589200A9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0D9E52" w14:textId="5229CA5D" w:rsidR="007D77AF" w:rsidRDefault="00000000" w:rsidP="007D77AF">
      <w:pPr>
        <w:ind w:left="8" w:right="0"/>
      </w:pPr>
      <w:r>
        <w:t xml:space="preserve">PPIS w </w:t>
      </w:r>
      <w:r w:rsidR="00C66607">
        <w:t xml:space="preserve">Aleksandrowie Kujawskim </w:t>
      </w:r>
      <w:r>
        <w:t xml:space="preserve"> </w:t>
      </w:r>
      <w:r w:rsidR="007D77AF">
        <w:t xml:space="preserve">może zwiększyć częstotliwość kontroli poza standardowym schematem, gdy istnieją uzasadnione przesłanki do dodatkowej weryfikacji. Takie sytuacje obejmują: </w:t>
      </w:r>
    </w:p>
    <w:p w14:paraId="187F5AB0" w14:textId="77777777" w:rsidR="007D77AF" w:rsidRDefault="007D77AF" w:rsidP="007D77AF">
      <w:pPr>
        <w:numPr>
          <w:ilvl w:val="0"/>
          <w:numId w:val="15"/>
        </w:numPr>
        <w:spacing w:after="135" w:line="259" w:lineRule="auto"/>
        <w:ind w:right="45" w:hanging="266"/>
      </w:pPr>
      <w:r>
        <w:t xml:space="preserve">Zagrożenia dla życia, zdrowia ludzi lub środowiska: </w:t>
      </w:r>
    </w:p>
    <w:p w14:paraId="68C6D82E" w14:textId="77777777" w:rsidR="007D77AF" w:rsidRDefault="007D77AF" w:rsidP="007D77AF">
      <w:pPr>
        <w:numPr>
          <w:ilvl w:val="1"/>
          <w:numId w:val="15"/>
        </w:numPr>
        <w:spacing w:after="34" w:line="250" w:lineRule="auto"/>
        <w:ind w:left="721" w:right="52" w:hanging="398"/>
      </w:pPr>
      <w:r>
        <w:t xml:space="preserve">wystąpienie lub podejrzenie zagrożenia, </w:t>
      </w:r>
    </w:p>
    <w:p w14:paraId="2F6054C9" w14:textId="77777777" w:rsidR="007D77AF" w:rsidRDefault="007D77AF" w:rsidP="007D77AF">
      <w:pPr>
        <w:numPr>
          <w:ilvl w:val="1"/>
          <w:numId w:val="15"/>
        </w:numPr>
        <w:spacing w:after="108" w:line="250" w:lineRule="auto"/>
        <w:ind w:left="721" w:right="52" w:hanging="398"/>
      </w:pPr>
      <w:r>
        <w:t xml:space="preserve">zgłoszenie podmiotu rozpoczynającego działalność. </w:t>
      </w:r>
    </w:p>
    <w:p w14:paraId="1DA16CC0" w14:textId="77777777" w:rsidR="007D77AF" w:rsidRDefault="007D77AF" w:rsidP="007D77AF">
      <w:pPr>
        <w:numPr>
          <w:ilvl w:val="0"/>
          <w:numId w:val="15"/>
        </w:numPr>
        <w:spacing w:after="114" w:line="259" w:lineRule="auto"/>
        <w:ind w:right="45" w:hanging="266"/>
      </w:pPr>
      <w:r>
        <w:t xml:space="preserve">Naruszenia prawa i obowiązków przedsiębiorcy: </w:t>
      </w:r>
    </w:p>
    <w:p w14:paraId="54D5D166" w14:textId="77777777" w:rsidR="007D77AF" w:rsidRDefault="007D77AF" w:rsidP="007D77AF">
      <w:pPr>
        <w:numPr>
          <w:ilvl w:val="1"/>
          <w:numId w:val="15"/>
        </w:numPr>
        <w:spacing w:after="34" w:line="250" w:lineRule="auto"/>
        <w:ind w:left="721" w:right="52" w:hanging="398"/>
      </w:pPr>
      <w:r>
        <w:t xml:space="preserve">stwierdzenie istotnych naruszeń przepisów prawa, </w:t>
      </w:r>
    </w:p>
    <w:p w14:paraId="29CF131E" w14:textId="77777777" w:rsidR="007D77AF" w:rsidRDefault="007D77AF" w:rsidP="007D77AF">
      <w:pPr>
        <w:numPr>
          <w:ilvl w:val="1"/>
          <w:numId w:val="15"/>
        </w:numPr>
        <w:spacing w:after="34" w:line="250" w:lineRule="auto"/>
        <w:ind w:left="721" w:right="52" w:hanging="398"/>
      </w:pPr>
      <w:r>
        <w:t xml:space="preserve">uzasadnione podejrzenie popełnienia przestępstwa lub wykroczenia, </w:t>
      </w:r>
    </w:p>
    <w:p w14:paraId="081D304E" w14:textId="77777777" w:rsidR="007D77AF" w:rsidRDefault="007D77AF" w:rsidP="007D77AF">
      <w:pPr>
        <w:numPr>
          <w:ilvl w:val="1"/>
          <w:numId w:val="15"/>
        </w:numPr>
        <w:spacing w:after="105" w:line="250" w:lineRule="auto"/>
        <w:ind w:left="721" w:right="52" w:hanging="398"/>
      </w:pPr>
      <w:r>
        <w:t xml:space="preserve">konieczność sprawdzenia wykonania zaleceń pokontrolnych lub decyzji nakazujących usunięcie naruszeń prawa. </w:t>
      </w:r>
    </w:p>
    <w:p w14:paraId="62D2E1F9" w14:textId="77777777" w:rsidR="007D77AF" w:rsidRDefault="007D77AF" w:rsidP="007D77AF">
      <w:pPr>
        <w:numPr>
          <w:ilvl w:val="0"/>
          <w:numId w:val="15"/>
        </w:numPr>
        <w:spacing w:after="135" w:line="259" w:lineRule="auto"/>
        <w:ind w:right="45" w:hanging="266"/>
      </w:pPr>
      <w:r>
        <w:t xml:space="preserve">Wnioski z kontroli zewnętrznych i poleceń organów: </w:t>
      </w:r>
    </w:p>
    <w:p w14:paraId="4F33EBCB" w14:textId="77777777" w:rsidR="007D77AF" w:rsidRDefault="007D77AF" w:rsidP="007D77AF">
      <w:pPr>
        <w:numPr>
          <w:ilvl w:val="1"/>
          <w:numId w:val="15"/>
        </w:numPr>
        <w:spacing w:after="34" w:line="250" w:lineRule="auto"/>
        <w:ind w:left="721" w:right="52" w:hanging="398"/>
      </w:pPr>
      <w:r>
        <w:t xml:space="preserve">wyniki kontroli organów zewnętrznych wskazują na potrzebę dodatkowej interwencji, </w:t>
      </w:r>
    </w:p>
    <w:p w14:paraId="15E99886" w14:textId="77777777" w:rsidR="007D77AF" w:rsidRDefault="007D77AF" w:rsidP="007D77AF">
      <w:pPr>
        <w:numPr>
          <w:ilvl w:val="1"/>
          <w:numId w:val="15"/>
        </w:numPr>
        <w:spacing w:after="102" w:line="250" w:lineRule="auto"/>
        <w:ind w:left="721" w:right="52" w:hanging="398"/>
      </w:pPr>
      <w:r>
        <w:t xml:space="preserve">przepisy szczególne lub polecenia właściwych organów wymagają zwiększenia częstotliwości kontroli. </w:t>
      </w:r>
    </w:p>
    <w:p w14:paraId="1486B655" w14:textId="3D8D14FC" w:rsidR="007D77AF" w:rsidRDefault="007D77AF" w:rsidP="007D77AF">
      <w:pPr>
        <w:spacing w:after="0" w:line="259" w:lineRule="auto"/>
        <w:ind w:left="0" w:right="0" w:firstLine="0"/>
        <w:jc w:val="left"/>
      </w:pPr>
      <w:r>
        <w:t>Uwaga: Kontrole zwiększane mogą być zarówno planowe, jak i nieplanowe, w zależności od rodzaju ryzyka i charakteru zagrożenia</w:t>
      </w:r>
    </w:p>
    <w:p w14:paraId="6D18C71E" w14:textId="77777777" w:rsidR="007D77AF" w:rsidRDefault="007D77AF" w:rsidP="007D77AF">
      <w:pPr>
        <w:spacing w:after="0" w:line="259" w:lineRule="auto"/>
        <w:ind w:left="0" w:right="0" w:firstLine="0"/>
        <w:jc w:val="left"/>
      </w:pPr>
    </w:p>
    <w:p w14:paraId="71B70674" w14:textId="77777777" w:rsidR="007D77AF" w:rsidRDefault="007D77AF" w:rsidP="007D77AF">
      <w:pPr>
        <w:spacing w:after="0" w:line="259" w:lineRule="auto"/>
        <w:ind w:left="0" w:right="0" w:firstLine="0"/>
        <w:jc w:val="left"/>
      </w:pPr>
    </w:p>
    <w:p w14:paraId="1D9E4049" w14:textId="77777777" w:rsidR="00244C7E" w:rsidRDefault="00000000">
      <w:pPr>
        <w:pStyle w:val="Nagwek1"/>
        <w:ind w:left="10"/>
      </w:pPr>
      <w:r>
        <w:t xml:space="preserve">9. Zawiadamianie przedsiębiorcy   </w:t>
      </w:r>
    </w:p>
    <w:p w14:paraId="5B14EFC2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3ECB01" w14:textId="77777777" w:rsidR="00244C7E" w:rsidRDefault="00000000">
      <w:pPr>
        <w:ind w:left="8" w:right="108"/>
      </w:pPr>
      <w:r>
        <w:t xml:space="preserve">Przedsiębiorca zostaje zawiadomiony o zamiarze wszczęcia kontroli zgodnie z art. 48 ust. 2  Prawa przedsiębiorców:  </w:t>
      </w:r>
    </w:p>
    <w:p w14:paraId="7CFEC3EB" w14:textId="77777777" w:rsidR="00244C7E" w:rsidRDefault="00000000">
      <w:pPr>
        <w:ind w:left="705" w:right="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zawiadomienie wysyła się nie wcześniej niż 30 dni i nie później niż 7 dni przed planowaną kontrolą, </w:t>
      </w:r>
    </w:p>
    <w:p w14:paraId="54AF176A" w14:textId="77777777" w:rsidR="00244C7E" w:rsidRDefault="00000000">
      <w:pPr>
        <w:ind w:left="705" w:right="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 przypadkach określonych przepisami, np. gdy istnieje bezpośrednie zagrożenie zdrowia lub życia, kontrola może być przeprowadzona bez uprzedzenia.  </w:t>
      </w:r>
    </w:p>
    <w:p w14:paraId="5C221FE3" w14:textId="77777777" w:rsidR="00244C7E" w:rsidRDefault="00000000">
      <w:pPr>
        <w:spacing w:after="3" w:line="259" w:lineRule="auto"/>
        <w:ind w:left="10" w:right="0" w:hanging="10"/>
        <w:jc w:val="left"/>
      </w:pPr>
      <w:r>
        <w:rPr>
          <w:b/>
        </w:rPr>
        <w:t xml:space="preserve">Uwaga:  </w:t>
      </w:r>
    </w:p>
    <w:p w14:paraId="242E3443" w14:textId="77777777" w:rsidR="00244C7E" w:rsidRDefault="00000000">
      <w:pPr>
        <w:spacing w:after="10"/>
        <w:ind w:left="-5" w:right="0" w:hanging="10"/>
        <w:jc w:val="left"/>
      </w:pPr>
      <w:r>
        <w:t xml:space="preserve">Zawiadomienie zawiera informacje o zakresie kontroli i podstawie prawnej jej przeprowadzenia, tak aby przedsiębiorca mógł się odpowiednio przygotować.  </w:t>
      </w:r>
    </w:p>
    <w:p w14:paraId="1B97BE4A" w14:textId="77777777" w:rsidR="00244C7E" w:rsidRDefault="00000000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34DFF056" w14:textId="77777777" w:rsidR="00C66607" w:rsidRDefault="00C66607">
      <w:pPr>
        <w:spacing w:after="0" w:line="259" w:lineRule="auto"/>
        <w:ind w:left="0" w:right="0" w:firstLine="0"/>
        <w:jc w:val="left"/>
        <w:rPr>
          <w:b/>
        </w:rPr>
      </w:pPr>
    </w:p>
    <w:p w14:paraId="2AF72D45" w14:textId="77777777" w:rsidR="00C66607" w:rsidRDefault="00C66607">
      <w:pPr>
        <w:spacing w:after="0" w:line="259" w:lineRule="auto"/>
        <w:ind w:left="0" w:right="0" w:firstLine="0"/>
        <w:jc w:val="left"/>
        <w:rPr>
          <w:b/>
        </w:rPr>
      </w:pPr>
    </w:p>
    <w:p w14:paraId="2F521798" w14:textId="77777777" w:rsidR="00C66607" w:rsidRDefault="00C66607">
      <w:pPr>
        <w:spacing w:after="0" w:line="259" w:lineRule="auto"/>
        <w:ind w:left="0" w:right="0" w:firstLine="0"/>
        <w:jc w:val="left"/>
      </w:pPr>
    </w:p>
    <w:p w14:paraId="276BEF75" w14:textId="77777777" w:rsidR="00244C7E" w:rsidRDefault="00000000">
      <w:pPr>
        <w:pStyle w:val="Nagwek1"/>
        <w:spacing w:after="3"/>
        <w:ind w:left="10"/>
      </w:pPr>
      <w:r>
        <w:lastRenderedPageBreak/>
        <w:t xml:space="preserve">10. Kontrole nieplanowane  </w:t>
      </w:r>
    </w:p>
    <w:p w14:paraId="72CE156C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18B9BB" w14:textId="77777777" w:rsidR="00244C7E" w:rsidRDefault="00000000">
      <w:pPr>
        <w:ind w:left="8" w:right="0"/>
      </w:pPr>
      <w:r>
        <w:t xml:space="preserve">Kontrole nieplanowane przeprowadzane są niezależnie od kategorii ryzyka w szczególności w  przypadkach:  </w:t>
      </w:r>
    </w:p>
    <w:p w14:paraId="39F60961" w14:textId="77777777" w:rsidR="007D77AF" w:rsidRDefault="007D77AF" w:rsidP="007D77AF">
      <w:pPr>
        <w:numPr>
          <w:ilvl w:val="1"/>
          <w:numId w:val="16"/>
        </w:numPr>
        <w:spacing w:after="11" w:line="250" w:lineRule="auto"/>
        <w:ind w:left="661" w:right="52" w:hanging="338"/>
      </w:pPr>
      <w:r>
        <w:t xml:space="preserve">skarg lub zgłoszeń od obywateli, </w:t>
      </w:r>
    </w:p>
    <w:p w14:paraId="2ED298F1" w14:textId="77777777" w:rsidR="007D77AF" w:rsidRDefault="007D77AF" w:rsidP="007D77AF">
      <w:pPr>
        <w:numPr>
          <w:ilvl w:val="1"/>
          <w:numId w:val="16"/>
        </w:numPr>
        <w:spacing w:after="11" w:line="250" w:lineRule="auto"/>
        <w:ind w:left="661" w:right="52" w:hanging="338"/>
      </w:pPr>
      <w:r>
        <w:t xml:space="preserve">postępowań prowadzonych przez PPIS w związku z interwencjami, </w:t>
      </w:r>
    </w:p>
    <w:p w14:paraId="6042330F" w14:textId="77777777" w:rsidR="007D77AF" w:rsidRDefault="007D77AF" w:rsidP="007D77AF">
      <w:pPr>
        <w:numPr>
          <w:ilvl w:val="1"/>
          <w:numId w:val="16"/>
        </w:numPr>
        <w:spacing w:after="9" w:line="250" w:lineRule="auto"/>
        <w:ind w:left="661" w:right="52" w:hanging="338"/>
      </w:pPr>
      <w:r>
        <w:t xml:space="preserve">wystąpienia lub podejrzenia zagrożeń zdrowotnych, </w:t>
      </w:r>
    </w:p>
    <w:p w14:paraId="66ADBAA9" w14:textId="77777777" w:rsidR="007D77AF" w:rsidRDefault="007D77AF" w:rsidP="007D77AF">
      <w:pPr>
        <w:numPr>
          <w:ilvl w:val="1"/>
          <w:numId w:val="16"/>
        </w:numPr>
        <w:spacing w:after="11" w:line="250" w:lineRule="auto"/>
        <w:ind w:left="661" w:right="52" w:hanging="338"/>
      </w:pPr>
      <w:r>
        <w:t xml:space="preserve">weryfikacji wykonania zaleceń pokontrolnych, </w:t>
      </w:r>
    </w:p>
    <w:p w14:paraId="31DEDB08" w14:textId="77777777" w:rsidR="007D77AF" w:rsidRDefault="007D77AF" w:rsidP="007D77AF">
      <w:pPr>
        <w:numPr>
          <w:ilvl w:val="1"/>
          <w:numId w:val="16"/>
        </w:numPr>
        <w:spacing w:after="14" w:line="250" w:lineRule="auto"/>
        <w:ind w:left="661" w:right="52" w:hanging="338"/>
      </w:pPr>
      <w:r>
        <w:t xml:space="preserve">poleceń właściwych organów administracji, </w:t>
      </w:r>
    </w:p>
    <w:p w14:paraId="4D85A27D" w14:textId="77777777" w:rsidR="007D77AF" w:rsidRDefault="007D77AF" w:rsidP="007D77AF">
      <w:pPr>
        <w:numPr>
          <w:ilvl w:val="1"/>
          <w:numId w:val="16"/>
        </w:numPr>
        <w:spacing w:after="9" w:line="250" w:lineRule="auto"/>
        <w:ind w:left="661" w:right="52" w:hanging="338"/>
      </w:pPr>
      <w:r>
        <w:t xml:space="preserve">postępowań administracyjnych i egzekucyjnych (kontrole sprawdzające), </w:t>
      </w:r>
    </w:p>
    <w:p w14:paraId="1AB7746C" w14:textId="77777777" w:rsidR="007D77AF" w:rsidRDefault="007D77AF" w:rsidP="007D77AF">
      <w:pPr>
        <w:numPr>
          <w:ilvl w:val="1"/>
          <w:numId w:val="16"/>
        </w:numPr>
        <w:spacing w:after="14" w:line="250" w:lineRule="auto"/>
        <w:ind w:left="661" w:right="52" w:hanging="338"/>
      </w:pPr>
      <w:r>
        <w:t xml:space="preserve">zgłoszenia wypoczynku dzieci i młodzieży w bazie wypoczynku prowadzonej przez         ministra właściwego ds. oświaty i wychowania, </w:t>
      </w:r>
    </w:p>
    <w:p w14:paraId="0AFA1300" w14:textId="77777777" w:rsidR="007D77AF" w:rsidRDefault="007D77AF" w:rsidP="007D77AF">
      <w:pPr>
        <w:numPr>
          <w:ilvl w:val="1"/>
          <w:numId w:val="16"/>
        </w:numPr>
        <w:spacing w:after="14" w:line="250" w:lineRule="auto"/>
        <w:ind w:left="661" w:right="52" w:hanging="338"/>
      </w:pPr>
      <w:r>
        <w:t>otrzymania z europejskich systemów RAPEX/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Gate</w:t>
      </w:r>
      <w:proofErr w:type="spellEnd"/>
      <w:r>
        <w:t xml:space="preserve">, ICSMS, </w:t>
      </w:r>
      <w:proofErr w:type="spellStart"/>
      <w:r>
        <w:t>PENOnline</w:t>
      </w:r>
      <w:proofErr w:type="spellEnd"/>
      <w:r>
        <w:t xml:space="preserve">, INTERACT PORTAL notyfikacji produktów, które są wprowadzane/udostępniane na rynku przez podmioty działające na terenie danego powiatu,  </w:t>
      </w:r>
    </w:p>
    <w:p w14:paraId="36B7B095" w14:textId="77777777" w:rsidR="007D77AF" w:rsidRDefault="007D77AF" w:rsidP="007D77AF">
      <w:pPr>
        <w:numPr>
          <w:ilvl w:val="1"/>
          <w:numId w:val="16"/>
        </w:numPr>
        <w:spacing w:after="34" w:line="250" w:lineRule="auto"/>
        <w:ind w:left="661" w:right="52" w:hanging="338"/>
      </w:pPr>
      <w:r>
        <w:t xml:space="preserve">podejrzenia wytwarzania i wprowadzania do obrotu środków zastępczych lub nowych substancji psychoaktywnych, </w:t>
      </w:r>
    </w:p>
    <w:p w14:paraId="3FFE05D7" w14:textId="77777777" w:rsidR="007D77AF" w:rsidRDefault="007D77AF" w:rsidP="007D77AF">
      <w:pPr>
        <w:numPr>
          <w:ilvl w:val="1"/>
          <w:numId w:val="16"/>
        </w:numPr>
        <w:spacing w:after="16"/>
        <w:ind w:left="661" w:right="52" w:hanging="338"/>
      </w:pPr>
      <w:r>
        <w:t xml:space="preserve">prowadzenia przez przedsiębiorców działalności w zakresie wytwarzania, przetwarzania, przerabiania, przywozu, wywozu, wewnątrzwspólnotowej dostawy lub wewnątrzwspólnotowego nabycia oraz wprowadzania do obrotu nowej substancji psychoaktywnej, w tym w postaci mieszaniny lub w wyrobie, </w:t>
      </w:r>
    </w:p>
    <w:p w14:paraId="0F32EE69" w14:textId="77777777" w:rsidR="007D77AF" w:rsidRDefault="007D77AF" w:rsidP="007D77AF">
      <w:pPr>
        <w:numPr>
          <w:ilvl w:val="1"/>
          <w:numId w:val="16"/>
        </w:numPr>
        <w:spacing w:after="11" w:line="250" w:lineRule="auto"/>
        <w:ind w:left="661" w:right="52" w:hanging="338"/>
      </w:pPr>
      <w:r>
        <w:t xml:space="preserve">zgłoszeń zamiaru przystąpienia do prac polegających na zabezpieczeniu, usunięciu lub transporcie wyrobów zawierających azbest, </w:t>
      </w:r>
    </w:p>
    <w:p w14:paraId="62DAFCC2" w14:textId="2FF0FBCD" w:rsidR="00244C7E" w:rsidRDefault="007D77AF" w:rsidP="007D77AF">
      <w:pPr>
        <w:ind w:left="728" w:right="0"/>
      </w:pPr>
      <w:r>
        <w:t xml:space="preserve">zarządcę wodociągu; wykonywane są wtedy  kontrolne badania wody, mające na celu   sprawdzenie czy woda spełnia wymagania, o których mowa w rozporządzeniu Ministra Zdrowia z dnia 7 grudnia 2017 roku w sprawie jakości wody przeznaczonej do spożycia przez ludzi. Kontrole te wykonywane są niezwłocznie, niezależnie od kategorii ryzyka.  </w:t>
      </w:r>
    </w:p>
    <w:p w14:paraId="1AB22B33" w14:textId="77777777" w:rsidR="007D77AF" w:rsidRDefault="007D77AF" w:rsidP="007D77AF">
      <w:pPr>
        <w:ind w:left="728" w:right="0"/>
      </w:pPr>
    </w:p>
    <w:p w14:paraId="0C4EA597" w14:textId="1854BBAF" w:rsidR="007D77AF" w:rsidRDefault="007D77AF" w:rsidP="001A76F2">
      <w:pPr>
        <w:spacing w:after="212"/>
        <w:ind w:right="52"/>
      </w:pPr>
      <w:r>
        <w:t xml:space="preserve">Kontrole te wykonywane są niezwłocznie, niezależnie od kategorii ryzyka. </w:t>
      </w:r>
    </w:p>
    <w:p w14:paraId="061F8A9A" w14:textId="77777777" w:rsidR="00244C7E" w:rsidRDefault="00000000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0314ED8C" w14:textId="77777777" w:rsidR="00244C7E" w:rsidRDefault="00000000">
      <w:pPr>
        <w:pStyle w:val="Nagwek1"/>
        <w:spacing w:after="3"/>
        <w:ind w:left="10"/>
      </w:pPr>
      <w:r>
        <w:t xml:space="preserve">11. Publikacja i aktualizacja  </w:t>
      </w:r>
    </w:p>
    <w:p w14:paraId="54E9BECB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D91F937" w14:textId="77777777" w:rsidR="00D57F92" w:rsidRDefault="00D57F92">
      <w:pPr>
        <w:ind w:left="728" w:right="0"/>
      </w:pPr>
    </w:p>
    <w:p w14:paraId="655B7CDD" w14:textId="735A6AC0" w:rsidR="00244C7E" w:rsidRDefault="007D77AF" w:rsidP="001B1131">
      <w:pPr>
        <w:spacing w:after="231"/>
        <w:ind w:right="52"/>
      </w:pPr>
      <w:r>
        <w:t xml:space="preserve">Procedura jest publikowana w Biuletynie Informacji Publicznej i podlega przeglądowi oraz aktualizacji na podstawie wyników kontroli, zmian w przepisach prawa oraz na podstawie analiz ryzyka. W przypadku zmian, aktualizacja analizy jest publikowana w terminie 3 miesięcy od dnia przyjęcia kolejnej okresowej analizy zastępującej dotychczasową analizę zgodnie z art. 47 ust. 1a Prawa przedsiębiorców. </w:t>
      </w:r>
    </w:p>
    <w:p w14:paraId="01D21177" w14:textId="77777777" w:rsidR="00244C7E" w:rsidRDefault="00000000">
      <w:pPr>
        <w:pStyle w:val="Nagwek1"/>
        <w:spacing w:after="3"/>
        <w:ind w:left="10"/>
      </w:pPr>
      <w:r>
        <w:lastRenderedPageBreak/>
        <w:t>12. Kontakt</w:t>
      </w:r>
      <w:r>
        <w:rPr>
          <w:b w:val="0"/>
        </w:rPr>
        <w:t xml:space="preserve">  </w:t>
      </w:r>
    </w:p>
    <w:p w14:paraId="72F4BA46" w14:textId="77777777" w:rsidR="00244C7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9B0A8A" w14:textId="259A2EEE" w:rsidR="00244C7E" w:rsidRDefault="00000000">
      <w:pPr>
        <w:ind w:left="716" w:right="0"/>
      </w:pPr>
      <w:r>
        <w:t xml:space="preserve">Wszelkie pytania dotyczące niniejszej procedury należy kierować na adres Powiatowej   Stacji Sanitarno-Epidemiologicznej w </w:t>
      </w:r>
      <w:r w:rsidR="00C66607">
        <w:t>Aleksandrowie Kujawskim.</w:t>
      </w:r>
      <w:r>
        <w:t xml:space="preserve">  </w:t>
      </w:r>
    </w:p>
    <w:p w14:paraId="23F02B53" w14:textId="59529FA2" w:rsidR="00244C7E" w:rsidRDefault="00000000">
      <w:pPr>
        <w:spacing w:after="10"/>
        <w:ind w:left="718" w:right="0" w:hanging="10"/>
        <w:jc w:val="left"/>
      </w:pPr>
      <w:r>
        <w:t>Adres elektroniczny:  sekretariat.psse.</w:t>
      </w:r>
      <w:r w:rsidR="00C66607">
        <w:t>aleksandrowkujawski</w:t>
      </w:r>
      <w:r>
        <w:t xml:space="preserve">@sanepid.gov.pl. </w:t>
      </w:r>
    </w:p>
    <w:p w14:paraId="249D8063" w14:textId="6DB90EDA" w:rsidR="00BC50BE" w:rsidRPr="00BC50BE" w:rsidRDefault="00BC50BE">
      <w:pPr>
        <w:spacing w:after="10"/>
        <w:ind w:left="718" w:right="0" w:hanging="10"/>
        <w:jc w:val="left"/>
      </w:pPr>
      <w:r w:rsidRPr="00BC50BE">
        <w:t>adres do e-doręczeń:    AE:PL-23088-67014-IJAWS-26</w:t>
      </w:r>
    </w:p>
    <w:p w14:paraId="4FBAC4CD" w14:textId="77777777" w:rsidR="00244C7E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B1CC869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319E73" w14:textId="06FEFD2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986A63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360BD1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E701F14" w14:textId="77777777" w:rsidR="00244C7E" w:rsidRDefault="00000000">
      <w:pPr>
        <w:pStyle w:val="Nagwek1"/>
        <w:ind w:left="355"/>
      </w:pPr>
      <w:r>
        <w:t>III.</w:t>
      </w:r>
      <w:r>
        <w:rPr>
          <w:rFonts w:ascii="Arial" w:eastAsia="Arial" w:hAnsi="Arial" w:cs="Arial"/>
        </w:rPr>
        <w:t xml:space="preserve"> </w:t>
      </w:r>
      <w:r>
        <w:t xml:space="preserve">ODPOWIEDZIALNOŚĆ </w:t>
      </w:r>
    </w:p>
    <w:p w14:paraId="6E65070C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958" w:type="dxa"/>
        <w:tblInd w:w="1738" w:type="dxa"/>
        <w:tblCellMar>
          <w:top w:w="167" w:type="dxa"/>
          <w:left w:w="161" w:type="dxa"/>
          <w:bottom w:w="8" w:type="dxa"/>
          <w:right w:w="7" w:type="dxa"/>
        </w:tblCellMar>
        <w:tblLook w:val="04A0" w:firstRow="1" w:lastRow="0" w:firstColumn="1" w:lastColumn="0" w:noHBand="0" w:noVBand="1"/>
      </w:tblPr>
      <w:tblGrid>
        <w:gridCol w:w="620"/>
        <w:gridCol w:w="4685"/>
        <w:gridCol w:w="2653"/>
      </w:tblGrid>
      <w:tr w:rsidR="00244C7E" w14:paraId="2FC920F2" w14:textId="77777777">
        <w:trPr>
          <w:trHeight w:val="384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CC4DD2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Lp.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D251E0" w14:textId="77777777" w:rsidR="00244C7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Zakres odpowiedzialności 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9BB705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Odpowiedzialny  </w:t>
            </w:r>
          </w:p>
        </w:tc>
      </w:tr>
      <w:tr w:rsidR="00244C7E" w14:paraId="72D7BC5E" w14:textId="77777777">
        <w:trPr>
          <w:trHeight w:val="650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AD7E" w14:textId="77777777" w:rsidR="00244C7E" w:rsidRDefault="00000000">
            <w:pPr>
              <w:spacing w:after="0" w:line="259" w:lineRule="auto"/>
              <w:ind w:left="0" w:right="279" w:firstLine="0"/>
              <w:jc w:val="center"/>
            </w:pPr>
            <w:r>
              <w:rPr>
                <w:sz w:val="23"/>
              </w:rPr>
              <w:t xml:space="preserve">1. 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69A2DA" w14:textId="77777777" w:rsidR="00244C7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Opracowanie, rozpowszechnienie, dokonywanie zmian dokumentów. 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994422" w14:textId="77777777" w:rsidR="00244C7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>Specjalista ds. Systemu Jakości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44C7E" w14:paraId="3030C915" w14:textId="77777777">
        <w:trPr>
          <w:trHeight w:val="913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5131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2.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A622" w14:textId="77777777" w:rsidR="00244C7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Zapoznanie pracowników z treścią dokumentów oraz ich wdrożenie do stosowania.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DF3E52" w14:textId="77777777" w:rsidR="00244C7E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3"/>
              </w:rPr>
              <w:t xml:space="preserve">Kierownik Nadzoru </w:t>
            </w:r>
          </w:p>
          <w:p w14:paraId="23668CB5" w14:textId="77777777" w:rsidR="00244C7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Sanitarnego i Profilaktyki Zdrowotnej </w:t>
            </w:r>
          </w:p>
        </w:tc>
      </w:tr>
      <w:tr w:rsidR="00244C7E" w14:paraId="0A36592C" w14:textId="77777777">
        <w:trPr>
          <w:trHeight w:val="914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EF7D" w14:textId="77777777" w:rsidR="00244C7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3.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657B" w14:textId="77777777" w:rsidR="00244C7E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Stosowanie aktualnych wydań dokumentów. 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7FD5B4" w14:textId="77777777" w:rsidR="00244C7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Odpowiedzialny jest każdy, kogo dany dokument dotyczy. </w:t>
            </w:r>
          </w:p>
        </w:tc>
      </w:tr>
    </w:tbl>
    <w:p w14:paraId="6207AD59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B920A4B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A1CCB8" w14:textId="77777777" w:rsidR="00244C7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3770C8" w14:textId="77777777" w:rsidR="00244C7E" w:rsidRDefault="00000000">
      <w:pPr>
        <w:pStyle w:val="Nagwek1"/>
        <w:ind w:left="355"/>
      </w:pPr>
      <w:r>
        <w:t>IV.</w:t>
      </w:r>
      <w:r>
        <w:rPr>
          <w:rFonts w:ascii="Arial" w:eastAsia="Arial" w:hAnsi="Arial" w:cs="Arial"/>
        </w:rPr>
        <w:t xml:space="preserve"> </w:t>
      </w:r>
      <w:r>
        <w:t xml:space="preserve">DOKUMENTY ZWIĄZANE I FORMULARZE  </w:t>
      </w:r>
    </w:p>
    <w:p w14:paraId="6C40D9FF" w14:textId="6D8949CC" w:rsidR="00683C7A" w:rsidRDefault="00000000" w:rsidP="007D77AF">
      <w:pPr>
        <w:numPr>
          <w:ilvl w:val="0"/>
          <w:numId w:val="8"/>
        </w:numPr>
        <w:spacing w:after="10"/>
        <w:ind w:right="0" w:hanging="348"/>
        <w:jc w:val="left"/>
      </w:pPr>
      <w:r>
        <w:t>Załącznik nr 1 do P(KR)</w:t>
      </w:r>
      <w:r w:rsidR="001A76F2">
        <w:t>-</w:t>
      </w:r>
      <w:r>
        <w:t xml:space="preserve">01  </w:t>
      </w:r>
      <w:r w:rsidR="007D77AF">
        <w:t xml:space="preserve">obszaru </w:t>
      </w:r>
      <w:r w:rsidR="00683C7A">
        <w:t>epidemiologii</w:t>
      </w:r>
    </w:p>
    <w:p w14:paraId="632B1E27" w14:textId="4176AA32" w:rsidR="00244C7E" w:rsidRDefault="00000000" w:rsidP="007D77AF">
      <w:pPr>
        <w:numPr>
          <w:ilvl w:val="0"/>
          <w:numId w:val="8"/>
        </w:numPr>
        <w:spacing w:after="10"/>
        <w:ind w:right="0" w:hanging="348"/>
        <w:jc w:val="left"/>
      </w:pPr>
      <w:r>
        <w:t>Załącznik nr 2 do P(KR)</w:t>
      </w:r>
      <w:r w:rsidR="001A76F2">
        <w:t>-</w:t>
      </w:r>
      <w:r>
        <w:t xml:space="preserve">01  obszar higieny dzieci i młodzieży.  </w:t>
      </w:r>
    </w:p>
    <w:p w14:paraId="0830AE57" w14:textId="4DE68D45" w:rsidR="00244C7E" w:rsidRDefault="00000000">
      <w:pPr>
        <w:numPr>
          <w:ilvl w:val="0"/>
          <w:numId w:val="8"/>
        </w:numPr>
        <w:spacing w:after="10"/>
        <w:ind w:right="0" w:hanging="348"/>
        <w:jc w:val="left"/>
      </w:pPr>
      <w:r>
        <w:t>Załącznik nr 3 do P(KR)</w:t>
      </w:r>
      <w:r w:rsidR="001A76F2">
        <w:t>-</w:t>
      </w:r>
      <w:r>
        <w:t xml:space="preserve">01 obszar higieny pracy, produktów biobójczych, produktów  kosmetycznych, substancji chemicznych i ich mieszanin. </w:t>
      </w:r>
    </w:p>
    <w:p w14:paraId="605DA140" w14:textId="74F9BC03" w:rsidR="00683C7A" w:rsidRDefault="00683C7A" w:rsidP="00683C7A">
      <w:pPr>
        <w:spacing w:after="113" w:line="240" w:lineRule="auto"/>
        <w:ind w:left="709" w:right="51" w:hanging="283"/>
      </w:pPr>
      <w:r>
        <w:t>4.Załącznik nr 4 do P(KR)</w:t>
      </w:r>
      <w:r w:rsidR="001A76F2">
        <w:t>-</w:t>
      </w:r>
      <w:r>
        <w:t xml:space="preserve">01 obszar higieny komunalnej , w tym bezpieczeństwa  zdrowotnego wody. </w:t>
      </w:r>
    </w:p>
    <w:p w14:paraId="32CF4311" w14:textId="3854C807" w:rsidR="00244C7E" w:rsidRDefault="00244C7E">
      <w:pPr>
        <w:spacing w:after="0" w:line="259" w:lineRule="auto"/>
        <w:ind w:left="0" w:right="0" w:firstLine="0"/>
        <w:jc w:val="left"/>
      </w:pPr>
    </w:p>
    <w:sectPr w:rsidR="00244C7E" w:rsidSect="001B1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86" w:right="1135" w:bottom="1325" w:left="113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0B67" w14:textId="77777777" w:rsidR="003C5FBC" w:rsidRDefault="003C5FBC">
      <w:pPr>
        <w:spacing w:after="0" w:line="240" w:lineRule="auto"/>
      </w:pPr>
      <w:r>
        <w:separator/>
      </w:r>
    </w:p>
  </w:endnote>
  <w:endnote w:type="continuationSeparator" w:id="0">
    <w:p w14:paraId="6D092517" w14:textId="77777777" w:rsidR="003C5FBC" w:rsidRDefault="003C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1D16" w14:textId="77777777" w:rsidR="00244C7E" w:rsidRDefault="00244C7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4110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5B5D44" w14:textId="5E4A0BB0" w:rsidR="001B1131" w:rsidRDefault="001B1131" w:rsidP="001B1131">
            <w:pPr>
              <w:pStyle w:val="Stopka"/>
              <w:ind w:left="3108" w:firstLine="4680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1364F9" w14:textId="77777777" w:rsidR="00244C7E" w:rsidRDefault="00244C7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46D8" w14:textId="77777777" w:rsidR="00244C7E" w:rsidRDefault="00244C7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4B6C" w14:textId="77777777" w:rsidR="003C5FBC" w:rsidRDefault="003C5FBC">
      <w:pPr>
        <w:spacing w:after="0" w:line="240" w:lineRule="auto"/>
      </w:pPr>
      <w:r>
        <w:separator/>
      </w:r>
    </w:p>
  </w:footnote>
  <w:footnote w:type="continuationSeparator" w:id="0">
    <w:p w14:paraId="63BF5E87" w14:textId="77777777" w:rsidR="003C5FBC" w:rsidRDefault="003C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63" w:tblpY="708"/>
      <w:tblOverlap w:val="never"/>
      <w:tblW w:w="9611" w:type="dxa"/>
      <w:tblInd w:w="0" w:type="dxa"/>
      <w:tblCellMar>
        <w:top w:w="29" w:type="dxa"/>
        <w:left w:w="70" w:type="dxa"/>
        <w:right w:w="115" w:type="dxa"/>
      </w:tblCellMar>
      <w:tblLook w:val="04A0" w:firstRow="1" w:lastRow="0" w:firstColumn="1" w:lastColumn="0" w:noHBand="0" w:noVBand="1"/>
    </w:tblPr>
    <w:tblGrid>
      <w:gridCol w:w="7091"/>
      <w:gridCol w:w="2520"/>
    </w:tblGrid>
    <w:tr w:rsidR="00244C7E" w14:paraId="1485443C" w14:textId="77777777">
      <w:trPr>
        <w:trHeight w:val="856"/>
      </w:trPr>
      <w:tc>
        <w:tcPr>
          <w:tcW w:w="7091" w:type="dxa"/>
          <w:tcBorders>
            <w:top w:val="nil"/>
            <w:left w:val="nil"/>
            <w:bottom w:val="nil"/>
            <w:right w:val="single" w:sz="4" w:space="0" w:color="000000"/>
          </w:tcBorders>
          <w:vAlign w:val="bottom"/>
        </w:tcPr>
        <w:p w14:paraId="76A98F95" w14:textId="77777777" w:rsidR="00244C7E" w:rsidRDefault="00000000">
          <w:pPr>
            <w:spacing w:after="0" w:line="259" w:lineRule="auto"/>
            <w:ind w:left="0" w:right="0" w:firstLine="0"/>
            <w:jc w:val="left"/>
          </w:pPr>
          <w:r>
            <w:rPr>
              <w:sz w:val="20"/>
            </w:rPr>
            <w:t xml:space="preserve">                       </w:t>
          </w:r>
        </w:p>
        <w:p w14:paraId="61F64E60" w14:textId="77777777" w:rsidR="00244C7E" w:rsidRDefault="00000000">
          <w:pPr>
            <w:spacing w:after="0" w:line="259" w:lineRule="auto"/>
            <w:ind w:left="41" w:right="0" w:firstLine="0"/>
            <w:jc w:val="center"/>
          </w:pPr>
          <w:r>
            <w:rPr>
              <w:sz w:val="20"/>
            </w:rPr>
            <w:t xml:space="preserve">                      POWIATOWA STACJA SANITARNO-EPIDEMIOLOGICZNA  </w:t>
          </w:r>
        </w:p>
        <w:p w14:paraId="4129A466" w14:textId="2DDBE861" w:rsidR="00244C7E" w:rsidRDefault="00000000">
          <w:pPr>
            <w:spacing w:after="0" w:line="259" w:lineRule="auto"/>
            <w:ind w:left="41" w:right="0" w:firstLine="0"/>
            <w:jc w:val="center"/>
          </w:pPr>
          <w:r>
            <w:rPr>
              <w:sz w:val="20"/>
            </w:rPr>
            <w:t xml:space="preserve">W </w:t>
          </w:r>
          <w:r w:rsidR="00C66607">
            <w:rPr>
              <w:sz w:val="20"/>
            </w:rPr>
            <w:t xml:space="preserve"> ALEKSANDROWIE KUJAWSKIM</w:t>
          </w:r>
        </w:p>
        <w:p w14:paraId="7594A9A1" w14:textId="77777777" w:rsidR="00244C7E" w:rsidRDefault="00000000">
          <w:pPr>
            <w:spacing w:after="0" w:line="259" w:lineRule="auto"/>
            <w:ind w:left="96" w:right="0" w:firstLine="0"/>
            <w:jc w:val="center"/>
          </w:pPr>
          <w:r>
            <w:rPr>
              <w:sz w:val="20"/>
            </w:rPr>
            <w:t xml:space="preserve"> </w:t>
          </w:r>
        </w:p>
      </w:tc>
      <w:tc>
        <w:tcPr>
          <w:tcW w:w="2520" w:type="dxa"/>
          <w:tcBorders>
            <w:top w:val="nil"/>
            <w:left w:val="single" w:sz="4" w:space="0" w:color="000000"/>
            <w:bottom w:val="nil"/>
            <w:right w:val="nil"/>
          </w:tcBorders>
        </w:tcPr>
        <w:p w14:paraId="633C77C1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 </w:t>
          </w:r>
        </w:p>
        <w:p w14:paraId="21CB011B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 </w:t>
          </w:r>
        </w:p>
        <w:p w14:paraId="03F6220F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Wydanie I </w:t>
          </w:r>
        </w:p>
      </w:tc>
    </w:tr>
    <w:tr w:rsidR="00244C7E" w14:paraId="0912097A" w14:textId="77777777">
      <w:trPr>
        <w:trHeight w:val="1184"/>
      </w:trPr>
      <w:tc>
        <w:tcPr>
          <w:tcW w:w="709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579780C5" w14:textId="7696E7E5" w:rsidR="00244C7E" w:rsidRDefault="00000000">
          <w:pPr>
            <w:tabs>
              <w:tab w:val="center" w:pos="4323"/>
            </w:tabs>
            <w:spacing w:after="0" w:line="259" w:lineRule="auto"/>
            <w:ind w:left="0" w:right="0" w:firstLine="0"/>
            <w:jc w:val="left"/>
          </w:pPr>
          <w:r>
            <w:t>P(KR)</w:t>
          </w:r>
          <w:r w:rsidR="007D77AF">
            <w:t>-</w:t>
          </w:r>
          <w:r>
            <w:t xml:space="preserve">01 </w:t>
          </w:r>
          <w:r>
            <w:tab/>
            <w:t xml:space="preserve"> </w:t>
          </w:r>
        </w:p>
        <w:p w14:paraId="6A33F0A3" w14:textId="77777777" w:rsidR="00244C7E" w:rsidRDefault="00000000">
          <w:pPr>
            <w:spacing w:after="0" w:line="259" w:lineRule="auto"/>
            <w:ind w:left="1801" w:right="0" w:firstLine="0"/>
            <w:jc w:val="center"/>
          </w:pPr>
          <w:r>
            <w:t xml:space="preserve"> </w:t>
          </w:r>
        </w:p>
        <w:p w14:paraId="65A38CB5" w14:textId="77777777" w:rsidR="00244C7E" w:rsidRDefault="00000000">
          <w:pPr>
            <w:spacing w:after="0" w:line="259" w:lineRule="auto"/>
            <w:ind w:left="1488" w:right="0" w:firstLine="0"/>
            <w:jc w:val="center"/>
          </w:pPr>
          <w:r>
            <w:rPr>
              <w:b/>
            </w:rPr>
            <w:t xml:space="preserve">Procedura klasyfikacji ryzyka w działalności kontrolnej    </w:t>
          </w:r>
        </w:p>
      </w:tc>
      <w:tc>
        <w:tcPr>
          <w:tcW w:w="2520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4E59E062" w14:textId="1CA389DC" w:rsidR="00244C7E" w:rsidRDefault="00000000">
          <w:pPr>
            <w:spacing w:after="0" w:line="259" w:lineRule="auto"/>
            <w:ind w:left="2" w:right="0" w:firstLine="0"/>
            <w:jc w:val="left"/>
          </w:pPr>
          <w:r>
            <w:t>z dnia 0</w:t>
          </w:r>
          <w:r w:rsidR="007D77AF">
            <w:t>8</w:t>
          </w:r>
          <w:r>
            <w:t xml:space="preserve">.01.2026 r. </w:t>
          </w:r>
        </w:p>
        <w:p w14:paraId="6901E744" w14:textId="77777777" w:rsidR="00244C7E" w:rsidRDefault="00000000">
          <w:pPr>
            <w:spacing w:after="0" w:line="259" w:lineRule="auto"/>
            <w:ind w:left="710" w:right="0" w:firstLine="0"/>
            <w:jc w:val="left"/>
          </w:pPr>
          <w:r>
            <w:t xml:space="preserve"> </w:t>
          </w:r>
        </w:p>
      </w:tc>
    </w:tr>
  </w:tbl>
  <w:p w14:paraId="140244C5" w14:textId="77777777" w:rsidR="00244C7E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63" w:tblpY="708"/>
      <w:tblOverlap w:val="never"/>
      <w:tblW w:w="9611" w:type="dxa"/>
      <w:tblInd w:w="0" w:type="dxa"/>
      <w:tblCellMar>
        <w:top w:w="29" w:type="dxa"/>
        <w:left w:w="70" w:type="dxa"/>
        <w:right w:w="115" w:type="dxa"/>
      </w:tblCellMar>
      <w:tblLook w:val="04A0" w:firstRow="1" w:lastRow="0" w:firstColumn="1" w:lastColumn="0" w:noHBand="0" w:noVBand="1"/>
    </w:tblPr>
    <w:tblGrid>
      <w:gridCol w:w="7091"/>
      <w:gridCol w:w="2520"/>
    </w:tblGrid>
    <w:tr w:rsidR="00244C7E" w14:paraId="03F66D7C" w14:textId="77777777">
      <w:trPr>
        <w:trHeight w:val="856"/>
      </w:trPr>
      <w:tc>
        <w:tcPr>
          <w:tcW w:w="7091" w:type="dxa"/>
          <w:tcBorders>
            <w:top w:val="nil"/>
            <w:left w:val="nil"/>
            <w:bottom w:val="nil"/>
            <w:right w:val="single" w:sz="4" w:space="0" w:color="000000"/>
          </w:tcBorders>
          <w:vAlign w:val="bottom"/>
        </w:tcPr>
        <w:p w14:paraId="5E37F540" w14:textId="77777777" w:rsidR="00244C7E" w:rsidRDefault="00000000">
          <w:pPr>
            <w:spacing w:after="0" w:line="259" w:lineRule="auto"/>
            <w:ind w:left="0" w:right="0" w:firstLine="0"/>
            <w:jc w:val="left"/>
          </w:pPr>
          <w:r>
            <w:rPr>
              <w:sz w:val="20"/>
            </w:rPr>
            <w:t xml:space="preserve">                       </w:t>
          </w:r>
        </w:p>
        <w:p w14:paraId="23C87A55" w14:textId="77777777" w:rsidR="00244C7E" w:rsidRDefault="00000000">
          <w:pPr>
            <w:spacing w:after="0" w:line="259" w:lineRule="auto"/>
            <w:ind w:left="41" w:right="0" w:firstLine="0"/>
            <w:jc w:val="center"/>
          </w:pPr>
          <w:r>
            <w:rPr>
              <w:sz w:val="20"/>
            </w:rPr>
            <w:t xml:space="preserve">                      POWIATOWA STACJA SANITARNO-EPIDEMIOLOGICZNA  </w:t>
          </w:r>
        </w:p>
        <w:p w14:paraId="5D09DFCD" w14:textId="55242538" w:rsidR="00244C7E" w:rsidRDefault="00000000">
          <w:pPr>
            <w:spacing w:after="0" w:line="259" w:lineRule="auto"/>
            <w:ind w:left="41" w:right="0" w:firstLine="0"/>
            <w:jc w:val="center"/>
          </w:pPr>
          <w:r>
            <w:rPr>
              <w:sz w:val="20"/>
            </w:rPr>
            <w:t xml:space="preserve">W </w:t>
          </w:r>
          <w:r w:rsidR="00C66607">
            <w:rPr>
              <w:sz w:val="20"/>
            </w:rPr>
            <w:t xml:space="preserve">ALEKSANDROWIE KUJAWSKIM </w:t>
          </w:r>
        </w:p>
        <w:p w14:paraId="5EDB9BE7" w14:textId="77777777" w:rsidR="00244C7E" w:rsidRDefault="00000000">
          <w:pPr>
            <w:spacing w:after="0" w:line="259" w:lineRule="auto"/>
            <w:ind w:left="96" w:right="0" w:firstLine="0"/>
            <w:jc w:val="center"/>
          </w:pPr>
          <w:r>
            <w:rPr>
              <w:sz w:val="20"/>
            </w:rPr>
            <w:t xml:space="preserve"> </w:t>
          </w:r>
        </w:p>
      </w:tc>
      <w:tc>
        <w:tcPr>
          <w:tcW w:w="2520" w:type="dxa"/>
          <w:tcBorders>
            <w:top w:val="nil"/>
            <w:left w:val="single" w:sz="4" w:space="0" w:color="000000"/>
            <w:bottom w:val="nil"/>
            <w:right w:val="nil"/>
          </w:tcBorders>
        </w:tcPr>
        <w:p w14:paraId="29F8E45B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 </w:t>
          </w:r>
        </w:p>
        <w:p w14:paraId="4C5D3F10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 </w:t>
          </w:r>
        </w:p>
        <w:p w14:paraId="30493802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Wydanie I </w:t>
          </w:r>
        </w:p>
      </w:tc>
    </w:tr>
    <w:tr w:rsidR="00244C7E" w14:paraId="04951132" w14:textId="77777777">
      <w:trPr>
        <w:trHeight w:val="1184"/>
      </w:trPr>
      <w:tc>
        <w:tcPr>
          <w:tcW w:w="709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1FD2EFD6" w14:textId="47C54939" w:rsidR="00244C7E" w:rsidRDefault="00000000">
          <w:pPr>
            <w:tabs>
              <w:tab w:val="center" w:pos="4323"/>
            </w:tabs>
            <w:spacing w:after="0" w:line="259" w:lineRule="auto"/>
            <w:ind w:left="0" w:right="0" w:firstLine="0"/>
            <w:jc w:val="left"/>
          </w:pPr>
          <w:r>
            <w:t>P</w:t>
          </w:r>
          <w:r w:rsidR="001A76F2">
            <w:t>(</w:t>
          </w:r>
          <w:r>
            <w:t>KR)</w:t>
          </w:r>
          <w:r w:rsidR="007D77AF">
            <w:t>-</w:t>
          </w:r>
          <w:r>
            <w:t xml:space="preserve">01 </w:t>
          </w:r>
          <w:r>
            <w:tab/>
            <w:t xml:space="preserve"> </w:t>
          </w:r>
        </w:p>
        <w:p w14:paraId="7A47AAA6" w14:textId="77777777" w:rsidR="00244C7E" w:rsidRDefault="00000000">
          <w:pPr>
            <w:spacing w:after="0" w:line="259" w:lineRule="auto"/>
            <w:ind w:left="1801" w:right="0" w:firstLine="0"/>
            <w:jc w:val="center"/>
          </w:pPr>
          <w:r>
            <w:t xml:space="preserve"> </w:t>
          </w:r>
        </w:p>
        <w:p w14:paraId="2A6A8E34" w14:textId="77777777" w:rsidR="00244C7E" w:rsidRDefault="00000000">
          <w:pPr>
            <w:spacing w:after="0" w:line="259" w:lineRule="auto"/>
            <w:ind w:left="1488" w:right="0" w:firstLine="0"/>
            <w:jc w:val="center"/>
          </w:pPr>
          <w:r>
            <w:rPr>
              <w:b/>
            </w:rPr>
            <w:t xml:space="preserve">Procedura klasyfikacji ryzyka w działalności kontrolnej    </w:t>
          </w:r>
        </w:p>
      </w:tc>
      <w:tc>
        <w:tcPr>
          <w:tcW w:w="2520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54DE29F2" w14:textId="4A2FE0E8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z dnia </w:t>
          </w:r>
          <w:r w:rsidR="006C4FD2">
            <w:t>31</w:t>
          </w:r>
          <w:r>
            <w:t>.</w:t>
          </w:r>
          <w:r w:rsidR="006C4FD2">
            <w:t>12</w:t>
          </w:r>
          <w:r>
            <w:t>.202</w:t>
          </w:r>
          <w:r w:rsidR="006C4FD2">
            <w:t>5</w:t>
          </w:r>
          <w:r>
            <w:t xml:space="preserve"> r. </w:t>
          </w:r>
        </w:p>
        <w:p w14:paraId="69FC0692" w14:textId="77777777" w:rsidR="00244C7E" w:rsidRDefault="00000000">
          <w:pPr>
            <w:spacing w:after="0" w:line="259" w:lineRule="auto"/>
            <w:ind w:left="710" w:right="0" w:firstLine="0"/>
            <w:jc w:val="left"/>
          </w:pPr>
          <w:r>
            <w:t xml:space="preserve"> </w:t>
          </w:r>
        </w:p>
      </w:tc>
    </w:tr>
  </w:tbl>
  <w:p w14:paraId="65C14BD5" w14:textId="77777777" w:rsidR="00244C7E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63" w:tblpY="708"/>
      <w:tblOverlap w:val="never"/>
      <w:tblW w:w="9611" w:type="dxa"/>
      <w:tblInd w:w="0" w:type="dxa"/>
      <w:tblCellMar>
        <w:top w:w="29" w:type="dxa"/>
        <w:left w:w="70" w:type="dxa"/>
        <w:right w:w="115" w:type="dxa"/>
      </w:tblCellMar>
      <w:tblLook w:val="04A0" w:firstRow="1" w:lastRow="0" w:firstColumn="1" w:lastColumn="0" w:noHBand="0" w:noVBand="1"/>
    </w:tblPr>
    <w:tblGrid>
      <w:gridCol w:w="7091"/>
      <w:gridCol w:w="2520"/>
    </w:tblGrid>
    <w:tr w:rsidR="00244C7E" w14:paraId="663C4B08" w14:textId="77777777">
      <w:trPr>
        <w:trHeight w:val="856"/>
      </w:trPr>
      <w:tc>
        <w:tcPr>
          <w:tcW w:w="7091" w:type="dxa"/>
          <w:tcBorders>
            <w:top w:val="nil"/>
            <w:left w:val="nil"/>
            <w:bottom w:val="nil"/>
            <w:right w:val="single" w:sz="4" w:space="0" w:color="000000"/>
          </w:tcBorders>
          <w:vAlign w:val="bottom"/>
        </w:tcPr>
        <w:p w14:paraId="66761F7E" w14:textId="77777777" w:rsidR="00244C7E" w:rsidRDefault="00000000">
          <w:pPr>
            <w:spacing w:after="0" w:line="259" w:lineRule="auto"/>
            <w:ind w:left="0" w:right="0" w:firstLine="0"/>
            <w:jc w:val="left"/>
          </w:pPr>
          <w:r>
            <w:rPr>
              <w:sz w:val="20"/>
            </w:rPr>
            <w:t xml:space="preserve">                       </w:t>
          </w:r>
        </w:p>
        <w:p w14:paraId="5CA30129" w14:textId="77777777" w:rsidR="00244C7E" w:rsidRDefault="00000000">
          <w:pPr>
            <w:spacing w:after="0" w:line="259" w:lineRule="auto"/>
            <w:ind w:left="41" w:right="0" w:firstLine="0"/>
            <w:jc w:val="center"/>
          </w:pPr>
          <w:r>
            <w:rPr>
              <w:sz w:val="20"/>
            </w:rPr>
            <w:t xml:space="preserve">                      POWIATOWA STACJA SANITARNO-EPIDEMIOLOGICZNA  </w:t>
          </w:r>
        </w:p>
        <w:p w14:paraId="74705A4F" w14:textId="77777777" w:rsidR="00244C7E" w:rsidRDefault="00000000">
          <w:pPr>
            <w:spacing w:after="0" w:line="259" w:lineRule="auto"/>
            <w:ind w:left="41" w:right="0" w:firstLine="0"/>
            <w:jc w:val="center"/>
          </w:pPr>
          <w:r>
            <w:rPr>
              <w:sz w:val="20"/>
            </w:rPr>
            <w:t xml:space="preserve">W BRODNICY </w:t>
          </w:r>
        </w:p>
        <w:p w14:paraId="15456F6E" w14:textId="77777777" w:rsidR="00244C7E" w:rsidRDefault="00000000">
          <w:pPr>
            <w:spacing w:after="0" w:line="259" w:lineRule="auto"/>
            <w:ind w:left="96" w:right="0" w:firstLine="0"/>
            <w:jc w:val="center"/>
          </w:pPr>
          <w:r>
            <w:rPr>
              <w:sz w:val="20"/>
            </w:rPr>
            <w:t xml:space="preserve"> </w:t>
          </w:r>
        </w:p>
      </w:tc>
      <w:tc>
        <w:tcPr>
          <w:tcW w:w="2520" w:type="dxa"/>
          <w:tcBorders>
            <w:top w:val="nil"/>
            <w:left w:val="single" w:sz="4" w:space="0" w:color="000000"/>
            <w:bottom w:val="nil"/>
            <w:right w:val="nil"/>
          </w:tcBorders>
        </w:tcPr>
        <w:p w14:paraId="23D083A3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 </w:t>
          </w:r>
        </w:p>
        <w:p w14:paraId="1156D24B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 </w:t>
          </w:r>
        </w:p>
        <w:p w14:paraId="4ACE4510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Wydanie I </w:t>
          </w:r>
        </w:p>
      </w:tc>
    </w:tr>
    <w:tr w:rsidR="00244C7E" w14:paraId="14ED4D0C" w14:textId="77777777">
      <w:trPr>
        <w:trHeight w:val="1184"/>
      </w:trPr>
      <w:tc>
        <w:tcPr>
          <w:tcW w:w="709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3217520A" w14:textId="77777777" w:rsidR="00244C7E" w:rsidRDefault="00000000">
          <w:pPr>
            <w:tabs>
              <w:tab w:val="center" w:pos="4323"/>
            </w:tabs>
            <w:spacing w:after="0" w:line="259" w:lineRule="auto"/>
            <w:ind w:left="0" w:right="0" w:firstLine="0"/>
            <w:jc w:val="left"/>
          </w:pPr>
          <w:r>
            <w:t xml:space="preserve">P-(KR)/01 </w:t>
          </w:r>
          <w:r>
            <w:tab/>
            <w:t xml:space="preserve"> </w:t>
          </w:r>
        </w:p>
        <w:p w14:paraId="43B32532" w14:textId="77777777" w:rsidR="00244C7E" w:rsidRDefault="00000000">
          <w:pPr>
            <w:spacing w:after="0" w:line="259" w:lineRule="auto"/>
            <w:ind w:left="1801" w:right="0" w:firstLine="0"/>
            <w:jc w:val="center"/>
          </w:pPr>
          <w:r>
            <w:t xml:space="preserve"> </w:t>
          </w:r>
        </w:p>
        <w:p w14:paraId="4AA6C7A7" w14:textId="77777777" w:rsidR="00244C7E" w:rsidRDefault="00000000">
          <w:pPr>
            <w:spacing w:after="0" w:line="259" w:lineRule="auto"/>
            <w:ind w:left="1488" w:right="0" w:firstLine="0"/>
            <w:jc w:val="center"/>
          </w:pPr>
          <w:r>
            <w:rPr>
              <w:b/>
            </w:rPr>
            <w:t xml:space="preserve">Procedura klasyfikacji ryzyka w działalności kontrolnej    </w:t>
          </w:r>
        </w:p>
      </w:tc>
      <w:tc>
        <w:tcPr>
          <w:tcW w:w="2520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7B463F5C" w14:textId="77777777" w:rsidR="00244C7E" w:rsidRDefault="00000000">
          <w:pPr>
            <w:spacing w:after="0" w:line="259" w:lineRule="auto"/>
            <w:ind w:left="2" w:right="0" w:firstLine="0"/>
            <w:jc w:val="left"/>
          </w:pPr>
          <w:r>
            <w:t xml:space="preserve">z dnia 02.01.2026 r. </w:t>
          </w:r>
        </w:p>
        <w:p w14:paraId="50F9A9A0" w14:textId="77777777" w:rsidR="00244C7E" w:rsidRDefault="00000000">
          <w:pPr>
            <w:spacing w:after="0" w:line="259" w:lineRule="auto"/>
            <w:ind w:left="710" w:right="0" w:firstLine="0"/>
            <w:jc w:val="left"/>
          </w:pPr>
          <w:r>
            <w:t xml:space="preserve"> </w:t>
          </w:r>
        </w:p>
      </w:tc>
    </w:tr>
  </w:tbl>
  <w:p w14:paraId="6EB18ABE" w14:textId="77777777" w:rsidR="00244C7E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C3B"/>
    <w:multiLevelType w:val="hybridMultilevel"/>
    <w:tmpl w:val="AAFE4BCA"/>
    <w:lvl w:ilvl="0" w:tplc="D23E14A4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5012B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5CC0D6">
      <w:start w:val="1"/>
      <w:numFmt w:val="bullet"/>
      <w:lvlText w:val="▪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E34F72A">
      <w:start w:val="1"/>
      <w:numFmt w:val="bullet"/>
      <w:lvlText w:val="•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51CDEBA">
      <w:start w:val="1"/>
      <w:numFmt w:val="bullet"/>
      <w:lvlText w:val="o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74FD70">
      <w:start w:val="1"/>
      <w:numFmt w:val="bullet"/>
      <w:lvlText w:val="▪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2613DA">
      <w:start w:val="1"/>
      <w:numFmt w:val="bullet"/>
      <w:lvlText w:val="•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662F5F4">
      <w:start w:val="1"/>
      <w:numFmt w:val="bullet"/>
      <w:lvlText w:val="o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20B154">
      <w:start w:val="1"/>
      <w:numFmt w:val="bullet"/>
      <w:lvlText w:val="▪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E1621"/>
    <w:multiLevelType w:val="multilevel"/>
    <w:tmpl w:val="41408180"/>
    <w:lvl w:ilvl="0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6E1BCB"/>
    <w:multiLevelType w:val="hybridMultilevel"/>
    <w:tmpl w:val="000C3B9C"/>
    <w:lvl w:ilvl="0" w:tplc="1E2869EC">
      <w:start w:val="1"/>
      <w:numFmt w:val="bullet"/>
      <w:lvlText w:val="•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8E2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A23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6881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6A17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8E00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064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0ED6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E300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56F7C"/>
    <w:multiLevelType w:val="hybridMultilevel"/>
    <w:tmpl w:val="7BB446A4"/>
    <w:lvl w:ilvl="0" w:tplc="5A28142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ED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082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0C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A0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0C1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6DD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C90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6B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282D76"/>
    <w:multiLevelType w:val="hybridMultilevel"/>
    <w:tmpl w:val="620019EC"/>
    <w:lvl w:ilvl="0" w:tplc="D7F0C4D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20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09D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4E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0B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45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45D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81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45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F9764C"/>
    <w:multiLevelType w:val="hybridMultilevel"/>
    <w:tmpl w:val="1F44D6F8"/>
    <w:lvl w:ilvl="0" w:tplc="A156F128">
      <w:start w:val="10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8F2661C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48D7DA">
      <w:start w:val="1"/>
      <w:numFmt w:val="bullet"/>
      <w:lvlText w:val="▪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A2DF22">
      <w:start w:val="1"/>
      <w:numFmt w:val="bullet"/>
      <w:lvlText w:val="•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FA7454">
      <w:start w:val="1"/>
      <w:numFmt w:val="bullet"/>
      <w:lvlText w:val="o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FE3570">
      <w:start w:val="1"/>
      <w:numFmt w:val="bullet"/>
      <w:lvlText w:val="▪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E423AC">
      <w:start w:val="1"/>
      <w:numFmt w:val="bullet"/>
      <w:lvlText w:val="•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38E6118">
      <w:start w:val="1"/>
      <w:numFmt w:val="bullet"/>
      <w:lvlText w:val="o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987800">
      <w:start w:val="1"/>
      <w:numFmt w:val="bullet"/>
      <w:lvlText w:val="▪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1D4154"/>
    <w:multiLevelType w:val="hybridMultilevel"/>
    <w:tmpl w:val="0E8C5A52"/>
    <w:lvl w:ilvl="0" w:tplc="80C6B4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FE528E">
      <w:start w:val="1"/>
      <w:numFmt w:val="bullet"/>
      <w:lvlText w:val="o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1E4796A">
      <w:start w:val="1"/>
      <w:numFmt w:val="bullet"/>
      <w:lvlRestart w:val="0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D40BA8">
      <w:start w:val="1"/>
      <w:numFmt w:val="bullet"/>
      <w:lvlText w:val="•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18FF9A">
      <w:start w:val="1"/>
      <w:numFmt w:val="bullet"/>
      <w:lvlText w:val="o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F6952E">
      <w:start w:val="1"/>
      <w:numFmt w:val="bullet"/>
      <w:lvlText w:val="▪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FCB248">
      <w:start w:val="1"/>
      <w:numFmt w:val="bullet"/>
      <w:lvlText w:val="•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C90282C">
      <w:start w:val="1"/>
      <w:numFmt w:val="bullet"/>
      <w:lvlText w:val="o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D6A754">
      <w:start w:val="1"/>
      <w:numFmt w:val="bullet"/>
      <w:lvlText w:val="▪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A5793"/>
    <w:multiLevelType w:val="hybridMultilevel"/>
    <w:tmpl w:val="E2D8F6AA"/>
    <w:lvl w:ilvl="0" w:tplc="589A9DDE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47E1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8DB6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448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EA7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E487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C650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63A4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4DCD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5E49AF"/>
    <w:multiLevelType w:val="hybridMultilevel"/>
    <w:tmpl w:val="C8D8AD78"/>
    <w:lvl w:ilvl="0" w:tplc="79005CD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0DA78">
      <w:start w:val="1"/>
      <w:numFmt w:val="decimal"/>
      <w:lvlText w:val="%2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E24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82D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C63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0E8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E1E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20AE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CD2B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B027B9"/>
    <w:multiLevelType w:val="hybridMultilevel"/>
    <w:tmpl w:val="5080A044"/>
    <w:lvl w:ilvl="0" w:tplc="C3145C76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1689890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67AEFC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AD4850E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9A6DF8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62C2D0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DC580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43E97B2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7A0A24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454A3D"/>
    <w:multiLevelType w:val="hybridMultilevel"/>
    <w:tmpl w:val="76C03428"/>
    <w:lvl w:ilvl="0" w:tplc="5AF85C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825E0">
      <w:start w:val="1"/>
      <w:numFmt w:val="decimal"/>
      <w:lvlText w:val="%2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434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09B1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28F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0FD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4E6A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469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09B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AD32CE"/>
    <w:multiLevelType w:val="hybridMultilevel"/>
    <w:tmpl w:val="722CA1D2"/>
    <w:lvl w:ilvl="0" w:tplc="6584ED2A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627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EC9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CD5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C7A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853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62B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0E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2CC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8A1D34"/>
    <w:multiLevelType w:val="hybridMultilevel"/>
    <w:tmpl w:val="0A641AE2"/>
    <w:lvl w:ilvl="0" w:tplc="B8A64A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C12C4">
      <w:start w:val="2"/>
      <w:numFmt w:val="decimal"/>
      <w:lvlText w:val="%2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B5D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47F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2AF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00E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8A6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3E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C01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EB7415"/>
    <w:multiLevelType w:val="hybridMultilevel"/>
    <w:tmpl w:val="1854BB5E"/>
    <w:lvl w:ilvl="0" w:tplc="8990BB9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52E4890">
      <w:start w:val="1"/>
      <w:numFmt w:val="bullet"/>
      <w:lvlText w:val="o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1AEEC0">
      <w:start w:val="1"/>
      <w:numFmt w:val="bullet"/>
      <w:lvlRestart w:val="0"/>
      <w:lvlText w:val="•"/>
      <w:lvlJc w:val="left"/>
      <w:pPr>
        <w:ind w:left="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70A1FC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6487B26">
      <w:start w:val="1"/>
      <w:numFmt w:val="bullet"/>
      <w:lvlText w:val="o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F61C2A">
      <w:start w:val="1"/>
      <w:numFmt w:val="bullet"/>
      <w:lvlText w:val="▪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88AF934">
      <w:start w:val="1"/>
      <w:numFmt w:val="bullet"/>
      <w:lvlText w:val="•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34CF51C">
      <w:start w:val="1"/>
      <w:numFmt w:val="bullet"/>
      <w:lvlText w:val="o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8F27810">
      <w:start w:val="1"/>
      <w:numFmt w:val="bullet"/>
      <w:lvlText w:val="▪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F67215"/>
    <w:multiLevelType w:val="hybridMultilevel"/>
    <w:tmpl w:val="C8144524"/>
    <w:lvl w:ilvl="0" w:tplc="D390EAB4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821036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58EFCAE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30CAF0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F8D548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84E324E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0C42CA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FA127A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DDA88AC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8D2F59"/>
    <w:multiLevelType w:val="hybridMultilevel"/>
    <w:tmpl w:val="61A6B790"/>
    <w:lvl w:ilvl="0" w:tplc="C8ACF33A">
      <w:start w:val="1"/>
      <w:numFmt w:val="decimal"/>
      <w:lvlText w:val="%1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EBA7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23E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8C8F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6F2D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8A93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92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CD02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02B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0820529">
    <w:abstractNumId w:val="8"/>
  </w:num>
  <w:num w:numId="2" w16cid:durableId="830488937">
    <w:abstractNumId w:val="12"/>
  </w:num>
  <w:num w:numId="3" w16cid:durableId="881328420">
    <w:abstractNumId w:val="10"/>
  </w:num>
  <w:num w:numId="4" w16cid:durableId="2052341298">
    <w:abstractNumId w:val="7"/>
  </w:num>
  <w:num w:numId="5" w16cid:durableId="2083020791">
    <w:abstractNumId w:val="2"/>
  </w:num>
  <w:num w:numId="6" w16cid:durableId="699554373">
    <w:abstractNumId w:val="3"/>
  </w:num>
  <w:num w:numId="7" w16cid:durableId="588663206">
    <w:abstractNumId w:val="4"/>
  </w:num>
  <w:num w:numId="8" w16cid:durableId="830102957">
    <w:abstractNumId w:val="11"/>
  </w:num>
  <w:num w:numId="9" w16cid:durableId="126975320">
    <w:abstractNumId w:val="15"/>
  </w:num>
  <w:num w:numId="10" w16cid:durableId="918489148">
    <w:abstractNumId w:val="6"/>
  </w:num>
  <w:num w:numId="11" w16cid:durableId="1299528373">
    <w:abstractNumId w:val="14"/>
  </w:num>
  <w:num w:numId="12" w16cid:durableId="1550149751">
    <w:abstractNumId w:val="9"/>
  </w:num>
  <w:num w:numId="13" w16cid:durableId="205994929">
    <w:abstractNumId w:val="1"/>
  </w:num>
  <w:num w:numId="14" w16cid:durableId="1237396848">
    <w:abstractNumId w:val="13"/>
  </w:num>
  <w:num w:numId="15" w16cid:durableId="2130932978">
    <w:abstractNumId w:val="0"/>
  </w:num>
  <w:num w:numId="16" w16cid:durableId="399256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7E"/>
    <w:rsid w:val="001A76F2"/>
    <w:rsid w:val="001B1131"/>
    <w:rsid w:val="00244C7E"/>
    <w:rsid w:val="0035308E"/>
    <w:rsid w:val="0036008A"/>
    <w:rsid w:val="003C5FBC"/>
    <w:rsid w:val="00473260"/>
    <w:rsid w:val="004B67E2"/>
    <w:rsid w:val="00640FC0"/>
    <w:rsid w:val="00683C7A"/>
    <w:rsid w:val="006C4FD2"/>
    <w:rsid w:val="007D77AF"/>
    <w:rsid w:val="00867112"/>
    <w:rsid w:val="00A02141"/>
    <w:rsid w:val="00A267D0"/>
    <w:rsid w:val="00AD308D"/>
    <w:rsid w:val="00BB1C05"/>
    <w:rsid w:val="00BC50BE"/>
    <w:rsid w:val="00BE6767"/>
    <w:rsid w:val="00C01C32"/>
    <w:rsid w:val="00C66607"/>
    <w:rsid w:val="00D57F92"/>
    <w:rsid w:val="00E00376"/>
    <w:rsid w:val="00E76913"/>
    <w:rsid w:val="00ED57E5"/>
    <w:rsid w:val="00F102DE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F16D"/>
  <w15:docId w15:val="{7032DC77-6DC1-4449-A38B-42B24A02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C7A"/>
    <w:pPr>
      <w:spacing w:after="15" w:line="249" w:lineRule="auto"/>
      <w:ind w:left="368" w:right="4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F9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57F92"/>
    <w:rPr>
      <w:rFonts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D57F9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D57F92"/>
    <w:rPr>
      <w:b/>
      <w:bCs/>
    </w:rPr>
  </w:style>
  <w:style w:type="paragraph" w:styleId="Akapitzlist">
    <w:name w:val="List Paragraph"/>
    <w:basedOn w:val="Normalny"/>
    <w:uiPriority w:val="34"/>
    <w:qFormat/>
    <w:rsid w:val="0068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2144</Words>
  <Characters>12867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subject/>
  <dc:creator>WSSE</dc:creator>
  <cp:keywords/>
  <cp:lastModifiedBy>PSSE Aleksandrów Kujawski - Łukasz Mrówczyński</cp:lastModifiedBy>
  <cp:revision>12</cp:revision>
  <cp:lastPrinted>2026-01-12T06:35:00Z</cp:lastPrinted>
  <dcterms:created xsi:type="dcterms:W3CDTF">2026-01-08T06:51:00Z</dcterms:created>
  <dcterms:modified xsi:type="dcterms:W3CDTF">2026-01-12T09:11:00Z</dcterms:modified>
</cp:coreProperties>
</file>