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909112F"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8A1DCF">
        <w:rPr>
          <w:rFonts w:ascii="Verdana" w:hAnsi="Verdana"/>
          <w:sz w:val="20"/>
        </w:rPr>
        <w:t xml:space="preserve">MOP II </w:t>
      </w:r>
      <w:r w:rsidR="00680B55">
        <w:rPr>
          <w:rFonts w:ascii="Verdana" w:hAnsi="Verdana"/>
          <w:sz w:val="20"/>
        </w:rPr>
        <w:t>OSTRÓW KANIA POŁUDNIE</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06C7D675" w:rsidR="002C65A6" w:rsidRDefault="00F27842">
      <w:pPr>
        <w:pStyle w:val="Spistreci1"/>
        <w:rPr>
          <w:rFonts w:asciiTheme="minorHAnsi" w:eastAsiaTheme="minorEastAsia" w:hAnsiTheme="minorHAnsi" w:cstheme="minorBidi"/>
          <w:b w:val="0"/>
          <w:bCs w:val="0"/>
          <w:noProof/>
          <w:sz w:val="22"/>
          <w:szCs w:val="22"/>
          <w:lang w:eastAsia="pl-PL"/>
        </w:rPr>
      </w:pPr>
      <w:r>
        <w:rPr>
          <w:sz w:val="24"/>
          <w:szCs w:val="26"/>
        </w:rPr>
        <w:t>5</w:t>
      </w:r>
      <w:r w:rsidR="00673601" w:rsidRPr="00D37A69">
        <w:rPr>
          <w:sz w:val="24"/>
          <w:szCs w:val="26"/>
        </w:rPr>
        <w:fldChar w:fldCharType="begin"/>
      </w:r>
      <w:r w:rsidR="00673601" w:rsidRPr="00D37A69">
        <w:rPr>
          <w:sz w:val="24"/>
          <w:szCs w:val="26"/>
        </w:rPr>
        <w:instrText xml:space="preserve"> TOC \o "1-1" \h \z \u </w:instrText>
      </w:r>
      <w:r w:rsidR="00673601" w:rsidRPr="00D37A69">
        <w:rPr>
          <w:sz w:val="24"/>
          <w:szCs w:val="26"/>
        </w:rPr>
        <w:fldChar w:fldCharType="separate"/>
      </w:r>
      <w:hyperlink w:anchor="_Toc7181454" w:history="1"/>
    </w:p>
    <w:p w14:paraId="7050731E" w14:textId="124A7589" w:rsidR="002C65A6" w:rsidRDefault="00027F2E">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381B00">
          <w:rPr>
            <w:noProof/>
            <w:webHidden/>
          </w:rPr>
          <w:t>6</w:t>
        </w:r>
        <w:r w:rsidR="002C65A6">
          <w:rPr>
            <w:noProof/>
            <w:webHidden/>
          </w:rPr>
          <w:fldChar w:fldCharType="end"/>
        </w:r>
      </w:hyperlink>
    </w:p>
    <w:p w14:paraId="595D4799" w14:textId="2098CB04" w:rsidR="002C65A6" w:rsidRDefault="00027F2E">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6A90A29A" w14:textId="44E3E6F5" w:rsidR="002C65A6" w:rsidRDefault="00027F2E">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49BAEEF9" w14:textId="4A9F46E1" w:rsidR="002C65A6" w:rsidRDefault="00027F2E">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236E980E" w14:textId="4E1B8DBF" w:rsidR="002C65A6" w:rsidRDefault="00027F2E">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381B00">
          <w:rPr>
            <w:noProof/>
            <w:webHidden/>
          </w:rPr>
          <w:t>10</w:t>
        </w:r>
        <w:r w:rsidR="002C65A6">
          <w:rPr>
            <w:noProof/>
            <w:webHidden/>
          </w:rPr>
          <w:fldChar w:fldCharType="end"/>
        </w:r>
      </w:hyperlink>
    </w:p>
    <w:p w14:paraId="64CC2381" w14:textId="7DB1F9EE"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067B0494" w14:textId="11511221"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386B46C8" w14:textId="70FC4E22"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381B00">
          <w:rPr>
            <w:noProof/>
            <w:webHidden/>
          </w:rPr>
          <w:t>14</w:t>
        </w:r>
        <w:r w:rsidR="002C65A6">
          <w:rPr>
            <w:noProof/>
            <w:webHidden/>
          </w:rPr>
          <w:fldChar w:fldCharType="end"/>
        </w:r>
      </w:hyperlink>
    </w:p>
    <w:p w14:paraId="06873629" w14:textId="49708352"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381B00">
          <w:rPr>
            <w:noProof/>
            <w:webHidden/>
          </w:rPr>
          <w:t>17</w:t>
        </w:r>
        <w:r w:rsidR="002C65A6">
          <w:rPr>
            <w:noProof/>
            <w:webHidden/>
          </w:rPr>
          <w:fldChar w:fldCharType="end"/>
        </w:r>
      </w:hyperlink>
    </w:p>
    <w:p w14:paraId="0C356BA9" w14:textId="278ECCC1"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86FDEAD" w14:textId="59BB3D51"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6BE7A19" w14:textId="5B409653"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381B00">
          <w:rPr>
            <w:noProof/>
            <w:webHidden/>
          </w:rPr>
          <w:t>19</w:t>
        </w:r>
        <w:r w:rsidR="002C65A6">
          <w:rPr>
            <w:noProof/>
            <w:webHidden/>
          </w:rPr>
          <w:fldChar w:fldCharType="end"/>
        </w:r>
      </w:hyperlink>
    </w:p>
    <w:p w14:paraId="045EF69D" w14:textId="7244B199"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381B00">
          <w:rPr>
            <w:noProof/>
            <w:webHidden/>
          </w:rPr>
          <w:t>20</w:t>
        </w:r>
        <w:r w:rsidR="002C65A6">
          <w:rPr>
            <w:noProof/>
            <w:webHidden/>
          </w:rPr>
          <w:fldChar w:fldCharType="end"/>
        </w:r>
      </w:hyperlink>
    </w:p>
    <w:p w14:paraId="4A279D4E" w14:textId="492D4C56"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381B00">
          <w:rPr>
            <w:noProof/>
            <w:webHidden/>
          </w:rPr>
          <w:t>22</w:t>
        </w:r>
        <w:r w:rsidR="002C65A6">
          <w:rPr>
            <w:noProof/>
            <w:webHidden/>
          </w:rPr>
          <w:fldChar w:fldCharType="end"/>
        </w:r>
      </w:hyperlink>
    </w:p>
    <w:p w14:paraId="6CCAA2FB" w14:textId="5FD3A469" w:rsidR="002C65A6" w:rsidRDefault="00027F2E">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34DB7BBC" w14:textId="0E737D62"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63269B35" w14:textId="63DBCABD"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5B1D3E22" w14:textId="78420B4E"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0BE57E30" w14:textId="7FFF6C22"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7E26B720" w14:textId="44BDD23B"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2E4C2F9A" w14:textId="734A3582"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381B00">
          <w:rPr>
            <w:noProof/>
            <w:webHidden/>
          </w:rPr>
          <w:t>30</w:t>
        </w:r>
        <w:r w:rsidR="002C65A6">
          <w:rPr>
            <w:noProof/>
            <w:webHidden/>
          </w:rPr>
          <w:fldChar w:fldCharType="end"/>
        </w:r>
      </w:hyperlink>
    </w:p>
    <w:p w14:paraId="3BCAECDB" w14:textId="1E4C1F45"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72ED5317" w14:textId="7D10BA3E"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159988C7" w14:textId="11220F39"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381B00">
          <w:rPr>
            <w:noProof/>
            <w:webHidden/>
          </w:rPr>
          <w:t>33</w:t>
        </w:r>
        <w:r w:rsidR="002C65A6">
          <w:rPr>
            <w:noProof/>
            <w:webHidden/>
          </w:rPr>
          <w:fldChar w:fldCharType="end"/>
        </w:r>
      </w:hyperlink>
    </w:p>
    <w:p w14:paraId="3E20F1AA" w14:textId="625A4F0C" w:rsidR="002C65A6" w:rsidRDefault="00027F2E">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0E3E984" w14:textId="74879134" w:rsidR="002C65A6" w:rsidRDefault="00027F2E">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2864640"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B87C74">
        <w:rPr>
          <w:rFonts w:ascii="Verdana" w:hAnsi="Verdana"/>
          <w:b w:val="0"/>
          <w:bCs/>
          <w:sz w:val="20"/>
        </w:rPr>
        <w:t>A</w:t>
      </w:r>
      <w:r w:rsidR="00D241E9">
        <w:rPr>
          <w:rFonts w:ascii="Verdana" w:hAnsi="Verdana"/>
          <w:b w:val="0"/>
          <w:bCs/>
          <w:sz w:val="20"/>
        </w:rPr>
        <w:t>utostrady A2</w:t>
      </w:r>
      <w:r w:rsidR="0033011B">
        <w:rPr>
          <w:rFonts w:ascii="Verdana" w:hAnsi="Verdana"/>
          <w:b w:val="0"/>
          <w:bCs/>
          <w:sz w:val="20"/>
        </w:rPr>
        <w:t>.</w:t>
      </w:r>
    </w:p>
    <w:p w14:paraId="65676354" w14:textId="52FFA7BA" w:rsidR="00D241E9" w:rsidRPr="005167CA" w:rsidRDefault="00D241E9" w:rsidP="005167CA">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Pr="005167CA">
        <w:rPr>
          <w:rFonts w:ascii="Verdana" w:hAnsi="Verdana"/>
          <w:b w:val="0"/>
          <w:bCs/>
          <w:sz w:val="20"/>
        </w:rPr>
        <w:t>Autostrady A2</w:t>
      </w:r>
      <w:r>
        <w:rPr>
          <w:rFonts w:ascii="Verdana" w:hAnsi="Verdana"/>
          <w:b w:val="0"/>
          <w:bCs/>
          <w:sz w:val="20"/>
        </w:rPr>
        <w:t xml:space="preserve"> </w:t>
      </w:r>
      <w:r w:rsidRPr="005167CA">
        <w:rPr>
          <w:rFonts w:ascii="Verdana" w:hAnsi="Verdana"/>
          <w:b w:val="0"/>
          <w:bCs/>
          <w:sz w:val="20"/>
        </w:rPr>
        <w:t>znajduje</w:t>
      </w:r>
      <w:r w:rsidRPr="00D37A69">
        <w:rPr>
          <w:rFonts w:ascii="Verdana" w:hAnsi="Verdana"/>
          <w:b w:val="0"/>
          <w:bCs/>
          <w:sz w:val="20"/>
        </w:rPr>
        <w:t xml:space="preserve"> się Nieruchomość przeznaczona na Miejsce Obsługi Podróżnych kat. </w:t>
      </w:r>
      <w:r>
        <w:rPr>
          <w:rFonts w:ascii="Verdana" w:hAnsi="Verdana"/>
          <w:b w:val="0"/>
          <w:bCs/>
          <w:sz w:val="20"/>
        </w:rPr>
        <w:t>II</w:t>
      </w:r>
      <w:r w:rsidR="00B87C74">
        <w:rPr>
          <w:rFonts w:ascii="Verdana" w:hAnsi="Verdana"/>
          <w:b w:val="0"/>
          <w:bCs/>
          <w:sz w:val="20"/>
        </w:rPr>
        <w:t xml:space="preserve"> </w:t>
      </w:r>
      <w:r w:rsidR="00680B55">
        <w:rPr>
          <w:rFonts w:ascii="Verdana" w:hAnsi="Verdana"/>
          <w:bCs/>
          <w:sz w:val="20"/>
        </w:rPr>
        <w:t>MOP Ostrów Kania Południe</w:t>
      </w:r>
      <w:r w:rsidR="00B87C74">
        <w:rPr>
          <w:rFonts w:ascii="Verdana" w:hAnsi="Verdana"/>
          <w:bCs/>
          <w:sz w:val="20"/>
        </w:rPr>
        <w:t>,</w:t>
      </w:r>
    </w:p>
    <w:p w14:paraId="326A3D21" w14:textId="4BDA09A9" w:rsidR="00AD3426" w:rsidRPr="00BE21DC" w:rsidRDefault="00673601" w:rsidP="005167CA">
      <w:pPr>
        <w:pStyle w:val="Tekstpodstawowy3"/>
        <w:spacing w:line="276" w:lineRule="auto"/>
        <w:ind w:left="708"/>
        <w:rPr>
          <w:rFonts w:ascii="Verdana" w:hAnsi="Verdana"/>
          <w:b w:val="0"/>
          <w:bCs/>
          <w:sz w:val="20"/>
        </w:rPr>
      </w:pPr>
      <w:r w:rsidRPr="00A40E83">
        <w:rPr>
          <w:rFonts w:ascii="Verdana" w:hAnsi="Verdana"/>
          <w:b w:val="0"/>
          <w:bCs/>
          <w:sz w:val="20"/>
        </w:rPr>
        <w:t xml:space="preserve">zlokalizowany </w:t>
      </w:r>
      <w:r w:rsidR="00D241E9" w:rsidRPr="00A40E83">
        <w:rPr>
          <w:rFonts w:ascii="Verdana" w:eastAsiaTheme="minorHAnsi" w:hAnsi="Verdana"/>
          <w:b w:val="0"/>
          <w:sz w:val="20"/>
        </w:rPr>
        <w:t xml:space="preserve">w km 502+800 </w:t>
      </w:r>
      <w:r w:rsidRPr="00A40E83">
        <w:rPr>
          <w:rFonts w:ascii="Verdana" w:hAnsi="Verdana"/>
          <w:b w:val="0"/>
          <w:bCs/>
          <w:sz w:val="20"/>
        </w:rPr>
        <w:t xml:space="preserve">po </w:t>
      </w:r>
      <w:r w:rsidR="00680B55" w:rsidRPr="00A40E83">
        <w:rPr>
          <w:rFonts w:ascii="Verdana" w:hAnsi="Verdana"/>
          <w:b w:val="0"/>
          <w:bCs/>
          <w:sz w:val="20"/>
        </w:rPr>
        <w:t>lewej</w:t>
      </w:r>
      <w:r w:rsidR="008226A0" w:rsidRPr="00A40E83">
        <w:rPr>
          <w:rFonts w:ascii="Verdana" w:hAnsi="Verdana"/>
          <w:b w:val="0"/>
          <w:bCs/>
          <w:sz w:val="20"/>
        </w:rPr>
        <w:t xml:space="preserve"> </w:t>
      </w:r>
      <w:r w:rsidR="002769AD" w:rsidRPr="00A40E83">
        <w:rPr>
          <w:rFonts w:ascii="Verdana" w:hAnsi="Verdana"/>
          <w:b w:val="0"/>
          <w:bCs/>
          <w:sz w:val="20"/>
        </w:rPr>
        <w:t xml:space="preserve">stronie </w:t>
      </w:r>
      <w:r w:rsidR="00B87C74" w:rsidRPr="00A40E83">
        <w:rPr>
          <w:rFonts w:ascii="Verdana" w:hAnsi="Verdana"/>
          <w:b w:val="0"/>
          <w:bCs/>
          <w:sz w:val="20"/>
        </w:rPr>
        <w:t>Autostrady A2</w:t>
      </w:r>
      <w:r w:rsidRPr="00A40E83">
        <w:rPr>
          <w:rFonts w:ascii="Verdana" w:hAnsi="Verdana"/>
          <w:b w:val="0"/>
          <w:bCs/>
          <w:i/>
          <w:sz w:val="20"/>
        </w:rPr>
        <w:t>,</w:t>
      </w:r>
      <w:r w:rsidRPr="00A40E83">
        <w:rPr>
          <w:rFonts w:ascii="Verdana" w:hAnsi="Verdana"/>
          <w:b w:val="0"/>
          <w:bCs/>
          <w:sz w:val="20"/>
        </w:rPr>
        <w:t xml:space="preserve"> </w:t>
      </w:r>
      <w:r w:rsidR="00B87C74" w:rsidRPr="00A40E83">
        <w:rPr>
          <w:rFonts w:ascii="Verdana" w:hAnsi="Verdana"/>
          <w:b w:val="0"/>
          <w:bCs/>
          <w:sz w:val="20"/>
        </w:rPr>
        <w:t xml:space="preserve">na odcinku </w:t>
      </w:r>
      <w:r w:rsidR="00D241E9" w:rsidRPr="00A40E83">
        <w:rPr>
          <w:rFonts w:ascii="Verdana" w:eastAsiaTheme="minorHAnsi" w:hAnsi="Verdana"/>
          <w:b w:val="0"/>
          <w:sz w:val="20"/>
        </w:rPr>
        <w:t xml:space="preserve">od węzła </w:t>
      </w:r>
      <w:r w:rsidR="00F57464" w:rsidRPr="00A40E83">
        <w:rPr>
          <w:rFonts w:ascii="Verdana" w:eastAsiaTheme="minorHAnsi" w:hAnsi="Verdana" w:cstheme="minorBidi"/>
          <w:b w:val="0"/>
          <w:sz w:val="20"/>
        </w:rPr>
        <w:t>Halinów”</w:t>
      </w:r>
      <w:r w:rsidR="00F57464" w:rsidRPr="00A40E83">
        <w:rPr>
          <w:rFonts w:ascii="Verdana" w:eastAsiaTheme="minorHAnsi" w:hAnsi="Verdana"/>
          <w:b w:val="0"/>
          <w:sz w:val="20"/>
        </w:rPr>
        <w:t xml:space="preserve"> </w:t>
      </w:r>
      <w:r w:rsidR="00F57464">
        <w:rPr>
          <w:rFonts w:ascii="Verdana" w:eastAsiaTheme="minorHAnsi" w:hAnsi="Verdana"/>
          <w:b w:val="0"/>
          <w:sz w:val="20"/>
        </w:rPr>
        <w:t xml:space="preserve">do węzła „Mińsk Mazowiecki” - </w:t>
      </w:r>
      <w:r w:rsidR="00D241E9" w:rsidRPr="00A40E83">
        <w:rPr>
          <w:rFonts w:ascii="Verdana" w:eastAsiaTheme="minorHAnsi" w:hAnsi="Verdana" w:cstheme="minorBidi"/>
          <w:b w:val="0"/>
          <w:sz w:val="20"/>
        </w:rPr>
        <w:t>począte</w:t>
      </w:r>
      <w:r w:rsidR="00F57464">
        <w:rPr>
          <w:rFonts w:ascii="Verdana" w:eastAsiaTheme="minorHAnsi" w:hAnsi="Verdana" w:cstheme="minorBidi"/>
          <w:b w:val="0"/>
          <w:sz w:val="20"/>
        </w:rPr>
        <w:t xml:space="preserve">k obwodnicy Mińska Mazowieckiego, </w:t>
      </w:r>
      <w:r w:rsidR="002769AD" w:rsidRPr="00BE21DC">
        <w:rPr>
          <w:rFonts w:ascii="Verdana" w:hAnsi="Verdana"/>
          <w:b w:val="0"/>
          <w:bCs/>
          <w:sz w:val="20"/>
        </w:rPr>
        <w:lastRenderedPageBreak/>
        <w:t>w województwie mazowieckim</w:t>
      </w:r>
      <w:r w:rsidRPr="00BE21DC">
        <w:rPr>
          <w:rFonts w:ascii="Verdana" w:hAnsi="Verdana"/>
          <w:b w:val="0"/>
          <w:bCs/>
          <w:sz w:val="20"/>
        </w:rPr>
        <w:t>, na terenie gminy</w:t>
      </w:r>
      <w:r w:rsidR="00F57464">
        <w:rPr>
          <w:rFonts w:ascii="Verdana" w:hAnsi="Verdana"/>
          <w:b w:val="0"/>
          <w:bCs/>
          <w:sz w:val="20"/>
        </w:rPr>
        <w:t xml:space="preserve"> Dębe Wielkie</w:t>
      </w:r>
      <w:r w:rsidR="00B87C74">
        <w:rPr>
          <w:rFonts w:ascii="Verdana" w:hAnsi="Verdana"/>
          <w:b w:val="0"/>
          <w:bCs/>
          <w:sz w:val="20"/>
        </w:rPr>
        <w:t xml:space="preserve"> i</w:t>
      </w:r>
      <w:r w:rsidR="0058639D" w:rsidRPr="00BE21DC">
        <w:rPr>
          <w:rFonts w:ascii="Verdana" w:hAnsi="Verdana"/>
          <w:b w:val="0"/>
          <w:bCs/>
          <w:sz w:val="20"/>
        </w:rPr>
        <w:t xml:space="preserve"> </w:t>
      </w:r>
      <w:r w:rsidR="002769AD" w:rsidRPr="00BE21DC">
        <w:rPr>
          <w:rFonts w:ascii="Verdana" w:hAnsi="Verdana"/>
          <w:b w:val="0"/>
          <w:bCs/>
          <w:sz w:val="20"/>
        </w:rPr>
        <w:t xml:space="preserve">położony na działkach </w:t>
      </w:r>
      <w:r w:rsidR="00377A9A">
        <w:rPr>
          <w:rFonts w:ascii="Verdana" w:hAnsi="Verdana"/>
          <w:b w:val="0"/>
          <w:bCs/>
          <w:sz w:val="20"/>
        </w:rPr>
        <w:br/>
      </w:r>
      <w:r w:rsidR="002769AD" w:rsidRPr="00BE21DC">
        <w:rPr>
          <w:rFonts w:ascii="Verdana" w:hAnsi="Verdana"/>
          <w:b w:val="0"/>
          <w:bCs/>
          <w:sz w:val="20"/>
        </w:rPr>
        <w:t>o numerach:</w:t>
      </w:r>
    </w:p>
    <w:p w14:paraId="09B2A4F1" w14:textId="6AF583F4" w:rsidR="00F57464" w:rsidRDefault="00F57464" w:rsidP="00F57464">
      <w:pPr>
        <w:pStyle w:val="Tekstpodstawowy3"/>
        <w:spacing w:line="276" w:lineRule="auto"/>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F57464" w:rsidRPr="002769AD" w14:paraId="729CE9CD" w14:textId="77777777" w:rsidTr="004B556A">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256E5FEF" w14:textId="77777777" w:rsidR="00F57464" w:rsidRPr="002769AD" w:rsidRDefault="00F57464" w:rsidP="004B556A">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631803" w14:textId="77777777" w:rsidR="00F57464" w:rsidRPr="002769AD" w:rsidRDefault="00F57464" w:rsidP="004B556A">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numer ewid. działki / działek</w:t>
            </w:r>
          </w:p>
        </w:tc>
      </w:tr>
      <w:tr w:rsidR="00F57464" w:rsidRPr="00F57464" w14:paraId="4D58DAD9" w14:textId="77777777" w:rsidTr="004B556A">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8C25EF4" w14:textId="77777777" w:rsidR="00F57464" w:rsidRPr="00F57464" w:rsidRDefault="00F57464" w:rsidP="004B556A">
            <w:pPr>
              <w:widowControl/>
              <w:overflowPunct/>
              <w:autoSpaceDE/>
              <w:autoSpaceDN/>
              <w:adjustRightInd/>
              <w:jc w:val="center"/>
              <w:rPr>
                <w:rFonts w:ascii="Calibri" w:hAnsi="Calibri" w:cs="Calibri"/>
                <w:color w:val="000000"/>
                <w:sz w:val="22"/>
                <w:szCs w:val="22"/>
                <w:lang w:eastAsia="pl-PL"/>
              </w:rPr>
            </w:pPr>
            <w:r w:rsidRPr="00F57464">
              <w:rPr>
                <w:rFonts w:ascii="Calibri" w:hAnsi="Calibri" w:cs="Calibri"/>
                <w:color w:val="000000"/>
                <w:sz w:val="22"/>
                <w:szCs w:val="22"/>
                <w:lang w:eastAsia="pl-PL"/>
              </w:rPr>
              <w:t>Ostrów Kania</w:t>
            </w:r>
          </w:p>
        </w:tc>
        <w:tc>
          <w:tcPr>
            <w:tcW w:w="3220" w:type="dxa"/>
            <w:tcBorders>
              <w:top w:val="nil"/>
              <w:left w:val="nil"/>
              <w:bottom w:val="nil"/>
              <w:right w:val="single" w:sz="4" w:space="0" w:color="auto"/>
            </w:tcBorders>
            <w:shd w:val="clear" w:color="auto" w:fill="auto"/>
            <w:vAlign w:val="center"/>
            <w:hideMark/>
          </w:tcPr>
          <w:p w14:paraId="23C16553" w14:textId="35DF5F33"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197/1</w:t>
            </w:r>
          </w:p>
        </w:tc>
      </w:tr>
      <w:tr w:rsidR="00F57464" w:rsidRPr="00F57464" w14:paraId="1D782B94" w14:textId="77777777" w:rsidTr="004B556A">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64D08B6D" w14:textId="77777777" w:rsidR="00F57464" w:rsidRPr="00F57464" w:rsidRDefault="00F57464" w:rsidP="004B556A">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2F81B136" w14:textId="252DE8F1"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198/1</w:t>
            </w:r>
          </w:p>
        </w:tc>
      </w:tr>
      <w:tr w:rsidR="00F57464" w:rsidRPr="00F57464" w14:paraId="11A1E8CB" w14:textId="77777777" w:rsidTr="004B556A">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62C80C5" w14:textId="77777777" w:rsidR="00F57464" w:rsidRPr="00F57464" w:rsidRDefault="00F57464" w:rsidP="004B556A">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1454BB4B" w14:textId="34516D2C"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199/1</w:t>
            </w:r>
          </w:p>
        </w:tc>
      </w:tr>
      <w:tr w:rsidR="00F57464" w:rsidRPr="002769AD" w14:paraId="019B317E" w14:textId="77777777" w:rsidTr="004B556A">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0B6C5E3C" w14:textId="77777777" w:rsidR="00F57464" w:rsidRPr="00F57464" w:rsidRDefault="00F57464" w:rsidP="004B556A">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5767D6E6" w14:textId="0A99026E"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509/1</w:t>
            </w:r>
          </w:p>
          <w:p w14:paraId="45AC0AC0"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510/1</w:t>
            </w:r>
          </w:p>
          <w:p w14:paraId="74252F61"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511/1</w:t>
            </w:r>
          </w:p>
          <w:p w14:paraId="51978EF4"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512/1</w:t>
            </w:r>
          </w:p>
          <w:p w14:paraId="3E540414"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513/1</w:t>
            </w:r>
          </w:p>
          <w:p w14:paraId="382D3A26"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514/1</w:t>
            </w:r>
          </w:p>
          <w:p w14:paraId="3A1C9733"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547/1</w:t>
            </w:r>
          </w:p>
          <w:p w14:paraId="75E15FBB"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506</w:t>
            </w:r>
          </w:p>
          <w:p w14:paraId="622291D3"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549</w:t>
            </w:r>
          </w:p>
          <w:p w14:paraId="63414675"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550</w:t>
            </w:r>
          </w:p>
          <w:p w14:paraId="5A38EB8A"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551</w:t>
            </w:r>
          </w:p>
          <w:p w14:paraId="54B102B2"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557</w:t>
            </w:r>
          </w:p>
          <w:p w14:paraId="25C14048"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552</w:t>
            </w:r>
          </w:p>
          <w:p w14:paraId="01CBC6ED" w14:textId="77777777" w:rsidR="00F57464" w:rsidRPr="00F57464" w:rsidRDefault="00F57464" w:rsidP="004B556A">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553/1</w:t>
            </w:r>
          </w:p>
        </w:tc>
      </w:tr>
    </w:tbl>
    <w:p w14:paraId="09ED106D" w14:textId="03D9E803" w:rsidR="002769AD" w:rsidRDefault="002769AD">
      <w:pPr>
        <w:pStyle w:val="Tekstpodstawowy3"/>
        <w:spacing w:line="276" w:lineRule="auto"/>
        <w:ind w:left="720"/>
        <w:rPr>
          <w:rFonts w:ascii="Verdana" w:hAnsi="Verdana"/>
          <w:bCs/>
          <w:sz w:val="20"/>
        </w:rPr>
      </w:pPr>
    </w:p>
    <w:p w14:paraId="59A67B61" w14:textId="77777777" w:rsidR="00F57464" w:rsidRPr="00D37A69" w:rsidRDefault="00F57464">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F4A5F6A" w:rsidR="00AD3426" w:rsidRPr="0073235A" w:rsidRDefault="00B87C74" w:rsidP="0033011B">
            <w:pPr>
              <w:pStyle w:val="Tekstpodstawowy"/>
              <w:rPr>
                <w:rFonts w:ascii="Verdana" w:hAnsi="Verdana" w:cs="Arial"/>
                <w:b/>
                <w:bCs/>
                <w:sz w:val="20"/>
                <w:u w:val="none"/>
              </w:rPr>
            </w:pPr>
            <w:r>
              <w:rPr>
                <w:rFonts w:ascii="Verdana" w:hAnsi="Verdana"/>
                <w:b/>
                <w:bCs/>
                <w:sz w:val="20"/>
                <w:u w:val="none"/>
              </w:rPr>
              <w:t>Autostradzie</w:t>
            </w:r>
          </w:p>
        </w:tc>
        <w:tc>
          <w:tcPr>
            <w:tcW w:w="5492" w:type="dxa"/>
            <w:tcMar>
              <w:top w:w="85" w:type="dxa"/>
              <w:left w:w="108" w:type="dxa"/>
              <w:bottom w:w="85" w:type="dxa"/>
              <w:right w:w="108" w:type="dxa"/>
            </w:tcMar>
          </w:tcPr>
          <w:p w14:paraId="3C5E0FCF" w14:textId="67E265B8" w:rsidR="00AD3426" w:rsidRPr="0073235A" w:rsidRDefault="00673601" w:rsidP="00F824E8">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B87C74">
              <w:rPr>
                <w:rFonts w:ascii="Verdana" w:hAnsi="Verdana"/>
                <w:bCs/>
                <w:sz w:val="20"/>
                <w:u w:val="none"/>
              </w:rPr>
              <w:t xml:space="preserve">autostradę A2 na odcinku </w:t>
            </w:r>
            <w:r w:rsidR="00F824E8">
              <w:rPr>
                <w:rFonts w:ascii="Verdana" w:hAnsi="Verdana"/>
                <w:bCs/>
                <w:sz w:val="20"/>
                <w:u w:val="none"/>
              </w:rPr>
              <w:t>Halinów-Mińsk Mazowiecki</w:t>
            </w:r>
            <w:r w:rsidR="0033011B">
              <w:rPr>
                <w:rFonts w:ascii="Verdana" w:hAnsi="Verdana"/>
                <w:bCs/>
                <w:sz w:val="20"/>
                <w:u w:val="none"/>
              </w:rPr>
              <w:t>.</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226003B0" w:rsidR="00AD3426" w:rsidRPr="0073235A" w:rsidRDefault="00F27842" w:rsidP="00E10BA3">
            <w:pPr>
              <w:pStyle w:val="Tekstpodstawowy"/>
              <w:rPr>
                <w:rFonts w:ascii="Verdana" w:hAnsi="Verdana" w:cs="Arial"/>
                <w:sz w:val="20"/>
                <w:u w:val="none"/>
              </w:rPr>
            </w:pPr>
            <w:r w:rsidRPr="001E029E">
              <w:rPr>
                <w:u w:val="none"/>
              </w:rPr>
              <w:t>Należy przez to rozumieć Miejsce Obsługi Podróżnych spełniające warunki określone w Dziale III Rozdziale 3 Rozporządzenia Ministra Infrastruktury z dnia 16 stycznia 2002 roku w sprawie przepisów techniczno-budowlanych dotyczących autostrad płatnych (Dz.U. nr 12 poz. 116 późn.zm.)</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5888C38A"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lastRenderedPageBreak/>
        <w:t>Strony dopuszczają etapowanie Inwestycji zgodne z terminami zawartymi w OPF</w:t>
      </w:r>
      <w:r w:rsidR="007F32B2" w:rsidRPr="0073235A">
        <w:rPr>
          <w:rFonts w:ascii="Verdana" w:hAnsi="Verdana"/>
        </w:rPr>
        <w:t xml:space="preserve">, </w:t>
      </w:r>
      <w:r w:rsidR="00377A9A">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490331C3"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377A9A">
        <w:rPr>
          <w:rFonts w:ascii="Verdana" w:hAnsi="Verdana"/>
        </w:rPr>
        <w:br/>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517C56BF"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jest zobowiązany do niezwłocznego, lecz nie później niż w terminie </w:t>
      </w:r>
      <w:r w:rsidR="00377A9A">
        <w:rPr>
          <w:rFonts w:ascii="Verdana" w:hAnsi="Verdana"/>
        </w:rPr>
        <w:br/>
      </w:r>
      <w:r w:rsidRPr="0073235A">
        <w:rPr>
          <w:rFonts w:ascii="Verdana" w:hAnsi="Verdana"/>
        </w:rPr>
        <w:t>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31830418"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w:t>
      </w:r>
      <w:r w:rsidR="00377A9A">
        <w:rPr>
          <w:rFonts w:ascii="Verdana" w:hAnsi="Verdana"/>
        </w:rPr>
        <w:br/>
      </w:r>
      <w:r w:rsidR="00240750" w:rsidRPr="0073235A">
        <w:rPr>
          <w:rFonts w:ascii="Verdana" w:hAnsi="Verdana"/>
        </w:rPr>
        <w:t>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F27842">
        <w:rPr>
          <w:rFonts w:ascii="Verdana" w:hAnsi="Verdana"/>
          <w:bCs/>
        </w:rPr>
        <w:t>autostrad</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5. powyżej będą oceniane przez Wydzierżawiającego, zwłaszcza,</w:t>
      </w:r>
      <w:r w:rsidR="00377A9A">
        <w:rPr>
          <w:rFonts w:ascii="Verdana" w:hAnsi="Verdana"/>
          <w:bCs/>
        </w:rPr>
        <w:t xml:space="preserve"> </w:t>
      </w:r>
      <w:r w:rsidRPr="0073235A">
        <w:rPr>
          <w:rFonts w:ascii="Verdana" w:hAnsi="Verdana"/>
          <w:bCs/>
        </w:rPr>
        <w:t xml:space="preserve">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6F9E7726"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z dokumentacji związanej z Inwestycją, w tym dziennika budowy. Nadto, Dzierżawca zobowiązuje się przedstawiać Wydzierżawiającemu, na jego żądanie zgłaszane nie częściej niż raz na miesiąc szczegółowy raport</w:t>
      </w:r>
      <w:r w:rsidR="0024724E">
        <w:rPr>
          <w:rFonts w:ascii="Verdana" w:hAnsi="Verdana"/>
        </w:rPr>
        <w:t>,</w:t>
      </w:r>
      <w:r w:rsidRPr="0073235A">
        <w:rPr>
          <w:rFonts w:ascii="Verdana" w:hAnsi="Verdana"/>
        </w:rPr>
        <w:t xml:space="preserve">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Strony ustalają również, że zatwierdzenie dokumentów przez Wydzierżawiającego lub wniesienie do nich zastrzeżeń nie będzie stanowić podstawy odpowiedzialności </w:t>
      </w:r>
      <w:r w:rsidRPr="0073235A">
        <w:rPr>
          <w:rFonts w:ascii="Verdana" w:hAnsi="Verdana"/>
        </w:rPr>
        <w:lastRenderedPageBreak/>
        <w:t>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54829D13"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00F27842" w:rsidRPr="0073235A">
        <w:rPr>
          <w:rFonts w:ascii="Verdana" w:hAnsi="Verdana"/>
          <w:color w:val="000000"/>
        </w:rPr>
        <w:t>art. 4 pkt 1</w:t>
      </w:r>
      <w:r w:rsidR="00F27842">
        <w:rPr>
          <w:rFonts w:ascii="Verdana" w:hAnsi="Verdana"/>
          <w:color w:val="000000"/>
        </w:rPr>
        <w:t>1</w:t>
      </w:r>
      <w:r w:rsidR="00F27842" w:rsidRPr="0073235A">
        <w:rPr>
          <w:rFonts w:ascii="Verdana" w:hAnsi="Verdana"/>
          <w:color w:val="000000"/>
        </w:rPr>
        <w:t xml:space="preserve"> lit. c. ustawy z dnia 21 marca 1985 roku o drogach </w:t>
      </w:r>
      <w:r w:rsidR="00F27842" w:rsidRPr="001E029E">
        <w:rPr>
          <w:rFonts w:ascii="Verdana" w:hAnsi="Verdana"/>
          <w:color w:val="000000"/>
        </w:rPr>
        <w:t xml:space="preserve">publicznych ( Dz. U. z 2018 r. poz. 2068) i </w:t>
      </w:r>
      <w:r w:rsidR="00F27842" w:rsidRPr="001E029E">
        <w:rPr>
          <w:rFonts w:ascii="Verdana" w:hAnsi="Verdana"/>
        </w:rPr>
        <w:t>przepisów Rozporządzenia Ministra Infrastruktury z dnia 16 stycznia 2002 roku w sprawie przepisów techniczno-budowlanych dotyczących autostrad płatnyc</w:t>
      </w:r>
      <w:r w:rsidR="00F27842">
        <w:rPr>
          <w:rFonts w:ascii="Verdana" w:hAnsi="Verdana"/>
        </w:rPr>
        <w:t xml:space="preserve">h </w:t>
      </w:r>
      <w:r w:rsidR="00F27842" w:rsidRPr="001E029E">
        <w:rPr>
          <w:rFonts w:ascii="Verdana" w:hAnsi="Verdana"/>
          <w:color w:val="000000"/>
        </w:rPr>
        <w:t xml:space="preserve">oraz w celu prowadzenia </w:t>
      </w:r>
      <w:r w:rsidR="00F27842" w:rsidRPr="001E029E">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 xml:space="preserve">z postanowieniami art. 9 Umowy. Również po uzyskaniu uprzedniej, pisemnej – pod rygorem nieważności - zgody Wydzierżawiającego, Dzierżawca jest uprawniony </w:t>
      </w:r>
      <w:r w:rsidRPr="0073235A">
        <w:rPr>
          <w:rFonts w:ascii="Verdana" w:hAnsi="Verdana"/>
        </w:rPr>
        <w:lastRenderedPageBreak/>
        <w:t>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r>
      <w:r w:rsidRPr="0073235A">
        <w:rPr>
          <w:rFonts w:ascii="Verdana" w:hAnsi="Verdana"/>
        </w:rPr>
        <w:lastRenderedPageBreak/>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w:t>
      </w:r>
      <w:r w:rsidRPr="0073235A">
        <w:rPr>
          <w:rFonts w:ascii="Verdana" w:hAnsi="Verdana"/>
        </w:rPr>
        <w:lastRenderedPageBreak/>
        <w:t xml:space="preserve">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1B119990"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F27842">
        <w:rPr>
          <w:rStyle w:val="DeltaViewInsertion"/>
          <w:rFonts w:ascii="Verdana" w:hAnsi="Verdana" w:cs="Verdana"/>
          <w:color w:val="auto"/>
          <w:u w:val="none"/>
        </w:rPr>
        <w:t>Autostrady</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F27842">
        <w:rPr>
          <w:rStyle w:val="DeltaViewInsertion"/>
          <w:rFonts w:ascii="Verdana" w:hAnsi="Verdana" w:cs="Verdana"/>
          <w:color w:val="auto"/>
          <w:u w:val="none"/>
        </w:rPr>
        <w:t>Autostrady</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lastRenderedPageBreak/>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lastRenderedPageBreak/>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t>
      </w:r>
      <w:r w:rsidRPr="0073235A">
        <w:rPr>
          <w:rFonts w:ascii="Verdana" w:hAnsi="Verdana"/>
        </w:rPr>
        <w:lastRenderedPageBreak/>
        <w:t xml:space="preserve">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lastRenderedPageBreak/>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21CAE7A4"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F27842">
        <w:rPr>
          <w:rFonts w:ascii="Verdana" w:hAnsi="Verdana"/>
          <w:bCs/>
        </w:rPr>
        <w:t>Autostradzie</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F27842">
        <w:rPr>
          <w:rFonts w:ascii="Verdana" w:hAnsi="Verdana"/>
        </w:rPr>
        <w:t>Autostradzie</w:t>
      </w:r>
      <w:r w:rsidRPr="00D37A69">
        <w:rPr>
          <w:rFonts w:ascii="Verdana" w:hAnsi="Verdana"/>
        </w:rPr>
        <w:t xml:space="preserve"> będzie mniejsze od zakładanego w prognozach, zał</w:t>
      </w:r>
      <w:r w:rsidR="0073235A">
        <w:rPr>
          <w:rFonts w:ascii="Verdana" w:hAnsi="Verdana"/>
        </w:rPr>
        <w:t xml:space="preserve">ożeniach, statystykach czy też </w:t>
      </w:r>
      <w:r w:rsidR="00F27842">
        <w:rPr>
          <w:rFonts w:ascii="Verdana" w:hAnsi="Verdana"/>
        </w:rPr>
        <w:br/>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031231F2"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w:t>
      </w:r>
      <w:r w:rsidRPr="00D37A69">
        <w:rPr>
          <w:rFonts w:ascii="Verdana" w:hAnsi="Verdana"/>
        </w:rPr>
        <w:lastRenderedPageBreak/>
        <w:t>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00F27842">
        <w:rPr>
          <w:rFonts w:ascii="Verdana" w:hAnsi="Verdana"/>
          <w:bCs/>
        </w:rPr>
        <w:t>Autostrady</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lastRenderedPageBreak/>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lastRenderedPageBreak/>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lastRenderedPageBreak/>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73235A">
        <w:rPr>
          <w:rFonts w:ascii="Verdana" w:hAnsi="Verdana"/>
        </w:rPr>
        <w:lastRenderedPageBreak/>
        <w:t>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73235A">
        <w:rPr>
          <w:rFonts w:ascii="Verdana" w:hAnsi="Verdana"/>
        </w:rPr>
        <w:lastRenderedPageBreak/>
        <w:t xml:space="preserve">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co do której Strona może wykazać w sposób wiarygodny, że informacja ta była jej znana czy też osobie z nią powiązanej zanim została ujawniona przez </w:t>
      </w:r>
      <w:r w:rsidRPr="0073235A">
        <w:rPr>
          <w:rFonts w:ascii="Verdana" w:hAnsi="Verdana"/>
        </w:rPr>
        <w:lastRenderedPageBreak/>
        <w:t>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r>
      <w:r w:rsidRPr="0073235A">
        <w:rPr>
          <w:rFonts w:ascii="Verdana" w:hAnsi="Verdana"/>
        </w:rPr>
        <w:lastRenderedPageBreak/>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w:t>
      </w:r>
      <w:r w:rsidRPr="0073235A">
        <w:rPr>
          <w:rFonts w:ascii="Verdana" w:hAnsi="Verdana"/>
        </w:rPr>
        <w:lastRenderedPageBreak/>
        <w:t>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r>
      <w:r w:rsidRPr="0073235A">
        <w:rPr>
          <w:rFonts w:ascii="Verdana" w:hAnsi="Verdana"/>
        </w:rPr>
        <w:lastRenderedPageBreak/>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lastRenderedPageBreak/>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24493F7" w:rsidR="00AD3426"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4BED5A26" w14:textId="4202ED05" w:rsidR="00F27842" w:rsidRPr="00F27842" w:rsidRDefault="00F27842" w:rsidP="00F27842">
      <w:pPr>
        <w:widowControl/>
        <w:jc w:val="both"/>
        <w:rPr>
          <w:rFonts w:ascii="Verdana" w:hAnsi="Verdana"/>
        </w:rPr>
      </w:pPr>
    </w:p>
    <w:p w14:paraId="3C8088BC" w14:textId="08C31B8F" w:rsidR="00AD3426" w:rsidRPr="0073235A" w:rsidRDefault="00F27842"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1985 roku o drogach publicznych, ustawy z dnia 27 października 1994 roku o autostradach płatnych oraz o Krajowym Funduszu Drogowym (Dz. U. z 2018 r. poz. 2014 ze zm.), Rozporządzenia Ministra Infrastruktury z dnia 16 stycznia 2002 roku w sprawie przepisów techniczno-budowlanych dotyczących autostrad płatnych</w:t>
      </w:r>
      <w:r w:rsidRPr="001E029E" w:rsidDel="001E029E">
        <w:rPr>
          <w:rFonts w:ascii="Verdana" w:hAnsi="Verdana" w:cs="Arial"/>
        </w:rPr>
        <w:t xml:space="preserve"> </w:t>
      </w:r>
      <w:r w:rsidRPr="001E029E">
        <w:rPr>
          <w:rFonts w:ascii="Verdana" w:hAnsi="Verdana"/>
        </w:rPr>
        <w:t>oraz inne przepisy prawa</w:t>
      </w:r>
      <w:r w:rsidR="00673601"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080A2880"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F27842">
              <w:rPr>
                <w:rFonts w:ascii="Calibri" w:hAnsi="Calibri" w:cs="Arial"/>
                <w:bCs/>
                <w:color w:val="000000" w:themeColor="text1"/>
              </w:rPr>
              <w:t>Autostrady</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r>
            <w:r w:rsidRPr="00D37A69">
              <w:rPr>
                <w:rFonts w:ascii="Calibri" w:hAnsi="Calibri" w:cs="Arial"/>
                <w:bCs/>
              </w:rPr>
              <w:lastRenderedPageBreak/>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B702" w14:textId="77777777" w:rsidR="00027F2E" w:rsidRDefault="00027F2E">
      <w:r>
        <w:separator/>
      </w:r>
    </w:p>
  </w:endnote>
  <w:endnote w:type="continuationSeparator" w:id="0">
    <w:p w14:paraId="68F2B33F" w14:textId="77777777" w:rsidR="00027F2E" w:rsidRDefault="0002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A40E83" w:rsidRDefault="00A40E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A40E83" w:rsidRDefault="00A40E8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19C2BEBA" w:rsidR="00A40E83" w:rsidRDefault="00A40E83">
    <w:pPr>
      <w:pStyle w:val="Stopka"/>
      <w:jc w:val="center"/>
    </w:pPr>
    <w:r>
      <w:rPr>
        <w:sz w:val="18"/>
        <w:szCs w:val="18"/>
      </w:rPr>
      <w:fldChar w:fldCharType="begin"/>
    </w:r>
    <w:r>
      <w:rPr>
        <w:sz w:val="18"/>
        <w:szCs w:val="18"/>
      </w:rPr>
      <w:instrText>PAGE   \* MERGEFORMAT</w:instrText>
    </w:r>
    <w:r>
      <w:rPr>
        <w:sz w:val="18"/>
        <w:szCs w:val="18"/>
      </w:rPr>
      <w:fldChar w:fldCharType="separate"/>
    </w:r>
    <w:r w:rsidR="00381B00" w:rsidRPr="00381B00">
      <w:rPr>
        <w:noProof/>
        <w:sz w:val="18"/>
        <w:szCs w:val="18"/>
        <w:lang w:val="pl-PL"/>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8F94" w14:textId="77777777" w:rsidR="00027F2E" w:rsidRDefault="00027F2E">
      <w:r>
        <w:separator/>
      </w:r>
    </w:p>
  </w:footnote>
  <w:footnote w:type="continuationSeparator" w:id="0">
    <w:p w14:paraId="3A70DF04" w14:textId="77777777" w:rsidR="00027F2E" w:rsidRDefault="0002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D3330BE" w:rsidR="00A40E83" w:rsidRDefault="00A40E83" w:rsidP="00EE72B1">
    <w:pPr>
      <w:pStyle w:val="Nagwek"/>
      <w:jc w:val="center"/>
      <w:rPr>
        <w:rFonts w:ascii="Verdana" w:hAnsi="Verdana"/>
        <w:sz w:val="15"/>
        <w:szCs w:val="15"/>
        <w:lang w:val="pl-PL"/>
      </w:rPr>
    </w:pPr>
    <w:r>
      <w:rPr>
        <w:rFonts w:ascii="Verdana" w:hAnsi="Verdana"/>
        <w:sz w:val="15"/>
        <w:szCs w:val="15"/>
        <w:lang w:val="pl-PL"/>
      </w:rPr>
      <w:t xml:space="preserve">UMOWA DZIERŻAWY NIERUCHOMOŚCI MOP II </w:t>
    </w:r>
    <w:r w:rsidR="00F27842">
      <w:rPr>
        <w:rFonts w:ascii="Verdana" w:hAnsi="Verdana"/>
        <w:sz w:val="15"/>
        <w:szCs w:val="15"/>
        <w:lang w:val="pl-PL"/>
      </w:rPr>
      <w:t>OSTRÓW KANIA POŁUDNIE</w:t>
    </w:r>
  </w:p>
  <w:p w14:paraId="5EA0409A" w14:textId="37F815CE" w:rsidR="00A40E83" w:rsidRDefault="00A40E83"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7F2E"/>
    <w:rsid w:val="000354E9"/>
    <w:rsid w:val="000471AB"/>
    <w:rsid w:val="000605D6"/>
    <w:rsid w:val="000745F7"/>
    <w:rsid w:val="000758BC"/>
    <w:rsid w:val="00077930"/>
    <w:rsid w:val="00082141"/>
    <w:rsid w:val="000D22EF"/>
    <w:rsid w:val="000E264A"/>
    <w:rsid w:val="001138FD"/>
    <w:rsid w:val="0011467D"/>
    <w:rsid w:val="001515D4"/>
    <w:rsid w:val="001735BB"/>
    <w:rsid w:val="001A5D97"/>
    <w:rsid w:val="001C06E9"/>
    <w:rsid w:val="001F34C0"/>
    <w:rsid w:val="00203A8D"/>
    <w:rsid w:val="002257D2"/>
    <w:rsid w:val="00230D4D"/>
    <w:rsid w:val="00234047"/>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81B00"/>
    <w:rsid w:val="00391B38"/>
    <w:rsid w:val="00395AB7"/>
    <w:rsid w:val="00395C32"/>
    <w:rsid w:val="003A3F0A"/>
    <w:rsid w:val="003A5C4E"/>
    <w:rsid w:val="003B3DF9"/>
    <w:rsid w:val="003B4687"/>
    <w:rsid w:val="003C0A54"/>
    <w:rsid w:val="003E1F8A"/>
    <w:rsid w:val="003F06F7"/>
    <w:rsid w:val="003F2B29"/>
    <w:rsid w:val="003F429C"/>
    <w:rsid w:val="00400A94"/>
    <w:rsid w:val="00424356"/>
    <w:rsid w:val="004253F1"/>
    <w:rsid w:val="00433806"/>
    <w:rsid w:val="00437A58"/>
    <w:rsid w:val="00457384"/>
    <w:rsid w:val="00493070"/>
    <w:rsid w:val="0049435E"/>
    <w:rsid w:val="004B0F0E"/>
    <w:rsid w:val="004B1882"/>
    <w:rsid w:val="004B6980"/>
    <w:rsid w:val="004F3F10"/>
    <w:rsid w:val="00506AE1"/>
    <w:rsid w:val="00510A08"/>
    <w:rsid w:val="005167CA"/>
    <w:rsid w:val="00524DDE"/>
    <w:rsid w:val="00526A82"/>
    <w:rsid w:val="00564022"/>
    <w:rsid w:val="00564B58"/>
    <w:rsid w:val="0058639D"/>
    <w:rsid w:val="005937A7"/>
    <w:rsid w:val="005B462E"/>
    <w:rsid w:val="005C2B6D"/>
    <w:rsid w:val="005C308B"/>
    <w:rsid w:val="005C32AE"/>
    <w:rsid w:val="00610603"/>
    <w:rsid w:val="006376FA"/>
    <w:rsid w:val="0064396C"/>
    <w:rsid w:val="0066112F"/>
    <w:rsid w:val="00670844"/>
    <w:rsid w:val="00673601"/>
    <w:rsid w:val="00675777"/>
    <w:rsid w:val="00680B55"/>
    <w:rsid w:val="006A50EE"/>
    <w:rsid w:val="006A514F"/>
    <w:rsid w:val="006A7935"/>
    <w:rsid w:val="006B46A2"/>
    <w:rsid w:val="006B77BB"/>
    <w:rsid w:val="006C0F73"/>
    <w:rsid w:val="006C15E0"/>
    <w:rsid w:val="006C403D"/>
    <w:rsid w:val="006E2388"/>
    <w:rsid w:val="006F0B93"/>
    <w:rsid w:val="006F616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6BF5"/>
    <w:rsid w:val="009709C4"/>
    <w:rsid w:val="00980AB8"/>
    <w:rsid w:val="009835BC"/>
    <w:rsid w:val="0098676B"/>
    <w:rsid w:val="0099681D"/>
    <w:rsid w:val="009D1523"/>
    <w:rsid w:val="009D29F3"/>
    <w:rsid w:val="00A05F6E"/>
    <w:rsid w:val="00A12AD3"/>
    <w:rsid w:val="00A25DDB"/>
    <w:rsid w:val="00A40E83"/>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87C74"/>
    <w:rsid w:val="00BA778C"/>
    <w:rsid w:val="00BB1FDB"/>
    <w:rsid w:val="00BC0C47"/>
    <w:rsid w:val="00BE21DC"/>
    <w:rsid w:val="00BE7568"/>
    <w:rsid w:val="00C06E3E"/>
    <w:rsid w:val="00C24717"/>
    <w:rsid w:val="00C346A2"/>
    <w:rsid w:val="00C353F0"/>
    <w:rsid w:val="00C43688"/>
    <w:rsid w:val="00C518BB"/>
    <w:rsid w:val="00C62563"/>
    <w:rsid w:val="00CB4109"/>
    <w:rsid w:val="00CC7026"/>
    <w:rsid w:val="00CE32EF"/>
    <w:rsid w:val="00D01441"/>
    <w:rsid w:val="00D047A8"/>
    <w:rsid w:val="00D16AE2"/>
    <w:rsid w:val="00D241E9"/>
    <w:rsid w:val="00D37A69"/>
    <w:rsid w:val="00D546BF"/>
    <w:rsid w:val="00D75B10"/>
    <w:rsid w:val="00D96AF4"/>
    <w:rsid w:val="00DA50E5"/>
    <w:rsid w:val="00DA6177"/>
    <w:rsid w:val="00DE7E90"/>
    <w:rsid w:val="00E02B65"/>
    <w:rsid w:val="00E10BA3"/>
    <w:rsid w:val="00E16DE1"/>
    <w:rsid w:val="00E269AA"/>
    <w:rsid w:val="00E324BA"/>
    <w:rsid w:val="00E80D59"/>
    <w:rsid w:val="00EC544F"/>
    <w:rsid w:val="00EC5E4D"/>
    <w:rsid w:val="00ED148A"/>
    <w:rsid w:val="00ED4C2B"/>
    <w:rsid w:val="00EE1345"/>
    <w:rsid w:val="00EE72B1"/>
    <w:rsid w:val="00EF1709"/>
    <w:rsid w:val="00F03456"/>
    <w:rsid w:val="00F26318"/>
    <w:rsid w:val="00F27842"/>
    <w:rsid w:val="00F42EBB"/>
    <w:rsid w:val="00F47BA0"/>
    <w:rsid w:val="00F53FAB"/>
    <w:rsid w:val="00F57464"/>
    <w:rsid w:val="00F5781F"/>
    <w:rsid w:val="00F66731"/>
    <w:rsid w:val="00F824E8"/>
    <w:rsid w:val="00F835BD"/>
    <w:rsid w:val="00F844DA"/>
    <w:rsid w:val="00F922A5"/>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F9B1-5634-4904-BAF1-52DAE05E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15948</Words>
  <Characters>95692</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111418</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2019-04-26T13:17:00Z</cp:lastPrinted>
  <dcterms:created xsi:type="dcterms:W3CDTF">2021-10-28T07:20:00Z</dcterms:created>
  <dcterms:modified xsi:type="dcterms:W3CDTF">2021-10-28T07:20:00Z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