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D83" w:rsidRPr="00AB5CA1" w:rsidRDefault="00761D83" w:rsidP="00BE693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AB5CA1">
        <w:rPr>
          <w:rFonts w:ascii="Arial" w:hAnsi="Arial" w:cs="Arial"/>
          <w:b/>
          <w:bCs/>
          <w:color w:val="000000" w:themeColor="text1"/>
          <w:sz w:val="36"/>
          <w:szCs w:val="36"/>
        </w:rPr>
        <w:t>Osłony twarzy</w:t>
      </w:r>
    </w:p>
    <w:p w:rsidR="00382C5B" w:rsidRPr="00AB5CA1" w:rsidRDefault="00BE6934" w:rsidP="00DA245F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5CA1">
        <w:rPr>
          <w:rFonts w:ascii="Arial" w:hAnsi="Arial" w:cs="Arial"/>
          <w:color w:val="000000" w:themeColor="text1"/>
          <w:sz w:val="24"/>
          <w:szCs w:val="24"/>
        </w:rPr>
        <w:t>Wyrób</w:t>
      </w:r>
      <w:r w:rsidR="00DA245F" w:rsidRPr="00AB5CA1">
        <w:rPr>
          <w:rFonts w:ascii="Arial" w:hAnsi="Arial" w:cs="Arial"/>
          <w:color w:val="000000" w:themeColor="text1"/>
          <w:sz w:val="24"/>
          <w:szCs w:val="24"/>
        </w:rPr>
        <w:t xml:space="preserve"> o cechach ochronnych zapewniający ochronę oczu i twarzy</w:t>
      </w:r>
      <w:r w:rsidR="00DC4905" w:rsidRPr="00AB5CA1">
        <w:rPr>
          <w:rFonts w:ascii="Arial" w:hAnsi="Arial" w:cs="Arial"/>
          <w:color w:val="000000" w:themeColor="text1"/>
          <w:sz w:val="24"/>
          <w:szCs w:val="24"/>
        </w:rPr>
        <w:t xml:space="preserve"> przed czynnikami zew</w:t>
      </w:r>
      <w:r w:rsidR="00A90349" w:rsidRPr="00AB5CA1">
        <w:rPr>
          <w:rFonts w:ascii="Arial" w:hAnsi="Arial" w:cs="Arial"/>
          <w:color w:val="000000" w:themeColor="text1"/>
          <w:sz w:val="24"/>
          <w:szCs w:val="24"/>
        </w:rPr>
        <w:t>nętrznymi powinien spełniać wyma</w:t>
      </w:r>
      <w:r w:rsidR="00DC4905" w:rsidRPr="00AB5CA1">
        <w:rPr>
          <w:rFonts w:ascii="Arial" w:hAnsi="Arial" w:cs="Arial"/>
          <w:color w:val="000000" w:themeColor="text1"/>
          <w:sz w:val="24"/>
          <w:szCs w:val="24"/>
        </w:rPr>
        <w:t xml:space="preserve">gania </w:t>
      </w:r>
      <w:r w:rsidR="005206EE" w:rsidRPr="00AB5CA1">
        <w:rPr>
          <w:rFonts w:ascii="Arial" w:hAnsi="Arial" w:cs="Arial"/>
          <w:color w:val="000000" w:themeColor="text1"/>
          <w:sz w:val="24"/>
          <w:szCs w:val="24"/>
        </w:rPr>
        <w:t xml:space="preserve">zasadnicze </w:t>
      </w:r>
      <w:r w:rsidR="00710B5F">
        <w:rPr>
          <w:rFonts w:ascii="Arial" w:hAnsi="Arial" w:cs="Arial"/>
          <w:sz w:val="24"/>
          <w:szCs w:val="24"/>
          <w:lang w:eastAsia="pl-PL"/>
        </w:rPr>
        <w:t>Rozporządzenia Parlamentu Europejskiego</w:t>
      </w:r>
      <w:r w:rsidR="00710B5F">
        <w:rPr>
          <w:rFonts w:ascii="Arial" w:hAnsi="Arial" w:cs="Arial"/>
          <w:sz w:val="24"/>
          <w:szCs w:val="24"/>
          <w:lang w:eastAsia="pl-PL"/>
        </w:rPr>
        <w:t xml:space="preserve"> i Rady  UE  2016/425 dot. środków ochrony indywidualnej, w tym</w:t>
      </w:r>
      <w:r w:rsidR="005206EE" w:rsidRPr="00AB5C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4905" w:rsidRPr="00AB5CA1">
        <w:rPr>
          <w:rFonts w:ascii="Arial" w:hAnsi="Arial" w:cs="Arial"/>
          <w:color w:val="000000" w:themeColor="text1"/>
          <w:sz w:val="24"/>
          <w:szCs w:val="24"/>
        </w:rPr>
        <w:t>co najmniej jednej z  wymienionych norm</w:t>
      </w:r>
      <w:r w:rsidR="00710B5F">
        <w:rPr>
          <w:rFonts w:ascii="Arial" w:hAnsi="Arial" w:cs="Arial"/>
          <w:color w:val="000000" w:themeColor="text1"/>
          <w:sz w:val="24"/>
          <w:szCs w:val="24"/>
        </w:rPr>
        <w:t>:</w:t>
      </w:r>
      <w:r w:rsidR="00DC4905" w:rsidRPr="00AB5CA1">
        <w:rPr>
          <w:rFonts w:ascii="Arial" w:hAnsi="Arial" w:cs="Arial"/>
          <w:color w:val="000000" w:themeColor="text1"/>
          <w:sz w:val="24"/>
          <w:szCs w:val="24"/>
        </w:rPr>
        <w:t xml:space="preserve"> EN 166: 2001 (UE) lub ANSI</w:t>
      </w:r>
      <w:r w:rsidR="005206EE" w:rsidRPr="00AB5CA1">
        <w:rPr>
          <w:rFonts w:ascii="Arial" w:hAnsi="Arial" w:cs="Arial"/>
          <w:color w:val="000000" w:themeColor="text1"/>
          <w:sz w:val="24"/>
          <w:szCs w:val="24"/>
        </w:rPr>
        <w:t>/ISEA</w:t>
      </w:r>
      <w:r w:rsidR="00DC4905" w:rsidRPr="00AB5CA1">
        <w:rPr>
          <w:rFonts w:ascii="Arial" w:hAnsi="Arial" w:cs="Arial"/>
          <w:color w:val="000000" w:themeColor="text1"/>
          <w:sz w:val="24"/>
          <w:szCs w:val="24"/>
        </w:rPr>
        <w:t xml:space="preserve"> Z87.1: 20</w:t>
      </w:r>
      <w:r w:rsidR="005206EE" w:rsidRPr="00AB5CA1">
        <w:rPr>
          <w:rFonts w:ascii="Arial" w:hAnsi="Arial" w:cs="Arial"/>
          <w:color w:val="000000" w:themeColor="text1"/>
          <w:sz w:val="24"/>
          <w:szCs w:val="24"/>
        </w:rPr>
        <w:t>1</w:t>
      </w:r>
      <w:r w:rsidR="00DC4905" w:rsidRPr="00AB5CA1">
        <w:rPr>
          <w:rFonts w:ascii="Arial" w:hAnsi="Arial" w:cs="Arial"/>
          <w:color w:val="000000" w:themeColor="text1"/>
          <w:sz w:val="24"/>
          <w:szCs w:val="24"/>
        </w:rPr>
        <w:t>5 (USA)</w:t>
      </w:r>
      <w:r w:rsidR="00FC7C73" w:rsidRPr="00AB5CA1">
        <w:rPr>
          <w:rFonts w:ascii="Arial" w:hAnsi="Arial" w:cs="Arial"/>
          <w:color w:val="000000" w:themeColor="text1"/>
          <w:sz w:val="24"/>
          <w:szCs w:val="24"/>
        </w:rPr>
        <w:t xml:space="preserve"> lub </w:t>
      </w:r>
      <w:r w:rsidR="00352035" w:rsidRPr="00AB5CA1">
        <w:rPr>
          <w:rFonts w:ascii="Arial" w:hAnsi="Arial" w:cs="Arial"/>
          <w:color w:val="000000" w:themeColor="text1"/>
          <w:sz w:val="24"/>
          <w:szCs w:val="24"/>
        </w:rPr>
        <w:t>CSA Z94.3-2015</w:t>
      </w:r>
      <w:r w:rsidR="00DC4905" w:rsidRPr="00AB5C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52035" w:rsidRPr="00AB5CA1">
        <w:rPr>
          <w:rFonts w:ascii="Arial" w:hAnsi="Arial" w:cs="Arial"/>
          <w:color w:val="000000" w:themeColor="text1"/>
          <w:sz w:val="24"/>
          <w:szCs w:val="24"/>
        </w:rPr>
        <w:t>(Kanada)</w:t>
      </w:r>
      <w:r w:rsidR="00FC7C73" w:rsidRPr="00AB5CA1">
        <w:rPr>
          <w:rFonts w:ascii="Arial" w:hAnsi="Arial" w:cs="Arial"/>
          <w:color w:val="000000" w:themeColor="text1"/>
          <w:sz w:val="24"/>
          <w:szCs w:val="24"/>
        </w:rPr>
        <w:t xml:space="preserve"> lub</w:t>
      </w:r>
      <w:r w:rsidR="00352035" w:rsidRPr="00AB5CA1">
        <w:rPr>
          <w:rFonts w:ascii="Arial" w:hAnsi="Arial" w:cs="Arial"/>
          <w:color w:val="000000" w:themeColor="text1"/>
          <w:sz w:val="24"/>
          <w:szCs w:val="24"/>
        </w:rPr>
        <w:t xml:space="preserve"> AS/NZS 13</w:t>
      </w:r>
      <w:r w:rsidR="00FC7C73" w:rsidRPr="00AB5CA1">
        <w:rPr>
          <w:rFonts w:ascii="Arial" w:hAnsi="Arial" w:cs="Arial"/>
          <w:color w:val="000000" w:themeColor="text1"/>
          <w:sz w:val="24"/>
          <w:szCs w:val="24"/>
        </w:rPr>
        <w:t>371</w:t>
      </w:r>
      <w:r w:rsidR="00352035" w:rsidRPr="00AB5CA1">
        <w:rPr>
          <w:rFonts w:ascii="Arial" w:hAnsi="Arial" w:cs="Arial"/>
          <w:color w:val="000000" w:themeColor="text1"/>
          <w:sz w:val="24"/>
          <w:szCs w:val="24"/>
        </w:rPr>
        <w:t>.1</w:t>
      </w:r>
      <w:r w:rsidR="00FC7C73" w:rsidRPr="00AB5CA1">
        <w:rPr>
          <w:rFonts w:ascii="Arial" w:hAnsi="Arial" w:cs="Arial"/>
          <w:color w:val="000000" w:themeColor="text1"/>
          <w:sz w:val="24"/>
          <w:szCs w:val="24"/>
        </w:rPr>
        <w:t>: 2010 (Australia) lub GB/T14866: 2006 (Chiny) lub JSA-JIS T 8147: 2016</w:t>
      </w:r>
      <w:r w:rsidR="00382C5B" w:rsidRPr="00AB5CA1">
        <w:rPr>
          <w:rFonts w:ascii="Arial" w:hAnsi="Arial" w:cs="Arial"/>
          <w:color w:val="000000" w:themeColor="text1"/>
          <w:sz w:val="24"/>
          <w:szCs w:val="24"/>
        </w:rPr>
        <w:t xml:space="preserve"> (Japonia) w zakresie:</w:t>
      </w:r>
    </w:p>
    <w:p w:rsidR="00382C5B" w:rsidRPr="00AB5CA1" w:rsidRDefault="00382C5B" w:rsidP="00C2450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5CA1">
        <w:rPr>
          <w:rFonts w:ascii="Arial" w:hAnsi="Arial" w:cs="Arial"/>
          <w:color w:val="000000" w:themeColor="text1"/>
          <w:sz w:val="24"/>
          <w:szCs w:val="24"/>
        </w:rPr>
        <w:t>wymiarów minimalnego pokrycia chronionego obszaru oczu i twarzy (wysokość osłony nie mniejsza niż 150 mm),</w:t>
      </w:r>
    </w:p>
    <w:p w:rsidR="00382C5B" w:rsidRPr="00AB5CA1" w:rsidRDefault="00382C5B" w:rsidP="00C2450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5CA1">
        <w:rPr>
          <w:rFonts w:ascii="Arial" w:hAnsi="Arial" w:cs="Arial"/>
          <w:color w:val="000000" w:themeColor="text1"/>
          <w:sz w:val="24"/>
          <w:szCs w:val="24"/>
        </w:rPr>
        <w:t>współczynnika przepuszczania świat</w:t>
      </w:r>
      <w:r w:rsidR="00880C2A" w:rsidRPr="00AB5CA1">
        <w:rPr>
          <w:rFonts w:ascii="Arial" w:hAnsi="Arial" w:cs="Arial"/>
          <w:color w:val="000000" w:themeColor="text1"/>
          <w:sz w:val="24"/>
          <w:szCs w:val="24"/>
        </w:rPr>
        <w:t>ł</w:t>
      </w:r>
      <w:r w:rsidRPr="00AB5CA1">
        <w:rPr>
          <w:rFonts w:ascii="Arial" w:hAnsi="Arial" w:cs="Arial"/>
          <w:color w:val="000000" w:themeColor="text1"/>
          <w:sz w:val="24"/>
          <w:szCs w:val="24"/>
        </w:rPr>
        <w:t>a – n</w:t>
      </w:r>
      <w:r w:rsidR="00C24503" w:rsidRPr="00AB5CA1">
        <w:rPr>
          <w:rFonts w:ascii="Arial" w:hAnsi="Arial" w:cs="Arial"/>
          <w:color w:val="000000" w:themeColor="text1"/>
          <w:sz w:val="24"/>
          <w:szCs w:val="24"/>
        </w:rPr>
        <w:t>ie mniej niż 74,4 %.</w:t>
      </w:r>
    </w:p>
    <w:p w:rsidR="00382C5B" w:rsidRPr="00AB5CA1" w:rsidRDefault="00382C5B" w:rsidP="00382C5B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5CA1">
        <w:rPr>
          <w:rFonts w:ascii="Arial" w:hAnsi="Arial" w:cs="Arial"/>
          <w:color w:val="000000" w:themeColor="text1"/>
          <w:sz w:val="24"/>
          <w:szCs w:val="24"/>
        </w:rPr>
        <w:t xml:space="preserve">Osłona twarzy powinna osłaniać obszar oczny oraz twarz użytkownika, w tym </w:t>
      </w:r>
      <w:r w:rsidR="003D7A69" w:rsidRPr="00AB5CA1">
        <w:rPr>
          <w:rFonts w:ascii="Arial" w:hAnsi="Arial" w:cs="Arial"/>
          <w:color w:val="000000" w:themeColor="text1"/>
          <w:sz w:val="24"/>
          <w:szCs w:val="24"/>
        </w:rPr>
        <w:t xml:space="preserve">usta, </w:t>
      </w:r>
      <w:r w:rsidRPr="00AB5CA1">
        <w:rPr>
          <w:rFonts w:ascii="Arial" w:hAnsi="Arial" w:cs="Arial"/>
          <w:color w:val="000000" w:themeColor="text1"/>
          <w:sz w:val="24"/>
          <w:szCs w:val="24"/>
        </w:rPr>
        <w:t>nos oraz czoło.</w:t>
      </w:r>
    </w:p>
    <w:p w:rsidR="000E7018" w:rsidRPr="00AB5CA1" w:rsidRDefault="003D7A69" w:rsidP="00382C5B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5CA1">
        <w:rPr>
          <w:rFonts w:ascii="Arial" w:hAnsi="Arial" w:cs="Arial"/>
          <w:color w:val="000000" w:themeColor="text1"/>
          <w:sz w:val="24"/>
          <w:szCs w:val="24"/>
        </w:rPr>
        <w:t>Osłona twarzy powinna być w</w:t>
      </w:r>
      <w:r w:rsidR="000E7018" w:rsidRPr="00AB5CA1">
        <w:rPr>
          <w:rFonts w:ascii="Arial" w:hAnsi="Arial" w:cs="Arial"/>
          <w:color w:val="000000" w:themeColor="text1"/>
          <w:sz w:val="24"/>
          <w:szCs w:val="24"/>
        </w:rPr>
        <w:t>ykonana z materiałów niepalnych.</w:t>
      </w:r>
      <w:r w:rsidRPr="00AB5C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382C5B" w:rsidRPr="00AB5CA1" w:rsidRDefault="00382C5B" w:rsidP="00382C5B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82C5B" w:rsidRPr="00AB5CA1" w:rsidRDefault="00382C5B" w:rsidP="00382C5B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9268D" w:rsidRPr="00AB5CA1" w:rsidRDefault="00D9268D" w:rsidP="00D9268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AB5CA1">
        <w:rPr>
          <w:rFonts w:ascii="Arial" w:hAnsi="Arial" w:cs="Arial"/>
          <w:b/>
          <w:bCs/>
          <w:color w:val="000000" w:themeColor="text1"/>
          <w:sz w:val="36"/>
          <w:szCs w:val="36"/>
        </w:rPr>
        <w:t>Gogle ochronne</w:t>
      </w:r>
    </w:p>
    <w:p w:rsidR="005206EE" w:rsidRPr="00AB5CA1" w:rsidRDefault="00D9268D" w:rsidP="005206E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5CA1">
        <w:rPr>
          <w:rFonts w:ascii="Arial" w:hAnsi="Arial" w:cs="Arial"/>
          <w:color w:val="000000" w:themeColor="text1"/>
          <w:sz w:val="24"/>
          <w:szCs w:val="24"/>
        </w:rPr>
        <w:t>Wyrób o cechach ochronnych zapewniający ochronę oczu i ich najbliższego otoczenia przed czynnikami zew</w:t>
      </w:r>
      <w:r w:rsidR="00832D16" w:rsidRPr="00AB5CA1">
        <w:rPr>
          <w:rFonts w:ascii="Arial" w:hAnsi="Arial" w:cs="Arial"/>
          <w:color w:val="000000" w:themeColor="text1"/>
          <w:sz w:val="24"/>
          <w:szCs w:val="24"/>
        </w:rPr>
        <w:t xml:space="preserve">nętrznymi powinien spełniać </w:t>
      </w:r>
      <w:r w:rsidR="00710B5F">
        <w:rPr>
          <w:rFonts w:ascii="Arial" w:hAnsi="Arial" w:cs="Arial"/>
          <w:color w:val="000000" w:themeColor="text1"/>
          <w:sz w:val="24"/>
          <w:szCs w:val="24"/>
        </w:rPr>
        <w:t xml:space="preserve">wymagania zasadnicze </w:t>
      </w:r>
      <w:r w:rsidR="00710B5F">
        <w:rPr>
          <w:rFonts w:ascii="Arial" w:hAnsi="Arial" w:cs="Arial"/>
          <w:sz w:val="24"/>
          <w:szCs w:val="24"/>
          <w:lang w:eastAsia="pl-PL"/>
        </w:rPr>
        <w:t xml:space="preserve">Rozporządzenia Parlamentu Europejskiego i Rady  </w:t>
      </w:r>
      <w:r w:rsidR="00710B5F">
        <w:rPr>
          <w:rFonts w:ascii="Arial" w:hAnsi="Arial" w:cs="Arial"/>
          <w:sz w:val="24"/>
          <w:szCs w:val="24"/>
          <w:lang w:eastAsia="pl-PL"/>
        </w:rPr>
        <w:t>UE  2016/425 dot. środków ochrony indywidualnej, w tym</w:t>
      </w:r>
      <w:r w:rsidR="005206EE" w:rsidRPr="00AB5CA1">
        <w:rPr>
          <w:rFonts w:ascii="Arial" w:hAnsi="Arial" w:cs="Arial"/>
          <w:color w:val="000000" w:themeColor="text1"/>
          <w:sz w:val="24"/>
          <w:szCs w:val="24"/>
        </w:rPr>
        <w:t xml:space="preserve"> co najmniej jednej z  wymienionych norm</w:t>
      </w:r>
      <w:r w:rsidR="004659D0">
        <w:rPr>
          <w:rFonts w:ascii="Arial" w:hAnsi="Arial" w:cs="Arial"/>
          <w:color w:val="000000" w:themeColor="text1"/>
          <w:sz w:val="24"/>
          <w:szCs w:val="24"/>
        </w:rPr>
        <w:t>:</w:t>
      </w:r>
      <w:r w:rsidR="005206EE" w:rsidRPr="00AB5CA1">
        <w:rPr>
          <w:rFonts w:ascii="Arial" w:hAnsi="Arial" w:cs="Arial"/>
          <w:color w:val="000000" w:themeColor="text1"/>
          <w:sz w:val="24"/>
          <w:szCs w:val="24"/>
        </w:rPr>
        <w:t xml:space="preserve"> EN 166: 2001 (UE) lub ANSI/ISEA Z87.1: 2015 (USA) lub CSA Z94.3-2015 (Kanada) lub AS/NZS 13371.1: 2010 (Australia) lub GB/T14866: 2006 (Chiny) lub JSA-JIS T 8147: 2016 (Japonia) w zakresie:</w:t>
      </w:r>
    </w:p>
    <w:p w:rsidR="00D9268D" w:rsidRPr="00AB5CA1" w:rsidRDefault="00D9268D" w:rsidP="005206E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5CA1">
        <w:rPr>
          <w:rFonts w:ascii="Arial" w:hAnsi="Arial" w:cs="Arial"/>
          <w:color w:val="000000" w:themeColor="text1"/>
          <w:sz w:val="24"/>
          <w:szCs w:val="24"/>
        </w:rPr>
        <w:t>wymiarów minimalnego pokrycia chronionego obszaru ocznego,</w:t>
      </w:r>
    </w:p>
    <w:p w:rsidR="00D9268D" w:rsidRPr="00AB5CA1" w:rsidRDefault="00D9268D" w:rsidP="00C2450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5CA1">
        <w:rPr>
          <w:rFonts w:ascii="Arial" w:hAnsi="Arial" w:cs="Arial"/>
          <w:color w:val="000000" w:themeColor="text1"/>
          <w:sz w:val="24"/>
          <w:szCs w:val="24"/>
        </w:rPr>
        <w:t>współczynnika przepuszczania świat</w:t>
      </w:r>
      <w:r w:rsidR="000E7018" w:rsidRPr="00AB5CA1">
        <w:rPr>
          <w:rFonts w:ascii="Arial" w:hAnsi="Arial" w:cs="Arial"/>
          <w:color w:val="000000" w:themeColor="text1"/>
          <w:sz w:val="24"/>
          <w:szCs w:val="24"/>
        </w:rPr>
        <w:t>ł</w:t>
      </w:r>
      <w:r w:rsidR="00C24503" w:rsidRPr="00AB5CA1">
        <w:rPr>
          <w:rFonts w:ascii="Arial" w:hAnsi="Arial" w:cs="Arial"/>
          <w:color w:val="000000" w:themeColor="text1"/>
          <w:sz w:val="24"/>
          <w:szCs w:val="24"/>
        </w:rPr>
        <w:t>a – nie mniej niż 74,4 %.</w:t>
      </w:r>
    </w:p>
    <w:p w:rsidR="00D9268D" w:rsidRPr="00AB5CA1" w:rsidRDefault="00D9268D" w:rsidP="00D9268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5CA1">
        <w:rPr>
          <w:rFonts w:ascii="Arial" w:hAnsi="Arial" w:cs="Arial"/>
          <w:color w:val="000000" w:themeColor="text1"/>
          <w:sz w:val="24"/>
          <w:szCs w:val="24"/>
        </w:rPr>
        <w:t>Gogle ochronne powinny przylegać bezpośrednio do twarzy użytkownika, osłaniając oczy wraz z ich najbliższym otoczeniem.</w:t>
      </w:r>
    </w:p>
    <w:p w:rsidR="00832D16" w:rsidRPr="00AB5CA1" w:rsidRDefault="000E7018" w:rsidP="00D9268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5CA1">
        <w:rPr>
          <w:rFonts w:ascii="Arial" w:hAnsi="Arial" w:cs="Arial"/>
          <w:color w:val="000000" w:themeColor="text1"/>
          <w:sz w:val="24"/>
          <w:szCs w:val="24"/>
        </w:rPr>
        <w:t>Gogle ochronne  powinny</w:t>
      </w:r>
      <w:r w:rsidR="00D9268D" w:rsidRPr="00AB5CA1">
        <w:rPr>
          <w:rFonts w:ascii="Arial" w:hAnsi="Arial" w:cs="Arial"/>
          <w:color w:val="000000" w:themeColor="text1"/>
          <w:sz w:val="24"/>
          <w:szCs w:val="24"/>
        </w:rPr>
        <w:t xml:space="preserve"> być w</w:t>
      </w:r>
      <w:r w:rsidRPr="00AB5CA1">
        <w:rPr>
          <w:rFonts w:ascii="Arial" w:hAnsi="Arial" w:cs="Arial"/>
          <w:color w:val="000000" w:themeColor="text1"/>
          <w:sz w:val="24"/>
          <w:szCs w:val="24"/>
        </w:rPr>
        <w:t>ykonana z materiałów niepalnych.</w:t>
      </w:r>
      <w:r w:rsidR="00D9268D" w:rsidRPr="00AB5C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24503" w:rsidRPr="00AB5CA1" w:rsidRDefault="00C24503" w:rsidP="00C24503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:rsidR="00D9268D" w:rsidRPr="00AB5CA1" w:rsidRDefault="00D9268D" w:rsidP="00D9268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AB5CA1">
        <w:rPr>
          <w:rFonts w:ascii="Arial" w:hAnsi="Arial" w:cs="Arial"/>
          <w:b/>
          <w:bCs/>
          <w:color w:val="000000" w:themeColor="text1"/>
          <w:sz w:val="36"/>
          <w:szCs w:val="36"/>
        </w:rPr>
        <w:t>Okulary ochronne</w:t>
      </w:r>
    </w:p>
    <w:p w:rsidR="005206EE" w:rsidRPr="00AB5CA1" w:rsidRDefault="00D9268D" w:rsidP="005206E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5CA1">
        <w:rPr>
          <w:rFonts w:ascii="Arial" w:hAnsi="Arial" w:cs="Arial"/>
          <w:color w:val="000000" w:themeColor="text1"/>
          <w:sz w:val="24"/>
          <w:szCs w:val="24"/>
        </w:rPr>
        <w:t>Wyrób o cechach ochronnych zapewniający ochronę oczu i ich najbliższego otoczenia przed czynnikami zew</w:t>
      </w:r>
      <w:r w:rsidR="000E7018" w:rsidRPr="00AB5CA1">
        <w:rPr>
          <w:rFonts w:ascii="Arial" w:hAnsi="Arial" w:cs="Arial"/>
          <w:color w:val="000000" w:themeColor="text1"/>
          <w:sz w:val="24"/>
          <w:szCs w:val="24"/>
        </w:rPr>
        <w:t xml:space="preserve">nętrznymi powinien spełniać </w:t>
      </w:r>
      <w:r w:rsidR="005206EE" w:rsidRPr="00AB5CA1">
        <w:rPr>
          <w:rFonts w:ascii="Arial" w:hAnsi="Arial" w:cs="Arial"/>
          <w:color w:val="000000" w:themeColor="text1"/>
          <w:sz w:val="24"/>
          <w:szCs w:val="24"/>
        </w:rPr>
        <w:t xml:space="preserve">wymagania zasadnicze </w:t>
      </w:r>
      <w:r w:rsidR="00710B5F">
        <w:rPr>
          <w:rFonts w:ascii="Arial" w:hAnsi="Arial" w:cs="Arial"/>
          <w:sz w:val="24"/>
          <w:szCs w:val="24"/>
          <w:lang w:eastAsia="pl-PL"/>
        </w:rPr>
        <w:lastRenderedPageBreak/>
        <w:t>Rozporządzenia Parlamentu Europejskiego</w:t>
      </w:r>
      <w:r w:rsidR="00710B5F">
        <w:rPr>
          <w:rFonts w:ascii="Arial" w:hAnsi="Arial" w:cs="Arial"/>
          <w:sz w:val="24"/>
          <w:szCs w:val="24"/>
          <w:lang w:eastAsia="pl-PL"/>
        </w:rPr>
        <w:t xml:space="preserve"> i Rady  UE  2016/425 dot. środków ochrony indywidualnej, w tym</w:t>
      </w:r>
      <w:r w:rsidR="005206EE" w:rsidRPr="00AB5CA1">
        <w:rPr>
          <w:rFonts w:ascii="Arial" w:hAnsi="Arial" w:cs="Arial"/>
          <w:color w:val="000000" w:themeColor="text1"/>
          <w:sz w:val="24"/>
          <w:szCs w:val="24"/>
        </w:rPr>
        <w:t xml:space="preserve"> co najmniej jednej z  wymienionych norm</w:t>
      </w:r>
      <w:r w:rsidR="004659D0">
        <w:rPr>
          <w:rFonts w:ascii="Arial" w:hAnsi="Arial" w:cs="Arial"/>
          <w:color w:val="000000" w:themeColor="text1"/>
          <w:sz w:val="24"/>
          <w:szCs w:val="24"/>
        </w:rPr>
        <w:t>:</w:t>
      </w:r>
      <w:bookmarkStart w:id="0" w:name="_GoBack"/>
      <w:bookmarkEnd w:id="0"/>
      <w:r w:rsidR="005206EE" w:rsidRPr="00AB5CA1">
        <w:rPr>
          <w:rFonts w:ascii="Arial" w:hAnsi="Arial" w:cs="Arial"/>
          <w:color w:val="000000" w:themeColor="text1"/>
          <w:sz w:val="24"/>
          <w:szCs w:val="24"/>
        </w:rPr>
        <w:t xml:space="preserve"> EN 166: 2001 (UE) lub ANSI/ISEA Z87.1: 2015 (USA) lub CSA Z94.3-2015 (Kanada) lub AS/NZS 13371.1: 2010 (Australia) lub GB/T14866: 2006 (Chiny) lub JSA-JIS T 8147: 2016 (Japonia) w zakresie:</w:t>
      </w:r>
    </w:p>
    <w:p w:rsidR="00D9268D" w:rsidRPr="00AB5CA1" w:rsidRDefault="00D9268D" w:rsidP="00520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5CA1">
        <w:rPr>
          <w:rFonts w:ascii="Arial" w:hAnsi="Arial" w:cs="Arial"/>
          <w:color w:val="000000" w:themeColor="text1"/>
          <w:sz w:val="24"/>
          <w:szCs w:val="24"/>
        </w:rPr>
        <w:t>wymiarów minimalnego pokrycia chronionego obszaru ocznego,</w:t>
      </w:r>
    </w:p>
    <w:p w:rsidR="00D9268D" w:rsidRPr="00AB5CA1" w:rsidRDefault="00D9268D" w:rsidP="00C2450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5CA1">
        <w:rPr>
          <w:rFonts w:ascii="Arial" w:hAnsi="Arial" w:cs="Arial"/>
          <w:color w:val="000000" w:themeColor="text1"/>
          <w:sz w:val="24"/>
          <w:szCs w:val="24"/>
        </w:rPr>
        <w:t>współczynnika przepuszczani</w:t>
      </w:r>
      <w:r w:rsidR="00C24503" w:rsidRPr="00AB5CA1">
        <w:rPr>
          <w:rFonts w:ascii="Arial" w:hAnsi="Arial" w:cs="Arial"/>
          <w:color w:val="000000" w:themeColor="text1"/>
          <w:sz w:val="24"/>
          <w:szCs w:val="24"/>
        </w:rPr>
        <w:t>a świata – nie mniej niż 74,4 %.</w:t>
      </w:r>
    </w:p>
    <w:p w:rsidR="00D9268D" w:rsidRPr="00AB5CA1" w:rsidRDefault="00D9268D" w:rsidP="00D9268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5CA1">
        <w:rPr>
          <w:rFonts w:ascii="Arial" w:hAnsi="Arial" w:cs="Arial"/>
          <w:color w:val="000000" w:themeColor="text1"/>
          <w:sz w:val="24"/>
          <w:szCs w:val="24"/>
        </w:rPr>
        <w:t>Okulary ochronne powinny być wyposażone w osłonki boczne oraz osłonę od strony czoła użytkownika, osłaniając oczy wraz z ich najbliższym otoczeniem.</w:t>
      </w:r>
    </w:p>
    <w:p w:rsidR="000E7018" w:rsidRPr="00AB5CA1" w:rsidRDefault="00D9268D" w:rsidP="00D9268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5CA1">
        <w:rPr>
          <w:rFonts w:ascii="Arial" w:hAnsi="Arial" w:cs="Arial"/>
          <w:color w:val="000000" w:themeColor="text1"/>
          <w:sz w:val="24"/>
          <w:szCs w:val="24"/>
        </w:rPr>
        <w:t xml:space="preserve">Okulary ochronne </w:t>
      </w:r>
      <w:r w:rsidR="000E7018" w:rsidRPr="00AB5CA1">
        <w:rPr>
          <w:rFonts w:ascii="Arial" w:hAnsi="Arial" w:cs="Arial"/>
          <w:color w:val="000000" w:themeColor="text1"/>
          <w:sz w:val="24"/>
          <w:szCs w:val="24"/>
        </w:rPr>
        <w:t xml:space="preserve">powinny </w:t>
      </w:r>
      <w:r w:rsidRPr="00AB5CA1">
        <w:rPr>
          <w:rFonts w:ascii="Arial" w:hAnsi="Arial" w:cs="Arial"/>
          <w:color w:val="000000" w:themeColor="text1"/>
          <w:sz w:val="24"/>
          <w:szCs w:val="24"/>
        </w:rPr>
        <w:t>być w</w:t>
      </w:r>
      <w:r w:rsidR="00832D16" w:rsidRPr="00AB5CA1">
        <w:rPr>
          <w:rFonts w:ascii="Arial" w:hAnsi="Arial" w:cs="Arial"/>
          <w:color w:val="000000" w:themeColor="text1"/>
          <w:sz w:val="24"/>
          <w:szCs w:val="24"/>
        </w:rPr>
        <w:t>ykonane z materiałów niepalnych.</w:t>
      </w:r>
      <w:r w:rsidRPr="00AB5C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9268D" w:rsidRPr="00AB5CA1" w:rsidRDefault="00D9268D" w:rsidP="00382C5B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A245F" w:rsidRPr="00AB5CA1" w:rsidRDefault="00DA245F" w:rsidP="0092691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5CA1">
        <w:rPr>
          <w:rFonts w:ascii="Arial" w:hAnsi="Arial" w:cs="Arial"/>
          <w:color w:val="000000" w:themeColor="text1"/>
          <w:sz w:val="24"/>
          <w:szCs w:val="24"/>
        </w:rPr>
        <w:t>Opracowa</w:t>
      </w:r>
      <w:r w:rsidR="00BE6934" w:rsidRPr="00AB5CA1">
        <w:rPr>
          <w:rFonts w:ascii="Arial" w:hAnsi="Arial" w:cs="Arial"/>
          <w:color w:val="000000" w:themeColor="text1"/>
          <w:sz w:val="24"/>
          <w:szCs w:val="24"/>
        </w:rPr>
        <w:t>nie</w:t>
      </w:r>
      <w:r w:rsidRPr="00AB5CA1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:rsidR="00DA245F" w:rsidRPr="00AB5CA1" w:rsidRDefault="00BE6934" w:rsidP="0092691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5CA1">
        <w:rPr>
          <w:rFonts w:ascii="Arial" w:hAnsi="Arial" w:cs="Arial"/>
          <w:color w:val="000000" w:themeColor="text1"/>
          <w:sz w:val="24"/>
          <w:szCs w:val="24"/>
        </w:rPr>
        <w:t>Centralny Instytut Ochrony Pracy – Państwowy Instytut Badawczy</w:t>
      </w:r>
    </w:p>
    <w:p w:rsidR="00DA245F" w:rsidRPr="00AB5CA1" w:rsidRDefault="00BE6934" w:rsidP="0092691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5CA1">
        <w:rPr>
          <w:rFonts w:ascii="Arial" w:hAnsi="Arial" w:cs="Arial"/>
          <w:color w:val="000000" w:themeColor="text1"/>
          <w:sz w:val="24"/>
          <w:szCs w:val="24"/>
        </w:rPr>
        <w:t>Zakład Ochron Osobistych</w:t>
      </w:r>
    </w:p>
    <w:p w:rsidR="00DA245F" w:rsidRPr="00AB5CA1" w:rsidRDefault="00DA245F" w:rsidP="00DA245F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DA245F" w:rsidRPr="00AB5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F3C38"/>
    <w:multiLevelType w:val="hybridMultilevel"/>
    <w:tmpl w:val="C8561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75E76"/>
    <w:multiLevelType w:val="hybridMultilevel"/>
    <w:tmpl w:val="2BB887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B33BE"/>
    <w:multiLevelType w:val="hybridMultilevel"/>
    <w:tmpl w:val="88746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26E07"/>
    <w:multiLevelType w:val="hybridMultilevel"/>
    <w:tmpl w:val="327C0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E631E3"/>
    <w:multiLevelType w:val="hybridMultilevel"/>
    <w:tmpl w:val="2BB887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85C13"/>
    <w:multiLevelType w:val="hybridMultilevel"/>
    <w:tmpl w:val="353E0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54714"/>
    <w:multiLevelType w:val="hybridMultilevel"/>
    <w:tmpl w:val="2CF05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A0C"/>
    <w:multiLevelType w:val="hybridMultilevel"/>
    <w:tmpl w:val="A062529A"/>
    <w:lvl w:ilvl="0" w:tplc="E88241A4">
      <w:start w:val="1"/>
      <w:numFmt w:val="decimal"/>
      <w:lvlText w:val="%1)"/>
      <w:lvlJc w:val="left"/>
      <w:pPr>
        <w:ind w:left="122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8" w15:restartNumberingAfterBreak="0">
    <w:nsid w:val="4D9B78B3"/>
    <w:multiLevelType w:val="hybridMultilevel"/>
    <w:tmpl w:val="9E1C0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813E7"/>
    <w:multiLevelType w:val="hybridMultilevel"/>
    <w:tmpl w:val="2BB887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B26EE"/>
    <w:multiLevelType w:val="hybridMultilevel"/>
    <w:tmpl w:val="8A78B43A"/>
    <w:lvl w:ilvl="0" w:tplc="04150011">
      <w:start w:val="1"/>
      <w:numFmt w:val="decimal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1" w15:restartNumberingAfterBreak="0">
    <w:nsid w:val="76AF6306"/>
    <w:multiLevelType w:val="hybridMultilevel"/>
    <w:tmpl w:val="4D6A3CFC"/>
    <w:lvl w:ilvl="0" w:tplc="C0ECAB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3"/>
  </w:num>
  <w:num w:numId="5">
    <w:abstractNumId w:val="10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  <w:num w:numId="11">
    <w:abstractNumId w:val="6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74"/>
    <w:rsid w:val="000E7018"/>
    <w:rsid w:val="00352035"/>
    <w:rsid w:val="00382C5B"/>
    <w:rsid w:val="003C20BE"/>
    <w:rsid w:val="003D7A69"/>
    <w:rsid w:val="004659D0"/>
    <w:rsid w:val="004871CA"/>
    <w:rsid w:val="005206EE"/>
    <w:rsid w:val="00710B5F"/>
    <w:rsid w:val="00761D83"/>
    <w:rsid w:val="00832D16"/>
    <w:rsid w:val="00880C2A"/>
    <w:rsid w:val="00890E93"/>
    <w:rsid w:val="0092691B"/>
    <w:rsid w:val="00A90349"/>
    <w:rsid w:val="00AB5CA1"/>
    <w:rsid w:val="00AF4C74"/>
    <w:rsid w:val="00BE6934"/>
    <w:rsid w:val="00C24503"/>
    <w:rsid w:val="00CE46E9"/>
    <w:rsid w:val="00D540DE"/>
    <w:rsid w:val="00D9268D"/>
    <w:rsid w:val="00DA245F"/>
    <w:rsid w:val="00DB4CE1"/>
    <w:rsid w:val="00DC4905"/>
    <w:rsid w:val="00F5787E"/>
    <w:rsid w:val="00F95719"/>
    <w:rsid w:val="00FA1B20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4037"/>
  <w15:chartTrackingRefBased/>
  <w15:docId w15:val="{B605D192-04B9-417E-9E0D-010F4B74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kamaj</cp:lastModifiedBy>
  <cp:revision>6</cp:revision>
  <dcterms:created xsi:type="dcterms:W3CDTF">2020-04-02T11:56:00Z</dcterms:created>
  <dcterms:modified xsi:type="dcterms:W3CDTF">2020-04-03T10:01:00Z</dcterms:modified>
</cp:coreProperties>
</file>