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2244" w14:textId="7708F763" w:rsidR="008F39DF" w:rsidRDefault="00CF648A" w:rsidP="00273537">
      <w:pPr>
        <w:spacing w:line="240" w:lineRule="auto"/>
        <w:jc w:val="both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>Załącznik nr 8</w:t>
      </w:r>
      <w:r w:rsidRPr="006E1D61">
        <w:rPr>
          <w:sz w:val="18"/>
          <w:szCs w:val="18"/>
        </w:rPr>
        <w:t xml:space="preserve"> do </w:t>
      </w:r>
      <w:bookmarkStart w:id="0" w:name="_Hlk103868510"/>
      <w:r>
        <w:rPr>
          <w:sz w:val="18"/>
          <w:szCs w:val="18"/>
        </w:rPr>
        <w:t>R</w:t>
      </w:r>
      <w:r w:rsidRPr="00241519">
        <w:rPr>
          <w:i/>
          <w:iCs/>
          <w:sz w:val="18"/>
          <w:szCs w:val="18"/>
        </w:rPr>
        <w:t>EGULAMIN</w:t>
      </w:r>
      <w:r>
        <w:rPr>
          <w:i/>
          <w:iCs/>
          <w:sz w:val="18"/>
          <w:szCs w:val="18"/>
        </w:rPr>
        <w:t>U</w:t>
      </w:r>
      <w:r w:rsidRPr="00241519">
        <w:rPr>
          <w:i/>
          <w:iCs/>
          <w:sz w:val="18"/>
          <w:szCs w:val="18"/>
        </w:rPr>
        <w:t xml:space="preserve"> PRACY ZESPOŁU DS. OCENY MERYTORTYCZEJ</w:t>
      </w:r>
      <w:r>
        <w:rPr>
          <w:i/>
          <w:iCs/>
          <w:sz w:val="18"/>
          <w:szCs w:val="18"/>
        </w:rPr>
        <w:t xml:space="preserve"> </w:t>
      </w:r>
      <w:bookmarkEnd w:id="0"/>
      <w:r w:rsidR="00273537" w:rsidRPr="00273537">
        <w:rPr>
          <w:i/>
          <w:iCs/>
          <w:sz w:val="18"/>
          <w:szCs w:val="18"/>
        </w:rPr>
        <w:t>dla przeprowadzenia oceny merytorycznej wniosków złożonych w naborze do I konkursu w ramach Wspólnego Przedsięwzięcia NCBR-PKN ORLEN S.A. polegającego na wsparciu badań przemysłowych i/lub eksperymentalnych prac rozwojowych o akronimie „NEON”</w:t>
      </w:r>
    </w:p>
    <w:p w14:paraId="2E078900" w14:textId="77777777" w:rsidR="00273537" w:rsidRDefault="00273537" w:rsidP="00273537">
      <w:pPr>
        <w:spacing w:line="240" w:lineRule="auto"/>
        <w:jc w:val="both"/>
        <w:rPr>
          <w:rFonts w:cstheme="minorHAnsi"/>
        </w:rPr>
      </w:pPr>
    </w:p>
    <w:p w14:paraId="30CA576E" w14:textId="77777777" w:rsidR="008F39DF" w:rsidRPr="009E108A" w:rsidRDefault="008F39DF" w:rsidP="008F39DF">
      <w:pPr>
        <w:spacing w:line="240" w:lineRule="auto"/>
        <w:jc w:val="center"/>
        <w:rPr>
          <w:b/>
          <w:bCs/>
          <w:sz w:val="24"/>
        </w:rPr>
      </w:pPr>
      <w:r w:rsidRPr="009E108A">
        <w:rPr>
          <w:b/>
          <w:bCs/>
          <w:sz w:val="24"/>
        </w:rPr>
        <w:t>ZASADY PRZETWARZANIA DANYCH OSOBOWYCH</w:t>
      </w:r>
    </w:p>
    <w:p w14:paraId="698ABA24" w14:textId="4B856B86" w:rsidR="008F39DF" w:rsidRDefault="008F39DF" w:rsidP="00273537">
      <w:pPr>
        <w:spacing w:line="240" w:lineRule="auto"/>
        <w:jc w:val="both"/>
        <w:rPr>
          <w:rFonts w:cstheme="minorHAnsi"/>
        </w:rPr>
      </w:pPr>
      <w:r w:rsidRPr="00787168">
        <w:rPr>
          <w:b/>
          <w:bCs/>
        </w:rPr>
        <w:t xml:space="preserve">w ramach </w:t>
      </w:r>
      <w:r w:rsidRPr="009C7BA4">
        <w:rPr>
          <w:b/>
          <w:bCs/>
        </w:rPr>
        <w:t xml:space="preserve">Regulaminu pracy zespołu ds. oceny merytorycznej dla przeprowadzenia oceny merytorycznej </w:t>
      </w:r>
      <w:r w:rsidR="00CF648A">
        <w:rPr>
          <w:b/>
          <w:bCs/>
        </w:rPr>
        <w:t>wniosków</w:t>
      </w:r>
      <w:r w:rsidRPr="009C7BA4">
        <w:rPr>
          <w:b/>
          <w:bCs/>
        </w:rPr>
        <w:t xml:space="preserve"> złożonych </w:t>
      </w:r>
      <w:r w:rsidR="00273537" w:rsidRPr="00273537">
        <w:rPr>
          <w:b/>
          <w:bCs/>
        </w:rPr>
        <w:t>w naborze do I konkursu w ramach Wspólnego Przedsięwzięcia NCBR-PKN ORLEN S.A. polegającego na wsparciu badań przemysłowych i/lub eksperymentalnych prac rozwojowych o akronimie „NEON”</w:t>
      </w:r>
      <w:r w:rsidR="00273537">
        <w:rPr>
          <w:b/>
          <w:bCs/>
        </w:rPr>
        <w:t>.</w:t>
      </w:r>
    </w:p>
    <w:p w14:paraId="0A13F6D6" w14:textId="77777777" w:rsidR="008F39DF" w:rsidRPr="003513B9" w:rsidRDefault="008F39DF" w:rsidP="008F39DF">
      <w:pPr>
        <w:pStyle w:val="Tekstkomentarza"/>
        <w:numPr>
          <w:ilvl w:val="0"/>
          <w:numId w:val="1"/>
        </w:numPr>
        <w:spacing w:after="160" w:line="276" w:lineRule="auto"/>
        <w:jc w:val="both"/>
        <w:rPr>
          <w:b/>
          <w:bCs/>
          <w:sz w:val="22"/>
          <w:szCs w:val="22"/>
        </w:rPr>
      </w:pPr>
      <w:r w:rsidRPr="003513B9">
        <w:rPr>
          <w:b/>
          <w:bCs/>
          <w:sz w:val="22"/>
          <w:szCs w:val="22"/>
        </w:rPr>
        <w:t>Definicje</w:t>
      </w:r>
    </w:p>
    <w:p w14:paraId="3AF1179B" w14:textId="77777777" w:rsidR="008F39DF" w:rsidRPr="003513B9" w:rsidRDefault="008F39DF" w:rsidP="008F39DF">
      <w:pPr>
        <w:pStyle w:val="Akapitzlist"/>
        <w:numPr>
          <w:ilvl w:val="1"/>
          <w:numId w:val="1"/>
        </w:numPr>
        <w:spacing w:after="120"/>
        <w:ind w:left="993" w:hanging="709"/>
        <w:contextualSpacing w:val="0"/>
        <w:jc w:val="both"/>
        <w:rPr>
          <w:rFonts w:cs="Arial"/>
        </w:rPr>
      </w:pPr>
      <w:r w:rsidRPr="003513B9">
        <w:rPr>
          <w:rFonts w:cs="Arial"/>
          <w:b/>
        </w:rPr>
        <w:t xml:space="preserve">ADO </w:t>
      </w:r>
      <w:r w:rsidRPr="00714A23">
        <w:rPr>
          <w:rFonts w:cs="Arial"/>
        </w:rPr>
        <w:t>–</w:t>
      </w:r>
      <w:r w:rsidRPr="003513B9">
        <w:rPr>
          <w:rFonts w:cs="Arial"/>
          <w:b/>
        </w:rPr>
        <w:t xml:space="preserve"> Administrator Danych Osobowych</w:t>
      </w:r>
      <w:r w:rsidRPr="003513B9">
        <w:rPr>
          <w:rFonts w:cs="Arial"/>
        </w:rPr>
        <w:t xml:space="preserve"> – Narodowe Centrum Badań i Rozwoju reprezentowane przez Dyrektora Centrum.</w:t>
      </w:r>
    </w:p>
    <w:p w14:paraId="4E236110" w14:textId="77777777" w:rsidR="008F39DF" w:rsidRPr="006E1D61" w:rsidRDefault="008F39DF" w:rsidP="008F39DF">
      <w:pPr>
        <w:pStyle w:val="Tekstkomentarza"/>
        <w:numPr>
          <w:ilvl w:val="1"/>
          <w:numId w:val="1"/>
        </w:numPr>
        <w:spacing w:after="160" w:line="276" w:lineRule="auto"/>
        <w:ind w:left="993" w:hanging="709"/>
        <w:jc w:val="both"/>
        <w:rPr>
          <w:bCs/>
          <w:sz w:val="22"/>
          <w:szCs w:val="22"/>
        </w:rPr>
      </w:pPr>
      <w:r w:rsidRPr="006E1D61">
        <w:rPr>
          <w:b/>
          <w:bCs/>
          <w:sz w:val="22"/>
          <w:szCs w:val="22"/>
        </w:rPr>
        <w:t xml:space="preserve">Centrum </w:t>
      </w:r>
      <w:r w:rsidRPr="006E1D61">
        <w:rPr>
          <w:bCs/>
          <w:sz w:val="22"/>
          <w:szCs w:val="22"/>
        </w:rPr>
        <w:t>– Narodowe Centrum Badań i Rozwoju.</w:t>
      </w:r>
    </w:p>
    <w:p w14:paraId="3E4F6ECA" w14:textId="77777777" w:rsidR="008F39DF" w:rsidRPr="003513B9" w:rsidRDefault="008F39DF" w:rsidP="008F39DF">
      <w:pPr>
        <w:pStyle w:val="Akapitzlist"/>
        <w:numPr>
          <w:ilvl w:val="1"/>
          <w:numId w:val="1"/>
        </w:numPr>
        <w:spacing w:after="120"/>
        <w:ind w:left="993" w:hanging="709"/>
        <w:contextualSpacing w:val="0"/>
        <w:jc w:val="both"/>
        <w:rPr>
          <w:rFonts w:cs="Arial"/>
        </w:rPr>
      </w:pPr>
      <w:r w:rsidRPr="003513B9">
        <w:rPr>
          <w:rFonts w:cs="Arial"/>
          <w:b/>
        </w:rPr>
        <w:t>Dane osobowe</w:t>
      </w:r>
      <w:r w:rsidRPr="003513B9">
        <w:rPr>
          <w:rFonts w:cs="Arial"/>
        </w:rPr>
        <w:t xml:space="preserve"> – wszelkie informacje o zidentyfikowanej lub możliwej do zidentyfikowania osobie fizycznej. Osobą możliwą do zidentyfikowania jest osoba fizyczna, której tożsamość można bezpośrednio lub pośrednio zidentyfikować́, w</w:t>
      </w:r>
      <w:r>
        <w:rPr>
          <w:rFonts w:cs="Arial"/>
        </w:rPr>
        <w:t> </w:t>
      </w:r>
      <w:r w:rsidRPr="003513B9">
        <w:rPr>
          <w:rFonts w:cs="Arial"/>
        </w:rPr>
        <w:t>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14:paraId="085A1C45" w14:textId="77777777" w:rsidR="008F39DF" w:rsidRDefault="008F39DF" w:rsidP="008F39DF">
      <w:pPr>
        <w:pStyle w:val="Akapitzlist"/>
        <w:numPr>
          <w:ilvl w:val="1"/>
          <w:numId w:val="1"/>
        </w:numPr>
        <w:spacing w:after="120"/>
        <w:ind w:left="993" w:hanging="709"/>
        <w:contextualSpacing w:val="0"/>
        <w:jc w:val="both"/>
        <w:rPr>
          <w:rFonts w:cs="Arial"/>
        </w:rPr>
      </w:pPr>
      <w:r w:rsidRPr="003513B9">
        <w:rPr>
          <w:rFonts w:cs="Arial"/>
          <w:b/>
        </w:rPr>
        <w:t>IOD</w:t>
      </w:r>
      <w:r w:rsidRPr="003513B9">
        <w:rPr>
          <w:rFonts w:cs="Arial"/>
        </w:rPr>
        <w:t xml:space="preserve"> – Inspektor Ochrony Danych, osoba wyznaczona przez ADO zgodnie z art. 37 RODO, odpowiedzialna za monitorowanie przestrzegania zasad ochrony danych osobowych u</w:t>
      </w:r>
      <w:r>
        <w:rPr>
          <w:rFonts w:cs="Arial"/>
        </w:rPr>
        <w:t> </w:t>
      </w:r>
      <w:r w:rsidRPr="003513B9">
        <w:rPr>
          <w:rFonts w:cs="Arial"/>
        </w:rPr>
        <w:t xml:space="preserve">ADO. </w:t>
      </w:r>
    </w:p>
    <w:p w14:paraId="03FB313A" w14:textId="77777777" w:rsidR="008F39DF" w:rsidRPr="006E1D61" w:rsidRDefault="008F39DF" w:rsidP="008F39DF">
      <w:pPr>
        <w:pStyle w:val="Tekstkomentarza"/>
        <w:numPr>
          <w:ilvl w:val="1"/>
          <w:numId w:val="1"/>
        </w:numPr>
        <w:spacing w:after="160" w:line="276" w:lineRule="auto"/>
        <w:ind w:left="993" w:hanging="709"/>
        <w:jc w:val="both"/>
        <w:rPr>
          <w:bCs/>
          <w:sz w:val="22"/>
          <w:szCs w:val="22"/>
        </w:rPr>
      </w:pPr>
      <w:r w:rsidRPr="00C75086">
        <w:rPr>
          <w:b/>
          <w:bCs/>
          <w:sz w:val="22"/>
          <w:szCs w:val="22"/>
        </w:rPr>
        <w:t>PBDO</w:t>
      </w:r>
      <w:r>
        <w:rPr>
          <w:bCs/>
          <w:sz w:val="22"/>
          <w:szCs w:val="22"/>
        </w:rPr>
        <w:t xml:space="preserve"> – </w:t>
      </w:r>
      <w:r w:rsidRPr="00C75086">
        <w:rPr>
          <w:bCs/>
          <w:sz w:val="22"/>
          <w:szCs w:val="22"/>
        </w:rPr>
        <w:t>Polityka Bezpieczeństwa Danych Osobowych</w:t>
      </w:r>
      <w:r>
        <w:rPr>
          <w:bCs/>
          <w:sz w:val="22"/>
          <w:szCs w:val="22"/>
        </w:rPr>
        <w:t xml:space="preserve"> NCBR.</w:t>
      </w:r>
    </w:p>
    <w:p w14:paraId="569C2D59" w14:textId="77777777" w:rsidR="008F39DF" w:rsidRPr="003513B9" w:rsidRDefault="008F39DF" w:rsidP="008F39DF">
      <w:pPr>
        <w:pStyle w:val="Akapitzlist"/>
        <w:widowControl w:val="0"/>
        <w:numPr>
          <w:ilvl w:val="1"/>
          <w:numId w:val="1"/>
        </w:numPr>
        <w:spacing w:after="120"/>
        <w:ind w:left="993" w:hanging="709"/>
        <w:contextualSpacing w:val="0"/>
        <w:jc w:val="both"/>
        <w:rPr>
          <w:rFonts w:cs="Arial"/>
          <w:color w:val="000000" w:themeColor="text1"/>
        </w:rPr>
      </w:pPr>
      <w:r w:rsidRPr="003513B9">
        <w:rPr>
          <w:rFonts w:cs="Arial"/>
          <w:b/>
          <w:color w:val="000000" w:themeColor="text1"/>
        </w:rPr>
        <w:t>Podmiot danych</w:t>
      </w:r>
      <w:r w:rsidRPr="003513B9">
        <w:rPr>
          <w:rFonts w:cs="Arial"/>
          <w:color w:val="000000" w:themeColor="text1"/>
        </w:rPr>
        <w:t xml:space="preserve"> – osoba, której dane dotyczą.</w:t>
      </w:r>
    </w:p>
    <w:p w14:paraId="4084A0C6" w14:textId="77777777" w:rsidR="008F39DF" w:rsidRPr="003513B9" w:rsidRDefault="008F39DF" w:rsidP="008F39DF">
      <w:pPr>
        <w:pStyle w:val="Akapitzlist"/>
        <w:widowControl w:val="0"/>
        <w:numPr>
          <w:ilvl w:val="1"/>
          <w:numId w:val="1"/>
        </w:numPr>
        <w:spacing w:after="120"/>
        <w:ind w:left="993" w:hanging="709"/>
        <w:contextualSpacing w:val="0"/>
        <w:jc w:val="both"/>
        <w:rPr>
          <w:rFonts w:cs="Arial"/>
        </w:rPr>
      </w:pPr>
      <w:r w:rsidRPr="003513B9">
        <w:rPr>
          <w:rFonts w:cs="Arial"/>
          <w:b/>
          <w:color w:val="000000" w:themeColor="text1"/>
        </w:rPr>
        <w:t xml:space="preserve">Przetwarzanie danych osobowych </w:t>
      </w:r>
      <w:r w:rsidRPr="003513B9">
        <w:rPr>
          <w:rFonts w:cs="Arial"/>
          <w:color w:val="000000" w:themeColor="text1"/>
        </w:rPr>
        <w:t>– operacje wykonywane na danych osobowych w</w:t>
      </w:r>
      <w:r>
        <w:rPr>
          <w:rFonts w:cs="Arial"/>
          <w:color w:val="000000" w:themeColor="text1"/>
        </w:rPr>
        <w:t> </w:t>
      </w:r>
      <w:r w:rsidRPr="003513B9">
        <w:rPr>
          <w:rFonts w:cs="Arial"/>
          <w:color w:val="000000" w:themeColor="text1"/>
        </w:rPr>
        <w:t xml:space="preserve"> sposób zautomatyzowany lub niezautomatyzowany, np. zbieranie, utrwalanie, organizowanie, porządkowanie, przechowywanie, adaptowanie lub modyfikowanie, pobieranie, przeglądanie, wykorzystywanie</w:t>
      </w:r>
      <w:r w:rsidRPr="003513B9">
        <w:rPr>
          <w:rFonts w:cs="Arial"/>
        </w:rPr>
        <w:t>, ujawnianie poprzez przesłanie, rozpowszechnianie lub innego rodzaju udostępnianie, dopasowywanie lub łączenie, ograniczanie, usuwanie lub niszczenie.</w:t>
      </w:r>
    </w:p>
    <w:p w14:paraId="3B18A5EB" w14:textId="77777777" w:rsidR="008F39DF" w:rsidRPr="003513B9" w:rsidRDefault="008F39DF" w:rsidP="008F39DF">
      <w:pPr>
        <w:pStyle w:val="Akapitzlist"/>
        <w:widowControl w:val="0"/>
        <w:numPr>
          <w:ilvl w:val="1"/>
          <w:numId w:val="1"/>
        </w:numPr>
        <w:spacing w:after="120"/>
        <w:ind w:left="993" w:hanging="709"/>
        <w:contextualSpacing w:val="0"/>
        <w:jc w:val="both"/>
        <w:rPr>
          <w:rFonts w:cs="Arial"/>
        </w:rPr>
      </w:pPr>
      <w:r w:rsidRPr="003513B9">
        <w:rPr>
          <w:rFonts w:cs="Arial"/>
          <w:b/>
        </w:rPr>
        <w:t>PUODO</w:t>
      </w:r>
      <w:r w:rsidRPr="003513B9">
        <w:rPr>
          <w:rFonts w:cs="Arial"/>
        </w:rPr>
        <w:t xml:space="preserve"> - Prezes Urzędu Ochrony Danych Osobowych.</w:t>
      </w:r>
    </w:p>
    <w:p w14:paraId="2920E6C3" w14:textId="2A69F456" w:rsidR="00273537" w:rsidRPr="00273537" w:rsidRDefault="008F39DF" w:rsidP="008F39DF">
      <w:pPr>
        <w:pStyle w:val="Tekstkomentarza"/>
        <w:widowControl w:val="0"/>
        <w:numPr>
          <w:ilvl w:val="1"/>
          <w:numId w:val="1"/>
        </w:numPr>
        <w:spacing w:after="120" w:line="276" w:lineRule="auto"/>
        <w:ind w:left="993" w:hanging="709"/>
        <w:jc w:val="both"/>
        <w:rPr>
          <w:rFonts w:cs="Arial"/>
        </w:rPr>
      </w:pPr>
      <w:r w:rsidRPr="5922C55C">
        <w:rPr>
          <w:b/>
          <w:bCs/>
          <w:sz w:val="22"/>
          <w:szCs w:val="22"/>
        </w:rPr>
        <w:t xml:space="preserve">Regulamin </w:t>
      </w:r>
      <w:r w:rsidRPr="5922C55C">
        <w:rPr>
          <w:sz w:val="22"/>
          <w:szCs w:val="22"/>
        </w:rPr>
        <w:t xml:space="preserve">– Regulamin pracy zespołu ds. oceny merytorycznej </w:t>
      </w:r>
      <w:r w:rsidR="00273537" w:rsidRPr="5922C55C">
        <w:rPr>
          <w:sz w:val="22"/>
          <w:szCs w:val="22"/>
        </w:rPr>
        <w:t>dla przeprowadzenia oceny merytorycznej wniosków złożonych w naborze do I konkursu w ramach Wspólnego Przedsięwzięcia NCBR-PKN ORLEN S.A. polegającego na wsparciu badań przemysłowych i/lub eksperymentalnych prac rozwojowych o akronimie „NEON”</w:t>
      </w:r>
      <w:r w:rsidR="00273537" w:rsidRPr="5922C55C">
        <w:rPr>
          <w:rFonts w:cs="Arial"/>
        </w:rPr>
        <w:t>.</w:t>
      </w:r>
    </w:p>
    <w:p w14:paraId="5218F955" w14:textId="56698505" w:rsidR="008F39DF" w:rsidRPr="00273537" w:rsidRDefault="008F39DF" w:rsidP="008F39DF">
      <w:pPr>
        <w:pStyle w:val="Tekstkomentarza"/>
        <w:widowControl w:val="0"/>
        <w:numPr>
          <w:ilvl w:val="1"/>
          <w:numId w:val="1"/>
        </w:numPr>
        <w:spacing w:after="120" w:line="276" w:lineRule="auto"/>
        <w:ind w:left="993" w:hanging="709"/>
        <w:jc w:val="both"/>
        <w:rPr>
          <w:rFonts w:cs="Arial"/>
        </w:rPr>
      </w:pPr>
      <w:r w:rsidRPr="5922C55C">
        <w:rPr>
          <w:rFonts w:cs="Arial"/>
          <w:b/>
          <w:bCs/>
        </w:rPr>
        <w:t xml:space="preserve">RODO </w:t>
      </w:r>
      <w:r w:rsidRPr="5922C55C">
        <w:rPr>
          <w:rFonts w:cs="Arial"/>
        </w:rPr>
        <w:t xml:space="preserve">– </w:t>
      </w:r>
      <w:r w:rsidRPr="005B0645">
        <w:rPr>
          <w:sz w:val="22"/>
          <w:szCs w:val="22"/>
        </w:rPr>
        <w:t>rozporządzenie Parlamentu Europejskiego z dnia 27 kwietnia 2016 r. w sprawie ochrony osób fizycznych w związku z przetwarzaniem danych osobowych i w sprawie swobodnego przepływu takich danych oraz uchylenia dyrektywy 95/46/WE (ogólne rozporządzenie o ochronie danych).</w:t>
      </w:r>
    </w:p>
    <w:p w14:paraId="232200DB" w14:textId="77777777" w:rsidR="008F39DF" w:rsidRPr="003513B9" w:rsidRDefault="008F39DF" w:rsidP="008F39DF">
      <w:pPr>
        <w:pStyle w:val="Akapitzlist"/>
        <w:widowControl w:val="0"/>
        <w:numPr>
          <w:ilvl w:val="1"/>
          <w:numId w:val="1"/>
        </w:numPr>
        <w:spacing w:after="120"/>
        <w:ind w:left="993" w:hanging="709"/>
        <w:contextualSpacing w:val="0"/>
        <w:jc w:val="both"/>
        <w:rPr>
          <w:rFonts w:cs="Arial"/>
        </w:rPr>
      </w:pPr>
      <w:r w:rsidRPr="00C75086">
        <w:rPr>
          <w:rFonts w:cs="Arial"/>
          <w:b/>
        </w:rPr>
        <w:lastRenderedPageBreak/>
        <w:t>Ustawa</w:t>
      </w:r>
      <w:r>
        <w:rPr>
          <w:rFonts w:cs="Arial"/>
        </w:rPr>
        <w:t xml:space="preserve"> – Ustawa </w:t>
      </w:r>
      <w:r w:rsidRPr="00464A53">
        <w:rPr>
          <w:rFonts w:cs="Arial"/>
        </w:rPr>
        <w:t>z dnia 10 maja 2018 r. o ochronie danych osobowych</w:t>
      </w:r>
      <w:r>
        <w:rPr>
          <w:rFonts w:cs="Arial"/>
        </w:rPr>
        <w:t>.</w:t>
      </w:r>
    </w:p>
    <w:p w14:paraId="502DF2CD" w14:textId="77777777" w:rsidR="00273537" w:rsidRDefault="008F39DF" w:rsidP="008F39DF">
      <w:pPr>
        <w:pStyle w:val="Tekstkomentarza"/>
        <w:numPr>
          <w:ilvl w:val="1"/>
          <w:numId w:val="1"/>
        </w:numPr>
        <w:spacing w:after="160" w:line="276" w:lineRule="auto"/>
        <w:ind w:left="993" w:hanging="709"/>
        <w:jc w:val="both"/>
        <w:rPr>
          <w:bCs/>
          <w:sz w:val="22"/>
          <w:szCs w:val="22"/>
        </w:rPr>
      </w:pPr>
      <w:r w:rsidRPr="00273537">
        <w:rPr>
          <w:b/>
          <w:bCs/>
          <w:sz w:val="22"/>
          <w:szCs w:val="22"/>
        </w:rPr>
        <w:t>Zasady</w:t>
      </w:r>
      <w:r w:rsidRPr="00273537">
        <w:rPr>
          <w:bCs/>
          <w:sz w:val="22"/>
          <w:szCs w:val="22"/>
        </w:rPr>
        <w:t xml:space="preserve"> – Zasady Przetwarzania Danych Osobowych w ramach Regulaminu pracy zespołu ds. oceny merytorycznej </w:t>
      </w:r>
      <w:bookmarkStart w:id="1" w:name="_Toc441830897"/>
      <w:bookmarkStart w:id="2" w:name="_Toc11057289"/>
      <w:r w:rsidR="00273537" w:rsidRPr="00273537">
        <w:rPr>
          <w:bCs/>
          <w:sz w:val="22"/>
          <w:szCs w:val="22"/>
        </w:rPr>
        <w:t>dla przeprowadzenia oceny merytorycznej wniosków złożonych w naborze do I konkursu w ramach Wspólnego Przedsięwzięcia NCBR-PKN ORLEN S.A. polegającego na wsparciu badań przemysłowych i/lub eksperymentalnych prac rozwojowych o akronimie „NEON”</w:t>
      </w:r>
    </w:p>
    <w:p w14:paraId="6E9C9E32" w14:textId="177720B1" w:rsidR="008F39DF" w:rsidRPr="00273537" w:rsidRDefault="008F39DF" w:rsidP="008F39DF">
      <w:pPr>
        <w:pStyle w:val="Tekstkomentarza"/>
        <w:numPr>
          <w:ilvl w:val="1"/>
          <w:numId w:val="1"/>
        </w:numPr>
        <w:spacing w:after="160" w:line="276" w:lineRule="auto"/>
        <w:ind w:left="993" w:hanging="709"/>
        <w:jc w:val="both"/>
        <w:rPr>
          <w:bCs/>
          <w:sz w:val="22"/>
          <w:szCs w:val="22"/>
        </w:rPr>
      </w:pPr>
      <w:r w:rsidRPr="00273537">
        <w:rPr>
          <w:b/>
          <w:bCs/>
          <w:sz w:val="22"/>
          <w:szCs w:val="22"/>
        </w:rPr>
        <w:t>W pozostałym zakresie zastosowanie mają definicje użyte w Regulaminie</w:t>
      </w:r>
      <w:r w:rsidRPr="00273537">
        <w:rPr>
          <w:bCs/>
          <w:sz w:val="22"/>
          <w:szCs w:val="22"/>
        </w:rPr>
        <w:t xml:space="preserve">. </w:t>
      </w:r>
    </w:p>
    <w:p w14:paraId="096DC8CC" w14:textId="77777777" w:rsidR="008F39DF" w:rsidRPr="00CD634B" w:rsidRDefault="008F39DF" w:rsidP="008F39DF">
      <w:pPr>
        <w:pStyle w:val="Tekstkomentarza"/>
        <w:numPr>
          <w:ilvl w:val="0"/>
          <w:numId w:val="1"/>
        </w:numPr>
        <w:spacing w:after="160" w:line="276" w:lineRule="auto"/>
        <w:jc w:val="both"/>
        <w:rPr>
          <w:b/>
          <w:bCs/>
          <w:szCs w:val="22"/>
        </w:rPr>
      </w:pPr>
      <w:r w:rsidRPr="00CD634B">
        <w:rPr>
          <w:rFonts w:cs="Arial"/>
          <w:b/>
          <w:sz w:val="22"/>
          <w:szCs w:val="24"/>
        </w:rPr>
        <w:t>Cel</w:t>
      </w:r>
      <w:bookmarkEnd w:id="1"/>
      <w:bookmarkEnd w:id="2"/>
    </w:p>
    <w:p w14:paraId="53BCEB7C" w14:textId="77777777" w:rsidR="008F39DF" w:rsidRPr="009C53D9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</w:pPr>
      <w:r w:rsidRPr="003513B9">
        <w:rPr>
          <w:rFonts w:cs="Arial"/>
        </w:rPr>
        <w:t>Niniejsze Zasady zostały sporządzone w celu zapewnienia właściwego przetwarzania i</w:t>
      </w:r>
      <w:r>
        <w:rPr>
          <w:rFonts w:cs="Arial"/>
        </w:rPr>
        <w:t> </w:t>
      </w:r>
      <w:r w:rsidRPr="003513B9">
        <w:rPr>
          <w:rFonts w:cs="Arial"/>
        </w:rPr>
        <w:t>zabezpieczania danych osobowych zgodnie z wymogami prawa, dotyczącymi zasad przetwarzania i zabezpieczenia danych w Centrum, w tym zgodnie z Rozporządzeniem Parlamentu Europejskiego i Rady (UE) 2016/679 z 27 kwietnia 2016 r. w sprawie ochrony osób fizycznych w związku z przetwarzaniem danych osobowych i w sprawie swobodnego przepływu takich danych oraz uchylenia dyrektywy 95/46/WE, oraz Ustawą.</w:t>
      </w:r>
      <w:bookmarkStart w:id="3" w:name="_Toc514704421"/>
      <w:bookmarkStart w:id="4" w:name="_Toc357506498"/>
      <w:bookmarkStart w:id="5" w:name="_Toc441830898"/>
      <w:bookmarkStart w:id="6" w:name="_Toc11057290"/>
      <w:bookmarkStart w:id="7" w:name="_Toc275613934"/>
      <w:bookmarkStart w:id="8" w:name="_Toc276419590"/>
      <w:bookmarkStart w:id="9" w:name="_Toc276474336"/>
      <w:bookmarkStart w:id="10" w:name="_Toc277804441"/>
      <w:bookmarkEnd w:id="3"/>
    </w:p>
    <w:p w14:paraId="11A2E8CA" w14:textId="77777777" w:rsidR="008F39DF" w:rsidRPr="00CD634B" w:rsidRDefault="008F39DF" w:rsidP="008F39DF">
      <w:pPr>
        <w:pStyle w:val="Akapitzlist"/>
        <w:numPr>
          <w:ilvl w:val="1"/>
          <w:numId w:val="1"/>
        </w:numPr>
        <w:spacing w:after="120"/>
        <w:ind w:left="709" w:hanging="425"/>
        <w:contextualSpacing w:val="0"/>
        <w:jc w:val="both"/>
      </w:pPr>
      <w:r>
        <w:rPr>
          <w:rFonts w:cs="Arial"/>
        </w:rPr>
        <w:t>Niniejsze Zasady są zgodne z obowiązującą w Centrum PBDO.</w:t>
      </w:r>
    </w:p>
    <w:p w14:paraId="31C940B6" w14:textId="77777777" w:rsidR="008F39DF" w:rsidRDefault="008F39DF" w:rsidP="008F39DF">
      <w:pPr>
        <w:pStyle w:val="Akapitzlist"/>
        <w:spacing w:after="120"/>
        <w:ind w:left="716"/>
        <w:rPr>
          <w:rFonts w:cs="Arial"/>
        </w:rPr>
      </w:pPr>
    </w:p>
    <w:p w14:paraId="10C449DB" w14:textId="77777777" w:rsidR="008F39DF" w:rsidRPr="00CD634B" w:rsidRDefault="008F39DF" w:rsidP="008F39DF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b/>
          <w:sz w:val="20"/>
        </w:rPr>
      </w:pPr>
      <w:r w:rsidRPr="00CD634B">
        <w:rPr>
          <w:rFonts w:cs="Arial"/>
          <w:b/>
          <w:szCs w:val="24"/>
        </w:rPr>
        <w:t>Zakres</w:t>
      </w:r>
      <w:bookmarkEnd w:id="4"/>
      <w:r w:rsidRPr="00CD634B">
        <w:rPr>
          <w:rFonts w:cs="Arial"/>
          <w:b/>
          <w:szCs w:val="24"/>
        </w:rPr>
        <w:t xml:space="preserve"> stosowania</w:t>
      </w:r>
      <w:bookmarkEnd w:id="5"/>
      <w:bookmarkEnd w:id="6"/>
    </w:p>
    <w:p w14:paraId="555211D3" w14:textId="53E4CB53" w:rsidR="008F39DF" w:rsidRPr="003513B9" w:rsidRDefault="008F39DF" w:rsidP="5922C55C">
      <w:pPr>
        <w:pStyle w:val="Akapitzlist"/>
        <w:numPr>
          <w:ilvl w:val="1"/>
          <w:numId w:val="1"/>
        </w:numPr>
        <w:spacing w:after="120"/>
        <w:jc w:val="both"/>
      </w:pPr>
      <w:bookmarkStart w:id="11" w:name="_Toc441830900"/>
      <w:bookmarkStart w:id="12" w:name="_Toc11057292"/>
      <w:bookmarkEnd w:id="7"/>
      <w:bookmarkEnd w:id="8"/>
      <w:bookmarkEnd w:id="9"/>
      <w:bookmarkEnd w:id="10"/>
      <w:r w:rsidRPr="5922C55C">
        <w:rPr>
          <w:rFonts w:cs="Arial"/>
        </w:rPr>
        <w:t>Zasady powinni stosować wszyscy eksperci, którzy zostali zaangażowani w proces przetwarzania danych osobowych w</w:t>
      </w:r>
      <w:r>
        <w:t> </w:t>
      </w:r>
      <w:r w:rsidRPr="5922C55C">
        <w:rPr>
          <w:rFonts w:cs="Arial"/>
        </w:rPr>
        <w:t xml:space="preserve">ramach prac związanych z oceną formalną i merytoryczną. Zgodnie z Regulaminem Zasady stosują również inni Członkowie Zespołu w przypadku wskazanym w </w:t>
      </w:r>
      <w:r w:rsidR="5922C55C" w:rsidRPr="5922C55C">
        <w:rPr>
          <w:rFonts w:ascii="Calibri" w:eastAsia="Calibri" w:hAnsi="Calibri" w:cs="Calibri"/>
        </w:rPr>
        <w:t>§ 10 ust. 1 Regulaminu</w:t>
      </w:r>
      <w:r w:rsidRPr="5922C55C">
        <w:rPr>
          <w:rFonts w:cs="Arial"/>
        </w:rPr>
        <w:t xml:space="preserve"> oraz odpowiednio osoby o których mowa</w:t>
      </w:r>
      <w:r w:rsidR="5922C55C" w:rsidRPr="5922C55C">
        <w:rPr>
          <w:rFonts w:ascii="Calibri" w:eastAsia="Calibri" w:hAnsi="Calibri" w:cs="Calibri"/>
        </w:rPr>
        <w:t xml:space="preserve"> w § 3 ust. 6 Regulaminu.</w:t>
      </w:r>
    </w:p>
    <w:p w14:paraId="4882BF7E" w14:textId="77777777" w:rsidR="008F39DF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cs="Arial"/>
        </w:rPr>
      </w:pPr>
      <w:r w:rsidRPr="5922C55C">
        <w:rPr>
          <w:rFonts w:cs="Arial"/>
        </w:rPr>
        <w:t>Dokument ma zastosowanie do wszystkich danych osobowych niezależnie od formy, w jakiej są przechowywane (papierowej, elektronicznej i innej np. dane biometryczne).</w:t>
      </w:r>
    </w:p>
    <w:p w14:paraId="5AF91791" w14:textId="77777777" w:rsidR="008F39DF" w:rsidRPr="00CD634B" w:rsidRDefault="008F39DF" w:rsidP="008F39DF">
      <w:pPr>
        <w:pStyle w:val="Akapitzlist"/>
        <w:spacing w:after="120"/>
        <w:ind w:left="716"/>
        <w:rPr>
          <w:rFonts w:cs="Arial"/>
          <w:sz w:val="20"/>
        </w:rPr>
      </w:pPr>
    </w:p>
    <w:p w14:paraId="210A0ADE" w14:textId="77777777" w:rsidR="008F39DF" w:rsidRPr="00714A23" w:rsidRDefault="008F39DF" w:rsidP="008F39DF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="Arial"/>
          <w:b/>
          <w:szCs w:val="24"/>
        </w:rPr>
      </w:pPr>
      <w:r w:rsidRPr="00714A23">
        <w:rPr>
          <w:rFonts w:cs="Arial"/>
          <w:b/>
          <w:szCs w:val="24"/>
        </w:rPr>
        <w:t>Organizacja ochrony danych osobowych</w:t>
      </w:r>
      <w:bookmarkEnd w:id="11"/>
      <w:bookmarkEnd w:id="12"/>
    </w:p>
    <w:p w14:paraId="194F9D6C" w14:textId="77777777" w:rsidR="008F39DF" w:rsidRPr="003513B9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cs="Arial"/>
        </w:rPr>
      </w:pPr>
      <w:r w:rsidRPr="003513B9">
        <w:rPr>
          <w:rFonts w:cs="Arial"/>
        </w:rPr>
        <w:t>Do IOD należy się zwrócić w celu:</w:t>
      </w:r>
    </w:p>
    <w:p w14:paraId="1E57099C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jc w:val="both"/>
        <w:rPr>
          <w:rFonts w:cs="Arial"/>
        </w:rPr>
      </w:pPr>
      <w:r w:rsidRPr="003513B9">
        <w:rPr>
          <w:rFonts w:eastAsia="Times New Roman" w:cs="Arial"/>
        </w:rPr>
        <w:t xml:space="preserve">Zasięgnięcia wskazówek w przedmiocie wdrożenia odpowiednich i skutecznych środków technicznych i organizacyjnych mających zabezpieczyć dane osobowe; </w:t>
      </w:r>
    </w:p>
    <w:p w14:paraId="0C186331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jc w:val="both"/>
        <w:rPr>
          <w:rFonts w:cs="Arial"/>
        </w:rPr>
      </w:pPr>
      <w:r w:rsidRPr="003513B9">
        <w:rPr>
          <w:rFonts w:eastAsia="Times New Roman" w:cs="Arial"/>
        </w:rPr>
        <w:t xml:space="preserve">Poinformowania o wystąpieniu ryzyka i monitorowania zidentyfikowanych </w:t>
      </w:r>
      <w:proofErr w:type="spellStart"/>
      <w:r w:rsidRPr="003513B9">
        <w:rPr>
          <w:rFonts w:eastAsia="Times New Roman" w:cs="Arial"/>
        </w:rPr>
        <w:t>ryzyk</w:t>
      </w:r>
      <w:proofErr w:type="spellEnd"/>
      <w:r w:rsidRPr="003513B9">
        <w:rPr>
          <w:rFonts w:eastAsia="Times New Roman" w:cs="Arial"/>
        </w:rPr>
        <w:t xml:space="preserve"> związanych z przetwarzaniem danych osobowych, ich źródła, charakteru, prawdopodobieństwa i wagi;</w:t>
      </w:r>
    </w:p>
    <w:p w14:paraId="1EA20726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jc w:val="both"/>
        <w:rPr>
          <w:rFonts w:cs="Arial"/>
        </w:rPr>
      </w:pPr>
      <w:r>
        <w:rPr>
          <w:rFonts w:cs="Arial"/>
        </w:rPr>
        <w:t>Rozwiązywania</w:t>
      </w:r>
      <w:r w:rsidRPr="003513B9">
        <w:rPr>
          <w:rFonts w:cs="Arial"/>
        </w:rPr>
        <w:t xml:space="preserve"> bieżących problemów w obszarze ochrony da</w:t>
      </w:r>
      <w:r>
        <w:rPr>
          <w:rFonts w:cs="Arial"/>
        </w:rPr>
        <w:t>nych osobowych oraz uczestnictwa IOD</w:t>
      </w:r>
      <w:r w:rsidRPr="003513B9">
        <w:rPr>
          <w:rFonts w:cs="Arial"/>
        </w:rPr>
        <w:t xml:space="preserve"> w procesie zarządzania incydentami bezpieczeństwa</w:t>
      </w:r>
      <w:r>
        <w:rPr>
          <w:rFonts w:cs="Arial"/>
        </w:rPr>
        <w:t>;</w:t>
      </w:r>
    </w:p>
    <w:p w14:paraId="48F9070F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jc w:val="both"/>
        <w:rPr>
          <w:rFonts w:cs="Arial"/>
        </w:rPr>
      </w:pPr>
      <w:r w:rsidRPr="003513B9">
        <w:rPr>
          <w:rFonts w:cs="Arial"/>
        </w:rPr>
        <w:t>Wystąpienia jakichkolwiek nieprawidłowości w zakresie przetwarzania danych osobowych</w:t>
      </w:r>
      <w:r>
        <w:rPr>
          <w:rFonts w:cs="Arial"/>
        </w:rPr>
        <w:t>,</w:t>
      </w:r>
      <w:r w:rsidRPr="003513B9">
        <w:rPr>
          <w:rFonts w:cs="Arial"/>
        </w:rPr>
        <w:t xml:space="preserve"> a w szczególności w zakresie możliwości naruszenia ochrony danych osobowych</w:t>
      </w:r>
      <w:r>
        <w:rPr>
          <w:rFonts w:cs="Arial"/>
        </w:rPr>
        <w:t>;</w:t>
      </w:r>
    </w:p>
    <w:p w14:paraId="1490A484" w14:textId="77777777" w:rsidR="008F39DF" w:rsidRPr="00983212" w:rsidRDefault="008F39DF" w:rsidP="008F39DF">
      <w:pPr>
        <w:pStyle w:val="Akapitzlist"/>
        <w:numPr>
          <w:ilvl w:val="2"/>
          <w:numId w:val="1"/>
        </w:numPr>
        <w:spacing w:after="160"/>
        <w:ind w:left="1418" w:hanging="698"/>
        <w:contextualSpacing w:val="0"/>
        <w:jc w:val="both"/>
      </w:pPr>
      <w:r w:rsidRPr="003513B9">
        <w:rPr>
          <w:rFonts w:cs="Arial"/>
        </w:rPr>
        <w:t xml:space="preserve">Zgłoszenia potrzeby przeprowadzenia analizy skutków przetwarzania danych osobowych. </w:t>
      </w:r>
      <w:r w:rsidRPr="003513B9">
        <w:rPr>
          <w:rFonts w:eastAsia="Times New Roman" w:cs="Arial"/>
          <w:bCs/>
          <w:kern w:val="28"/>
        </w:rPr>
        <w:t>Zgodnie z art. 35 RODO w przypadku przetwarzania danych osobowych w</w:t>
      </w:r>
      <w:r>
        <w:rPr>
          <w:rFonts w:eastAsia="Times New Roman" w:cs="Arial"/>
          <w:bCs/>
          <w:kern w:val="28"/>
        </w:rPr>
        <w:t> </w:t>
      </w:r>
      <w:r w:rsidRPr="003513B9">
        <w:rPr>
          <w:rFonts w:eastAsia="Times New Roman" w:cs="Arial"/>
          <w:bCs/>
          <w:kern w:val="28"/>
        </w:rPr>
        <w:t xml:space="preserve">szczególności z użyciem nowych technologii, które ze względu na swój charakter, </w:t>
      </w:r>
      <w:r w:rsidRPr="003513B9">
        <w:rPr>
          <w:rFonts w:eastAsia="Times New Roman" w:cs="Arial"/>
          <w:bCs/>
          <w:kern w:val="28"/>
        </w:rPr>
        <w:lastRenderedPageBreak/>
        <w:t>zakres, kontekst, cele mogą spowodować wysokie ryzyko naruszenia praw lub wolności osób fizycznych, należy przeprowadzić ocenę skutk</w:t>
      </w:r>
      <w:r>
        <w:rPr>
          <w:rFonts w:eastAsia="Times New Roman" w:cs="Arial"/>
          <w:bCs/>
          <w:kern w:val="28"/>
        </w:rPr>
        <w:t>ów dla ochrony danych osobowych</w:t>
      </w:r>
      <w:r w:rsidRPr="00FB4DF4">
        <w:t xml:space="preserve">. </w:t>
      </w:r>
    </w:p>
    <w:p w14:paraId="0C041C2C" w14:textId="77777777" w:rsidR="008F39DF" w:rsidRDefault="008F39DF" w:rsidP="008F39DF">
      <w:pPr>
        <w:pStyle w:val="Akapitzlist"/>
        <w:numPr>
          <w:ilvl w:val="1"/>
          <w:numId w:val="1"/>
        </w:numPr>
        <w:spacing w:after="120"/>
        <w:jc w:val="both"/>
        <w:rPr>
          <w:rFonts w:cs="Arial"/>
        </w:rPr>
      </w:pPr>
      <w:r>
        <w:t xml:space="preserve">IOD </w:t>
      </w:r>
      <w:r w:rsidRPr="003513B9">
        <w:rPr>
          <w:rFonts w:cs="Arial"/>
        </w:rPr>
        <w:t xml:space="preserve">pełnieni rolę punktu kontaktowego dla osób, których dane dotyczą składających wnioski o realizację ich praw wynikających z RODO i do niego należy zgłaszać wszelkie żądania w tym zakresie. </w:t>
      </w:r>
    </w:p>
    <w:p w14:paraId="14B96AA6" w14:textId="77777777" w:rsidR="008F39DF" w:rsidRPr="009C53D9" w:rsidRDefault="008F39DF" w:rsidP="008F39DF">
      <w:pPr>
        <w:pStyle w:val="Akapitzlist"/>
        <w:spacing w:after="120"/>
        <w:ind w:left="716"/>
        <w:rPr>
          <w:rFonts w:cs="Arial"/>
        </w:rPr>
      </w:pPr>
    </w:p>
    <w:p w14:paraId="283D31A8" w14:textId="77777777" w:rsidR="008F39DF" w:rsidRPr="00CD634B" w:rsidRDefault="008F39DF" w:rsidP="008F39DF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="Arial"/>
          <w:b/>
          <w:szCs w:val="24"/>
        </w:rPr>
      </w:pPr>
      <w:r w:rsidRPr="00CD634B">
        <w:rPr>
          <w:rFonts w:cs="Arial"/>
          <w:b/>
          <w:szCs w:val="24"/>
        </w:rPr>
        <w:t>Obowiązki Członków Zespołu oraz innych osób zaangażowanych w przetwarzanie danych osobowych</w:t>
      </w:r>
    </w:p>
    <w:p w14:paraId="4EA6BB38" w14:textId="52F26C2B" w:rsidR="008F39DF" w:rsidRPr="00CD634B" w:rsidRDefault="008F39DF" w:rsidP="5922C55C">
      <w:pPr>
        <w:pStyle w:val="Akapitzlist"/>
        <w:numPr>
          <w:ilvl w:val="1"/>
          <w:numId w:val="1"/>
        </w:numPr>
        <w:spacing w:after="120"/>
        <w:jc w:val="both"/>
        <w:rPr>
          <w:rFonts w:cs="Arial"/>
        </w:rPr>
      </w:pPr>
      <w:r w:rsidRPr="5922C55C">
        <w:rPr>
          <w:rFonts w:cs="Arial"/>
        </w:rPr>
        <w:t>Członkowie Zespołu, a także obserwatorzy przetwarzający dane osobowe obowiązani są dołożyć szczególnej staranności w celu ochrony interesu osób, których dane dotyczą, a w szczególności należy przestrzegać, aby dane te były:</w:t>
      </w:r>
    </w:p>
    <w:p w14:paraId="6D692E3B" w14:textId="5AB4B099" w:rsidR="008F39DF" w:rsidRPr="003513B9" w:rsidRDefault="008F39DF" w:rsidP="00CF648A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przetwarzane zgodnie z prawem,</w:t>
      </w:r>
    </w:p>
    <w:p w14:paraId="771F73EF" w14:textId="60E7B8B1" w:rsidR="008F39DF" w:rsidRPr="003513B9" w:rsidRDefault="008F39DF" w:rsidP="00CF648A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 xml:space="preserve">zbierane dla oznaczonych, zgodnych z prawem celów i nie poddawane dalszemu przetwarzaniu niezgodnemu z tymi celami, </w:t>
      </w:r>
    </w:p>
    <w:p w14:paraId="0CAF8440" w14:textId="34A559B5" w:rsidR="008F39DF" w:rsidRPr="003513B9" w:rsidRDefault="008F39DF" w:rsidP="00CF648A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merytorycznie poprawne i adekwatne w stosunku do celów, w jakich są przetwarzane,</w:t>
      </w:r>
    </w:p>
    <w:p w14:paraId="4471386F" w14:textId="466F54D0" w:rsidR="008F39DF" w:rsidRDefault="008F39DF" w:rsidP="00CF648A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przechowywane w postaci umożliwiającej identyfikację osób, których dotyczą, nie dłużej niż jest to niezbędne do osiągnięcia celu przetwarzania.</w:t>
      </w:r>
    </w:p>
    <w:p w14:paraId="468EC21B" w14:textId="392C9699" w:rsidR="008F39DF" w:rsidRPr="003513B9" w:rsidRDefault="008F39DF" w:rsidP="5922C55C">
      <w:pPr>
        <w:pStyle w:val="Akapitzlist"/>
        <w:numPr>
          <w:ilvl w:val="1"/>
          <w:numId w:val="1"/>
        </w:numPr>
        <w:spacing w:after="120"/>
        <w:jc w:val="both"/>
        <w:rPr>
          <w:rFonts w:cs="Arial"/>
        </w:rPr>
      </w:pPr>
      <w:r>
        <w:t>Członkowie Zespołu, a także obserwatorzy zobowiązani są do przestrzegania przepisów o ochronie danych osobowych w obszarze swojej odpowiedzialności, a także do ścisłej współpracy oraz realizacji poleceń i zaleceń IOD wynikających z przepisów o ochronie danych osobowych. W tym celu zobowiązani są m.in. do:</w:t>
      </w:r>
    </w:p>
    <w:p w14:paraId="6DB96018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 xml:space="preserve">bieżącej oceny funkcjonowania mechanizmów zabezpieczeń i ochrony, </w:t>
      </w:r>
    </w:p>
    <w:p w14:paraId="7BA87432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występowania z wnioskami w sprawie wprowadzenia niezbędnych zmian w</w:t>
      </w:r>
      <w:r>
        <w:rPr>
          <w:rFonts w:cs="Arial"/>
        </w:rPr>
        <w:t> </w:t>
      </w:r>
      <w:r w:rsidRPr="003513B9">
        <w:rPr>
          <w:rFonts w:cs="Arial"/>
        </w:rPr>
        <w:t>zakresie ochrony danych osobowych,</w:t>
      </w:r>
    </w:p>
    <w:p w14:paraId="087EAF8F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zgłaszanie naruszeń ochrony danych osobowych do IOD,</w:t>
      </w:r>
    </w:p>
    <w:p w14:paraId="7F21AB21" w14:textId="77777777" w:rsidR="008F39DF" w:rsidRDefault="008F39DF" w:rsidP="008F39DF">
      <w:pPr>
        <w:pStyle w:val="Akapitzlist"/>
        <w:numPr>
          <w:ilvl w:val="2"/>
          <w:numId w:val="1"/>
        </w:numPr>
        <w:spacing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zbierania i przekazywania, zgodnie z poleceniem IOD, informacji niezbędnych do udzielenia odpowiedzi na wniosek podmiotu danych.</w:t>
      </w:r>
    </w:p>
    <w:p w14:paraId="49AF1B4E" w14:textId="065959F1" w:rsidR="008F39DF" w:rsidRPr="006425B4" w:rsidRDefault="008F39DF" w:rsidP="5922C55C">
      <w:pPr>
        <w:pStyle w:val="Akapitzlist"/>
        <w:numPr>
          <w:ilvl w:val="1"/>
          <w:numId w:val="1"/>
        </w:numPr>
        <w:spacing w:after="120"/>
        <w:jc w:val="both"/>
        <w:rPr>
          <w:rFonts w:cs="Arial"/>
        </w:rPr>
      </w:pPr>
      <w:r>
        <w:t>Naruszenie postanowień Zasad może skutkować zablokowaniem dostępu dla członka Zespołu i/lub obserwatora do danych i systemu informatycznego. Ponadto, w przypadku ciężkich naruszeń, takie działanie może prowadzić do wszczęcia postępowania dyscyplinarnego wobec pracownika NCBR oraz do rozwiązania umowy wobec eksperta. W przypadku poniesienia szkody w wyniku naruszenia, Centrum może dochodzić wszelkich roszczeń odszkodowawczych, w tym na drodze sądowej.</w:t>
      </w:r>
      <w:bookmarkStart w:id="13" w:name="_Toc11057295"/>
    </w:p>
    <w:p w14:paraId="5DB76529" w14:textId="77777777" w:rsidR="008F39DF" w:rsidRPr="003513B9" w:rsidRDefault="008F39DF" w:rsidP="008F39DF">
      <w:pPr>
        <w:pStyle w:val="Akapitzlist"/>
        <w:spacing w:after="120"/>
        <w:ind w:left="716"/>
        <w:rPr>
          <w:rFonts w:cs="Arial"/>
        </w:rPr>
      </w:pPr>
    </w:p>
    <w:p w14:paraId="5FB0D053" w14:textId="77777777" w:rsidR="008F39DF" w:rsidRPr="006425B4" w:rsidRDefault="008F39DF" w:rsidP="008F39DF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="Arial"/>
          <w:b/>
          <w:sz w:val="20"/>
        </w:rPr>
      </w:pPr>
      <w:r w:rsidRPr="006425B4">
        <w:rPr>
          <w:b/>
          <w:szCs w:val="24"/>
        </w:rPr>
        <w:t>Zasady przetwarzania danych osobowych</w:t>
      </w:r>
      <w:bookmarkEnd w:id="13"/>
    </w:p>
    <w:p w14:paraId="1D34F8B7" w14:textId="77777777" w:rsidR="008F39DF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</w:pPr>
      <w:r w:rsidRPr="00FB4DF4">
        <w:t>Dane mogą być zbierane dla oznaczonych, zgodnych z prawem celów i nie mogą podlegać dalszemu przetwarzaniu niezgodnemu z tymi celami</w:t>
      </w:r>
      <w:r>
        <w:t>.</w:t>
      </w:r>
    </w:p>
    <w:p w14:paraId="143641ED" w14:textId="77777777" w:rsidR="008F39DF" w:rsidRPr="000B16E9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</w:pPr>
      <w:r w:rsidRPr="000B16E9">
        <w:t>Zbierane dane muszą być merytorycznie poprawne i adekwatne w stosunku do celów, w</w:t>
      </w:r>
      <w:r>
        <w:t> </w:t>
      </w:r>
      <w:r w:rsidRPr="000B16E9">
        <w:t>jakich są przetwarzane.</w:t>
      </w:r>
    </w:p>
    <w:p w14:paraId="008BD27B" w14:textId="77777777" w:rsidR="008F39DF" w:rsidRPr="000B16E9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</w:pPr>
      <w:r w:rsidRPr="00131ADF">
        <w:t>Rodzaj i treść danych nie może wykraczać poza potrzeby wynikające z celu ich zbierania.</w:t>
      </w:r>
    </w:p>
    <w:p w14:paraId="0F1660B3" w14:textId="77777777" w:rsidR="008F39DF" w:rsidRPr="000B16E9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</w:pPr>
      <w:r w:rsidRPr="00131ADF">
        <w:lastRenderedPageBreak/>
        <w:t>Zabronione jest zbieranie wszelkich danych nieistotnych, niemających znaczenia lub o większym stopniu szczegółowości, niż wynika to z określonego celu.</w:t>
      </w:r>
    </w:p>
    <w:p w14:paraId="6888665A" w14:textId="77777777" w:rsidR="008F39DF" w:rsidRPr="000B16E9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</w:pPr>
      <w:r w:rsidRPr="00131ADF">
        <w:t>Dane mogą być przechowywane w postaci umożliwiającej identyfikację osób, których dotyczą, nie dłużej niż jest to niezbędne do osiągnięcia celu przetwarzania.</w:t>
      </w:r>
    </w:p>
    <w:p w14:paraId="53CB804B" w14:textId="77777777" w:rsidR="008F39DF" w:rsidRDefault="008F39DF" w:rsidP="008F39DF">
      <w:pPr>
        <w:pStyle w:val="Akapitzlist"/>
        <w:numPr>
          <w:ilvl w:val="1"/>
          <w:numId w:val="1"/>
        </w:numPr>
        <w:spacing w:after="120"/>
        <w:contextualSpacing w:val="0"/>
        <w:jc w:val="both"/>
      </w:pPr>
      <w:r w:rsidRPr="00131ADF">
        <w:t>Okres przechowywania może zostać wydłużony nawet po osiągnięciu celu przetwarzania, jeżeli przepisy ustaw szczególnych takie postępowanie dopuszczają.</w:t>
      </w:r>
    </w:p>
    <w:p w14:paraId="4105AD7D" w14:textId="77777777" w:rsidR="008F39DF" w:rsidRPr="00A1005B" w:rsidRDefault="008F39DF" w:rsidP="008F39DF">
      <w:pPr>
        <w:pStyle w:val="Akapitzlist"/>
        <w:spacing w:after="120"/>
        <w:ind w:left="716"/>
      </w:pPr>
    </w:p>
    <w:p w14:paraId="11DD7200" w14:textId="77777777" w:rsidR="008F39DF" w:rsidRPr="006425B4" w:rsidRDefault="008F39DF" w:rsidP="008F39DF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b/>
          <w:szCs w:val="24"/>
        </w:rPr>
      </w:pPr>
      <w:bookmarkStart w:id="14" w:name="_Toc11057301"/>
      <w:r w:rsidRPr="006425B4">
        <w:rPr>
          <w:b/>
          <w:szCs w:val="24"/>
        </w:rPr>
        <w:t>Postępowanie w przypadku naruszenia bezpieczeństwa danych osobowych</w:t>
      </w:r>
      <w:bookmarkEnd w:id="14"/>
    </w:p>
    <w:p w14:paraId="776B1874" w14:textId="77777777" w:rsidR="008F39DF" w:rsidRDefault="008F39DF" w:rsidP="008F39DF">
      <w:pPr>
        <w:pStyle w:val="Akapitzlist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</w:rPr>
      </w:pPr>
      <w:r w:rsidRPr="003513B9">
        <w:rPr>
          <w:rFonts w:cs="Arial"/>
        </w:rPr>
        <w:t>Każd</w:t>
      </w:r>
      <w:r>
        <w:rPr>
          <w:rFonts w:cs="Arial"/>
        </w:rPr>
        <w:t>a osoba zaangażowana w proces oceny wniosków</w:t>
      </w:r>
      <w:r w:rsidRPr="003513B9">
        <w:rPr>
          <w:rFonts w:cs="Arial"/>
        </w:rPr>
        <w:t xml:space="preserve"> </w:t>
      </w:r>
      <w:r>
        <w:t>oraz obserwator</w:t>
      </w:r>
      <w:r w:rsidRPr="003513B9">
        <w:rPr>
          <w:rFonts w:cs="Arial"/>
        </w:rPr>
        <w:t xml:space="preserve"> w</w:t>
      </w:r>
      <w:r>
        <w:rPr>
          <w:rFonts w:cs="Arial"/>
        </w:rPr>
        <w:t xml:space="preserve"> </w:t>
      </w:r>
      <w:r w:rsidRPr="003513B9">
        <w:rPr>
          <w:rFonts w:cs="Arial"/>
        </w:rPr>
        <w:t>przypadku stwierdzenia zagrożenia lub naruszenia ochrony danych osobowych, zobowiązany jest poinformować</w:t>
      </w:r>
      <w:r>
        <w:rPr>
          <w:rFonts w:cs="Arial"/>
        </w:rPr>
        <w:t xml:space="preserve"> </w:t>
      </w:r>
      <w:r w:rsidRPr="00401538">
        <w:rPr>
          <w:rFonts w:cs="Arial"/>
        </w:rPr>
        <w:t>Przewodniczącego Zespołu</w:t>
      </w:r>
      <w:r>
        <w:rPr>
          <w:rFonts w:cs="Arial"/>
        </w:rPr>
        <w:t xml:space="preserve"> </w:t>
      </w:r>
      <w:r w:rsidRPr="003513B9">
        <w:rPr>
          <w:rFonts w:cs="Arial"/>
        </w:rPr>
        <w:t>oraz IOD.</w:t>
      </w:r>
    </w:p>
    <w:p w14:paraId="62960BA8" w14:textId="77777777" w:rsidR="008F39DF" w:rsidRPr="00241579" w:rsidRDefault="008F39DF" w:rsidP="008F39DF">
      <w:pPr>
        <w:pStyle w:val="Akapitzlist"/>
        <w:spacing w:before="120" w:after="120"/>
        <w:ind w:left="716"/>
        <w:rPr>
          <w:rFonts w:cs="Arial"/>
        </w:rPr>
      </w:pPr>
    </w:p>
    <w:p w14:paraId="314A0D11" w14:textId="77777777" w:rsidR="008F39DF" w:rsidRPr="006425B4" w:rsidRDefault="008F39DF" w:rsidP="008F39DF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b/>
          <w:szCs w:val="24"/>
        </w:rPr>
      </w:pPr>
      <w:bookmarkStart w:id="15" w:name="_Toc441830906"/>
      <w:bookmarkStart w:id="16" w:name="_Toc11057305"/>
      <w:r w:rsidRPr="006425B4">
        <w:rPr>
          <w:b/>
          <w:szCs w:val="24"/>
        </w:rPr>
        <w:t>Określenie środków technicznych i organizacyjnych niezbędnych dla zapewnienia poufności, integralności i rozliczalności przetwarzanych danych</w:t>
      </w:r>
      <w:bookmarkEnd w:id="15"/>
      <w:bookmarkEnd w:id="16"/>
    </w:p>
    <w:p w14:paraId="00E40146" w14:textId="77777777" w:rsidR="008F39DF" w:rsidRPr="003513B9" w:rsidRDefault="008F39DF" w:rsidP="008F39DF">
      <w:pPr>
        <w:pStyle w:val="Akapitzlist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</w:rPr>
      </w:pPr>
      <w:r w:rsidRPr="003513B9">
        <w:rPr>
          <w:rFonts w:cs="Arial"/>
        </w:rPr>
        <w:t>Wszystkie dane osobowe w Centrum s</w:t>
      </w:r>
      <w:r>
        <w:rPr>
          <w:rFonts w:cs="Arial"/>
        </w:rPr>
        <w:t>ą</w:t>
      </w:r>
      <w:r w:rsidRPr="003513B9">
        <w:rPr>
          <w:rFonts w:cs="Arial"/>
        </w:rPr>
        <w:t xml:space="preserve"> przetwarzane z poszanowaniem zasad przetwarzania przewidzianych przez przepisy prawa: </w:t>
      </w:r>
    </w:p>
    <w:p w14:paraId="46118178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 xml:space="preserve">W każdym przypadku występuje chociaż jedna z przewidzianych przepisami prawa podstaw dla przetwarzania danych. </w:t>
      </w:r>
    </w:p>
    <w:p w14:paraId="28A0A46D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Dane są przetwarzane rzetelnie i w sposób przejrzysty.</w:t>
      </w:r>
    </w:p>
    <w:p w14:paraId="35D0A1A5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Dane osobowe zbierane są w konkretnych, wyraźnych i prawnie uzasadnionych celach i nieprzetwarzane dalej w sposób niezgodny z tymi celami.</w:t>
      </w:r>
    </w:p>
    <w:p w14:paraId="1FD60BB0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 xml:space="preserve">Dane osobowe są przetwarzane jedynie w takim zakresie, jaki jest niezbędny dla osiągniecia celu przetwarzania danych. </w:t>
      </w:r>
    </w:p>
    <w:p w14:paraId="718B231F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Dane osobowe są prawidłowe i w razie potrzeby uaktualniane.</w:t>
      </w:r>
    </w:p>
    <w:p w14:paraId="01CF4158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 xml:space="preserve">Czas przechowywania danych jest ograniczony do okresu ich przydatności do celów, do których zostały zebrane, a po tym okresie są one </w:t>
      </w:r>
      <w:proofErr w:type="spellStart"/>
      <w:r w:rsidRPr="003513B9">
        <w:rPr>
          <w:rFonts w:cs="Arial"/>
        </w:rPr>
        <w:t>anonimizowane</w:t>
      </w:r>
      <w:proofErr w:type="spellEnd"/>
      <w:r w:rsidRPr="003513B9">
        <w:rPr>
          <w:rFonts w:cs="Arial"/>
        </w:rPr>
        <w:t xml:space="preserve"> bądź́ usuwane.</w:t>
      </w:r>
    </w:p>
    <w:p w14:paraId="070A81CC" w14:textId="77777777" w:rsidR="008F39DF" w:rsidRPr="003513B9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>Wobec osoby, której dane dotyczą, wykonywany jest obowiązek informacyjny zgodnie z treścią art. 13 i 14 RODO.</w:t>
      </w:r>
    </w:p>
    <w:p w14:paraId="392224C3" w14:textId="77777777" w:rsidR="008F39DF" w:rsidRDefault="008F39DF" w:rsidP="008F39DF">
      <w:pPr>
        <w:pStyle w:val="Akapitzlist"/>
        <w:numPr>
          <w:ilvl w:val="2"/>
          <w:numId w:val="1"/>
        </w:numPr>
        <w:spacing w:before="120" w:after="120"/>
        <w:ind w:left="1418" w:hanging="698"/>
        <w:contextualSpacing w:val="0"/>
        <w:jc w:val="both"/>
        <w:rPr>
          <w:rFonts w:cs="Arial"/>
        </w:rPr>
      </w:pPr>
      <w:r w:rsidRPr="003513B9">
        <w:rPr>
          <w:rFonts w:cs="Arial"/>
        </w:rPr>
        <w:t xml:space="preserve">Dane są zabezpieczone przed </w:t>
      </w:r>
      <w:r>
        <w:rPr>
          <w:rFonts w:cs="Arial"/>
        </w:rPr>
        <w:t>naruszeniami zasad ich ochrony.</w:t>
      </w:r>
    </w:p>
    <w:p w14:paraId="6DE91968" w14:textId="77777777" w:rsidR="008F39DF" w:rsidRDefault="008F39DF" w:rsidP="008F39DF">
      <w:pPr>
        <w:pStyle w:val="Akapitzlist"/>
        <w:spacing w:before="120" w:after="120"/>
        <w:ind w:left="1418"/>
        <w:rPr>
          <w:rFonts w:cs="Arial"/>
        </w:rPr>
      </w:pPr>
    </w:p>
    <w:p w14:paraId="69D8673E" w14:textId="77777777" w:rsidR="008F39DF" w:rsidRPr="00BD4720" w:rsidRDefault="008F39DF" w:rsidP="008F39DF">
      <w:pPr>
        <w:spacing w:after="120"/>
        <w:ind w:left="284"/>
        <w:jc w:val="both"/>
        <w:rPr>
          <w:rFonts w:cstheme="minorHAnsi"/>
        </w:rPr>
      </w:pPr>
    </w:p>
    <w:p w14:paraId="2DFDAD56" w14:textId="77777777" w:rsidR="008F39DF" w:rsidRPr="00A77638" w:rsidRDefault="008F39DF" w:rsidP="008F39DF">
      <w:pPr>
        <w:pStyle w:val="Akapitzlist"/>
        <w:spacing w:before="120" w:after="120"/>
        <w:ind w:left="709"/>
        <w:rPr>
          <w:rFonts w:cstheme="minorHAnsi"/>
          <w:bCs/>
        </w:rPr>
      </w:pPr>
    </w:p>
    <w:p w14:paraId="6061ADF4" w14:textId="77777777" w:rsidR="009A54C3" w:rsidRDefault="009A54C3"/>
    <w:sectPr w:rsidR="009A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78D"/>
    <w:multiLevelType w:val="multilevel"/>
    <w:tmpl w:val="3114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DF"/>
    <w:rsid w:val="0013141F"/>
    <w:rsid w:val="00273537"/>
    <w:rsid w:val="005B0645"/>
    <w:rsid w:val="008F39DF"/>
    <w:rsid w:val="009A54C3"/>
    <w:rsid w:val="00CF648A"/>
    <w:rsid w:val="0CE85EC9"/>
    <w:rsid w:val="0E842F2A"/>
    <w:rsid w:val="0F70693E"/>
    <w:rsid w:val="10398C8F"/>
    <w:rsid w:val="167618B2"/>
    <w:rsid w:val="1E55C0AC"/>
    <w:rsid w:val="25FDBC12"/>
    <w:rsid w:val="3666B7A3"/>
    <w:rsid w:val="38ED6152"/>
    <w:rsid w:val="42C79B09"/>
    <w:rsid w:val="43443E8C"/>
    <w:rsid w:val="4F7AB426"/>
    <w:rsid w:val="521D2080"/>
    <w:rsid w:val="544F5439"/>
    <w:rsid w:val="55EB249A"/>
    <w:rsid w:val="5786F4FB"/>
    <w:rsid w:val="5922C55C"/>
    <w:rsid w:val="5A279AED"/>
    <w:rsid w:val="60B06975"/>
    <w:rsid w:val="6232A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7A55"/>
  <w15:chartTrackingRefBased/>
  <w15:docId w15:val="{2B721943-760D-4A66-BF22-F63B3E16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9D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List Paragraph,T_SZ_List Paragraph,Akapit z listą5,maz_wyliczenie,opis dzialania,K-P_odwolanie,A_wyliczenie,Akapit z listą 1,CW_Lista,Akapit z listą BS,ISCG Numerowanie"/>
    <w:basedOn w:val="Normalny"/>
    <w:link w:val="AkapitzlistZnak"/>
    <w:uiPriority w:val="34"/>
    <w:qFormat/>
    <w:rsid w:val="008F39D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F3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9DF"/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L1 Znak,Numerowanie Znak,List Paragraph Znak,T_SZ_List Paragraph Znak,Akapit z listą5 Znak,maz_wyliczenie Znak,opis dzialania Znak,K-P_odwolanie Znak,CW_Lista Znak"/>
    <w:link w:val="Akapitzlist"/>
    <w:uiPriority w:val="34"/>
    <w:qFormat/>
    <w:rsid w:val="008F39D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8162</Characters>
  <Application>Microsoft Office Word</Application>
  <DocSecurity>4</DocSecurity>
  <Lines>68</Lines>
  <Paragraphs>19</Paragraphs>
  <ScaleCrop>false</ScaleCrop>
  <Company>NCBR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Woźnicka</dc:creator>
  <cp:keywords/>
  <dc:description/>
  <cp:lastModifiedBy>Izabella Mikaszewska</cp:lastModifiedBy>
  <cp:revision>2</cp:revision>
  <dcterms:created xsi:type="dcterms:W3CDTF">2022-06-29T19:46:00Z</dcterms:created>
  <dcterms:modified xsi:type="dcterms:W3CDTF">2022-06-29T19:46:00Z</dcterms:modified>
</cp:coreProperties>
</file>