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AF77499" w14:textId="77777777" w:rsidR="00324341" w:rsidRDefault="00324341" w:rsidP="00E87946">
      <w:pPr>
        <w:spacing w:line="0" w:lineRule="atLeast"/>
        <w:ind w:right="851"/>
        <w:jc w:val="right"/>
        <w:rPr>
          <w:rFonts w:ascii="Verdana" w:eastAsia="Verdana" w:hAnsi="Verdana"/>
          <w:sz w:val="18"/>
          <w:lang w:val="pl-PL"/>
        </w:rPr>
      </w:pPr>
    </w:p>
    <w:p w14:paraId="6240FB9B" w14:textId="77777777" w:rsidR="00324341" w:rsidRDefault="00324341" w:rsidP="00E87946">
      <w:pPr>
        <w:spacing w:line="0" w:lineRule="atLeast"/>
        <w:ind w:right="851"/>
        <w:jc w:val="right"/>
        <w:rPr>
          <w:rFonts w:ascii="Verdana" w:eastAsia="Verdana" w:hAnsi="Verdana"/>
          <w:sz w:val="18"/>
          <w:lang w:val="pl-PL"/>
        </w:rPr>
      </w:pPr>
    </w:p>
    <w:p w14:paraId="4533F50B" w14:textId="77777777" w:rsidR="003F4C30" w:rsidRDefault="003F4C30" w:rsidP="003F4C30">
      <w:pPr>
        <w:spacing w:line="0" w:lineRule="atLeast"/>
        <w:ind w:right="851"/>
        <w:jc w:val="right"/>
        <w:rPr>
          <w:rFonts w:ascii="Verdana" w:eastAsia="Verdana" w:hAnsi="Verdana"/>
          <w:sz w:val="18"/>
          <w:lang w:val="pl-PL"/>
        </w:rPr>
      </w:pPr>
    </w:p>
    <w:p w14:paraId="3599790E" w14:textId="2ECB3819" w:rsidR="00E87946" w:rsidRDefault="00E87946" w:rsidP="003F4C30">
      <w:pPr>
        <w:spacing w:line="0" w:lineRule="atLeast"/>
        <w:ind w:right="851"/>
        <w:jc w:val="right"/>
        <w:rPr>
          <w:rFonts w:ascii="Verdana" w:eastAsia="Verdana" w:hAnsi="Verdana"/>
          <w:sz w:val="18"/>
          <w:lang w:val="pl-PL"/>
        </w:rPr>
      </w:pPr>
      <w:r w:rsidRPr="00886221">
        <w:rPr>
          <w:rFonts w:ascii="Verdana" w:eastAsia="Verdana" w:hAnsi="Verdana"/>
          <w:sz w:val="18"/>
          <w:lang w:val="pl-PL"/>
        </w:rPr>
        <w:t>Zestawienie</w:t>
      </w:r>
      <w:r w:rsidR="003F4C30" w:rsidRPr="003F4C30">
        <w:rPr>
          <w:rFonts w:ascii="Verdana" w:eastAsia="Verdana" w:hAnsi="Verdana"/>
          <w:sz w:val="18"/>
          <w:lang w:val="pl-PL"/>
        </w:rPr>
        <w:t xml:space="preserve"> – Orzecznictwo dotyczące UE</w:t>
      </w:r>
    </w:p>
    <w:p w14:paraId="4449DA60" w14:textId="016F8844" w:rsidR="003F4C30" w:rsidRDefault="003F4C30" w:rsidP="003F4C30">
      <w:pPr>
        <w:spacing w:line="0" w:lineRule="atLeast"/>
        <w:ind w:right="851"/>
        <w:jc w:val="right"/>
        <w:rPr>
          <w:rFonts w:ascii="Verdana" w:eastAsia="Verdana" w:hAnsi="Verdana"/>
          <w:sz w:val="18"/>
          <w:lang w:val="pl-PL"/>
        </w:rPr>
      </w:pPr>
      <w:r>
        <w:rPr>
          <w:noProof/>
          <w:lang w:val="pl-PL" w:eastAsia="pl-PL"/>
        </w:rPr>
        <mc:AlternateContent>
          <mc:Choice Requires="wps">
            <w:drawing>
              <wp:anchor distT="0" distB="0" distL="114300" distR="114300" simplePos="0" relativeHeight="251663872" behindDoc="0" locked="0" layoutInCell="1" allowOverlap="1" wp14:anchorId="21EE4509" wp14:editId="66E633D6">
                <wp:simplePos x="0" y="0"/>
                <wp:positionH relativeFrom="column">
                  <wp:posOffset>-334010</wp:posOffset>
                </wp:positionH>
                <wp:positionV relativeFrom="paragraph">
                  <wp:posOffset>85725</wp:posOffset>
                </wp:positionV>
                <wp:extent cx="6448425" cy="0"/>
                <wp:effectExtent l="9525" t="7620" r="9525" b="11430"/>
                <wp:wrapNone/>
                <wp:docPr id="15"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7AD045" id="_x0000_t32" coordsize="21600,21600" o:spt="32" o:oned="t" path="m,l21600,21600e" filled="f">
                <v:path arrowok="t" fillok="f" o:connecttype="none"/>
                <o:lock v:ext="edit" shapetype="t"/>
              </v:shapetype>
              <v:shape id="AutoShape 94" o:spid="_x0000_s1026" type="#_x0000_t32" style="position:absolute;margin-left:-26.3pt;margin-top:6.75pt;width:507.7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yfdtgEAAFYDAAAOAAAAZHJzL2Uyb0RvYy54bWysU8Fu2zAMvQ/YPwi6L06CtOiMOD2k6y7d&#10;FqDdBzCSbAuTRYFUYufvJ6lJOnS3YT4Qoig+Pj7S6/tpcOJoiC36Ri5mcymMV6it7xr58+Xx050U&#10;HMFrcOhNI0+G5f3m44f1GGqzxB6dNiQSiOd6DI3sYwx1VbHqzQA8w2B8CrZIA8TkUldpgjGhD65a&#10;zue31YikA6EyzOn24TUoNwW/bY2KP9qWTRSukYlbLJaK3WdbbdZQdwSht+pMA/6BxQDWp6JXqAeI&#10;IA5k/4IarCJkbONM4VBh21plSg+pm8X8XTfPPQRTeknicLjKxP8PVn0/bv2OMnU1+efwhOoXC4/b&#10;HnxnCoGXU0iDW2SpqjFwfU3JDocdif34DXV6A4eIRYWppSFDpv7EVMQ+XcU2UxQqXd6uVner5Y0U&#10;6hKroL4kBuL41eAg8qGRHAls18ctep9GirQoZeD4xDHTgvqSkKt6fLTOlck6L8ZGfr5JdXKE0Vmd&#10;g8Whbr91JI6Qd6N8pcd3zwgPXhew3oD+cj5HsO71nIo7f5Ymq5FXj+s96tOOLpKl4RWW50XL2/Gn&#10;X7LffofNbwAAAP//AwBQSwMEFAAGAAgAAAAhAO67kvfdAAAACQEAAA8AAABkcnMvZG93bnJldi54&#10;bWxMj8FOg0AQhu8mfYfNmHgx7VIMRJClaZp48GjbxOuWHQFlZwm7FOzTO6aHepz5v/zzTbGZbSfO&#10;OPjWkYL1KgKBVDnTUq3geHhdPoPwQZPRnSNU8IMeNuXirtC5cRO943kfasEl5HOtoAmhz6X0VYNW&#10;+5XrkTj7dIPVgcehlmbQE5fbTsZRlEqrW+ILje5x12D1vR+tAvRjso62ma2Pb5fp8SO+fE39QamH&#10;+3n7AiLgHG4w/OmzOpTsdHIjGS86BcskThnl4CkBwUCWxhmI03Uhy0L+/6D8BQAA//8DAFBLAQIt&#10;ABQABgAIAAAAIQC2gziS/gAAAOEBAAATAAAAAAAAAAAAAAAAAAAAAABbQ29udGVudF9UeXBlc10u&#10;eG1sUEsBAi0AFAAGAAgAAAAhADj9If/WAAAAlAEAAAsAAAAAAAAAAAAAAAAALwEAAF9yZWxzLy5y&#10;ZWxzUEsBAi0AFAAGAAgAAAAhAP0jJ922AQAAVgMAAA4AAAAAAAAAAAAAAAAALgIAAGRycy9lMm9E&#10;b2MueG1sUEsBAi0AFAAGAAgAAAAhAO67kvfdAAAACQEAAA8AAAAAAAAAAAAAAAAAEAQAAGRycy9k&#10;b3ducmV2LnhtbFBLBQYAAAAABAAEAPMAAAAaBQAAAAA=&#10;"/>
            </w:pict>
          </mc:Fallback>
        </mc:AlternateContent>
      </w:r>
    </w:p>
    <w:p w14:paraId="476D84F7" w14:textId="5BF3DE95" w:rsidR="003F4C30" w:rsidRPr="003F4C30" w:rsidRDefault="003F4C30" w:rsidP="003F4C30">
      <w:pPr>
        <w:spacing w:line="0" w:lineRule="atLeast"/>
        <w:ind w:right="851"/>
        <w:jc w:val="center"/>
        <w:rPr>
          <w:rFonts w:ascii="Verdana" w:eastAsia="Verdana" w:hAnsi="Verdana"/>
          <w:sz w:val="18"/>
          <w:lang w:val="pl-PL"/>
        </w:rPr>
      </w:pPr>
    </w:p>
    <w:p w14:paraId="5BC5E095" w14:textId="77777777" w:rsidR="00E87946" w:rsidRDefault="00E87946" w:rsidP="005715B6">
      <w:pPr>
        <w:spacing w:line="282" w:lineRule="exact"/>
        <w:ind w:right="839"/>
        <w:jc w:val="right"/>
        <w:rPr>
          <w:rFonts w:ascii="Verdana" w:eastAsia="Verdana" w:hAnsi="Verdana"/>
          <w:color w:val="EC7F12"/>
          <w:sz w:val="18"/>
          <w:lang w:val="pl-PL"/>
        </w:rPr>
      </w:pPr>
    </w:p>
    <w:p w14:paraId="51458D71" w14:textId="7B45E2E5" w:rsidR="001473E3" w:rsidRPr="00886221" w:rsidRDefault="00DF334D" w:rsidP="005715B6">
      <w:pPr>
        <w:spacing w:line="282" w:lineRule="exact"/>
        <w:ind w:right="839"/>
        <w:jc w:val="right"/>
        <w:rPr>
          <w:rFonts w:ascii="Verdana" w:eastAsia="Verdana" w:hAnsi="Verdana"/>
          <w:color w:val="EC7F12"/>
          <w:sz w:val="18"/>
          <w:lang w:val="pl-PL"/>
        </w:rPr>
      </w:pPr>
      <w:r>
        <w:rPr>
          <w:rFonts w:ascii="Verdana" w:eastAsia="Verdana" w:hAnsi="Verdana"/>
          <w:color w:val="EC7F12"/>
          <w:sz w:val="18"/>
          <w:lang w:val="pl-PL"/>
        </w:rPr>
        <w:t>Grudzień 2022 r</w:t>
      </w:r>
      <w:r w:rsidR="00750D55">
        <w:rPr>
          <w:rFonts w:ascii="Verdana" w:eastAsia="Verdana" w:hAnsi="Verdana"/>
          <w:color w:val="EC7F12"/>
          <w:sz w:val="18"/>
          <w:lang w:val="pl-PL"/>
        </w:rPr>
        <w:t>.</w:t>
      </w:r>
    </w:p>
    <w:p w14:paraId="745015AB" w14:textId="77777777" w:rsidR="001901E3" w:rsidRPr="001901E3" w:rsidRDefault="001901E3" w:rsidP="005715B6">
      <w:pPr>
        <w:spacing w:line="0" w:lineRule="atLeast"/>
        <w:ind w:right="839"/>
        <w:jc w:val="right"/>
        <w:rPr>
          <w:rFonts w:ascii="Verdana" w:eastAsia="Verdana" w:hAnsi="Verdana"/>
          <w:color w:val="EC7F12"/>
          <w:sz w:val="18"/>
          <w:lang w:val="pl-PL"/>
        </w:rPr>
      </w:pPr>
      <w:r w:rsidRPr="001901E3">
        <w:rPr>
          <w:rFonts w:ascii="Verdana" w:eastAsia="Verdana" w:hAnsi="Verdana"/>
          <w:color w:val="EC7F12"/>
          <w:sz w:val="18"/>
          <w:lang w:val="pl-PL"/>
        </w:rPr>
        <w:t>Niniejsze zestawienie nie jest wiążące dla Trybunału i nie</w:t>
      </w:r>
      <w:r>
        <w:rPr>
          <w:rFonts w:ascii="Verdana" w:eastAsia="Verdana" w:hAnsi="Verdana"/>
          <w:color w:val="EC7F12"/>
          <w:sz w:val="18"/>
          <w:lang w:val="pl-PL"/>
        </w:rPr>
        <w:t xml:space="preserve"> ma charakteru wyczerpującego</w:t>
      </w:r>
    </w:p>
    <w:p w14:paraId="3F5C375C" w14:textId="77777777" w:rsidR="001473E3" w:rsidRPr="001901E3" w:rsidRDefault="001473E3" w:rsidP="00070BB7">
      <w:pPr>
        <w:spacing w:line="229" w:lineRule="exact"/>
        <w:rPr>
          <w:rFonts w:ascii="Times New Roman" w:eastAsia="Times New Roman" w:hAnsi="Times New Roman"/>
          <w:sz w:val="24"/>
          <w:lang w:val="pl-PL"/>
        </w:rPr>
      </w:pPr>
    </w:p>
    <w:p w14:paraId="4FC4902C" w14:textId="5F85AFBB" w:rsidR="00886221" w:rsidRPr="009447D1" w:rsidRDefault="00F548D6" w:rsidP="00070BB7">
      <w:pPr>
        <w:spacing w:line="267" w:lineRule="auto"/>
        <w:ind w:left="120"/>
        <w:rPr>
          <w:rFonts w:ascii="Verdana" w:eastAsia="Verdana" w:hAnsi="Verdana"/>
          <w:color w:val="0072BC"/>
          <w:sz w:val="44"/>
          <w:lang w:val="pl-PL"/>
        </w:rPr>
      </w:pPr>
      <w:r>
        <w:rPr>
          <w:rFonts w:ascii="Verdana" w:eastAsia="Verdana" w:hAnsi="Verdana"/>
          <w:color w:val="0072BC"/>
          <w:sz w:val="44"/>
          <w:lang w:val="pl-PL"/>
        </w:rPr>
        <w:t>O</w:t>
      </w:r>
      <w:r w:rsidR="00DF334D">
        <w:rPr>
          <w:rFonts w:ascii="Verdana" w:eastAsia="Verdana" w:hAnsi="Verdana"/>
          <w:color w:val="0072BC"/>
          <w:sz w:val="44"/>
          <w:lang w:val="pl-PL"/>
        </w:rPr>
        <w:t>rzecznictwo dotyczące Unii Europejskiej</w:t>
      </w:r>
    </w:p>
    <w:p w14:paraId="42DBDA53" w14:textId="7B4CE396" w:rsidR="001473E3" w:rsidRPr="009447D1" w:rsidRDefault="00667B8B" w:rsidP="00070BB7">
      <w:pPr>
        <w:spacing w:line="20" w:lineRule="exact"/>
        <w:rPr>
          <w:rFonts w:ascii="Times New Roman" w:eastAsia="Times New Roman" w:hAnsi="Times New Roman"/>
          <w:sz w:val="24"/>
          <w:lang w:val="pl-PL"/>
        </w:rPr>
      </w:pPr>
      <w:r>
        <w:rPr>
          <w:rFonts w:ascii="Verdana" w:eastAsia="Verdana" w:hAnsi="Verdana"/>
          <w:noProof/>
          <w:color w:val="0072BC"/>
          <w:sz w:val="44"/>
        </w:rPr>
        <mc:AlternateContent>
          <mc:Choice Requires="wps">
            <w:drawing>
              <wp:anchor distT="0" distB="0" distL="114300" distR="114300" simplePos="0" relativeHeight="251651584" behindDoc="1" locked="0" layoutInCell="1" allowOverlap="1" wp14:anchorId="4CDB4130" wp14:editId="276D35D5">
                <wp:simplePos x="0" y="0"/>
                <wp:positionH relativeFrom="column">
                  <wp:posOffset>57785</wp:posOffset>
                </wp:positionH>
                <wp:positionV relativeFrom="paragraph">
                  <wp:posOffset>-31750</wp:posOffset>
                </wp:positionV>
                <wp:extent cx="5768340" cy="0"/>
                <wp:effectExtent l="20320" t="22225" r="21590" b="25400"/>
                <wp:wrapNone/>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38100">
                          <a:solidFill>
                            <a:srgbClr val="EAEAE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45990" id="Line 5"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2.5pt" to="458.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JEtAEAAEkDAAAOAAAAZHJzL2Uyb0RvYy54bWysU9tu2zAMfR+wfxD0vthpty4w4hRD2u6l&#10;2wK0+wBGkm1hsiiQSpz8/SQ1SYvtbRgMCBQvR4eH9PL2MDqxN8QWfSvns1oK4xVq6/tW/nx++LCQ&#10;giN4DQ69aeXRsLxdvX+3nEJjrnBApw2JBOK5mUIrhxhDU1WsBjMCzzAYn4Id0ggxXamvNMGU0EdX&#10;XdX1TTUh6UCoDHPy3r0E5argd51R8UfXsYnCtTJxi+Wkcm7zWa2W0PQEYbDqRAP+gcUI1qdHL1B3&#10;EEHsyP4FNVpFyNjFmcKxwq6zypQeUjfz+o9ungYIpvSSxOFwkYn/H6z6vl/7DWXq6uCfwiOqXyw8&#10;rgfwvSkEno8hDW6epaqmwM2lJF84bEhsp2+oUw7sIhYVDh2NGTL1Jw5F7ONFbHOIQiXnp883i+uP&#10;aSbqHKugORcG4vjV4Ciy0UpnfdYBGtg/csxEoDmnZLfHB+tcmaXzYmrl9WJe16WC0VmdozmPqd+u&#10;HYk9pHW4/5K/0laKvE0j3Hld0AYD+v5kR7DuxU6vO39SIwuQt42bLerjhs4qpXkVmqfdygvx9l6q&#10;X/+A1W8AAAD//wMAUEsDBBQABgAIAAAAIQBPnzxY2wAAAAcBAAAPAAAAZHJzL2Rvd25yZXYueG1s&#10;TI/BTsMwEETvSPyDtUjcWidIKUmIUyEKB6ReKHzAJjZJir2OYjdN/55FHOA4O6OZt9V2cVbMZgqD&#10;JwXpOgFhqPV6oE7Bx/vLKgcRIpJG68kouJgA2/r6qsJS+zO9mfkQO8ElFEpU0Mc4llKGtjcOw9qP&#10;htj79JPDyHLqpJ7wzOXOyrsk2UiHA/FCj6N56k37dTg5Ba7oNsmrvTR59rzPZ3ncHXG/U+r2Znl8&#10;ABHNEv/C8IPP6FAzU+NPpIOwCoqUgwpWGX/EdpHeZyCa34OsK/mfv/4GAAD//wMAUEsBAi0AFAAG&#10;AAgAAAAhALaDOJL+AAAA4QEAABMAAAAAAAAAAAAAAAAAAAAAAFtDb250ZW50X1R5cGVzXS54bWxQ&#10;SwECLQAUAAYACAAAACEAOP0h/9YAAACUAQAACwAAAAAAAAAAAAAAAAAvAQAAX3JlbHMvLnJlbHNQ&#10;SwECLQAUAAYACAAAACEA/mCSRLQBAABJAwAADgAAAAAAAAAAAAAAAAAuAgAAZHJzL2Uyb0RvYy54&#10;bWxQSwECLQAUAAYACAAAACEAT588WNsAAAAHAQAADwAAAAAAAAAAAAAAAAAOBAAAZHJzL2Rvd25y&#10;ZXYueG1sUEsFBgAAAAAEAAQA8wAAABYFAAAAAA==&#10;" strokecolor="#eaeaea" strokeweight="3pt"/>
            </w:pict>
          </mc:Fallback>
        </mc:AlternateContent>
      </w:r>
    </w:p>
    <w:p w14:paraId="0753830A" w14:textId="4C819CBD" w:rsidR="001473E3" w:rsidRPr="00390932" w:rsidRDefault="003F4C30" w:rsidP="00070BB7">
      <w:pPr>
        <w:spacing w:line="202" w:lineRule="exact"/>
        <w:rPr>
          <w:rFonts w:ascii="Times New Roman" w:eastAsia="Times New Roman" w:hAnsi="Times New Roman"/>
          <w:sz w:val="24"/>
          <w:lang w:val="pl-PL"/>
        </w:rPr>
      </w:pPr>
      <w:r>
        <w:rPr>
          <w:rFonts w:ascii="Times New Roman" w:eastAsia="Times New Roman" w:hAnsi="Times New Roman"/>
          <w:noProof/>
          <w:sz w:val="24"/>
        </w:rPr>
        <w:drawing>
          <wp:anchor distT="0" distB="0" distL="114300" distR="114300" simplePos="0" relativeHeight="251655680" behindDoc="1" locked="0" layoutInCell="1" allowOverlap="1" wp14:anchorId="12609CE4" wp14:editId="2CB7F0DC">
            <wp:simplePos x="0" y="0"/>
            <wp:positionH relativeFrom="margin">
              <wp:posOffset>37465</wp:posOffset>
            </wp:positionH>
            <wp:positionV relativeFrom="paragraph">
              <wp:posOffset>36829</wp:posOffset>
            </wp:positionV>
            <wp:extent cx="5788660" cy="962025"/>
            <wp:effectExtent l="19050" t="19050" r="21590" b="28575"/>
            <wp:wrapNone/>
            <wp:docPr id="74" name="Obraz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9620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9D6C4CA" w14:textId="0B41120F" w:rsidR="00F548D6" w:rsidRPr="00E87946" w:rsidRDefault="003F4C30" w:rsidP="00070BB7">
      <w:pPr>
        <w:spacing w:after="120"/>
        <w:ind w:left="119" w:right="839"/>
        <w:jc w:val="both"/>
        <w:rPr>
          <w:rFonts w:ascii="Verdana" w:eastAsia="Verdana" w:hAnsi="Verdana"/>
          <w:color w:val="404040"/>
          <w:lang w:val="pl-PL"/>
        </w:rPr>
      </w:pPr>
      <w:hyperlink r:id="rId9" w:history="1">
        <w:r w:rsidRPr="003F4C30">
          <w:rPr>
            <w:rStyle w:val="Hipercze"/>
            <w:rFonts w:ascii="Verdana" w:eastAsia="Verdana" w:hAnsi="Verdana"/>
            <w:lang w:val="pl-PL"/>
          </w:rPr>
          <w:t>Unia Europejska</w:t>
        </w:r>
      </w:hyperlink>
      <w:r w:rsidRPr="003F4C30">
        <w:rPr>
          <w:rFonts w:ascii="Verdana" w:eastAsia="Verdana" w:hAnsi="Verdana"/>
          <w:color w:val="404040"/>
          <w:lang w:val="pl-PL"/>
        </w:rPr>
        <w:t xml:space="preserve"> (UE) nie jest obecnie stroną </w:t>
      </w:r>
      <w:hyperlink r:id="rId10" w:history="1">
        <w:r w:rsidRPr="003F4C30">
          <w:rPr>
            <w:rStyle w:val="Hipercze"/>
            <w:rFonts w:ascii="Verdana" w:eastAsia="Verdana" w:hAnsi="Verdana"/>
            <w:lang w:val="pl-PL"/>
          </w:rPr>
          <w:t>Europejskiej Konwencji Praw Człowieka</w:t>
        </w:r>
      </w:hyperlink>
      <w:r w:rsidRPr="003F4C30">
        <w:rPr>
          <w:rFonts w:ascii="Verdana" w:eastAsia="Verdana" w:hAnsi="Verdana"/>
          <w:color w:val="404040"/>
          <w:lang w:val="pl-PL"/>
        </w:rPr>
        <w:t xml:space="preserve"> (Konwencja)</w:t>
      </w:r>
      <w:r>
        <w:rPr>
          <w:rStyle w:val="Odwoanieprzypisudolnego"/>
          <w:rFonts w:ascii="Verdana" w:eastAsia="Verdana" w:hAnsi="Verdana"/>
          <w:color w:val="404040"/>
          <w:lang w:val="pl-PL"/>
        </w:rPr>
        <w:footnoteReference w:id="1"/>
      </w:r>
      <w:r w:rsidRPr="003F4C30">
        <w:rPr>
          <w:rFonts w:ascii="Verdana" w:eastAsia="Verdana" w:hAnsi="Verdana"/>
          <w:color w:val="404040"/>
          <w:lang w:val="pl-PL"/>
        </w:rPr>
        <w:t>. Zatem jej działania nie mogą być przedmiotem skarg do Europejskiego Trybunału Praw Człowieka (Trybunał).Niemniej jednak kwestie związane z prawem wspólnotowym są regularnie podnoszone przed Trybunałem, a poprzednio przed Europejską Komisją Praw Człowieka</w:t>
      </w:r>
      <w:r w:rsidR="00DF334D">
        <w:rPr>
          <w:rStyle w:val="Odwoanieprzypisudolnego"/>
          <w:rFonts w:ascii="Verdana" w:eastAsia="Verdana" w:hAnsi="Verdana"/>
          <w:color w:val="404040"/>
          <w:lang w:val="pl-PL"/>
        </w:rPr>
        <w:footnoteReference w:id="2"/>
      </w:r>
      <w:r w:rsidRPr="003F4C30">
        <w:rPr>
          <w:rFonts w:ascii="Verdana" w:eastAsia="Verdana" w:hAnsi="Verdana"/>
          <w:color w:val="404040"/>
          <w:lang w:val="pl-PL"/>
        </w:rPr>
        <w:t>.</w:t>
      </w:r>
      <w:r w:rsidR="005427C5" w:rsidRPr="005427C5">
        <w:rPr>
          <w:rFonts w:ascii="Verdana" w:eastAsia="Verdana" w:hAnsi="Verdana"/>
          <w:color w:val="404040"/>
          <w:lang w:val="pl-PL"/>
        </w:rPr>
        <w:cr/>
      </w:r>
    </w:p>
    <w:p w14:paraId="2F484F07" w14:textId="77777777" w:rsidR="00F548D6" w:rsidRPr="00E87946" w:rsidRDefault="00F548D6" w:rsidP="00070BB7">
      <w:pPr>
        <w:spacing w:line="202" w:lineRule="exact"/>
        <w:rPr>
          <w:rFonts w:ascii="Times New Roman" w:eastAsia="Times New Roman" w:hAnsi="Times New Roman"/>
          <w:sz w:val="24"/>
          <w:lang w:val="pl-PL"/>
        </w:rPr>
      </w:pPr>
    </w:p>
    <w:p w14:paraId="040C8AA0" w14:textId="36B6CFB3" w:rsidR="001473E3" w:rsidRPr="00390932" w:rsidRDefault="00DF334D" w:rsidP="00B14339">
      <w:pPr>
        <w:ind w:left="119" w:right="839"/>
        <w:jc w:val="both"/>
        <w:rPr>
          <w:rFonts w:ascii="Verdana" w:eastAsia="Verdana" w:hAnsi="Verdana"/>
          <w:color w:val="0072BC"/>
          <w:sz w:val="28"/>
          <w:lang w:val="pl-PL"/>
        </w:rPr>
      </w:pPr>
      <w:r w:rsidRPr="00DF334D">
        <w:rPr>
          <w:rFonts w:ascii="Verdana" w:eastAsia="Verdana" w:hAnsi="Verdana"/>
          <w:color w:val="0072BC"/>
          <w:sz w:val="28"/>
          <w:lang w:val="pl-PL"/>
        </w:rPr>
        <w:t>Zasady ustanowione przez Europejską Komisję Praw Człowieka</w:t>
      </w:r>
    </w:p>
    <w:p w14:paraId="702ECFBF" w14:textId="331DCF24" w:rsidR="001473E3" w:rsidRPr="00390932" w:rsidRDefault="00667B8B" w:rsidP="00070BB7">
      <w:pPr>
        <w:spacing w:line="20" w:lineRule="exact"/>
        <w:rPr>
          <w:rFonts w:ascii="Times New Roman" w:eastAsia="Times New Roman" w:hAnsi="Times New Roman"/>
          <w:sz w:val="24"/>
          <w:lang w:val="pl-PL"/>
        </w:rPr>
      </w:pPr>
      <w:r>
        <w:rPr>
          <w:rFonts w:ascii="Verdana" w:eastAsia="Verdana" w:hAnsi="Verdana"/>
          <w:noProof/>
          <w:color w:val="0072BC"/>
          <w:sz w:val="28"/>
        </w:rPr>
        <mc:AlternateContent>
          <mc:Choice Requires="wps">
            <w:drawing>
              <wp:anchor distT="0" distB="0" distL="114300" distR="114300" simplePos="0" relativeHeight="251652608" behindDoc="1" locked="0" layoutInCell="1" allowOverlap="1" wp14:anchorId="1F6F9120" wp14:editId="5655C2C4">
                <wp:simplePos x="0" y="0"/>
                <wp:positionH relativeFrom="column">
                  <wp:posOffset>57785</wp:posOffset>
                </wp:positionH>
                <wp:positionV relativeFrom="paragraph">
                  <wp:posOffset>21590</wp:posOffset>
                </wp:positionV>
                <wp:extent cx="5768340" cy="0"/>
                <wp:effectExtent l="10795" t="16510" r="12065" b="12065"/>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76315" id="Line 10"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7pt" to="458.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o9txAEAAGwDAAAOAAAAZHJzL2Uyb0RvYy54bWysU8Fu2zAMvQ/YPwi6L07SrfOMOD2k6y7Z&#10;FqDdBzCSbAuTREFSYufvR6lJ2m23YT4Iokg+Pj7Sq7vJGnZUIWp0LV/M5pwpJ1Bq17f8x9PDu5qz&#10;mMBJMOhUy08q8rv12zer0TdqiQMaqQIjEBeb0bd8SMk3VRXFoCzEGXrlyNlhsJDIDH0lA4yEbk21&#10;nM9vqxGD9AGFipFe75+dfF3wu06J9L3rokrMtJy4pXKGcu7zWa1X0PQB/KDFmQb8AwsL2lHRK9Q9&#10;JGCHoP+CsloEjNilmUBbYddpoUoP1M1i/kc3jwN4VXohcaK/yhT/H6z4dtwFpiXN7oYzB5ZmtNVO&#10;sUXRZvSxoZCN24XcnZjco9+i+BmZw80ArleF49PJU94iq1n9lpKN6KnCfvyKkmLgkLAINXXBZkiS&#10;gE1lHqfrPNSUmKDHDx9v65v3NDZx8VXQXBJ9iOmLQsvypeWGSBdgOG5jykSguYTkOg4ftDFl3Max&#10;kdjWy7ouGRGNltmb42Lo9xsT2BFoYz6Vr7RFntdhAQ9OFrRBgfx8vifQ5vlO1Y07q5EFyAsZmz3K&#10;0y5cVKKRFprn9cs789ou2S8/yfoXAAAA//8DAFBLAwQUAAYACAAAACEAHBH9u9kAAAAFAQAADwAA&#10;AGRycy9kb3ducmV2LnhtbEyOy07DMBBF90j8gzVI7KiT0GeIU6FKSEhZtUDXbjx5iHhsxW4b/p6B&#10;DSyv7tW5p9hOdhAXHEPvSEE6S0Ag1c701Cp4f3t5WIMIUZPRgyNU8IUBtuXtTaFz4660x8shtoIh&#10;FHKtoIvR51KGukOrw8x5JO4aN1odOY6tNKO+MtwOMkuSpbS6J37otMddh/Xn4WwVVPujfM2ytVma&#10;KvqPeeObardQ6v5uen4CEXGKf2P40Wd1KNnp5M5kghgUbFIeKnicg+B2k64WIE6/WZaF/G9ffgMA&#10;AP//AwBQSwECLQAUAAYACAAAACEAtoM4kv4AAADhAQAAEwAAAAAAAAAAAAAAAAAAAAAAW0NvbnRl&#10;bnRfVHlwZXNdLnhtbFBLAQItABQABgAIAAAAIQA4/SH/1gAAAJQBAAALAAAAAAAAAAAAAAAAAC8B&#10;AABfcmVscy8ucmVsc1BLAQItABQABgAIAAAAIQBFEo9txAEAAGwDAAAOAAAAAAAAAAAAAAAAAC4C&#10;AABkcnMvZTJvRG9jLnhtbFBLAQItABQABgAIAAAAIQAcEf272QAAAAUBAAAPAAAAAAAAAAAAAAAA&#10;AB4EAABkcnMvZG93bnJldi54bWxQSwUGAAAAAAQABADzAAAAJAUAAAAA&#10;" strokecolor="#999" strokeweight="1.44pt"/>
            </w:pict>
          </mc:Fallback>
        </mc:AlternateContent>
      </w:r>
    </w:p>
    <w:p w14:paraId="4EE4D85C" w14:textId="77777777" w:rsidR="001473E3" w:rsidRPr="00390932" w:rsidRDefault="001473E3" w:rsidP="00070BB7">
      <w:pPr>
        <w:spacing w:line="137" w:lineRule="exact"/>
        <w:rPr>
          <w:rFonts w:ascii="Times New Roman" w:eastAsia="Times New Roman" w:hAnsi="Times New Roman"/>
          <w:sz w:val="24"/>
          <w:lang w:val="pl-PL"/>
        </w:rPr>
      </w:pPr>
    </w:p>
    <w:p w14:paraId="078DD326" w14:textId="77777777" w:rsidR="00DF334D" w:rsidRDefault="00DF334D" w:rsidP="00DF334D">
      <w:pPr>
        <w:pStyle w:val="Default"/>
      </w:pPr>
    </w:p>
    <w:p w14:paraId="0386F2E3" w14:textId="77777777" w:rsidR="00DF334D" w:rsidRPr="00DF334D" w:rsidRDefault="00DF334D" w:rsidP="00DF334D">
      <w:pPr>
        <w:ind w:left="119" w:right="839"/>
        <w:jc w:val="both"/>
        <w:rPr>
          <w:rFonts w:ascii="Verdana" w:eastAsia="Verdana" w:hAnsi="Verdana"/>
          <w:color w:val="808080" w:themeColor="background1" w:themeShade="80"/>
          <w:sz w:val="28"/>
          <w:szCs w:val="28"/>
          <w:lang w:val="pl-PL"/>
        </w:rPr>
      </w:pPr>
      <w:r w:rsidRPr="00DF334D">
        <w:rPr>
          <w:rFonts w:ascii="Verdana" w:eastAsia="Verdana" w:hAnsi="Verdana"/>
          <w:color w:val="808080" w:themeColor="background1" w:themeShade="80"/>
          <w:sz w:val="28"/>
          <w:szCs w:val="28"/>
          <w:lang w:val="pl-PL"/>
        </w:rPr>
        <w:t>Odpowiedzialność państwa podpisującego kolejno dwa traktaty</w:t>
      </w:r>
    </w:p>
    <w:p w14:paraId="77ED6F81" w14:textId="77777777" w:rsidR="00DF334D" w:rsidRDefault="00DF334D" w:rsidP="00DF334D">
      <w:pPr>
        <w:ind w:left="119" w:right="839"/>
        <w:jc w:val="both"/>
        <w:rPr>
          <w:rFonts w:ascii="Verdana" w:eastAsia="Verdana" w:hAnsi="Verdana"/>
          <w:color w:val="0072BC"/>
          <w:lang w:val="pl-PL"/>
        </w:rPr>
      </w:pPr>
    </w:p>
    <w:p w14:paraId="3A1C8189" w14:textId="5FAFC314" w:rsidR="00252C8C" w:rsidRPr="00252C8C" w:rsidRDefault="00DF334D" w:rsidP="00252C8C">
      <w:pPr>
        <w:ind w:left="119" w:right="839"/>
        <w:jc w:val="both"/>
        <w:rPr>
          <w:rFonts w:ascii="Verdana" w:eastAsia="Verdana" w:hAnsi="Verdana"/>
          <w:lang w:val="pl-PL"/>
        </w:rPr>
      </w:pPr>
      <w:r w:rsidRPr="00252C8C">
        <w:rPr>
          <w:rFonts w:ascii="Verdana" w:eastAsia="Verdana" w:hAnsi="Verdana"/>
          <w:lang w:val="pl-PL"/>
        </w:rPr>
        <w:t>Już w 1958 r. Europejska Komisja Praw Człowieka orzekła, że „jeśli państwo zaciąga zobowiązania traktatowe, a następnie zawiera inną umowę międzynarodową, która uniemożliwia mu wykonanie zobowiązań wynikających z pierwszego traktatu, będzie ono odpowiedzialne za wszelkie wynikające z tego naruszenia zobowiązań wynikających z wcześniejszego traktatu” (X przeciwko Niemcom, skarga nr 235/56, decyzja Komisji z dnia 10 czerwca 1958 r., Rocznik 2, s. 256). Dotyczyło to w szczególności przypadków, w których przedmiotowe zobowiązania zostały przyjęte w traktacie, Europejskiej Konwencji Praw Człowieka, której gwarancje miały wpływ na „porządek publiczny Europy” (Austria przeciwko Włochom, nr 788/60, decyzja Komisji z dnia 11 stycznia 1961 r., Rocznik 4, s. 116).</w:t>
      </w:r>
    </w:p>
    <w:p w14:paraId="5656EC30" w14:textId="77777777" w:rsidR="00252C8C" w:rsidRPr="00DF334D" w:rsidRDefault="00252C8C" w:rsidP="00DF334D">
      <w:pPr>
        <w:ind w:left="119" w:right="839"/>
        <w:jc w:val="both"/>
        <w:rPr>
          <w:rFonts w:ascii="Verdana" w:eastAsia="Verdana" w:hAnsi="Verdana"/>
          <w:color w:val="0072BC"/>
          <w:lang w:val="pl-PL"/>
        </w:rPr>
      </w:pPr>
    </w:p>
    <w:p w14:paraId="5F10DF4A" w14:textId="77777777" w:rsidR="00DF334D" w:rsidRPr="00DF334D" w:rsidRDefault="00DF334D" w:rsidP="00DF334D">
      <w:pPr>
        <w:ind w:left="119" w:right="839"/>
        <w:jc w:val="both"/>
        <w:rPr>
          <w:rFonts w:ascii="Verdana" w:eastAsia="Verdana" w:hAnsi="Verdana"/>
          <w:color w:val="0072BC"/>
          <w:lang w:val="pl-PL"/>
        </w:rPr>
      </w:pPr>
      <w:r w:rsidRPr="00252C8C">
        <w:rPr>
          <w:rFonts w:ascii="Verdana" w:eastAsia="Verdana" w:hAnsi="Verdana"/>
          <w:color w:val="808080" w:themeColor="background1" w:themeShade="80"/>
          <w:sz w:val="28"/>
          <w:szCs w:val="28"/>
          <w:lang w:val="pl-PL"/>
        </w:rPr>
        <w:t>Niedopuszczalność skarg przeciwko Wspólnotom Europejskim</w:t>
      </w:r>
    </w:p>
    <w:p w14:paraId="4F37AF0A" w14:textId="77777777" w:rsidR="00252C8C" w:rsidRDefault="00252C8C" w:rsidP="00DF334D">
      <w:pPr>
        <w:ind w:left="119" w:right="839"/>
        <w:jc w:val="both"/>
        <w:rPr>
          <w:rFonts w:ascii="Verdana" w:eastAsia="Verdana" w:hAnsi="Verdana"/>
          <w:color w:val="0072BC"/>
          <w:lang w:val="pl-PL"/>
        </w:rPr>
      </w:pPr>
    </w:p>
    <w:p w14:paraId="2552FD51" w14:textId="16F50C85" w:rsidR="00DF334D" w:rsidRPr="00252C8C" w:rsidRDefault="00252C8C" w:rsidP="00DF334D">
      <w:pPr>
        <w:ind w:left="119" w:right="839"/>
        <w:jc w:val="both"/>
        <w:rPr>
          <w:rFonts w:ascii="Verdana" w:eastAsia="Verdana" w:hAnsi="Verdana"/>
          <w:b/>
          <w:bCs/>
          <w:color w:val="0072BC"/>
          <w:lang w:val="pl-PL"/>
        </w:rPr>
      </w:pPr>
      <w:hyperlink r:id="rId11" w:anchor="{%22itemid%22:[%22001-74373%22]}" w:history="1">
        <w:proofErr w:type="spellStart"/>
        <w:r w:rsidR="00DF334D" w:rsidRPr="00252C8C">
          <w:rPr>
            <w:rStyle w:val="Hipercze"/>
            <w:rFonts w:ascii="Verdana" w:eastAsia="Verdana" w:hAnsi="Verdana"/>
            <w:b/>
            <w:bCs/>
            <w:lang w:val="pl-PL"/>
          </w:rPr>
          <w:t>Confédération</w:t>
        </w:r>
        <w:proofErr w:type="spellEnd"/>
        <w:r w:rsidR="00DF334D" w:rsidRPr="00252C8C">
          <w:rPr>
            <w:rStyle w:val="Hipercze"/>
            <w:rFonts w:ascii="Verdana" w:eastAsia="Verdana" w:hAnsi="Verdana"/>
            <w:b/>
            <w:bCs/>
            <w:lang w:val="pl-PL"/>
          </w:rPr>
          <w:t xml:space="preserve"> </w:t>
        </w:r>
        <w:proofErr w:type="spellStart"/>
        <w:r w:rsidR="00DF334D" w:rsidRPr="00252C8C">
          <w:rPr>
            <w:rStyle w:val="Hipercze"/>
            <w:rFonts w:ascii="Verdana" w:eastAsia="Verdana" w:hAnsi="Verdana"/>
            <w:b/>
            <w:bCs/>
            <w:lang w:val="pl-PL"/>
          </w:rPr>
          <w:t>Française</w:t>
        </w:r>
        <w:proofErr w:type="spellEnd"/>
        <w:r w:rsidR="00DF334D" w:rsidRPr="00252C8C">
          <w:rPr>
            <w:rStyle w:val="Hipercze"/>
            <w:rFonts w:ascii="Verdana" w:eastAsia="Verdana" w:hAnsi="Verdana"/>
            <w:b/>
            <w:bCs/>
            <w:lang w:val="pl-PL"/>
          </w:rPr>
          <w:t xml:space="preserve"> </w:t>
        </w:r>
        <w:proofErr w:type="spellStart"/>
        <w:r w:rsidR="00DF334D" w:rsidRPr="00252C8C">
          <w:rPr>
            <w:rStyle w:val="Hipercze"/>
            <w:rFonts w:ascii="Verdana" w:eastAsia="Verdana" w:hAnsi="Verdana"/>
            <w:b/>
            <w:bCs/>
            <w:lang w:val="pl-PL"/>
          </w:rPr>
          <w:t>Démocratique</w:t>
        </w:r>
        <w:proofErr w:type="spellEnd"/>
        <w:r w:rsidR="00DF334D" w:rsidRPr="00252C8C">
          <w:rPr>
            <w:rStyle w:val="Hipercze"/>
            <w:rFonts w:ascii="Verdana" w:eastAsia="Verdana" w:hAnsi="Verdana"/>
            <w:b/>
            <w:bCs/>
            <w:lang w:val="pl-PL"/>
          </w:rPr>
          <w:t xml:space="preserve"> </w:t>
        </w:r>
        <w:proofErr w:type="spellStart"/>
        <w:r w:rsidR="00DF334D" w:rsidRPr="00252C8C">
          <w:rPr>
            <w:rStyle w:val="Hipercze"/>
            <w:rFonts w:ascii="Verdana" w:eastAsia="Verdana" w:hAnsi="Verdana"/>
            <w:b/>
            <w:bCs/>
            <w:lang w:val="pl-PL"/>
          </w:rPr>
          <w:t>du</w:t>
        </w:r>
        <w:proofErr w:type="spellEnd"/>
        <w:r w:rsidR="00DF334D" w:rsidRPr="00252C8C">
          <w:rPr>
            <w:rStyle w:val="Hipercze"/>
            <w:rFonts w:ascii="Verdana" w:eastAsia="Verdana" w:hAnsi="Verdana"/>
            <w:b/>
            <w:bCs/>
            <w:lang w:val="pl-PL"/>
          </w:rPr>
          <w:t xml:space="preserve"> </w:t>
        </w:r>
        <w:proofErr w:type="spellStart"/>
        <w:r w:rsidR="00DF334D" w:rsidRPr="00252C8C">
          <w:rPr>
            <w:rStyle w:val="Hipercze"/>
            <w:rFonts w:ascii="Verdana" w:eastAsia="Verdana" w:hAnsi="Verdana"/>
            <w:b/>
            <w:bCs/>
            <w:lang w:val="pl-PL"/>
          </w:rPr>
          <w:t>Travail</w:t>
        </w:r>
        <w:proofErr w:type="spellEnd"/>
        <w:r w:rsidR="00DF334D" w:rsidRPr="00252C8C">
          <w:rPr>
            <w:rStyle w:val="Hipercze"/>
            <w:rFonts w:ascii="Verdana" w:eastAsia="Verdana" w:hAnsi="Verdana"/>
            <w:b/>
            <w:bCs/>
            <w:lang w:val="pl-PL"/>
          </w:rPr>
          <w:t xml:space="preserve"> przeciwko Wspólnotom Europejskim, ewentualnie: ich państwom członkowskim a) wspólnie i b) solidarnie</w:t>
        </w:r>
      </w:hyperlink>
    </w:p>
    <w:p w14:paraId="7BCCC152" w14:textId="25E7A315" w:rsidR="00DF334D" w:rsidRPr="00252C8C" w:rsidRDefault="00252C8C" w:rsidP="00252C8C">
      <w:pPr>
        <w:ind w:right="839"/>
        <w:jc w:val="both"/>
        <w:rPr>
          <w:rFonts w:ascii="Verdana" w:eastAsia="Verdana" w:hAnsi="Verdana"/>
          <w:color w:val="808080" w:themeColor="background1" w:themeShade="80"/>
          <w:sz w:val="18"/>
          <w:szCs w:val="18"/>
          <w:lang w:val="pl-PL"/>
        </w:rPr>
      </w:pPr>
      <w:r w:rsidRPr="00252C8C">
        <w:rPr>
          <w:rFonts w:ascii="Verdana" w:eastAsia="Verdana" w:hAnsi="Verdana"/>
          <w:color w:val="808080" w:themeColor="background1" w:themeShade="80"/>
          <w:sz w:val="18"/>
          <w:szCs w:val="18"/>
          <w:lang w:val="pl-PL"/>
        </w:rPr>
        <w:t xml:space="preserve">  </w:t>
      </w:r>
      <w:r w:rsidR="00DF334D" w:rsidRPr="00252C8C">
        <w:rPr>
          <w:rFonts w:ascii="Verdana" w:eastAsia="Verdana" w:hAnsi="Verdana"/>
          <w:color w:val="808080" w:themeColor="background1" w:themeShade="80"/>
          <w:sz w:val="18"/>
          <w:szCs w:val="18"/>
          <w:lang w:val="pl-PL"/>
        </w:rPr>
        <w:t>Decyzja Europejskiej Komisji Praw Człowieka z dnia 10 lipca 1978 r.</w:t>
      </w:r>
    </w:p>
    <w:p w14:paraId="664217AA" w14:textId="79217021" w:rsidR="00DF334D" w:rsidRDefault="00DF334D" w:rsidP="00DF334D">
      <w:pPr>
        <w:ind w:left="119" w:right="839"/>
        <w:jc w:val="both"/>
        <w:rPr>
          <w:rFonts w:ascii="Verdana" w:eastAsia="Verdana" w:hAnsi="Verdana"/>
          <w:color w:val="0072BC"/>
          <w:lang w:val="pl-PL"/>
        </w:rPr>
      </w:pPr>
      <w:r w:rsidRPr="00DF334D">
        <w:rPr>
          <w:rFonts w:ascii="Verdana" w:eastAsia="Verdana" w:hAnsi="Verdana"/>
          <w:color w:val="0072BC"/>
          <w:lang w:val="pl-PL"/>
        </w:rPr>
        <w:t xml:space="preserve">Francuski związek zawodowy złożył skargę na fakt, że rząd francuski nie zaproponował go jako kandydata do powołania przez Radę Wspólnot Europejskich do Komitetu Konsultacyjnego przy Wysokiej Władzy </w:t>
      </w:r>
      <w:proofErr w:type="spellStart"/>
      <w:r w:rsidRPr="00DF334D">
        <w:rPr>
          <w:rFonts w:ascii="Verdana" w:eastAsia="Verdana" w:hAnsi="Verdana"/>
          <w:color w:val="0072BC"/>
          <w:lang w:val="pl-PL"/>
        </w:rPr>
        <w:t>EWWiS</w:t>
      </w:r>
      <w:proofErr w:type="spellEnd"/>
      <w:r w:rsidRPr="00DF334D">
        <w:rPr>
          <w:rFonts w:ascii="Verdana" w:eastAsia="Verdana" w:hAnsi="Verdana"/>
          <w:color w:val="0072BC"/>
          <w:lang w:val="pl-PL"/>
        </w:rPr>
        <w:t xml:space="preserve"> (Europejskiej Wspólnoty Węgla i Stali).</w:t>
      </w:r>
    </w:p>
    <w:p w14:paraId="7D5146DD" w14:textId="77777777" w:rsidR="00252C8C" w:rsidRDefault="00252C8C" w:rsidP="00252C8C">
      <w:pPr>
        <w:ind w:left="119" w:right="839"/>
        <w:jc w:val="both"/>
        <w:rPr>
          <w:rFonts w:ascii="Verdana" w:eastAsia="Verdana" w:hAnsi="Verdana"/>
          <w:lang w:val="pl-PL"/>
        </w:rPr>
      </w:pPr>
      <w:r w:rsidRPr="00252C8C">
        <w:rPr>
          <w:rFonts w:ascii="Verdana" w:eastAsia="Verdana" w:hAnsi="Verdana"/>
          <w:lang w:val="pl-PL"/>
        </w:rPr>
        <w:t>Komisja orzekła, że skargi przeciwko Wspólnotom Europejskim należy uznać za niedopuszczalne jako skierowane przeciwko „osobie” niebędącej stroną Konwencji.</w:t>
      </w:r>
    </w:p>
    <w:p w14:paraId="6EA3C161" w14:textId="77777777" w:rsidR="00252C8C" w:rsidRDefault="00252C8C" w:rsidP="00252C8C">
      <w:pPr>
        <w:ind w:left="119" w:right="839"/>
        <w:jc w:val="both"/>
        <w:rPr>
          <w:rFonts w:ascii="Verdana" w:eastAsia="Verdana" w:hAnsi="Verdana"/>
          <w:lang w:val="pl-PL"/>
        </w:rPr>
      </w:pPr>
    </w:p>
    <w:p w14:paraId="4E1F47D0" w14:textId="77777777" w:rsidR="00252C8C" w:rsidRPr="00252C8C" w:rsidRDefault="00252C8C" w:rsidP="00252C8C">
      <w:pPr>
        <w:ind w:left="119" w:right="839"/>
        <w:jc w:val="both"/>
        <w:rPr>
          <w:rFonts w:ascii="Verdana" w:eastAsia="Verdana" w:hAnsi="Verdana"/>
          <w:lang w:val="pl-PL"/>
        </w:rPr>
      </w:pPr>
    </w:p>
    <w:p w14:paraId="32188931" w14:textId="77777777" w:rsidR="00252C8C" w:rsidRPr="00252C8C" w:rsidRDefault="00252C8C" w:rsidP="00252C8C">
      <w:pPr>
        <w:ind w:left="119" w:right="839"/>
        <w:jc w:val="both"/>
        <w:rPr>
          <w:rFonts w:ascii="Verdana" w:eastAsia="Verdana" w:hAnsi="Verdana"/>
          <w:color w:val="808080" w:themeColor="background1" w:themeShade="80"/>
          <w:sz w:val="28"/>
          <w:szCs w:val="28"/>
          <w:lang w:val="pl-PL"/>
        </w:rPr>
      </w:pPr>
      <w:r w:rsidRPr="00252C8C">
        <w:rPr>
          <w:rFonts w:ascii="Verdana" w:eastAsia="Verdana" w:hAnsi="Verdana"/>
          <w:color w:val="808080" w:themeColor="background1" w:themeShade="80"/>
          <w:sz w:val="28"/>
          <w:szCs w:val="28"/>
          <w:lang w:val="pl-PL"/>
        </w:rPr>
        <w:t>Możliwość wniesienia sprawy przeciwko państwu w związku z krajowymi środkami wdrażającymi prawo wspólnotowe</w:t>
      </w:r>
    </w:p>
    <w:p w14:paraId="6BF118A5" w14:textId="77777777" w:rsidR="00252C8C" w:rsidRPr="00252C8C" w:rsidRDefault="00252C8C" w:rsidP="00252C8C">
      <w:pPr>
        <w:ind w:left="119" w:right="839"/>
        <w:jc w:val="both"/>
        <w:rPr>
          <w:rFonts w:ascii="Verdana" w:eastAsia="Verdana" w:hAnsi="Verdana"/>
          <w:lang w:val="pl-PL"/>
        </w:rPr>
      </w:pPr>
    </w:p>
    <w:p w14:paraId="7253EED8" w14:textId="2A480788" w:rsidR="00252C8C" w:rsidRPr="00252C8C" w:rsidRDefault="00252C8C" w:rsidP="00252C8C">
      <w:pPr>
        <w:ind w:left="119" w:right="839"/>
        <w:jc w:val="both"/>
        <w:rPr>
          <w:rFonts w:ascii="Verdana" w:eastAsia="Verdana" w:hAnsi="Verdana"/>
          <w:b/>
          <w:bCs/>
          <w:color w:val="0072BC"/>
          <w:lang w:val="pl-PL"/>
        </w:rPr>
      </w:pPr>
      <w:hyperlink r:id="rId12" w:anchor="%20" w:history="1">
        <w:r w:rsidRPr="00252C8C">
          <w:rPr>
            <w:rStyle w:val="Hipercze"/>
            <w:rFonts w:ascii="Verdana" w:eastAsia="Verdana" w:hAnsi="Verdana"/>
            <w:b/>
            <w:bCs/>
            <w:lang w:val="pl-PL"/>
          </w:rPr>
          <w:t xml:space="preserve">Etienne </w:t>
        </w:r>
        <w:proofErr w:type="spellStart"/>
        <w:r w:rsidRPr="00252C8C">
          <w:rPr>
            <w:rStyle w:val="Hipercze"/>
            <w:rFonts w:ascii="Verdana" w:eastAsia="Verdana" w:hAnsi="Verdana"/>
            <w:b/>
            <w:bCs/>
            <w:lang w:val="pl-PL"/>
          </w:rPr>
          <w:t>Tête</w:t>
        </w:r>
        <w:proofErr w:type="spellEnd"/>
        <w:r w:rsidRPr="00252C8C">
          <w:rPr>
            <w:rStyle w:val="Hipercze"/>
            <w:rFonts w:ascii="Verdana" w:eastAsia="Verdana" w:hAnsi="Verdana"/>
            <w:b/>
            <w:bCs/>
            <w:lang w:val="pl-PL"/>
          </w:rPr>
          <w:t xml:space="preserve"> przeciwko Francji</w:t>
        </w:r>
      </w:hyperlink>
    </w:p>
    <w:p w14:paraId="18FED0B4" w14:textId="77777777" w:rsidR="00252C8C" w:rsidRPr="00252C8C" w:rsidRDefault="00252C8C" w:rsidP="00252C8C">
      <w:pPr>
        <w:ind w:left="119" w:right="839"/>
        <w:jc w:val="both"/>
        <w:rPr>
          <w:rFonts w:ascii="Verdana" w:eastAsia="Verdana" w:hAnsi="Verdana"/>
          <w:color w:val="0072BC"/>
          <w:lang w:val="pl-PL"/>
        </w:rPr>
      </w:pPr>
      <w:r w:rsidRPr="00252C8C">
        <w:rPr>
          <w:rFonts w:ascii="Verdana" w:eastAsia="Verdana" w:hAnsi="Verdana"/>
          <w:color w:val="808080" w:themeColor="background1" w:themeShade="80"/>
          <w:sz w:val="18"/>
          <w:szCs w:val="18"/>
          <w:lang w:val="pl-PL"/>
        </w:rPr>
        <w:t>Decyzja Komisji z dnia 9 grudnia 1987 r.</w:t>
      </w:r>
    </w:p>
    <w:p w14:paraId="0299432A" w14:textId="77777777" w:rsidR="00252C8C" w:rsidRPr="00252C8C" w:rsidRDefault="00252C8C" w:rsidP="00252C8C">
      <w:pPr>
        <w:ind w:left="119" w:right="839"/>
        <w:jc w:val="both"/>
        <w:rPr>
          <w:rFonts w:ascii="Verdana" w:eastAsia="Verdana" w:hAnsi="Verdana"/>
          <w:color w:val="0D0D0D" w:themeColor="text1" w:themeTint="F2"/>
          <w:lang w:val="pl-PL"/>
        </w:rPr>
      </w:pPr>
      <w:r w:rsidRPr="00252C8C">
        <w:rPr>
          <w:rFonts w:ascii="Verdana" w:eastAsia="Verdana" w:hAnsi="Verdana"/>
          <w:color w:val="0D0D0D" w:themeColor="text1" w:themeTint="F2"/>
          <w:lang w:val="pl-PL"/>
        </w:rPr>
        <w:t>Francuski polityk złożył skargę na ustawę o wyborach przedstawicieli Francji do Parlamentu Europejskiego, którą uznał za dyskryminującą i naruszającą prawo do wolnych wyborów. Zarzucił między innymi, że nie miał skutecznego środka odwoławczego w tym zakresie.</w:t>
      </w:r>
    </w:p>
    <w:p w14:paraId="6951B1F2" w14:textId="4CB25775" w:rsidR="00DF334D" w:rsidRDefault="00252C8C" w:rsidP="00252C8C">
      <w:pPr>
        <w:ind w:left="119" w:right="839"/>
        <w:jc w:val="both"/>
        <w:rPr>
          <w:rFonts w:ascii="Verdana" w:eastAsia="Verdana" w:hAnsi="Verdana"/>
          <w:color w:val="0072BC"/>
          <w:lang w:val="pl-PL"/>
        </w:rPr>
      </w:pPr>
      <w:r w:rsidRPr="00252C8C">
        <w:rPr>
          <w:rFonts w:ascii="Verdana" w:eastAsia="Verdana" w:hAnsi="Verdana"/>
          <w:color w:val="0072BC"/>
          <w:lang w:val="pl-PL"/>
        </w:rPr>
        <w:t>Skargi skarżącego dotyczyły prawa uchwalonego w sferze, w której państwo miało szeroki margines oceny. Komisja podkreśliła, że co do zasady odpowiedzialność państwa może być zaangażowana, ponieważ nie można zaakceptować, że poprzez przekazanie kompetencji państwa-strony Konwencji mogą jednocześnie wyłączyć kwestie zwykle objęte Konwencją z gwarancji w niej zawartych. Niemniej jednak Trybunał uznał skargę za niedopuszczalną (oczywiście bezzasadną), stwierdzając w szczególności, że w niniejszej sprawie nie można stwierdzić naruszenia art. 3 (prawo do wolnych wyborów) Protokołu nr 1 do Konwencji, rozpatrywanego samodzielnie lub w związku z art. 14 (zakaz dyskryminacji) Konwencji.</w:t>
      </w:r>
    </w:p>
    <w:p w14:paraId="59EEB3F1" w14:textId="77777777" w:rsidR="00DF334D" w:rsidRDefault="00DF334D" w:rsidP="005715B6">
      <w:pPr>
        <w:ind w:left="119" w:right="839"/>
        <w:jc w:val="both"/>
        <w:rPr>
          <w:rFonts w:ascii="Verdana" w:eastAsia="Verdana" w:hAnsi="Verdana"/>
          <w:color w:val="0072BC"/>
          <w:lang w:val="pl-PL"/>
        </w:rPr>
      </w:pPr>
    </w:p>
    <w:p w14:paraId="7EF0AB4E" w14:textId="489519A9" w:rsidR="00252C8C" w:rsidRPr="00252C8C" w:rsidRDefault="00252C8C" w:rsidP="00252C8C">
      <w:pPr>
        <w:ind w:left="119" w:right="839"/>
        <w:jc w:val="both"/>
        <w:rPr>
          <w:rFonts w:ascii="Verdana" w:eastAsia="Verdana" w:hAnsi="Verdana"/>
          <w:color w:val="808080" w:themeColor="background1" w:themeShade="80"/>
          <w:sz w:val="28"/>
          <w:szCs w:val="28"/>
          <w:lang w:val="pl-PL"/>
        </w:rPr>
      </w:pPr>
      <w:r w:rsidRPr="00252C8C">
        <w:rPr>
          <w:rFonts w:ascii="Verdana" w:eastAsia="Verdana" w:hAnsi="Verdana"/>
          <w:color w:val="808080" w:themeColor="background1" w:themeShade="80"/>
          <w:sz w:val="28"/>
          <w:szCs w:val="28"/>
          <w:lang w:val="pl-PL"/>
        </w:rPr>
        <w:t xml:space="preserve">Domniemanie, że Wspólnoty Europejskie gwarantują ochronę praw podstawowych na poziomie równoważnym z </w:t>
      </w:r>
      <w:r w:rsidRPr="00252C8C">
        <w:rPr>
          <w:rFonts w:ascii="Verdana" w:eastAsia="Verdana" w:hAnsi="Verdana"/>
          <w:color w:val="808080" w:themeColor="background1" w:themeShade="80"/>
          <w:sz w:val="28"/>
          <w:szCs w:val="28"/>
          <w:lang w:val="pl-PL"/>
        </w:rPr>
        <w:t xml:space="preserve">tym </w:t>
      </w:r>
      <w:r w:rsidRPr="00252C8C">
        <w:rPr>
          <w:rFonts w:ascii="Verdana" w:eastAsia="Verdana" w:hAnsi="Verdana"/>
          <w:color w:val="808080" w:themeColor="background1" w:themeShade="80"/>
          <w:sz w:val="28"/>
          <w:szCs w:val="28"/>
          <w:lang w:val="pl-PL"/>
        </w:rPr>
        <w:t>przewidzianym w Konwencji</w:t>
      </w:r>
    </w:p>
    <w:p w14:paraId="5913D5E2" w14:textId="77777777" w:rsidR="00252C8C" w:rsidRPr="00252C8C" w:rsidRDefault="00252C8C" w:rsidP="00252C8C">
      <w:pPr>
        <w:ind w:left="119" w:right="839"/>
        <w:jc w:val="both"/>
        <w:rPr>
          <w:rFonts w:ascii="Verdana" w:eastAsia="Verdana" w:hAnsi="Verdana"/>
          <w:color w:val="0072BC"/>
          <w:lang w:val="pl-PL"/>
        </w:rPr>
      </w:pPr>
    </w:p>
    <w:p w14:paraId="71E8D9F3" w14:textId="1F9F76AC" w:rsidR="00252C8C" w:rsidRPr="00244120" w:rsidRDefault="00244120" w:rsidP="00252C8C">
      <w:pPr>
        <w:ind w:left="119" w:right="839"/>
        <w:jc w:val="both"/>
        <w:rPr>
          <w:rFonts w:ascii="Verdana" w:eastAsia="Verdana" w:hAnsi="Verdana"/>
          <w:b/>
          <w:bCs/>
          <w:color w:val="0072BC"/>
          <w:lang w:val="pl-PL"/>
        </w:rPr>
      </w:pPr>
      <w:hyperlink r:id="rId13" w:anchor="%20" w:history="1">
        <w:r w:rsidR="00252C8C" w:rsidRPr="00244120">
          <w:rPr>
            <w:rStyle w:val="Hipercze"/>
            <w:rFonts w:ascii="Verdana" w:eastAsia="Verdana" w:hAnsi="Verdana"/>
            <w:b/>
            <w:bCs/>
            <w:lang w:val="pl-PL"/>
          </w:rPr>
          <w:t>M &amp; Co. przeciwko Republice Federalnej Niemiec (skarga nr 13258/87)</w:t>
        </w:r>
      </w:hyperlink>
    </w:p>
    <w:p w14:paraId="0CFE40FB" w14:textId="77777777" w:rsidR="00252C8C" w:rsidRPr="00252C8C" w:rsidRDefault="00252C8C" w:rsidP="00252C8C">
      <w:pPr>
        <w:ind w:left="119" w:right="839"/>
        <w:jc w:val="both"/>
        <w:rPr>
          <w:rFonts w:ascii="Verdana" w:eastAsia="Verdana" w:hAnsi="Verdana"/>
          <w:color w:val="808080" w:themeColor="background1" w:themeShade="80"/>
          <w:sz w:val="18"/>
          <w:szCs w:val="18"/>
          <w:lang w:val="pl-PL"/>
        </w:rPr>
      </w:pPr>
      <w:r w:rsidRPr="00252C8C">
        <w:rPr>
          <w:rFonts w:ascii="Verdana" w:eastAsia="Verdana" w:hAnsi="Verdana"/>
          <w:color w:val="808080" w:themeColor="background1" w:themeShade="80"/>
          <w:sz w:val="18"/>
          <w:szCs w:val="18"/>
          <w:lang w:val="pl-PL"/>
        </w:rPr>
        <w:t>Decyzja Komisji z dnia 9 stycznia 1990 r.</w:t>
      </w:r>
    </w:p>
    <w:p w14:paraId="110FA0D9" w14:textId="77777777" w:rsidR="00252C8C" w:rsidRPr="00244120" w:rsidRDefault="00252C8C" w:rsidP="00252C8C">
      <w:pPr>
        <w:ind w:left="119" w:right="839"/>
        <w:jc w:val="both"/>
        <w:rPr>
          <w:rFonts w:ascii="Verdana" w:eastAsia="Verdana" w:hAnsi="Verdana"/>
          <w:lang w:val="pl-PL"/>
        </w:rPr>
      </w:pPr>
      <w:r w:rsidRPr="00244120">
        <w:rPr>
          <w:rFonts w:ascii="Verdana" w:eastAsia="Verdana" w:hAnsi="Verdana"/>
          <w:lang w:val="pl-PL"/>
        </w:rPr>
        <w:t>Skarżąca spółka skarżyła się na fakt, że Niemcy wyegzekwowały grzywnę nałożoną na nią przez Komisję Europejską (w postępowaniu antymonopolowym) i podtrzymaną przez Trybunał Sprawiedliwości Wspólnot Europejskich. Uznała, że naruszono kilka jej praw, w tym prawo do domniemania niewinności.</w:t>
      </w:r>
    </w:p>
    <w:p w14:paraId="68A9A9F0" w14:textId="695AEBF3" w:rsidR="00244120" w:rsidRDefault="00252C8C" w:rsidP="00351BF1">
      <w:pPr>
        <w:ind w:left="119" w:right="839"/>
        <w:jc w:val="both"/>
        <w:rPr>
          <w:rFonts w:ascii="Verdana" w:eastAsia="Verdana" w:hAnsi="Verdana"/>
          <w:color w:val="0072BC"/>
          <w:lang w:val="pl-PL"/>
        </w:rPr>
      </w:pPr>
      <w:r w:rsidRPr="00252C8C">
        <w:rPr>
          <w:rFonts w:ascii="Verdana" w:eastAsia="Verdana" w:hAnsi="Verdana"/>
          <w:color w:val="0072BC"/>
          <w:lang w:val="pl-PL"/>
        </w:rPr>
        <w:t>Europejska Komisja Praw Człowieka stwierdziła, że odpowiedzialność Niemiec może co do zasady wynikać z działań podjętych w celu wprowadzenia w życie prawa wspólnotowego (w</w:t>
      </w:r>
      <w:r w:rsidR="00244120">
        <w:rPr>
          <w:rFonts w:ascii="Verdana" w:eastAsia="Verdana" w:hAnsi="Verdana"/>
          <w:color w:val="0072BC"/>
          <w:lang w:val="pl-PL"/>
        </w:rPr>
        <w:t xml:space="preserve"> </w:t>
      </w:r>
      <w:r w:rsidRPr="00252C8C">
        <w:rPr>
          <w:rFonts w:ascii="Verdana" w:eastAsia="Verdana" w:hAnsi="Verdana"/>
          <w:color w:val="0072BC"/>
          <w:lang w:val="pl-PL"/>
        </w:rPr>
        <w:t>odniesieniu do którego nie ma marginesu oceny). Uznał jednak skargę za niedopuszczalną z uwagi na fakt, że system prawny Wspólnot Europejskich gwarantuje ochronę praw podstawowych na poziomie równoważnym z tym, który zapewnia Europejska Konwencja Praw Człowieka.</w:t>
      </w:r>
    </w:p>
    <w:p w14:paraId="4200EE3F" w14:textId="77777777" w:rsidR="00244120" w:rsidRPr="00252C8C" w:rsidRDefault="00244120" w:rsidP="00252C8C">
      <w:pPr>
        <w:ind w:left="119" w:right="839"/>
        <w:jc w:val="both"/>
        <w:rPr>
          <w:rFonts w:ascii="Verdana" w:eastAsia="Verdana" w:hAnsi="Verdana"/>
          <w:color w:val="0072BC"/>
          <w:lang w:val="pl-PL"/>
        </w:rPr>
      </w:pPr>
    </w:p>
    <w:p w14:paraId="7F5A3EF2" w14:textId="2031C3FC" w:rsidR="00252C8C" w:rsidRPr="00244120" w:rsidRDefault="00252C8C" w:rsidP="00F0685D">
      <w:pPr>
        <w:ind w:left="119" w:right="839"/>
        <w:jc w:val="both"/>
        <w:rPr>
          <w:rFonts w:ascii="Verdana" w:eastAsia="Verdana" w:hAnsi="Verdana"/>
          <w:color w:val="0070C0"/>
          <w:sz w:val="28"/>
          <w:szCs w:val="28"/>
          <w:lang w:val="pl-PL"/>
        </w:rPr>
      </w:pPr>
      <w:r w:rsidRPr="00244120">
        <w:rPr>
          <w:rFonts w:ascii="Verdana" w:eastAsia="Verdana" w:hAnsi="Verdana"/>
          <w:color w:val="0070C0"/>
          <w:sz w:val="28"/>
          <w:szCs w:val="28"/>
          <w:lang w:val="pl-PL"/>
        </w:rPr>
        <w:t>Zasady ustanowione przez Europejski Trybunał Praw Człowieka</w:t>
      </w:r>
    </w:p>
    <w:p w14:paraId="134952CC" w14:textId="601AAA88" w:rsidR="00F0685D" w:rsidRDefault="005C2070" w:rsidP="00351BF1">
      <w:pPr>
        <w:ind w:left="119" w:right="839"/>
        <w:jc w:val="both"/>
        <w:rPr>
          <w:rFonts w:ascii="Verdana" w:eastAsia="Verdana" w:hAnsi="Verdana"/>
          <w:color w:val="808080" w:themeColor="background1" w:themeShade="80"/>
          <w:sz w:val="28"/>
          <w:szCs w:val="28"/>
          <w:lang w:val="pl-PL"/>
        </w:rPr>
      </w:pPr>
      <w:r>
        <w:rPr>
          <w:rFonts w:ascii="Verdana" w:eastAsia="Verdana" w:hAnsi="Verdana"/>
          <w:noProof/>
          <w:color w:val="808080" w:themeColor="background1" w:themeShade="80"/>
          <w:sz w:val="28"/>
          <w:szCs w:val="28"/>
          <w:lang w:val="pl-PL"/>
        </w:rPr>
        <w:drawing>
          <wp:inline distT="0" distB="0" distL="0" distR="0" wp14:anchorId="528FD621" wp14:editId="7BA29DC6">
            <wp:extent cx="5779770" cy="18415"/>
            <wp:effectExtent l="0" t="0" r="0" b="0"/>
            <wp:docPr id="12839671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0800000">
                      <a:off x="0" y="0"/>
                      <a:ext cx="5779770" cy="18415"/>
                    </a:xfrm>
                    <a:prstGeom prst="rect">
                      <a:avLst/>
                    </a:prstGeom>
                    <a:noFill/>
                  </pic:spPr>
                </pic:pic>
              </a:graphicData>
            </a:graphic>
          </wp:inline>
        </w:drawing>
      </w:r>
    </w:p>
    <w:p w14:paraId="442DC2B3" w14:textId="144E987A" w:rsidR="00252C8C" w:rsidRDefault="00252C8C" w:rsidP="00252C8C">
      <w:pPr>
        <w:ind w:left="119" w:right="839"/>
        <w:jc w:val="both"/>
        <w:rPr>
          <w:rFonts w:ascii="Verdana" w:eastAsia="Verdana" w:hAnsi="Verdana"/>
          <w:color w:val="808080" w:themeColor="background1" w:themeShade="80"/>
          <w:sz w:val="28"/>
          <w:szCs w:val="28"/>
          <w:lang w:val="pl-PL"/>
        </w:rPr>
      </w:pPr>
      <w:r w:rsidRPr="00244120">
        <w:rPr>
          <w:rFonts w:ascii="Verdana" w:eastAsia="Verdana" w:hAnsi="Verdana"/>
          <w:color w:val="808080" w:themeColor="background1" w:themeShade="80"/>
          <w:sz w:val="28"/>
          <w:szCs w:val="28"/>
          <w:lang w:val="pl-PL"/>
        </w:rPr>
        <w:t>Możliwość wniesienia sprawy przeciwko państwu w związku z krajowymi środkami wprowadzającymi w życie prawo wspólnotowe</w:t>
      </w:r>
    </w:p>
    <w:p w14:paraId="513CD661" w14:textId="3495CBC3" w:rsidR="00244120" w:rsidRPr="003C4A78" w:rsidRDefault="00244120" w:rsidP="00252C8C">
      <w:pPr>
        <w:ind w:left="119" w:right="839"/>
        <w:jc w:val="both"/>
        <w:rPr>
          <w:rFonts w:ascii="Verdana" w:eastAsia="Verdana" w:hAnsi="Verdana"/>
          <w:color w:val="808080" w:themeColor="background1" w:themeShade="80"/>
          <w:lang w:val="pl-PL"/>
        </w:rPr>
      </w:pPr>
    </w:p>
    <w:p w14:paraId="4BDFD88D" w14:textId="7A93C9B5" w:rsidR="003C4A78" w:rsidRPr="003C4A78" w:rsidRDefault="003C4A78" w:rsidP="003C4A78">
      <w:pPr>
        <w:ind w:left="119" w:right="839"/>
        <w:jc w:val="both"/>
        <w:rPr>
          <w:rFonts w:ascii="Verdana" w:eastAsia="Verdana" w:hAnsi="Verdana"/>
          <w:b/>
          <w:bCs/>
          <w:color w:val="0070C0"/>
          <w:lang w:val="pl-PL"/>
        </w:rPr>
      </w:pPr>
      <w:hyperlink r:id="rId15" w:anchor="{%22itemid%22:[%22001-58068%22]}" w:history="1">
        <w:proofErr w:type="spellStart"/>
        <w:r w:rsidRPr="003C4A78">
          <w:rPr>
            <w:rStyle w:val="Hipercze"/>
            <w:rFonts w:ascii="Verdana" w:eastAsia="Verdana" w:hAnsi="Verdana"/>
            <w:b/>
            <w:bCs/>
            <w:color w:val="0070C0"/>
            <w:lang w:val="pl-PL"/>
          </w:rPr>
          <w:t>Cantoni</w:t>
        </w:r>
        <w:proofErr w:type="spellEnd"/>
        <w:r w:rsidRPr="003C4A78">
          <w:rPr>
            <w:rStyle w:val="Hipercze"/>
            <w:rFonts w:ascii="Verdana" w:eastAsia="Verdana" w:hAnsi="Verdana"/>
            <w:b/>
            <w:bCs/>
            <w:color w:val="0070C0"/>
            <w:lang w:val="pl-PL"/>
          </w:rPr>
          <w:t xml:space="preserve"> przeciwko Francji</w:t>
        </w:r>
      </w:hyperlink>
    </w:p>
    <w:p w14:paraId="65837502" w14:textId="77777777" w:rsidR="003C4A78" w:rsidRPr="003C4A78" w:rsidRDefault="003C4A78" w:rsidP="003C4A78">
      <w:pPr>
        <w:ind w:left="119" w:right="839"/>
        <w:jc w:val="both"/>
        <w:rPr>
          <w:rFonts w:ascii="Verdana" w:eastAsia="Verdana" w:hAnsi="Verdana"/>
          <w:color w:val="808080" w:themeColor="background1" w:themeShade="80"/>
          <w:sz w:val="18"/>
          <w:szCs w:val="18"/>
          <w:lang w:val="pl-PL"/>
        </w:rPr>
      </w:pPr>
      <w:r w:rsidRPr="003C4A78">
        <w:rPr>
          <w:rFonts w:ascii="Verdana" w:eastAsia="Verdana" w:hAnsi="Verdana"/>
          <w:color w:val="808080" w:themeColor="background1" w:themeShade="80"/>
          <w:sz w:val="18"/>
          <w:szCs w:val="18"/>
          <w:lang w:val="pl-PL"/>
        </w:rPr>
        <w:t>Wyrok z dnia 15 listopada 1996 r.</w:t>
      </w:r>
    </w:p>
    <w:p w14:paraId="7F2CBB1E" w14:textId="77777777" w:rsidR="003C4A78" w:rsidRPr="003C4A78" w:rsidRDefault="003C4A78" w:rsidP="003C4A78">
      <w:pPr>
        <w:ind w:left="119" w:right="839"/>
        <w:jc w:val="both"/>
        <w:rPr>
          <w:rFonts w:ascii="Verdana" w:eastAsia="Verdana" w:hAnsi="Verdana"/>
          <w:lang w:val="pl-PL"/>
        </w:rPr>
      </w:pPr>
      <w:r w:rsidRPr="003C4A78">
        <w:rPr>
          <w:rFonts w:ascii="Verdana" w:eastAsia="Verdana" w:hAnsi="Verdana"/>
          <w:lang w:val="pl-PL"/>
        </w:rPr>
        <w:t>Kierownik supermarketu twierdził, że jego skazanie za nielegalną sprzedaż produktów farmaceutycznych nie było możliwe do przewidzenia, ponieważ definicja „produktu leczniczego” była zbyt nieprecyzyjna we francuskim ustawodawstwie, które opierało się niemal słowo w słowo na dyrektywie wspólnotowej.</w:t>
      </w:r>
    </w:p>
    <w:p w14:paraId="4C1C8429" w14:textId="4C3A2A04" w:rsidR="003C4A78" w:rsidRPr="003C4A78" w:rsidRDefault="003C4A78" w:rsidP="003C4A78">
      <w:pPr>
        <w:ind w:left="119" w:right="839"/>
        <w:jc w:val="both"/>
        <w:rPr>
          <w:rFonts w:ascii="Verdana" w:eastAsia="Verdana" w:hAnsi="Verdana"/>
          <w:color w:val="0070C0"/>
          <w:lang w:val="pl-PL"/>
        </w:rPr>
      </w:pPr>
      <w:r w:rsidRPr="003C4A78">
        <w:rPr>
          <w:rFonts w:ascii="Verdana" w:eastAsia="Verdana" w:hAnsi="Verdana"/>
          <w:color w:val="0070C0"/>
          <w:lang w:val="pl-PL"/>
        </w:rPr>
        <w:t xml:space="preserve">W opinii Europejskiego Trybunału Praw Człowieka ten ostatni fakt „[nie] usunął [zaskarżonego przepisu] z zakresu art. 7 [zakaz karania bez ustawy] Konwencji”. Pozwane państwo miało szeroki margines oceny przy stosowaniu prawa wspólnotowego, </w:t>
      </w:r>
      <w:r w:rsidRPr="003C4A78">
        <w:rPr>
          <w:rFonts w:ascii="Verdana" w:eastAsia="Verdana" w:hAnsi="Verdana"/>
          <w:color w:val="0070C0"/>
          <w:lang w:val="pl-PL"/>
        </w:rPr>
        <w:lastRenderedPageBreak/>
        <w:t>a zatem mogło zostać pociągnięte do odpowiedzialności za naruszenie Konwencji. Co do meritum, Trybunał uznał, że nie doszło do naruszenia art. 7 Konwencji.</w:t>
      </w:r>
    </w:p>
    <w:p w14:paraId="11E801F3" w14:textId="77777777" w:rsidR="003C4A78" w:rsidRPr="003C4A78" w:rsidRDefault="003C4A78" w:rsidP="003C4A78">
      <w:pPr>
        <w:ind w:left="119" w:right="839"/>
        <w:jc w:val="both"/>
        <w:rPr>
          <w:rFonts w:ascii="Verdana" w:eastAsia="Verdana" w:hAnsi="Verdana"/>
          <w:color w:val="808080" w:themeColor="background1" w:themeShade="80"/>
          <w:lang w:val="pl-PL"/>
        </w:rPr>
      </w:pPr>
    </w:p>
    <w:p w14:paraId="640BF031" w14:textId="6F932042" w:rsidR="00244120" w:rsidRPr="003C4A78" w:rsidRDefault="003C4A78" w:rsidP="003C4A78">
      <w:pPr>
        <w:ind w:left="119" w:right="839"/>
        <w:jc w:val="both"/>
        <w:rPr>
          <w:rFonts w:ascii="Verdana" w:eastAsia="Verdana" w:hAnsi="Verdana"/>
          <w:color w:val="808080" w:themeColor="background1" w:themeShade="80"/>
          <w:sz w:val="28"/>
          <w:szCs w:val="28"/>
          <w:lang w:val="pl-PL"/>
        </w:rPr>
      </w:pPr>
      <w:r w:rsidRPr="003C4A78">
        <w:rPr>
          <w:rFonts w:ascii="Verdana" w:eastAsia="Verdana" w:hAnsi="Verdana"/>
          <w:color w:val="808080" w:themeColor="background1" w:themeShade="80"/>
          <w:sz w:val="28"/>
          <w:szCs w:val="28"/>
          <w:lang w:val="pl-PL"/>
        </w:rPr>
        <w:t>Odpowiedzialność państwa za skutki traktatu, w którego przyjęciu uczestniczyło</w:t>
      </w:r>
    </w:p>
    <w:p w14:paraId="7BAC2730" w14:textId="77777777" w:rsidR="00252C8C" w:rsidRDefault="00252C8C" w:rsidP="005715B6">
      <w:pPr>
        <w:ind w:left="119" w:right="839"/>
        <w:jc w:val="both"/>
        <w:rPr>
          <w:rFonts w:ascii="Verdana" w:eastAsia="Verdana" w:hAnsi="Verdana"/>
          <w:color w:val="0072BC"/>
          <w:lang w:val="pl-PL"/>
        </w:rPr>
      </w:pPr>
    </w:p>
    <w:p w14:paraId="5FF7F534" w14:textId="10ED1B5C" w:rsidR="003C4A78" w:rsidRPr="003C4A78" w:rsidRDefault="003C4A78" w:rsidP="003C4A78">
      <w:pPr>
        <w:ind w:left="119" w:right="839"/>
        <w:jc w:val="both"/>
        <w:rPr>
          <w:rFonts w:ascii="Verdana" w:eastAsia="Verdana" w:hAnsi="Verdana"/>
          <w:b/>
          <w:bCs/>
          <w:color w:val="0072BC"/>
          <w:lang w:val="pl-PL"/>
        </w:rPr>
      </w:pPr>
      <w:hyperlink r:id="rId16" w:anchor="{%22fulltext%22:[%22%22CASE%20OF%20MATTHEWS%20v.%20THE%20UNITED%20KINGDOM%20-%20[Spanish%20Translation]%20summary%20by%20the%20Spanish%20Cortes%20Generales%22%22],%22documentcollectionid2%22:[%22GRANDCHAMBER%22,%22CHAMBER%22]}" w:history="1">
        <w:proofErr w:type="spellStart"/>
        <w:r w:rsidRPr="003C4A78">
          <w:rPr>
            <w:rStyle w:val="Hipercze"/>
            <w:rFonts w:ascii="Verdana" w:eastAsia="Verdana" w:hAnsi="Verdana"/>
            <w:b/>
            <w:bCs/>
            <w:lang w:val="pl-PL"/>
          </w:rPr>
          <w:t>Matthews</w:t>
        </w:r>
        <w:proofErr w:type="spellEnd"/>
        <w:r w:rsidRPr="003C4A78">
          <w:rPr>
            <w:rStyle w:val="Hipercze"/>
            <w:rFonts w:ascii="Verdana" w:eastAsia="Verdana" w:hAnsi="Verdana"/>
            <w:b/>
            <w:bCs/>
            <w:lang w:val="pl-PL"/>
          </w:rPr>
          <w:t xml:space="preserve"> przeciwko Zjednoczonemu Królestwu</w:t>
        </w:r>
      </w:hyperlink>
    </w:p>
    <w:p w14:paraId="4686AD13" w14:textId="77777777" w:rsidR="003C4A78" w:rsidRPr="003C4A78" w:rsidRDefault="003C4A78" w:rsidP="003C4A78">
      <w:pPr>
        <w:ind w:left="119" w:right="839"/>
        <w:jc w:val="both"/>
        <w:rPr>
          <w:rFonts w:ascii="Verdana" w:eastAsia="Verdana" w:hAnsi="Verdana"/>
          <w:color w:val="808080" w:themeColor="background1" w:themeShade="80"/>
          <w:lang w:val="pl-PL"/>
        </w:rPr>
      </w:pPr>
      <w:r w:rsidRPr="003C4A78">
        <w:rPr>
          <w:rFonts w:ascii="Verdana" w:eastAsia="Verdana" w:hAnsi="Verdana"/>
          <w:color w:val="808080" w:themeColor="background1" w:themeShade="80"/>
          <w:lang w:val="pl-PL"/>
        </w:rPr>
        <w:t>Wyrok (Wielka Izba) z dnia 18 lutego 1999 r.</w:t>
      </w:r>
    </w:p>
    <w:p w14:paraId="37AA7BEF" w14:textId="77777777" w:rsidR="003C4A78" w:rsidRPr="002371BA" w:rsidRDefault="003C4A78" w:rsidP="003C4A78">
      <w:pPr>
        <w:ind w:left="119" w:right="839"/>
        <w:jc w:val="both"/>
        <w:rPr>
          <w:rFonts w:ascii="Verdana" w:eastAsia="Verdana" w:hAnsi="Verdana"/>
          <w:lang w:val="pl-PL"/>
        </w:rPr>
      </w:pPr>
      <w:r w:rsidRPr="002371BA">
        <w:rPr>
          <w:rFonts w:ascii="Verdana" w:eastAsia="Verdana" w:hAnsi="Verdana"/>
          <w:lang w:val="pl-PL"/>
        </w:rPr>
        <w:t>Obywatelka Zjednoczonego Królestwa zamieszkała w Gibraltarze zarzuciła naruszenie jej prawa do wolnych wyborów ze względu na fakt, że Zjednoczone Królestwo nie zorganizowało wyborów do Parlamentu Europejskiego w Gibraltarze.</w:t>
      </w:r>
    </w:p>
    <w:p w14:paraId="226144FC" w14:textId="77777777" w:rsidR="003C4A78" w:rsidRPr="002371BA" w:rsidRDefault="003C4A78" w:rsidP="003C4A78">
      <w:pPr>
        <w:ind w:left="119" w:right="839"/>
        <w:jc w:val="both"/>
        <w:rPr>
          <w:rFonts w:ascii="Verdana" w:eastAsia="Verdana" w:hAnsi="Verdana"/>
          <w:lang w:val="pl-PL"/>
        </w:rPr>
      </w:pPr>
      <w:r w:rsidRPr="002371BA">
        <w:rPr>
          <w:rFonts w:ascii="Verdana" w:eastAsia="Verdana" w:hAnsi="Verdana"/>
          <w:lang w:val="pl-PL"/>
        </w:rPr>
        <w:t>Trybunał powtórzył, że Europejska Konwencja Praw Człowieka nie wyklucza przekazania kompetencji organizacjom międzynarodowym, pod warunkiem, że prawa wynikające z Konwencji będą nadal „zabezpieczone”. Odpowiedzialność państw członkowskich była zatem kontynuowana nawet po takim przekazaniu.</w:t>
      </w:r>
    </w:p>
    <w:p w14:paraId="276E2DFB" w14:textId="0DBA3F31" w:rsidR="00DF334D" w:rsidRPr="002371BA" w:rsidRDefault="003C4A78" w:rsidP="002371BA">
      <w:pPr>
        <w:ind w:left="119" w:right="839"/>
        <w:jc w:val="both"/>
        <w:rPr>
          <w:rFonts w:ascii="Verdana" w:eastAsia="Verdana" w:hAnsi="Verdana"/>
          <w:b/>
          <w:bCs/>
          <w:color w:val="0072BC"/>
          <w:lang w:val="pl-PL"/>
        </w:rPr>
      </w:pPr>
      <w:r w:rsidRPr="003C4A78">
        <w:rPr>
          <w:rFonts w:ascii="Verdana" w:eastAsia="Verdana" w:hAnsi="Verdana"/>
          <w:color w:val="0072BC"/>
          <w:lang w:val="pl-PL"/>
        </w:rPr>
        <w:t xml:space="preserve">Trybunał zauważył ponadto, że kiedy podjęto decyzję o wyborze przedstawicieli do Parlamentu Europejskiego w powszechnych wyborach bezpośrednich, określono, że Zjednoczone Królestwo będzie stosować odpowiednie przepisy wyłącznie w Zjednoczonym Królestwie (a więc nie w Gibraltarze). Wraz z rozszerzeniem uprawnień Parlamentu Europejskiego na mocy Traktatu z </w:t>
      </w:r>
      <w:proofErr w:type="spellStart"/>
      <w:r w:rsidRPr="003C4A78">
        <w:rPr>
          <w:rFonts w:ascii="Verdana" w:eastAsia="Verdana" w:hAnsi="Verdana"/>
          <w:color w:val="0072BC"/>
          <w:lang w:val="pl-PL"/>
        </w:rPr>
        <w:t>Maastricht</w:t>
      </w:r>
      <w:proofErr w:type="spellEnd"/>
      <w:r w:rsidRPr="003C4A78">
        <w:rPr>
          <w:rFonts w:ascii="Verdana" w:eastAsia="Verdana" w:hAnsi="Verdana"/>
          <w:color w:val="0072BC"/>
          <w:lang w:val="pl-PL"/>
        </w:rPr>
        <w:t xml:space="preserve">, Wielka Brytania powinna była zmienić swoje ustawodawstwo, aby zapewnić, że prawo do wolnych wyborów (art. 3 Protokołu nr 1 do Konwencji) - które miało zastosowanie do „wyboru władzy ustawodawczej” - zostało zagwarantowane w Gibraltarze. Wielka Brytania dobrowolnie przystąpiła do Traktatu z </w:t>
      </w:r>
      <w:proofErr w:type="spellStart"/>
      <w:r w:rsidRPr="003C4A78">
        <w:rPr>
          <w:rFonts w:ascii="Verdana" w:eastAsia="Verdana" w:hAnsi="Verdana"/>
          <w:color w:val="0072BC"/>
          <w:lang w:val="pl-PL"/>
        </w:rPr>
        <w:t>Maastricht</w:t>
      </w:r>
      <w:proofErr w:type="spellEnd"/>
      <w:r w:rsidRPr="003C4A78">
        <w:rPr>
          <w:rFonts w:ascii="Verdana" w:eastAsia="Verdana" w:hAnsi="Verdana"/>
          <w:color w:val="0072BC"/>
          <w:lang w:val="pl-PL"/>
        </w:rPr>
        <w:t xml:space="preserve">. Wraz z innymi stronami tego traktatu była zatem odpowiedzialna </w:t>
      </w:r>
      <w:proofErr w:type="spellStart"/>
      <w:r w:rsidRPr="003C4A78">
        <w:rPr>
          <w:rFonts w:ascii="Verdana" w:eastAsia="Verdana" w:hAnsi="Verdana"/>
          <w:color w:val="0072BC"/>
          <w:lang w:val="pl-PL"/>
        </w:rPr>
        <w:t>ratione</w:t>
      </w:r>
      <w:proofErr w:type="spellEnd"/>
      <w:r w:rsidRPr="003C4A78">
        <w:rPr>
          <w:rFonts w:ascii="Verdana" w:eastAsia="Verdana" w:hAnsi="Verdana"/>
          <w:color w:val="0072BC"/>
          <w:lang w:val="pl-PL"/>
        </w:rPr>
        <w:t xml:space="preserve"> </w:t>
      </w:r>
      <w:proofErr w:type="spellStart"/>
      <w:r w:rsidRPr="003C4A78">
        <w:rPr>
          <w:rFonts w:ascii="Verdana" w:eastAsia="Verdana" w:hAnsi="Verdana"/>
          <w:color w:val="0072BC"/>
          <w:lang w:val="pl-PL"/>
        </w:rPr>
        <w:t>materiae</w:t>
      </w:r>
      <w:proofErr w:type="spellEnd"/>
      <w:r w:rsidRPr="003C4A78">
        <w:rPr>
          <w:rFonts w:ascii="Verdana" w:eastAsia="Verdana" w:hAnsi="Verdana"/>
          <w:color w:val="0072BC"/>
          <w:lang w:val="pl-PL"/>
        </w:rPr>
        <w:t xml:space="preserve"> na mocy Konwencji za jego konsekwencje. Trybunał orzekł, że </w:t>
      </w:r>
      <w:r w:rsidRPr="002371BA">
        <w:rPr>
          <w:rFonts w:ascii="Verdana" w:eastAsia="Verdana" w:hAnsi="Verdana"/>
          <w:b/>
          <w:bCs/>
          <w:color w:val="0072BC"/>
          <w:lang w:val="pl-PL"/>
        </w:rPr>
        <w:t>doszło do naruszenia Artykułu 3</w:t>
      </w:r>
      <w:r w:rsidRPr="003C4A78">
        <w:rPr>
          <w:rFonts w:ascii="Verdana" w:eastAsia="Verdana" w:hAnsi="Verdana"/>
          <w:color w:val="0072BC"/>
          <w:lang w:val="pl-PL"/>
        </w:rPr>
        <w:t xml:space="preserve"> (prawo do wolnych wyborów) </w:t>
      </w:r>
      <w:r w:rsidRPr="002371BA">
        <w:rPr>
          <w:rFonts w:ascii="Verdana" w:eastAsia="Verdana" w:hAnsi="Verdana"/>
          <w:b/>
          <w:bCs/>
          <w:color w:val="0072BC"/>
          <w:lang w:val="pl-PL"/>
        </w:rPr>
        <w:t>Protokołu nr 1 do Konwencji.</w:t>
      </w:r>
    </w:p>
    <w:p w14:paraId="565D6F2A" w14:textId="77777777" w:rsidR="00DF334D" w:rsidRDefault="00DF334D" w:rsidP="005715B6">
      <w:pPr>
        <w:ind w:left="119" w:right="839"/>
        <w:jc w:val="both"/>
        <w:rPr>
          <w:rFonts w:ascii="Verdana" w:eastAsia="Verdana" w:hAnsi="Verdana"/>
          <w:color w:val="0072BC"/>
          <w:lang w:val="pl-PL"/>
        </w:rPr>
      </w:pPr>
    </w:p>
    <w:p w14:paraId="3B0BB5D4" w14:textId="77777777" w:rsidR="002371BA" w:rsidRPr="002371BA" w:rsidRDefault="002371BA" w:rsidP="002371BA">
      <w:pPr>
        <w:ind w:left="119" w:right="839"/>
        <w:jc w:val="both"/>
        <w:rPr>
          <w:rFonts w:ascii="Verdana" w:eastAsia="Verdana" w:hAnsi="Verdana"/>
          <w:color w:val="808080" w:themeColor="background1" w:themeShade="80"/>
          <w:sz w:val="28"/>
          <w:szCs w:val="28"/>
          <w:lang w:val="pl-PL"/>
        </w:rPr>
      </w:pPr>
      <w:r w:rsidRPr="002371BA">
        <w:rPr>
          <w:rFonts w:ascii="Verdana" w:eastAsia="Verdana" w:hAnsi="Verdana"/>
          <w:color w:val="808080" w:themeColor="background1" w:themeShade="80"/>
          <w:sz w:val="28"/>
          <w:szCs w:val="28"/>
          <w:lang w:val="pl-PL"/>
        </w:rPr>
        <w:t>Równoważna ochrona</w:t>
      </w:r>
    </w:p>
    <w:p w14:paraId="7EC19BAB" w14:textId="77777777" w:rsidR="002371BA" w:rsidRDefault="002371BA" w:rsidP="002371BA">
      <w:pPr>
        <w:ind w:left="119" w:right="839"/>
        <w:jc w:val="both"/>
        <w:rPr>
          <w:rFonts w:ascii="Verdana" w:eastAsia="Verdana" w:hAnsi="Verdana"/>
          <w:color w:val="0072BC"/>
          <w:lang w:val="pl-PL"/>
        </w:rPr>
      </w:pPr>
    </w:p>
    <w:p w14:paraId="4B4B5178" w14:textId="6930583A" w:rsidR="002371BA" w:rsidRPr="00C024C1" w:rsidRDefault="00C024C1" w:rsidP="002371BA">
      <w:pPr>
        <w:ind w:left="119" w:right="839"/>
        <w:jc w:val="both"/>
        <w:rPr>
          <w:rFonts w:ascii="Verdana" w:eastAsia="Verdana" w:hAnsi="Verdana"/>
          <w:b/>
          <w:bCs/>
          <w:color w:val="0072BC"/>
          <w:lang w:val="pl-PL"/>
        </w:rPr>
      </w:pPr>
      <w:hyperlink r:id="rId17" w:anchor="{%22itemid%22:[%22003-1375632-1436174%22]}" w:history="1">
        <w:r w:rsidR="002371BA" w:rsidRPr="00C024C1">
          <w:rPr>
            <w:rStyle w:val="Hipercze"/>
            <w:rFonts w:ascii="Verdana" w:eastAsia="Verdana" w:hAnsi="Verdana"/>
            <w:b/>
            <w:bCs/>
            <w:lang w:val="pl-PL"/>
          </w:rPr>
          <w:t>„</w:t>
        </w:r>
        <w:proofErr w:type="spellStart"/>
        <w:r w:rsidR="002371BA" w:rsidRPr="00C024C1">
          <w:rPr>
            <w:rStyle w:val="Hipercze"/>
            <w:rFonts w:ascii="Verdana" w:eastAsia="Verdana" w:hAnsi="Verdana"/>
            <w:b/>
            <w:bCs/>
            <w:lang w:val="pl-PL"/>
          </w:rPr>
          <w:t>Bosphorus</w:t>
        </w:r>
        <w:proofErr w:type="spellEnd"/>
        <w:r w:rsidR="002371BA" w:rsidRPr="00C024C1">
          <w:rPr>
            <w:rStyle w:val="Hipercze"/>
            <w:rFonts w:ascii="Verdana" w:eastAsia="Verdana" w:hAnsi="Verdana"/>
            <w:b/>
            <w:bCs/>
            <w:lang w:val="pl-PL"/>
          </w:rPr>
          <w:t xml:space="preserve"> Airways” przeciwko Irlandii (nr 45036/98)</w:t>
        </w:r>
      </w:hyperlink>
    </w:p>
    <w:p w14:paraId="23813F10" w14:textId="77777777" w:rsidR="002371BA" w:rsidRPr="002371BA" w:rsidRDefault="002371BA" w:rsidP="002371BA">
      <w:pPr>
        <w:ind w:left="119" w:right="839"/>
        <w:jc w:val="both"/>
        <w:rPr>
          <w:rFonts w:ascii="Verdana" w:eastAsia="Verdana" w:hAnsi="Verdana"/>
          <w:color w:val="808080" w:themeColor="background1" w:themeShade="80"/>
          <w:sz w:val="18"/>
          <w:szCs w:val="18"/>
          <w:lang w:val="pl-PL"/>
        </w:rPr>
      </w:pPr>
      <w:r w:rsidRPr="002371BA">
        <w:rPr>
          <w:rFonts w:ascii="Verdana" w:eastAsia="Verdana" w:hAnsi="Verdana"/>
          <w:color w:val="808080" w:themeColor="background1" w:themeShade="80"/>
          <w:sz w:val="18"/>
          <w:szCs w:val="18"/>
          <w:lang w:val="pl-PL"/>
        </w:rPr>
        <w:t>Wyrok (Wielka Izba) z dnia 30 czerwca 2005 r.</w:t>
      </w:r>
    </w:p>
    <w:p w14:paraId="305D13D1" w14:textId="77777777" w:rsidR="002371BA" w:rsidRPr="002371BA" w:rsidRDefault="002371BA" w:rsidP="002371BA">
      <w:pPr>
        <w:ind w:left="119" w:right="839"/>
        <w:jc w:val="both"/>
        <w:rPr>
          <w:rFonts w:ascii="Verdana" w:eastAsia="Verdana" w:hAnsi="Verdana"/>
          <w:lang w:val="pl-PL"/>
        </w:rPr>
      </w:pPr>
      <w:r w:rsidRPr="002371BA">
        <w:rPr>
          <w:rFonts w:ascii="Verdana" w:eastAsia="Verdana" w:hAnsi="Verdana"/>
          <w:lang w:val="pl-PL"/>
        </w:rPr>
        <w:t>Samolot wydzierżawiony przez skarżącą spółkę spółce jugosłowiańskiej został skonfiskowany w 1993 r. przez władze irlandzkie na podstawie rozporządzenia wspólnotowego nadającego moc prawną sankcjom ONZ przeciwko Federalnej Republice Jugosławii.</w:t>
      </w:r>
    </w:p>
    <w:p w14:paraId="0210C099" w14:textId="77777777" w:rsidR="002371BA" w:rsidRDefault="002371BA" w:rsidP="002371BA">
      <w:pPr>
        <w:ind w:left="119" w:right="839"/>
        <w:jc w:val="both"/>
        <w:rPr>
          <w:rFonts w:ascii="Verdana" w:eastAsia="Verdana" w:hAnsi="Verdana"/>
          <w:color w:val="0072BC"/>
          <w:lang w:val="pl-PL"/>
        </w:rPr>
      </w:pPr>
      <w:r w:rsidRPr="002371BA">
        <w:rPr>
          <w:rFonts w:ascii="Verdana" w:eastAsia="Verdana" w:hAnsi="Verdana"/>
          <w:color w:val="0072BC"/>
          <w:lang w:val="pl-PL"/>
        </w:rPr>
        <w:t>Trybunał stwierdził, że w przypadku, gdy państwo przekazało suwerenne uprawnienia organizacji międzynarodowej, „całkowite zwolnienie Umawiających się Państw z odpowiedzialności konwencyjnej w obszarach objętych takim przekazaniem byłoby niezgodne z celem i przedmiotem Konwencji; gwarancje Konwencji mogłyby być dowolnie ograniczane lub wyłączane, pozbawiając ją w ten sposób jej bezwzględnego charakteru i podważając praktyczny i skuteczny charakter jej zabezpieczeń” (§ 154 wyroku). Po raz pierwszy zgodził się zbadać skargę dotyczącą środków podjętych w celu nadania skuteczności prawu wspólnotowemu, w przypadku gdy państwo nie miało marginesu oceny. Trybunał uznał, że Irlandia jedynie wypełniła swoje zobowiązania prawne wynikające z członkostwa we Wspólnocie Europejskiej. Ponadto, co najważniejsze, uznał, że nie jest konieczne badanie, czy środek był proporcjonalny do zamierzonych celów, biorąc pod uwagę, że „ochrona praw podstawowych przez prawo wspólnotowe [jest] ...”. „równoważna„ ... systemowi konwencyjnemu” (§ 165).</w:t>
      </w:r>
      <w:r>
        <w:rPr>
          <w:rFonts w:ascii="Verdana" w:eastAsia="Verdana" w:hAnsi="Verdana"/>
          <w:color w:val="0072BC"/>
          <w:lang w:val="pl-PL"/>
        </w:rPr>
        <w:t xml:space="preserve"> </w:t>
      </w:r>
      <w:r w:rsidRPr="002371BA">
        <w:rPr>
          <w:rFonts w:ascii="Verdana" w:eastAsia="Verdana" w:hAnsi="Verdana"/>
          <w:color w:val="0072BC"/>
          <w:lang w:val="pl-PL"/>
        </w:rPr>
        <w:t>W związku z tym „powstało domniemanie, że Irlandia nie odstąpiła od wymogów Konwencji, gdy wdrożyła zobowiązania prawne wynikające z jej członkostwa we Wspólnocie Europejskiej” (§ 165).</w:t>
      </w:r>
    </w:p>
    <w:p w14:paraId="389A2CED" w14:textId="77777777" w:rsidR="002371BA" w:rsidRDefault="002371BA" w:rsidP="002371BA">
      <w:pPr>
        <w:ind w:left="119" w:right="839"/>
        <w:jc w:val="both"/>
        <w:rPr>
          <w:rFonts w:ascii="Verdana" w:eastAsia="Verdana" w:hAnsi="Verdana"/>
          <w:color w:val="0072BC"/>
          <w:lang w:val="pl-PL"/>
        </w:rPr>
      </w:pPr>
    </w:p>
    <w:p w14:paraId="670942F7" w14:textId="77777777" w:rsidR="00351BF1" w:rsidRPr="002371BA" w:rsidRDefault="00351BF1" w:rsidP="002371BA">
      <w:pPr>
        <w:ind w:left="119" w:right="839"/>
        <w:jc w:val="both"/>
        <w:rPr>
          <w:rFonts w:ascii="Verdana" w:eastAsia="Verdana" w:hAnsi="Verdana"/>
          <w:color w:val="0072BC"/>
          <w:lang w:val="pl-PL"/>
        </w:rPr>
      </w:pPr>
    </w:p>
    <w:p w14:paraId="57B97177" w14:textId="3E2264E5" w:rsidR="002371BA" w:rsidRPr="002371BA" w:rsidRDefault="002371BA" w:rsidP="002371BA">
      <w:pPr>
        <w:ind w:left="119" w:right="839"/>
        <w:jc w:val="both"/>
        <w:rPr>
          <w:rFonts w:ascii="Verdana" w:eastAsia="Verdana" w:hAnsi="Verdana"/>
          <w:b/>
          <w:bCs/>
          <w:color w:val="0072BC"/>
          <w:lang w:val="pl-PL"/>
        </w:rPr>
      </w:pPr>
      <w:hyperlink r:id="rId18" w:anchor="{%22itemid%22:[%22002-7582%22]}" w:history="1">
        <w:proofErr w:type="spellStart"/>
        <w:r w:rsidRPr="002371BA">
          <w:rPr>
            <w:rStyle w:val="Hipercze"/>
            <w:rFonts w:ascii="Verdana" w:eastAsia="Verdana" w:hAnsi="Verdana"/>
            <w:b/>
            <w:bCs/>
            <w:lang w:val="pl-PL"/>
          </w:rPr>
          <w:t>Povse</w:t>
        </w:r>
        <w:proofErr w:type="spellEnd"/>
        <w:r w:rsidRPr="002371BA">
          <w:rPr>
            <w:rStyle w:val="Hipercze"/>
            <w:rFonts w:ascii="Verdana" w:eastAsia="Verdana" w:hAnsi="Verdana"/>
            <w:b/>
            <w:bCs/>
            <w:lang w:val="pl-PL"/>
          </w:rPr>
          <w:t xml:space="preserve"> przeciwko Austrii</w:t>
        </w:r>
      </w:hyperlink>
    </w:p>
    <w:p w14:paraId="0042D1CE" w14:textId="77777777" w:rsidR="002371BA" w:rsidRPr="002371BA" w:rsidRDefault="002371BA" w:rsidP="002371BA">
      <w:pPr>
        <w:ind w:left="119" w:right="839"/>
        <w:jc w:val="both"/>
        <w:rPr>
          <w:rFonts w:ascii="Verdana" w:eastAsia="Verdana" w:hAnsi="Verdana"/>
          <w:color w:val="808080" w:themeColor="background1" w:themeShade="80"/>
          <w:sz w:val="18"/>
          <w:szCs w:val="18"/>
          <w:lang w:val="pl-PL"/>
        </w:rPr>
      </w:pPr>
      <w:r w:rsidRPr="002371BA">
        <w:rPr>
          <w:rFonts w:ascii="Verdana" w:eastAsia="Verdana" w:hAnsi="Verdana"/>
          <w:color w:val="808080" w:themeColor="background1" w:themeShade="80"/>
          <w:sz w:val="18"/>
          <w:szCs w:val="18"/>
          <w:lang w:val="pl-PL"/>
        </w:rPr>
        <w:t>Decyzja w sprawie dopuszczalności z dnia 18 czerwca 2013 r.</w:t>
      </w:r>
    </w:p>
    <w:p w14:paraId="6786BE13" w14:textId="1E7781B6" w:rsidR="00DF334D" w:rsidRPr="002371BA" w:rsidRDefault="002371BA" w:rsidP="002371BA">
      <w:pPr>
        <w:ind w:left="119" w:right="839"/>
        <w:jc w:val="both"/>
        <w:rPr>
          <w:rFonts w:ascii="Verdana" w:eastAsia="Verdana" w:hAnsi="Verdana"/>
          <w:lang w:val="pl-PL"/>
        </w:rPr>
      </w:pPr>
      <w:r w:rsidRPr="002371BA">
        <w:rPr>
          <w:rFonts w:ascii="Verdana" w:eastAsia="Verdana" w:hAnsi="Verdana"/>
          <w:lang w:val="pl-PL"/>
        </w:rPr>
        <w:lastRenderedPageBreak/>
        <w:t xml:space="preserve">Sprawa ta dotyczyła powrotu dziecka z jednego państwa członkowskiego Unii Europejskiej do innego. Zgodnie z rozporządzeniem Bruksela </w:t>
      </w:r>
      <w:proofErr w:type="spellStart"/>
      <w:r w:rsidRPr="002371BA">
        <w:rPr>
          <w:rFonts w:ascii="Verdana" w:eastAsia="Verdana" w:hAnsi="Verdana"/>
          <w:lang w:val="pl-PL"/>
        </w:rPr>
        <w:t>IIa</w:t>
      </w:r>
      <w:proofErr w:type="spellEnd"/>
      <w:r w:rsidRPr="002371BA">
        <w:rPr>
          <w:rFonts w:ascii="Verdana" w:eastAsia="Verdana" w:hAnsi="Verdana"/>
          <w:lang w:val="pl-PL"/>
        </w:rPr>
        <w:t>, sąd w jednym państwie członkowskim UE może zwrócić się do sądu w innym państwie członkowskim o wyegzekwowanie powrotu dziecka do poprzedniego państwa w następstwie postępowania z zakresu prawa rodzinnego. Wnioskodawcami byli obywatelka Austrii i jej małoletnia córka, która posiada obywatelstwo austriackie i włoskie. Matka przeprowadziła się do Austrii wraz z córką bez zgody ojca. Skarżące złożyły skargę na zarządzenie przez sądy austriackie wykonania wyroku sądu włoskiego, który przyznał wyłączną opiekę nad dzieckiem jej włoskiemu ojcu i nakazał jej powrót do niego. Powołując się na Artykuł 8 (prawo do poszanowania życia prywatnego i rodzinnego) Konwencji, skarżący twierdzili, że sądy austriackie ograniczyły się do nakazania wykonania wyroku sądu włoskiego bez zbadania argumentu, że powrót dziecka do Włoch byłby sprzeczny z jego interesem.</w:t>
      </w:r>
    </w:p>
    <w:p w14:paraId="5AB1B703" w14:textId="75883273" w:rsidR="002371BA" w:rsidRDefault="002371BA" w:rsidP="002371BA">
      <w:pPr>
        <w:ind w:left="119" w:right="839"/>
        <w:jc w:val="both"/>
        <w:rPr>
          <w:rFonts w:ascii="Verdana" w:eastAsia="Verdana" w:hAnsi="Verdana"/>
          <w:color w:val="0072BC"/>
          <w:lang w:val="pl-PL"/>
        </w:rPr>
      </w:pPr>
      <w:r w:rsidRPr="002371BA">
        <w:rPr>
          <w:rFonts w:ascii="Verdana" w:eastAsia="Verdana" w:hAnsi="Verdana"/>
          <w:color w:val="0072BC"/>
          <w:lang w:val="pl-PL"/>
        </w:rPr>
        <w:t xml:space="preserve">Trybunał </w:t>
      </w:r>
      <w:r w:rsidRPr="002371BA">
        <w:rPr>
          <w:rFonts w:ascii="Verdana" w:eastAsia="Verdana" w:hAnsi="Verdana"/>
          <w:b/>
          <w:bCs/>
          <w:color w:val="0072BC"/>
          <w:lang w:val="pl-PL"/>
        </w:rPr>
        <w:t>uznał skargę za niedopuszczalną</w:t>
      </w:r>
      <w:r w:rsidRPr="002371BA">
        <w:rPr>
          <w:rFonts w:ascii="Verdana" w:eastAsia="Verdana" w:hAnsi="Verdana"/>
          <w:color w:val="0072BC"/>
          <w:lang w:val="pl-PL"/>
        </w:rPr>
        <w:t xml:space="preserve"> (oczywiście bezzasadną). Stwierdził w szczególności, że sądy austriackie nie zrobiły nic więcej niż tylko wykonały swój obowiązek wynikający z prawa Unii Europejskiej. Zgodnie z rozporządzeniem Bruksela </w:t>
      </w:r>
      <w:proofErr w:type="spellStart"/>
      <w:r w:rsidRPr="002371BA">
        <w:rPr>
          <w:rFonts w:ascii="Verdana" w:eastAsia="Verdana" w:hAnsi="Verdana"/>
          <w:color w:val="0072BC"/>
          <w:lang w:val="pl-PL"/>
        </w:rPr>
        <w:t>IIa</w:t>
      </w:r>
      <w:proofErr w:type="spellEnd"/>
      <w:r w:rsidRPr="002371BA">
        <w:rPr>
          <w:rFonts w:ascii="Verdana" w:eastAsia="Verdana" w:hAnsi="Verdana"/>
          <w:color w:val="0072BC"/>
          <w:lang w:val="pl-PL"/>
        </w:rPr>
        <w:t xml:space="preserve"> były one zobowiązane do przestrzegania warunków wyroku wydanego przez sąd włoski nakazującego powrót dziecka. Można domniemywać, że sądy austriackie działały zgodnie ze swoimi zobowiązaniami konwencyjnymi, biorąc pod uwagę fakt, że porządek prawny Unii Europejskiej zapewniał ochronę praw podstawowych w sposób równoważny do tego, jaki zapewnia system konwencyjny. Włoski sąd wysłuchał stron i ocenił, czy powrót dziecka wiązałby się z poważnym ryzykiem dla niego. Ponadto sądy austriackie zwróciły się o wydanie orzeczenia w trybie prejudycjalnym do Trybunału Sprawiedliwości Unii Europejskiej, który dokonał przeglądu zakresu rozporządzenia i stwierdził, że wszelkie domniemane zmiany okoliczności sytuacji skarżących od czasu wydania nakazu powrotu muszą być skierowane do sądów włoskich, które są właściwe do orzekania w sprawie ewentualnego wniosku o zawieszenie wykonania nakazu. Trybunał zauważył również, że gdyby jakakolwiek skarga wniesiona przez skarżących do sądów włoskich nie powiodła się, mogliby oni złożyć skargę do Trybunału przeciwko Włochom.</w:t>
      </w:r>
    </w:p>
    <w:p w14:paraId="4C737F00" w14:textId="77777777" w:rsidR="00DF334D" w:rsidRDefault="00DF334D" w:rsidP="005715B6">
      <w:pPr>
        <w:ind w:left="119" w:right="839"/>
        <w:jc w:val="both"/>
        <w:rPr>
          <w:rFonts w:ascii="Verdana" w:eastAsia="Verdana" w:hAnsi="Verdana"/>
          <w:color w:val="0072BC"/>
          <w:lang w:val="pl-PL"/>
        </w:rPr>
      </w:pPr>
    </w:p>
    <w:p w14:paraId="376F7820" w14:textId="67CA1F71" w:rsidR="00C024C1" w:rsidRPr="00C024C1" w:rsidRDefault="00C024C1" w:rsidP="00C024C1">
      <w:pPr>
        <w:ind w:left="119" w:right="839"/>
        <w:jc w:val="both"/>
        <w:rPr>
          <w:rFonts w:ascii="Verdana" w:eastAsia="Verdana" w:hAnsi="Verdana"/>
          <w:b/>
          <w:bCs/>
          <w:color w:val="0072BC"/>
          <w:lang w:val="pl-PL"/>
        </w:rPr>
      </w:pPr>
      <w:hyperlink r:id="rId19" w:anchor="{%22itemid%22:[%22003-4681322-5677540%22]}" w:history="1">
        <w:proofErr w:type="spellStart"/>
        <w:r w:rsidRPr="00C024C1">
          <w:rPr>
            <w:rStyle w:val="Hipercze"/>
            <w:rFonts w:ascii="Verdana" w:eastAsia="Verdana" w:hAnsi="Verdana"/>
            <w:b/>
            <w:bCs/>
            <w:lang w:val="pl-PL"/>
          </w:rPr>
          <w:t>Avotiņš</w:t>
        </w:r>
        <w:proofErr w:type="spellEnd"/>
        <w:r w:rsidRPr="00C024C1">
          <w:rPr>
            <w:rStyle w:val="Hipercze"/>
            <w:rFonts w:ascii="Verdana" w:eastAsia="Verdana" w:hAnsi="Verdana"/>
            <w:b/>
            <w:bCs/>
            <w:lang w:val="pl-PL"/>
          </w:rPr>
          <w:t xml:space="preserve"> przeciwko Łotwie</w:t>
        </w:r>
      </w:hyperlink>
    </w:p>
    <w:p w14:paraId="4A602D81" w14:textId="77777777" w:rsidR="00C024C1" w:rsidRPr="00C024C1" w:rsidRDefault="00C024C1" w:rsidP="00C024C1">
      <w:pPr>
        <w:ind w:left="119" w:right="839"/>
        <w:jc w:val="both"/>
        <w:rPr>
          <w:rFonts w:ascii="Verdana" w:eastAsia="Verdana" w:hAnsi="Verdana"/>
          <w:color w:val="0072BC"/>
          <w:lang w:val="pl-PL"/>
        </w:rPr>
      </w:pPr>
      <w:r w:rsidRPr="00C024C1">
        <w:rPr>
          <w:rFonts w:ascii="Verdana" w:eastAsia="Verdana" w:hAnsi="Verdana"/>
          <w:color w:val="808080" w:themeColor="background1" w:themeShade="80"/>
          <w:sz w:val="18"/>
          <w:szCs w:val="18"/>
          <w:lang w:val="pl-PL"/>
        </w:rPr>
        <w:t>Wyrok (Wielka Izba) z dnia 23 maja 2016 r.</w:t>
      </w:r>
    </w:p>
    <w:p w14:paraId="66BE8B72" w14:textId="316AFEF8" w:rsidR="00C024C1" w:rsidRPr="00C024C1" w:rsidRDefault="00C024C1" w:rsidP="00C024C1">
      <w:pPr>
        <w:ind w:left="119" w:right="839"/>
        <w:jc w:val="both"/>
        <w:rPr>
          <w:rFonts w:ascii="Verdana" w:eastAsia="Verdana" w:hAnsi="Verdana"/>
          <w:lang w:val="pl-PL"/>
        </w:rPr>
      </w:pPr>
      <w:r w:rsidRPr="00C024C1">
        <w:rPr>
          <w:rFonts w:ascii="Verdana" w:eastAsia="Verdana" w:hAnsi="Verdana"/>
          <w:lang w:val="pl-PL"/>
        </w:rPr>
        <w:t>Sprawa dotyczyła wykonania na Łotwie wyroku wydanego w 2004 r. na Cyprze w odniesieniu do spłaty długu. Skarżący zarzucił, że łotewskie sądy zezwoliły na wykonanie cypryjskiego wyroku, który jego zdaniem został wydany z naruszeniem jego prawa do obrony, a zatem był oczywiście niezgodny z prawem. Przed łotewskimi sądami skarżący twierdził w szczególności, że uznanie i wykonanie cypryjskiego wyroku na Łotwie naruszyło rozporządzenie Rady Unii Europejskiej, a mianowicie „</w:t>
      </w:r>
      <w:r w:rsidRPr="00C024C1">
        <w:rPr>
          <w:rFonts w:ascii="Verdana" w:eastAsia="Verdana" w:hAnsi="Verdana"/>
          <w:lang w:val="pl-PL"/>
        </w:rPr>
        <w:t xml:space="preserve">Bruksela - </w:t>
      </w:r>
      <w:r w:rsidRPr="00C024C1">
        <w:rPr>
          <w:rFonts w:ascii="Verdana" w:eastAsia="Verdana" w:hAnsi="Verdana"/>
          <w:lang w:val="pl-PL"/>
        </w:rPr>
        <w:t>rozporządzenie 1”.</w:t>
      </w:r>
    </w:p>
    <w:p w14:paraId="6573BF46" w14:textId="3D8ECC4E" w:rsidR="00DF334D" w:rsidRDefault="00C024C1" w:rsidP="00C024C1">
      <w:pPr>
        <w:ind w:left="119" w:right="839"/>
        <w:jc w:val="both"/>
        <w:rPr>
          <w:rFonts w:ascii="Verdana" w:eastAsia="Verdana" w:hAnsi="Verdana"/>
          <w:color w:val="0072BC"/>
          <w:lang w:val="pl-PL"/>
        </w:rPr>
      </w:pPr>
      <w:r w:rsidRPr="00C024C1">
        <w:rPr>
          <w:rFonts w:ascii="Verdana" w:eastAsia="Verdana" w:hAnsi="Verdana"/>
          <w:color w:val="0072BC"/>
          <w:lang w:val="pl-PL"/>
        </w:rPr>
        <w:t xml:space="preserve">Trybunał nie uznał, że ochrona praw podstawowych była w sposób oczywisty niewystarczająca, tak że domniemanie równoważnej ochrony zostało obalone i orzekł, że nie doszło do naruszenia art. 6 § 1 (prawo do rzetelnego procesu sądowego) Konwencji. Powtórzono w szczególności, że stosując prawo Unii Europejskiej, Umawiające się Państwa pozostają związane zobowiązaniami, które podjęły przystępując do Europejskiej Konwencji Praw Człowieka. Zobowiązania te należy oceniać w świetle domniemania równoważnej ochrony ustanowionego przez Trybunał w wyroku w </w:t>
      </w:r>
      <w:r w:rsidRPr="00C024C1">
        <w:rPr>
          <w:rFonts w:ascii="Verdana" w:eastAsia="Verdana" w:hAnsi="Verdana"/>
          <w:i/>
          <w:iCs/>
          <w:color w:val="0072BC"/>
          <w:lang w:val="pl-PL"/>
        </w:rPr>
        <w:t>sprawie „</w:t>
      </w:r>
      <w:proofErr w:type="spellStart"/>
      <w:r w:rsidRPr="00C024C1">
        <w:rPr>
          <w:rFonts w:ascii="Verdana" w:eastAsia="Verdana" w:hAnsi="Verdana"/>
          <w:i/>
          <w:iCs/>
          <w:color w:val="0072BC"/>
          <w:lang w:val="pl-PL"/>
        </w:rPr>
        <w:t>Bosphorus</w:t>
      </w:r>
      <w:proofErr w:type="spellEnd"/>
      <w:r w:rsidRPr="00C024C1">
        <w:rPr>
          <w:rFonts w:ascii="Verdana" w:eastAsia="Verdana" w:hAnsi="Verdana"/>
          <w:i/>
          <w:iCs/>
          <w:color w:val="0072BC"/>
          <w:lang w:val="pl-PL"/>
        </w:rPr>
        <w:t xml:space="preserve"> Airways” przeciwko Irlandii (zob. powyżej)</w:t>
      </w:r>
      <w:r w:rsidRPr="00C024C1">
        <w:rPr>
          <w:rFonts w:ascii="Verdana" w:eastAsia="Verdana" w:hAnsi="Verdana"/>
          <w:color w:val="0072BC"/>
          <w:lang w:val="pl-PL"/>
        </w:rPr>
        <w:t xml:space="preserve"> i rozwiniętego w wyroku w sprawie </w:t>
      </w:r>
      <w:proofErr w:type="spellStart"/>
      <w:r w:rsidRPr="00C024C1">
        <w:rPr>
          <w:rFonts w:ascii="Verdana" w:eastAsia="Verdana" w:hAnsi="Verdana"/>
          <w:i/>
          <w:iCs/>
          <w:color w:val="0072BC"/>
          <w:lang w:val="pl-PL"/>
        </w:rPr>
        <w:t>Michaud</w:t>
      </w:r>
      <w:proofErr w:type="spellEnd"/>
      <w:r w:rsidRPr="00C024C1">
        <w:rPr>
          <w:rFonts w:ascii="Verdana" w:eastAsia="Verdana" w:hAnsi="Verdana"/>
          <w:i/>
          <w:iCs/>
          <w:color w:val="0072BC"/>
          <w:lang w:val="pl-PL"/>
        </w:rPr>
        <w:t xml:space="preserve"> przeciwko Francji (zob. poniżej).</w:t>
      </w:r>
      <w:r>
        <w:rPr>
          <w:rFonts w:ascii="Verdana" w:eastAsia="Verdana" w:hAnsi="Verdana"/>
          <w:color w:val="0072BC"/>
          <w:lang w:val="pl-PL"/>
        </w:rPr>
        <w:t xml:space="preserve"> </w:t>
      </w:r>
      <w:r w:rsidRPr="00C024C1">
        <w:rPr>
          <w:rFonts w:ascii="Verdana" w:eastAsia="Verdana" w:hAnsi="Verdana"/>
          <w:color w:val="0072BC"/>
          <w:lang w:val="pl-PL"/>
        </w:rPr>
        <w:t>W niniejszej sprawie Trybunał uznał w szczególności, że to sam skarżący, po tym jak dowiedział się o wyroku wydanym na Cyprze, powinien był zapytać o środki odwoławcze dostępne na Cyprze. Trybunał uznał, że skarżący powinien być świadomy konsekwencji prawnych podpisanego przez siebie aktu uznania długu. Akt ten, podlegający prawu cypryjskiemu, dotyczył kwoty pieniężnej, którą pożyczył od spółki cypryjskiej, i zawierał klauzulę przyznającą jurysdykcję sądom cypryjskim. W związku z tym powinien był upewnić się, że zapoznał się ze sposobem, w jaki ewentualne postępowanie będzie prowadzone przed sądami cypryjskimi. W wyniku swojej bezczynności i braku staranności skarżący przyczynił się zatem w znacznym stopniu do sytuacji, na którą skarżył się przed Trybunałem i której mógł zapobiec.</w:t>
      </w:r>
    </w:p>
    <w:p w14:paraId="0814A716" w14:textId="77777777" w:rsidR="00DF334D" w:rsidRDefault="00DF334D" w:rsidP="005715B6">
      <w:pPr>
        <w:ind w:left="119" w:right="839"/>
        <w:jc w:val="both"/>
        <w:rPr>
          <w:rFonts w:ascii="Verdana" w:eastAsia="Verdana" w:hAnsi="Verdana"/>
          <w:color w:val="0072BC"/>
          <w:lang w:val="pl-PL"/>
        </w:rPr>
      </w:pPr>
    </w:p>
    <w:p w14:paraId="7E5665C4" w14:textId="77777777" w:rsidR="00DF334D" w:rsidRDefault="00DF334D" w:rsidP="005715B6">
      <w:pPr>
        <w:ind w:left="119" w:right="839"/>
        <w:jc w:val="both"/>
        <w:rPr>
          <w:rFonts w:ascii="Verdana" w:eastAsia="Verdana" w:hAnsi="Verdana"/>
          <w:color w:val="0072BC"/>
          <w:lang w:val="pl-PL"/>
        </w:rPr>
      </w:pPr>
    </w:p>
    <w:p w14:paraId="1729CCBE" w14:textId="77777777" w:rsidR="00DF334D" w:rsidRDefault="00DF334D" w:rsidP="005715B6">
      <w:pPr>
        <w:ind w:left="119" w:right="839"/>
        <w:jc w:val="both"/>
        <w:rPr>
          <w:rFonts w:ascii="Verdana" w:eastAsia="Verdana" w:hAnsi="Verdana"/>
          <w:color w:val="0072BC"/>
          <w:lang w:val="pl-PL"/>
        </w:rPr>
      </w:pPr>
    </w:p>
    <w:p w14:paraId="228D8E22" w14:textId="5EFDD574" w:rsidR="00C024C1" w:rsidRPr="006B7E64" w:rsidRDefault="006B7E64" w:rsidP="00C024C1">
      <w:pPr>
        <w:ind w:left="119" w:right="839"/>
        <w:jc w:val="both"/>
        <w:rPr>
          <w:rFonts w:ascii="Verdana" w:eastAsia="Verdana" w:hAnsi="Verdana"/>
          <w:b/>
          <w:bCs/>
          <w:color w:val="0072BC"/>
          <w:lang w:val="pl-PL"/>
        </w:rPr>
      </w:pPr>
      <w:hyperlink r:id="rId20" w:anchor="{%22itemid%22:[%22003-6061117-7798896%22]}" w:history="1">
        <w:proofErr w:type="spellStart"/>
        <w:r w:rsidR="00C024C1" w:rsidRPr="006B7E64">
          <w:rPr>
            <w:rStyle w:val="Hipercze"/>
            <w:rFonts w:ascii="Verdana" w:eastAsia="Verdana" w:hAnsi="Verdana"/>
            <w:b/>
            <w:bCs/>
            <w:lang w:val="pl-PL"/>
          </w:rPr>
          <w:t>Pirozzi</w:t>
        </w:r>
        <w:proofErr w:type="spellEnd"/>
        <w:r w:rsidR="00C024C1" w:rsidRPr="006B7E64">
          <w:rPr>
            <w:rStyle w:val="Hipercze"/>
            <w:rFonts w:ascii="Verdana" w:eastAsia="Verdana" w:hAnsi="Verdana"/>
            <w:b/>
            <w:bCs/>
            <w:lang w:val="pl-PL"/>
          </w:rPr>
          <w:t xml:space="preserve"> przeciwko Belgii</w:t>
        </w:r>
      </w:hyperlink>
    </w:p>
    <w:p w14:paraId="47ABC469" w14:textId="239AC80A" w:rsidR="00C024C1" w:rsidRPr="006B7E64" w:rsidRDefault="00C024C1" w:rsidP="00C024C1">
      <w:pPr>
        <w:ind w:left="119" w:right="839"/>
        <w:jc w:val="both"/>
        <w:rPr>
          <w:rFonts w:ascii="Verdana" w:eastAsia="Verdana" w:hAnsi="Verdana"/>
          <w:color w:val="808080" w:themeColor="background1" w:themeShade="80"/>
          <w:sz w:val="18"/>
          <w:szCs w:val="18"/>
          <w:lang w:val="pl-PL"/>
        </w:rPr>
      </w:pPr>
      <w:r w:rsidRPr="006B7E64">
        <w:rPr>
          <w:rFonts w:ascii="Verdana" w:eastAsia="Verdana" w:hAnsi="Verdana"/>
          <w:color w:val="808080" w:themeColor="background1" w:themeShade="80"/>
          <w:sz w:val="18"/>
          <w:szCs w:val="18"/>
          <w:lang w:val="pl-PL"/>
        </w:rPr>
        <w:t>Wyrok z dnia 17 kwietnia 2018 r.</w:t>
      </w:r>
    </w:p>
    <w:p w14:paraId="2AE226A1" w14:textId="77777777" w:rsidR="00C024C1" w:rsidRDefault="00C024C1" w:rsidP="00C024C1">
      <w:pPr>
        <w:ind w:left="119" w:right="839"/>
        <w:jc w:val="both"/>
        <w:rPr>
          <w:rFonts w:ascii="Verdana" w:eastAsia="Verdana" w:hAnsi="Verdana"/>
          <w:color w:val="0072BC"/>
          <w:lang w:val="pl-PL"/>
        </w:rPr>
      </w:pPr>
      <w:r w:rsidRPr="006B7E64">
        <w:rPr>
          <w:rFonts w:ascii="Verdana" w:eastAsia="Verdana" w:hAnsi="Verdana"/>
          <w:lang w:val="pl-PL"/>
        </w:rPr>
        <w:t>Zob. poniżej, w sekcji „Europejski nakaz aresztowania”.</w:t>
      </w:r>
    </w:p>
    <w:p w14:paraId="7D596E93" w14:textId="77777777" w:rsidR="00C024C1" w:rsidRPr="00C024C1" w:rsidRDefault="00C024C1" w:rsidP="00C024C1">
      <w:pPr>
        <w:ind w:left="119" w:right="839"/>
        <w:jc w:val="both"/>
        <w:rPr>
          <w:rFonts w:ascii="Verdana" w:eastAsia="Verdana" w:hAnsi="Verdana"/>
          <w:color w:val="0072BC"/>
          <w:lang w:val="pl-PL"/>
        </w:rPr>
      </w:pPr>
    </w:p>
    <w:p w14:paraId="40F0A749" w14:textId="5CEE3E3F" w:rsidR="00C024C1" w:rsidRPr="006B7E64" w:rsidRDefault="006B7E64" w:rsidP="00C024C1">
      <w:pPr>
        <w:ind w:left="119" w:right="839"/>
        <w:jc w:val="both"/>
        <w:rPr>
          <w:rFonts w:ascii="Verdana" w:eastAsia="Verdana" w:hAnsi="Verdana"/>
          <w:b/>
          <w:bCs/>
          <w:color w:val="0072BC"/>
          <w:lang w:val="pl-PL"/>
        </w:rPr>
      </w:pPr>
      <w:hyperlink r:id="rId21" w:anchor="{%22itemid%22:[%22003-6977075-9393953%22]}" w:history="1">
        <w:proofErr w:type="spellStart"/>
        <w:r w:rsidR="00C024C1" w:rsidRPr="006B7E64">
          <w:rPr>
            <w:rStyle w:val="Hipercze"/>
            <w:rFonts w:ascii="Verdana" w:eastAsia="Verdana" w:hAnsi="Verdana"/>
            <w:b/>
            <w:bCs/>
            <w:lang w:val="pl-PL"/>
          </w:rPr>
          <w:t>Bivolaru</w:t>
        </w:r>
        <w:proofErr w:type="spellEnd"/>
        <w:r w:rsidR="00C024C1" w:rsidRPr="006B7E64">
          <w:rPr>
            <w:rStyle w:val="Hipercze"/>
            <w:rFonts w:ascii="Verdana" w:eastAsia="Verdana" w:hAnsi="Verdana"/>
            <w:b/>
            <w:bCs/>
            <w:lang w:val="pl-PL"/>
          </w:rPr>
          <w:t xml:space="preserve"> i </w:t>
        </w:r>
        <w:proofErr w:type="spellStart"/>
        <w:r w:rsidR="00C024C1" w:rsidRPr="006B7E64">
          <w:rPr>
            <w:rStyle w:val="Hipercze"/>
            <w:rFonts w:ascii="Verdana" w:eastAsia="Verdana" w:hAnsi="Verdana"/>
            <w:b/>
            <w:bCs/>
            <w:lang w:val="pl-PL"/>
          </w:rPr>
          <w:t>Moldovan</w:t>
        </w:r>
        <w:proofErr w:type="spellEnd"/>
        <w:r w:rsidR="00C024C1" w:rsidRPr="006B7E64">
          <w:rPr>
            <w:rStyle w:val="Hipercze"/>
            <w:rFonts w:ascii="Verdana" w:eastAsia="Verdana" w:hAnsi="Verdana"/>
            <w:b/>
            <w:bCs/>
            <w:lang w:val="pl-PL"/>
          </w:rPr>
          <w:t xml:space="preserve"> przeciwko Francji</w:t>
        </w:r>
      </w:hyperlink>
    </w:p>
    <w:p w14:paraId="6B4E6938" w14:textId="77777777" w:rsidR="00C024C1" w:rsidRPr="006B7E64" w:rsidRDefault="00C024C1" w:rsidP="00C024C1">
      <w:pPr>
        <w:ind w:left="119" w:right="839"/>
        <w:jc w:val="both"/>
        <w:rPr>
          <w:rFonts w:ascii="Verdana" w:eastAsia="Verdana" w:hAnsi="Verdana"/>
          <w:color w:val="808080" w:themeColor="background1" w:themeShade="80"/>
          <w:lang w:val="pl-PL"/>
        </w:rPr>
      </w:pPr>
      <w:r w:rsidRPr="006B7E64">
        <w:rPr>
          <w:rFonts w:ascii="Verdana" w:eastAsia="Verdana" w:hAnsi="Verdana"/>
          <w:color w:val="808080" w:themeColor="background1" w:themeShade="80"/>
          <w:lang w:val="pl-PL"/>
        </w:rPr>
        <w:t>Wyrok z dnia 25 marca 2021 r.</w:t>
      </w:r>
    </w:p>
    <w:p w14:paraId="3A27710C" w14:textId="77777777" w:rsidR="00C024C1" w:rsidRPr="006B7E64" w:rsidRDefault="00C024C1" w:rsidP="00C024C1">
      <w:pPr>
        <w:ind w:left="119" w:right="839"/>
        <w:jc w:val="both"/>
        <w:rPr>
          <w:rFonts w:ascii="Verdana" w:eastAsia="Verdana" w:hAnsi="Verdana"/>
          <w:lang w:val="pl-PL"/>
        </w:rPr>
      </w:pPr>
      <w:r w:rsidRPr="006B7E64">
        <w:rPr>
          <w:rFonts w:ascii="Verdana" w:eastAsia="Verdana" w:hAnsi="Verdana"/>
          <w:lang w:val="pl-PL"/>
        </w:rPr>
        <w:t>Zob. poniżej, punkt „Europejski nakaz aresztowania”.</w:t>
      </w:r>
    </w:p>
    <w:p w14:paraId="2A21B9FD" w14:textId="77777777" w:rsidR="00C024C1" w:rsidRPr="00C024C1" w:rsidRDefault="00C024C1" w:rsidP="00C024C1">
      <w:pPr>
        <w:ind w:left="119" w:right="839"/>
        <w:jc w:val="both"/>
        <w:rPr>
          <w:rFonts w:ascii="Verdana" w:eastAsia="Verdana" w:hAnsi="Verdana"/>
          <w:color w:val="0072BC"/>
          <w:lang w:val="pl-PL"/>
        </w:rPr>
      </w:pPr>
    </w:p>
    <w:p w14:paraId="16289BD3" w14:textId="7C968A60" w:rsidR="00C024C1" w:rsidRPr="006B7E64" w:rsidRDefault="00C024C1" w:rsidP="00C024C1">
      <w:pPr>
        <w:ind w:left="119" w:right="839"/>
        <w:jc w:val="both"/>
        <w:rPr>
          <w:rFonts w:ascii="Verdana" w:eastAsia="Verdana" w:hAnsi="Verdana"/>
          <w:color w:val="808080" w:themeColor="background1" w:themeShade="80"/>
          <w:sz w:val="28"/>
          <w:szCs w:val="28"/>
          <w:lang w:val="pl-PL"/>
        </w:rPr>
      </w:pPr>
      <w:r w:rsidRPr="006B7E64">
        <w:rPr>
          <w:rFonts w:ascii="Verdana" w:eastAsia="Verdana" w:hAnsi="Verdana"/>
          <w:color w:val="808080" w:themeColor="background1" w:themeShade="80"/>
          <w:sz w:val="28"/>
          <w:szCs w:val="28"/>
          <w:lang w:val="pl-PL"/>
        </w:rPr>
        <w:t>Rozporządzenie dublińskie</w:t>
      </w:r>
      <w:r w:rsidR="006B7E64" w:rsidRPr="006B7E64">
        <w:rPr>
          <w:rStyle w:val="Odwoanieprzypisudolnego"/>
          <w:rFonts w:ascii="Verdana" w:eastAsia="Verdana" w:hAnsi="Verdana"/>
          <w:color w:val="808080" w:themeColor="background1" w:themeShade="80"/>
          <w:sz w:val="28"/>
          <w:szCs w:val="28"/>
          <w:lang w:val="pl-PL"/>
        </w:rPr>
        <w:footnoteReference w:id="3"/>
      </w:r>
    </w:p>
    <w:p w14:paraId="51D632E7" w14:textId="77777777" w:rsidR="006B7E64" w:rsidRPr="00C024C1" w:rsidRDefault="006B7E64" w:rsidP="00C024C1">
      <w:pPr>
        <w:ind w:left="119" w:right="839"/>
        <w:jc w:val="both"/>
        <w:rPr>
          <w:rFonts w:ascii="Verdana" w:eastAsia="Verdana" w:hAnsi="Verdana"/>
          <w:color w:val="0072BC"/>
          <w:lang w:val="pl-PL"/>
        </w:rPr>
      </w:pPr>
    </w:p>
    <w:p w14:paraId="2EEEA58D" w14:textId="3438CD9F" w:rsidR="00C024C1" w:rsidRPr="006B7E64" w:rsidRDefault="006B7E64" w:rsidP="00C024C1">
      <w:pPr>
        <w:ind w:left="119" w:right="839"/>
        <w:jc w:val="both"/>
        <w:rPr>
          <w:rFonts w:ascii="Verdana" w:eastAsia="Verdana" w:hAnsi="Verdana"/>
          <w:b/>
          <w:bCs/>
          <w:color w:val="0072BC"/>
          <w:lang w:val="pl-PL"/>
        </w:rPr>
      </w:pPr>
      <w:hyperlink r:id="rId22" w:anchor="{%22itemid%22:[%22003-3407679-3824378%22]}" w:history="1">
        <w:r w:rsidR="00C024C1" w:rsidRPr="006B7E64">
          <w:rPr>
            <w:rStyle w:val="Hipercze"/>
            <w:rFonts w:ascii="Verdana" w:eastAsia="Verdana" w:hAnsi="Verdana"/>
            <w:b/>
            <w:bCs/>
            <w:lang w:val="pl-PL"/>
          </w:rPr>
          <w:t>M.S.S. przeciwko Belgii i Grecji (nr 30696/09)</w:t>
        </w:r>
      </w:hyperlink>
    </w:p>
    <w:p w14:paraId="1451D908" w14:textId="77777777" w:rsidR="00C024C1" w:rsidRPr="006B7E64" w:rsidRDefault="00C024C1" w:rsidP="00C024C1">
      <w:pPr>
        <w:ind w:left="119" w:right="839"/>
        <w:jc w:val="both"/>
        <w:rPr>
          <w:rFonts w:ascii="Verdana" w:eastAsia="Verdana" w:hAnsi="Verdana"/>
          <w:color w:val="808080" w:themeColor="background1" w:themeShade="80"/>
          <w:lang w:val="pl-PL"/>
        </w:rPr>
      </w:pPr>
      <w:r w:rsidRPr="006B7E64">
        <w:rPr>
          <w:rFonts w:ascii="Verdana" w:eastAsia="Verdana" w:hAnsi="Verdana"/>
          <w:color w:val="808080" w:themeColor="background1" w:themeShade="80"/>
          <w:lang w:val="pl-PL"/>
        </w:rPr>
        <w:t>Wyrok (Wielka Izba) z dnia 21 stycznia 2011 r.</w:t>
      </w:r>
    </w:p>
    <w:p w14:paraId="53D0D644" w14:textId="22FFD456" w:rsidR="00DF334D" w:rsidRPr="00432F10" w:rsidRDefault="00C024C1" w:rsidP="00C024C1">
      <w:pPr>
        <w:ind w:left="119" w:right="839"/>
        <w:jc w:val="both"/>
        <w:rPr>
          <w:rFonts w:ascii="Verdana" w:eastAsia="Verdana" w:hAnsi="Verdana"/>
          <w:lang w:val="pl-PL"/>
        </w:rPr>
      </w:pPr>
      <w:r w:rsidRPr="00432F10">
        <w:rPr>
          <w:rFonts w:ascii="Verdana" w:eastAsia="Verdana" w:hAnsi="Verdana"/>
          <w:lang w:val="pl-PL"/>
        </w:rPr>
        <w:t>Skarżący jest obywatelem Afganistanu, który wjechał do UE przez Grecję przed przybyciem do Belgii, gdzie złożył wniosek o azyl. Zgodnie z rozporządzeniem Dublin II belgijski urząd ds. cudzoziemców zwrócił się do władz greckich o przejęcie odpowiedzialności za wniosek o azyl. Skarżący skarżył się w szczególności na warunki jego zatrzymania i warunki życia w Grecji i twierdził, że nie miał skutecznego środka odwoławczego w prawie greckim w odniesieniu do tych skarg. Skarżący zarzucił również, że Belgia naraziła go na ryzyko wynikające z niedociągnięć w procedurze azylowej w Grecji oraz złych warunków przetrzymywania i życia, na jakie narażone były osoby ubiegające się o azyl. Utrzymywał również, że prawo belgijskie nie przewiduje skutecznego środka odwoławczego w odniesieniu do tych skarg.</w:t>
      </w:r>
    </w:p>
    <w:p w14:paraId="17E89C64" w14:textId="77777777" w:rsidR="00432F10" w:rsidRDefault="00432F10" w:rsidP="00432F10">
      <w:pPr>
        <w:ind w:left="119" w:right="839"/>
        <w:jc w:val="both"/>
        <w:rPr>
          <w:rFonts w:ascii="Verdana" w:eastAsia="Verdana" w:hAnsi="Verdana"/>
          <w:color w:val="0072BC"/>
          <w:lang w:val="pl-PL"/>
        </w:rPr>
      </w:pPr>
      <w:r w:rsidRPr="00432F10">
        <w:rPr>
          <w:rFonts w:ascii="Verdana" w:eastAsia="Verdana" w:hAnsi="Verdana"/>
          <w:color w:val="0072BC"/>
          <w:lang w:val="pl-PL"/>
        </w:rPr>
        <w:t>Odnosząc się w szczególności do przeniesienia skarżącego z Belgii do Grecji, Trybunał orzekł, biorąc pod uwagę, że wszystkie raporty sporządzone przez organizacje i organy międzynarodowe zawierały podobne opisy praktycznych trudności wynikających ze stosowania systemu dublińskiego w Grecji, a Wysoki Komisarz Narodów Zjednoczonych do spraw Uchodźców ostrzegł rząd belgijski o sytuacji w tym kraju, że władze belgijskie musiały być świadome braków w procedurze azylowej w Grecji w momencie wydania nakazu wydalenia skarżącego. Belgia początkowo nakazała wydalenie wyłącznie na podstawie milczącej zgody władz greckich i przystąpiła do egzekwowania tego środka bez udzielenia przez władze greckie jakiejkolwiek indywidualnej gwarancji, podczas gdy mogły one z łatwością odmówić przeniesienia. Władze belgijskie nie powinny były po prostu zakładać, że skarżący będzie traktowany zgodnie ze standardami Konwencji; powinny były zweryfikować, w jaki sposób władze greckie stosują w praktyce swoje ustawodawstwo azylowe; ale tego nie zrobiły. W związku z tym doszło do naruszenia przez Belgię Artykułu 3 (zakaz poniżającego traktowania) Konwencji. W odniesieniu do Belgii Trybunał stwierdził ponadto naruszenie Artykułu 13 (prawo do skutecznego środka odwoławczego) w związku z Artykułem 3 Konwencji z powodu braku skutecznego środka odwoławczego od nakazu wydalenia skarżącego.</w:t>
      </w:r>
    </w:p>
    <w:p w14:paraId="12A91169" w14:textId="77777777" w:rsidR="00015012" w:rsidRPr="00015012" w:rsidRDefault="00015012" w:rsidP="00015012">
      <w:pPr>
        <w:ind w:left="119" w:right="839"/>
        <w:jc w:val="both"/>
        <w:rPr>
          <w:rFonts w:ascii="Verdana" w:eastAsia="Verdana" w:hAnsi="Verdana"/>
          <w:color w:val="0072BC"/>
          <w:lang w:val="pl-PL"/>
        </w:rPr>
      </w:pPr>
      <w:r w:rsidRPr="00015012">
        <w:rPr>
          <w:rFonts w:ascii="Verdana" w:eastAsia="Verdana" w:hAnsi="Verdana"/>
          <w:color w:val="0072BC"/>
          <w:lang w:val="pl-PL"/>
        </w:rPr>
        <w:t xml:space="preserve">W odniesieniu do Grecji, Trybunał stwierdził </w:t>
      </w:r>
      <w:r w:rsidRPr="00015012">
        <w:rPr>
          <w:rFonts w:ascii="Verdana" w:eastAsia="Verdana" w:hAnsi="Verdana"/>
          <w:b/>
          <w:bCs/>
          <w:color w:val="0072BC"/>
          <w:lang w:val="pl-PL"/>
        </w:rPr>
        <w:t>naruszenie Artykułu 13 w związku z Artykułem 3 Konwencji</w:t>
      </w:r>
      <w:r w:rsidRPr="00015012">
        <w:rPr>
          <w:rFonts w:ascii="Verdana" w:eastAsia="Verdana" w:hAnsi="Verdana"/>
          <w:color w:val="0072BC"/>
          <w:lang w:val="pl-PL"/>
        </w:rPr>
        <w:t xml:space="preserve"> ze względu na braki w rozpatrzeniu przez władze greckie wniosku skarżącego o azyl oraz ryzyko, że zostanie on bezpośrednio lub pośrednio wydalony z powrotem do kraju pochodzenia bez poważnego zbadania zasadności jego wniosku i bez dostępu do skutecznego środka odwoławczego. Jeśli chodzi o Grecję, Trybunał uznał ponadto, że doszło do naruszenia Artykułu 3 Konwencji (zakaz poniżającego traktowania) zarówno z powodu warunków zatrzymania skarżącego, jak i warunków jego życia w Grecji.</w:t>
      </w:r>
    </w:p>
    <w:p w14:paraId="7B0DA5AF" w14:textId="77777777" w:rsidR="00015012" w:rsidRPr="00015012" w:rsidRDefault="00015012" w:rsidP="00015012">
      <w:pPr>
        <w:ind w:left="119" w:right="839"/>
        <w:jc w:val="both"/>
        <w:rPr>
          <w:rFonts w:ascii="Verdana" w:eastAsia="Verdana" w:hAnsi="Verdana"/>
          <w:color w:val="0072BC"/>
          <w:lang w:val="pl-PL"/>
        </w:rPr>
      </w:pPr>
      <w:r w:rsidRPr="00015012">
        <w:rPr>
          <w:rFonts w:ascii="Verdana" w:eastAsia="Verdana" w:hAnsi="Verdana"/>
          <w:color w:val="0072BC"/>
          <w:lang w:val="pl-PL"/>
        </w:rPr>
        <w:t xml:space="preserve">Wreszcie, zgodnie z Artykułem 46 (moc wiążąca i wykonanie wyroków) Konwencji, Trybunał orzekł, że obowiązkiem Grecji było bezzwłoczne przystąpienie do badania zasadności wniosku skarżącego o azyl, który spełniał wymogi Europejskiej Konwencji </w:t>
      </w:r>
      <w:r w:rsidRPr="00015012">
        <w:rPr>
          <w:rFonts w:ascii="Verdana" w:eastAsia="Verdana" w:hAnsi="Verdana"/>
          <w:color w:val="0072BC"/>
          <w:lang w:val="pl-PL"/>
        </w:rPr>
        <w:lastRenderedPageBreak/>
        <w:t>Praw Człowieka oraz, w oczekiwaniu na wynik tego badania, powstrzymanie się od deportacji skarżącego.</w:t>
      </w:r>
    </w:p>
    <w:p w14:paraId="559A21C9" w14:textId="77777777" w:rsidR="00015012" w:rsidRPr="00015012" w:rsidRDefault="00015012" w:rsidP="00015012">
      <w:pPr>
        <w:ind w:left="119" w:right="839"/>
        <w:jc w:val="both"/>
        <w:rPr>
          <w:rFonts w:ascii="Verdana" w:eastAsia="Verdana" w:hAnsi="Verdana"/>
          <w:color w:val="0072BC"/>
          <w:lang w:val="pl-PL"/>
        </w:rPr>
      </w:pPr>
    </w:p>
    <w:p w14:paraId="2F7FB5D4" w14:textId="5F975917" w:rsidR="00015012" w:rsidRPr="00015012" w:rsidRDefault="00015012" w:rsidP="00015012">
      <w:pPr>
        <w:ind w:left="119" w:right="839"/>
        <w:jc w:val="both"/>
        <w:rPr>
          <w:rFonts w:ascii="Verdana" w:eastAsia="Verdana" w:hAnsi="Verdana"/>
          <w:b/>
          <w:bCs/>
          <w:color w:val="0072BC"/>
          <w:lang w:val="pl-PL"/>
        </w:rPr>
      </w:pPr>
      <w:hyperlink r:id="rId23" w:anchor="{%22itemid%22:[%22003-4923136-6025044%22]}" w:history="1">
        <w:proofErr w:type="spellStart"/>
        <w:r w:rsidRPr="00015012">
          <w:rPr>
            <w:rStyle w:val="Hipercze"/>
            <w:rFonts w:ascii="Verdana" w:eastAsia="Verdana" w:hAnsi="Verdana"/>
            <w:b/>
            <w:bCs/>
            <w:lang w:val="pl-PL"/>
          </w:rPr>
          <w:t>Tarakhel</w:t>
        </w:r>
        <w:proofErr w:type="spellEnd"/>
        <w:r w:rsidRPr="00015012">
          <w:rPr>
            <w:rStyle w:val="Hipercze"/>
            <w:rFonts w:ascii="Verdana" w:eastAsia="Verdana" w:hAnsi="Verdana"/>
            <w:b/>
            <w:bCs/>
            <w:lang w:val="pl-PL"/>
          </w:rPr>
          <w:t xml:space="preserve"> przeciwko Szwajcarii</w:t>
        </w:r>
      </w:hyperlink>
    </w:p>
    <w:p w14:paraId="516F421B" w14:textId="77777777" w:rsidR="00015012" w:rsidRPr="00015012" w:rsidRDefault="00015012" w:rsidP="00015012">
      <w:pPr>
        <w:ind w:left="119" w:right="839"/>
        <w:jc w:val="both"/>
        <w:rPr>
          <w:rFonts w:ascii="Verdana" w:eastAsia="Verdana" w:hAnsi="Verdana"/>
          <w:color w:val="808080" w:themeColor="background1" w:themeShade="80"/>
          <w:sz w:val="18"/>
          <w:szCs w:val="18"/>
          <w:lang w:val="pl-PL"/>
        </w:rPr>
      </w:pPr>
      <w:r w:rsidRPr="00015012">
        <w:rPr>
          <w:rFonts w:ascii="Verdana" w:eastAsia="Verdana" w:hAnsi="Verdana"/>
          <w:color w:val="808080" w:themeColor="background1" w:themeShade="80"/>
          <w:sz w:val="18"/>
          <w:szCs w:val="18"/>
          <w:lang w:val="pl-PL"/>
        </w:rPr>
        <w:t>Wyrok (Wielka Izba) z dnia 4 listopada 2014 r.</w:t>
      </w:r>
    </w:p>
    <w:p w14:paraId="3447F993" w14:textId="4C54FD5E" w:rsidR="00015012" w:rsidRPr="00015012" w:rsidRDefault="00015012" w:rsidP="00015012">
      <w:pPr>
        <w:ind w:left="119" w:right="839"/>
        <w:jc w:val="both"/>
        <w:rPr>
          <w:rFonts w:ascii="Verdana" w:eastAsia="Verdana" w:hAnsi="Verdana"/>
          <w:lang w:val="pl-PL"/>
        </w:rPr>
      </w:pPr>
      <w:r w:rsidRPr="00015012">
        <w:rPr>
          <w:rFonts w:ascii="Verdana" w:eastAsia="Verdana" w:hAnsi="Verdana"/>
          <w:lang w:val="pl-PL"/>
        </w:rPr>
        <w:t>Skarżącymi była afgańska para i ich pięcioro dzieci. Władze szwajcarskie odrzuciły ich wniosek o azyl i nakazały ich deportację do Włoch, gdzie zostali zarejestrowani w „systemie EURODAC ”</w:t>
      </w:r>
      <w:r w:rsidR="00046A9E">
        <w:rPr>
          <w:rStyle w:val="Odwoanieprzypisudolnego"/>
          <w:rFonts w:ascii="Verdana" w:eastAsia="Verdana" w:hAnsi="Verdana"/>
          <w:lang w:val="pl-PL"/>
        </w:rPr>
        <w:footnoteReference w:id="4"/>
      </w:r>
      <w:r w:rsidRPr="00015012">
        <w:rPr>
          <w:rFonts w:ascii="Verdana" w:eastAsia="Verdana" w:hAnsi="Verdana"/>
          <w:lang w:val="pl-PL"/>
        </w:rPr>
        <w:t xml:space="preserve"> w lipcu 2001 roku. Skarżący twierdzili w szczególności, że jeśli zostaną odesłani do Włoch „przy braku indywidualnych gwarancji dotyczących opieki nad nimi”, zostaną poddani nieludzkiemu i poniżającemu traktowaniu związanemu z istnieniem „systemowych niedociągnięć” w zakresie przyjmowania osób ubiegających się o azyl we Włoszech. Stwierdzili również, że władze szwajcarskie nie rozważyły w wystarczającym stopniu ich sytuacji osobistej i nie wzięły pod uwagę ich sytuacji jako rodziny.</w:t>
      </w:r>
    </w:p>
    <w:p w14:paraId="04209A56" w14:textId="77777777" w:rsidR="00015012" w:rsidRDefault="00015012" w:rsidP="00015012">
      <w:pPr>
        <w:ind w:left="119" w:right="839"/>
        <w:jc w:val="both"/>
        <w:rPr>
          <w:rFonts w:ascii="Verdana" w:eastAsia="Verdana" w:hAnsi="Verdana"/>
          <w:color w:val="0072BC"/>
          <w:lang w:val="pl-PL"/>
        </w:rPr>
      </w:pPr>
      <w:r w:rsidRPr="00015012">
        <w:rPr>
          <w:rFonts w:ascii="Verdana" w:eastAsia="Verdana" w:hAnsi="Verdana"/>
          <w:color w:val="0072BC"/>
          <w:lang w:val="pl-PL"/>
        </w:rPr>
        <w:t xml:space="preserve">Trybunał uznał, że doszłoby do naruszenia Artykułu 3 (zakaz nieludzkiego lub poniżającego traktowania) Konwencji, gdyby władze szwajcarskie odesłały skarżących do Włoch na mocy Rozporządzenia Dublińskiego bez uprzedniego uzyskania indywidualnych gwarancji od władz włoskich, że skarżący zostaną objęci opieką w sposób dostosowany do wieku dzieci i że rodzina pozostanie razem. Trybunał stwierdził w szczególności, że w świetle obecnej sytuacji dotyczącej systemu przyjmowania dzieci we Włoszech oraz braku szczegółowych i wiarygodnych informacji dotyczących konkretnego ośrodka docelowego, władze szwajcarskie nie posiadały wystarczających gwarancji, że w przypadku powrotu do Włoch skarżący zostaną objęci opieką w sposób dostosowany do wieku dzieci. Trybunał uznał ponadto, że skarżącym przysługiwał skuteczny środek odwoławczy w odniesieniu do ich skargi na podstawie art. 3 Konwencji. W związku z tym </w:t>
      </w:r>
      <w:r w:rsidRPr="00015012">
        <w:rPr>
          <w:rFonts w:ascii="Verdana" w:eastAsia="Verdana" w:hAnsi="Verdana"/>
          <w:b/>
          <w:bCs/>
          <w:color w:val="0072BC"/>
          <w:lang w:val="pl-PL"/>
        </w:rPr>
        <w:t>Trybunał odrzucił ich skargę na podstawie art. 13</w:t>
      </w:r>
      <w:r w:rsidRPr="00015012">
        <w:rPr>
          <w:rFonts w:ascii="Verdana" w:eastAsia="Verdana" w:hAnsi="Verdana"/>
          <w:color w:val="0072BC"/>
          <w:lang w:val="pl-PL"/>
        </w:rPr>
        <w:t xml:space="preserve"> (prawo do skutecznego środka odwoławczego) </w:t>
      </w:r>
      <w:r w:rsidRPr="00015012">
        <w:rPr>
          <w:rFonts w:ascii="Verdana" w:eastAsia="Verdana" w:hAnsi="Verdana"/>
          <w:b/>
          <w:bCs/>
          <w:color w:val="0072BC"/>
          <w:lang w:val="pl-PL"/>
        </w:rPr>
        <w:t>Konwencji w związku z art. 3</w:t>
      </w:r>
      <w:r w:rsidRPr="00015012">
        <w:rPr>
          <w:rFonts w:ascii="Verdana" w:eastAsia="Verdana" w:hAnsi="Verdana"/>
          <w:color w:val="0072BC"/>
          <w:lang w:val="pl-PL"/>
        </w:rPr>
        <w:t xml:space="preserve"> jako oczywiście bezzasadną.</w:t>
      </w:r>
    </w:p>
    <w:p w14:paraId="64D9557B" w14:textId="77777777" w:rsidR="00015012" w:rsidRPr="00015012" w:rsidRDefault="00015012" w:rsidP="00015012">
      <w:pPr>
        <w:ind w:left="119" w:right="839"/>
        <w:jc w:val="both"/>
        <w:rPr>
          <w:rFonts w:ascii="Verdana" w:eastAsia="Verdana" w:hAnsi="Verdana"/>
          <w:color w:val="0072BC"/>
          <w:lang w:val="pl-PL"/>
        </w:rPr>
      </w:pPr>
    </w:p>
    <w:p w14:paraId="71CD8E2F" w14:textId="7FDFAB79" w:rsidR="00015012" w:rsidRPr="00015012" w:rsidRDefault="00015012" w:rsidP="00015012">
      <w:pPr>
        <w:ind w:left="119" w:right="839"/>
        <w:jc w:val="both"/>
        <w:rPr>
          <w:rFonts w:ascii="Verdana" w:eastAsia="Verdana" w:hAnsi="Verdana"/>
          <w:b/>
          <w:bCs/>
          <w:color w:val="0072BC"/>
          <w:lang w:val="pl-PL"/>
        </w:rPr>
      </w:pPr>
      <w:hyperlink r:id="rId24" w:anchor="{%22itemid%22:[%22003-5006911-6145069%22]}" w:history="1">
        <w:r w:rsidRPr="00015012">
          <w:rPr>
            <w:rStyle w:val="Hipercze"/>
            <w:rFonts w:ascii="Verdana" w:eastAsia="Verdana" w:hAnsi="Verdana"/>
            <w:b/>
            <w:bCs/>
            <w:lang w:val="pl-PL"/>
          </w:rPr>
          <w:t>A.M.E. przeciwko Holandii (nr 51428/10)</w:t>
        </w:r>
      </w:hyperlink>
    </w:p>
    <w:p w14:paraId="75D4A312" w14:textId="77777777" w:rsidR="00015012" w:rsidRPr="00015012" w:rsidRDefault="00015012" w:rsidP="00015012">
      <w:pPr>
        <w:ind w:left="119" w:right="839"/>
        <w:jc w:val="both"/>
        <w:rPr>
          <w:rFonts w:ascii="Verdana" w:eastAsia="Verdana" w:hAnsi="Verdana"/>
          <w:color w:val="0072BC"/>
          <w:lang w:val="pl-PL"/>
        </w:rPr>
      </w:pPr>
      <w:r w:rsidRPr="00015012">
        <w:rPr>
          <w:rFonts w:ascii="Verdana" w:eastAsia="Verdana" w:hAnsi="Verdana"/>
          <w:color w:val="808080" w:themeColor="background1" w:themeShade="80"/>
          <w:sz w:val="18"/>
          <w:szCs w:val="18"/>
          <w:lang w:val="pl-PL"/>
        </w:rPr>
        <w:t>Decyzja w sprawie dopuszczalności z dnia 13 stycznia 2015 r.</w:t>
      </w:r>
    </w:p>
    <w:p w14:paraId="7980EF6F" w14:textId="77777777" w:rsidR="00015012" w:rsidRPr="00015012" w:rsidRDefault="00015012" w:rsidP="00015012">
      <w:pPr>
        <w:ind w:left="119" w:right="839"/>
        <w:jc w:val="both"/>
        <w:rPr>
          <w:rFonts w:ascii="Verdana" w:eastAsia="Verdana" w:hAnsi="Verdana"/>
          <w:lang w:val="pl-PL"/>
        </w:rPr>
      </w:pPr>
      <w:r w:rsidRPr="00015012">
        <w:rPr>
          <w:rFonts w:ascii="Verdana" w:eastAsia="Verdana" w:hAnsi="Verdana"/>
          <w:lang w:val="pl-PL"/>
        </w:rPr>
        <w:t>Skarżący, Somalijczyk ubiegający się o azyl, skarżył się, że jego wydalenie do Włoch narazi go na złe warunki życia i obawiał się, że władze włoskie wydalą go bezpośrednio do Somalii bez odpowiedniego zbadania jego sprawy azylowej.</w:t>
      </w:r>
    </w:p>
    <w:p w14:paraId="492535F5" w14:textId="77777777" w:rsidR="00015012" w:rsidRDefault="00015012" w:rsidP="00015012">
      <w:pPr>
        <w:ind w:left="119" w:right="839"/>
        <w:jc w:val="both"/>
        <w:rPr>
          <w:rFonts w:ascii="Verdana" w:eastAsia="Verdana" w:hAnsi="Verdana"/>
          <w:color w:val="0072BC"/>
          <w:lang w:val="pl-PL"/>
        </w:rPr>
      </w:pPr>
      <w:r w:rsidRPr="00015012">
        <w:rPr>
          <w:rFonts w:ascii="Verdana" w:eastAsia="Verdana" w:hAnsi="Verdana"/>
          <w:color w:val="0072BC"/>
          <w:lang w:val="pl-PL"/>
        </w:rPr>
        <w:t xml:space="preserve">Trybunał </w:t>
      </w:r>
      <w:r w:rsidRPr="00015012">
        <w:rPr>
          <w:rFonts w:ascii="Verdana" w:eastAsia="Verdana" w:hAnsi="Verdana"/>
          <w:b/>
          <w:bCs/>
          <w:color w:val="0072BC"/>
          <w:lang w:val="pl-PL"/>
        </w:rPr>
        <w:t>uznał skargę skarżącego na podstawie Artykułu 3</w:t>
      </w:r>
      <w:r w:rsidRPr="00015012">
        <w:rPr>
          <w:rFonts w:ascii="Verdana" w:eastAsia="Verdana" w:hAnsi="Verdana"/>
          <w:color w:val="0072BC"/>
          <w:lang w:val="pl-PL"/>
        </w:rPr>
        <w:t xml:space="preserve"> (zakaz nieludzkiego lub poniżającego traktowania) Konwencji </w:t>
      </w:r>
      <w:r w:rsidRPr="00015012">
        <w:rPr>
          <w:rFonts w:ascii="Verdana" w:eastAsia="Verdana" w:hAnsi="Verdana"/>
          <w:b/>
          <w:bCs/>
          <w:color w:val="0072BC"/>
          <w:lang w:val="pl-PL"/>
        </w:rPr>
        <w:t>za niedopuszczalną</w:t>
      </w:r>
      <w:r w:rsidRPr="00015012">
        <w:rPr>
          <w:rFonts w:ascii="Verdana" w:eastAsia="Verdana" w:hAnsi="Verdana"/>
          <w:color w:val="0072BC"/>
          <w:lang w:val="pl-PL"/>
        </w:rPr>
        <w:t xml:space="preserve"> (oczywiście bezzasadną), stwierdzając, że skarżący nie wykazał, że jego przyszłe perspektywy, w przypadku powrotu do Włoch, niezależnie od tego, czy rozpatrywane z perspektywy materialnej, fizycznej czy psychologicznej, ujawniły wystarczająco realne i bezpośrednie ryzyko trudności na tyle poważnych, aby wchodziły w zakres Artykułu 3.</w:t>
      </w:r>
      <w:r>
        <w:rPr>
          <w:rFonts w:ascii="Verdana" w:eastAsia="Verdana" w:hAnsi="Verdana"/>
          <w:color w:val="0072BC"/>
          <w:lang w:val="pl-PL"/>
        </w:rPr>
        <w:t xml:space="preserve"> </w:t>
      </w:r>
      <w:r w:rsidRPr="00015012">
        <w:rPr>
          <w:rFonts w:ascii="Verdana" w:eastAsia="Verdana" w:hAnsi="Verdana"/>
          <w:color w:val="0072BC"/>
          <w:lang w:val="pl-PL"/>
        </w:rPr>
        <w:t xml:space="preserve">Trybunał zauważył w szczególności, że w przeciwieństwie do skarżących w sprawie </w:t>
      </w:r>
      <w:proofErr w:type="spellStart"/>
      <w:r w:rsidRPr="00015012">
        <w:rPr>
          <w:rFonts w:ascii="Verdana" w:eastAsia="Verdana" w:hAnsi="Verdana"/>
          <w:i/>
          <w:iCs/>
          <w:color w:val="0072BC"/>
          <w:lang w:val="pl-PL"/>
        </w:rPr>
        <w:t>Tarakhel</w:t>
      </w:r>
      <w:proofErr w:type="spellEnd"/>
      <w:r w:rsidRPr="00015012">
        <w:rPr>
          <w:rFonts w:ascii="Verdana" w:eastAsia="Verdana" w:hAnsi="Verdana"/>
          <w:i/>
          <w:iCs/>
          <w:color w:val="0072BC"/>
          <w:lang w:val="pl-PL"/>
        </w:rPr>
        <w:t xml:space="preserve"> przeciwko Szwajcarii (zob. powyżej)</w:t>
      </w:r>
      <w:r w:rsidRPr="00015012">
        <w:rPr>
          <w:rFonts w:ascii="Verdana" w:eastAsia="Verdana" w:hAnsi="Verdana"/>
          <w:color w:val="0072BC"/>
          <w:lang w:val="pl-PL"/>
        </w:rPr>
        <w:t>, którzy byli rodziną z sześciorgiem małoletnich dzieci, skarżący był zdolnym młodym mężczyzną bez osób na utrzymaniu, a obecna sytuacja osób ubiegających się o azyl we Włoszech nie może być w żaden sposób porównywana z sytuacją w Grecji w czasie wydania wyroku w sprawie M.S.S. przeciwko Belgii i Grecji (zob. powyżej). Struktura i ogólna sytuacja w zakresie przyjmowania osób ubiegających się o azyl we Włoszech nie może zatem sama w sobie stanowić przeszkody dla wszystkich wydaleń osób ubiegających się o azyl do tego kraju.</w:t>
      </w:r>
    </w:p>
    <w:p w14:paraId="7ADB87CB" w14:textId="6BA7684A" w:rsidR="00015012" w:rsidRPr="00B1155D" w:rsidRDefault="00B1155D" w:rsidP="00015012">
      <w:pPr>
        <w:ind w:left="119" w:right="839"/>
        <w:jc w:val="both"/>
        <w:rPr>
          <w:rStyle w:val="Hipercze"/>
          <w:rFonts w:ascii="Verdana" w:eastAsia="Verdana" w:hAnsi="Verdana"/>
          <w:b/>
          <w:bCs/>
          <w:lang w:val="pl-PL"/>
        </w:rPr>
      </w:pPr>
      <w:r>
        <w:rPr>
          <w:rFonts w:ascii="Verdana" w:eastAsia="Verdana" w:hAnsi="Verdana"/>
          <w:b/>
          <w:bCs/>
          <w:color w:val="0072BC"/>
          <w:lang w:val="pl-PL"/>
        </w:rPr>
        <w:fldChar w:fldCharType="begin"/>
      </w:r>
      <w:r>
        <w:rPr>
          <w:rFonts w:ascii="Verdana" w:eastAsia="Verdana" w:hAnsi="Verdana"/>
          <w:b/>
          <w:bCs/>
          <w:color w:val="0072BC"/>
          <w:lang w:val="pl-PL"/>
        </w:rPr>
        <w:instrText>HYPERLINK "https://hudoc.echr.coe.int/eng" \l "{%22itemid%22:[%22002-13224%22]}"</w:instrText>
      </w:r>
      <w:r>
        <w:rPr>
          <w:rFonts w:ascii="Verdana" w:eastAsia="Verdana" w:hAnsi="Verdana"/>
          <w:b/>
          <w:bCs/>
          <w:color w:val="0072BC"/>
          <w:lang w:val="pl-PL"/>
        </w:rPr>
      </w:r>
      <w:r>
        <w:rPr>
          <w:rFonts w:ascii="Verdana" w:eastAsia="Verdana" w:hAnsi="Verdana"/>
          <w:b/>
          <w:bCs/>
          <w:color w:val="0072BC"/>
          <w:lang w:val="pl-PL"/>
        </w:rPr>
        <w:fldChar w:fldCharType="separate"/>
      </w:r>
    </w:p>
    <w:p w14:paraId="3393CD20" w14:textId="1F7C5475" w:rsidR="00015012" w:rsidRPr="00B1155D" w:rsidRDefault="00015012" w:rsidP="00015012">
      <w:pPr>
        <w:ind w:left="119" w:right="839"/>
        <w:jc w:val="both"/>
        <w:rPr>
          <w:rFonts w:ascii="Verdana" w:eastAsia="Verdana" w:hAnsi="Verdana"/>
          <w:b/>
          <w:bCs/>
          <w:color w:val="0072BC"/>
          <w:lang w:val="pl-PL"/>
        </w:rPr>
      </w:pPr>
      <w:r w:rsidRPr="00B1155D">
        <w:rPr>
          <w:rStyle w:val="Hipercze"/>
          <w:rFonts w:ascii="Verdana" w:eastAsia="Verdana" w:hAnsi="Verdana"/>
          <w:b/>
          <w:bCs/>
          <w:lang w:val="pl-PL"/>
        </w:rPr>
        <w:t xml:space="preserve">M.T. przeciwko </w:t>
      </w:r>
      <w:r w:rsidR="00B1155D" w:rsidRPr="00B1155D">
        <w:rPr>
          <w:rStyle w:val="Hipercze"/>
          <w:rFonts w:ascii="Verdana" w:eastAsia="Verdana" w:hAnsi="Verdana"/>
          <w:b/>
          <w:bCs/>
          <w:lang w:val="pl-PL"/>
        </w:rPr>
        <w:t>Holandii</w:t>
      </w:r>
      <w:r w:rsidRPr="00B1155D">
        <w:rPr>
          <w:rStyle w:val="Hipercze"/>
          <w:rFonts w:ascii="Verdana" w:eastAsia="Verdana" w:hAnsi="Verdana"/>
          <w:b/>
          <w:bCs/>
          <w:lang w:val="pl-PL"/>
        </w:rPr>
        <w:t xml:space="preserve"> (nr 46595/19)</w:t>
      </w:r>
      <w:r w:rsidR="00B1155D">
        <w:rPr>
          <w:rFonts w:ascii="Verdana" w:eastAsia="Verdana" w:hAnsi="Verdana"/>
          <w:b/>
          <w:bCs/>
          <w:color w:val="0072BC"/>
          <w:lang w:val="pl-PL"/>
        </w:rPr>
        <w:fldChar w:fldCharType="end"/>
      </w:r>
    </w:p>
    <w:p w14:paraId="61FE9564" w14:textId="77777777" w:rsidR="00B1155D" w:rsidRPr="00B1155D" w:rsidRDefault="00B1155D" w:rsidP="00015012">
      <w:pPr>
        <w:ind w:left="119" w:right="839"/>
        <w:jc w:val="both"/>
        <w:rPr>
          <w:rFonts w:ascii="Verdana" w:eastAsia="Verdana" w:hAnsi="Verdana"/>
          <w:color w:val="808080" w:themeColor="background1" w:themeShade="80"/>
          <w:sz w:val="18"/>
          <w:szCs w:val="18"/>
          <w:lang w:val="pl-PL"/>
        </w:rPr>
      </w:pPr>
      <w:r w:rsidRPr="00B1155D">
        <w:rPr>
          <w:rFonts w:ascii="Verdana" w:eastAsia="Verdana" w:hAnsi="Verdana"/>
          <w:color w:val="808080" w:themeColor="background1" w:themeShade="80"/>
          <w:sz w:val="18"/>
          <w:szCs w:val="18"/>
          <w:lang w:val="pl-PL"/>
        </w:rPr>
        <w:t xml:space="preserve">Decyzja w sprawie dopuszczalności z dnia 23 marca 2021 r. </w:t>
      </w:r>
    </w:p>
    <w:p w14:paraId="1FF82B57" w14:textId="77777777" w:rsidR="00B1155D" w:rsidRPr="00B1155D" w:rsidRDefault="00015012" w:rsidP="00B1155D">
      <w:pPr>
        <w:ind w:left="119" w:right="839"/>
        <w:jc w:val="both"/>
        <w:rPr>
          <w:rFonts w:ascii="Verdana" w:eastAsia="Verdana" w:hAnsi="Verdana"/>
          <w:lang w:val="pl-PL"/>
        </w:rPr>
      </w:pPr>
      <w:r w:rsidRPr="00B1155D">
        <w:rPr>
          <w:rFonts w:ascii="Verdana" w:eastAsia="Verdana" w:hAnsi="Verdana"/>
          <w:lang w:val="pl-PL"/>
        </w:rPr>
        <w:t xml:space="preserve">Sprawa dotyczyła przekazania do Włoch Erytrejki ubiegającej się o azyl i jej dwóch małoletnich córek na podstawie rozporządzenia Dublin III. Skarżąca zarzuciła, że przekazanie rodziny na podstawie rozporządzenia Dublin III, </w:t>
      </w:r>
      <w:r w:rsidR="00B1155D" w:rsidRPr="00B1155D">
        <w:rPr>
          <w:rFonts w:ascii="Verdana" w:eastAsia="Verdana" w:hAnsi="Verdana"/>
          <w:lang w:val="pl-PL"/>
        </w:rPr>
        <w:t xml:space="preserve">bez indywidualnych </w:t>
      </w:r>
      <w:r w:rsidR="00B1155D" w:rsidRPr="00B1155D">
        <w:rPr>
          <w:rFonts w:ascii="Verdana" w:eastAsia="Verdana" w:hAnsi="Verdana"/>
          <w:lang w:val="pl-PL"/>
        </w:rPr>
        <w:lastRenderedPageBreak/>
        <w:t>gwarancji ze strony władz włoskich dotyczących odpowiednich warunków przyjmowania i dostępu do opieki medycznej, stanowi naruszenie art. 3 (zakaz nieludzkiego lub poniżającego traktowania) Konwencji.</w:t>
      </w:r>
    </w:p>
    <w:p w14:paraId="483E483B" w14:textId="0EA36CDE" w:rsidR="00015012" w:rsidRPr="00015012" w:rsidRDefault="00B1155D" w:rsidP="00B1155D">
      <w:pPr>
        <w:ind w:left="119" w:right="839"/>
        <w:jc w:val="both"/>
        <w:rPr>
          <w:rFonts w:ascii="Verdana" w:eastAsia="Verdana" w:hAnsi="Verdana"/>
          <w:color w:val="0072BC"/>
          <w:lang w:val="pl-PL"/>
        </w:rPr>
      </w:pPr>
      <w:r w:rsidRPr="00B1155D">
        <w:rPr>
          <w:rFonts w:ascii="Verdana" w:eastAsia="Verdana" w:hAnsi="Verdana"/>
          <w:color w:val="0072BC"/>
          <w:lang w:val="pl-PL"/>
        </w:rPr>
        <w:t xml:space="preserve">Trybunał </w:t>
      </w:r>
      <w:r w:rsidRPr="00B1155D">
        <w:rPr>
          <w:rFonts w:ascii="Verdana" w:eastAsia="Verdana" w:hAnsi="Verdana"/>
          <w:b/>
          <w:bCs/>
          <w:color w:val="0072BC"/>
          <w:lang w:val="pl-PL"/>
        </w:rPr>
        <w:t>uznał skargę za niedopuszczalną</w:t>
      </w:r>
      <w:r w:rsidRPr="00B1155D">
        <w:rPr>
          <w:rFonts w:ascii="Verdana" w:eastAsia="Verdana" w:hAnsi="Verdana"/>
          <w:color w:val="0072BC"/>
          <w:lang w:val="pl-PL"/>
        </w:rPr>
        <w:t xml:space="preserve"> jako oczywiście bezzasadną, stwierdzając, że skarżąca nie wykazała, że jej przyszłe perspektywy, w przypadku przeniesienia do Włoch wraz z dziećmi, niezależnie od tego, czy rozpatrywane z perspektywy materialnej, fizycznej czy psychologicznej, ujawniły wystarczająco realne i bezpośrednie ryzyko trudności, które byłyby na tyle poważne, aby wchodzić w zakres Artykułu 3 (zakaz nieludzkiego lub poniżającego traktowania) Konwencji.</w:t>
      </w:r>
    </w:p>
    <w:p w14:paraId="1865D262" w14:textId="77777777" w:rsidR="00015012" w:rsidRDefault="00015012" w:rsidP="00015012">
      <w:pPr>
        <w:ind w:left="119" w:right="839"/>
        <w:jc w:val="both"/>
        <w:rPr>
          <w:rFonts w:ascii="Verdana" w:eastAsia="Verdana" w:hAnsi="Verdana"/>
          <w:color w:val="0072BC"/>
          <w:lang w:val="pl-PL"/>
        </w:rPr>
      </w:pPr>
    </w:p>
    <w:p w14:paraId="3AE447E5" w14:textId="77777777" w:rsidR="00B1155D" w:rsidRPr="00B1155D" w:rsidRDefault="00B1155D" w:rsidP="00B1155D">
      <w:pPr>
        <w:ind w:left="119" w:right="839"/>
        <w:jc w:val="both"/>
        <w:rPr>
          <w:rFonts w:ascii="Verdana" w:eastAsia="Verdana" w:hAnsi="Verdana"/>
          <w:color w:val="0072BC"/>
          <w:lang w:val="pl-PL"/>
        </w:rPr>
      </w:pPr>
      <w:r w:rsidRPr="00BC6F92">
        <w:rPr>
          <w:rFonts w:ascii="Verdana" w:eastAsia="Verdana" w:hAnsi="Verdana"/>
          <w:color w:val="808080" w:themeColor="background1" w:themeShade="80"/>
          <w:sz w:val="28"/>
          <w:szCs w:val="28"/>
          <w:lang w:val="pl-PL"/>
        </w:rPr>
        <w:t>Kryteria dopuszczalności (art. 35 Konwencji)</w:t>
      </w:r>
    </w:p>
    <w:p w14:paraId="21CF71C6" w14:textId="77777777" w:rsidR="00BC6F92" w:rsidRDefault="00BC6F92" w:rsidP="00B1155D">
      <w:pPr>
        <w:ind w:left="119" w:right="839"/>
        <w:jc w:val="both"/>
        <w:rPr>
          <w:rFonts w:ascii="Verdana" w:eastAsia="Verdana" w:hAnsi="Verdana"/>
          <w:color w:val="0072BC"/>
          <w:lang w:val="pl-PL"/>
        </w:rPr>
      </w:pPr>
    </w:p>
    <w:p w14:paraId="62A6DFB3" w14:textId="0C728E72" w:rsidR="00B1155D" w:rsidRPr="00BC6F92" w:rsidRDefault="00B1155D" w:rsidP="00B1155D">
      <w:pPr>
        <w:ind w:left="119" w:right="839"/>
        <w:jc w:val="both"/>
        <w:rPr>
          <w:rFonts w:ascii="Verdana" w:eastAsia="Verdana" w:hAnsi="Verdana"/>
          <w:b/>
          <w:bCs/>
          <w:color w:val="0072BC"/>
          <w:lang w:val="pl-PL"/>
        </w:rPr>
      </w:pPr>
      <w:proofErr w:type="spellStart"/>
      <w:r w:rsidRPr="00BC6F92">
        <w:rPr>
          <w:rFonts w:ascii="Verdana" w:eastAsia="Verdana" w:hAnsi="Verdana"/>
          <w:b/>
          <w:bCs/>
          <w:color w:val="3B3838" w:themeColor="background2" w:themeShade="40"/>
          <w:lang w:val="pl-PL"/>
        </w:rPr>
        <w:t>Litispendencja</w:t>
      </w:r>
      <w:proofErr w:type="spellEnd"/>
    </w:p>
    <w:p w14:paraId="7BB21FC4" w14:textId="77777777" w:rsidR="00BC6F92" w:rsidRPr="00B1155D" w:rsidRDefault="00BC6F92" w:rsidP="00B1155D">
      <w:pPr>
        <w:ind w:left="119" w:right="839"/>
        <w:jc w:val="both"/>
        <w:rPr>
          <w:rFonts w:ascii="Verdana" w:eastAsia="Verdana" w:hAnsi="Verdana"/>
          <w:color w:val="0072BC"/>
          <w:lang w:val="pl-PL"/>
        </w:rPr>
      </w:pPr>
    </w:p>
    <w:p w14:paraId="36E0C91E" w14:textId="37AB94C9" w:rsidR="00B1155D" w:rsidRPr="00BC6F92" w:rsidRDefault="00BC6F92" w:rsidP="00B1155D">
      <w:pPr>
        <w:ind w:left="119" w:right="839"/>
        <w:jc w:val="both"/>
        <w:rPr>
          <w:rFonts w:ascii="Verdana" w:eastAsia="Verdana" w:hAnsi="Verdana"/>
          <w:b/>
          <w:bCs/>
          <w:color w:val="0072BC"/>
          <w:lang w:val="pl-PL"/>
        </w:rPr>
      </w:pPr>
      <w:hyperlink r:id="rId25" w:anchor="{%22itemid%22:[%22003-3420924-3842017%22]}" w:history="1">
        <w:proofErr w:type="spellStart"/>
        <w:r w:rsidR="00B1155D" w:rsidRPr="00BC6F92">
          <w:rPr>
            <w:rStyle w:val="Hipercze"/>
            <w:rFonts w:ascii="Verdana" w:eastAsia="Verdana" w:hAnsi="Verdana"/>
            <w:b/>
            <w:bCs/>
            <w:lang w:val="pl-PL"/>
          </w:rPr>
          <w:t>Karoussiotis</w:t>
        </w:r>
        <w:proofErr w:type="spellEnd"/>
        <w:r w:rsidR="00B1155D" w:rsidRPr="00BC6F92">
          <w:rPr>
            <w:rStyle w:val="Hipercze"/>
            <w:rFonts w:ascii="Verdana" w:eastAsia="Verdana" w:hAnsi="Verdana"/>
            <w:b/>
            <w:bCs/>
            <w:lang w:val="pl-PL"/>
          </w:rPr>
          <w:t xml:space="preserve"> przeciwko Portugalii</w:t>
        </w:r>
      </w:hyperlink>
    </w:p>
    <w:p w14:paraId="68905DBC" w14:textId="77777777" w:rsidR="00B1155D" w:rsidRPr="00BC6F92" w:rsidRDefault="00B1155D" w:rsidP="00B1155D">
      <w:pPr>
        <w:ind w:left="119" w:right="839"/>
        <w:jc w:val="both"/>
        <w:rPr>
          <w:rFonts w:ascii="Verdana" w:eastAsia="Verdana" w:hAnsi="Verdana"/>
          <w:color w:val="808080" w:themeColor="background1" w:themeShade="80"/>
          <w:sz w:val="18"/>
          <w:szCs w:val="18"/>
          <w:lang w:val="pl-PL"/>
        </w:rPr>
      </w:pPr>
      <w:r w:rsidRPr="00BC6F92">
        <w:rPr>
          <w:rFonts w:ascii="Verdana" w:eastAsia="Verdana" w:hAnsi="Verdana"/>
          <w:color w:val="808080" w:themeColor="background1" w:themeShade="80"/>
          <w:sz w:val="18"/>
          <w:szCs w:val="18"/>
          <w:lang w:val="pl-PL"/>
        </w:rPr>
        <w:t>Wyrok z dnia 1 lutego 2011 r.</w:t>
      </w:r>
    </w:p>
    <w:p w14:paraId="0568ED56" w14:textId="77777777" w:rsidR="00B1155D" w:rsidRPr="00BC6F92" w:rsidRDefault="00B1155D" w:rsidP="00B1155D">
      <w:pPr>
        <w:ind w:left="119" w:right="839"/>
        <w:jc w:val="both"/>
        <w:rPr>
          <w:rFonts w:ascii="Verdana" w:eastAsia="Verdana" w:hAnsi="Verdana"/>
          <w:lang w:val="pl-PL"/>
        </w:rPr>
      </w:pPr>
      <w:r w:rsidRPr="00BC6F92">
        <w:rPr>
          <w:rFonts w:ascii="Verdana" w:eastAsia="Verdana" w:hAnsi="Verdana"/>
          <w:lang w:val="pl-PL"/>
        </w:rPr>
        <w:t>Sprawa ta podniosła między innymi nową kwestię prawną dotyczącą dopuszczalności: czy fakt, że „postępowanie w sprawie uchybienia zobowiązaniom państwa członkowskiego” przeciwko pozwanemu państwu zostało wcześniej wszczęte przed Komisją Europejską, czyni skargę do Europejskiego Trybunału Praw Człowieka niedopuszczalną, ponieważ „została ona już poddana innej procedurze międzynarodowego dochodzenia lub rozstrzygnięcia”?</w:t>
      </w:r>
    </w:p>
    <w:p w14:paraId="2565AF45" w14:textId="77777777" w:rsidR="00B1155D" w:rsidRPr="00B1155D" w:rsidRDefault="00B1155D" w:rsidP="00B1155D">
      <w:pPr>
        <w:ind w:left="119" w:right="839"/>
        <w:jc w:val="both"/>
        <w:rPr>
          <w:rFonts w:ascii="Verdana" w:eastAsia="Verdana" w:hAnsi="Verdana"/>
          <w:color w:val="0072BC"/>
          <w:lang w:val="pl-PL"/>
        </w:rPr>
      </w:pPr>
      <w:r w:rsidRPr="00B1155D">
        <w:rPr>
          <w:rFonts w:ascii="Verdana" w:eastAsia="Verdana" w:hAnsi="Verdana"/>
          <w:color w:val="0072BC"/>
          <w:lang w:val="pl-PL"/>
        </w:rPr>
        <w:t xml:space="preserve">W swoim wyroku Trybunał udzielił odpowiedzi przeczącej i </w:t>
      </w:r>
      <w:r w:rsidRPr="00BC6F92">
        <w:rPr>
          <w:rFonts w:ascii="Verdana" w:eastAsia="Verdana" w:hAnsi="Verdana"/>
          <w:b/>
          <w:bCs/>
          <w:color w:val="0072BC"/>
          <w:lang w:val="pl-PL"/>
        </w:rPr>
        <w:t>uznał skargę za dopuszczalną</w:t>
      </w:r>
      <w:r w:rsidRPr="00B1155D">
        <w:rPr>
          <w:rFonts w:ascii="Verdana" w:eastAsia="Verdana" w:hAnsi="Verdana"/>
          <w:color w:val="0072BC"/>
          <w:lang w:val="pl-PL"/>
        </w:rPr>
        <w:t>. Nie stwierdził jednak żadnego naruszenia co do meritum skargi.</w:t>
      </w:r>
    </w:p>
    <w:p w14:paraId="1F696984" w14:textId="77777777" w:rsidR="00BC6F92" w:rsidRPr="00BC6F92" w:rsidRDefault="00BC6F92" w:rsidP="00B1155D">
      <w:pPr>
        <w:ind w:left="119" w:right="839"/>
        <w:jc w:val="both"/>
        <w:rPr>
          <w:rFonts w:ascii="Verdana" w:eastAsia="Verdana" w:hAnsi="Verdana"/>
          <w:color w:val="808080" w:themeColor="background1" w:themeShade="80"/>
          <w:sz w:val="28"/>
          <w:szCs w:val="28"/>
          <w:lang w:val="pl-PL"/>
        </w:rPr>
      </w:pPr>
    </w:p>
    <w:p w14:paraId="4901B84B" w14:textId="178D3650" w:rsidR="00B1155D" w:rsidRPr="00BC6F92" w:rsidRDefault="00B1155D" w:rsidP="00B1155D">
      <w:pPr>
        <w:ind w:left="119" w:right="839"/>
        <w:jc w:val="both"/>
        <w:rPr>
          <w:rFonts w:ascii="Verdana" w:eastAsia="Verdana" w:hAnsi="Verdana"/>
          <w:color w:val="808080" w:themeColor="background1" w:themeShade="80"/>
          <w:sz w:val="28"/>
          <w:szCs w:val="28"/>
          <w:lang w:val="pl-PL"/>
        </w:rPr>
      </w:pPr>
      <w:r w:rsidRPr="00BC6F92">
        <w:rPr>
          <w:rFonts w:ascii="Verdana" w:eastAsia="Verdana" w:hAnsi="Verdana"/>
          <w:color w:val="808080" w:themeColor="background1" w:themeShade="80"/>
          <w:sz w:val="28"/>
          <w:szCs w:val="28"/>
          <w:lang w:val="pl-PL"/>
        </w:rPr>
        <w:t>Niewyczerpanie krajowych środków odwoławczych</w:t>
      </w:r>
    </w:p>
    <w:p w14:paraId="0FFA7CAA" w14:textId="77777777" w:rsidR="00BC6F92" w:rsidRPr="00B1155D" w:rsidRDefault="00BC6F92" w:rsidP="00B1155D">
      <w:pPr>
        <w:ind w:left="119" w:right="839"/>
        <w:jc w:val="both"/>
        <w:rPr>
          <w:rFonts w:ascii="Verdana" w:eastAsia="Verdana" w:hAnsi="Verdana"/>
          <w:color w:val="0072BC"/>
          <w:lang w:val="pl-PL"/>
        </w:rPr>
      </w:pPr>
    </w:p>
    <w:p w14:paraId="6207E0FF" w14:textId="7AB79B92" w:rsidR="00B1155D" w:rsidRPr="00BC6F92" w:rsidRDefault="00BC6F92" w:rsidP="00B1155D">
      <w:pPr>
        <w:ind w:left="119" w:right="839"/>
        <w:jc w:val="both"/>
        <w:rPr>
          <w:rFonts w:ascii="Verdana" w:eastAsia="Verdana" w:hAnsi="Verdana"/>
          <w:b/>
          <w:bCs/>
          <w:color w:val="0072BC"/>
          <w:lang w:val="pl-PL"/>
        </w:rPr>
      </w:pPr>
      <w:hyperlink r:id="rId26" w:anchor="{%22itemid%22:[%22003-5186731-6419071%22]}" w:history="1">
        <w:proofErr w:type="spellStart"/>
        <w:r w:rsidR="00B1155D" w:rsidRPr="00BC6F92">
          <w:rPr>
            <w:rStyle w:val="Hipercze"/>
            <w:rFonts w:ascii="Verdana" w:eastAsia="Verdana" w:hAnsi="Verdana"/>
            <w:b/>
            <w:bCs/>
            <w:lang w:val="pl-PL"/>
          </w:rPr>
          <w:t>Laurus</w:t>
        </w:r>
        <w:proofErr w:type="spellEnd"/>
        <w:r w:rsidR="00B1155D" w:rsidRPr="00BC6F92">
          <w:rPr>
            <w:rStyle w:val="Hipercze"/>
            <w:rFonts w:ascii="Verdana" w:eastAsia="Verdana" w:hAnsi="Verdana"/>
            <w:b/>
            <w:bCs/>
            <w:lang w:val="pl-PL"/>
          </w:rPr>
          <w:t xml:space="preserve"> Invest </w:t>
        </w:r>
        <w:proofErr w:type="spellStart"/>
        <w:r w:rsidR="00B1155D" w:rsidRPr="00BC6F92">
          <w:rPr>
            <w:rStyle w:val="Hipercze"/>
            <w:rFonts w:ascii="Verdana" w:eastAsia="Verdana" w:hAnsi="Verdana"/>
            <w:b/>
            <w:bCs/>
            <w:lang w:val="pl-PL"/>
          </w:rPr>
          <w:t>Hungary</w:t>
        </w:r>
        <w:proofErr w:type="spellEnd"/>
        <w:r w:rsidR="00B1155D" w:rsidRPr="00BC6F92">
          <w:rPr>
            <w:rStyle w:val="Hipercze"/>
            <w:rFonts w:ascii="Verdana" w:eastAsia="Verdana" w:hAnsi="Verdana"/>
            <w:b/>
            <w:bCs/>
            <w:lang w:val="pl-PL"/>
          </w:rPr>
          <w:t xml:space="preserve"> </w:t>
        </w:r>
        <w:proofErr w:type="spellStart"/>
        <w:r w:rsidR="00B1155D" w:rsidRPr="00BC6F92">
          <w:rPr>
            <w:rStyle w:val="Hipercze"/>
            <w:rFonts w:ascii="Verdana" w:eastAsia="Verdana" w:hAnsi="Verdana"/>
            <w:b/>
            <w:bCs/>
            <w:lang w:val="pl-PL"/>
          </w:rPr>
          <w:t>Kft</w:t>
        </w:r>
        <w:proofErr w:type="spellEnd"/>
        <w:r w:rsidR="00B1155D" w:rsidRPr="00BC6F92">
          <w:rPr>
            <w:rStyle w:val="Hipercze"/>
            <w:rFonts w:ascii="Verdana" w:eastAsia="Verdana" w:hAnsi="Verdana"/>
            <w:b/>
            <w:bCs/>
            <w:lang w:val="pl-PL"/>
          </w:rPr>
          <w:t xml:space="preserve"> i Continental Holding Corporation i inni przeciwko Węgrom</w:t>
        </w:r>
      </w:hyperlink>
    </w:p>
    <w:p w14:paraId="634F88FA" w14:textId="77777777" w:rsidR="00B1155D" w:rsidRPr="00BC6F92" w:rsidRDefault="00B1155D" w:rsidP="00B1155D">
      <w:pPr>
        <w:ind w:left="119" w:right="839"/>
        <w:jc w:val="both"/>
        <w:rPr>
          <w:rFonts w:ascii="Verdana" w:eastAsia="Verdana" w:hAnsi="Verdana"/>
          <w:color w:val="808080" w:themeColor="background1" w:themeShade="80"/>
          <w:lang w:val="pl-PL"/>
        </w:rPr>
      </w:pPr>
      <w:r w:rsidRPr="00BC6F92">
        <w:rPr>
          <w:rFonts w:ascii="Verdana" w:eastAsia="Verdana" w:hAnsi="Verdana"/>
          <w:color w:val="808080" w:themeColor="background1" w:themeShade="80"/>
          <w:lang w:val="pl-PL"/>
        </w:rPr>
        <w:t>Decyzja o dopuszczalności z dnia 8 września 2015 r.</w:t>
      </w:r>
    </w:p>
    <w:p w14:paraId="19A938E6" w14:textId="7D46BFB3" w:rsidR="00B1155D" w:rsidRPr="00BC6F92" w:rsidRDefault="00B1155D" w:rsidP="00B1155D">
      <w:pPr>
        <w:ind w:left="119" w:right="839"/>
        <w:jc w:val="both"/>
        <w:rPr>
          <w:rFonts w:ascii="Verdana" w:eastAsia="Verdana" w:hAnsi="Verdana"/>
          <w:lang w:val="pl-PL"/>
        </w:rPr>
      </w:pPr>
      <w:r w:rsidRPr="00BC6F92">
        <w:rPr>
          <w:rFonts w:ascii="Verdana" w:eastAsia="Verdana" w:hAnsi="Verdana"/>
          <w:lang w:val="pl-PL"/>
        </w:rPr>
        <w:t>Sprawa ta dotyczyła odebrania licencji spółkom zaangażowanym w rozwój i prowadzenie salonów gier rozrywkowych i innych salonów gier na Węgrzech w następstwie zmian legislacyjnych. Spółki skarżyły się, powołując się w szczególności na Artykuł 1 (ochrona własności) Protokołu nr 1 do Konwencji, że odebranie im licencji stanowiło nieuzasadnioną ingerencję w ich prawa oraz że brak jakichkolwiek prawnych możliwości zakwestionowania tego środka spowodował dalsze naruszenie Konwencji.</w:t>
      </w:r>
    </w:p>
    <w:p w14:paraId="08F48001" w14:textId="00ECA213" w:rsidR="00DF334D" w:rsidRDefault="00BC6F92" w:rsidP="00A70EAD">
      <w:pPr>
        <w:ind w:left="119" w:right="839"/>
        <w:jc w:val="both"/>
        <w:rPr>
          <w:rFonts w:ascii="Verdana" w:eastAsia="Verdana" w:hAnsi="Verdana"/>
          <w:color w:val="0072BC"/>
          <w:lang w:val="pl-PL"/>
        </w:rPr>
      </w:pPr>
      <w:r w:rsidRPr="00BC6F92">
        <w:rPr>
          <w:rFonts w:ascii="Verdana" w:eastAsia="Verdana" w:hAnsi="Verdana"/>
          <w:color w:val="0072BC"/>
          <w:lang w:val="pl-PL"/>
        </w:rPr>
        <w:t xml:space="preserve">Trybunał </w:t>
      </w:r>
      <w:r w:rsidRPr="00A70EAD">
        <w:rPr>
          <w:rFonts w:ascii="Verdana" w:eastAsia="Verdana" w:hAnsi="Verdana"/>
          <w:b/>
          <w:bCs/>
          <w:color w:val="0072BC"/>
          <w:lang w:val="pl-PL"/>
        </w:rPr>
        <w:t>uznał skargę za niedopuszczalną</w:t>
      </w:r>
      <w:r w:rsidRPr="00BC6F92">
        <w:rPr>
          <w:rFonts w:ascii="Verdana" w:eastAsia="Verdana" w:hAnsi="Verdana"/>
          <w:color w:val="0072BC"/>
          <w:lang w:val="pl-PL"/>
        </w:rPr>
        <w:t>, stwierdzając, że skarżący nie wyczerpali środków odwoławczych na poziomie krajowym. Trybunał zauważył w szczególności, że niektóre ze skarżących spółek wniosły powództwo o odszkodowanie przeciwko państwu - domagając się odszkodowania za straty poniesione w związku z przedmiotowym ustawodawstwem, rzekomo naruszającym prawo UE - które było w toku. Sąd Najwyższy w Budapeszcie rzeczywiście dostrzegł potencjalną kwestię na mocy odpowiedniego prawa UE i zwrócił się do Trybunału Sprawiedliwości Unii Europejskiej (TSUE) z wnioskiem o wydanie orzeczenia w trybie prejudycjalnym. Orzeczenie TSUE w sprawie skarżących dostarczyło węgierskim sądom wskazówek co do kryteriów, które należy zastosować w toczącej się przed nimi sprawie, zgodnie z którymi uzasadnienia zarzucanych ograniczeń należy również interpretować w świetle ogólnych zasad prawa UE, a w szczególności praw podstawowych gwarantowanych przez Kartę praw podstawowych UE, w tym art. 17 (prawo własności). Wynikało z tego, że spór toczący się przed sądem krajowym powinien być w stanie objąć skargi skarżących na podstawie art. 1 Protokołu nr 1. Trybunał uznał zatem, że tocząca się sprawa przed sądami krajowymi dawała skarżącym rozsądną perspektywę na pomyślne rozpatrzenie ich roszczeń co do meritum i potencjalne otrzymanie odszkodowania.</w:t>
      </w:r>
      <w:r w:rsidR="00A70EAD">
        <w:rPr>
          <w:rFonts w:ascii="Verdana" w:eastAsia="Verdana" w:hAnsi="Verdana"/>
          <w:color w:val="0072BC"/>
          <w:lang w:val="pl-PL"/>
        </w:rPr>
        <w:t xml:space="preserve"> </w:t>
      </w:r>
      <w:r w:rsidR="00A70EAD" w:rsidRPr="00A70EAD">
        <w:rPr>
          <w:rFonts w:ascii="Verdana" w:eastAsia="Verdana" w:hAnsi="Verdana"/>
          <w:color w:val="0072BC"/>
          <w:lang w:val="pl-PL"/>
        </w:rPr>
        <w:t>Jeśli chodzi o pozostałych skarżących, Trybunał uznał, że mieli oni również możliwość złożenia podobnego wniosku.</w:t>
      </w:r>
    </w:p>
    <w:p w14:paraId="5F7296B3" w14:textId="77777777" w:rsidR="00DF334D" w:rsidRDefault="00DF334D" w:rsidP="005715B6">
      <w:pPr>
        <w:ind w:left="119" w:right="839"/>
        <w:jc w:val="both"/>
        <w:rPr>
          <w:rFonts w:ascii="Verdana" w:eastAsia="Verdana" w:hAnsi="Verdana"/>
          <w:color w:val="0072BC"/>
          <w:lang w:val="pl-PL"/>
        </w:rPr>
      </w:pPr>
    </w:p>
    <w:p w14:paraId="00DF9790" w14:textId="77777777" w:rsidR="00A70EAD" w:rsidRPr="00A70EAD" w:rsidRDefault="00A70EAD" w:rsidP="00A70EAD">
      <w:pPr>
        <w:ind w:left="119" w:right="839"/>
        <w:jc w:val="both"/>
        <w:rPr>
          <w:rFonts w:ascii="Verdana" w:eastAsia="Verdana" w:hAnsi="Verdana"/>
          <w:color w:val="0072BC"/>
          <w:sz w:val="28"/>
          <w:szCs w:val="28"/>
          <w:lang w:val="pl-PL"/>
        </w:rPr>
      </w:pPr>
      <w:r w:rsidRPr="00A70EAD">
        <w:rPr>
          <w:rFonts w:ascii="Verdana" w:eastAsia="Verdana" w:hAnsi="Verdana"/>
          <w:color w:val="808080" w:themeColor="background1" w:themeShade="80"/>
          <w:sz w:val="28"/>
          <w:szCs w:val="28"/>
          <w:lang w:val="pl-PL"/>
        </w:rPr>
        <w:t>Orzeczenie w trybie prejudycjalnym</w:t>
      </w:r>
    </w:p>
    <w:p w14:paraId="5E4FB786" w14:textId="77777777" w:rsidR="00A70EAD" w:rsidRDefault="00A70EAD" w:rsidP="00A70EAD">
      <w:pPr>
        <w:ind w:left="119" w:right="839"/>
        <w:jc w:val="both"/>
        <w:rPr>
          <w:rFonts w:ascii="Verdana" w:eastAsia="Verdana" w:hAnsi="Verdana"/>
          <w:color w:val="0072BC"/>
          <w:lang w:val="pl-PL"/>
        </w:rPr>
      </w:pPr>
    </w:p>
    <w:p w14:paraId="1CC61CDF" w14:textId="41D41BAF" w:rsidR="00A70EAD" w:rsidRPr="00A70EAD" w:rsidRDefault="00A70EAD" w:rsidP="00A70EAD">
      <w:pPr>
        <w:ind w:left="119" w:right="839"/>
        <w:jc w:val="both"/>
        <w:rPr>
          <w:rFonts w:ascii="Verdana" w:eastAsia="Verdana" w:hAnsi="Verdana"/>
          <w:b/>
          <w:bCs/>
          <w:color w:val="0072BC"/>
          <w:lang w:val="pl-PL"/>
        </w:rPr>
      </w:pPr>
      <w:hyperlink r:id="rId27" w:anchor="{%22itemid%22:[%22003-3676622-4181600%22]}" w:history="1">
        <w:proofErr w:type="spellStart"/>
        <w:r w:rsidRPr="00A70EAD">
          <w:rPr>
            <w:rStyle w:val="Hipercze"/>
            <w:rFonts w:ascii="Verdana" w:eastAsia="Verdana" w:hAnsi="Verdana"/>
            <w:b/>
            <w:bCs/>
            <w:lang w:val="pl-PL"/>
          </w:rPr>
          <w:t>Ullens</w:t>
        </w:r>
        <w:proofErr w:type="spellEnd"/>
        <w:r w:rsidRPr="00A70EAD">
          <w:rPr>
            <w:rStyle w:val="Hipercze"/>
            <w:rFonts w:ascii="Verdana" w:eastAsia="Verdana" w:hAnsi="Verdana"/>
            <w:b/>
            <w:bCs/>
            <w:lang w:val="pl-PL"/>
          </w:rPr>
          <w:t xml:space="preserve"> de </w:t>
        </w:r>
        <w:proofErr w:type="spellStart"/>
        <w:r w:rsidRPr="00A70EAD">
          <w:rPr>
            <w:rStyle w:val="Hipercze"/>
            <w:rFonts w:ascii="Verdana" w:eastAsia="Verdana" w:hAnsi="Verdana"/>
            <w:b/>
            <w:bCs/>
            <w:lang w:val="pl-PL"/>
          </w:rPr>
          <w:t>Schooten</w:t>
        </w:r>
        <w:proofErr w:type="spellEnd"/>
        <w:r w:rsidRPr="00A70EAD">
          <w:rPr>
            <w:rStyle w:val="Hipercze"/>
            <w:rFonts w:ascii="Verdana" w:eastAsia="Verdana" w:hAnsi="Verdana"/>
            <w:b/>
            <w:bCs/>
            <w:lang w:val="pl-PL"/>
          </w:rPr>
          <w:t xml:space="preserve"> i </w:t>
        </w:r>
        <w:proofErr w:type="spellStart"/>
        <w:r w:rsidRPr="00A70EAD">
          <w:rPr>
            <w:rStyle w:val="Hipercze"/>
            <w:rFonts w:ascii="Verdana" w:eastAsia="Verdana" w:hAnsi="Verdana"/>
            <w:b/>
            <w:bCs/>
            <w:lang w:val="pl-PL"/>
          </w:rPr>
          <w:t>Rezabek</w:t>
        </w:r>
        <w:proofErr w:type="spellEnd"/>
        <w:r w:rsidRPr="00A70EAD">
          <w:rPr>
            <w:rStyle w:val="Hipercze"/>
            <w:rFonts w:ascii="Verdana" w:eastAsia="Verdana" w:hAnsi="Verdana"/>
            <w:b/>
            <w:bCs/>
            <w:lang w:val="pl-PL"/>
          </w:rPr>
          <w:t xml:space="preserve"> przeciwko Belgii</w:t>
        </w:r>
      </w:hyperlink>
    </w:p>
    <w:p w14:paraId="774E5B45" w14:textId="77777777" w:rsidR="00A70EAD" w:rsidRPr="00A70EAD" w:rsidRDefault="00A70EAD" w:rsidP="00A70EAD">
      <w:pPr>
        <w:ind w:left="119" w:right="839"/>
        <w:jc w:val="both"/>
        <w:rPr>
          <w:rFonts w:ascii="Verdana" w:eastAsia="Verdana" w:hAnsi="Verdana"/>
          <w:color w:val="808080" w:themeColor="background1" w:themeShade="80"/>
          <w:sz w:val="18"/>
          <w:szCs w:val="18"/>
          <w:lang w:val="pl-PL"/>
        </w:rPr>
      </w:pPr>
      <w:r w:rsidRPr="00A70EAD">
        <w:rPr>
          <w:rFonts w:ascii="Verdana" w:eastAsia="Verdana" w:hAnsi="Verdana"/>
          <w:color w:val="808080" w:themeColor="background1" w:themeShade="80"/>
          <w:sz w:val="18"/>
          <w:szCs w:val="18"/>
          <w:lang w:val="pl-PL"/>
        </w:rPr>
        <w:t>Wyrok z dnia 20 września 2011 r.</w:t>
      </w:r>
    </w:p>
    <w:p w14:paraId="14105D9E" w14:textId="77777777" w:rsidR="00A70EAD" w:rsidRPr="00A70EAD" w:rsidRDefault="00A70EAD" w:rsidP="00A70EAD">
      <w:pPr>
        <w:ind w:left="119" w:right="839"/>
        <w:jc w:val="both"/>
        <w:rPr>
          <w:rFonts w:ascii="Verdana" w:eastAsia="Verdana" w:hAnsi="Verdana"/>
          <w:lang w:val="pl-PL"/>
        </w:rPr>
      </w:pPr>
      <w:r w:rsidRPr="00A70EAD">
        <w:rPr>
          <w:rFonts w:ascii="Verdana" w:eastAsia="Verdana" w:hAnsi="Verdana"/>
          <w:lang w:val="pl-PL"/>
        </w:rPr>
        <w:t xml:space="preserve">Sprawa ta dotyczyła odmowy belgijskiego sądu kasacyjnego i </w:t>
      </w:r>
      <w:proofErr w:type="spellStart"/>
      <w:r w:rsidRPr="00A70EAD">
        <w:rPr>
          <w:rFonts w:ascii="Verdana" w:eastAsia="Verdana" w:hAnsi="Verdana"/>
          <w:lang w:val="pl-PL"/>
        </w:rPr>
        <w:t>Conseil</w:t>
      </w:r>
      <w:proofErr w:type="spellEnd"/>
      <w:r w:rsidRPr="00A70EAD">
        <w:rPr>
          <w:rFonts w:ascii="Verdana" w:eastAsia="Verdana" w:hAnsi="Verdana"/>
          <w:lang w:val="pl-PL"/>
        </w:rPr>
        <w:t xml:space="preserve"> </w:t>
      </w:r>
      <w:proofErr w:type="spellStart"/>
      <w:r w:rsidRPr="00A70EAD">
        <w:rPr>
          <w:rFonts w:ascii="Verdana" w:eastAsia="Verdana" w:hAnsi="Verdana"/>
          <w:lang w:val="pl-PL"/>
        </w:rPr>
        <w:t>d'État</w:t>
      </w:r>
      <w:proofErr w:type="spellEnd"/>
      <w:r w:rsidRPr="00A70EAD">
        <w:rPr>
          <w:rFonts w:ascii="Verdana" w:eastAsia="Verdana" w:hAnsi="Verdana"/>
          <w:lang w:val="pl-PL"/>
        </w:rPr>
        <w:t xml:space="preserve"> zwrócenia się do Trybunału Sprawiedliwości Unii Europejskiej z pytaniami prejudycjalnymi dotyczącymi wykładni prawa Unii.</w:t>
      </w:r>
    </w:p>
    <w:p w14:paraId="52E435B6" w14:textId="77777777" w:rsidR="00A70EAD" w:rsidRPr="00A70EAD" w:rsidRDefault="00A70EAD" w:rsidP="00A70EAD">
      <w:pPr>
        <w:ind w:left="119" w:right="839"/>
        <w:jc w:val="both"/>
        <w:rPr>
          <w:rFonts w:ascii="Verdana" w:eastAsia="Verdana" w:hAnsi="Verdana"/>
          <w:b/>
          <w:bCs/>
          <w:color w:val="0072BC"/>
          <w:lang w:val="pl-PL"/>
        </w:rPr>
      </w:pPr>
      <w:r w:rsidRPr="00A70EAD">
        <w:rPr>
          <w:rFonts w:ascii="Verdana" w:eastAsia="Verdana" w:hAnsi="Verdana"/>
          <w:color w:val="0072BC"/>
          <w:lang w:val="pl-PL"/>
        </w:rPr>
        <w:t xml:space="preserve">W świetle powodów podanych przez te dwa sądy i mając na uwadze całość postępowania, Trybunał orzekł, że </w:t>
      </w:r>
      <w:r w:rsidRPr="00A70EAD">
        <w:rPr>
          <w:rFonts w:ascii="Verdana" w:eastAsia="Verdana" w:hAnsi="Verdana"/>
          <w:b/>
          <w:bCs/>
          <w:color w:val="0072BC"/>
          <w:lang w:val="pl-PL"/>
        </w:rPr>
        <w:t>nie doszło do naruszenia</w:t>
      </w:r>
      <w:r w:rsidRPr="00A70EAD">
        <w:rPr>
          <w:rFonts w:ascii="Verdana" w:eastAsia="Verdana" w:hAnsi="Verdana"/>
          <w:color w:val="0072BC"/>
          <w:lang w:val="pl-PL"/>
        </w:rPr>
        <w:t xml:space="preserve"> prawa skarżących do rzetelnego procesu sądowego na podstawie </w:t>
      </w:r>
      <w:r w:rsidRPr="00A70EAD">
        <w:rPr>
          <w:rFonts w:ascii="Verdana" w:eastAsia="Verdana" w:hAnsi="Verdana"/>
          <w:b/>
          <w:bCs/>
          <w:color w:val="0072BC"/>
          <w:lang w:val="pl-PL"/>
        </w:rPr>
        <w:t>art. 6 § 1 Konwencji.</w:t>
      </w:r>
    </w:p>
    <w:p w14:paraId="0E1352B1" w14:textId="77777777" w:rsidR="00A70EAD" w:rsidRPr="00A70EAD" w:rsidRDefault="00A70EAD" w:rsidP="00A70EAD">
      <w:pPr>
        <w:ind w:left="119" w:right="839"/>
        <w:jc w:val="both"/>
        <w:rPr>
          <w:rFonts w:ascii="Verdana" w:eastAsia="Verdana" w:hAnsi="Verdana"/>
          <w:color w:val="0072BC"/>
          <w:lang w:val="pl-PL"/>
        </w:rPr>
      </w:pPr>
    </w:p>
    <w:p w14:paraId="17ED739E" w14:textId="29659C83" w:rsidR="00A70EAD" w:rsidRPr="00A70EAD" w:rsidRDefault="00A70EAD" w:rsidP="00A70EAD">
      <w:pPr>
        <w:ind w:left="119" w:right="839"/>
        <w:jc w:val="both"/>
        <w:rPr>
          <w:rFonts w:ascii="Verdana" w:eastAsia="Verdana" w:hAnsi="Verdana"/>
          <w:lang w:val="pl-PL"/>
        </w:rPr>
      </w:pPr>
      <w:r w:rsidRPr="00A70EAD">
        <w:rPr>
          <w:rFonts w:ascii="Verdana" w:eastAsia="Verdana" w:hAnsi="Verdana"/>
          <w:i/>
          <w:iCs/>
          <w:lang w:val="pl-PL"/>
        </w:rPr>
        <w:t>Zobacz również:</w:t>
      </w:r>
      <w:r w:rsidRPr="00A70EAD">
        <w:rPr>
          <w:rFonts w:ascii="Verdana" w:eastAsia="Verdana" w:hAnsi="Verdana"/>
          <w:lang w:val="pl-PL"/>
        </w:rPr>
        <w:t xml:space="preserve"> </w:t>
      </w:r>
      <w:hyperlink r:id="rId28" w:anchor="{%22itemid%22:[%22001-110889%22]}" w:history="1">
        <w:proofErr w:type="spellStart"/>
        <w:r w:rsidRPr="00A70EAD">
          <w:rPr>
            <w:rStyle w:val="Hipercze"/>
            <w:rFonts w:ascii="Verdana" w:eastAsia="Verdana" w:hAnsi="Verdana"/>
            <w:b/>
            <w:bCs/>
            <w:lang w:val="pl-PL"/>
          </w:rPr>
          <w:t>Vergauwen</w:t>
        </w:r>
        <w:proofErr w:type="spellEnd"/>
        <w:r w:rsidRPr="00A70EAD">
          <w:rPr>
            <w:rStyle w:val="Hipercze"/>
            <w:rFonts w:ascii="Verdana" w:eastAsia="Verdana" w:hAnsi="Verdana"/>
            <w:b/>
            <w:bCs/>
            <w:lang w:val="pl-PL"/>
          </w:rPr>
          <w:t xml:space="preserve"> i Inni przeciwko Belgii</w:t>
        </w:r>
      </w:hyperlink>
      <w:r w:rsidRPr="00A70EAD">
        <w:rPr>
          <w:rFonts w:ascii="Verdana" w:eastAsia="Verdana" w:hAnsi="Verdana"/>
          <w:color w:val="0072BC"/>
          <w:lang w:val="pl-PL"/>
        </w:rPr>
        <w:t xml:space="preserve">, </w:t>
      </w:r>
      <w:r w:rsidRPr="00A70EAD">
        <w:rPr>
          <w:rFonts w:ascii="Verdana" w:eastAsia="Verdana" w:hAnsi="Verdana"/>
          <w:lang w:val="pl-PL"/>
        </w:rPr>
        <w:t>decyzja w sprawie dopuszczalności z dnia 10 kwietnia 2012 r.</w:t>
      </w:r>
    </w:p>
    <w:p w14:paraId="4B02CA8A" w14:textId="77777777" w:rsidR="00A70EAD" w:rsidRPr="00A70EAD" w:rsidRDefault="00A70EAD" w:rsidP="00A70EAD">
      <w:pPr>
        <w:ind w:left="119" w:right="839"/>
        <w:jc w:val="both"/>
        <w:rPr>
          <w:rFonts w:ascii="Verdana" w:eastAsia="Verdana" w:hAnsi="Verdana"/>
          <w:lang w:val="pl-PL"/>
        </w:rPr>
      </w:pPr>
    </w:p>
    <w:p w14:paraId="0B79287A" w14:textId="2ABD8398" w:rsidR="00A70EAD" w:rsidRPr="00A70EAD" w:rsidRDefault="00A70EAD" w:rsidP="00A70EAD">
      <w:pPr>
        <w:ind w:left="119" w:right="839"/>
        <w:jc w:val="both"/>
        <w:rPr>
          <w:rFonts w:ascii="Verdana" w:eastAsia="Verdana" w:hAnsi="Verdana"/>
          <w:b/>
          <w:bCs/>
          <w:color w:val="0072BC"/>
          <w:lang w:val="pl-PL"/>
        </w:rPr>
      </w:pPr>
      <w:hyperlink r:id="rId29" w:anchor="{%22itemid%22:[%22003-4176819-4941935%22]}" w:history="1">
        <w:proofErr w:type="spellStart"/>
        <w:r w:rsidRPr="00A70EAD">
          <w:rPr>
            <w:rStyle w:val="Hipercze"/>
            <w:rFonts w:ascii="Verdana" w:eastAsia="Verdana" w:hAnsi="Verdana"/>
            <w:b/>
            <w:bCs/>
            <w:lang w:val="pl-PL"/>
          </w:rPr>
          <w:t>Ramaer</w:t>
        </w:r>
        <w:proofErr w:type="spellEnd"/>
        <w:r w:rsidRPr="00A70EAD">
          <w:rPr>
            <w:rStyle w:val="Hipercze"/>
            <w:rFonts w:ascii="Verdana" w:eastAsia="Verdana" w:hAnsi="Verdana"/>
            <w:b/>
            <w:bCs/>
            <w:lang w:val="pl-PL"/>
          </w:rPr>
          <w:t xml:space="preserve"> i van </w:t>
        </w:r>
        <w:proofErr w:type="spellStart"/>
        <w:r w:rsidRPr="00A70EAD">
          <w:rPr>
            <w:rStyle w:val="Hipercze"/>
            <w:rFonts w:ascii="Verdana" w:eastAsia="Verdana" w:hAnsi="Verdana"/>
            <w:b/>
            <w:bCs/>
            <w:lang w:val="pl-PL"/>
          </w:rPr>
          <w:t>Willigen</w:t>
        </w:r>
        <w:proofErr w:type="spellEnd"/>
        <w:r w:rsidRPr="00A70EAD">
          <w:rPr>
            <w:rStyle w:val="Hipercze"/>
            <w:rFonts w:ascii="Verdana" w:eastAsia="Verdana" w:hAnsi="Verdana"/>
            <w:b/>
            <w:bCs/>
            <w:lang w:val="pl-PL"/>
          </w:rPr>
          <w:t xml:space="preserve"> przeciwko Holandii</w:t>
        </w:r>
      </w:hyperlink>
    </w:p>
    <w:p w14:paraId="42128D03" w14:textId="77777777" w:rsidR="00A70EAD" w:rsidRPr="00A70EAD" w:rsidRDefault="00A70EAD" w:rsidP="00A70EAD">
      <w:pPr>
        <w:ind w:left="119" w:right="839"/>
        <w:jc w:val="both"/>
        <w:rPr>
          <w:rFonts w:ascii="Verdana" w:eastAsia="Verdana" w:hAnsi="Verdana"/>
          <w:color w:val="808080" w:themeColor="background1" w:themeShade="80"/>
          <w:sz w:val="18"/>
          <w:szCs w:val="18"/>
          <w:lang w:val="pl-PL"/>
        </w:rPr>
      </w:pPr>
      <w:r w:rsidRPr="00A70EAD">
        <w:rPr>
          <w:rFonts w:ascii="Verdana" w:eastAsia="Verdana" w:hAnsi="Verdana"/>
          <w:color w:val="808080" w:themeColor="background1" w:themeShade="80"/>
          <w:sz w:val="18"/>
          <w:szCs w:val="18"/>
          <w:lang w:val="pl-PL"/>
        </w:rPr>
        <w:t>Decyzja o dopuszczalności z dnia 23 października 2012 r.</w:t>
      </w:r>
    </w:p>
    <w:p w14:paraId="3557AB5B" w14:textId="18D1138F" w:rsidR="00DF334D" w:rsidRPr="00A70EAD" w:rsidRDefault="00A70EAD" w:rsidP="00A70EAD">
      <w:pPr>
        <w:ind w:left="119" w:right="839"/>
        <w:jc w:val="both"/>
        <w:rPr>
          <w:rFonts w:ascii="Verdana" w:eastAsia="Verdana" w:hAnsi="Verdana"/>
          <w:lang w:val="pl-PL"/>
        </w:rPr>
      </w:pPr>
      <w:r w:rsidRPr="00A70EAD">
        <w:rPr>
          <w:rFonts w:ascii="Verdana" w:eastAsia="Verdana" w:hAnsi="Verdana"/>
          <w:lang w:val="pl-PL"/>
        </w:rPr>
        <w:t>Sprawa ta dotyczyła skutków zmian w niderlandzkim systemie ubezpieczeń zdrowotnych wprowadzonych w dniu 1 stycznia 2006 r. dla osób pobierających niderlandzkie emerytury zamieszkałych w państwach członkowskich Unii Europejskiej innych niż Niderlandy, na mocy rozporządzenia Rady Wspólnot Europejskich (EWG) nr 1408/71.</w:t>
      </w:r>
      <w:r w:rsidRPr="00A70EAD">
        <w:rPr>
          <w:rFonts w:ascii="Verdana" w:eastAsia="Verdana" w:hAnsi="Verdana"/>
          <w:lang w:val="pl-PL"/>
        </w:rPr>
        <w:t xml:space="preserve"> </w:t>
      </w:r>
      <w:r w:rsidRPr="00A70EAD">
        <w:rPr>
          <w:rFonts w:ascii="Verdana" w:eastAsia="Verdana" w:hAnsi="Verdana"/>
          <w:lang w:val="pl-PL"/>
        </w:rPr>
        <w:t>Skarżący - obywatele Niderlandów otrzymujący niderlandzkie emerytury i zamieszkujący odpowiednio w Belgii i Hiszpanii - skarżyli się w szczególności na utratę uprawnień wynikających z ich poprzednich umów ubezpieczenia zdrowotnego oraz na ograniczenie ich uprawnień do podstawowej publicznej opieki zdrowotnej w ich krajach zamieszkania. Ponadto skarżyli się na skutki wprowadzenia ustawy o ubezpieczeniu zdrowotnym dla nich w porównaniu z mieszkańcami Niderlandów. Wreszcie zarzucili, że niderlandzki Centralny Sąd Apelacyjny, po zwróceniu się do Trybunału Sprawiedliwości Wspólnot Europejskich z wnioskiem o wydanie orzeczenia w trybie prejudycjalnym w celu ustalenia, czy ustawa o ubezpieczeniu zdrowotnym jest zgodna z Traktatem o Wspólnocie Europejskiej, w szczególności z rozporządzeniem Rady Unii Europejskiej nr 1408/71, chociaż nie wykluczył możliwych różnic w traktowaniu rezydentów i nierezydentów Niderlandów, stwierdził jednak, że nie było nieuzasadnionej różnicy w traktowaniu rezydentów i nierezydentów w odniesieniu do nowego systemu ubezpieczenia zdrowotnego.</w:t>
      </w:r>
    </w:p>
    <w:p w14:paraId="792DF693" w14:textId="27E042B3" w:rsidR="00DF334D" w:rsidRDefault="00A70EAD" w:rsidP="00795239">
      <w:pPr>
        <w:ind w:left="119" w:right="839"/>
        <w:jc w:val="both"/>
        <w:rPr>
          <w:rFonts w:ascii="Verdana" w:eastAsia="Verdana" w:hAnsi="Verdana"/>
          <w:color w:val="0072BC"/>
          <w:lang w:val="pl-PL"/>
        </w:rPr>
      </w:pPr>
      <w:r w:rsidRPr="00A70EAD">
        <w:rPr>
          <w:rFonts w:ascii="Verdana" w:eastAsia="Verdana" w:hAnsi="Verdana"/>
          <w:color w:val="0072BC"/>
          <w:lang w:val="pl-PL"/>
        </w:rPr>
        <w:t xml:space="preserve">Trybunał </w:t>
      </w:r>
      <w:r w:rsidRPr="00A70EAD">
        <w:rPr>
          <w:rFonts w:ascii="Verdana" w:eastAsia="Verdana" w:hAnsi="Verdana"/>
          <w:b/>
          <w:bCs/>
          <w:color w:val="0072BC"/>
          <w:lang w:val="pl-PL"/>
        </w:rPr>
        <w:t>uznał skargę za niedopuszczalną</w:t>
      </w:r>
      <w:r w:rsidRPr="00A70EAD">
        <w:rPr>
          <w:rFonts w:ascii="Verdana" w:eastAsia="Verdana" w:hAnsi="Verdana"/>
          <w:color w:val="0072BC"/>
          <w:lang w:val="pl-PL"/>
        </w:rPr>
        <w:t>. Stwierdził w szczególności, że Centralny Sąd Odwoławczy, po niezwykle długim i skomplikowanym postępowaniu obejmującym nawet orzeczenie Trybunału Sprawiedliwości Unii Europejskiej w trybie prejudycjalnym, odniósł się do argumentów skarżących w decyzjach, które zawierały obszerne uzasadnienie dotyczące stosownego prawa Unii Europejskiej, historii tworzenia ustawy o ubezpieczeniu zdrowotnym oraz historii negocjacji z ubezpieczycielami, a zatem nie były arbitralne. W konsekwencji Trybunał odrzucił skargę skarżących na podstawie art. 6 (prawo do rzetelnego procesu sądowego) Konwencji jako oczywiście bezzasadną. Trybunał uznał ponadto za niedopuszczalne skargi skarżących na podstawie Artykułu 14 (zakaz dyskryminacji) Konwencji, Artykułu 1 (ochrona własności) Protokołu nr 1 do Konwencji oraz Artykułu 1 (ogólny zakaz dyskryminacji) Protokołu nr 12 do Konwencji.</w:t>
      </w:r>
    </w:p>
    <w:p w14:paraId="74A940F9" w14:textId="77777777" w:rsidR="00795239" w:rsidRDefault="00795239" w:rsidP="00795239">
      <w:pPr>
        <w:ind w:left="119" w:right="839"/>
        <w:jc w:val="both"/>
        <w:rPr>
          <w:rFonts w:ascii="Verdana" w:eastAsia="Verdana" w:hAnsi="Verdana"/>
          <w:color w:val="0072BC"/>
          <w:lang w:val="pl-PL"/>
        </w:rPr>
      </w:pPr>
    </w:p>
    <w:p w14:paraId="71A4BE4F" w14:textId="225DB563" w:rsidR="00795239" w:rsidRPr="00795239" w:rsidRDefault="00795239" w:rsidP="00795239">
      <w:pPr>
        <w:ind w:left="119" w:right="839"/>
        <w:jc w:val="both"/>
        <w:rPr>
          <w:rFonts w:ascii="Verdana" w:eastAsia="Verdana" w:hAnsi="Verdana"/>
          <w:b/>
          <w:bCs/>
          <w:color w:val="0072BC"/>
          <w:lang w:val="pl-PL"/>
        </w:rPr>
      </w:pPr>
      <w:hyperlink r:id="rId30" w:anchor="{%22itemid%22:[%22003-4725201-5739950%22]}" w:history="1">
        <w:proofErr w:type="spellStart"/>
        <w:r w:rsidRPr="00795239">
          <w:rPr>
            <w:rStyle w:val="Hipercze"/>
            <w:rFonts w:ascii="Verdana" w:eastAsia="Verdana" w:hAnsi="Verdana"/>
            <w:b/>
            <w:bCs/>
            <w:lang w:val="pl-PL"/>
          </w:rPr>
          <w:t>Dhahbi</w:t>
        </w:r>
        <w:proofErr w:type="spellEnd"/>
        <w:r w:rsidRPr="00795239">
          <w:rPr>
            <w:rStyle w:val="Hipercze"/>
            <w:rFonts w:ascii="Verdana" w:eastAsia="Verdana" w:hAnsi="Verdana"/>
            <w:b/>
            <w:bCs/>
            <w:lang w:val="pl-PL"/>
          </w:rPr>
          <w:t xml:space="preserve"> przeciwko Włochom</w:t>
        </w:r>
      </w:hyperlink>
    </w:p>
    <w:p w14:paraId="5825DFF9" w14:textId="77777777" w:rsidR="00795239" w:rsidRPr="00795239" w:rsidRDefault="00795239" w:rsidP="00795239">
      <w:pPr>
        <w:ind w:left="119" w:right="839"/>
        <w:jc w:val="both"/>
        <w:rPr>
          <w:rFonts w:ascii="Verdana" w:eastAsia="Verdana" w:hAnsi="Verdana"/>
          <w:color w:val="808080" w:themeColor="background1" w:themeShade="80"/>
          <w:sz w:val="18"/>
          <w:szCs w:val="18"/>
          <w:lang w:val="pl-PL"/>
        </w:rPr>
      </w:pPr>
      <w:r w:rsidRPr="00795239">
        <w:rPr>
          <w:rFonts w:ascii="Verdana" w:eastAsia="Verdana" w:hAnsi="Verdana"/>
          <w:color w:val="808080" w:themeColor="background1" w:themeShade="80"/>
          <w:sz w:val="18"/>
          <w:szCs w:val="18"/>
          <w:lang w:val="pl-PL"/>
        </w:rPr>
        <w:t>Wyrok z dnia 8 kwietnia 2014 r.</w:t>
      </w:r>
    </w:p>
    <w:p w14:paraId="400E364A" w14:textId="76ECE217" w:rsidR="00795239" w:rsidRPr="00795239" w:rsidRDefault="00795239" w:rsidP="00795239">
      <w:pPr>
        <w:ind w:left="119" w:right="839"/>
        <w:jc w:val="both"/>
        <w:rPr>
          <w:rFonts w:ascii="Verdana" w:eastAsia="Verdana" w:hAnsi="Verdana"/>
          <w:color w:val="0D0D0D" w:themeColor="text1" w:themeTint="F2"/>
          <w:lang w:val="pl-PL"/>
        </w:rPr>
      </w:pPr>
      <w:r w:rsidRPr="00795239">
        <w:rPr>
          <w:rFonts w:ascii="Verdana" w:eastAsia="Verdana" w:hAnsi="Verdana"/>
          <w:color w:val="0D0D0D" w:themeColor="text1" w:themeTint="F2"/>
          <w:lang w:val="pl-PL"/>
        </w:rPr>
        <w:t xml:space="preserve">Sprawa ta dotyczyła niemożności uzyskania przez pracownika-imigranta pochodzenia tunezyjskiego od włoskich władz publicznych wypłaty zasiłku rodzinnego na </w:t>
      </w:r>
      <w:r w:rsidRPr="00795239">
        <w:rPr>
          <w:rFonts w:ascii="Verdana" w:eastAsia="Verdana" w:hAnsi="Verdana"/>
          <w:color w:val="0D0D0D" w:themeColor="text1" w:themeTint="F2"/>
          <w:lang w:val="pl-PL"/>
        </w:rPr>
        <w:t xml:space="preserve">              </w:t>
      </w:r>
      <w:r w:rsidRPr="00795239">
        <w:rPr>
          <w:rFonts w:ascii="Verdana" w:eastAsia="Verdana" w:hAnsi="Verdana"/>
          <w:color w:val="0D0D0D" w:themeColor="text1" w:themeTint="F2"/>
          <w:lang w:val="pl-PL"/>
        </w:rPr>
        <w:t xml:space="preserve">podstawie układu o stowarzyszeniu między Unią Europejską a Tunezją (układ </w:t>
      </w:r>
      <w:proofErr w:type="spellStart"/>
      <w:r w:rsidRPr="00795239">
        <w:rPr>
          <w:rFonts w:ascii="Verdana" w:eastAsia="Verdana" w:hAnsi="Verdana"/>
          <w:color w:val="0D0D0D" w:themeColor="text1" w:themeTint="F2"/>
          <w:lang w:val="pl-PL"/>
        </w:rPr>
        <w:t>eurośródziemnomorski</w:t>
      </w:r>
      <w:proofErr w:type="spellEnd"/>
      <w:r w:rsidRPr="00795239">
        <w:rPr>
          <w:rFonts w:ascii="Verdana" w:eastAsia="Verdana" w:hAnsi="Verdana"/>
          <w:color w:val="0D0D0D" w:themeColor="text1" w:themeTint="F2"/>
          <w:lang w:val="pl-PL"/>
        </w:rPr>
        <w:t>). Skarżący zarzucił, że włoski sąd kasacyjny zignorował jego wniosek o skierowanie pytania prejudycjalnego do Trybunału Sprawiedliwości Unii Europejskiej. Ponadto stwierdził, że był dyskryminowany ze względu na swoje obywatelstwo w odniesieniu do przyznania zasiłku należnego na mocy ustawy z 1998 roku.</w:t>
      </w:r>
    </w:p>
    <w:p w14:paraId="256D43DD" w14:textId="77777777" w:rsidR="00795239" w:rsidRPr="00795239" w:rsidRDefault="00795239" w:rsidP="00795239">
      <w:pPr>
        <w:ind w:left="119" w:right="839"/>
        <w:jc w:val="both"/>
        <w:rPr>
          <w:rFonts w:ascii="Verdana" w:eastAsia="Verdana" w:hAnsi="Verdana"/>
          <w:color w:val="0072BC"/>
          <w:lang w:val="pl-PL"/>
        </w:rPr>
      </w:pPr>
      <w:r w:rsidRPr="00795239">
        <w:rPr>
          <w:rFonts w:ascii="Verdana" w:eastAsia="Verdana" w:hAnsi="Verdana"/>
          <w:color w:val="0072BC"/>
          <w:lang w:val="pl-PL"/>
        </w:rPr>
        <w:t xml:space="preserve">Trybunał orzekł, że </w:t>
      </w:r>
      <w:r w:rsidRPr="00795239">
        <w:rPr>
          <w:rFonts w:ascii="Verdana" w:eastAsia="Verdana" w:hAnsi="Verdana"/>
          <w:b/>
          <w:bCs/>
          <w:color w:val="0072BC"/>
          <w:lang w:val="pl-PL"/>
        </w:rPr>
        <w:t>doszło do naruszenia art. 6 § 1</w:t>
      </w:r>
      <w:r w:rsidRPr="00795239">
        <w:rPr>
          <w:rFonts w:ascii="Verdana" w:eastAsia="Verdana" w:hAnsi="Verdana"/>
          <w:color w:val="0072BC"/>
          <w:lang w:val="pl-PL"/>
        </w:rPr>
        <w:t xml:space="preserve"> (prawo do rzetelnego procesu sądowego) Konwencji, zauważając, że sądy włoskie nie wywiązały się z obowiązku </w:t>
      </w:r>
      <w:r w:rsidRPr="00795239">
        <w:rPr>
          <w:rFonts w:ascii="Verdana" w:eastAsia="Verdana" w:hAnsi="Verdana"/>
          <w:color w:val="0072BC"/>
          <w:lang w:val="pl-PL"/>
        </w:rPr>
        <w:lastRenderedPageBreak/>
        <w:t xml:space="preserve">uzasadnienia odmowy skierowania pytania prejudycjalnego do Trybunału Sprawiedliwości Unii Europejskiej (TSUE) w celu ustalenia, czy Układ </w:t>
      </w:r>
      <w:proofErr w:type="spellStart"/>
      <w:r w:rsidRPr="00795239">
        <w:rPr>
          <w:rFonts w:ascii="Verdana" w:eastAsia="Verdana" w:hAnsi="Verdana"/>
          <w:color w:val="0072BC"/>
          <w:lang w:val="pl-PL"/>
        </w:rPr>
        <w:t>Eurośródziemnomorski</w:t>
      </w:r>
      <w:proofErr w:type="spellEnd"/>
      <w:r w:rsidRPr="00795239">
        <w:rPr>
          <w:rFonts w:ascii="Verdana" w:eastAsia="Verdana" w:hAnsi="Verdana"/>
          <w:color w:val="0072BC"/>
          <w:lang w:val="pl-PL"/>
        </w:rPr>
        <w:t xml:space="preserve"> zezwalał władzom na odmowę wypłaty przedmiotowego dodatku pracownikowi tunezyjskiemu. Trybunał przypomniał, że z punktu widzenia art. 6 Konwencji, sądy krajowe, których orzeczenia nie podlegały zaskarżeniu na mocy prawa krajowego, były zobowiązane do uzasadnienia, w oparciu o obowiązujące prawo i wyjątki określone w orzecznictwie TSUE, swojej odmowy skierowania pytania prejudycjalnego dotyczącego wykładni prawa UE.</w:t>
      </w:r>
      <w:r>
        <w:rPr>
          <w:rFonts w:ascii="Verdana" w:eastAsia="Verdana" w:hAnsi="Verdana"/>
          <w:color w:val="0072BC"/>
          <w:lang w:val="pl-PL"/>
        </w:rPr>
        <w:t xml:space="preserve"> </w:t>
      </w:r>
      <w:r w:rsidRPr="00795239">
        <w:rPr>
          <w:rFonts w:ascii="Verdana" w:eastAsia="Verdana" w:hAnsi="Verdana"/>
          <w:color w:val="0072BC"/>
          <w:lang w:val="pl-PL"/>
        </w:rPr>
        <w:t>Powinny one przedstawić powody, dla których uznają, że pytanie nie było istotne, że przepis został już zinterpretowany przez TSUE lub że prawidłowe zastosowanie prawa UE było tak oczywiste, że nie pozostawiało miejsca na uzasadnione wątpliwości.</w:t>
      </w:r>
    </w:p>
    <w:p w14:paraId="6BD133D9" w14:textId="77777777" w:rsidR="00795239" w:rsidRDefault="00795239" w:rsidP="00795239">
      <w:pPr>
        <w:ind w:left="119" w:right="839"/>
        <w:jc w:val="both"/>
        <w:rPr>
          <w:rFonts w:ascii="Verdana" w:eastAsia="Verdana" w:hAnsi="Verdana"/>
          <w:color w:val="0072BC"/>
          <w:lang w:val="pl-PL"/>
        </w:rPr>
      </w:pPr>
      <w:r w:rsidRPr="00795239">
        <w:rPr>
          <w:rFonts w:ascii="Verdana" w:eastAsia="Verdana" w:hAnsi="Verdana"/>
          <w:color w:val="0072BC"/>
          <w:lang w:val="pl-PL"/>
        </w:rPr>
        <w:t>Trybunał uznał ponadto, że doszło do naruszenia art. 14 (zakaz dyskryminacji) w związku z art. 8 (prawo do poszanowania życia prywatnego i rodzinnego) Konwencji. Trybunał zauważył, że obywatelstwo skarżącego było jedynym kryterium zastosowanym w celu wykluczenia go z prawa do tego zasiłku. W związku z tym, biorąc pod uwagę, że tylko bardzo ważne względy mogą uzasadniać odmienne traktowanie oparte wyłącznie na obywatelstwie i pomimo powodów budżetowych przedstawionych przez rząd włoski, ograniczenia nałożone na skarżącego były nieproporcjonalne.</w:t>
      </w:r>
    </w:p>
    <w:p w14:paraId="7DF87D28" w14:textId="77777777" w:rsidR="00795239" w:rsidRPr="00795239" w:rsidRDefault="00795239" w:rsidP="00795239">
      <w:pPr>
        <w:ind w:left="119" w:right="839"/>
        <w:jc w:val="both"/>
        <w:rPr>
          <w:rFonts w:ascii="Verdana" w:eastAsia="Verdana" w:hAnsi="Verdana"/>
          <w:color w:val="0072BC"/>
          <w:lang w:val="pl-PL"/>
        </w:rPr>
      </w:pPr>
    </w:p>
    <w:p w14:paraId="3DCFFED7" w14:textId="1F37134B" w:rsidR="00795239" w:rsidRDefault="00795239" w:rsidP="00795239">
      <w:pPr>
        <w:ind w:left="119" w:right="839"/>
        <w:jc w:val="both"/>
        <w:rPr>
          <w:rFonts w:ascii="Verdana" w:eastAsia="Verdana" w:hAnsi="Verdana"/>
          <w:color w:val="0072BC"/>
          <w:lang w:val="pl-PL"/>
        </w:rPr>
      </w:pPr>
      <w:r w:rsidRPr="00795239">
        <w:rPr>
          <w:rFonts w:ascii="Verdana" w:eastAsia="Verdana" w:hAnsi="Verdana"/>
          <w:i/>
          <w:iCs/>
          <w:color w:val="0D0D0D" w:themeColor="text1" w:themeTint="F2"/>
          <w:lang w:val="pl-PL"/>
        </w:rPr>
        <w:t xml:space="preserve">Zobacz również: </w:t>
      </w:r>
      <w:hyperlink r:id="rId31" w:anchor="{%22itemid%22:[%22001-156513%22]}" w:history="1">
        <w:proofErr w:type="spellStart"/>
        <w:r w:rsidRPr="00795239">
          <w:rPr>
            <w:rStyle w:val="Hipercze"/>
            <w:rFonts w:ascii="Verdana" w:eastAsia="Verdana" w:hAnsi="Verdana"/>
            <w:b/>
            <w:bCs/>
            <w:lang w:val="pl-PL"/>
          </w:rPr>
          <w:t>Schipani</w:t>
        </w:r>
        <w:proofErr w:type="spellEnd"/>
        <w:r w:rsidRPr="00795239">
          <w:rPr>
            <w:rStyle w:val="Hipercze"/>
            <w:rFonts w:ascii="Verdana" w:eastAsia="Verdana" w:hAnsi="Verdana"/>
            <w:b/>
            <w:bCs/>
            <w:lang w:val="pl-PL"/>
          </w:rPr>
          <w:t xml:space="preserve"> i Inni przeciwko Włochom</w:t>
        </w:r>
      </w:hyperlink>
      <w:r w:rsidRPr="00795239">
        <w:rPr>
          <w:rFonts w:ascii="Verdana" w:eastAsia="Verdana" w:hAnsi="Verdana"/>
          <w:color w:val="0072BC"/>
          <w:lang w:val="pl-PL"/>
        </w:rPr>
        <w:t xml:space="preserve">, </w:t>
      </w:r>
      <w:r w:rsidRPr="00795239">
        <w:rPr>
          <w:rFonts w:ascii="Verdana" w:eastAsia="Verdana" w:hAnsi="Verdana"/>
          <w:color w:val="0D0D0D" w:themeColor="text1" w:themeTint="F2"/>
          <w:lang w:val="pl-PL"/>
        </w:rPr>
        <w:t>wyrok z dnia 21 lipca 2015 r.</w:t>
      </w:r>
    </w:p>
    <w:p w14:paraId="448260C0" w14:textId="77777777" w:rsidR="00DF334D" w:rsidRDefault="00DF334D" w:rsidP="005715B6">
      <w:pPr>
        <w:ind w:left="119" w:right="839"/>
        <w:jc w:val="both"/>
        <w:rPr>
          <w:rFonts w:ascii="Verdana" w:eastAsia="Verdana" w:hAnsi="Verdana"/>
          <w:color w:val="0072BC"/>
          <w:lang w:val="pl-PL"/>
        </w:rPr>
      </w:pPr>
    </w:p>
    <w:p w14:paraId="003A9D7F" w14:textId="1DA2E083" w:rsidR="00795239" w:rsidRPr="00795239" w:rsidRDefault="00896AF5" w:rsidP="00795239">
      <w:pPr>
        <w:ind w:left="119" w:right="839"/>
        <w:jc w:val="both"/>
        <w:rPr>
          <w:rFonts w:ascii="Verdana" w:eastAsia="Verdana" w:hAnsi="Verdana"/>
          <w:b/>
          <w:bCs/>
          <w:color w:val="0072BC"/>
          <w:lang w:val="pl-PL"/>
        </w:rPr>
      </w:pPr>
      <w:hyperlink r:id="rId32" w:anchor="{%22itemid%22:[%22003-6069936-7814159%22]}" w:history="1">
        <w:proofErr w:type="spellStart"/>
        <w:r w:rsidR="00795239" w:rsidRPr="00896AF5">
          <w:rPr>
            <w:rStyle w:val="Hipercze"/>
            <w:rFonts w:ascii="Verdana" w:eastAsia="Verdana" w:hAnsi="Verdana"/>
            <w:b/>
            <w:bCs/>
            <w:lang w:val="pl-PL"/>
          </w:rPr>
          <w:t>Baydar</w:t>
        </w:r>
        <w:proofErr w:type="spellEnd"/>
        <w:r w:rsidR="00795239" w:rsidRPr="00896AF5">
          <w:rPr>
            <w:rStyle w:val="Hipercze"/>
            <w:rFonts w:ascii="Verdana" w:eastAsia="Verdana" w:hAnsi="Verdana"/>
            <w:b/>
            <w:bCs/>
            <w:lang w:val="pl-PL"/>
          </w:rPr>
          <w:t xml:space="preserve"> przeciwko Niderlandom</w:t>
        </w:r>
      </w:hyperlink>
    </w:p>
    <w:p w14:paraId="63B8C4E9" w14:textId="77777777" w:rsidR="00795239" w:rsidRPr="00896AF5" w:rsidRDefault="00795239" w:rsidP="00795239">
      <w:pPr>
        <w:ind w:left="119" w:right="839"/>
        <w:jc w:val="both"/>
        <w:rPr>
          <w:rFonts w:ascii="Verdana" w:eastAsia="Verdana" w:hAnsi="Verdana"/>
          <w:color w:val="808080" w:themeColor="background1" w:themeShade="80"/>
          <w:sz w:val="18"/>
          <w:szCs w:val="18"/>
          <w:lang w:val="pl-PL"/>
        </w:rPr>
      </w:pPr>
      <w:r w:rsidRPr="00896AF5">
        <w:rPr>
          <w:rFonts w:ascii="Verdana" w:eastAsia="Verdana" w:hAnsi="Verdana"/>
          <w:color w:val="808080" w:themeColor="background1" w:themeShade="80"/>
          <w:sz w:val="18"/>
          <w:szCs w:val="18"/>
          <w:lang w:val="pl-PL"/>
        </w:rPr>
        <w:t>Wyrok z dnia 24 kwietnia 2018 r.</w:t>
      </w:r>
    </w:p>
    <w:p w14:paraId="42670C31" w14:textId="77777777" w:rsidR="00795239" w:rsidRPr="00896AF5" w:rsidRDefault="00795239" w:rsidP="00795239">
      <w:pPr>
        <w:ind w:left="119" w:right="839"/>
        <w:jc w:val="both"/>
        <w:rPr>
          <w:rFonts w:ascii="Verdana" w:eastAsia="Verdana" w:hAnsi="Verdana"/>
          <w:lang w:val="pl-PL"/>
        </w:rPr>
      </w:pPr>
      <w:r w:rsidRPr="00896AF5">
        <w:rPr>
          <w:rFonts w:ascii="Verdana" w:eastAsia="Verdana" w:hAnsi="Verdana"/>
          <w:lang w:val="pl-PL"/>
        </w:rPr>
        <w:t>Skarżący, który został skazany w 2011 r. za transport heroiny i handel ludźmi, złożył skargę na odmowę Sądu Najwyższego skierowania jego wniosku o wydanie orzeczenia w trybie prejudycjalnym do Trybunału Sprawiedliwości Unii Europejskiej (TSUE) i zarzucił, że decyzja ta nie została wystarczająco uzasadniona.</w:t>
      </w:r>
    </w:p>
    <w:p w14:paraId="5111216D" w14:textId="064B8B19" w:rsidR="00DF334D" w:rsidRDefault="00795239" w:rsidP="00795239">
      <w:pPr>
        <w:ind w:left="119" w:right="839"/>
        <w:jc w:val="both"/>
        <w:rPr>
          <w:rFonts w:ascii="Verdana" w:eastAsia="Verdana" w:hAnsi="Verdana"/>
          <w:color w:val="0072BC"/>
          <w:lang w:val="pl-PL"/>
        </w:rPr>
      </w:pPr>
      <w:r w:rsidRPr="00795239">
        <w:rPr>
          <w:rFonts w:ascii="Verdana" w:eastAsia="Verdana" w:hAnsi="Verdana"/>
          <w:color w:val="0072BC"/>
          <w:lang w:val="pl-PL"/>
        </w:rPr>
        <w:t>Trybunał uznał, że nie doszło do naruszenia Artykułu 6 § 1 (prawo do rzetelnego procesu sądowego) Konwencji. Stwierdził w szczególności, że w kontekście postępowań przyspieszonych dopuszczalne jest na mocy art. 6 § 1, aby skarga kasacyjna, która zawierała wniosek o przekazanie, została uznana za niedopuszczalną lub odrzucona ze skróconym uzasadnieniem, jeżeli z okoliczności sprawy jasno wynika, że decyzja nie była arbitralna lub w inny sposób oczywiście nieuzasadniona.</w:t>
      </w:r>
    </w:p>
    <w:p w14:paraId="33C3DEE5" w14:textId="77777777" w:rsidR="00DF334D" w:rsidRDefault="00DF334D" w:rsidP="005715B6">
      <w:pPr>
        <w:ind w:left="119" w:right="839"/>
        <w:jc w:val="both"/>
        <w:rPr>
          <w:rFonts w:ascii="Verdana" w:eastAsia="Verdana" w:hAnsi="Verdana"/>
          <w:color w:val="0072BC"/>
          <w:lang w:val="pl-PL"/>
        </w:rPr>
      </w:pPr>
    </w:p>
    <w:p w14:paraId="65A76201" w14:textId="5AB4577E" w:rsidR="00896AF5" w:rsidRPr="00896AF5" w:rsidRDefault="00896AF5" w:rsidP="00896AF5">
      <w:pPr>
        <w:ind w:left="119" w:right="839"/>
        <w:jc w:val="both"/>
        <w:rPr>
          <w:rFonts w:ascii="Verdana" w:eastAsia="Verdana" w:hAnsi="Verdana"/>
          <w:b/>
          <w:bCs/>
          <w:color w:val="0072BC"/>
          <w:lang w:val="pl-PL"/>
        </w:rPr>
      </w:pPr>
      <w:hyperlink r:id="rId33" w:anchor="{%22itemid%22:[%22003-6173380-7999512%22]}" w:history="1">
        <w:proofErr w:type="spellStart"/>
        <w:r w:rsidRPr="00896AF5">
          <w:rPr>
            <w:rStyle w:val="Hipercze"/>
            <w:rFonts w:ascii="Verdana" w:eastAsia="Verdana" w:hAnsi="Verdana"/>
            <w:b/>
            <w:bCs/>
            <w:lang w:val="pl-PL"/>
          </w:rPr>
          <w:t>Somorjai</w:t>
        </w:r>
        <w:proofErr w:type="spellEnd"/>
        <w:r w:rsidRPr="00896AF5">
          <w:rPr>
            <w:rStyle w:val="Hipercze"/>
            <w:rFonts w:ascii="Verdana" w:eastAsia="Verdana" w:hAnsi="Verdana"/>
            <w:b/>
            <w:bCs/>
            <w:lang w:val="pl-PL"/>
          </w:rPr>
          <w:t xml:space="preserve"> przeciwko Węgrom</w:t>
        </w:r>
      </w:hyperlink>
    </w:p>
    <w:p w14:paraId="6167A4D7" w14:textId="77777777" w:rsidR="00896AF5" w:rsidRPr="00896AF5" w:rsidRDefault="00896AF5" w:rsidP="00896AF5">
      <w:pPr>
        <w:ind w:left="119" w:right="839"/>
        <w:jc w:val="both"/>
        <w:rPr>
          <w:rFonts w:ascii="Verdana" w:eastAsia="Verdana" w:hAnsi="Verdana"/>
          <w:color w:val="808080" w:themeColor="background1" w:themeShade="80"/>
          <w:sz w:val="18"/>
          <w:szCs w:val="18"/>
          <w:lang w:val="pl-PL"/>
        </w:rPr>
      </w:pPr>
      <w:r w:rsidRPr="00896AF5">
        <w:rPr>
          <w:rFonts w:ascii="Verdana" w:eastAsia="Verdana" w:hAnsi="Verdana"/>
          <w:color w:val="808080" w:themeColor="background1" w:themeShade="80"/>
          <w:sz w:val="18"/>
          <w:szCs w:val="18"/>
          <w:lang w:val="pl-PL"/>
        </w:rPr>
        <w:t>Wyrok z dnia 28 sierpnia 2018 r.</w:t>
      </w:r>
    </w:p>
    <w:p w14:paraId="602BBC32" w14:textId="77777777" w:rsidR="00896AF5" w:rsidRPr="00896AF5" w:rsidRDefault="00896AF5" w:rsidP="00896AF5">
      <w:pPr>
        <w:ind w:left="119" w:right="839"/>
        <w:jc w:val="both"/>
        <w:rPr>
          <w:rFonts w:ascii="Verdana" w:eastAsia="Verdana" w:hAnsi="Verdana"/>
          <w:lang w:val="pl-PL"/>
        </w:rPr>
      </w:pPr>
      <w:r w:rsidRPr="00896AF5">
        <w:rPr>
          <w:rFonts w:ascii="Verdana" w:eastAsia="Verdana" w:hAnsi="Verdana"/>
          <w:lang w:val="pl-PL"/>
        </w:rPr>
        <w:t>Sprawa dotyczyła braku uzasadnienia przez węgierski Sąd Najwyższy (</w:t>
      </w:r>
      <w:proofErr w:type="spellStart"/>
      <w:r w:rsidRPr="00896AF5">
        <w:rPr>
          <w:rFonts w:ascii="Verdana" w:eastAsia="Verdana" w:hAnsi="Verdana"/>
          <w:lang w:val="pl-PL"/>
        </w:rPr>
        <w:t>Kúria</w:t>
      </w:r>
      <w:proofErr w:type="spellEnd"/>
      <w:r w:rsidRPr="00896AF5">
        <w:rPr>
          <w:rFonts w:ascii="Verdana" w:eastAsia="Verdana" w:hAnsi="Verdana"/>
          <w:lang w:val="pl-PL"/>
        </w:rPr>
        <w:t>) odmowy skierowania do Trybunału Sprawiedliwości Unii Europejskiej (TSUE) wniosku o wydanie orzeczenia w trybie prejudycjalnym w sprawie sporu emerytalnego oraz długości postępowania przed sądami krajowymi. Skarżący zarzucił w szczególności, że władze węgierskie nie wzięły należycie pod uwagę mających zastosowanie przepisów prawa UE, które w szczególności nakładały na sądy krajowe ostatniej instancji obowiązek uzasadnienia odmowy skierowania pytania prejudycjalnego do TSUE.</w:t>
      </w:r>
    </w:p>
    <w:p w14:paraId="58E1D258" w14:textId="08DFC02E" w:rsidR="006B7E64" w:rsidRDefault="00896AF5" w:rsidP="00896AF5">
      <w:pPr>
        <w:ind w:left="119" w:right="839"/>
        <w:jc w:val="both"/>
        <w:rPr>
          <w:rFonts w:ascii="Verdana" w:eastAsia="Verdana" w:hAnsi="Verdana"/>
          <w:color w:val="0072BC"/>
          <w:lang w:val="pl-PL"/>
        </w:rPr>
      </w:pPr>
      <w:r w:rsidRPr="00896AF5">
        <w:rPr>
          <w:rFonts w:ascii="Verdana" w:eastAsia="Verdana" w:hAnsi="Verdana"/>
          <w:color w:val="0072BC"/>
          <w:lang w:val="pl-PL"/>
        </w:rPr>
        <w:t xml:space="preserve">Trybunał uznał zarzut skarżącego dotyczący rzekomego braku odpowiedniego uzasadnienia w odniesieniu do potencjalnego wniosku o wydanie orzeczenia w trybie prejudycjalnym do TSUE za niedopuszczalny jako oczywiście bezzasadny. Stwierdził w szczególności, że odmowa skierowania sprawy do TSUE w trybie prejudycjalnym lub brak uzasadnienia w tej kwestii nie mogą być postrzegane jako arbitralne. Skarżąca w rzeczywistości nie wnioskowała o takie odesłanie do TSUE na odpowiednim etapie postępowania. Ponadto sądy krajowe wyraziły pogląd, że przepisy węgierskie i prawo UE nie są sprzeczne. Trybunał uznał jednak, że </w:t>
      </w:r>
      <w:r w:rsidRPr="00896AF5">
        <w:rPr>
          <w:rFonts w:ascii="Verdana" w:eastAsia="Verdana" w:hAnsi="Verdana"/>
          <w:b/>
          <w:bCs/>
          <w:color w:val="0072BC"/>
          <w:lang w:val="pl-PL"/>
        </w:rPr>
        <w:t>doszło do naruszenia art. 6 § 1</w:t>
      </w:r>
      <w:r w:rsidRPr="00896AF5">
        <w:rPr>
          <w:rFonts w:ascii="Verdana" w:eastAsia="Verdana" w:hAnsi="Verdana"/>
          <w:color w:val="0072BC"/>
          <w:lang w:val="pl-PL"/>
        </w:rPr>
        <w:t xml:space="preserve"> (prawo do rzetelnego procesu sądowego) Konwencji ze względu na zbyt długi czas trwania postępowania.</w:t>
      </w:r>
    </w:p>
    <w:p w14:paraId="04820D82" w14:textId="77777777" w:rsidR="006B7E64" w:rsidRDefault="006B7E64" w:rsidP="005715B6">
      <w:pPr>
        <w:ind w:left="119" w:right="839"/>
        <w:jc w:val="both"/>
        <w:rPr>
          <w:rFonts w:ascii="Verdana" w:eastAsia="Verdana" w:hAnsi="Verdana"/>
          <w:color w:val="0072BC"/>
          <w:lang w:val="pl-PL"/>
        </w:rPr>
      </w:pPr>
    </w:p>
    <w:p w14:paraId="606D5292" w14:textId="16D39E86" w:rsidR="00896AF5" w:rsidRPr="00896AF5" w:rsidRDefault="00896AF5" w:rsidP="00896AF5">
      <w:pPr>
        <w:ind w:left="119" w:right="839"/>
        <w:jc w:val="both"/>
        <w:rPr>
          <w:rFonts w:ascii="Verdana" w:eastAsia="Verdana" w:hAnsi="Verdana"/>
          <w:b/>
          <w:bCs/>
          <w:color w:val="0072BC"/>
          <w:lang w:val="pl-PL"/>
        </w:rPr>
      </w:pPr>
      <w:hyperlink r:id="rId34" w:anchor="{%22itemid%22:[%22003-6382003-8367062%22]}" w:history="1">
        <w:proofErr w:type="spellStart"/>
        <w:r w:rsidRPr="00896AF5">
          <w:rPr>
            <w:rStyle w:val="Hipercze"/>
            <w:rFonts w:ascii="Verdana" w:eastAsia="Verdana" w:hAnsi="Verdana"/>
            <w:b/>
            <w:bCs/>
            <w:lang w:val="pl-PL"/>
          </w:rPr>
          <w:t>Harisch</w:t>
        </w:r>
        <w:proofErr w:type="spellEnd"/>
        <w:r w:rsidRPr="00896AF5">
          <w:rPr>
            <w:rStyle w:val="Hipercze"/>
            <w:rFonts w:ascii="Verdana" w:eastAsia="Verdana" w:hAnsi="Verdana"/>
            <w:b/>
            <w:bCs/>
            <w:lang w:val="pl-PL"/>
          </w:rPr>
          <w:t xml:space="preserve"> przeciwko Niemcom</w:t>
        </w:r>
      </w:hyperlink>
    </w:p>
    <w:p w14:paraId="5D05A1CD" w14:textId="77777777" w:rsidR="00896AF5" w:rsidRPr="00896AF5" w:rsidRDefault="00896AF5" w:rsidP="00896AF5">
      <w:pPr>
        <w:ind w:left="119" w:right="839"/>
        <w:jc w:val="both"/>
        <w:rPr>
          <w:rFonts w:ascii="Verdana" w:eastAsia="Verdana" w:hAnsi="Verdana"/>
          <w:color w:val="808080" w:themeColor="background1" w:themeShade="80"/>
          <w:lang w:val="pl-PL"/>
        </w:rPr>
      </w:pPr>
      <w:r w:rsidRPr="00896AF5">
        <w:rPr>
          <w:rFonts w:ascii="Verdana" w:eastAsia="Verdana" w:hAnsi="Verdana"/>
          <w:color w:val="808080" w:themeColor="background1" w:themeShade="80"/>
          <w:lang w:val="pl-PL"/>
        </w:rPr>
        <w:t>Wyrok z dnia 11 kwietnia 2019 r.</w:t>
      </w:r>
    </w:p>
    <w:p w14:paraId="3C1D0B7E" w14:textId="77777777" w:rsidR="00896AF5" w:rsidRPr="00896AF5" w:rsidRDefault="00896AF5" w:rsidP="00896AF5">
      <w:pPr>
        <w:ind w:left="119" w:right="839"/>
        <w:jc w:val="both"/>
        <w:rPr>
          <w:rFonts w:ascii="Verdana" w:eastAsia="Verdana" w:hAnsi="Verdana"/>
          <w:lang w:val="pl-PL"/>
        </w:rPr>
      </w:pPr>
      <w:r w:rsidRPr="00896AF5">
        <w:rPr>
          <w:rFonts w:ascii="Verdana" w:eastAsia="Verdana" w:hAnsi="Verdana"/>
          <w:lang w:val="pl-PL"/>
        </w:rPr>
        <w:t xml:space="preserve">Sprawa dotyczyła postępowania cywilnego, w toku którego skarżący wniósł o skierowanie sprawy do Trybunału Sprawiedliwości Unii Europejskiej. Skarżący zarzucił sądom </w:t>
      </w:r>
      <w:r w:rsidRPr="00896AF5">
        <w:rPr>
          <w:rFonts w:ascii="Verdana" w:eastAsia="Verdana" w:hAnsi="Verdana"/>
          <w:lang w:val="pl-PL"/>
        </w:rPr>
        <w:lastRenderedPageBreak/>
        <w:t>niemieckim odmowę skierowania pytań prejudycjalnych do Trybunału Sprawiedliwości oraz brak odpowiedniego uzasadnienia tej odmowy.</w:t>
      </w:r>
    </w:p>
    <w:p w14:paraId="7C4DC279" w14:textId="414EA855" w:rsidR="006B7E64" w:rsidRDefault="00896AF5" w:rsidP="00896AF5">
      <w:pPr>
        <w:ind w:left="119" w:right="839"/>
        <w:jc w:val="both"/>
        <w:rPr>
          <w:rFonts w:ascii="Verdana" w:eastAsia="Verdana" w:hAnsi="Verdana"/>
          <w:color w:val="0072BC"/>
          <w:lang w:val="pl-PL"/>
        </w:rPr>
      </w:pPr>
      <w:r w:rsidRPr="00896AF5">
        <w:rPr>
          <w:rFonts w:ascii="Verdana" w:eastAsia="Verdana" w:hAnsi="Verdana"/>
          <w:color w:val="0072BC"/>
          <w:lang w:val="pl-PL"/>
        </w:rPr>
        <w:t xml:space="preserve">Trybunał uznał, że </w:t>
      </w:r>
      <w:r w:rsidRPr="00896AF5">
        <w:rPr>
          <w:rFonts w:ascii="Verdana" w:eastAsia="Verdana" w:hAnsi="Verdana"/>
          <w:b/>
          <w:bCs/>
          <w:color w:val="0072BC"/>
          <w:lang w:val="pl-PL"/>
        </w:rPr>
        <w:t>nie doszło do naruszenia Artykułu 6 § 1</w:t>
      </w:r>
      <w:r w:rsidRPr="00896AF5">
        <w:rPr>
          <w:rFonts w:ascii="Verdana" w:eastAsia="Verdana" w:hAnsi="Verdana"/>
          <w:color w:val="0072BC"/>
          <w:lang w:val="pl-PL"/>
        </w:rPr>
        <w:t xml:space="preserve"> (prawo do rzetelnego procesu sądowego) Konwencji, stwierdzając w szczególności, że odmowa skierowania sprawy przez sądy niemieckie, która nie wydawała się arbitralna, miała wystarczające powody.</w:t>
      </w:r>
    </w:p>
    <w:p w14:paraId="18011688" w14:textId="4AF04451" w:rsidR="007A2A36" w:rsidRPr="007A2A36" w:rsidRDefault="007A2A36" w:rsidP="007A2A36">
      <w:pPr>
        <w:ind w:left="119" w:right="839"/>
        <w:jc w:val="both"/>
        <w:rPr>
          <w:rFonts w:ascii="Verdana" w:eastAsia="Verdana" w:hAnsi="Verdana"/>
          <w:b/>
          <w:bCs/>
          <w:color w:val="0072BC"/>
          <w:lang w:val="pl-PL"/>
        </w:rPr>
      </w:pPr>
      <w:hyperlink r:id="rId35" w:anchor="{%22itemid%22:[%22003-6393491-8389408%22]}" w:history="1">
        <w:proofErr w:type="spellStart"/>
        <w:r w:rsidRPr="007A2A36">
          <w:rPr>
            <w:rStyle w:val="Hipercze"/>
            <w:rFonts w:ascii="Verdana" w:eastAsia="Verdana" w:hAnsi="Verdana"/>
            <w:b/>
            <w:bCs/>
            <w:lang w:val="pl-PL"/>
          </w:rPr>
          <w:t>Repcevirág</w:t>
        </w:r>
        <w:proofErr w:type="spellEnd"/>
        <w:r w:rsidRPr="007A2A36">
          <w:rPr>
            <w:rStyle w:val="Hipercze"/>
            <w:rFonts w:ascii="Verdana" w:eastAsia="Verdana" w:hAnsi="Verdana"/>
            <w:b/>
            <w:bCs/>
            <w:lang w:val="pl-PL"/>
          </w:rPr>
          <w:t xml:space="preserve"> </w:t>
        </w:r>
        <w:proofErr w:type="spellStart"/>
        <w:r w:rsidRPr="007A2A36">
          <w:rPr>
            <w:rStyle w:val="Hipercze"/>
            <w:rFonts w:ascii="Verdana" w:eastAsia="Verdana" w:hAnsi="Verdana"/>
            <w:b/>
            <w:bCs/>
            <w:lang w:val="pl-PL"/>
          </w:rPr>
          <w:t>Szövetkezet</w:t>
        </w:r>
        <w:proofErr w:type="spellEnd"/>
        <w:r w:rsidRPr="007A2A36">
          <w:rPr>
            <w:rStyle w:val="Hipercze"/>
            <w:rFonts w:ascii="Verdana" w:eastAsia="Verdana" w:hAnsi="Verdana"/>
            <w:b/>
            <w:bCs/>
            <w:lang w:val="pl-PL"/>
          </w:rPr>
          <w:t xml:space="preserve"> przeciwko Węgrom</w:t>
        </w:r>
      </w:hyperlink>
    </w:p>
    <w:p w14:paraId="7CCA2576" w14:textId="77777777" w:rsidR="007A2A36" w:rsidRPr="00B155E5" w:rsidRDefault="007A2A36" w:rsidP="007A2A36">
      <w:pPr>
        <w:ind w:left="119" w:right="839"/>
        <w:jc w:val="both"/>
        <w:rPr>
          <w:rFonts w:ascii="Verdana" w:eastAsia="Verdana" w:hAnsi="Verdana"/>
          <w:color w:val="808080" w:themeColor="background1" w:themeShade="80"/>
          <w:sz w:val="18"/>
          <w:szCs w:val="18"/>
          <w:lang w:val="pl-PL"/>
        </w:rPr>
      </w:pPr>
      <w:r w:rsidRPr="00B155E5">
        <w:rPr>
          <w:rFonts w:ascii="Verdana" w:eastAsia="Verdana" w:hAnsi="Verdana"/>
          <w:color w:val="808080" w:themeColor="background1" w:themeShade="80"/>
          <w:sz w:val="18"/>
          <w:szCs w:val="18"/>
          <w:lang w:val="pl-PL"/>
        </w:rPr>
        <w:t>Wyrok z dnia 30 kwietnia 2019 r.</w:t>
      </w:r>
    </w:p>
    <w:p w14:paraId="720C19B3" w14:textId="27C350A5" w:rsidR="007A2A36" w:rsidRPr="00B155E5" w:rsidRDefault="007A2A36" w:rsidP="007A2A36">
      <w:pPr>
        <w:ind w:left="119" w:right="839"/>
        <w:jc w:val="both"/>
        <w:rPr>
          <w:rFonts w:ascii="Verdana" w:eastAsia="Verdana" w:hAnsi="Verdana"/>
          <w:lang w:val="pl-PL"/>
        </w:rPr>
      </w:pPr>
      <w:r w:rsidRPr="00B155E5">
        <w:rPr>
          <w:rFonts w:ascii="Verdana" w:eastAsia="Verdana" w:hAnsi="Verdana"/>
          <w:lang w:val="pl-PL"/>
        </w:rPr>
        <w:t xml:space="preserve">Sprawa dotyczyła skargi spółki na brak skierowania przez sądy krajowe, w szczególności </w:t>
      </w:r>
      <w:proofErr w:type="spellStart"/>
      <w:r w:rsidRPr="00B155E5">
        <w:rPr>
          <w:rFonts w:ascii="Verdana" w:eastAsia="Verdana" w:hAnsi="Verdana"/>
          <w:lang w:val="pl-PL"/>
        </w:rPr>
        <w:t>Kúria</w:t>
      </w:r>
      <w:proofErr w:type="spellEnd"/>
      <w:r w:rsidRPr="00B155E5">
        <w:rPr>
          <w:rFonts w:ascii="Verdana" w:eastAsia="Verdana" w:hAnsi="Verdana"/>
          <w:lang w:val="pl-PL"/>
        </w:rPr>
        <w:t xml:space="preserve"> i Trybunał Konstytucyjny, pytań prejudycjalnych do Trybunału Sprawiedliwości Unii Europejskiej.</w:t>
      </w:r>
    </w:p>
    <w:p w14:paraId="55704EB9" w14:textId="5542CF5A" w:rsidR="006B7E64" w:rsidRDefault="007A2A36" w:rsidP="007A2A36">
      <w:pPr>
        <w:ind w:left="119" w:right="839"/>
        <w:jc w:val="both"/>
        <w:rPr>
          <w:rFonts w:ascii="Verdana" w:eastAsia="Verdana" w:hAnsi="Verdana"/>
          <w:color w:val="0072BC"/>
          <w:lang w:val="pl-PL"/>
        </w:rPr>
      </w:pPr>
      <w:r w:rsidRPr="007A2A36">
        <w:rPr>
          <w:rFonts w:ascii="Verdana" w:eastAsia="Verdana" w:hAnsi="Verdana"/>
          <w:color w:val="0072BC"/>
          <w:lang w:val="pl-PL"/>
        </w:rPr>
        <w:t xml:space="preserve">Trybunał orzekł, że </w:t>
      </w:r>
      <w:r w:rsidRPr="00B155E5">
        <w:rPr>
          <w:rFonts w:ascii="Verdana" w:eastAsia="Verdana" w:hAnsi="Verdana"/>
          <w:b/>
          <w:bCs/>
          <w:color w:val="0072BC"/>
          <w:lang w:val="pl-PL"/>
        </w:rPr>
        <w:t>nie doszło do naruszenia Artykułu 6 § 1</w:t>
      </w:r>
      <w:r w:rsidRPr="007A2A36">
        <w:rPr>
          <w:rFonts w:ascii="Verdana" w:eastAsia="Verdana" w:hAnsi="Verdana"/>
          <w:color w:val="0072BC"/>
          <w:lang w:val="pl-PL"/>
        </w:rPr>
        <w:t xml:space="preserve"> (prawo do rzetelnego procesu sądowego) Konwencji, stwierdzając, że decyzje sądów węgierskich nie były ani arbitralne, ani oczywiście nierozsądne. W szczególności </w:t>
      </w:r>
      <w:proofErr w:type="spellStart"/>
      <w:r w:rsidRPr="007A2A36">
        <w:rPr>
          <w:rFonts w:ascii="Verdana" w:eastAsia="Verdana" w:hAnsi="Verdana"/>
          <w:color w:val="0072BC"/>
          <w:lang w:val="pl-PL"/>
        </w:rPr>
        <w:t>Kúria</w:t>
      </w:r>
      <w:proofErr w:type="spellEnd"/>
      <w:r w:rsidRPr="007A2A36">
        <w:rPr>
          <w:rFonts w:ascii="Verdana" w:eastAsia="Verdana" w:hAnsi="Verdana"/>
          <w:color w:val="0072BC"/>
          <w:lang w:val="pl-PL"/>
        </w:rPr>
        <w:t xml:space="preserve"> zauważył, że skarżąca spółka nie podniosła żadnych kwestii związanych z prawem UE w pierwszym postępowaniu i nie mogła następnie powoływać się na takie kwestie w odrębnej sprawie o odszkodowanie przeciwko Sądowi Najwyższemu.</w:t>
      </w:r>
    </w:p>
    <w:p w14:paraId="32FBF985" w14:textId="77777777" w:rsidR="006B7E64" w:rsidRDefault="006B7E64" w:rsidP="005715B6">
      <w:pPr>
        <w:ind w:left="119" w:right="839"/>
        <w:jc w:val="both"/>
        <w:rPr>
          <w:rFonts w:ascii="Verdana" w:eastAsia="Verdana" w:hAnsi="Verdana"/>
          <w:color w:val="0072BC"/>
          <w:lang w:val="pl-PL"/>
        </w:rPr>
      </w:pPr>
    </w:p>
    <w:p w14:paraId="40F90551" w14:textId="1628B4AE" w:rsidR="00B155E5" w:rsidRPr="00B155E5" w:rsidRDefault="00B155E5" w:rsidP="00B155E5">
      <w:pPr>
        <w:ind w:left="119" w:right="839"/>
        <w:jc w:val="both"/>
        <w:rPr>
          <w:rFonts w:ascii="Verdana" w:eastAsia="Verdana" w:hAnsi="Verdana"/>
          <w:b/>
          <w:bCs/>
          <w:color w:val="0072BC"/>
          <w:lang w:val="pl-PL"/>
        </w:rPr>
      </w:pPr>
      <w:hyperlink r:id="rId36" w:anchor="{%22itemid%22:[%22003-6638496-8816340%22]}" w:history="1">
        <w:r w:rsidRPr="00B155E5">
          <w:rPr>
            <w:rStyle w:val="Hipercze"/>
            <w:rFonts w:ascii="Verdana" w:eastAsia="Verdana" w:hAnsi="Verdana"/>
            <w:b/>
            <w:bCs/>
            <w:lang w:val="pl-PL"/>
          </w:rPr>
          <w:t>Sanofi Pasteur przeciwko Francji</w:t>
        </w:r>
      </w:hyperlink>
    </w:p>
    <w:p w14:paraId="2C4DB89D" w14:textId="77777777" w:rsidR="00B155E5" w:rsidRPr="00B155E5" w:rsidRDefault="00B155E5" w:rsidP="00B155E5">
      <w:pPr>
        <w:ind w:left="119" w:right="839"/>
        <w:jc w:val="both"/>
        <w:rPr>
          <w:rFonts w:ascii="Verdana" w:eastAsia="Verdana" w:hAnsi="Verdana"/>
          <w:color w:val="808080" w:themeColor="background1" w:themeShade="80"/>
          <w:sz w:val="18"/>
          <w:szCs w:val="18"/>
          <w:lang w:val="pl-PL"/>
        </w:rPr>
      </w:pPr>
      <w:r w:rsidRPr="00B155E5">
        <w:rPr>
          <w:rFonts w:ascii="Verdana" w:eastAsia="Verdana" w:hAnsi="Verdana"/>
          <w:color w:val="808080" w:themeColor="background1" w:themeShade="80"/>
          <w:sz w:val="18"/>
          <w:szCs w:val="18"/>
          <w:lang w:val="pl-PL"/>
        </w:rPr>
        <w:t>13 lutego 2020 r.</w:t>
      </w:r>
    </w:p>
    <w:p w14:paraId="3CB01DC0" w14:textId="77777777" w:rsidR="00B155E5" w:rsidRPr="00B155E5" w:rsidRDefault="00B155E5" w:rsidP="00B155E5">
      <w:pPr>
        <w:ind w:left="119" w:right="839"/>
        <w:jc w:val="both"/>
        <w:rPr>
          <w:rFonts w:ascii="Verdana" w:eastAsia="Verdana" w:hAnsi="Verdana"/>
          <w:lang w:val="pl-PL"/>
        </w:rPr>
      </w:pPr>
      <w:r w:rsidRPr="00B155E5">
        <w:rPr>
          <w:rFonts w:ascii="Verdana" w:eastAsia="Verdana" w:hAnsi="Verdana"/>
          <w:lang w:val="pl-PL"/>
        </w:rPr>
        <w:t>Sprawa ta dotyczyła odpowiedzialności skarżącej spółki wobec osoby fizycznej, stażystki pielęgniarki, która została zaszczepiona przeciwko wirusowemu zapaleniu wątroby typu B, a następnie zachorowała na różne choroby, oraz nakazu sądowego przeciwko skarżącej spółce o zapłatę odszkodowania. Skarżąca spółka skarżyła się w szczególności na fakt, że francuski Sąd Kasacyjny oddalił, bez podania przyczyn, jej wniosek o wydanie przez Trybunał Sprawiedliwości Unii Europejskiej orzeczenia w trybie prejudycjalnym dotyczącego art. 4 dyrektywy 85/374, który stanowi, że poszkodowany musi udowodnić szkodę, wadę i związek przyczynowy między wadą a szkodą.</w:t>
      </w:r>
    </w:p>
    <w:p w14:paraId="267FB9ED" w14:textId="79481B93" w:rsidR="006B7E64" w:rsidRDefault="00B155E5" w:rsidP="00B155E5">
      <w:pPr>
        <w:ind w:left="119" w:right="839"/>
        <w:jc w:val="both"/>
        <w:rPr>
          <w:rFonts w:ascii="Verdana" w:eastAsia="Verdana" w:hAnsi="Verdana"/>
          <w:color w:val="0072BC"/>
          <w:lang w:val="pl-PL"/>
        </w:rPr>
      </w:pPr>
      <w:r w:rsidRPr="00B155E5">
        <w:rPr>
          <w:rFonts w:ascii="Verdana" w:eastAsia="Verdana" w:hAnsi="Verdana"/>
          <w:color w:val="0072BC"/>
          <w:lang w:val="pl-PL"/>
        </w:rPr>
        <w:t xml:space="preserve">Trybunał uznał, że </w:t>
      </w:r>
      <w:r w:rsidRPr="00B155E5">
        <w:rPr>
          <w:rFonts w:ascii="Verdana" w:eastAsia="Verdana" w:hAnsi="Verdana"/>
          <w:b/>
          <w:bCs/>
          <w:color w:val="0072BC"/>
          <w:lang w:val="pl-PL"/>
        </w:rPr>
        <w:t>doszło do naruszenia Artykułu 6 § 1</w:t>
      </w:r>
      <w:r w:rsidRPr="00B155E5">
        <w:rPr>
          <w:rFonts w:ascii="Verdana" w:eastAsia="Verdana" w:hAnsi="Verdana"/>
          <w:color w:val="0072BC"/>
          <w:lang w:val="pl-PL"/>
        </w:rPr>
        <w:t xml:space="preserve"> (prawo do rzetelnego procesu sądowego) Konwencji z powodu braku uzasadnienia decyzji o odrzuceniu wniosku skarżącej spółki o skierowanie pytań prejudycjalnych do Trybunału Sprawiedliwości Unii Europejskiej. Trybunał powtórzył w szczególności, że Konwencja nie gwarantuje jako takiego prawa do skierowania sprawy przez sąd krajowy do Trybunału Sprawiedliwości w trybie prejudycjalnym. Jednakże art. 6 § 1 wymagał od sądów krajowych uzasadnienia każdej decyzji odmawiającej skierowania pytania prejudycjalnego, zwłaszcza gdy obowiązujące prawo zezwalało na taką odmowę jedynie w wyjątkowych przypadkach.</w:t>
      </w:r>
      <w:r w:rsidRPr="00B155E5">
        <w:t xml:space="preserve"> </w:t>
      </w:r>
      <w:r w:rsidRPr="00B155E5">
        <w:rPr>
          <w:rFonts w:ascii="Verdana" w:eastAsia="Verdana" w:hAnsi="Verdana"/>
          <w:color w:val="0072BC"/>
          <w:lang w:val="pl-PL"/>
        </w:rPr>
        <w:t>Trybunał podkreślił ponadto, że okoliczności sprawy i stawka w postępowaniu dla skarżącej spółki wymagały szczególnie jasnego wyjaśnienia decyzji o niezwracaniu się z pytaniami prejudycjalnymi do TSUE.</w:t>
      </w:r>
    </w:p>
    <w:p w14:paraId="31A26A15" w14:textId="77777777" w:rsidR="006B7E64" w:rsidRDefault="006B7E64" w:rsidP="005715B6">
      <w:pPr>
        <w:ind w:left="119" w:right="839"/>
        <w:jc w:val="both"/>
        <w:rPr>
          <w:rFonts w:ascii="Verdana" w:eastAsia="Verdana" w:hAnsi="Verdana"/>
          <w:color w:val="0072BC"/>
          <w:lang w:val="pl-PL"/>
        </w:rPr>
      </w:pPr>
    </w:p>
    <w:p w14:paraId="0608CA0C" w14:textId="664077C3" w:rsidR="00046A9E" w:rsidRPr="00B155E5" w:rsidRDefault="00B155E5" w:rsidP="00046A9E">
      <w:pPr>
        <w:ind w:left="119" w:right="839"/>
        <w:jc w:val="both"/>
        <w:rPr>
          <w:rFonts w:ascii="Verdana" w:eastAsia="Verdana" w:hAnsi="Verdana"/>
          <w:i/>
          <w:iCs/>
          <w:lang w:val="pl-PL"/>
        </w:rPr>
      </w:pPr>
      <w:r w:rsidRPr="00B155E5">
        <w:rPr>
          <w:rFonts w:ascii="Verdana" w:eastAsia="Verdana" w:hAnsi="Verdana"/>
          <w:i/>
          <w:iCs/>
          <w:lang w:val="pl-PL"/>
        </w:rPr>
        <w:t>Zobacz także ostatnio:</w:t>
      </w:r>
    </w:p>
    <w:p w14:paraId="780088A1" w14:textId="1639BBF7" w:rsidR="00B155E5" w:rsidRPr="00046A9E" w:rsidRDefault="00046A9E" w:rsidP="00B155E5">
      <w:pPr>
        <w:ind w:left="119" w:right="839"/>
        <w:jc w:val="both"/>
        <w:rPr>
          <w:rFonts w:ascii="Verdana" w:eastAsia="Verdana" w:hAnsi="Verdana"/>
          <w:b/>
          <w:bCs/>
          <w:color w:val="0072BC"/>
          <w:lang w:val="pl-PL"/>
        </w:rPr>
      </w:pPr>
      <w:hyperlink r:id="rId37" w:anchor="{%22itemid%22:[%22001-211171%22]}" w:history="1">
        <w:proofErr w:type="spellStart"/>
        <w:r w:rsidR="00B155E5" w:rsidRPr="00046A9E">
          <w:rPr>
            <w:rStyle w:val="Hipercze"/>
            <w:rFonts w:ascii="Verdana" w:eastAsia="Verdana" w:hAnsi="Verdana"/>
            <w:b/>
            <w:bCs/>
            <w:lang w:val="pl-PL"/>
          </w:rPr>
          <w:t>Quintanel</w:t>
        </w:r>
        <w:proofErr w:type="spellEnd"/>
        <w:r w:rsidR="00B155E5" w:rsidRPr="00046A9E">
          <w:rPr>
            <w:rStyle w:val="Hipercze"/>
            <w:rFonts w:ascii="Verdana" w:eastAsia="Verdana" w:hAnsi="Verdana"/>
            <w:b/>
            <w:bCs/>
            <w:lang w:val="pl-PL"/>
          </w:rPr>
          <w:t xml:space="preserve"> przeciwko Francji i 14 innych skarg</w:t>
        </w:r>
      </w:hyperlink>
    </w:p>
    <w:p w14:paraId="47868A90" w14:textId="028818BC" w:rsidR="00B155E5" w:rsidRPr="00046A9E" w:rsidRDefault="00B155E5" w:rsidP="00B155E5">
      <w:pPr>
        <w:ind w:left="119" w:right="839"/>
        <w:jc w:val="both"/>
        <w:rPr>
          <w:rFonts w:ascii="Verdana" w:eastAsia="Verdana" w:hAnsi="Verdana"/>
          <w:color w:val="808080" w:themeColor="background1" w:themeShade="80"/>
          <w:sz w:val="18"/>
          <w:szCs w:val="18"/>
          <w:lang w:val="pl-PL"/>
        </w:rPr>
      </w:pPr>
      <w:r w:rsidRPr="00046A9E">
        <w:rPr>
          <w:rFonts w:ascii="Verdana" w:eastAsia="Verdana" w:hAnsi="Verdana"/>
          <w:color w:val="808080" w:themeColor="background1" w:themeShade="80"/>
          <w:sz w:val="18"/>
          <w:szCs w:val="18"/>
          <w:lang w:val="pl-PL"/>
        </w:rPr>
        <w:t>Decyzja komitetu z dnia 17 czerwca 202</w:t>
      </w:r>
      <w:r w:rsidR="00046A9E" w:rsidRPr="00046A9E">
        <w:rPr>
          <w:rFonts w:ascii="Verdana" w:eastAsia="Verdana" w:hAnsi="Verdana"/>
          <w:color w:val="808080" w:themeColor="background1" w:themeShade="80"/>
          <w:sz w:val="18"/>
          <w:szCs w:val="18"/>
          <w:lang w:val="pl-PL"/>
        </w:rPr>
        <w:t>2</w:t>
      </w:r>
      <w:r w:rsidR="00046A9E" w:rsidRPr="00046A9E">
        <w:rPr>
          <w:rStyle w:val="Odwoanieprzypisudolnego"/>
          <w:rFonts w:ascii="Verdana" w:eastAsia="Verdana" w:hAnsi="Verdana"/>
          <w:color w:val="808080" w:themeColor="background1" w:themeShade="80"/>
          <w:sz w:val="18"/>
          <w:szCs w:val="18"/>
          <w:lang w:val="pl-PL"/>
        </w:rPr>
        <w:footnoteReference w:id="5"/>
      </w:r>
      <w:r w:rsidRPr="00046A9E">
        <w:rPr>
          <w:rFonts w:ascii="Verdana" w:eastAsia="Verdana" w:hAnsi="Verdana"/>
          <w:color w:val="808080" w:themeColor="background1" w:themeShade="80"/>
          <w:sz w:val="18"/>
          <w:szCs w:val="18"/>
          <w:lang w:val="pl-PL"/>
        </w:rPr>
        <w:t xml:space="preserve"> r.</w:t>
      </w:r>
    </w:p>
    <w:p w14:paraId="6EFB7B49" w14:textId="77777777" w:rsidR="00B155E5" w:rsidRPr="00B155E5" w:rsidRDefault="00B155E5" w:rsidP="00B155E5">
      <w:pPr>
        <w:ind w:left="119" w:right="839"/>
        <w:jc w:val="both"/>
        <w:rPr>
          <w:rFonts w:ascii="Verdana" w:eastAsia="Verdana" w:hAnsi="Verdana"/>
          <w:color w:val="0072BC"/>
          <w:lang w:val="pl-PL"/>
        </w:rPr>
      </w:pPr>
    </w:p>
    <w:p w14:paraId="0F7E9CBE" w14:textId="1EB32A64" w:rsidR="00B155E5" w:rsidRPr="00046A9E" w:rsidRDefault="00046A9E" w:rsidP="00B155E5">
      <w:pPr>
        <w:ind w:left="119" w:right="839"/>
        <w:jc w:val="both"/>
        <w:rPr>
          <w:rFonts w:ascii="Verdana" w:eastAsia="Verdana" w:hAnsi="Verdana"/>
          <w:b/>
          <w:bCs/>
          <w:color w:val="0072BC"/>
          <w:lang w:val="pl-PL"/>
        </w:rPr>
      </w:pPr>
      <w:hyperlink r:id="rId38" w:anchor="{%22itemid%22:[%22002-13947%22]}" w:history="1">
        <w:proofErr w:type="spellStart"/>
        <w:r w:rsidR="00B155E5" w:rsidRPr="00046A9E">
          <w:rPr>
            <w:rStyle w:val="Hipercze"/>
            <w:rFonts w:ascii="Verdana" w:eastAsia="Verdana" w:hAnsi="Verdana"/>
            <w:b/>
            <w:bCs/>
            <w:lang w:val="pl-PL"/>
          </w:rPr>
          <w:t>Rutar</w:t>
        </w:r>
        <w:proofErr w:type="spellEnd"/>
        <w:r w:rsidR="00B155E5" w:rsidRPr="00046A9E">
          <w:rPr>
            <w:rStyle w:val="Hipercze"/>
            <w:rFonts w:ascii="Verdana" w:eastAsia="Verdana" w:hAnsi="Verdana"/>
            <w:b/>
            <w:bCs/>
            <w:lang w:val="pl-PL"/>
          </w:rPr>
          <w:t xml:space="preserve"> i </w:t>
        </w:r>
        <w:proofErr w:type="spellStart"/>
        <w:r w:rsidR="00B155E5" w:rsidRPr="00046A9E">
          <w:rPr>
            <w:rStyle w:val="Hipercze"/>
            <w:rFonts w:ascii="Verdana" w:eastAsia="Verdana" w:hAnsi="Verdana"/>
            <w:b/>
            <w:bCs/>
            <w:lang w:val="pl-PL"/>
          </w:rPr>
          <w:t>Rutar</w:t>
        </w:r>
        <w:proofErr w:type="spellEnd"/>
        <w:r w:rsidR="00B155E5" w:rsidRPr="00046A9E">
          <w:rPr>
            <w:rStyle w:val="Hipercze"/>
            <w:rFonts w:ascii="Verdana" w:eastAsia="Verdana" w:hAnsi="Verdana"/>
            <w:b/>
            <w:bCs/>
            <w:lang w:val="pl-PL"/>
          </w:rPr>
          <w:t xml:space="preserve"> Marketing </w:t>
        </w:r>
        <w:proofErr w:type="spellStart"/>
        <w:r w:rsidR="00B155E5" w:rsidRPr="00046A9E">
          <w:rPr>
            <w:rStyle w:val="Hipercze"/>
            <w:rFonts w:ascii="Verdana" w:eastAsia="Verdana" w:hAnsi="Verdana"/>
            <w:b/>
            <w:bCs/>
            <w:lang w:val="pl-PL"/>
          </w:rPr>
          <w:t>d.o.o</w:t>
        </w:r>
        <w:proofErr w:type="spellEnd"/>
        <w:r w:rsidR="00B155E5" w:rsidRPr="00046A9E">
          <w:rPr>
            <w:rStyle w:val="Hipercze"/>
            <w:rFonts w:ascii="Verdana" w:eastAsia="Verdana" w:hAnsi="Verdana"/>
            <w:b/>
            <w:bCs/>
            <w:lang w:val="pl-PL"/>
          </w:rPr>
          <w:t>. przeciwko Słowenii</w:t>
        </w:r>
      </w:hyperlink>
    </w:p>
    <w:p w14:paraId="439B7CB2" w14:textId="3F0B83E4" w:rsidR="00B155E5" w:rsidRPr="00046A9E" w:rsidRDefault="00B155E5" w:rsidP="00B155E5">
      <w:pPr>
        <w:ind w:left="119" w:right="839"/>
        <w:jc w:val="both"/>
        <w:rPr>
          <w:rFonts w:ascii="Verdana" w:eastAsia="Verdana" w:hAnsi="Verdana"/>
          <w:color w:val="808080" w:themeColor="background1" w:themeShade="80"/>
          <w:sz w:val="18"/>
          <w:szCs w:val="18"/>
          <w:lang w:val="pl-PL"/>
        </w:rPr>
      </w:pPr>
      <w:r w:rsidRPr="00046A9E">
        <w:rPr>
          <w:rFonts w:ascii="Verdana" w:eastAsia="Verdana" w:hAnsi="Verdana"/>
          <w:color w:val="808080" w:themeColor="background1" w:themeShade="80"/>
          <w:sz w:val="18"/>
          <w:szCs w:val="18"/>
          <w:lang w:val="pl-PL"/>
        </w:rPr>
        <w:t>Wyrok z dnia 15 grudnia 2022 r.</w:t>
      </w:r>
    </w:p>
    <w:p w14:paraId="34B0287B" w14:textId="77777777" w:rsidR="00B155E5" w:rsidRPr="00B155E5" w:rsidRDefault="00B155E5" w:rsidP="00B155E5">
      <w:pPr>
        <w:ind w:left="119" w:right="839"/>
        <w:jc w:val="both"/>
        <w:rPr>
          <w:rFonts w:ascii="Verdana" w:eastAsia="Verdana" w:hAnsi="Verdana"/>
          <w:color w:val="0072BC"/>
          <w:lang w:val="pl-PL"/>
        </w:rPr>
      </w:pPr>
    </w:p>
    <w:p w14:paraId="1EEF0421" w14:textId="77777777" w:rsidR="00B155E5" w:rsidRPr="00046A9E" w:rsidRDefault="00B155E5" w:rsidP="00B155E5">
      <w:pPr>
        <w:ind w:left="119" w:right="839"/>
        <w:jc w:val="both"/>
        <w:rPr>
          <w:rFonts w:ascii="Verdana" w:eastAsia="Verdana" w:hAnsi="Verdana"/>
          <w:color w:val="808080" w:themeColor="background1" w:themeShade="80"/>
          <w:sz w:val="18"/>
          <w:szCs w:val="18"/>
          <w:lang w:val="pl-PL"/>
        </w:rPr>
      </w:pPr>
      <w:r w:rsidRPr="00046A9E">
        <w:rPr>
          <w:rFonts w:ascii="Verdana" w:eastAsia="Verdana" w:hAnsi="Verdana"/>
          <w:color w:val="808080" w:themeColor="background1" w:themeShade="80"/>
          <w:sz w:val="28"/>
          <w:szCs w:val="28"/>
          <w:lang w:val="pl-PL"/>
        </w:rPr>
        <w:t>Europejski nakaz aresztowania</w:t>
      </w:r>
    </w:p>
    <w:p w14:paraId="48830AC1" w14:textId="74B96C05" w:rsidR="00046A9E" w:rsidRPr="00046A9E" w:rsidRDefault="00046A9E" w:rsidP="00B155E5">
      <w:pPr>
        <w:ind w:left="119" w:right="839"/>
        <w:jc w:val="both"/>
        <w:rPr>
          <w:rStyle w:val="Hipercze"/>
          <w:rFonts w:ascii="Verdana" w:eastAsia="Verdana" w:hAnsi="Verdana"/>
          <w:b/>
          <w:bCs/>
          <w:lang w:val="pl-PL"/>
        </w:rPr>
      </w:pPr>
      <w:r>
        <w:rPr>
          <w:rFonts w:ascii="Verdana" w:eastAsia="Verdana" w:hAnsi="Verdana"/>
          <w:b/>
          <w:bCs/>
          <w:color w:val="0072BC"/>
          <w:lang w:val="pl-PL"/>
        </w:rPr>
        <w:fldChar w:fldCharType="begin"/>
      </w:r>
      <w:r>
        <w:rPr>
          <w:rFonts w:ascii="Verdana" w:eastAsia="Verdana" w:hAnsi="Verdana"/>
          <w:b/>
          <w:bCs/>
          <w:color w:val="0072BC"/>
          <w:lang w:val="pl-PL"/>
        </w:rPr>
        <w:instrText>HYPERLINK "https://hudoc.echr.coe.int/tkp197/view.asp" \l "%20"</w:instrText>
      </w:r>
      <w:r>
        <w:rPr>
          <w:rFonts w:ascii="Verdana" w:eastAsia="Verdana" w:hAnsi="Verdana"/>
          <w:b/>
          <w:bCs/>
          <w:color w:val="0072BC"/>
          <w:lang w:val="pl-PL"/>
        </w:rPr>
      </w:r>
      <w:r>
        <w:rPr>
          <w:rFonts w:ascii="Verdana" w:eastAsia="Verdana" w:hAnsi="Verdana"/>
          <w:b/>
          <w:bCs/>
          <w:color w:val="0072BC"/>
          <w:lang w:val="pl-PL"/>
        </w:rPr>
        <w:fldChar w:fldCharType="separate"/>
      </w:r>
    </w:p>
    <w:p w14:paraId="527E266D" w14:textId="65C55AFA" w:rsidR="00B155E5" w:rsidRPr="00046A9E" w:rsidRDefault="00B155E5" w:rsidP="00B155E5">
      <w:pPr>
        <w:ind w:left="119" w:right="839"/>
        <w:jc w:val="both"/>
        <w:rPr>
          <w:rFonts w:ascii="Verdana" w:eastAsia="Verdana" w:hAnsi="Verdana"/>
          <w:b/>
          <w:bCs/>
          <w:color w:val="0072BC"/>
          <w:lang w:val="pl-PL"/>
        </w:rPr>
      </w:pPr>
      <w:proofErr w:type="spellStart"/>
      <w:r w:rsidRPr="00046A9E">
        <w:rPr>
          <w:rStyle w:val="Hipercze"/>
          <w:rFonts w:ascii="Verdana" w:eastAsia="Verdana" w:hAnsi="Verdana"/>
          <w:b/>
          <w:bCs/>
          <w:lang w:val="pl-PL"/>
        </w:rPr>
        <w:t>Pianese</w:t>
      </w:r>
      <w:proofErr w:type="spellEnd"/>
      <w:r w:rsidRPr="00046A9E">
        <w:rPr>
          <w:rStyle w:val="Hipercze"/>
          <w:rFonts w:ascii="Verdana" w:eastAsia="Verdana" w:hAnsi="Verdana"/>
          <w:b/>
          <w:bCs/>
          <w:lang w:val="pl-PL"/>
        </w:rPr>
        <w:t xml:space="preserve"> przeciwko Włochom i Niderlandom</w:t>
      </w:r>
      <w:r w:rsidR="00046A9E">
        <w:rPr>
          <w:rFonts w:ascii="Verdana" w:eastAsia="Verdana" w:hAnsi="Verdana"/>
          <w:b/>
          <w:bCs/>
          <w:color w:val="0072BC"/>
          <w:lang w:val="pl-PL"/>
        </w:rPr>
        <w:fldChar w:fldCharType="end"/>
      </w:r>
    </w:p>
    <w:p w14:paraId="4C950587" w14:textId="77777777" w:rsidR="00B155E5" w:rsidRPr="00046A9E" w:rsidRDefault="00B155E5" w:rsidP="00B155E5">
      <w:pPr>
        <w:ind w:left="119" w:right="839"/>
        <w:jc w:val="both"/>
        <w:rPr>
          <w:rFonts w:ascii="Verdana" w:eastAsia="Verdana" w:hAnsi="Verdana"/>
          <w:color w:val="808080" w:themeColor="background1" w:themeShade="80"/>
          <w:sz w:val="18"/>
          <w:szCs w:val="18"/>
          <w:lang w:val="pl-PL"/>
        </w:rPr>
      </w:pPr>
      <w:r w:rsidRPr="00046A9E">
        <w:rPr>
          <w:rFonts w:ascii="Verdana" w:eastAsia="Verdana" w:hAnsi="Verdana"/>
          <w:color w:val="808080" w:themeColor="background1" w:themeShade="80"/>
          <w:sz w:val="18"/>
          <w:szCs w:val="18"/>
          <w:lang w:val="pl-PL"/>
        </w:rPr>
        <w:t>Decyzja w sprawie dopuszczalności z dnia 27 września 2011 r.</w:t>
      </w:r>
    </w:p>
    <w:p w14:paraId="45BDD3B5" w14:textId="0C01F565" w:rsidR="006B7E64" w:rsidRDefault="00B155E5" w:rsidP="00B155E5">
      <w:pPr>
        <w:ind w:left="119" w:right="839"/>
        <w:jc w:val="both"/>
        <w:rPr>
          <w:rFonts w:ascii="Verdana" w:eastAsia="Verdana" w:hAnsi="Verdana"/>
          <w:color w:val="0072BC"/>
          <w:lang w:val="pl-PL"/>
        </w:rPr>
      </w:pPr>
      <w:r w:rsidRPr="00046A9E">
        <w:rPr>
          <w:rFonts w:ascii="Verdana" w:eastAsia="Verdana" w:hAnsi="Verdana"/>
          <w:lang w:val="pl-PL"/>
        </w:rPr>
        <w:t xml:space="preserve">Skarżący jest obywatelem Włoch, który został zatrzymany na podstawie europejskiego nakazu aresztowania i skarżył się, że został arbitralnie pozbawiony wolności i nie </w:t>
      </w:r>
      <w:r w:rsidRPr="00046A9E">
        <w:rPr>
          <w:rFonts w:ascii="Verdana" w:eastAsia="Verdana" w:hAnsi="Verdana"/>
          <w:lang w:val="pl-PL"/>
        </w:rPr>
        <w:lastRenderedPageBreak/>
        <w:t>przysługiwały mu żadne skuteczne środki odwoławcze w odniesieniu do jego skarg na podstawie Artykułu 5 (prawo do wolności i bezpieczeństwa osobistego) Konwencji</w:t>
      </w:r>
      <w:r w:rsidRPr="00B155E5">
        <w:rPr>
          <w:rFonts w:ascii="Verdana" w:eastAsia="Verdana" w:hAnsi="Verdana"/>
          <w:color w:val="0072BC"/>
          <w:lang w:val="pl-PL"/>
        </w:rPr>
        <w:t>.</w:t>
      </w:r>
    </w:p>
    <w:p w14:paraId="3A76A425" w14:textId="3D715CE6" w:rsidR="006B7E64" w:rsidRDefault="00046A9E" w:rsidP="005715B6">
      <w:pPr>
        <w:ind w:left="119" w:right="839"/>
        <w:jc w:val="both"/>
        <w:rPr>
          <w:rFonts w:ascii="Verdana" w:eastAsia="Verdana" w:hAnsi="Verdana"/>
          <w:color w:val="0072BC"/>
          <w:lang w:val="pl-PL"/>
        </w:rPr>
      </w:pPr>
      <w:r w:rsidRPr="00046A9E">
        <w:rPr>
          <w:rFonts w:ascii="Verdana" w:eastAsia="Verdana" w:hAnsi="Verdana"/>
          <w:color w:val="0072BC"/>
          <w:lang w:val="pl-PL"/>
        </w:rPr>
        <w:t>Trybunał</w:t>
      </w:r>
      <w:r w:rsidRPr="00046A9E">
        <w:rPr>
          <w:rFonts w:ascii="Verdana" w:eastAsia="Verdana" w:hAnsi="Verdana"/>
          <w:b/>
          <w:bCs/>
          <w:color w:val="0072BC"/>
          <w:lang w:val="pl-PL"/>
        </w:rPr>
        <w:t xml:space="preserve"> </w:t>
      </w:r>
      <w:r w:rsidRPr="00046A9E">
        <w:rPr>
          <w:rFonts w:ascii="Verdana" w:eastAsia="Verdana" w:hAnsi="Verdana"/>
          <w:color w:val="0072BC"/>
          <w:lang w:val="pl-PL"/>
        </w:rPr>
        <w:t>uznał skargę za</w:t>
      </w:r>
      <w:r w:rsidRPr="00046A9E">
        <w:rPr>
          <w:rFonts w:ascii="Verdana" w:eastAsia="Verdana" w:hAnsi="Verdana"/>
          <w:b/>
          <w:bCs/>
          <w:color w:val="0072BC"/>
          <w:lang w:val="pl-PL"/>
        </w:rPr>
        <w:t xml:space="preserve"> niedopuszczalną</w:t>
      </w:r>
      <w:r w:rsidRPr="00046A9E">
        <w:rPr>
          <w:rFonts w:ascii="Verdana" w:eastAsia="Verdana" w:hAnsi="Verdana"/>
          <w:color w:val="0072BC"/>
          <w:lang w:val="pl-PL"/>
        </w:rPr>
        <w:t>. Odrzucił skargi skarżącego jako wniesione po terminie i oczywiście bezzasadne, zgodnie z Artykułem 35 (kryteria dopuszczalności) Konwencji.</w:t>
      </w:r>
    </w:p>
    <w:p w14:paraId="022ADCEF" w14:textId="77777777" w:rsidR="006B7E64" w:rsidRDefault="006B7E64" w:rsidP="005715B6">
      <w:pPr>
        <w:ind w:left="119" w:right="839"/>
        <w:jc w:val="both"/>
        <w:rPr>
          <w:rFonts w:ascii="Verdana" w:eastAsia="Verdana" w:hAnsi="Verdana"/>
          <w:color w:val="0072BC"/>
          <w:lang w:val="pl-PL"/>
        </w:rPr>
      </w:pPr>
    </w:p>
    <w:p w14:paraId="08086080" w14:textId="53995FF2" w:rsidR="001D297B" w:rsidRPr="001D297B" w:rsidRDefault="001D297B" w:rsidP="001D297B">
      <w:pPr>
        <w:ind w:left="119" w:right="839"/>
        <w:jc w:val="both"/>
        <w:rPr>
          <w:rFonts w:ascii="Verdana" w:eastAsia="Verdana" w:hAnsi="Verdana"/>
          <w:b/>
          <w:bCs/>
          <w:color w:val="0072BC"/>
          <w:lang w:val="pl-PL"/>
        </w:rPr>
      </w:pPr>
      <w:hyperlink r:id="rId39" w:anchor="{%22itemid%22:[%22003-6061117-7798896%22]}" w:history="1">
        <w:proofErr w:type="spellStart"/>
        <w:r w:rsidRPr="001D297B">
          <w:rPr>
            <w:rStyle w:val="Hipercze"/>
            <w:rFonts w:ascii="Verdana" w:eastAsia="Verdana" w:hAnsi="Verdana"/>
            <w:b/>
            <w:bCs/>
            <w:lang w:val="pl-PL"/>
          </w:rPr>
          <w:t>Pirozzi</w:t>
        </w:r>
        <w:proofErr w:type="spellEnd"/>
        <w:r w:rsidRPr="001D297B">
          <w:rPr>
            <w:rStyle w:val="Hipercze"/>
            <w:rFonts w:ascii="Verdana" w:eastAsia="Verdana" w:hAnsi="Verdana"/>
            <w:b/>
            <w:bCs/>
            <w:lang w:val="pl-PL"/>
          </w:rPr>
          <w:t xml:space="preserve"> przeciwko Belgii</w:t>
        </w:r>
      </w:hyperlink>
    </w:p>
    <w:p w14:paraId="446ACAAB" w14:textId="77777777" w:rsidR="001D297B" w:rsidRPr="001D297B" w:rsidRDefault="001D297B" w:rsidP="001D297B">
      <w:pPr>
        <w:ind w:left="119" w:right="839"/>
        <w:jc w:val="both"/>
        <w:rPr>
          <w:rFonts w:ascii="Verdana" w:eastAsia="Verdana" w:hAnsi="Verdana"/>
          <w:color w:val="808080" w:themeColor="background1" w:themeShade="80"/>
          <w:sz w:val="18"/>
          <w:szCs w:val="18"/>
          <w:lang w:val="pl-PL"/>
        </w:rPr>
      </w:pPr>
      <w:r w:rsidRPr="001D297B">
        <w:rPr>
          <w:rFonts w:ascii="Verdana" w:eastAsia="Verdana" w:hAnsi="Verdana"/>
          <w:color w:val="808080" w:themeColor="background1" w:themeShade="80"/>
          <w:sz w:val="18"/>
          <w:szCs w:val="18"/>
          <w:lang w:val="pl-PL"/>
        </w:rPr>
        <w:t>Wyrok z dnia 17 kwietnia 2018 r.</w:t>
      </w:r>
    </w:p>
    <w:p w14:paraId="4FEDD67D" w14:textId="77777777" w:rsidR="001D297B" w:rsidRPr="001D297B" w:rsidRDefault="001D297B" w:rsidP="001D297B">
      <w:pPr>
        <w:ind w:left="119" w:right="839"/>
        <w:jc w:val="both"/>
        <w:rPr>
          <w:rFonts w:ascii="Verdana" w:eastAsia="Verdana" w:hAnsi="Verdana"/>
          <w:lang w:val="pl-PL"/>
        </w:rPr>
      </w:pPr>
      <w:r w:rsidRPr="001D297B">
        <w:rPr>
          <w:rFonts w:ascii="Verdana" w:eastAsia="Verdana" w:hAnsi="Verdana"/>
          <w:lang w:val="pl-PL"/>
        </w:rPr>
        <w:t>Sprawa dotyczyła zatrzymania skarżącego przez władze belgijskie i przekazania go władzom włoskim na podstawie europejskiego nakazu aresztowania w celu wykonania wyroku skazującego na karę 14 lat pozbawienia wolności za handel narkotykami. Skarżący twierdził, że jego aresztowanie przez władze belgijskie było niezgodne z prawem. Uznał również, że władze belgijskie przekazały go władzom włoskim bez zbadania zgodności z prawem i słuszności europejskiego nakazu aresztowania, mimo że opierał się on na wyroku skazującym wydanym w procesie zaocznym.</w:t>
      </w:r>
    </w:p>
    <w:p w14:paraId="293564BD" w14:textId="724A677A" w:rsidR="006B7E64" w:rsidRDefault="001D297B" w:rsidP="001D297B">
      <w:pPr>
        <w:ind w:left="119" w:right="839"/>
        <w:jc w:val="both"/>
        <w:rPr>
          <w:rFonts w:ascii="Verdana" w:eastAsia="Verdana" w:hAnsi="Verdana"/>
          <w:color w:val="0072BC"/>
          <w:lang w:val="pl-PL"/>
        </w:rPr>
      </w:pPr>
      <w:r w:rsidRPr="001D297B">
        <w:rPr>
          <w:rFonts w:ascii="Verdana" w:eastAsia="Verdana" w:hAnsi="Verdana"/>
          <w:color w:val="0072BC"/>
          <w:lang w:val="pl-PL"/>
        </w:rPr>
        <w:t xml:space="preserve">Trybunał uznał, że </w:t>
      </w:r>
      <w:r w:rsidRPr="001D297B">
        <w:rPr>
          <w:rFonts w:ascii="Verdana" w:eastAsia="Verdana" w:hAnsi="Verdana"/>
          <w:b/>
          <w:bCs/>
          <w:color w:val="0072BC"/>
          <w:lang w:val="pl-PL"/>
        </w:rPr>
        <w:t>nie doszło do naruszenia art. 5 § 1</w:t>
      </w:r>
      <w:r w:rsidRPr="001D297B">
        <w:rPr>
          <w:rFonts w:ascii="Verdana" w:eastAsia="Verdana" w:hAnsi="Verdana"/>
          <w:color w:val="0072BC"/>
          <w:lang w:val="pl-PL"/>
        </w:rPr>
        <w:t xml:space="preserve"> (prawo do wolności i bezpieczeństwa osobistego) i art. 6 § 1 (prawo do rzetelnego procesu sądowego) Konwencji. Trybunał stwierdził w szczególności, że aresztowanie skarżącego przez władze belgijskie w celu umieszczenia go w areszcie i przekazania władzom włoskim zostało przeprowadzone zgodnie z prawem. Trybunał orzekł również, że wykonanie europejskiego nakazu aresztowania przez sądy belgijskie nie było w sposób oczywisty wadliwe, tak że domniemanie równoważnej ochrony zostało obalone, oraz że przekazanie skarżącego władzom włoskim nie mogło zostać uznane za wynik procesu stanowiącego rażącą odmowę wymiaru sprawiedliwości.</w:t>
      </w:r>
    </w:p>
    <w:p w14:paraId="74124610" w14:textId="77777777" w:rsidR="006B7E64" w:rsidRDefault="006B7E64" w:rsidP="005715B6">
      <w:pPr>
        <w:ind w:left="119" w:right="839"/>
        <w:jc w:val="both"/>
        <w:rPr>
          <w:rFonts w:ascii="Verdana" w:eastAsia="Verdana" w:hAnsi="Verdana"/>
          <w:color w:val="0072BC"/>
          <w:lang w:val="pl-PL"/>
        </w:rPr>
      </w:pPr>
    </w:p>
    <w:p w14:paraId="3DA06D7D" w14:textId="1222EFB7" w:rsidR="00897B30" w:rsidRPr="00897B30" w:rsidRDefault="00897B30" w:rsidP="00897B30">
      <w:pPr>
        <w:ind w:left="119" w:right="839"/>
        <w:jc w:val="both"/>
        <w:rPr>
          <w:rFonts w:ascii="Verdana" w:eastAsia="Verdana" w:hAnsi="Verdana"/>
          <w:b/>
          <w:bCs/>
          <w:color w:val="0072BC"/>
          <w:lang w:val="pl-PL"/>
        </w:rPr>
      </w:pPr>
      <w:hyperlink r:id="rId40" w:anchor="{%22itemid%22:[%22003-6454699-8498086%22]}" w:history="1">
        <w:r w:rsidRPr="00897B30">
          <w:rPr>
            <w:rStyle w:val="Hipercze"/>
            <w:rFonts w:ascii="Verdana" w:eastAsia="Verdana" w:hAnsi="Verdana"/>
            <w:b/>
            <w:bCs/>
            <w:lang w:val="pl-PL"/>
          </w:rPr>
          <w:t xml:space="preserve">Romeo </w:t>
        </w:r>
        <w:proofErr w:type="spellStart"/>
        <w:r w:rsidRPr="00897B30">
          <w:rPr>
            <w:rStyle w:val="Hipercze"/>
            <w:rFonts w:ascii="Verdana" w:eastAsia="Verdana" w:hAnsi="Verdana"/>
            <w:b/>
            <w:bCs/>
            <w:lang w:val="pl-PL"/>
          </w:rPr>
          <w:t>Castaño</w:t>
        </w:r>
        <w:proofErr w:type="spellEnd"/>
        <w:r w:rsidRPr="00897B30">
          <w:rPr>
            <w:rStyle w:val="Hipercze"/>
            <w:rFonts w:ascii="Verdana" w:eastAsia="Verdana" w:hAnsi="Verdana"/>
            <w:b/>
            <w:bCs/>
            <w:lang w:val="pl-PL"/>
          </w:rPr>
          <w:t xml:space="preserve"> przeciwko Belgii</w:t>
        </w:r>
      </w:hyperlink>
    </w:p>
    <w:p w14:paraId="4E952C73" w14:textId="77777777" w:rsidR="00897B30" w:rsidRPr="00897B30" w:rsidRDefault="00897B30" w:rsidP="00897B30">
      <w:pPr>
        <w:ind w:left="119" w:right="839"/>
        <w:jc w:val="both"/>
        <w:rPr>
          <w:rFonts w:ascii="Verdana" w:eastAsia="Verdana" w:hAnsi="Verdana"/>
          <w:color w:val="808080" w:themeColor="background1" w:themeShade="80"/>
          <w:sz w:val="18"/>
          <w:szCs w:val="18"/>
          <w:lang w:val="pl-PL"/>
        </w:rPr>
      </w:pPr>
      <w:r w:rsidRPr="00897B30">
        <w:rPr>
          <w:rFonts w:ascii="Verdana" w:eastAsia="Verdana" w:hAnsi="Verdana"/>
          <w:color w:val="808080" w:themeColor="background1" w:themeShade="80"/>
          <w:sz w:val="18"/>
          <w:szCs w:val="18"/>
          <w:lang w:val="pl-PL"/>
        </w:rPr>
        <w:t>Wyrok z dnia 9 lipca 2019 r.</w:t>
      </w:r>
    </w:p>
    <w:p w14:paraId="4BD72206" w14:textId="77777777" w:rsidR="00897B30" w:rsidRPr="00897B30" w:rsidRDefault="00897B30" w:rsidP="00897B30">
      <w:pPr>
        <w:ind w:left="119" w:right="839"/>
        <w:jc w:val="both"/>
        <w:rPr>
          <w:rFonts w:ascii="Verdana" w:eastAsia="Verdana" w:hAnsi="Verdana"/>
          <w:lang w:val="pl-PL"/>
        </w:rPr>
      </w:pPr>
      <w:r w:rsidRPr="00897B30">
        <w:rPr>
          <w:rFonts w:ascii="Verdana" w:eastAsia="Verdana" w:hAnsi="Verdana"/>
          <w:lang w:val="pl-PL"/>
        </w:rPr>
        <w:t>W tej sprawie skarżący skarżyli się, że ich prawo do skutecznego dochodzenia zostało naruszone w wyniku odmowy przez władze belgijskie wykonania europejskich nakazów aresztowania wydanych przez Hiszpanię w odniesieniu do N.J.E., osoby podejrzanej o zastrzelenie ich ojca, który został zamordowany w 1981 r. przez jednostkę komandosów twierdzącą, że należy do organizacji terrorystycznej ETA. Belgijskie sądy uznały, że ekstradycja N.J.E. naruszyłaby jej podstawowe prawa wynikające z art. 3 (zakaz nieludzkiego lub poniżającego traktowania) Konwencji.</w:t>
      </w:r>
    </w:p>
    <w:p w14:paraId="0E2A2C0F" w14:textId="4546E734" w:rsidR="00897B30" w:rsidRPr="00897B30" w:rsidRDefault="00897B30" w:rsidP="00897B30">
      <w:pPr>
        <w:ind w:left="119" w:right="839"/>
        <w:jc w:val="both"/>
        <w:rPr>
          <w:rFonts w:ascii="Verdana" w:eastAsia="Verdana" w:hAnsi="Verdana"/>
          <w:color w:val="0072BC"/>
          <w:lang w:val="pl-PL"/>
        </w:rPr>
      </w:pPr>
      <w:r w:rsidRPr="00897B30">
        <w:rPr>
          <w:rFonts w:ascii="Verdana" w:eastAsia="Verdana" w:hAnsi="Verdana"/>
          <w:color w:val="0072BC"/>
          <w:lang w:val="pl-PL"/>
        </w:rPr>
        <w:t xml:space="preserve">Trybunał orzekł, że </w:t>
      </w:r>
      <w:r w:rsidRPr="00897B30">
        <w:rPr>
          <w:rFonts w:ascii="Verdana" w:eastAsia="Verdana" w:hAnsi="Verdana"/>
          <w:b/>
          <w:bCs/>
          <w:color w:val="0072BC"/>
          <w:lang w:val="pl-PL"/>
        </w:rPr>
        <w:t>doszło do naruszenia Artykułu 2</w:t>
      </w:r>
      <w:r w:rsidRPr="00897B30">
        <w:rPr>
          <w:rFonts w:ascii="Verdana" w:eastAsia="Verdana" w:hAnsi="Verdana"/>
          <w:color w:val="0072BC"/>
          <w:lang w:val="pl-PL"/>
        </w:rPr>
        <w:t xml:space="preserve"> (prawo do życia) Konwencji w aspekcie proceduralnym (skuteczne dochodzenie). Zauważając, po pierwsze, że ryzyko poddania osoby, której przekazania zażądano, nieludzkiemu lub poniżającemu traktowaniu może stanowić uzasadnioną podstawę odmowy wykonania europejskiego nakazu aresztowania, a tym samym odmowy żądanej współpracy, Trybunał zauważył jednak, że stwierdzenie istnienia takiego ryzyka musi mieć wystarczającą podstawę faktyczną. W niniejszej sprawie Trybunał stwierdził w szczególności, że kontrola przeprowadzona przez sądy belgijskie w trakcie postępowania w sprawie wydania nie była wystarczająco dokładna, aby uznać, że podstawa, na której oparły się odmawiając wydania N.J.E., ze szkodą dla praw skarżących, miała wystarczającą podstawę faktyczną.</w:t>
      </w:r>
      <w:r w:rsidRPr="00897B30">
        <w:t xml:space="preserve"> </w:t>
      </w:r>
      <w:r w:rsidRPr="00897B30">
        <w:rPr>
          <w:rFonts w:ascii="Verdana" w:eastAsia="Verdana" w:hAnsi="Verdana"/>
          <w:color w:val="0072BC"/>
          <w:lang w:val="pl-PL"/>
        </w:rPr>
        <w:t>Między innymi, władze belgijskie nie starały się zidentyfikować rzeczywistego i indywidualnego ryzyka naruszenia praw konwencyjnych N.J.E. lub jakichkolwiek niedociągnięć strukturalnych w odniesieniu do warunków przetrzymywania w Hiszpanii. Trybunał podkreślił jednak, że stwierdzenie naruszenia niekoniecznie oznaczało, że Belgia była zobowiązana do przekazania N.J.E. władzom hiszpańskim. To brak wystarczającego uzasadnienia faktycznego dla odmowy jej wydania doprowadził Trybunał do stwierdzenia naruszenia art. 2 Konwencji. W żaden sposób nie zmniejszyło to obowiązku władz belgijskich do sprawdzenia, czy N.J.E. nie będzie narażona na ryzyko traktowania sprzecznego z art. 3 Konwencji, jeśli zostanie wydana władzom hiszpańskim.</w:t>
      </w:r>
    </w:p>
    <w:p w14:paraId="6A809F7E" w14:textId="77777777" w:rsidR="00E21554" w:rsidRPr="00897B30" w:rsidRDefault="00E21554" w:rsidP="005C2070">
      <w:pPr>
        <w:ind w:right="839"/>
        <w:jc w:val="both"/>
        <w:rPr>
          <w:rFonts w:ascii="Verdana" w:eastAsia="Verdana" w:hAnsi="Verdana"/>
          <w:color w:val="0072BC"/>
          <w:lang w:val="pl-PL"/>
        </w:rPr>
      </w:pPr>
    </w:p>
    <w:p w14:paraId="783E997A" w14:textId="30F44C41" w:rsidR="00897B30" w:rsidRPr="00E21554" w:rsidRDefault="00E21554" w:rsidP="00897B30">
      <w:pPr>
        <w:ind w:left="119" w:right="839"/>
        <w:jc w:val="both"/>
        <w:rPr>
          <w:rFonts w:ascii="Verdana" w:eastAsia="Verdana" w:hAnsi="Verdana"/>
          <w:b/>
          <w:bCs/>
          <w:color w:val="0072BC"/>
          <w:lang w:val="pl-PL"/>
        </w:rPr>
      </w:pPr>
      <w:hyperlink r:id="rId41" w:anchor="{%22itemid%22:[%22003-6977075-9393953%22]}" w:history="1">
        <w:proofErr w:type="spellStart"/>
        <w:r w:rsidR="00897B30" w:rsidRPr="00E21554">
          <w:rPr>
            <w:rStyle w:val="Hipercze"/>
            <w:rFonts w:ascii="Verdana" w:eastAsia="Verdana" w:hAnsi="Verdana"/>
            <w:b/>
            <w:bCs/>
            <w:lang w:val="pl-PL"/>
          </w:rPr>
          <w:t>Bivolaru</w:t>
        </w:r>
        <w:proofErr w:type="spellEnd"/>
        <w:r w:rsidR="00897B30" w:rsidRPr="00E21554">
          <w:rPr>
            <w:rStyle w:val="Hipercze"/>
            <w:rFonts w:ascii="Verdana" w:eastAsia="Verdana" w:hAnsi="Verdana"/>
            <w:b/>
            <w:bCs/>
            <w:lang w:val="pl-PL"/>
          </w:rPr>
          <w:t xml:space="preserve"> i </w:t>
        </w:r>
        <w:proofErr w:type="spellStart"/>
        <w:r w:rsidR="00897B30" w:rsidRPr="00E21554">
          <w:rPr>
            <w:rStyle w:val="Hipercze"/>
            <w:rFonts w:ascii="Verdana" w:eastAsia="Verdana" w:hAnsi="Verdana"/>
            <w:b/>
            <w:bCs/>
            <w:lang w:val="pl-PL"/>
          </w:rPr>
          <w:t>Moldovan</w:t>
        </w:r>
        <w:proofErr w:type="spellEnd"/>
        <w:r w:rsidR="00897B30" w:rsidRPr="00E21554">
          <w:rPr>
            <w:rStyle w:val="Hipercze"/>
            <w:rFonts w:ascii="Verdana" w:eastAsia="Verdana" w:hAnsi="Verdana"/>
            <w:b/>
            <w:bCs/>
            <w:lang w:val="pl-PL"/>
          </w:rPr>
          <w:t xml:space="preserve"> przeciwko Francji</w:t>
        </w:r>
      </w:hyperlink>
    </w:p>
    <w:p w14:paraId="1492E265" w14:textId="05B3540A" w:rsidR="00897B30" w:rsidRPr="00897B30" w:rsidRDefault="00897B30" w:rsidP="00897B30">
      <w:pPr>
        <w:ind w:left="119" w:right="839"/>
        <w:jc w:val="both"/>
        <w:rPr>
          <w:rFonts w:ascii="Verdana" w:eastAsia="Verdana" w:hAnsi="Verdana"/>
          <w:color w:val="808080" w:themeColor="background1" w:themeShade="80"/>
          <w:sz w:val="18"/>
          <w:szCs w:val="18"/>
          <w:lang w:val="pl-PL"/>
        </w:rPr>
      </w:pPr>
      <w:r w:rsidRPr="00897B30">
        <w:rPr>
          <w:rFonts w:ascii="Verdana" w:eastAsia="Verdana" w:hAnsi="Verdana"/>
          <w:color w:val="808080" w:themeColor="background1" w:themeShade="80"/>
          <w:sz w:val="18"/>
          <w:szCs w:val="18"/>
          <w:lang w:val="pl-PL"/>
        </w:rPr>
        <w:t>W</w:t>
      </w:r>
      <w:r w:rsidRPr="00897B30">
        <w:rPr>
          <w:rFonts w:ascii="Verdana" w:eastAsia="Verdana" w:hAnsi="Verdana"/>
          <w:color w:val="808080" w:themeColor="background1" w:themeShade="80"/>
          <w:sz w:val="18"/>
          <w:szCs w:val="18"/>
          <w:lang w:val="pl-PL"/>
        </w:rPr>
        <w:t>y</w:t>
      </w:r>
      <w:r w:rsidRPr="00897B30">
        <w:rPr>
          <w:rFonts w:ascii="Verdana" w:eastAsia="Verdana" w:hAnsi="Verdana"/>
          <w:color w:val="808080" w:themeColor="background1" w:themeShade="80"/>
          <w:sz w:val="18"/>
          <w:szCs w:val="18"/>
          <w:lang w:val="pl-PL"/>
        </w:rPr>
        <w:t>rok z dnia 25 marca 2021 r.</w:t>
      </w:r>
    </w:p>
    <w:p w14:paraId="3FBA39BC" w14:textId="77777777" w:rsidR="00897B30" w:rsidRPr="00897B30" w:rsidRDefault="00897B30" w:rsidP="00897B30">
      <w:pPr>
        <w:ind w:left="119" w:right="839"/>
        <w:jc w:val="both"/>
        <w:rPr>
          <w:rFonts w:ascii="Verdana" w:eastAsia="Verdana" w:hAnsi="Verdana"/>
          <w:lang w:val="pl-PL"/>
        </w:rPr>
      </w:pPr>
      <w:r w:rsidRPr="00897B30">
        <w:rPr>
          <w:rFonts w:ascii="Verdana" w:eastAsia="Verdana" w:hAnsi="Verdana"/>
          <w:lang w:val="pl-PL"/>
        </w:rPr>
        <w:lastRenderedPageBreak/>
        <w:t>Sprawa dotyczyła przekazania skarżących przez Francję władzom rumuńskim na podstawie europejskich nakazów aresztowania w celu wykonania kary pozbawienia wolności. Skarżący twierdzili, że ich przekazanie władzom rumuńskim na podstawie europejskich nakazów aresztowania naraziło ich na traktowanie naruszające Konwencję.</w:t>
      </w:r>
    </w:p>
    <w:p w14:paraId="3AD19DFC" w14:textId="0DF35C4F" w:rsidR="00897B30" w:rsidRPr="00897B30" w:rsidRDefault="00897B30" w:rsidP="00897B30">
      <w:pPr>
        <w:ind w:left="119" w:right="839"/>
        <w:jc w:val="both"/>
        <w:rPr>
          <w:rFonts w:ascii="Verdana" w:eastAsia="Verdana" w:hAnsi="Verdana"/>
          <w:color w:val="0072BC"/>
          <w:lang w:val="pl-PL"/>
        </w:rPr>
      </w:pPr>
      <w:r w:rsidRPr="00897B30">
        <w:rPr>
          <w:rFonts w:ascii="Verdana" w:eastAsia="Verdana" w:hAnsi="Verdana"/>
          <w:color w:val="0072BC"/>
          <w:lang w:val="pl-PL"/>
        </w:rPr>
        <w:t>Trybunał orzekł, że domniemanie równoważnej ochrony miało zastosowanie w sprawie drugiego skarżącego, ponieważ spełnione zostały dwa warunki jego zastosowania, a mianowicie brak jakiegokolwiek marginesu manewru ze strony władz krajowych oraz wykorzystanie pełnego potencjału mechanizmu nadzoru przewidzianego w prawie Unii Europejskiej. Trybunał ograniczył się zatem do ustalenia, czy ochrona praw gwarantowanych przez Konwencję była w niniejszej sprawie oczywiście niewystarczająca, tak że domniemanie to zostało obalone. W tym celu Trybunał starał się ustalić, czy istniała wystarczająco solidna podstawa faktyczna wymagająca od wykonującego nakaz organu sądowego stwierdzenia, że wykonanie europejskiego nakazu aresztowania pociągałoby za sobą rzeczywiste i indywidualne ryzyko poddania skarżącego traktowaniu sprzecznemu z art. 3 (zakaz nieludzkiego lub poniżającego traktowania) Konwencji ze względu na warunki jego przetrzymywania w Rumunii.</w:t>
      </w:r>
      <w:r w:rsidRPr="00897B30">
        <w:t xml:space="preserve"> </w:t>
      </w:r>
      <w:r w:rsidRPr="00897B30">
        <w:rPr>
          <w:rFonts w:ascii="Verdana" w:eastAsia="Verdana" w:hAnsi="Verdana"/>
          <w:color w:val="0072BC"/>
          <w:lang w:val="pl-PL"/>
        </w:rPr>
        <w:t xml:space="preserve">Trybunał zauważył, że drugi skarżący przedstawił dowody rzekomego ryzyka, które były wystarczająco uzasadnione, aby zobowiązać wykonujący nakaz organ sądowy do zwrócenia się do państwa wydającego nakaz o dodatkowe informacje i zapewnienia dotyczące jego przyszłych warunków pozbawienia wolności w Rumunii. Trybunał stwierdził </w:t>
      </w:r>
      <w:r w:rsidRPr="00E21554">
        <w:rPr>
          <w:rFonts w:ascii="Verdana" w:eastAsia="Verdana" w:hAnsi="Verdana"/>
          <w:b/>
          <w:bCs/>
          <w:color w:val="0072BC"/>
          <w:lang w:val="pl-PL"/>
        </w:rPr>
        <w:t>naruszenie art. 3</w:t>
      </w:r>
      <w:r w:rsidRPr="00897B30">
        <w:rPr>
          <w:rFonts w:ascii="Verdana" w:eastAsia="Verdana" w:hAnsi="Verdana"/>
          <w:color w:val="0072BC"/>
          <w:lang w:val="pl-PL"/>
        </w:rPr>
        <w:t xml:space="preserve"> w zakresie, w jakim okazało się, że wykonujące nakaz organy sądowe, wykonując swoje uprawnienia dyskrecjonalne, nie wyciągnęły właściwych wniosków z uzyskanych informacji, chociaż informacje te stanowiły wystarczająco solidną podstawę faktyczną do odmowy wykonania przedmiotowego europejskiego nakazu aresztowania. W sprawie pierwszego skarżącego Trybunał uznał, że ze względu na swoją decyzję o niezwróceniu się do Trybunału Sprawiedliwości Unii Europejskiej (TSUE) z wnioskiem o wydanie orzeczenia w trybie prejudycjalnym w sprawie wpływu nadania statusu uchodźcy przez państwo członkowskie obywatelowi państwa trzeciego, które następnie stało się również państwem członkowskim, na wykonanie europejskiego nakazu aresztowania, Sąd Kasacyjny orzekł bez wykorzystania pełnego potencjału odpowiednich międzynarodowych mechanizmów nadzoru praw podstawowych. Domniemanie równoważnej ochrony nie miało zatem zastosowania. Skarga pierwszego skarżącego miała dwa aspekty: pierwszy dotyczył konsekwencji jego statusu uchodźcy, a drugi warunków przetrzymywania w Rumunii.</w:t>
      </w:r>
      <w:r>
        <w:rPr>
          <w:rFonts w:ascii="Verdana" w:eastAsia="Verdana" w:hAnsi="Verdana"/>
          <w:color w:val="0072BC"/>
          <w:lang w:val="pl-PL"/>
        </w:rPr>
        <w:t xml:space="preserve"> </w:t>
      </w:r>
      <w:r w:rsidRPr="00897B30">
        <w:rPr>
          <w:rFonts w:ascii="Verdana" w:eastAsia="Verdana" w:hAnsi="Verdana"/>
          <w:color w:val="0072BC"/>
          <w:lang w:val="pl-PL"/>
        </w:rPr>
        <w:t>W aktach sprawy przed wykonującym nakaz organem sądowym ani w dowodach przedstawionych przez skarżącego przed Trybunałem nie było nic, co sugerowałoby, że w przypadku jego wydania nadal groziłoby mu ryzyko prześladowań na tle religijnym w Rumunii. Trybunał uznał, że wykonujący nakaz organ sądowy, po pełnym i dogłębnym zbadaniu indywidualnej sytuacji skarżącego, które wykazało, że wziął pod uwagę jego status uchodźcy, nie miał wystarczająco solidnej podstawy faktycznej, aby stwierdzić istnienie rzeczywistego ryzyka naruszenia art. 3 Konwencji i odmówić wykonania europejskiego nakazu aresztowania na tej podstawie. Trybunał uznał również, że opis warunków przetrzymywania w rumuńskich więzieniach przedstawiony przez skarżącego wykonującemu nakaz organowi sądowemu na poparcie jego wniosku o odmowę wykonania europejskiego nakazu aresztowania nie był wystarczająco szczegółowy lub uzasadniony, aby stanowić dowód prima facie rzeczywistego ryzyka traktowania sprzecznego z art. 3 w przypadku jego przekazania władzom rumuńskim. Zdaniem Trybunału wykonujący nakaz organ sądowy nie był zobowiązany do żądania dodatkowych informacji od władz rumuńskich. W związku z tym uznał, że nie istniała solidna podstawa faktyczna dla wykonującego nakaz organu sądowego do ustalenia istnienia rzeczywistego ryzyka naruszenia art. 3 Konwencji i odmowy wykonania europejskiego nakazu aresztowania na tej podstawie.</w:t>
      </w:r>
    </w:p>
    <w:p w14:paraId="647BD89B" w14:textId="77777777" w:rsidR="00DF334D" w:rsidRDefault="00DF334D" w:rsidP="005715B6">
      <w:pPr>
        <w:ind w:left="119" w:right="839"/>
        <w:jc w:val="both"/>
        <w:rPr>
          <w:rFonts w:ascii="Verdana" w:eastAsia="Verdana" w:hAnsi="Verdana"/>
          <w:color w:val="0072BC"/>
          <w:lang w:val="pl-PL"/>
        </w:rPr>
      </w:pPr>
    </w:p>
    <w:p w14:paraId="78D191A5" w14:textId="77777777" w:rsidR="00E21554" w:rsidRPr="00E21554" w:rsidRDefault="00E21554" w:rsidP="00E21554">
      <w:pPr>
        <w:ind w:left="119" w:right="839"/>
        <w:jc w:val="both"/>
        <w:rPr>
          <w:rFonts w:ascii="Verdana" w:eastAsia="Verdana" w:hAnsi="Verdana"/>
          <w:b/>
          <w:bCs/>
          <w:color w:val="0072BC"/>
          <w:lang w:val="pl-PL"/>
        </w:rPr>
      </w:pPr>
      <w:r w:rsidRPr="00E21554">
        <w:rPr>
          <w:rFonts w:ascii="Verdana" w:eastAsia="Verdana" w:hAnsi="Verdana"/>
          <w:b/>
          <w:bCs/>
          <w:color w:val="808080" w:themeColor="background1" w:themeShade="80"/>
          <w:lang w:val="pl-PL"/>
        </w:rPr>
        <w:t>Sprawa w toku</w:t>
      </w:r>
    </w:p>
    <w:p w14:paraId="1D781D9F" w14:textId="522AA8E6" w:rsidR="00E21554" w:rsidRPr="00E21554" w:rsidRDefault="00E21554" w:rsidP="00E21554">
      <w:pPr>
        <w:ind w:left="119" w:right="839"/>
        <w:jc w:val="both"/>
        <w:rPr>
          <w:rFonts w:ascii="Verdana" w:eastAsia="Verdana" w:hAnsi="Verdana"/>
          <w:b/>
          <w:bCs/>
          <w:color w:val="0072BC"/>
          <w:lang w:val="pl-PL"/>
        </w:rPr>
      </w:pPr>
      <w:hyperlink r:id="rId42" w:anchor="{%22itemid%22:[%22001-198690%22]}" w:history="1">
        <w:proofErr w:type="spellStart"/>
        <w:r w:rsidRPr="00E21554">
          <w:rPr>
            <w:rStyle w:val="Hipercze"/>
            <w:rFonts w:ascii="Verdana" w:eastAsia="Verdana" w:hAnsi="Verdana"/>
            <w:b/>
            <w:bCs/>
            <w:lang w:val="pl-PL"/>
          </w:rPr>
          <w:t>Alosa</w:t>
        </w:r>
        <w:proofErr w:type="spellEnd"/>
        <w:r w:rsidRPr="00E21554">
          <w:rPr>
            <w:rStyle w:val="Hipercze"/>
            <w:rFonts w:ascii="Verdana" w:eastAsia="Verdana" w:hAnsi="Verdana"/>
            <w:b/>
            <w:bCs/>
            <w:lang w:val="pl-PL"/>
          </w:rPr>
          <w:t xml:space="preserve"> i inni przeciwko Włochom i Niemcom (nr 20004/18)</w:t>
        </w:r>
      </w:hyperlink>
    </w:p>
    <w:p w14:paraId="24151629" w14:textId="77777777" w:rsidR="00E21554" w:rsidRPr="00E21554" w:rsidRDefault="00E21554" w:rsidP="00E21554">
      <w:pPr>
        <w:ind w:left="119" w:right="839"/>
        <w:jc w:val="both"/>
        <w:rPr>
          <w:rFonts w:ascii="Verdana" w:eastAsia="Verdana" w:hAnsi="Verdana"/>
          <w:color w:val="808080" w:themeColor="background1" w:themeShade="80"/>
          <w:lang w:val="pl-PL"/>
        </w:rPr>
      </w:pPr>
      <w:r w:rsidRPr="00E21554">
        <w:rPr>
          <w:rFonts w:ascii="Verdana" w:eastAsia="Verdana" w:hAnsi="Verdana"/>
          <w:color w:val="808080" w:themeColor="background1" w:themeShade="80"/>
          <w:lang w:val="pl-PL"/>
        </w:rPr>
        <w:t>Skarga przekazana rządom Włoch i Niemiec w dniu 3 listopada 2019 r.</w:t>
      </w:r>
    </w:p>
    <w:p w14:paraId="57FFDB9D" w14:textId="77777777" w:rsidR="00E21554" w:rsidRPr="00E21554" w:rsidRDefault="00E21554" w:rsidP="00E21554">
      <w:pPr>
        <w:ind w:left="119" w:right="839"/>
        <w:jc w:val="both"/>
        <w:rPr>
          <w:rFonts w:ascii="Verdana" w:eastAsia="Verdana" w:hAnsi="Verdana"/>
          <w:lang w:val="pl-PL"/>
        </w:rPr>
      </w:pPr>
      <w:r w:rsidRPr="00E21554">
        <w:rPr>
          <w:rFonts w:ascii="Verdana" w:eastAsia="Verdana" w:hAnsi="Verdana"/>
          <w:lang w:val="pl-PL"/>
        </w:rPr>
        <w:t>Sprawa dotyczy niewykonania kary pozbawienia wolności za nieumyślne spowodowanie śmierci.</w:t>
      </w:r>
    </w:p>
    <w:p w14:paraId="5224798A" w14:textId="0D990322" w:rsidR="00DF334D" w:rsidRDefault="00E21554" w:rsidP="00E21554">
      <w:pPr>
        <w:ind w:left="119" w:right="839"/>
        <w:jc w:val="both"/>
        <w:rPr>
          <w:rFonts w:ascii="Verdana" w:eastAsia="Verdana" w:hAnsi="Verdana"/>
          <w:color w:val="0072BC"/>
          <w:lang w:val="pl-PL"/>
        </w:rPr>
      </w:pPr>
      <w:r w:rsidRPr="00E21554">
        <w:rPr>
          <w:rFonts w:ascii="Verdana" w:eastAsia="Verdana" w:hAnsi="Verdana"/>
          <w:color w:val="0072BC"/>
          <w:lang w:val="pl-PL"/>
        </w:rPr>
        <w:lastRenderedPageBreak/>
        <w:t>Trybunał powiadomił o skardze rządy Włoch i Niemiec i zadał stronom pytania na podstawie art. 2 (prawo do życia) i art. 13 (prawo do skutecznego środka odwoławczego) Konwencji.</w:t>
      </w:r>
    </w:p>
    <w:p w14:paraId="25A865DB" w14:textId="77777777" w:rsidR="00B155E5" w:rsidRDefault="00B155E5" w:rsidP="005715B6">
      <w:pPr>
        <w:ind w:left="119" w:right="839"/>
        <w:jc w:val="both"/>
        <w:rPr>
          <w:rFonts w:ascii="Verdana" w:eastAsia="Verdana" w:hAnsi="Verdana"/>
          <w:color w:val="0072BC"/>
          <w:lang w:val="pl-PL"/>
        </w:rPr>
      </w:pPr>
    </w:p>
    <w:p w14:paraId="26572FF5" w14:textId="77777777" w:rsidR="00E21554" w:rsidRPr="00E21554" w:rsidRDefault="00E21554" w:rsidP="00E21554">
      <w:pPr>
        <w:ind w:left="119" w:right="839"/>
        <w:jc w:val="both"/>
        <w:rPr>
          <w:rFonts w:ascii="Verdana" w:eastAsia="Verdana" w:hAnsi="Verdana"/>
          <w:color w:val="808080" w:themeColor="background1" w:themeShade="80"/>
          <w:sz w:val="28"/>
          <w:szCs w:val="28"/>
          <w:lang w:val="pl-PL"/>
        </w:rPr>
      </w:pPr>
      <w:r w:rsidRPr="00E21554">
        <w:rPr>
          <w:rFonts w:ascii="Verdana" w:eastAsia="Verdana" w:hAnsi="Verdana"/>
          <w:color w:val="808080" w:themeColor="background1" w:themeShade="80"/>
          <w:sz w:val="28"/>
          <w:szCs w:val="28"/>
          <w:lang w:val="pl-PL"/>
        </w:rPr>
        <w:t>Poufność relacji prawnik-klient</w:t>
      </w:r>
    </w:p>
    <w:p w14:paraId="517642E7" w14:textId="77777777" w:rsidR="00E21554" w:rsidRDefault="00E21554" w:rsidP="00E21554">
      <w:pPr>
        <w:ind w:left="119" w:right="839"/>
        <w:jc w:val="both"/>
        <w:rPr>
          <w:rFonts w:ascii="Verdana" w:eastAsia="Verdana" w:hAnsi="Verdana"/>
          <w:color w:val="0072BC"/>
          <w:lang w:val="pl-PL"/>
        </w:rPr>
      </w:pPr>
    </w:p>
    <w:p w14:paraId="79D7A38A" w14:textId="4C52AFB7" w:rsidR="00E21554" w:rsidRPr="00E21554" w:rsidRDefault="00E21554" w:rsidP="00E21554">
      <w:pPr>
        <w:ind w:left="119" w:right="839"/>
        <w:jc w:val="both"/>
        <w:rPr>
          <w:rFonts w:ascii="Verdana" w:eastAsia="Verdana" w:hAnsi="Verdana"/>
          <w:b/>
          <w:bCs/>
          <w:color w:val="0072BC"/>
          <w:lang w:val="pl-PL"/>
        </w:rPr>
      </w:pPr>
      <w:hyperlink r:id="rId43" w:anchor="{%22itemid%22:[%22003-4185769-4956436%22]}" w:history="1">
        <w:proofErr w:type="spellStart"/>
        <w:r w:rsidRPr="00E21554">
          <w:rPr>
            <w:rStyle w:val="Hipercze"/>
            <w:rFonts w:ascii="Verdana" w:eastAsia="Verdana" w:hAnsi="Verdana"/>
            <w:b/>
            <w:bCs/>
            <w:lang w:val="pl-PL"/>
          </w:rPr>
          <w:t>Michaud</w:t>
        </w:r>
        <w:proofErr w:type="spellEnd"/>
        <w:r w:rsidRPr="00E21554">
          <w:rPr>
            <w:rStyle w:val="Hipercze"/>
            <w:rFonts w:ascii="Verdana" w:eastAsia="Verdana" w:hAnsi="Verdana"/>
            <w:b/>
            <w:bCs/>
            <w:lang w:val="pl-PL"/>
          </w:rPr>
          <w:t xml:space="preserve"> przeciwko Francji</w:t>
        </w:r>
      </w:hyperlink>
    </w:p>
    <w:p w14:paraId="60A9E7A8" w14:textId="77777777" w:rsidR="00E21554" w:rsidRPr="00E21554" w:rsidRDefault="00E21554" w:rsidP="00E21554">
      <w:pPr>
        <w:ind w:left="119" w:right="839"/>
        <w:jc w:val="both"/>
        <w:rPr>
          <w:rFonts w:ascii="Verdana" w:eastAsia="Verdana" w:hAnsi="Verdana"/>
          <w:color w:val="0072BC"/>
          <w:lang w:val="pl-PL"/>
        </w:rPr>
      </w:pPr>
      <w:r w:rsidRPr="00E21554">
        <w:rPr>
          <w:rFonts w:ascii="Verdana" w:eastAsia="Verdana" w:hAnsi="Verdana"/>
          <w:color w:val="808080" w:themeColor="background1" w:themeShade="80"/>
          <w:lang w:val="pl-PL"/>
        </w:rPr>
        <w:t>Wyrok z dnia 6 grudnia 2012 r.</w:t>
      </w:r>
    </w:p>
    <w:p w14:paraId="7129020D" w14:textId="77777777" w:rsidR="00E21554" w:rsidRPr="00E21554" w:rsidRDefault="00E21554" w:rsidP="00E21554">
      <w:pPr>
        <w:ind w:left="119" w:right="839"/>
        <w:jc w:val="both"/>
        <w:rPr>
          <w:rFonts w:ascii="Verdana" w:eastAsia="Verdana" w:hAnsi="Verdana"/>
          <w:lang w:val="pl-PL"/>
        </w:rPr>
      </w:pPr>
      <w:r w:rsidRPr="00E21554">
        <w:rPr>
          <w:rFonts w:ascii="Verdana" w:eastAsia="Verdana" w:hAnsi="Verdana"/>
          <w:lang w:val="pl-PL"/>
        </w:rPr>
        <w:t>Sprawa dotyczyła obowiązku zgłaszania przez francuskich prawników „podejrzeń” dotyczących możliwych działań prania pieniędzy przez ich klientów. Skarżący twierdził między innymi, że obowiązek ten, wynikający z transpozycji dyrektyw europejskich, był sprzeczny z Artykułem 8 (prawo do poszanowania życia prywatnego) Konwencji, który chroni poufność relacji prawnik-klient.</w:t>
      </w:r>
    </w:p>
    <w:p w14:paraId="34FC1BB1" w14:textId="2EAB9352" w:rsidR="00E21554" w:rsidRDefault="00E21554" w:rsidP="00E21554">
      <w:pPr>
        <w:ind w:left="119" w:right="839"/>
        <w:jc w:val="both"/>
        <w:rPr>
          <w:rFonts w:ascii="Verdana" w:eastAsia="Verdana" w:hAnsi="Verdana"/>
          <w:color w:val="0072BC"/>
          <w:lang w:val="pl-PL"/>
        </w:rPr>
      </w:pPr>
      <w:r w:rsidRPr="00E21554">
        <w:rPr>
          <w:rFonts w:ascii="Verdana" w:eastAsia="Verdana" w:hAnsi="Verdana"/>
          <w:color w:val="0072BC"/>
          <w:lang w:val="pl-PL"/>
        </w:rPr>
        <w:t xml:space="preserve">Trybunał uznał, że jest zobowiązany do rozstrzygnięcia tej kwestii, ponieważ „domniemanie równoważnej ochrony” nie miało zastosowania w tej sprawie. Trybunał uznał ponadto, że w niniejszej sprawie </w:t>
      </w:r>
      <w:r w:rsidRPr="00E21554">
        <w:rPr>
          <w:rFonts w:ascii="Verdana" w:eastAsia="Verdana" w:hAnsi="Verdana"/>
          <w:b/>
          <w:bCs/>
          <w:color w:val="0072BC"/>
          <w:lang w:val="pl-PL"/>
        </w:rPr>
        <w:t>nie doszło do naruszenia Artykułu 8</w:t>
      </w:r>
      <w:r w:rsidRPr="00E21554">
        <w:rPr>
          <w:rFonts w:ascii="Verdana" w:eastAsia="Verdana" w:hAnsi="Verdana"/>
          <w:color w:val="0072BC"/>
          <w:lang w:val="pl-PL"/>
        </w:rPr>
        <w:t xml:space="preserve"> (prawo do poszanowania życia prywatnego) Konwencji. Trybunał podkreślił znaczenie poufności relacji prawnik-klient oraz tajemnicy adwokackiej. Uznał jednak, że obowiązek zgłaszania podejrzeń realizował uzasadniony cel zapobiegania zakłóceniom porządku lub przestępczości, ponieważ miał na celu zwalczanie prania pieniędzy i powiązanych przestępstw kryminalnych, oraz że był niezbędny do osiągnięcia tego celu.</w:t>
      </w:r>
      <w:r w:rsidRPr="00E21554">
        <w:t xml:space="preserve"> </w:t>
      </w:r>
      <w:r w:rsidRPr="00E21554">
        <w:rPr>
          <w:rFonts w:ascii="Verdana" w:eastAsia="Verdana" w:hAnsi="Verdana"/>
          <w:color w:val="0072BC"/>
          <w:lang w:val="pl-PL"/>
        </w:rPr>
        <w:t>W tej ostatniej kwestii Trybunał orzekł, że obowiązek zgłaszania podejrzeń, wdrożony we Francji, nie ingerował nieproporcjonalnie w tajemnicę adwokacką, ponieważ prawnicy nie podlegali powyższemu wymogowi podczas obrony stron procesowych, a ustawodawstwo wprowadziło filtr chroniący tajemnicę zawodową, zapewniając w ten sposób, że prawnicy nie składali swoich raportów bezpośrednio władzom, ale prezesowi ich stowarzyszenia adwokackiego.</w:t>
      </w:r>
    </w:p>
    <w:p w14:paraId="2B5A184D" w14:textId="77777777" w:rsidR="00E21554" w:rsidRDefault="00E21554" w:rsidP="00E21554">
      <w:pPr>
        <w:ind w:left="119" w:right="839"/>
        <w:jc w:val="both"/>
        <w:rPr>
          <w:rFonts w:ascii="Verdana" w:eastAsia="Verdana" w:hAnsi="Verdana"/>
          <w:color w:val="0072BC"/>
          <w:lang w:val="pl-PL"/>
        </w:rPr>
      </w:pPr>
    </w:p>
    <w:p w14:paraId="03E1B243" w14:textId="77777777" w:rsidR="00E21554" w:rsidRPr="00E21554" w:rsidRDefault="00E21554" w:rsidP="00E21554">
      <w:pPr>
        <w:ind w:left="119" w:right="839"/>
        <w:jc w:val="both"/>
        <w:rPr>
          <w:rFonts w:ascii="Verdana" w:eastAsia="Verdana" w:hAnsi="Verdana"/>
          <w:color w:val="0072BC"/>
          <w:lang w:val="pl-PL"/>
        </w:rPr>
      </w:pPr>
    </w:p>
    <w:p w14:paraId="3BBCD17D" w14:textId="46BF2998" w:rsidR="00E21554" w:rsidRDefault="00E21554" w:rsidP="00E21554">
      <w:pPr>
        <w:ind w:left="119" w:right="839"/>
        <w:jc w:val="both"/>
        <w:rPr>
          <w:rFonts w:ascii="Verdana" w:eastAsia="Verdana" w:hAnsi="Verdana"/>
          <w:color w:val="0072BC"/>
          <w:lang w:val="pl-PL"/>
        </w:rPr>
      </w:pPr>
      <w:r w:rsidRPr="00E21554">
        <w:rPr>
          <w:rFonts w:ascii="Verdana" w:eastAsia="Verdana" w:hAnsi="Verdana"/>
          <w:color w:val="808080" w:themeColor="background1" w:themeShade="80"/>
          <w:sz w:val="28"/>
          <w:szCs w:val="28"/>
          <w:lang w:val="pl-PL"/>
        </w:rPr>
        <w:t>Wolność słowa i handel elektroniczny</w:t>
      </w:r>
    </w:p>
    <w:p w14:paraId="7F6AB768" w14:textId="77777777" w:rsidR="00B155E5" w:rsidRDefault="00B155E5" w:rsidP="005715B6">
      <w:pPr>
        <w:ind w:left="119" w:right="839"/>
        <w:jc w:val="both"/>
        <w:rPr>
          <w:rFonts w:ascii="Verdana" w:eastAsia="Verdana" w:hAnsi="Verdana"/>
          <w:color w:val="0072BC"/>
          <w:lang w:val="pl-PL"/>
        </w:rPr>
      </w:pPr>
    </w:p>
    <w:p w14:paraId="6798E608" w14:textId="33B8DFF8" w:rsidR="00FD2388" w:rsidRPr="00FD2388" w:rsidRDefault="00FD2388" w:rsidP="00FD2388">
      <w:pPr>
        <w:ind w:left="119" w:right="839"/>
        <w:jc w:val="both"/>
        <w:rPr>
          <w:rFonts w:ascii="Verdana" w:eastAsia="Verdana" w:hAnsi="Verdana"/>
          <w:b/>
          <w:bCs/>
          <w:color w:val="0072BC"/>
          <w:lang w:val="pl-PL"/>
        </w:rPr>
      </w:pPr>
      <w:hyperlink r:id="rId44" w:anchor="{%22itemid%22:[%22003-5110487-6300958%22]}" w:history="1">
        <w:proofErr w:type="spellStart"/>
        <w:r w:rsidRPr="00FD2388">
          <w:rPr>
            <w:rStyle w:val="Hipercze"/>
            <w:rFonts w:ascii="Verdana" w:eastAsia="Verdana" w:hAnsi="Verdana"/>
            <w:b/>
            <w:bCs/>
            <w:lang w:val="pl-PL"/>
          </w:rPr>
          <w:t>Delfi</w:t>
        </w:r>
        <w:proofErr w:type="spellEnd"/>
        <w:r w:rsidRPr="00FD2388">
          <w:rPr>
            <w:rStyle w:val="Hipercze"/>
            <w:rFonts w:ascii="Verdana" w:eastAsia="Verdana" w:hAnsi="Verdana"/>
            <w:b/>
            <w:bCs/>
            <w:lang w:val="pl-PL"/>
          </w:rPr>
          <w:t xml:space="preserve"> AS przeciwko Estonii</w:t>
        </w:r>
      </w:hyperlink>
    </w:p>
    <w:p w14:paraId="6FBDB412" w14:textId="77777777" w:rsidR="00FD2388" w:rsidRPr="00FD2388" w:rsidRDefault="00FD2388" w:rsidP="00FD2388">
      <w:pPr>
        <w:ind w:left="119" w:right="839"/>
        <w:jc w:val="both"/>
        <w:rPr>
          <w:rFonts w:ascii="Verdana" w:eastAsia="Verdana" w:hAnsi="Verdana"/>
          <w:color w:val="808080" w:themeColor="background1" w:themeShade="80"/>
          <w:sz w:val="18"/>
          <w:szCs w:val="18"/>
          <w:lang w:val="pl-PL"/>
        </w:rPr>
      </w:pPr>
      <w:r w:rsidRPr="00FD2388">
        <w:rPr>
          <w:rFonts w:ascii="Verdana" w:eastAsia="Verdana" w:hAnsi="Verdana"/>
          <w:color w:val="808080" w:themeColor="background1" w:themeShade="80"/>
          <w:sz w:val="18"/>
          <w:szCs w:val="18"/>
          <w:lang w:val="pl-PL"/>
        </w:rPr>
        <w:t>Wyrok (Wielka Izba) z dnia 16 czerwca 2015 r.</w:t>
      </w:r>
    </w:p>
    <w:p w14:paraId="5BB1F758" w14:textId="77777777" w:rsidR="00FD2388" w:rsidRPr="00FD2388" w:rsidRDefault="00FD2388" w:rsidP="00FD2388">
      <w:pPr>
        <w:ind w:left="119" w:right="839"/>
        <w:jc w:val="both"/>
        <w:rPr>
          <w:rFonts w:ascii="Verdana" w:eastAsia="Verdana" w:hAnsi="Verdana"/>
          <w:lang w:val="pl-PL"/>
        </w:rPr>
      </w:pPr>
      <w:r w:rsidRPr="00FD2388">
        <w:rPr>
          <w:rFonts w:ascii="Verdana" w:eastAsia="Verdana" w:hAnsi="Verdana"/>
          <w:lang w:val="pl-PL"/>
        </w:rPr>
        <w:t>Była to pierwsza sprawa, w której Trybunał został wezwany do zbadania skargi dotyczącej odpowiedzialności za komentarze generowane przez użytkowników na internetowym portalu informacyjnym. Sądy krajowe odrzuciły argument portalu, że zgodnie z dyrektywą 2000/31/WE w sprawie handlu elektronicznego jego rola jako dostawcy usług społeczeństwa informacyjnego lub hosta pamięci masowej była jedynie techniczna, pasywna i neutralna, stwierdzając, że portal sprawował kontrolę nad publikacją komentarzy.</w:t>
      </w:r>
    </w:p>
    <w:p w14:paraId="72D0B080" w14:textId="2C36FA4D" w:rsidR="00B155E5" w:rsidRDefault="00FD2388" w:rsidP="00FD2388">
      <w:pPr>
        <w:ind w:left="119" w:right="839"/>
        <w:jc w:val="both"/>
        <w:rPr>
          <w:rFonts w:ascii="Verdana" w:eastAsia="Verdana" w:hAnsi="Verdana"/>
          <w:color w:val="0072BC"/>
          <w:lang w:val="pl-PL"/>
        </w:rPr>
      </w:pPr>
      <w:r w:rsidRPr="00FD2388">
        <w:rPr>
          <w:rFonts w:ascii="Verdana" w:eastAsia="Verdana" w:hAnsi="Verdana"/>
          <w:color w:val="0072BC"/>
          <w:lang w:val="pl-PL"/>
        </w:rPr>
        <w:t xml:space="preserve">Trybunał orzekł, że </w:t>
      </w:r>
      <w:r w:rsidRPr="00FD2388">
        <w:rPr>
          <w:rFonts w:ascii="Verdana" w:eastAsia="Verdana" w:hAnsi="Verdana"/>
          <w:b/>
          <w:bCs/>
          <w:color w:val="0072BC"/>
          <w:lang w:val="pl-PL"/>
        </w:rPr>
        <w:t>nie doszło do naruszenia art. 10</w:t>
      </w:r>
      <w:r w:rsidRPr="00FD2388">
        <w:rPr>
          <w:rFonts w:ascii="Verdana" w:eastAsia="Verdana" w:hAnsi="Verdana"/>
          <w:color w:val="0072BC"/>
          <w:lang w:val="pl-PL"/>
        </w:rPr>
        <w:t xml:space="preserve"> (wolność wypowiedzi) Konwencji, stwierdzając, że uznanie przez sądy estońskie odpowiedzialności skarżącej spółki było uzasadnionym i proporcjonalnym ograniczeniem wolności wypowiedzi portalu. Wielka Izba powtórzyła w szczególności, że do sądów krajowych należy rozstrzyganie kwestii interpretacji i stosowania prawa krajowego. W związku z tym nie zajmowała się kwestią prawa UE i ograniczyła się do pytania, czy zastosowanie przez Sąd Najwyższy prawa krajowego do sytuacji skarżącej spółki było przewidywalne.</w:t>
      </w:r>
    </w:p>
    <w:p w14:paraId="43CD18B1" w14:textId="77777777" w:rsidR="00B155E5" w:rsidRDefault="00B155E5" w:rsidP="005715B6">
      <w:pPr>
        <w:ind w:left="119" w:right="839"/>
        <w:jc w:val="both"/>
        <w:rPr>
          <w:rFonts w:ascii="Verdana" w:eastAsia="Verdana" w:hAnsi="Verdana"/>
          <w:color w:val="0072BC"/>
          <w:lang w:val="pl-PL"/>
        </w:rPr>
      </w:pPr>
    </w:p>
    <w:p w14:paraId="3121C278" w14:textId="77777777" w:rsidR="00FD2388" w:rsidRDefault="00FD2388" w:rsidP="00FD2388">
      <w:pPr>
        <w:ind w:left="119" w:right="839"/>
        <w:jc w:val="both"/>
        <w:rPr>
          <w:rFonts w:ascii="Verdana" w:eastAsia="Verdana" w:hAnsi="Verdana"/>
          <w:color w:val="808080" w:themeColor="background1" w:themeShade="80"/>
          <w:sz w:val="28"/>
          <w:szCs w:val="28"/>
          <w:lang w:val="pl-PL"/>
        </w:rPr>
      </w:pPr>
      <w:r>
        <w:rPr>
          <w:rFonts w:ascii="Verdana" w:eastAsia="Verdana" w:hAnsi="Verdana"/>
          <w:color w:val="808080" w:themeColor="background1" w:themeShade="80"/>
          <w:sz w:val="28"/>
          <w:szCs w:val="28"/>
          <w:lang w:val="pl-PL"/>
        </w:rPr>
        <w:t>Środowisko</w:t>
      </w:r>
    </w:p>
    <w:p w14:paraId="56A51655" w14:textId="77777777" w:rsidR="00FD2388" w:rsidRDefault="00FD2388" w:rsidP="00FD2388">
      <w:pPr>
        <w:ind w:left="119" w:right="839"/>
        <w:jc w:val="both"/>
        <w:rPr>
          <w:rFonts w:ascii="Verdana" w:eastAsia="Verdana" w:hAnsi="Verdana"/>
          <w:color w:val="0072BC"/>
          <w:lang w:val="pl-PL"/>
        </w:rPr>
      </w:pPr>
    </w:p>
    <w:p w14:paraId="31C3C18A" w14:textId="5F451007" w:rsidR="00FD2388" w:rsidRPr="00FD2388" w:rsidRDefault="00FD2388" w:rsidP="00FD2388">
      <w:pPr>
        <w:ind w:left="119" w:right="839"/>
        <w:jc w:val="both"/>
        <w:rPr>
          <w:rFonts w:ascii="Verdana" w:eastAsia="Verdana" w:hAnsi="Verdana"/>
          <w:b/>
          <w:bCs/>
          <w:color w:val="808080" w:themeColor="background1" w:themeShade="80"/>
          <w:sz w:val="28"/>
          <w:szCs w:val="28"/>
          <w:lang w:val="pl-PL"/>
        </w:rPr>
      </w:pPr>
      <w:hyperlink r:id="rId45" w:anchor="{%22itemid%22:[%22003-6108630-7880959%22]}" w:history="1">
        <w:r w:rsidRPr="00FD2388">
          <w:rPr>
            <w:rStyle w:val="Hipercze"/>
            <w:rFonts w:ascii="Verdana" w:eastAsia="Verdana" w:hAnsi="Verdana"/>
            <w:b/>
            <w:bCs/>
            <w:lang w:val="pl-PL"/>
          </w:rPr>
          <w:t xml:space="preserve">O'Sullivan </w:t>
        </w:r>
        <w:proofErr w:type="spellStart"/>
        <w:r w:rsidRPr="00FD2388">
          <w:rPr>
            <w:rStyle w:val="Hipercze"/>
            <w:rFonts w:ascii="Verdana" w:eastAsia="Verdana" w:hAnsi="Verdana"/>
            <w:b/>
            <w:bCs/>
            <w:lang w:val="pl-PL"/>
          </w:rPr>
          <w:t>McCarthy</w:t>
        </w:r>
        <w:proofErr w:type="spellEnd"/>
        <w:r w:rsidRPr="00FD2388">
          <w:rPr>
            <w:rStyle w:val="Hipercze"/>
            <w:rFonts w:ascii="Verdana" w:eastAsia="Verdana" w:hAnsi="Verdana"/>
            <w:b/>
            <w:bCs/>
            <w:lang w:val="pl-PL"/>
          </w:rPr>
          <w:t xml:space="preserve"> </w:t>
        </w:r>
        <w:proofErr w:type="spellStart"/>
        <w:r w:rsidRPr="00FD2388">
          <w:rPr>
            <w:rStyle w:val="Hipercze"/>
            <w:rFonts w:ascii="Verdana" w:eastAsia="Verdana" w:hAnsi="Verdana"/>
            <w:b/>
            <w:bCs/>
            <w:lang w:val="pl-PL"/>
          </w:rPr>
          <w:t>Mussel</w:t>
        </w:r>
        <w:proofErr w:type="spellEnd"/>
        <w:r w:rsidRPr="00FD2388">
          <w:rPr>
            <w:rStyle w:val="Hipercze"/>
            <w:rFonts w:ascii="Verdana" w:eastAsia="Verdana" w:hAnsi="Verdana"/>
            <w:b/>
            <w:bCs/>
            <w:lang w:val="pl-PL"/>
          </w:rPr>
          <w:t xml:space="preserve"> Development </w:t>
        </w:r>
        <w:proofErr w:type="spellStart"/>
        <w:r w:rsidRPr="00FD2388">
          <w:rPr>
            <w:rStyle w:val="Hipercze"/>
            <w:rFonts w:ascii="Verdana" w:eastAsia="Verdana" w:hAnsi="Verdana"/>
            <w:b/>
            <w:bCs/>
            <w:lang w:val="pl-PL"/>
          </w:rPr>
          <w:t>Ltd</w:t>
        </w:r>
        <w:proofErr w:type="spellEnd"/>
        <w:r w:rsidRPr="00FD2388">
          <w:rPr>
            <w:rStyle w:val="Hipercze"/>
            <w:rFonts w:ascii="Verdana" w:eastAsia="Verdana" w:hAnsi="Verdana"/>
            <w:b/>
            <w:bCs/>
            <w:lang w:val="pl-PL"/>
          </w:rPr>
          <w:t xml:space="preserve"> przeciwko Irlandii</w:t>
        </w:r>
      </w:hyperlink>
    </w:p>
    <w:p w14:paraId="3DE4A68C" w14:textId="77777777" w:rsidR="00FD2388" w:rsidRPr="00FD2388" w:rsidRDefault="00FD2388" w:rsidP="00FD2388">
      <w:pPr>
        <w:ind w:left="119" w:right="839"/>
        <w:jc w:val="both"/>
        <w:rPr>
          <w:rFonts w:ascii="Verdana" w:eastAsia="Verdana" w:hAnsi="Verdana"/>
          <w:color w:val="808080" w:themeColor="background1" w:themeShade="80"/>
          <w:sz w:val="18"/>
          <w:szCs w:val="18"/>
          <w:lang w:val="pl-PL"/>
        </w:rPr>
      </w:pPr>
      <w:r w:rsidRPr="00FD2388">
        <w:rPr>
          <w:rFonts w:ascii="Verdana" w:eastAsia="Verdana" w:hAnsi="Verdana"/>
          <w:color w:val="808080" w:themeColor="background1" w:themeShade="80"/>
          <w:sz w:val="18"/>
          <w:szCs w:val="18"/>
          <w:lang w:val="pl-PL"/>
        </w:rPr>
        <w:t>Wyrok z dnia 7 czerwca 2018 r.</w:t>
      </w:r>
    </w:p>
    <w:p w14:paraId="07D6136B" w14:textId="4684EB39" w:rsidR="00FD2388" w:rsidRPr="00FD2388" w:rsidRDefault="00FD2388" w:rsidP="00FD2388">
      <w:pPr>
        <w:ind w:left="119" w:right="839"/>
        <w:jc w:val="both"/>
        <w:rPr>
          <w:rFonts w:ascii="Verdana" w:eastAsia="Verdana" w:hAnsi="Verdana"/>
          <w:lang w:val="pl-PL"/>
        </w:rPr>
      </w:pPr>
      <w:r w:rsidRPr="00FD2388">
        <w:rPr>
          <w:rFonts w:ascii="Verdana" w:eastAsia="Verdana" w:hAnsi="Verdana"/>
          <w:lang w:val="pl-PL"/>
        </w:rPr>
        <w:t xml:space="preserve">Skarżąca spółka łowi niedojrzałe małże (nasiona małży), a następnie hoduje je i sprzedaje, gdy są rozwinięte, co trwa dwa lata. Sprawa dotyczyła jej skargi, że rząd </w:t>
      </w:r>
      <w:r w:rsidRPr="00FD2388">
        <w:rPr>
          <w:rFonts w:ascii="Verdana" w:eastAsia="Verdana" w:hAnsi="Verdana"/>
          <w:lang w:val="pl-PL"/>
        </w:rPr>
        <w:lastRenderedPageBreak/>
        <w:t>irlandzki spowodował jej straty finansowe poprzez sposób, w jaki przestrzegała przepisów Unii Europejskiej dotyczących ochrony środowiska</w:t>
      </w:r>
      <w:r>
        <w:rPr>
          <w:rStyle w:val="Odwoanieprzypisudolnego"/>
          <w:rFonts w:ascii="Verdana" w:eastAsia="Verdana" w:hAnsi="Verdana"/>
          <w:lang w:val="pl-PL"/>
        </w:rPr>
        <w:footnoteReference w:id="6"/>
      </w:r>
      <w:r>
        <w:rPr>
          <w:rFonts w:ascii="Verdana" w:eastAsia="Verdana" w:hAnsi="Verdana"/>
          <w:lang w:val="pl-PL"/>
        </w:rPr>
        <w:t>.</w:t>
      </w:r>
    </w:p>
    <w:p w14:paraId="57B4888E" w14:textId="62DFB266" w:rsidR="00FD2388" w:rsidRDefault="00FD2388" w:rsidP="00FF16BE">
      <w:pPr>
        <w:ind w:left="119" w:right="839"/>
        <w:jc w:val="both"/>
        <w:rPr>
          <w:rFonts w:ascii="Verdana" w:eastAsia="Verdana" w:hAnsi="Verdana"/>
          <w:color w:val="0072BC"/>
          <w:lang w:val="pl-PL"/>
        </w:rPr>
      </w:pPr>
      <w:r w:rsidRPr="00FD2388">
        <w:rPr>
          <w:rFonts w:ascii="Verdana" w:eastAsia="Verdana" w:hAnsi="Verdana"/>
          <w:color w:val="0072BC"/>
          <w:lang w:val="pl-PL"/>
        </w:rPr>
        <w:t xml:space="preserve">Trybunał uznał, że </w:t>
      </w:r>
      <w:r w:rsidRPr="00FD2388">
        <w:rPr>
          <w:rFonts w:ascii="Verdana" w:eastAsia="Verdana" w:hAnsi="Verdana"/>
          <w:b/>
          <w:bCs/>
          <w:color w:val="0072BC"/>
          <w:lang w:val="pl-PL"/>
        </w:rPr>
        <w:t>nie doszło do naruszenia art. 1</w:t>
      </w:r>
      <w:r w:rsidRPr="00FD2388">
        <w:rPr>
          <w:rFonts w:ascii="Verdana" w:eastAsia="Verdana" w:hAnsi="Verdana"/>
          <w:color w:val="0072BC"/>
          <w:lang w:val="pl-PL"/>
        </w:rPr>
        <w:t xml:space="preserve"> (ochrona własności) Protokołu nr 1 do Konwencji. Trybunał zauważył w szczególności, że zarówno ochrona środowiska, jak i przestrzeganie zobowiązań pozwanego państwa wynikających z prawa UE były uzasadnionymi celami. Jako podmiot gospodarczy spółka powinna była zdawać sobie sprawę, że konieczność przestrzegania przepisów UE może mieć wpływ na jej działalność. Ogólnie rzecz biorąc, Trybunał uznał, że spółka nie poniosła nieproporcjonalnego obciążenia z powodu działań rządu irlandzkiego i że Irlandia zapewniła właściwą równowagę między ogólnymi interesami społeczności a ochroną praw jednostki. Nie doszło zatem do naruszenia praw własności spółki. Trybunał uznał również, że w niniejszej sprawie </w:t>
      </w:r>
      <w:r w:rsidRPr="00FD2388">
        <w:rPr>
          <w:rFonts w:ascii="Verdana" w:eastAsia="Verdana" w:hAnsi="Verdana"/>
          <w:b/>
          <w:bCs/>
          <w:color w:val="0072BC"/>
          <w:lang w:val="pl-PL"/>
        </w:rPr>
        <w:t>nie doszło do naruszenia Artykułu 6</w:t>
      </w:r>
      <w:r w:rsidRPr="00FD2388">
        <w:rPr>
          <w:rFonts w:ascii="Verdana" w:eastAsia="Verdana" w:hAnsi="Verdana"/>
          <w:color w:val="0072BC"/>
          <w:lang w:val="pl-PL"/>
        </w:rPr>
        <w:t xml:space="preserve"> Konwencji (prawo do rzetelnego procesu sądowego w rozsądnym terminie).</w:t>
      </w:r>
    </w:p>
    <w:p w14:paraId="23FD52DE" w14:textId="77777777" w:rsidR="00FD2388" w:rsidRDefault="00FD2388" w:rsidP="00FD2388">
      <w:pPr>
        <w:ind w:left="119" w:right="839"/>
        <w:jc w:val="both"/>
        <w:rPr>
          <w:rFonts w:ascii="Verdana" w:eastAsia="Verdana" w:hAnsi="Verdana"/>
          <w:color w:val="0072BC"/>
          <w:lang w:val="pl-PL"/>
        </w:rPr>
      </w:pPr>
    </w:p>
    <w:p w14:paraId="50191DC0" w14:textId="4864ECDD" w:rsidR="00FD2388" w:rsidRPr="00FF16BE" w:rsidRDefault="00FF16BE" w:rsidP="00FD2388">
      <w:pPr>
        <w:ind w:left="119" w:right="839"/>
        <w:jc w:val="both"/>
        <w:rPr>
          <w:rFonts w:ascii="Verdana" w:eastAsia="Verdana" w:hAnsi="Verdana"/>
          <w:b/>
          <w:bCs/>
          <w:color w:val="0072BC"/>
          <w:lang w:val="pl-PL"/>
        </w:rPr>
      </w:pPr>
      <w:hyperlink r:id="rId46" w:anchor="{%22itemid%22:[%22003-6390085-8382921%22]}" w:history="1">
        <w:r w:rsidR="00FD2388" w:rsidRPr="00FF16BE">
          <w:rPr>
            <w:rStyle w:val="Hipercze"/>
            <w:rFonts w:ascii="Verdana" w:eastAsia="Verdana" w:hAnsi="Verdana"/>
            <w:b/>
            <w:bCs/>
            <w:lang w:val="pl-PL"/>
          </w:rPr>
          <w:t>Pop i inni przeciwko Rumunii</w:t>
        </w:r>
      </w:hyperlink>
    </w:p>
    <w:p w14:paraId="6E9720F2" w14:textId="77777777" w:rsidR="00FD2388" w:rsidRPr="00FF16BE" w:rsidRDefault="00FD2388" w:rsidP="00FD2388">
      <w:pPr>
        <w:ind w:left="119" w:right="839"/>
        <w:jc w:val="both"/>
        <w:rPr>
          <w:rFonts w:ascii="Verdana" w:eastAsia="Verdana" w:hAnsi="Verdana"/>
          <w:color w:val="808080" w:themeColor="background1" w:themeShade="80"/>
          <w:sz w:val="18"/>
          <w:szCs w:val="18"/>
          <w:lang w:val="pl-PL"/>
        </w:rPr>
      </w:pPr>
      <w:r w:rsidRPr="00FF16BE">
        <w:rPr>
          <w:rFonts w:ascii="Verdana" w:eastAsia="Verdana" w:hAnsi="Verdana"/>
          <w:color w:val="808080" w:themeColor="background1" w:themeShade="80"/>
          <w:sz w:val="18"/>
          <w:szCs w:val="18"/>
          <w:lang w:val="pl-PL"/>
        </w:rPr>
        <w:t>2 kwietnia 2019 r. (decyzja w sprawie dopuszczalności)</w:t>
      </w:r>
    </w:p>
    <w:p w14:paraId="36D7C7B8" w14:textId="77777777" w:rsidR="00FD2388" w:rsidRPr="00FF16BE" w:rsidRDefault="00FD2388" w:rsidP="00FD2388">
      <w:pPr>
        <w:ind w:left="119" w:right="839"/>
        <w:jc w:val="both"/>
        <w:rPr>
          <w:rFonts w:ascii="Verdana" w:eastAsia="Verdana" w:hAnsi="Verdana"/>
          <w:lang w:val="pl-PL"/>
        </w:rPr>
      </w:pPr>
      <w:r w:rsidRPr="00FF16BE">
        <w:rPr>
          <w:rFonts w:ascii="Verdana" w:eastAsia="Verdana" w:hAnsi="Verdana"/>
          <w:lang w:val="pl-PL"/>
        </w:rPr>
        <w:t>Skarżący, z których wszyscy trzej nabyli używane pojazdy w Unii Europejskiej (UE), skarżyli się, że zostali zobowiązani do zapłaty podatku od zanieczyszczeń w celu zarejestrowania swoich pojazdów w Rumunii na podstawie rozporządzenia nadzwyczajnego (OUG nr 50/2008), które zostało uznane przez Trybunał Sprawiedliwości Unii Europejskiej za niezgodne z prawem UE.</w:t>
      </w:r>
    </w:p>
    <w:p w14:paraId="45B31863" w14:textId="0F15B597" w:rsidR="00FD2388" w:rsidRDefault="00FD2388" w:rsidP="00FD2388">
      <w:pPr>
        <w:ind w:left="119" w:right="839"/>
        <w:jc w:val="both"/>
        <w:rPr>
          <w:rFonts w:ascii="Verdana" w:eastAsia="Verdana" w:hAnsi="Verdana"/>
          <w:color w:val="0072BC"/>
          <w:lang w:val="pl-PL"/>
        </w:rPr>
      </w:pPr>
      <w:r w:rsidRPr="00FD2388">
        <w:rPr>
          <w:rFonts w:ascii="Verdana" w:eastAsia="Verdana" w:hAnsi="Verdana"/>
          <w:color w:val="0072BC"/>
          <w:lang w:val="pl-PL"/>
        </w:rPr>
        <w:t xml:space="preserve">Trybunał uznał skargi za </w:t>
      </w:r>
      <w:r w:rsidRPr="00FF16BE">
        <w:rPr>
          <w:rFonts w:ascii="Verdana" w:eastAsia="Verdana" w:hAnsi="Verdana"/>
          <w:b/>
          <w:bCs/>
          <w:color w:val="0072BC"/>
          <w:lang w:val="pl-PL"/>
        </w:rPr>
        <w:t>niedopuszczalne</w:t>
      </w:r>
      <w:r w:rsidRPr="00FD2388">
        <w:rPr>
          <w:rFonts w:ascii="Verdana" w:eastAsia="Verdana" w:hAnsi="Verdana"/>
          <w:color w:val="0072BC"/>
          <w:lang w:val="pl-PL"/>
        </w:rPr>
        <w:t xml:space="preserve"> z powodu niewyczerpania krajowych środków odwoławczych. W przypadku dwóch skarżących zauważył w szczególności, że środek zaradczy wprowadzony przez inne rozporządzenie nadzwyczajne (OUG nr 52/2017), obowiązujące od 7 sierpnia 2017 r., dał im możliwość uzyskania zwrotu podatku od zanieczyszczeń i zapłaty odpowiednich odsetek. Określono w nim również jasne i przewidywalne zasady proceduralne, z wiążącymi terminami i możliwością skutecznej kontroli sądowej. Środek zaradczy przewidziany przez OUG nr. 52/2017 stanowił zatem skuteczny środek odwoławczy w rozumieniu art. 35 (kryteria dopuszczalności) Konwencji. Jeśli chodzi o trzeciego skarżącego, przyznał on, że nie podjął żadnych kroków na szczeblu krajowym w celu odzyskania odsetek, których się domagał (podatek od zanieczyszczeń i część odsetek zostały zwrócone w następstwie prawomocnego orzeczenia sądu krajowego) i nie przedstawił żadnego argumentu wskazującego, że takie podejście byłoby nieskuteczne.</w:t>
      </w:r>
    </w:p>
    <w:p w14:paraId="6C58E6AF" w14:textId="77777777" w:rsidR="00FD2388" w:rsidRDefault="00FD2388" w:rsidP="00FD2388">
      <w:pPr>
        <w:ind w:left="119" w:right="839"/>
        <w:jc w:val="both"/>
        <w:rPr>
          <w:rFonts w:ascii="Verdana" w:eastAsia="Verdana" w:hAnsi="Verdana"/>
          <w:color w:val="0072BC"/>
          <w:lang w:val="pl-PL"/>
        </w:rPr>
      </w:pPr>
    </w:p>
    <w:p w14:paraId="187C0804" w14:textId="77777777" w:rsidR="00F777DC" w:rsidRPr="00F777DC" w:rsidRDefault="00F777DC" w:rsidP="00F777DC">
      <w:pPr>
        <w:ind w:left="119" w:right="839"/>
        <w:jc w:val="both"/>
        <w:rPr>
          <w:rFonts w:ascii="Verdana" w:eastAsia="Verdana" w:hAnsi="Verdana"/>
          <w:color w:val="808080" w:themeColor="background1" w:themeShade="80"/>
          <w:sz w:val="28"/>
          <w:szCs w:val="28"/>
          <w:lang w:val="pl-PL"/>
        </w:rPr>
      </w:pPr>
      <w:r w:rsidRPr="00F777DC">
        <w:rPr>
          <w:rFonts w:ascii="Verdana" w:eastAsia="Verdana" w:hAnsi="Verdana"/>
          <w:color w:val="808080" w:themeColor="background1" w:themeShade="80"/>
          <w:sz w:val="28"/>
          <w:szCs w:val="28"/>
          <w:lang w:val="pl-PL"/>
        </w:rPr>
        <w:t>Prawo do tłumaczenia ustnego i pisemnego w postępowaniu karnym</w:t>
      </w:r>
    </w:p>
    <w:p w14:paraId="370F5363" w14:textId="77777777" w:rsidR="00F777DC" w:rsidRDefault="00F777DC" w:rsidP="00F777DC">
      <w:pPr>
        <w:ind w:left="119" w:right="839"/>
        <w:jc w:val="both"/>
        <w:rPr>
          <w:rFonts w:ascii="Verdana" w:eastAsia="Verdana" w:hAnsi="Verdana"/>
          <w:color w:val="0072BC"/>
          <w:lang w:val="pl-PL"/>
        </w:rPr>
      </w:pPr>
    </w:p>
    <w:p w14:paraId="694C3514" w14:textId="3EC1D45B" w:rsidR="00F777DC" w:rsidRPr="00F777DC" w:rsidRDefault="00F777DC" w:rsidP="00F777DC">
      <w:pPr>
        <w:ind w:left="119" w:right="839"/>
        <w:jc w:val="both"/>
        <w:rPr>
          <w:rFonts w:ascii="Verdana" w:eastAsia="Verdana" w:hAnsi="Verdana"/>
          <w:b/>
          <w:bCs/>
          <w:color w:val="0072BC"/>
          <w:lang w:val="pl-PL"/>
        </w:rPr>
      </w:pPr>
      <w:hyperlink r:id="rId47" w:anchor="{%22itemid%22:[%22003-6173341-7999423%22]}" w:history="1">
        <w:proofErr w:type="spellStart"/>
        <w:r w:rsidRPr="00F777DC">
          <w:rPr>
            <w:rStyle w:val="Hipercze"/>
            <w:rFonts w:ascii="Verdana" w:eastAsia="Verdana" w:hAnsi="Verdana"/>
            <w:b/>
            <w:bCs/>
            <w:lang w:val="pl-PL"/>
          </w:rPr>
          <w:t>Vizgirda</w:t>
        </w:r>
        <w:proofErr w:type="spellEnd"/>
        <w:r w:rsidRPr="00F777DC">
          <w:rPr>
            <w:rStyle w:val="Hipercze"/>
            <w:rFonts w:ascii="Verdana" w:eastAsia="Verdana" w:hAnsi="Verdana"/>
            <w:b/>
            <w:bCs/>
            <w:lang w:val="pl-PL"/>
          </w:rPr>
          <w:t xml:space="preserve"> przeciwko Słowenii</w:t>
        </w:r>
      </w:hyperlink>
    </w:p>
    <w:p w14:paraId="2B9D1FE0" w14:textId="77777777" w:rsidR="00F777DC" w:rsidRPr="00F777DC" w:rsidRDefault="00F777DC" w:rsidP="00F777DC">
      <w:pPr>
        <w:ind w:left="119" w:right="839"/>
        <w:jc w:val="both"/>
        <w:rPr>
          <w:rFonts w:ascii="Verdana" w:eastAsia="Verdana" w:hAnsi="Verdana"/>
          <w:color w:val="808080" w:themeColor="background1" w:themeShade="80"/>
          <w:sz w:val="18"/>
          <w:szCs w:val="18"/>
          <w:lang w:val="pl-PL"/>
        </w:rPr>
      </w:pPr>
      <w:r w:rsidRPr="00F777DC">
        <w:rPr>
          <w:rFonts w:ascii="Verdana" w:eastAsia="Verdana" w:hAnsi="Verdana"/>
          <w:color w:val="808080" w:themeColor="background1" w:themeShade="80"/>
          <w:sz w:val="18"/>
          <w:szCs w:val="18"/>
          <w:lang w:val="pl-PL"/>
        </w:rPr>
        <w:t>Wyrok z dnia 28 sierpnia 2018 r.</w:t>
      </w:r>
    </w:p>
    <w:p w14:paraId="45DCA586" w14:textId="77777777" w:rsidR="00F777DC" w:rsidRPr="00F777DC" w:rsidRDefault="00F777DC" w:rsidP="00F777DC">
      <w:pPr>
        <w:ind w:left="119" w:right="839"/>
        <w:jc w:val="both"/>
        <w:rPr>
          <w:rFonts w:ascii="Verdana" w:eastAsia="Verdana" w:hAnsi="Verdana"/>
          <w:lang w:val="pl-PL"/>
        </w:rPr>
      </w:pPr>
      <w:r w:rsidRPr="00F777DC">
        <w:rPr>
          <w:rFonts w:ascii="Verdana" w:eastAsia="Verdana" w:hAnsi="Verdana"/>
          <w:lang w:val="pl-PL"/>
        </w:rPr>
        <w:t>Sprawa ta dotyczyła skargi skarżącego, którego językiem ojczystym był litewski, że nie miał sprawiedliwego procesu po oskarżeniu o rozbój, ponieważ nie rozumiał zapewnionego mu tłumaczenia ustnego, które było w języku rosyjskim.</w:t>
      </w:r>
    </w:p>
    <w:p w14:paraId="16B7BA5A" w14:textId="3CC6D4A8" w:rsidR="00FD2388" w:rsidRDefault="00F777DC" w:rsidP="00F777DC">
      <w:pPr>
        <w:ind w:left="119" w:right="839"/>
        <w:jc w:val="both"/>
        <w:rPr>
          <w:rFonts w:ascii="Verdana" w:eastAsia="Verdana" w:hAnsi="Verdana"/>
          <w:color w:val="0072BC"/>
          <w:lang w:val="pl-PL"/>
        </w:rPr>
      </w:pPr>
      <w:r w:rsidRPr="00F777DC">
        <w:rPr>
          <w:rFonts w:ascii="Verdana" w:eastAsia="Verdana" w:hAnsi="Verdana"/>
          <w:color w:val="0072BC"/>
          <w:lang w:val="pl-PL"/>
        </w:rPr>
        <w:t xml:space="preserve">Trybunał orzekł, że </w:t>
      </w:r>
      <w:r w:rsidRPr="00F777DC">
        <w:rPr>
          <w:rFonts w:ascii="Verdana" w:eastAsia="Verdana" w:hAnsi="Verdana"/>
          <w:b/>
          <w:bCs/>
          <w:color w:val="0072BC"/>
          <w:lang w:val="pl-PL"/>
        </w:rPr>
        <w:t>doszło do naruszenia Artykułu 6 §§ 1 i 3</w:t>
      </w:r>
      <w:r w:rsidRPr="00F777DC">
        <w:rPr>
          <w:rFonts w:ascii="Verdana" w:eastAsia="Verdana" w:hAnsi="Verdana"/>
          <w:color w:val="0072BC"/>
          <w:lang w:val="pl-PL"/>
        </w:rPr>
        <w:t xml:space="preserve"> (prawo do rzetelnego procesu / prawo do niezwłocznego otrzymania informacji o oskarżeniu / prawo do tłumacza ustnego) Konwencji, stwierdzając, że ogólnie rzecz biorąc, pomoc językowa, którą skarżący otrzymał, nie pozwoliła mu aktywnie uczestniczyć w procesie, co było niesprawiedliwe. W szczególności Trybunał zauważył, że władze były zobowiązane do upewnienia się co do kompetencji skarżącego w języku rosyjskim przed podjęciem decyzji o wykorzystaniu go do celów tłumaczenia ustnego. Odniósł się w tym kontekście do </w:t>
      </w:r>
      <w:r w:rsidRPr="00F777DC">
        <w:rPr>
          <w:rFonts w:ascii="Verdana" w:eastAsia="Verdana" w:hAnsi="Verdana"/>
          <w:color w:val="0072BC"/>
          <w:lang w:val="pl-PL"/>
        </w:rPr>
        <w:lastRenderedPageBreak/>
        <w:t>standardów zawartych w Dyrektywie Unii Europejskiej 2010/64/ dotyczącej prawa do tłumaczenia ustnego.</w:t>
      </w:r>
    </w:p>
    <w:p w14:paraId="7BB72192" w14:textId="77777777" w:rsidR="00FD2388" w:rsidRDefault="00FD2388" w:rsidP="00F777DC">
      <w:pPr>
        <w:ind w:right="839"/>
        <w:jc w:val="both"/>
        <w:rPr>
          <w:rFonts w:ascii="Verdana" w:eastAsia="Verdana" w:hAnsi="Verdana"/>
          <w:color w:val="0072BC"/>
          <w:lang w:val="pl-PL"/>
        </w:rPr>
      </w:pPr>
    </w:p>
    <w:p w14:paraId="19CF1C61" w14:textId="77777777" w:rsidR="00FD2388" w:rsidRDefault="00FD2388" w:rsidP="00FD2388">
      <w:pPr>
        <w:ind w:left="119" w:right="839"/>
        <w:jc w:val="both"/>
        <w:rPr>
          <w:rFonts w:ascii="Verdana" w:eastAsia="Verdana" w:hAnsi="Verdana"/>
          <w:color w:val="0072BC"/>
          <w:lang w:val="pl-PL"/>
        </w:rPr>
      </w:pPr>
    </w:p>
    <w:p w14:paraId="23432BE8" w14:textId="77777777" w:rsidR="00F777DC" w:rsidRPr="00F777DC" w:rsidRDefault="00F777DC" w:rsidP="00F777DC">
      <w:pPr>
        <w:ind w:left="119" w:right="839"/>
        <w:jc w:val="both"/>
        <w:rPr>
          <w:rFonts w:ascii="Verdana" w:eastAsia="Verdana" w:hAnsi="Verdana"/>
          <w:color w:val="808080" w:themeColor="background1" w:themeShade="80"/>
          <w:sz w:val="28"/>
          <w:szCs w:val="28"/>
          <w:lang w:val="pl-PL"/>
        </w:rPr>
      </w:pPr>
      <w:r w:rsidRPr="00F777DC">
        <w:rPr>
          <w:rFonts w:ascii="Verdana" w:eastAsia="Verdana" w:hAnsi="Verdana"/>
          <w:color w:val="808080" w:themeColor="background1" w:themeShade="80"/>
          <w:sz w:val="28"/>
          <w:szCs w:val="28"/>
          <w:lang w:val="pl-PL"/>
        </w:rPr>
        <w:t>Umowy kredytowe i ochrona konsumentów</w:t>
      </w:r>
    </w:p>
    <w:p w14:paraId="78AB8FCB" w14:textId="77777777" w:rsidR="00F777DC" w:rsidRDefault="00F777DC" w:rsidP="00F777DC">
      <w:pPr>
        <w:ind w:left="119" w:right="839"/>
        <w:jc w:val="both"/>
        <w:rPr>
          <w:rFonts w:ascii="Verdana" w:eastAsia="Verdana" w:hAnsi="Verdana"/>
          <w:color w:val="0072BC"/>
          <w:lang w:val="pl-PL"/>
        </w:rPr>
      </w:pPr>
    </w:p>
    <w:p w14:paraId="62F82C56" w14:textId="692A392D" w:rsidR="00F777DC" w:rsidRPr="00F777DC" w:rsidRDefault="00F777DC" w:rsidP="00F777DC">
      <w:pPr>
        <w:ind w:left="119" w:right="839"/>
        <w:jc w:val="both"/>
        <w:rPr>
          <w:rFonts w:ascii="Verdana" w:eastAsia="Verdana" w:hAnsi="Verdana"/>
          <w:b/>
          <w:bCs/>
          <w:color w:val="0072BC"/>
          <w:lang w:val="pl-PL"/>
        </w:rPr>
      </w:pPr>
      <w:hyperlink r:id="rId48" w:anchor="{%22itemid%22:[%22003-6934844-9322436%22]}" w:history="1">
        <w:proofErr w:type="spellStart"/>
        <w:r w:rsidRPr="00F777DC">
          <w:rPr>
            <w:rStyle w:val="Hipercze"/>
            <w:rFonts w:ascii="Verdana" w:eastAsia="Verdana" w:hAnsi="Verdana"/>
            <w:b/>
            <w:bCs/>
            <w:lang w:val="pl-PL"/>
          </w:rPr>
          <w:t>Antonopoulou</w:t>
        </w:r>
        <w:proofErr w:type="spellEnd"/>
        <w:r w:rsidRPr="00F777DC">
          <w:rPr>
            <w:rStyle w:val="Hipercze"/>
            <w:rFonts w:ascii="Verdana" w:eastAsia="Verdana" w:hAnsi="Verdana"/>
            <w:b/>
            <w:bCs/>
            <w:lang w:val="pl-PL"/>
          </w:rPr>
          <w:t xml:space="preserve"> przeciwko Grecji</w:t>
        </w:r>
      </w:hyperlink>
    </w:p>
    <w:p w14:paraId="65C9BCE7" w14:textId="77777777" w:rsidR="00F777DC" w:rsidRPr="00F777DC" w:rsidRDefault="00F777DC" w:rsidP="00F777DC">
      <w:pPr>
        <w:ind w:left="119" w:right="839"/>
        <w:jc w:val="both"/>
        <w:rPr>
          <w:rFonts w:ascii="Verdana" w:eastAsia="Verdana" w:hAnsi="Verdana"/>
          <w:color w:val="808080" w:themeColor="background1" w:themeShade="80"/>
          <w:sz w:val="18"/>
          <w:szCs w:val="18"/>
          <w:lang w:val="pl-PL"/>
        </w:rPr>
      </w:pPr>
      <w:r w:rsidRPr="00F777DC">
        <w:rPr>
          <w:rFonts w:ascii="Verdana" w:eastAsia="Verdana" w:hAnsi="Verdana"/>
          <w:color w:val="808080" w:themeColor="background1" w:themeShade="80"/>
          <w:sz w:val="18"/>
          <w:szCs w:val="18"/>
          <w:lang w:val="pl-PL"/>
        </w:rPr>
        <w:t>19 stycznia 2021 r. (decyzja w sprawie dopuszczalności)</w:t>
      </w:r>
    </w:p>
    <w:p w14:paraId="0760C5B5" w14:textId="77777777" w:rsidR="00F777DC" w:rsidRPr="00F777DC" w:rsidRDefault="00F777DC" w:rsidP="00F777DC">
      <w:pPr>
        <w:ind w:left="119" w:right="839"/>
        <w:jc w:val="both"/>
        <w:rPr>
          <w:rFonts w:ascii="Verdana" w:eastAsia="Verdana" w:hAnsi="Verdana"/>
          <w:lang w:val="pl-PL"/>
        </w:rPr>
      </w:pPr>
      <w:r w:rsidRPr="00F777DC">
        <w:rPr>
          <w:rFonts w:ascii="Verdana" w:eastAsia="Verdana" w:hAnsi="Verdana"/>
          <w:lang w:val="pl-PL"/>
        </w:rPr>
        <w:t>Skarżąca zaciągnęła kredyt na nieruchomość we frankach szwajcarskich, aby skorzystać z korzystnego i stabilnego kursu wymiany. Klauzula zawarta w umowie kredytowej stanowiła, że kredyt miał być spłacany na podstawie kursu wymiany obowiązującego w dniu spłaty, a nie w dniu zaciągnięcia kredytu. Powódka, zmuszona do zaprzestania wykonywania zawodu z powodów zdrowotnych, starała się spłacić pożyczkę, ale nie była w stanie tego zrobić, ponieważ wzrost wartości franka szwajcarskiego w stosunku do euro zwiększył kwotę pożyczki o około 60%. Skarżąca bezskutecznie wszczęła postępowanie przed sądami krajowymi, argumentując, że przedmiotowa klauzula była nieuczciwa. Skarżyła się, że musiała spłacić bankowi kwotę w euro, która znacznie przekraczała kwotę pożyczoną we frankach szwajcarskich.</w:t>
      </w:r>
    </w:p>
    <w:p w14:paraId="0F211BF0" w14:textId="3675A9A7" w:rsidR="00FD2388" w:rsidRDefault="00F777DC" w:rsidP="00F777DC">
      <w:pPr>
        <w:ind w:left="119" w:right="839"/>
        <w:jc w:val="both"/>
        <w:rPr>
          <w:rFonts w:ascii="Verdana" w:eastAsia="Verdana" w:hAnsi="Verdana"/>
          <w:color w:val="0072BC"/>
          <w:lang w:val="pl-PL"/>
        </w:rPr>
      </w:pPr>
      <w:r w:rsidRPr="00F777DC">
        <w:rPr>
          <w:rFonts w:ascii="Verdana" w:eastAsia="Verdana" w:hAnsi="Verdana"/>
          <w:color w:val="0072BC"/>
          <w:lang w:val="pl-PL"/>
        </w:rPr>
        <w:t>Trybunał uznał skargę za niedopuszczalną, jako oczywiście bezzasadną, stwierdzając, że ramy prawne wprowadzone przez Grecję zapewniły skarżącej mechanizm, za pomocą którego mogła dochodzić swoich praw wynikających z art. 1 (ochrona własności) Protokołu nr 1 do Konwencji.</w:t>
      </w:r>
      <w:r>
        <w:rPr>
          <w:rFonts w:ascii="Verdana" w:eastAsia="Verdana" w:hAnsi="Verdana"/>
          <w:color w:val="0072BC"/>
          <w:lang w:val="pl-PL"/>
        </w:rPr>
        <w:t xml:space="preserve"> </w:t>
      </w:r>
      <w:r w:rsidRPr="00F777DC">
        <w:rPr>
          <w:rFonts w:ascii="Verdana" w:eastAsia="Verdana" w:hAnsi="Verdana"/>
          <w:color w:val="0072BC"/>
          <w:lang w:val="pl-PL"/>
        </w:rPr>
        <w:t>W szczególności, w odniesieniu do skuteczności wybranego przez nią środka prawnego, Trybunał zauważył, że skarżąca miała możliwość przedstawienia wszystkich swoich argumentów przed właściwymi sądami i uzyskania wyroku, zawierającego szczegółowe uzasadnienie, wydanego przez Sąd Kasacyjny w pełnym składzie. Sąd Kasacyjny dokonał ponadto wykładni prawa krajowego zgodnie z odpowiednim orzecznictwem Trybunału Sprawiedliwości Unii Europejskiej.</w:t>
      </w:r>
    </w:p>
    <w:p w14:paraId="2EDFFF32" w14:textId="77777777" w:rsidR="00FD2388" w:rsidRDefault="00FD2388" w:rsidP="00FD2388">
      <w:pPr>
        <w:ind w:left="119" w:right="839"/>
        <w:jc w:val="both"/>
        <w:rPr>
          <w:rFonts w:ascii="Verdana" w:eastAsia="Verdana" w:hAnsi="Verdana"/>
          <w:color w:val="0072BC"/>
          <w:lang w:val="pl-PL"/>
        </w:rPr>
      </w:pPr>
    </w:p>
    <w:p w14:paraId="19675AE7" w14:textId="77777777" w:rsidR="005C2070" w:rsidRPr="005C2070" w:rsidRDefault="005C2070" w:rsidP="005C2070">
      <w:pPr>
        <w:ind w:left="119" w:right="839"/>
        <w:jc w:val="both"/>
        <w:rPr>
          <w:rFonts w:ascii="Verdana" w:eastAsia="Verdana" w:hAnsi="Verdana"/>
          <w:color w:val="808080" w:themeColor="background1" w:themeShade="80"/>
          <w:sz w:val="28"/>
          <w:szCs w:val="28"/>
          <w:lang w:val="pl-PL"/>
        </w:rPr>
      </w:pPr>
      <w:r w:rsidRPr="005C2070">
        <w:rPr>
          <w:rFonts w:ascii="Verdana" w:eastAsia="Verdana" w:hAnsi="Verdana"/>
          <w:color w:val="808080" w:themeColor="background1" w:themeShade="80"/>
          <w:sz w:val="28"/>
          <w:szCs w:val="28"/>
          <w:lang w:val="pl-PL"/>
        </w:rPr>
        <w:t>Wspólna polityka rybołówstwa</w:t>
      </w:r>
    </w:p>
    <w:p w14:paraId="4D308D2E" w14:textId="77777777" w:rsidR="005C2070" w:rsidRDefault="005C2070" w:rsidP="005C2070">
      <w:pPr>
        <w:ind w:left="119" w:right="839"/>
        <w:jc w:val="both"/>
        <w:rPr>
          <w:rFonts w:ascii="Verdana" w:eastAsia="Verdana" w:hAnsi="Verdana"/>
          <w:color w:val="0072BC"/>
          <w:lang w:val="pl-PL"/>
        </w:rPr>
      </w:pPr>
    </w:p>
    <w:p w14:paraId="2D17214B" w14:textId="1CFEB2C9" w:rsidR="005C2070" w:rsidRPr="005C2070" w:rsidRDefault="005C2070" w:rsidP="005C2070">
      <w:pPr>
        <w:ind w:left="119" w:right="839"/>
        <w:jc w:val="both"/>
        <w:rPr>
          <w:rFonts w:ascii="Verdana" w:eastAsia="Verdana" w:hAnsi="Verdana"/>
          <w:b/>
          <w:bCs/>
          <w:color w:val="0072BC"/>
          <w:lang w:val="pl-PL"/>
        </w:rPr>
      </w:pPr>
      <w:hyperlink r:id="rId49" w:anchor="{%22itemid%22:[%22003-7514275-10313027%22]}" w:history="1">
        <w:proofErr w:type="spellStart"/>
        <w:r w:rsidRPr="005C2070">
          <w:rPr>
            <w:rStyle w:val="Hipercze"/>
            <w:rFonts w:ascii="Verdana" w:eastAsia="Verdana" w:hAnsi="Verdana"/>
            <w:b/>
            <w:bCs/>
            <w:lang w:val="pl-PL"/>
          </w:rPr>
          <w:t>Spasov</w:t>
        </w:r>
        <w:proofErr w:type="spellEnd"/>
        <w:r w:rsidRPr="005C2070">
          <w:rPr>
            <w:rStyle w:val="Hipercze"/>
            <w:rFonts w:ascii="Verdana" w:eastAsia="Verdana" w:hAnsi="Verdana"/>
            <w:b/>
            <w:bCs/>
            <w:lang w:val="pl-PL"/>
          </w:rPr>
          <w:t xml:space="preserve"> przeciwko Rumunii</w:t>
        </w:r>
      </w:hyperlink>
    </w:p>
    <w:p w14:paraId="6B64F7C3" w14:textId="142C6ADC" w:rsidR="005C2070" w:rsidRPr="005C2070" w:rsidRDefault="005C2070" w:rsidP="005C2070">
      <w:pPr>
        <w:ind w:left="119" w:right="839"/>
        <w:jc w:val="both"/>
        <w:rPr>
          <w:rFonts w:ascii="Verdana" w:eastAsia="Verdana" w:hAnsi="Verdana"/>
          <w:color w:val="808080" w:themeColor="background1" w:themeShade="80"/>
          <w:lang w:val="pl-PL"/>
        </w:rPr>
      </w:pPr>
      <w:r w:rsidRPr="005C2070">
        <w:rPr>
          <w:rFonts w:ascii="Verdana" w:eastAsia="Verdana" w:hAnsi="Verdana"/>
          <w:color w:val="808080" w:themeColor="background1" w:themeShade="80"/>
          <w:lang w:val="pl-PL"/>
        </w:rPr>
        <w:t>6 grudnia 2022 r.</w:t>
      </w:r>
      <w:r>
        <w:rPr>
          <w:rStyle w:val="Odwoanieprzypisudolnego"/>
          <w:rFonts w:ascii="Verdana" w:eastAsia="Verdana" w:hAnsi="Verdana"/>
          <w:color w:val="808080" w:themeColor="background1" w:themeShade="80"/>
          <w:lang w:val="pl-PL"/>
        </w:rPr>
        <w:footnoteReference w:id="7"/>
      </w:r>
    </w:p>
    <w:p w14:paraId="1B81D28D" w14:textId="77777777" w:rsidR="005C2070" w:rsidRPr="005C2070" w:rsidRDefault="005C2070" w:rsidP="005C2070">
      <w:pPr>
        <w:ind w:left="119" w:right="839"/>
        <w:jc w:val="both"/>
        <w:rPr>
          <w:rFonts w:ascii="Verdana" w:eastAsia="Verdana" w:hAnsi="Verdana"/>
          <w:lang w:val="pl-PL"/>
        </w:rPr>
      </w:pPr>
      <w:r w:rsidRPr="005C2070">
        <w:rPr>
          <w:rFonts w:ascii="Verdana" w:eastAsia="Verdana" w:hAnsi="Verdana"/>
          <w:lang w:val="pl-PL"/>
        </w:rPr>
        <w:t>Sprawa dotyczyła wyroku rumuńskiego sądu skazującego skarżącego, właściciela i kapitana statku pływającego pod bułgarską banderą, za nielegalne połowy w wyłącznej strefie ekonomicznej Rumunii na Morzu Czarnym. W postępowaniu przed rumuńskimi władzami skarżący argumentował, że ilość ryb, o której mowa, stanowiła część bułgarskiej kwoty połowowej turbota w ramach Wspólnej Polityki Rybołówstwa Unii Europejskiej (UE). Sąd Apelacyjny w Konstancji uznał jednak, że prawo UE nie ma zastosowania i skazał skarżącego na podstawie prawa krajowego.</w:t>
      </w:r>
    </w:p>
    <w:p w14:paraId="6113F008" w14:textId="580C9E5D" w:rsidR="00FD2388" w:rsidRDefault="005C2070" w:rsidP="005C2070">
      <w:pPr>
        <w:ind w:left="119" w:right="839"/>
        <w:jc w:val="both"/>
        <w:rPr>
          <w:rFonts w:ascii="Verdana" w:eastAsia="Verdana" w:hAnsi="Verdana"/>
          <w:color w:val="0072BC"/>
          <w:lang w:val="pl-PL"/>
        </w:rPr>
      </w:pPr>
      <w:r w:rsidRPr="005C2070">
        <w:rPr>
          <w:rFonts w:ascii="Verdana" w:eastAsia="Verdana" w:hAnsi="Verdana"/>
          <w:color w:val="0072BC"/>
          <w:lang w:val="pl-PL"/>
        </w:rPr>
        <w:t>Trybunał uznał, że w niniejszej sprawie doszło do naruszenia Artykułu 6 § 1 (prawo do rzetelnego procesu sądowego) Konwencji oraz Artykułu 1 (ochrona własności) Protokołu nr 1 do Konwencji. Trybunał wskazał w szczególności, że zgodnie z zasadą pierwszeństwa prawa UE rozporządzenie o skutku bezpośrednim ma pierwszeństwo przed wszelkimi sprzecznymi przepisami prawa krajowego.</w:t>
      </w:r>
      <w:r>
        <w:rPr>
          <w:rFonts w:ascii="Verdana" w:eastAsia="Verdana" w:hAnsi="Verdana"/>
          <w:color w:val="0072BC"/>
          <w:lang w:val="pl-PL"/>
        </w:rPr>
        <w:t xml:space="preserve"> </w:t>
      </w:r>
      <w:r w:rsidRPr="005C2070">
        <w:rPr>
          <w:rFonts w:ascii="Verdana" w:eastAsia="Verdana" w:hAnsi="Verdana"/>
          <w:color w:val="0072BC"/>
          <w:lang w:val="pl-PL"/>
        </w:rPr>
        <w:t xml:space="preserve">Trybunał zauważył w niniejszej sprawie, że Komisja Europejska wyraźnie wskazała władzom rumuńskim, że postępowanie przeciwko skarżącemu było sprzeczne z prawem UE, a w szczególności z rozporządzeniem (WE) nr 2371/2002 i rozporządzeniem (UE) nr 1256/2010. W świetle przepisów rozporządzenia (WE) nr 2371/2002 oraz bardzo jasnej opinii Komisji Europejskiej dotyczącej stosowania zasad Wspólnej Polityki Rybołówstwa, Trybunał uznał, że skazując skarżącego, Sąd Apelacyjny popełnił oczywisty błąd co do prawa, a skarżący padł ofiarą „odmowy wymiaru sprawiedliwości”. W przypadku wątpliwości Sąd Apelacyjny mógł zwrócić się do Trybunału Sprawiedliwości Unii Europejskiej o wydanie orzeczenia w sprawie interpretacji przepisów prawa UE. Trybunał stwierdził również, że przepisy krajowe, na których Sąd Apelacyjny oparł swoją decyzję (OUG nr 23/2008), nie mogły służyć jako podstawa prawna </w:t>
      </w:r>
      <w:r w:rsidRPr="005C2070">
        <w:rPr>
          <w:rFonts w:ascii="Verdana" w:eastAsia="Verdana" w:hAnsi="Verdana"/>
          <w:color w:val="0072BC"/>
          <w:lang w:val="pl-PL"/>
        </w:rPr>
        <w:lastRenderedPageBreak/>
        <w:t>dodatkowych kar pieniężnych nałożonych na skarżącego, ponieważ był on uprawniony na mocy jasnych przepisów europejskich do połowów w danej strefie.</w:t>
      </w:r>
    </w:p>
    <w:p w14:paraId="575AABE4" w14:textId="77777777" w:rsidR="00FD2388" w:rsidRDefault="00FD2388" w:rsidP="005C2070">
      <w:pPr>
        <w:ind w:right="839"/>
        <w:jc w:val="both"/>
        <w:rPr>
          <w:rFonts w:ascii="Verdana" w:eastAsia="Verdana" w:hAnsi="Verdana"/>
          <w:color w:val="0072BC"/>
          <w:lang w:val="pl-PL"/>
        </w:rPr>
      </w:pPr>
    </w:p>
    <w:p w14:paraId="149B262B" w14:textId="77777777" w:rsidR="00B155E5" w:rsidRDefault="00B155E5" w:rsidP="005C2070">
      <w:pPr>
        <w:ind w:right="839"/>
        <w:jc w:val="both"/>
        <w:rPr>
          <w:rFonts w:ascii="Verdana" w:eastAsia="Verdana" w:hAnsi="Verdana"/>
          <w:color w:val="0072BC"/>
          <w:lang w:val="pl-PL"/>
        </w:rPr>
      </w:pPr>
    </w:p>
    <w:p w14:paraId="1FB54E9D" w14:textId="613CBE5C" w:rsidR="00597FA4" w:rsidRPr="00597FA4" w:rsidRDefault="00667B8B" w:rsidP="00EC02BD">
      <w:pPr>
        <w:ind w:left="119" w:right="839"/>
        <w:jc w:val="both"/>
        <w:rPr>
          <w:rFonts w:ascii="Verdana" w:eastAsia="Verdana" w:hAnsi="Verdana"/>
          <w:color w:val="0072BC"/>
          <w:lang w:val="pl-PL"/>
        </w:rPr>
      </w:pPr>
      <w:r>
        <w:rPr>
          <w:rFonts w:ascii="Verdana" w:eastAsia="Verdana" w:hAnsi="Verdana"/>
          <w:noProof/>
          <w:color w:val="0072BC"/>
        </w:rPr>
        <mc:AlternateContent>
          <mc:Choice Requires="wps">
            <w:drawing>
              <wp:anchor distT="0" distB="0" distL="114300" distR="114300" simplePos="0" relativeHeight="251662848" behindDoc="1" locked="0" layoutInCell="1" allowOverlap="1" wp14:anchorId="0AAEDC07" wp14:editId="219B6349">
                <wp:simplePos x="0" y="0"/>
                <wp:positionH relativeFrom="column">
                  <wp:posOffset>-13335</wp:posOffset>
                </wp:positionH>
                <wp:positionV relativeFrom="paragraph">
                  <wp:posOffset>97790</wp:posOffset>
                </wp:positionV>
                <wp:extent cx="5768340" cy="0"/>
                <wp:effectExtent l="6350" t="13970" r="6985" b="14605"/>
                <wp:wrapNone/>
                <wp:docPr id="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2179">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371A7" id="Line 9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7pt" to="453.1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dYwwEAAGsDAAAOAAAAZHJzL2Uyb0RvYy54bWysU01v2zAMvQ/YfxB0X5ykXdsYcXpI112y&#10;LUC7H8BIsi1MEgVJiZ1/P0r5WLfdhvkgUCL5+PhILx9Ha9hBhajRNXw2mXKmnECpXdfw76/PHx44&#10;iwmcBINONfyoIn9cvX+3HHyt5tijkSowAnGxHnzD+5R8XVVR9MpCnKBXjpwtBguJrqGrZICB0K2p&#10;5tPpXTVgkD6gUDHS69PJyVcFv22VSN/aNqrETMOJWypnKOcun9VqCXUXwPdanGnAP7CwoB0VvUI9&#10;QQK2D/ovKKtFwIhtmgi0FbatFqr0QN3Mpn9089KDV6UXEif6q0zx/8GKr4dtYFo2/JYzB5ZGtNFO&#10;scVNlmbwsaaItduG3JwY3YvfoPgRmcN1D65TheLr0VPeLGdUv6XkS/RUYDd8QUkxsE9YdBrbYDMk&#10;KcDGMo7jdRxqTEzQ48f7u4ebW5qauPgqqC+JPsT0WaFl2Wi4IdIFGA6bmDIRqC8huY7DZ21MmbZx&#10;bCC289n9omRENFpmb46LodutTWAHoIVZlK+0RZ63YQH3Tha0XoH8dLYTaHOyqbpxZzWyACcpdyiP&#10;23BRiSZaaJ63L6/M23vJ/vWPrH4CAAD//wMAUEsDBBQABgAIAAAAIQC2ScPs3gAAAAgBAAAPAAAA&#10;ZHJzL2Rvd25yZXYueG1sTI/BTsMwEETvSP0Ha5G4tU4LlDbEqVARVOoBiQLq1Ym3SUq8jmynDX/P&#10;Ig5w3JnR7JtsNdhWnNCHxpGC6SQBgVQ601Cl4P3tabwAEaImo1tHqOALA6zy0UWmU+PO9IqnXawE&#10;l1BItYI6xi6VMpQ1Wh0mrkNi7+C81ZFPX0nj9ZnLbStnSTKXVjfEH2rd4brG8nPXWwXPvZdy/bL9&#10;2OOiC4+bTXG8OxRKXV0OD/cgIg7xLww/+IwOOTMVricTRKtgPJtykvXbGxDsL5P5NYjiV5B5Jv8P&#10;yL8BAAD//wMAUEsBAi0AFAAGAAgAAAAhALaDOJL+AAAA4QEAABMAAAAAAAAAAAAAAAAAAAAAAFtD&#10;b250ZW50X1R5cGVzXS54bWxQSwECLQAUAAYACAAAACEAOP0h/9YAAACUAQAACwAAAAAAAAAAAAAA&#10;AAAvAQAAX3JlbHMvLnJlbHNQSwECLQAUAAYACAAAACEAJf6nWMMBAABrAwAADgAAAAAAAAAAAAAA&#10;AAAuAgAAZHJzL2Uyb0RvYy54bWxQSwECLQAUAAYACAAAACEAtknD7N4AAAAIAQAADwAAAAAAAAAA&#10;AAAAAAAdBAAAZHJzL2Rvd25yZXYueG1sUEsFBgAAAAAEAAQA8wAAACgFAAAAAA==&#10;" strokecolor="#999" strokeweight=".33831mm"/>
            </w:pict>
          </mc:Fallback>
        </mc:AlternateContent>
      </w:r>
    </w:p>
    <w:p w14:paraId="0995ADA9" w14:textId="77777777" w:rsidR="008B2F08" w:rsidRDefault="008B2F08" w:rsidP="00791AFA">
      <w:pPr>
        <w:pStyle w:val="Nagwek2"/>
        <w:spacing w:before="63" w:line="243" w:lineRule="exact"/>
        <w:ind w:left="0" w:right="-47"/>
        <w:jc w:val="center"/>
        <w:rPr>
          <w:b w:val="0"/>
          <w:bCs w:val="0"/>
          <w:u w:val="none"/>
        </w:rPr>
      </w:pPr>
      <w:r>
        <w:rPr>
          <w:color w:val="808080"/>
          <w:u w:val="none"/>
        </w:rPr>
        <w:t>Kontakt dla Mediów:</w:t>
      </w:r>
    </w:p>
    <w:p w14:paraId="4E33F0F4" w14:textId="77777777" w:rsidR="008B2F08" w:rsidRDefault="008B2F08" w:rsidP="00791AFA">
      <w:pPr>
        <w:pStyle w:val="Tekstpodstawowy"/>
        <w:spacing w:line="243" w:lineRule="exact"/>
        <w:ind w:left="0" w:right="-47"/>
        <w:jc w:val="center"/>
      </w:pPr>
      <w:r>
        <w:rPr>
          <w:color w:val="808080"/>
        </w:rPr>
        <w:t>Tel.: +33 (0)3 90 21 42 08</w:t>
      </w:r>
    </w:p>
    <w:p w14:paraId="39AFA233" w14:textId="77777777" w:rsidR="00183DCC" w:rsidRDefault="00183DCC" w:rsidP="005715B6">
      <w:pPr>
        <w:ind w:left="119" w:right="839"/>
        <w:jc w:val="both"/>
        <w:rPr>
          <w:rFonts w:ascii="Verdana" w:eastAsia="Verdana" w:hAnsi="Verdana"/>
          <w:color w:val="0072BC"/>
        </w:rPr>
      </w:pPr>
    </w:p>
    <w:sectPr w:rsidR="00183DCC" w:rsidSect="00324341">
      <w:headerReference w:type="default" r:id="rId50"/>
      <w:footerReference w:type="default" r:id="rId51"/>
      <w:headerReference w:type="first" r:id="rId52"/>
      <w:footerReference w:type="first" r:id="rId53"/>
      <w:type w:val="continuous"/>
      <w:pgSz w:w="11900" w:h="16838"/>
      <w:pgMar w:top="1418" w:right="703" w:bottom="1418" w:left="1321" w:header="624" w:footer="567" w:gutter="0"/>
      <w:cols w:space="0" w:equalWidth="0">
        <w:col w:w="9873"/>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2841D" w14:textId="77777777" w:rsidR="00C36181" w:rsidRDefault="00C36181" w:rsidP="00F07FDE">
      <w:r>
        <w:separator/>
      </w:r>
    </w:p>
  </w:endnote>
  <w:endnote w:type="continuationSeparator" w:id="0">
    <w:p w14:paraId="1043AB88" w14:textId="77777777" w:rsidR="00C36181" w:rsidRDefault="00C36181" w:rsidP="00F0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5538F" w14:textId="77777777" w:rsidR="008B0406" w:rsidRDefault="008B0406">
    <w:pPr>
      <w:pStyle w:val="Stopka"/>
      <w:jc w:val="center"/>
    </w:pPr>
    <w:r>
      <w:fldChar w:fldCharType="begin"/>
    </w:r>
    <w:r>
      <w:instrText>PAGE   \* MERGEFORMAT</w:instrText>
    </w:r>
    <w:r>
      <w:fldChar w:fldCharType="separate"/>
    </w:r>
    <w:r w:rsidRPr="008B0406">
      <w:rPr>
        <w:noProof/>
        <w:lang w:val="pl-PL"/>
      </w:rPr>
      <w:t>25</w:t>
    </w:r>
    <w:r>
      <w:fldChar w:fldCharType="end"/>
    </w:r>
  </w:p>
  <w:p w14:paraId="42635D38" w14:textId="77777777" w:rsidR="008B0406" w:rsidRDefault="008B040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21D06" w14:textId="77777777" w:rsidR="005C2070" w:rsidRDefault="005C2070">
    <w:pPr>
      <w:pStyle w:val="Stopka"/>
      <w:rPr>
        <w:noProof/>
      </w:rPr>
    </w:pPr>
    <w:r>
      <w:rPr>
        <w:noProof/>
      </w:rPr>
      <w:t xml:space="preserve">                       </w:t>
    </w:r>
  </w:p>
  <w:p w14:paraId="501AC0FF" w14:textId="33A076AA" w:rsidR="005C2070" w:rsidRDefault="005C2070">
    <w:pPr>
      <w:pStyle w:val="Stopka"/>
    </w:pPr>
    <w:r>
      <w:rPr>
        <w:noProof/>
      </w:rPr>
      <w:t xml:space="preserve">                                                                            </w:t>
    </w:r>
    <w:r w:rsidRPr="005C2070">
      <w:rPr>
        <w:noProof/>
      </w:rPr>
      <w:drawing>
        <wp:inline distT="0" distB="0" distL="0" distR="0" wp14:anchorId="311A90FC" wp14:editId="3AAF72A7">
          <wp:extent cx="1019175" cy="733425"/>
          <wp:effectExtent l="0" t="0" r="9525" b="9525"/>
          <wp:docPr id="162381132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7334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10FE4" w14:textId="77777777" w:rsidR="00C36181" w:rsidRDefault="00C36181" w:rsidP="00F07FDE">
      <w:r>
        <w:separator/>
      </w:r>
    </w:p>
  </w:footnote>
  <w:footnote w:type="continuationSeparator" w:id="0">
    <w:p w14:paraId="2A671AA2" w14:textId="77777777" w:rsidR="00C36181" w:rsidRDefault="00C36181" w:rsidP="00F07FDE">
      <w:r>
        <w:continuationSeparator/>
      </w:r>
    </w:p>
  </w:footnote>
  <w:footnote w:id="1">
    <w:p w14:paraId="658FA0A4" w14:textId="6480159A" w:rsidR="003F4C30" w:rsidRPr="00F0685D" w:rsidRDefault="003F4C30">
      <w:pPr>
        <w:pStyle w:val="Tekstprzypisudolnego"/>
        <w:rPr>
          <w:rFonts w:ascii="Lato" w:hAnsi="Lato"/>
          <w:sz w:val="18"/>
          <w:szCs w:val="18"/>
          <w:lang w:val="pl-PL"/>
        </w:rPr>
      </w:pPr>
      <w:r w:rsidRPr="00F0685D">
        <w:rPr>
          <w:rStyle w:val="Odwoanieprzypisudolnego"/>
          <w:rFonts w:ascii="Lato" w:hAnsi="Lato"/>
          <w:sz w:val="18"/>
          <w:szCs w:val="18"/>
        </w:rPr>
        <w:footnoteRef/>
      </w:r>
      <w:r w:rsidRPr="00F0685D">
        <w:rPr>
          <w:rFonts w:ascii="Lato" w:hAnsi="Lato"/>
          <w:sz w:val="18"/>
          <w:szCs w:val="18"/>
        </w:rPr>
        <w:t xml:space="preserve"> </w:t>
      </w:r>
      <w:proofErr w:type="spellStart"/>
      <w:r w:rsidR="00DF334D" w:rsidRPr="00F0685D">
        <w:rPr>
          <w:rFonts w:ascii="Lato" w:hAnsi="Lato"/>
          <w:sz w:val="18"/>
          <w:szCs w:val="18"/>
        </w:rPr>
        <w:t>Przystąpienie</w:t>
      </w:r>
      <w:proofErr w:type="spellEnd"/>
      <w:r w:rsidR="00DF334D" w:rsidRPr="00F0685D">
        <w:rPr>
          <w:rFonts w:ascii="Lato" w:hAnsi="Lato"/>
          <w:sz w:val="18"/>
          <w:szCs w:val="18"/>
        </w:rPr>
        <w:t xml:space="preserve"> UE do </w:t>
      </w:r>
      <w:proofErr w:type="spellStart"/>
      <w:r w:rsidR="00DF334D" w:rsidRPr="00F0685D">
        <w:rPr>
          <w:rFonts w:ascii="Lato" w:hAnsi="Lato"/>
          <w:sz w:val="18"/>
          <w:szCs w:val="18"/>
        </w:rPr>
        <w:t>Europejskiej</w:t>
      </w:r>
      <w:proofErr w:type="spellEnd"/>
      <w:r w:rsidR="00DF334D" w:rsidRPr="00F0685D">
        <w:rPr>
          <w:rFonts w:ascii="Lato" w:hAnsi="Lato"/>
          <w:sz w:val="18"/>
          <w:szCs w:val="18"/>
        </w:rPr>
        <w:t xml:space="preserve"> </w:t>
      </w:r>
      <w:proofErr w:type="spellStart"/>
      <w:r w:rsidR="00DF334D" w:rsidRPr="00F0685D">
        <w:rPr>
          <w:rFonts w:ascii="Lato" w:hAnsi="Lato"/>
          <w:sz w:val="18"/>
          <w:szCs w:val="18"/>
        </w:rPr>
        <w:t>Konwencji</w:t>
      </w:r>
      <w:proofErr w:type="spellEnd"/>
      <w:r w:rsidR="00DF334D" w:rsidRPr="00F0685D">
        <w:rPr>
          <w:rFonts w:ascii="Lato" w:hAnsi="Lato"/>
          <w:sz w:val="18"/>
          <w:szCs w:val="18"/>
        </w:rPr>
        <w:t xml:space="preserve"> </w:t>
      </w:r>
      <w:proofErr w:type="spellStart"/>
      <w:r w:rsidR="00DF334D" w:rsidRPr="00F0685D">
        <w:rPr>
          <w:rFonts w:ascii="Lato" w:hAnsi="Lato"/>
          <w:sz w:val="18"/>
          <w:szCs w:val="18"/>
        </w:rPr>
        <w:t>Praw</w:t>
      </w:r>
      <w:proofErr w:type="spellEnd"/>
      <w:r w:rsidR="00DF334D" w:rsidRPr="00F0685D">
        <w:rPr>
          <w:rFonts w:ascii="Lato" w:hAnsi="Lato"/>
          <w:sz w:val="18"/>
          <w:szCs w:val="18"/>
        </w:rPr>
        <w:t xml:space="preserve"> </w:t>
      </w:r>
      <w:proofErr w:type="spellStart"/>
      <w:r w:rsidR="00DF334D" w:rsidRPr="00F0685D">
        <w:rPr>
          <w:rFonts w:ascii="Lato" w:hAnsi="Lato"/>
          <w:sz w:val="18"/>
          <w:szCs w:val="18"/>
        </w:rPr>
        <w:t>Człowieka</w:t>
      </w:r>
      <w:proofErr w:type="spellEnd"/>
      <w:r w:rsidR="00DF334D" w:rsidRPr="00F0685D">
        <w:rPr>
          <w:rFonts w:ascii="Lato" w:hAnsi="Lato"/>
          <w:sz w:val="18"/>
          <w:szCs w:val="18"/>
        </w:rPr>
        <w:t xml:space="preserve"> </w:t>
      </w:r>
      <w:proofErr w:type="spellStart"/>
      <w:r w:rsidR="00DF334D" w:rsidRPr="00F0685D">
        <w:rPr>
          <w:rFonts w:ascii="Lato" w:hAnsi="Lato"/>
          <w:sz w:val="18"/>
          <w:szCs w:val="18"/>
        </w:rPr>
        <w:t>patrz</w:t>
      </w:r>
      <w:proofErr w:type="spellEnd"/>
      <w:r w:rsidR="00DF334D" w:rsidRPr="00F0685D">
        <w:rPr>
          <w:rFonts w:ascii="Lato" w:hAnsi="Lato"/>
          <w:sz w:val="18"/>
          <w:szCs w:val="18"/>
        </w:rPr>
        <w:fldChar w:fldCharType="begin"/>
      </w:r>
      <w:r w:rsidR="00DF334D" w:rsidRPr="00F0685D">
        <w:rPr>
          <w:rFonts w:ascii="Lato" w:hAnsi="Lato"/>
          <w:sz w:val="18"/>
          <w:szCs w:val="18"/>
        </w:rPr>
        <w:instrText>HYPERLINK "https://www.coe.int/t/dghl/standardsetting/hrpolicy/Accession/default_en.asp"</w:instrText>
      </w:r>
      <w:r w:rsidR="00DF334D" w:rsidRPr="00F0685D">
        <w:rPr>
          <w:rFonts w:ascii="Lato" w:hAnsi="Lato"/>
          <w:sz w:val="18"/>
          <w:szCs w:val="18"/>
        </w:rPr>
      </w:r>
      <w:r w:rsidR="00DF334D" w:rsidRPr="00F0685D">
        <w:rPr>
          <w:rFonts w:ascii="Lato" w:hAnsi="Lato"/>
          <w:sz w:val="18"/>
          <w:szCs w:val="18"/>
        </w:rPr>
        <w:fldChar w:fldCharType="separate"/>
      </w:r>
      <w:r w:rsidR="00DF334D" w:rsidRPr="00F0685D">
        <w:rPr>
          <w:rStyle w:val="Hipercze"/>
          <w:rFonts w:ascii="Lato" w:hAnsi="Lato"/>
          <w:sz w:val="18"/>
          <w:szCs w:val="18"/>
        </w:rPr>
        <w:t xml:space="preserve">: </w:t>
      </w:r>
      <w:proofErr w:type="spellStart"/>
      <w:r w:rsidR="00DF334D" w:rsidRPr="00F0685D">
        <w:rPr>
          <w:rStyle w:val="Hipercze"/>
          <w:rFonts w:ascii="Lato" w:hAnsi="Lato"/>
          <w:sz w:val="18"/>
          <w:szCs w:val="18"/>
        </w:rPr>
        <w:t>plik</w:t>
      </w:r>
      <w:proofErr w:type="spellEnd"/>
      <w:r w:rsidR="00DF334D" w:rsidRPr="00F0685D">
        <w:rPr>
          <w:rStyle w:val="Hipercze"/>
          <w:rFonts w:ascii="Lato" w:hAnsi="Lato"/>
          <w:sz w:val="18"/>
          <w:szCs w:val="18"/>
        </w:rPr>
        <w:t xml:space="preserve"> </w:t>
      </w:r>
      <w:proofErr w:type="spellStart"/>
      <w:r w:rsidR="00DF334D" w:rsidRPr="00F0685D">
        <w:rPr>
          <w:rStyle w:val="Hipercze"/>
          <w:rFonts w:ascii="Lato" w:hAnsi="Lato"/>
          <w:sz w:val="18"/>
          <w:szCs w:val="18"/>
        </w:rPr>
        <w:t>tematyczny</w:t>
      </w:r>
      <w:proofErr w:type="spellEnd"/>
      <w:r w:rsidR="00DF334D" w:rsidRPr="00F0685D">
        <w:rPr>
          <w:rFonts w:ascii="Lato" w:hAnsi="Lato"/>
          <w:sz w:val="18"/>
          <w:szCs w:val="18"/>
        </w:rPr>
        <w:fldChar w:fldCharType="end"/>
      </w:r>
      <w:r w:rsidR="00DF334D" w:rsidRPr="00F0685D">
        <w:rPr>
          <w:rFonts w:ascii="Lato" w:hAnsi="Lato"/>
          <w:sz w:val="18"/>
          <w:szCs w:val="18"/>
        </w:rPr>
        <w:t xml:space="preserve"> </w:t>
      </w:r>
      <w:proofErr w:type="spellStart"/>
      <w:r w:rsidR="00DF334D" w:rsidRPr="00F0685D">
        <w:rPr>
          <w:rFonts w:ascii="Lato" w:hAnsi="Lato"/>
          <w:sz w:val="18"/>
          <w:szCs w:val="18"/>
        </w:rPr>
        <w:t>dostępny</w:t>
      </w:r>
      <w:proofErr w:type="spellEnd"/>
      <w:r w:rsidR="00DF334D" w:rsidRPr="00F0685D">
        <w:rPr>
          <w:rFonts w:ascii="Lato" w:hAnsi="Lato"/>
          <w:sz w:val="18"/>
          <w:szCs w:val="18"/>
        </w:rPr>
        <w:t xml:space="preserve"> </w:t>
      </w:r>
      <w:proofErr w:type="spellStart"/>
      <w:r w:rsidR="00DF334D" w:rsidRPr="00F0685D">
        <w:rPr>
          <w:rFonts w:ascii="Lato" w:hAnsi="Lato"/>
          <w:sz w:val="18"/>
          <w:szCs w:val="18"/>
        </w:rPr>
        <w:t>na</w:t>
      </w:r>
      <w:proofErr w:type="spellEnd"/>
      <w:r w:rsidR="00DF334D" w:rsidRPr="00F0685D">
        <w:rPr>
          <w:rFonts w:ascii="Lato" w:hAnsi="Lato"/>
          <w:sz w:val="18"/>
          <w:szCs w:val="18"/>
        </w:rPr>
        <w:t xml:space="preserve"> </w:t>
      </w:r>
      <w:proofErr w:type="spellStart"/>
      <w:r w:rsidR="00DF334D" w:rsidRPr="00F0685D">
        <w:rPr>
          <w:rFonts w:ascii="Lato" w:hAnsi="Lato"/>
          <w:sz w:val="18"/>
          <w:szCs w:val="18"/>
        </w:rPr>
        <w:t>stronie</w:t>
      </w:r>
      <w:proofErr w:type="spellEnd"/>
      <w:r w:rsidR="00DF334D" w:rsidRPr="00F0685D">
        <w:rPr>
          <w:rFonts w:ascii="Lato" w:hAnsi="Lato"/>
          <w:sz w:val="18"/>
          <w:szCs w:val="18"/>
        </w:rPr>
        <w:t xml:space="preserve"> </w:t>
      </w:r>
      <w:proofErr w:type="spellStart"/>
      <w:r w:rsidR="00DF334D" w:rsidRPr="00F0685D">
        <w:rPr>
          <w:rFonts w:ascii="Lato" w:hAnsi="Lato"/>
          <w:sz w:val="18"/>
          <w:szCs w:val="18"/>
        </w:rPr>
        <w:t>internetowej</w:t>
      </w:r>
      <w:proofErr w:type="spellEnd"/>
      <w:r w:rsidR="00DF334D" w:rsidRPr="00F0685D">
        <w:rPr>
          <w:rFonts w:ascii="Lato" w:hAnsi="Lato"/>
          <w:sz w:val="18"/>
          <w:szCs w:val="18"/>
        </w:rPr>
        <w:t xml:space="preserve"> Rady </w:t>
      </w:r>
      <w:proofErr w:type="spellStart"/>
      <w:r w:rsidR="00DF334D" w:rsidRPr="00F0685D">
        <w:rPr>
          <w:rFonts w:ascii="Lato" w:hAnsi="Lato"/>
          <w:sz w:val="18"/>
          <w:szCs w:val="18"/>
        </w:rPr>
        <w:t>Europy</w:t>
      </w:r>
      <w:proofErr w:type="spellEnd"/>
      <w:r w:rsidR="00DF334D" w:rsidRPr="00F0685D">
        <w:rPr>
          <w:rFonts w:ascii="Lato" w:hAnsi="Lato"/>
          <w:sz w:val="18"/>
          <w:szCs w:val="18"/>
        </w:rPr>
        <w:t>.</w:t>
      </w:r>
    </w:p>
  </w:footnote>
  <w:footnote w:id="2">
    <w:p w14:paraId="5A5E773B" w14:textId="757F88F5" w:rsidR="00DF334D" w:rsidRPr="00DF334D" w:rsidRDefault="00DF334D">
      <w:pPr>
        <w:pStyle w:val="Tekstprzypisudolnego"/>
        <w:rPr>
          <w:lang w:val="pl-PL"/>
        </w:rPr>
      </w:pPr>
      <w:r w:rsidRPr="00F0685D">
        <w:rPr>
          <w:rStyle w:val="Odwoanieprzypisudolnego"/>
          <w:rFonts w:ascii="Lato" w:hAnsi="Lato"/>
          <w:sz w:val="18"/>
          <w:szCs w:val="18"/>
        </w:rPr>
        <w:footnoteRef/>
      </w:r>
      <w:r w:rsidRPr="00F0685D">
        <w:rPr>
          <w:rFonts w:ascii="Lato" w:hAnsi="Lato"/>
          <w:sz w:val="18"/>
          <w:szCs w:val="18"/>
        </w:rPr>
        <w:t xml:space="preserve"> </w:t>
      </w:r>
      <w:proofErr w:type="spellStart"/>
      <w:r w:rsidRPr="00F0685D">
        <w:rPr>
          <w:rFonts w:ascii="Lato" w:hAnsi="Lato"/>
          <w:sz w:val="18"/>
          <w:szCs w:val="18"/>
        </w:rPr>
        <w:t>Wraz</w:t>
      </w:r>
      <w:proofErr w:type="spellEnd"/>
      <w:r w:rsidRPr="00F0685D">
        <w:rPr>
          <w:rFonts w:ascii="Lato" w:hAnsi="Lato"/>
          <w:sz w:val="18"/>
          <w:szCs w:val="18"/>
        </w:rPr>
        <w:t xml:space="preserve"> z </w:t>
      </w:r>
      <w:proofErr w:type="spellStart"/>
      <w:r w:rsidRPr="00F0685D">
        <w:rPr>
          <w:rFonts w:ascii="Lato" w:hAnsi="Lato"/>
          <w:sz w:val="18"/>
          <w:szCs w:val="18"/>
        </w:rPr>
        <w:t>Europejskim</w:t>
      </w:r>
      <w:proofErr w:type="spellEnd"/>
      <w:r w:rsidRPr="00F0685D">
        <w:rPr>
          <w:rFonts w:ascii="Lato" w:hAnsi="Lato"/>
          <w:sz w:val="18"/>
          <w:szCs w:val="18"/>
        </w:rPr>
        <w:t xml:space="preserve"> </w:t>
      </w:r>
      <w:proofErr w:type="spellStart"/>
      <w:r w:rsidRPr="00F0685D">
        <w:rPr>
          <w:rFonts w:ascii="Lato" w:hAnsi="Lato"/>
          <w:sz w:val="18"/>
          <w:szCs w:val="18"/>
        </w:rPr>
        <w:t>Trybunałem</w:t>
      </w:r>
      <w:proofErr w:type="spellEnd"/>
      <w:r w:rsidRPr="00F0685D">
        <w:rPr>
          <w:rFonts w:ascii="Lato" w:hAnsi="Lato"/>
          <w:sz w:val="18"/>
          <w:szCs w:val="18"/>
        </w:rPr>
        <w:t xml:space="preserve"> </w:t>
      </w:r>
      <w:proofErr w:type="spellStart"/>
      <w:r w:rsidRPr="00F0685D">
        <w:rPr>
          <w:rFonts w:ascii="Lato" w:hAnsi="Lato"/>
          <w:sz w:val="18"/>
          <w:szCs w:val="18"/>
        </w:rPr>
        <w:t>Praw</w:t>
      </w:r>
      <w:proofErr w:type="spellEnd"/>
      <w:r w:rsidRPr="00F0685D">
        <w:rPr>
          <w:rFonts w:ascii="Lato" w:hAnsi="Lato"/>
          <w:sz w:val="18"/>
          <w:szCs w:val="18"/>
        </w:rPr>
        <w:t xml:space="preserve"> </w:t>
      </w:r>
      <w:proofErr w:type="spellStart"/>
      <w:r w:rsidRPr="00F0685D">
        <w:rPr>
          <w:rFonts w:ascii="Lato" w:hAnsi="Lato"/>
          <w:sz w:val="18"/>
          <w:szCs w:val="18"/>
        </w:rPr>
        <w:t>Człowieka</w:t>
      </w:r>
      <w:proofErr w:type="spellEnd"/>
      <w:r w:rsidRPr="00F0685D">
        <w:rPr>
          <w:rFonts w:ascii="Lato" w:hAnsi="Lato"/>
          <w:sz w:val="18"/>
          <w:szCs w:val="18"/>
        </w:rPr>
        <w:t xml:space="preserve"> </w:t>
      </w:r>
      <w:proofErr w:type="spellStart"/>
      <w:r w:rsidRPr="00F0685D">
        <w:rPr>
          <w:rFonts w:ascii="Lato" w:hAnsi="Lato"/>
          <w:sz w:val="18"/>
          <w:szCs w:val="18"/>
        </w:rPr>
        <w:t>i</w:t>
      </w:r>
      <w:proofErr w:type="spellEnd"/>
      <w:r w:rsidRPr="00F0685D">
        <w:rPr>
          <w:rFonts w:ascii="Lato" w:hAnsi="Lato"/>
          <w:sz w:val="18"/>
          <w:szCs w:val="18"/>
        </w:rPr>
        <w:t xml:space="preserve"> </w:t>
      </w:r>
      <w:proofErr w:type="spellStart"/>
      <w:r w:rsidRPr="00F0685D">
        <w:rPr>
          <w:rFonts w:ascii="Lato" w:hAnsi="Lato"/>
          <w:sz w:val="18"/>
          <w:szCs w:val="18"/>
        </w:rPr>
        <w:t>Komitetem</w:t>
      </w:r>
      <w:proofErr w:type="spellEnd"/>
      <w:r w:rsidRPr="00F0685D">
        <w:rPr>
          <w:rFonts w:ascii="Lato" w:hAnsi="Lato"/>
          <w:sz w:val="18"/>
          <w:szCs w:val="18"/>
        </w:rPr>
        <w:t xml:space="preserve"> </w:t>
      </w:r>
      <w:proofErr w:type="spellStart"/>
      <w:r w:rsidRPr="00F0685D">
        <w:rPr>
          <w:rFonts w:ascii="Lato" w:hAnsi="Lato"/>
          <w:sz w:val="18"/>
          <w:szCs w:val="18"/>
        </w:rPr>
        <w:t>Ministrów</w:t>
      </w:r>
      <w:proofErr w:type="spellEnd"/>
      <w:r w:rsidRPr="00F0685D">
        <w:rPr>
          <w:rFonts w:ascii="Lato" w:hAnsi="Lato"/>
          <w:sz w:val="18"/>
          <w:szCs w:val="18"/>
        </w:rPr>
        <w:t xml:space="preserve"> Rady </w:t>
      </w:r>
      <w:proofErr w:type="spellStart"/>
      <w:r w:rsidRPr="00F0685D">
        <w:rPr>
          <w:rFonts w:ascii="Lato" w:hAnsi="Lato"/>
          <w:sz w:val="18"/>
          <w:szCs w:val="18"/>
        </w:rPr>
        <w:t>Europy</w:t>
      </w:r>
      <w:proofErr w:type="spellEnd"/>
      <w:r w:rsidRPr="00F0685D">
        <w:rPr>
          <w:rFonts w:ascii="Lato" w:hAnsi="Lato"/>
          <w:sz w:val="18"/>
          <w:szCs w:val="18"/>
        </w:rPr>
        <w:t xml:space="preserve">, </w:t>
      </w:r>
      <w:proofErr w:type="spellStart"/>
      <w:r w:rsidRPr="00F0685D">
        <w:rPr>
          <w:rFonts w:ascii="Lato" w:hAnsi="Lato"/>
          <w:sz w:val="18"/>
          <w:szCs w:val="18"/>
        </w:rPr>
        <w:t>Europejska</w:t>
      </w:r>
      <w:proofErr w:type="spellEnd"/>
      <w:r w:rsidRPr="00F0685D">
        <w:rPr>
          <w:rFonts w:ascii="Lato" w:hAnsi="Lato"/>
          <w:sz w:val="18"/>
          <w:szCs w:val="18"/>
        </w:rPr>
        <w:t xml:space="preserve"> </w:t>
      </w:r>
      <w:proofErr w:type="spellStart"/>
      <w:r w:rsidRPr="00F0685D">
        <w:rPr>
          <w:rFonts w:ascii="Lato" w:hAnsi="Lato"/>
          <w:sz w:val="18"/>
          <w:szCs w:val="18"/>
        </w:rPr>
        <w:t>Komisja</w:t>
      </w:r>
      <w:proofErr w:type="spellEnd"/>
      <w:r w:rsidRPr="00F0685D">
        <w:rPr>
          <w:rFonts w:ascii="Lato" w:hAnsi="Lato"/>
          <w:sz w:val="18"/>
          <w:szCs w:val="18"/>
        </w:rPr>
        <w:t xml:space="preserve"> </w:t>
      </w:r>
      <w:proofErr w:type="spellStart"/>
      <w:r w:rsidRPr="00F0685D">
        <w:rPr>
          <w:rFonts w:ascii="Lato" w:hAnsi="Lato"/>
          <w:sz w:val="18"/>
          <w:szCs w:val="18"/>
        </w:rPr>
        <w:t>Praw</w:t>
      </w:r>
      <w:proofErr w:type="spellEnd"/>
      <w:r w:rsidRPr="00F0685D">
        <w:rPr>
          <w:rFonts w:ascii="Lato" w:hAnsi="Lato"/>
          <w:sz w:val="18"/>
          <w:szCs w:val="18"/>
        </w:rPr>
        <w:t xml:space="preserve"> </w:t>
      </w:r>
      <w:proofErr w:type="spellStart"/>
      <w:r w:rsidRPr="00F0685D">
        <w:rPr>
          <w:rFonts w:ascii="Lato" w:hAnsi="Lato"/>
          <w:sz w:val="18"/>
          <w:szCs w:val="18"/>
        </w:rPr>
        <w:t>Człowieka</w:t>
      </w:r>
      <w:proofErr w:type="spellEnd"/>
      <w:r w:rsidRPr="00F0685D">
        <w:rPr>
          <w:rFonts w:ascii="Lato" w:hAnsi="Lato"/>
          <w:sz w:val="18"/>
          <w:szCs w:val="18"/>
        </w:rPr>
        <w:t xml:space="preserve">, </w:t>
      </w:r>
      <w:proofErr w:type="spellStart"/>
      <w:r w:rsidRPr="00F0685D">
        <w:rPr>
          <w:rFonts w:ascii="Lato" w:hAnsi="Lato"/>
          <w:sz w:val="18"/>
          <w:szCs w:val="18"/>
        </w:rPr>
        <w:t>która</w:t>
      </w:r>
      <w:proofErr w:type="spellEnd"/>
      <w:r w:rsidRPr="00F0685D">
        <w:rPr>
          <w:rFonts w:ascii="Lato" w:hAnsi="Lato"/>
          <w:sz w:val="18"/>
          <w:szCs w:val="18"/>
        </w:rPr>
        <w:t xml:space="preserve"> </w:t>
      </w:r>
      <w:proofErr w:type="spellStart"/>
      <w:r w:rsidRPr="00F0685D">
        <w:rPr>
          <w:rFonts w:ascii="Lato" w:hAnsi="Lato"/>
          <w:sz w:val="18"/>
          <w:szCs w:val="18"/>
        </w:rPr>
        <w:t>zasiadała</w:t>
      </w:r>
      <w:proofErr w:type="spellEnd"/>
      <w:r w:rsidRPr="00F0685D">
        <w:rPr>
          <w:rFonts w:ascii="Lato" w:hAnsi="Lato"/>
          <w:sz w:val="18"/>
          <w:szCs w:val="18"/>
        </w:rPr>
        <w:t xml:space="preserve"> w </w:t>
      </w:r>
      <w:proofErr w:type="spellStart"/>
      <w:r w:rsidRPr="00F0685D">
        <w:rPr>
          <w:rFonts w:ascii="Lato" w:hAnsi="Lato"/>
          <w:sz w:val="18"/>
          <w:szCs w:val="18"/>
        </w:rPr>
        <w:t>Strasburgu</w:t>
      </w:r>
      <w:proofErr w:type="spellEnd"/>
      <w:r w:rsidRPr="00F0685D">
        <w:rPr>
          <w:rFonts w:ascii="Lato" w:hAnsi="Lato"/>
          <w:sz w:val="18"/>
          <w:szCs w:val="18"/>
        </w:rPr>
        <w:t xml:space="preserve"> od </w:t>
      </w:r>
      <w:proofErr w:type="spellStart"/>
      <w:r w:rsidRPr="00F0685D">
        <w:rPr>
          <w:rFonts w:ascii="Lato" w:hAnsi="Lato"/>
          <w:sz w:val="18"/>
          <w:szCs w:val="18"/>
        </w:rPr>
        <w:t>lipca</w:t>
      </w:r>
      <w:proofErr w:type="spellEnd"/>
      <w:r w:rsidRPr="00F0685D">
        <w:rPr>
          <w:rFonts w:ascii="Lato" w:hAnsi="Lato"/>
          <w:sz w:val="18"/>
          <w:szCs w:val="18"/>
        </w:rPr>
        <w:t xml:space="preserve"> 1954 </w:t>
      </w:r>
      <w:proofErr w:type="spellStart"/>
      <w:r w:rsidRPr="00F0685D">
        <w:rPr>
          <w:rFonts w:ascii="Lato" w:hAnsi="Lato"/>
          <w:sz w:val="18"/>
          <w:szCs w:val="18"/>
        </w:rPr>
        <w:t>roku</w:t>
      </w:r>
      <w:proofErr w:type="spellEnd"/>
      <w:r w:rsidRPr="00F0685D">
        <w:rPr>
          <w:rFonts w:ascii="Lato" w:hAnsi="Lato"/>
          <w:sz w:val="18"/>
          <w:szCs w:val="18"/>
        </w:rPr>
        <w:t xml:space="preserve"> do </w:t>
      </w:r>
      <w:proofErr w:type="spellStart"/>
      <w:r w:rsidRPr="00F0685D">
        <w:rPr>
          <w:rFonts w:ascii="Lato" w:hAnsi="Lato"/>
          <w:sz w:val="18"/>
          <w:szCs w:val="18"/>
        </w:rPr>
        <w:t>października</w:t>
      </w:r>
      <w:proofErr w:type="spellEnd"/>
      <w:r w:rsidRPr="00F0685D">
        <w:rPr>
          <w:rFonts w:ascii="Lato" w:hAnsi="Lato"/>
          <w:sz w:val="18"/>
          <w:szCs w:val="18"/>
        </w:rPr>
        <w:t xml:space="preserve"> 1999 </w:t>
      </w:r>
      <w:proofErr w:type="spellStart"/>
      <w:r w:rsidRPr="00F0685D">
        <w:rPr>
          <w:rFonts w:ascii="Lato" w:hAnsi="Lato"/>
          <w:sz w:val="18"/>
          <w:szCs w:val="18"/>
        </w:rPr>
        <w:t>roku</w:t>
      </w:r>
      <w:proofErr w:type="spellEnd"/>
      <w:r w:rsidRPr="00F0685D">
        <w:rPr>
          <w:rFonts w:ascii="Lato" w:hAnsi="Lato"/>
          <w:sz w:val="18"/>
          <w:szCs w:val="18"/>
        </w:rPr>
        <w:t xml:space="preserve">, </w:t>
      </w:r>
      <w:proofErr w:type="spellStart"/>
      <w:r w:rsidRPr="00F0685D">
        <w:rPr>
          <w:rFonts w:ascii="Lato" w:hAnsi="Lato"/>
          <w:sz w:val="18"/>
          <w:szCs w:val="18"/>
        </w:rPr>
        <w:t>nadzorowała</w:t>
      </w:r>
      <w:proofErr w:type="spellEnd"/>
      <w:r w:rsidRPr="00F0685D">
        <w:rPr>
          <w:rFonts w:ascii="Lato" w:hAnsi="Lato"/>
          <w:sz w:val="18"/>
          <w:szCs w:val="18"/>
        </w:rPr>
        <w:t xml:space="preserve"> </w:t>
      </w:r>
      <w:proofErr w:type="spellStart"/>
      <w:r w:rsidRPr="00F0685D">
        <w:rPr>
          <w:rFonts w:ascii="Lato" w:hAnsi="Lato"/>
          <w:sz w:val="18"/>
          <w:szCs w:val="18"/>
        </w:rPr>
        <w:t>przestrzeganie</w:t>
      </w:r>
      <w:proofErr w:type="spellEnd"/>
      <w:r w:rsidRPr="00F0685D">
        <w:rPr>
          <w:rFonts w:ascii="Lato" w:hAnsi="Lato"/>
          <w:sz w:val="18"/>
          <w:szCs w:val="18"/>
        </w:rPr>
        <w:t xml:space="preserve"> </w:t>
      </w:r>
      <w:proofErr w:type="spellStart"/>
      <w:r w:rsidRPr="00F0685D">
        <w:rPr>
          <w:rFonts w:ascii="Lato" w:hAnsi="Lato"/>
          <w:sz w:val="18"/>
          <w:szCs w:val="18"/>
        </w:rPr>
        <w:t>przez</w:t>
      </w:r>
      <w:proofErr w:type="spellEnd"/>
      <w:r w:rsidRPr="00F0685D">
        <w:rPr>
          <w:rFonts w:ascii="Lato" w:hAnsi="Lato"/>
          <w:sz w:val="18"/>
          <w:szCs w:val="18"/>
        </w:rPr>
        <w:t xml:space="preserve"> </w:t>
      </w:r>
      <w:proofErr w:type="spellStart"/>
      <w:r w:rsidRPr="00F0685D">
        <w:rPr>
          <w:rFonts w:ascii="Lato" w:hAnsi="Lato"/>
          <w:sz w:val="18"/>
          <w:szCs w:val="18"/>
        </w:rPr>
        <w:t>Umawiające</w:t>
      </w:r>
      <w:proofErr w:type="spellEnd"/>
      <w:r w:rsidRPr="00F0685D">
        <w:rPr>
          <w:rFonts w:ascii="Lato" w:hAnsi="Lato"/>
          <w:sz w:val="18"/>
          <w:szCs w:val="18"/>
        </w:rPr>
        <w:t xml:space="preserve"> </w:t>
      </w:r>
      <w:proofErr w:type="spellStart"/>
      <w:r w:rsidRPr="00F0685D">
        <w:rPr>
          <w:rFonts w:ascii="Lato" w:hAnsi="Lato"/>
          <w:sz w:val="18"/>
          <w:szCs w:val="18"/>
        </w:rPr>
        <w:t>się</w:t>
      </w:r>
      <w:proofErr w:type="spellEnd"/>
      <w:r w:rsidRPr="00F0685D">
        <w:rPr>
          <w:rFonts w:ascii="Lato" w:hAnsi="Lato"/>
          <w:sz w:val="18"/>
          <w:szCs w:val="18"/>
        </w:rPr>
        <w:t xml:space="preserve"> </w:t>
      </w:r>
      <w:proofErr w:type="spellStart"/>
      <w:r w:rsidRPr="00F0685D">
        <w:rPr>
          <w:rFonts w:ascii="Lato" w:hAnsi="Lato"/>
          <w:sz w:val="18"/>
          <w:szCs w:val="18"/>
        </w:rPr>
        <w:t>Państwa</w:t>
      </w:r>
      <w:proofErr w:type="spellEnd"/>
      <w:r w:rsidRPr="00F0685D">
        <w:rPr>
          <w:rFonts w:ascii="Lato" w:hAnsi="Lato"/>
          <w:sz w:val="18"/>
          <w:szCs w:val="18"/>
        </w:rPr>
        <w:t xml:space="preserve"> </w:t>
      </w:r>
      <w:proofErr w:type="spellStart"/>
      <w:r w:rsidRPr="00F0685D">
        <w:rPr>
          <w:rFonts w:ascii="Lato" w:hAnsi="Lato"/>
          <w:sz w:val="18"/>
          <w:szCs w:val="18"/>
        </w:rPr>
        <w:t>zobowiązań</w:t>
      </w:r>
      <w:proofErr w:type="spellEnd"/>
      <w:r w:rsidRPr="00F0685D">
        <w:rPr>
          <w:rFonts w:ascii="Lato" w:hAnsi="Lato"/>
          <w:sz w:val="18"/>
          <w:szCs w:val="18"/>
        </w:rPr>
        <w:t xml:space="preserve"> </w:t>
      </w:r>
      <w:proofErr w:type="spellStart"/>
      <w:r w:rsidRPr="00F0685D">
        <w:rPr>
          <w:rFonts w:ascii="Lato" w:hAnsi="Lato"/>
          <w:sz w:val="18"/>
          <w:szCs w:val="18"/>
        </w:rPr>
        <w:t>wynikających</w:t>
      </w:r>
      <w:proofErr w:type="spellEnd"/>
      <w:r w:rsidRPr="00F0685D">
        <w:rPr>
          <w:rFonts w:ascii="Lato" w:hAnsi="Lato"/>
          <w:sz w:val="18"/>
          <w:szCs w:val="18"/>
        </w:rPr>
        <w:t xml:space="preserve"> z </w:t>
      </w:r>
      <w:proofErr w:type="spellStart"/>
      <w:r w:rsidRPr="00F0685D">
        <w:rPr>
          <w:rFonts w:ascii="Lato" w:hAnsi="Lato"/>
          <w:sz w:val="18"/>
          <w:szCs w:val="18"/>
        </w:rPr>
        <w:t>Europejskiej</w:t>
      </w:r>
      <w:proofErr w:type="spellEnd"/>
      <w:r w:rsidRPr="00F0685D">
        <w:rPr>
          <w:rFonts w:ascii="Lato" w:hAnsi="Lato"/>
          <w:sz w:val="18"/>
          <w:szCs w:val="18"/>
        </w:rPr>
        <w:t xml:space="preserve"> </w:t>
      </w:r>
      <w:proofErr w:type="spellStart"/>
      <w:r w:rsidRPr="00F0685D">
        <w:rPr>
          <w:rFonts w:ascii="Lato" w:hAnsi="Lato"/>
          <w:sz w:val="18"/>
          <w:szCs w:val="18"/>
        </w:rPr>
        <w:t>konwencji</w:t>
      </w:r>
      <w:proofErr w:type="spellEnd"/>
      <w:r w:rsidRPr="00F0685D">
        <w:rPr>
          <w:rFonts w:ascii="Lato" w:hAnsi="Lato"/>
          <w:sz w:val="18"/>
          <w:szCs w:val="18"/>
        </w:rPr>
        <w:t xml:space="preserve"> </w:t>
      </w:r>
      <w:proofErr w:type="spellStart"/>
      <w:r w:rsidRPr="00F0685D">
        <w:rPr>
          <w:rFonts w:ascii="Lato" w:hAnsi="Lato"/>
          <w:sz w:val="18"/>
          <w:szCs w:val="18"/>
        </w:rPr>
        <w:t>praw</w:t>
      </w:r>
      <w:proofErr w:type="spellEnd"/>
      <w:r w:rsidRPr="00F0685D">
        <w:rPr>
          <w:rFonts w:ascii="Lato" w:hAnsi="Lato"/>
          <w:sz w:val="18"/>
          <w:szCs w:val="18"/>
        </w:rPr>
        <w:t xml:space="preserve"> </w:t>
      </w:r>
      <w:proofErr w:type="spellStart"/>
      <w:r w:rsidRPr="00F0685D">
        <w:rPr>
          <w:rFonts w:ascii="Lato" w:hAnsi="Lato"/>
          <w:sz w:val="18"/>
          <w:szCs w:val="18"/>
        </w:rPr>
        <w:t>człowieka</w:t>
      </w:r>
      <w:proofErr w:type="spellEnd"/>
      <w:r w:rsidRPr="00F0685D">
        <w:rPr>
          <w:rFonts w:ascii="Lato" w:hAnsi="Lato"/>
          <w:sz w:val="18"/>
          <w:szCs w:val="18"/>
        </w:rPr>
        <w:t xml:space="preserve">. </w:t>
      </w:r>
      <w:proofErr w:type="spellStart"/>
      <w:r w:rsidRPr="00F0685D">
        <w:rPr>
          <w:rFonts w:ascii="Lato" w:hAnsi="Lato"/>
          <w:sz w:val="18"/>
          <w:szCs w:val="18"/>
        </w:rPr>
        <w:t>Komisja</w:t>
      </w:r>
      <w:proofErr w:type="spellEnd"/>
      <w:r w:rsidRPr="00F0685D">
        <w:rPr>
          <w:rFonts w:ascii="Lato" w:hAnsi="Lato"/>
          <w:sz w:val="18"/>
          <w:szCs w:val="18"/>
        </w:rPr>
        <w:t xml:space="preserve"> </w:t>
      </w:r>
      <w:proofErr w:type="spellStart"/>
      <w:r w:rsidRPr="00F0685D">
        <w:rPr>
          <w:rFonts w:ascii="Lato" w:hAnsi="Lato"/>
          <w:sz w:val="18"/>
          <w:szCs w:val="18"/>
        </w:rPr>
        <w:t>przestała</w:t>
      </w:r>
      <w:proofErr w:type="spellEnd"/>
      <w:r w:rsidRPr="00F0685D">
        <w:rPr>
          <w:rFonts w:ascii="Lato" w:hAnsi="Lato"/>
          <w:sz w:val="18"/>
          <w:szCs w:val="18"/>
        </w:rPr>
        <w:t xml:space="preserve"> </w:t>
      </w:r>
      <w:proofErr w:type="spellStart"/>
      <w:r w:rsidRPr="00F0685D">
        <w:rPr>
          <w:rFonts w:ascii="Lato" w:hAnsi="Lato"/>
          <w:sz w:val="18"/>
          <w:szCs w:val="18"/>
        </w:rPr>
        <w:t>istnieć</w:t>
      </w:r>
      <w:proofErr w:type="spellEnd"/>
      <w:r w:rsidRPr="00F0685D">
        <w:rPr>
          <w:rFonts w:ascii="Lato" w:hAnsi="Lato"/>
          <w:sz w:val="18"/>
          <w:szCs w:val="18"/>
        </w:rPr>
        <w:t xml:space="preserve">, </w:t>
      </w:r>
      <w:proofErr w:type="spellStart"/>
      <w:r w:rsidRPr="00F0685D">
        <w:rPr>
          <w:rFonts w:ascii="Lato" w:hAnsi="Lato"/>
          <w:sz w:val="18"/>
          <w:szCs w:val="18"/>
        </w:rPr>
        <w:t>gdy</w:t>
      </w:r>
      <w:proofErr w:type="spellEnd"/>
      <w:r w:rsidRPr="00F0685D">
        <w:rPr>
          <w:rFonts w:ascii="Lato" w:hAnsi="Lato"/>
          <w:sz w:val="18"/>
          <w:szCs w:val="18"/>
        </w:rPr>
        <w:t xml:space="preserve"> </w:t>
      </w:r>
      <w:proofErr w:type="spellStart"/>
      <w:r w:rsidRPr="00F0685D">
        <w:rPr>
          <w:rFonts w:ascii="Lato" w:hAnsi="Lato"/>
          <w:sz w:val="18"/>
          <w:szCs w:val="18"/>
        </w:rPr>
        <w:t>Trybunał</w:t>
      </w:r>
      <w:proofErr w:type="spellEnd"/>
      <w:r w:rsidRPr="00F0685D">
        <w:rPr>
          <w:rFonts w:ascii="Lato" w:hAnsi="Lato"/>
          <w:sz w:val="18"/>
          <w:szCs w:val="18"/>
        </w:rPr>
        <w:t xml:space="preserve"> </w:t>
      </w:r>
      <w:proofErr w:type="spellStart"/>
      <w:r w:rsidRPr="00F0685D">
        <w:rPr>
          <w:rFonts w:ascii="Lato" w:hAnsi="Lato"/>
          <w:sz w:val="18"/>
          <w:szCs w:val="18"/>
        </w:rPr>
        <w:t>stał</w:t>
      </w:r>
      <w:proofErr w:type="spellEnd"/>
      <w:r w:rsidRPr="00F0685D">
        <w:rPr>
          <w:rFonts w:ascii="Lato" w:hAnsi="Lato"/>
          <w:sz w:val="18"/>
          <w:szCs w:val="18"/>
        </w:rPr>
        <w:t xml:space="preserve"> </w:t>
      </w:r>
      <w:proofErr w:type="spellStart"/>
      <w:r w:rsidRPr="00F0685D">
        <w:rPr>
          <w:rFonts w:ascii="Lato" w:hAnsi="Lato"/>
          <w:sz w:val="18"/>
          <w:szCs w:val="18"/>
        </w:rPr>
        <w:t>się</w:t>
      </w:r>
      <w:proofErr w:type="spellEnd"/>
      <w:r w:rsidRPr="00F0685D">
        <w:rPr>
          <w:rFonts w:ascii="Lato" w:hAnsi="Lato"/>
          <w:sz w:val="18"/>
          <w:szCs w:val="18"/>
        </w:rPr>
        <w:t xml:space="preserve"> </w:t>
      </w:r>
      <w:proofErr w:type="spellStart"/>
      <w:r w:rsidRPr="00F0685D">
        <w:rPr>
          <w:rFonts w:ascii="Lato" w:hAnsi="Lato"/>
          <w:sz w:val="18"/>
          <w:szCs w:val="18"/>
        </w:rPr>
        <w:t>trwały</w:t>
      </w:r>
      <w:proofErr w:type="spellEnd"/>
      <w:r w:rsidRPr="00F0685D">
        <w:rPr>
          <w:rFonts w:ascii="Lato" w:hAnsi="Lato"/>
          <w:sz w:val="18"/>
          <w:szCs w:val="18"/>
        </w:rPr>
        <w:t xml:space="preserve"> 1 </w:t>
      </w:r>
      <w:proofErr w:type="spellStart"/>
      <w:r w:rsidRPr="00F0685D">
        <w:rPr>
          <w:rFonts w:ascii="Lato" w:hAnsi="Lato"/>
          <w:sz w:val="18"/>
          <w:szCs w:val="18"/>
        </w:rPr>
        <w:t>listopada</w:t>
      </w:r>
      <w:proofErr w:type="spellEnd"/>
      <w:r w:rsidRPr="00F0685D">
        <w:rPr>
          <w:rFonts w:ascii="Lato" w:hAnsi="Lato"/>
          <w:sz w:val="18"/>
          <w:szCs w:val="18"/>
        </w:rPr>
        <w:t xml:space="preserve"> 1998 </w:t>
      </w:r>
      <w:proofErr w:type="spellStart"/>
      <w:r w:rsidRPr="00F0685D">
        <w:rPr>
          <w:rFonts w:ascii="Lato" w:hAnsi="Lato"/>
          <w:sz w:val="18"/>
          <w:szCs w:val="18"/>
        </w:rPr>
        <w:t>roku</w:t>
      </w:r>
      <w:proofErr w:type="spellEnd"/>
      <w:r w:rsidRPr="00F0685D">
        <w:rPr>
          <w:rFonts w:ascii="Lato" w:hAnsi="Lato"/>
          <w:sz w:val="18"/>
          <w:szCs w:val="18"/>
        </w:rPr>
        <w:t>.</w:t>
      </w:r>
    </w:p>
  </w:footnote>
  <w:footnote w:id="3">
    <w:p w14:paraId="364786BA" w14:textId="472A3916" w:rsidR="006B7E64" w:rsidRPr="00F0685D" w:rsidRDefault="006B7E64">
      <w:pPr>
        <w:pStyle w:val="Tekstprzypisudolnego"/>
        <w:rPr>
          <w:rFonts w:ascii="Lato" w:hAnsi="Lato"/>
          <w:lang w:val="pl-PL"/>
        </w:rPr>
      </w:pPr>
      <w:r w:rsidRPr="00F0685D">
        <w:rPr>
          <w:rStyle w:val="Odwoanieprzypisudolnego"/>
          <w:rFonts w:ascii="Lato" w:hAnsi="Lato"/>
          <w:sz w:val="18"/>
          <w:szCs w:val="18"/>
        </w:rPr>
        <w:footnoteRef/>
      </w:r>
      <w:r w:rsidRPr="00F0685D">
        <w:rPr>
          <w:rFonts w:ascii="Lato" w:hAnsi="Lato"/>
          <w:sz w:val="18"/>
          <w:szCs w:val="18"/>
        </w:rPr>
        <w:t xml:space="preserve"> </w:t>
      </w:r>
      <w:r w:rsidRPr="00F0685D">
        <w:rPr>
          <w:rFonts w:ascii="Lato" w:hAnsi="Lato"/>
          <w:sz w:val="18"/>
          <w:szCs w:val="18"/>
        </w:rPr>
        <w:t>Celem „</w:t>
      </w:r>
      <w:proofErr w:type="spellStart"/>
      <w:r w:rsidRPr="00F0685D">
        <w:rPr>
          <w:rFonts w:ascii="Lato" w:hAnsi="Lato"/>
          <w:sz w:val="18"/>
          <w:szCs w:val="18"/>
        </w:rPr>
        <w:t>systemu</w:t>
      </w:r>
      <w:proofErr w:type="spellEnd"/>
      <w:r w:rsidRPr="00F0685D">
        <w:rPr>
          <w:rFonts w:ascii="Lato" w:hAnsi="Lato"/>
          <w:sz w:val="18"/>
          <w:szCs w:val="18"/>
        </w:rPr>
        <w:t xml:space="preserve"> </w:t>
      </w:r>
      <w:proofErr w:type="spellStart"/>
      <w:r w:rsidRPr="00F0685D">
        <w:rPr>
          <w:rFonts w:ascii="Lato" w:hAnsi="Lato"/>
          <w:sz w:val="18"/>
          <w:szCs w:val="18"/>
        </w:rPr>
        <w:t>dublińskiego</w:t>
      </w:r>
      <w:proofErr w:type="spellEnd"/>
      <w:r w:rsidRPr="00F0685D">
        <w:rPr>
          <w:rFonts w:ascii="Lato" w:hAnsi="Lato"/>
          <w:sz w:val="18"/>
          <w:szCs w:val="18"/>
        </w:rPr>
        <w:t xml:space="preserve">” jest </w:t>
      </w:r>
      <w:proofErr w:type="spellStart"/>
      <w:r w:rsidRPr="00F0685D">
        <w:rPr>
          <w:rFonts w:ascii="Lato" w:hAnsi="Lato"/>
          <w:sz w:val="18"/>
          <w:szCs w:val="18"/>
        </w:rPr>
        <w:t>ustalenie</w:t>
      </w:r>
      <w:proofErr w:type="spellEnd"/>
      <w:r w:rsidRPr="00F0685D">
        <w:rPr>
          <w:rFonts w:ascii="Lato" w:hAnsi="Lato"/>
          <w:sz w:val="18"/>
          <w:szCs w:val="18"/>
        </w:rPr>
        <w:t xml:space="preserve">, </w:t>
      </w:r>
      <w:proofErr w:type="spellStart"/>
      <w:r w:rsidRPr="00F0685D">
        <w:rPr>
          <w:rFonts w:ascii="Lato" w:hAnsi="Lato"/>
          <w:sz w:val="18"/>
          <w:szCs w:val="18"/>
        </w:rPr>
        <w:t>które</w:t>
      </w:r>
      <w:proofErr w:type="spellEnd"/>
      <w:r w:rsidRPr="00F0685D">
        <w:rPr>
          <w:rFonts w:ascii="Lato" w:hAnsi="Lato"/>
          <w:sz w:val="18"/>
          <w:szCs w:val="18"/>
        </w:rPr>
        <w:t xml:space="preserve"> </w:t>
      </w:r>
      <w:proofErr w:type="spellStart"/>
      <w:r w:rsidRPr="00F0685D">
        <w:rPr>
          <w:rFonts w:ascii="Lato" w:hAnsi="Lato"/>
          <w:sz w:val="18"/>
          <w:szCs w:val="18"/>
        </w:rPr>
        <w:t>państwo</w:t>
      </w:r>
      <w:proofErr w:type="spellEnd"/>
      <w:r w:rsidRPr="00F0685D">
        <w:rPr>
          <w:rFonts w:ascii="Lato" w:hAnsi="Lato"/>
          <w:sz w:val="18"/>
          <w:szCs w:val="18"/>
        </w:rPr>
        <w:t xml:space="preserve"> </w:t>
      </w:r>
      <w:proofErr w:type="spellStart"/>
      <w:r w:rsidRPr="00F0685D">
        <w:rPr>
          <w:rFonts w:ascii="Lato" w:hAnsi="Lato"/>
          <w:sz w:val="18"/>
          <w:szCs w:val="18"/>
        </w:rPr>
        <w:t>członkowskie</w:t>
      </w:r>
      <w:proofErr w:type="spellEnd"/>
      <w:r w:rsidRPr="00F0685D">
        <w:rPr>
          <w:rFonts w:ascii="Lato" w:hAnsi="Lato"/>
          <w:sz w:val="18"/>
          <w:szCs w:val="18"/>
        </w:rPr>
        <w:t xml:space="preserve"> UE jest </w:t>
      </w:r>
      <w:proofErr w:type="spellStart"/>
      <w:r w:rsidRPr="00F0685D">
        <w:rPr>
          <w:rFonts w:ascii="Lato" w:hAnsi="Lato"/>
          <w:sz w:val="18"/>
          <w:szCs w:val="18"/>
        </w:rPr>
        <w:t>odpowiedzialne</w:t>
      </w:r>
      <w:proofErr w:type="spellEnd"/>
      <w:r w:rsidRPr="00F0685D">
        <w:rPr>
          <w:rFonts w:ascii="Lato" w:hAnsi="Lato"/>
          <w:sz w:val="18"/>
          <w:szCs w:val="18"/>
        </w:rPr>
        <w:t xml:space="preserve"> za </w:t>
      </w:r>
      <w:proofErr w:type="spellStart"/>
      <w:r w:rsidRPr="00F0685D">
        <w:rPr>
          <w:rFonts w:ascii="Lato" w:hAnsi="Lato"/>
          <w:sz w:val="18"/>
          <w:szCs w:val="18"/>
        </w:rPr>
        <w:t>rozpatrzenie</w:t>
      </w:r>
      <w:proofErr w:type="spellEnd"/>
      <w:r w:rsidRPr="00F0685D">
        <w:rPr>
          <w:rFonts w:ascii="Lato" w:hAnsi="Lato"/>
          <w:sz w:val="18"/>
          <w:szCs w:val="18"/>
        </w:rPr>
        <w:t xml:space="preserve"> </w:t>
      </w:r>
      <w:proofErr w:type="spellStart"/>
      <w:r w:rsidRPr="00F0685D">
        <w:rPr>
          <w:rFonts w:ascii="Lato" w:hAnsi="Lato"/>
          <w:sz w:val="18"/>
          <w:szCs w:val="18"/>
        </w:rPr>
        <w:t>wniosku</w:t>
      </w:r>
      <w:proofErr w:type="spellEnd"/>
      <w:r w:rsidRPr="00F0685D">
        <w:rPr>
          <w:rFonts w:ascii="Lato" w:hAnsi="Lato"/>
          <w:sz w:val="18"/>
          <w:szCs w:val="18"/>
        </w:rPr>
        <w:t xml:space="preserve"> o </w:t>
      </w:r>
      <w:proofErr w:type="spellStart"/>
      <w:r w:rsidRPr="00F0685D">
        <w:rPr>
          <w:rFonts w:ascii="Lato" w:hAnsi="Lato"/>
          <w:sz w:val="18"/>
          <w:szCs w:val="18"/>
        </w:rPr>
        <w:t>azyl</w:t>
      </w:r>
      <w:proofErr w:type="spellEnd"/>
      <w:r w:rsidRPr="00F0685D">
        <w:rPr>
          <w:rFonts w:ascii="Lato" w:hAnsi="Lato"/>
          <w:sz w:val="18"/>
          <w:szCs w:val="18"/>
        </w:rPr>
        <w:t xml:space="preserve"> </w:t>
      </w:r>
      <w:proofErr w:type="spellStart"/>
      <w:r w:rsidRPr="00F0685D">
        <w:rPr>
          <w:rFonts w:ascii="Lato" w:hAnsi="Lato"/>
          <w:sz w:val="18"/>
          <w:szCs w:val="18"/>
        </w:rPr>
        <w:t>wniesionego</w:t>
      </w:r>
      <w:proofErr w:type="spellEnd"/>
      <w:r w:rsidRPr="00F0685D">
        <w:rPr>
          <w:rFonts w:ascii="Lato" w:hAnsi="Lato"/>
          <w:sz w:val="18"/>
          <w:szCs w:val="18"/>
        </w:rPr>
        <w:t xml:space="preserve"> w </w:t>
      </w:r>
      <w:proofErr w:type="spellStart"/>
      <w:r w:rsidRPr="00F0685D">
        <w:rPr>
          <w:rFonts w:ascii="Lato" w:hAnsi="Lato"/>
          <w:sz w:val="18"/>
          <w:szCs w:val="18"/>
        </w:rPr>
        <w:t>jednym</w:t>
      </w:r>
      <w:proofErr w:type="spellEnd"/>
      <w:r w:rsidRPr="00F0685D">
        <w:rPr>
          <w:rFonts w:ascii="Lato" w:hAnsi="Lato"/>
          <w:sz w:val="18"/>
          <w:szCs w:val="18"/>
        </w:rPr>
        <w:t xml:space="preserve"> z </w:t>
      </w:r>
      <w:proofErr w:type="spellStart"/>
      <w:r w:rsidRPr="00F0685D">
        <w:rPr>
          <w:rFonts w:ascii="Lato" w:hAnsi="Lato"/>
          <w:sz w:val="18"/>
          <w:szCs w:val="18"/>
        </w:rPr>
        <w:t>państw</w:t>
      </w:r>
      <w:proofErr w:type="spellEnd"/>
      <w:r w:rsidRPr="00F0685D">
        <w:rPr>
          <w:rFonts w:ascii="Lato" w:hAnsi="Lato"/>
          <w:sz w:val="18"/>
          <w:szCs w:val="18"/>
        </w:rPr>
        <w:t xml:space="preserve"> </w:t>
      </w:r>
      <w:proofErr w:type="spellStart"/>
      <w:r w:rsidRPr="00F0685D">
        <w:rPr>
          <w:rFonts w:ascii="Lato" w:hAnsi="Lato"/>
          <w:sz w:val="18"/>
          <w:szCs w:val="18"/>
        </w:rPr>
        <w:t>członkowskich</w:t>
      </w:r>
      <w:proofErr w:type="spellEnd"/>
      <w:r w:rsidRPr="00F0685D">
        <w:rPr>
          <w:rFonts w:ascii="Lato" w:hAnsi="Lato"/>
          <w:sz w:val="18"/>
          <w:szCs w:val="18"/>
        </w:rPr>
        <w:t xml:space="preserve"> </w:t>
      </w:r>
      <w:proofErr w:type="spellStart"/>
      <w:r w:rsidRPr="00F0685D">
        <w:rPr>
          <w:rFonts w:ascii="Lato" w:hAnsi="Lato"/>
          <w:sz w:val="18"/>
          <w:szCs w:val="18"/>
        </w:rPr>
        <w:t>przez</w:t>
      </w:r>
      <w:proofErr w:type="spellEnd"/>
      <w:r w:rsidRPr="00F0685D">
        <w:rPr>
          <w:rFonts w:ascii="Lato" w:hAnsi="Lato"/>
          <w:sz w:val="18"/>
          <w:szCs w:val="18"/>
        </w:rPr>
        <w:t xml:space="preserve"> </w:t>
      </w:r>
      <w:proofErr w:type="spellStart"/>
      <w:r w:rsidRPr="00F0685D">
        <w:rPr>
          <w:rFonts w:ascii="Lato" w:hAnsi="Lato"/>
          <w:sz w:val="18"/>
          <w:szCs w:val="18"/>
        </w:rPr>
        <w:t>obywatela</w:t>
      </w:r>
      <w:proofErr w:type="spellEnd"/>
      <w:r w:rsidRPr="00F0685D">
        <w:rPr>
          <w:rFonts w:ascii="Lato" w:hAnsi="Lato"/>
          <w:sz w:val="18"/>
          <w:szCs w:val="18"/>
        </w:rPr>
        <w:t xml:space="preserve"> </w:t>
      </w:r>
      <w:proofErr w:type="spellStart"/>
      <w:r w:rsidRPr="00F0685D">
        <w:rPr>
          <w:rFonts w:ascii="Lato" w:hAnsi="Lato"/>
          <w:sz w:val="18"/>
          <w:szCs w:val="18"/>
        </w:rPr>
        <w:t>państwa</w:t>
      </w:r>
      <w:proofErr w:type="spellEnd"/>
      <w:r w:rsidRPr="00F0685D">
        <w:rPr>
          <w:rFonts w:ascii="Lato" w:hAnsi="Lato"/>
          <w:sz w:val="18"/>
          <w:szCs w:val="18"/>
        </w:rPr>
        <w:t xml:space="preserve"> </w:t>
      </w:r>
      <w:proofErr w:type="spellStart"/>
      <w:r w:rsidRPr="00F0685D">
        <w:rPr>
          <w:rFonts w:ascii="Lato" w:hAnsi="Lato"/>
          <w:sz w:val="18"/>
          <w:szCs w:val="18"/>
        </w:rPr>
        <w:t>trzeciego</w:t>
      </w:r>
      <w:proofErr w:type="spellEnd"/>
      <w:r w:rsidRPr="00F0685D">
        <w:rPr>
          <w:rFonts w:ascii="Lato" w:hAnsi="Lato"/>
          <w:sz w:val="18"/>
          <w:szCs w:val="18"/>
        </w:rPr>
        <w:t xml:space="preserve">. </w:t>
      </w:r>
      <w:proofErr w:type="spellStart"/>
      <w:r w:rsidRPr="00F0685D">
        <w:rPr>
          <w:rFonts w:ascii="Lato" w:hAnsi="Lato"/>
          <w:sz w:val="18"/>
          <w:szCs w:val="18"/>
        </w:rPr>
        <w:t>Zobacz</w:t>
      </w:r>
      <w:proofErr w:type="spellEnd"/>
      <w:r w:rsidRPr="00F0685D">
        <w:rPr>
          <w:rFonts w:ascii="Lato" w:hAnsi="Lato"/>
          <w:sz w:val="18"/>
          <w:szCs w:val="18"/>
        </w:rPr>
        <w:t xml:space="preserve"> </w:t>
      </w:r>
      <w:proofErr w:type="spellStart"/>
      <w:r w:rsidRPr="00F0685D">
        <w:rPr>
          <w:rFonts w:ascii="Lato" w:hAnsi="Lato"/>
          <w:sz w:val="18"/>
          <w:szCs w:val="18"/>
        </w:rPr>
        <w:t>także</w:t>
      </w:r>
      <w:proofErr w:type="spellEnd"/>
      <w:r w:rsidRPr="00F0685D">
        <w:rPr>
          <w:rFonts w:ascii="Lato" w:hAnsi="Lato"/>
          <w:sz w:val="18"/>
          <w:szCs w:val="18"/>
        </w:rPr>
        <w:t xml:space="preserve"> </w:t>
      </w:r>
      <w:proofErr w:type="spellStart"/>
      <w:r w:rsidRPr="00F0685D">
        <w:rPr>
          <w:rFonts w:ascii="Lato" w:hAnsi="Lato"/>
          <w:sz w:val="18"/>
          <w:szCs w:val="18"/>
        </w:rPr>
        <w:t>zestawienie</w:t>
      </w:r>
      <w:proofErr w:type="spellEnd"/>
      <w:r w:rsidRPr="00F0685D">
        <w:rPr>
          <w:rFonts w:ascii="Lato" w:hAnsi="Lato"/>
          <w:sz w:val="18"/>
          <w:szCs w:val="18"/>
        </w:rPr>
        <w:t xml:space="preserve"> „</w:t>
      </w:r>
      <w:proofErr w:type="spellStart"/>
      <w:r w:rsidR="00351BF1">
        <w:rPr>
          <w:rFonts w:ascii="Lato" w:hAnsi="Lato"/>
          <w:sz w:val="18"/>
          <w:szCs w:val="18"/>
        </w:rPr>
        <w:fldChar w:fldCharType="begin"/>
      </w:r>
      <w:r w:rsidR="00351BF1">
        <w:rPr>
          <w:rFonts w:ascii="Lato" w:hAnsi="Lato"/>
          <w:sz w:val="18"/>
          <w:szCs w:val="18"/>
        </w:rPr>
        <w:instrText>HYPERLINK "https://www.echr.coe.int/documents/d/echr/FS_Dublin_ENG"</w:instrText>
      </w:r>
      <w:r w:rsidR="00351BF1">
        <w:rPr>
          <w:rFonts w:ascii="Lato" w:hAnsi="Lato"/>
          <w:sz w:val="18"/>
          <w:szCs w:val="18"/>
        </w:rPr>
      </w:r>
      <w:r w:rsidR="00351BF1">
        <w:rPr>
          <w:rFonts w:ascii="Lato" w:hAnsi="Lato"/>
          <w:sz w:val="18"/>
          <w:szCs w:val="18"/>
        </w:rPr>
        <w:fldChar w:fldCharType="separate"/>
      </w:r>
      <w:r w:rsidRPr="00351BF1">
        <w:rPr>
          <w:rStyle w:val="Hipercze"/>
          <w:rFonts w:ascii="Lato" w:hAnsi="Lato"/>
          <w:sz w:val="18"/>
          <w:szCs w:val="18"/>
        </w:rPr>
        <w:t>sprawy</w:t>
      </w:r>
      <w:proofErr w:type="spellEnd"/>
      <w:r w:rsidRPr="00351BF1">
        <w:rPr>
          <w:rStyle w:val="Hipercze"/>
          <w:rFonts w:ascii="Lato" w:hAnsi="Lato"/>
          <w:sz w:val="18"/>
          <w:szCs w:val="18"/>
        </w:rPr>
        <w:t xml:space="preserve"> </w:t>
      </w:r>
      <w:proofErr w:type="spellStart"/>
      <w:r w:rsidRPr="00351BF1">
        <w:rPr>
          <w:rStyle w:val="Hipercze"/>
          <w:rFonts w:ascii="Lato" w:hAnsi="Lato"/>
          <w:sz w:val="18"/>
          <w:szCs w:val="18"/>
        </w:rPr>
        <w:t>dublińskie</w:t>
      </w:r>
      <w:proofErr w:type="spellEnd"/>
      <w:r w:rsidRPr="00351BF1">
        <w:rPr>
          <w:rStyle w:val="Hipercze"/>
          <w:rFonts w:ascii="Lato" w:hAnsi="Lato"/>
          <w:sz w:val="18"/>
          <w:szCs w:val="18"/>
        </w:rPr>
        <w:t>”</w:t>
      </w:r>
      <w:r w:rsidR="00351BF1">
        <w:rPr>
          <w:rFonts w:ascii="Lato" w:hAnsi="Lato"/>
          <w:sz w:val="18"/>
          <w:szCs w:val="18"/>
        </w:rPr>
        <w:fldChar w:fldCharType="end"/>
      </w:r>
      <w:r w:rsidRPr="00F0685D">
        <w:rPr>
          <w:rFonts w:ascii="Lato" w:hAnsi="Lato"/>
          <w:sz w:val="18"/>
          <w:szCs w:val="18"/>
        </w:rPr>
        <w:t>.</w:t>
      </w:r>
    </w:p>
  </w:footnote>
  <w:footnote w:id="4">
    <w:p w14:paraId="7388D9F5" w14:textId="739E8C94" w:rsidR="00046A9E" w:rsidRPr="00046A9E" w:rsidRDefault="00046A9E">
      <w:pPr>
        <w:pStyle w:val="Tekstprzypisudolnego"/>
        <w:rPr>
          <w:lang w:val="pl-PL"/>
        </w:rPr>
      </w:pPr>
      <w:r>
        <w:rPr>
          <w:rStyle w:val="Odwoanieprzypisudolnego"/>
        </w:rPr>
        <w:footnoteRef/>
      </w:r>
      <w:r>
        <w:t xml:space="preserve"> </w:t>
      </w:r>
      <w:r w:rsidRPr="005C2070">
        <w:rPr>
          <w:rFonts w:ascii="Lato" w:hAnsi="Lato"/>
          <w:sz w:val="18"/>
          <w:szCs w:val="18"/>
        </w:rPr>
        <w:t xml:space="preserve">„System Eurodac” </w:t>
      </w:r>
      <w:proofErr w:type="spellStart"/>
      <w:r w:rsidRPr="005C2070">
        <w:rPr>
          <w:rFonts w:ascii="Lato" w:hAnsi="Lato"/>
          <w:sz w:val="18"/>
          <w:szCs w:val="18"/>
        </w:rPr>
        <w:t>umożliwia</w:t>
      </w:r>
      <w:proofErr w:type="spellEnd"/>
      <w:r w:rsidRPr="005C2070">
        <w:rPr>
          <w:rFonts w:ascii="Lato" w:hAnsi="Lato"/>
          <w:sz w:val="18"/>
          <w:szCs w:val="18"/>
        </w:rPr>
        <w:t xml:space="preserve"> </w:t>
      </w:r>
      <w:proofErr w:type="spellStart"/>
      <w:r w:rsidRPr="005C2070">
        <w:rPr>
          <w:rFonts w:ascii="Lato" w:hAnsi="Lato"/>
          <w:sz w:val="18"/>
          <w:szCs w:val="18"/>
        </w:rPr>
        <w:t>krajom</w:t>
      </w:r>
      <w:proofErr w:type="spellEnd"/>
      <w:r w:rsidRPr="005C2070">
        <w:rPr>
          <w:rFonts w:ascii="Lato" w:hAnsi="Lato"/>
          <w:sz w:val="18"/>
          <w:szCs w:val="18"/>
        </w:rPr>
        <w:t xml:space="preserve"> UE </w:t>
      </w:r>
      <w:proofErr w:type="spellStart"/>
      <w:r w:rsidRPr="005C2070">
        <w:rPr>
          <w:rFonts w:ascii="Lato" w:hAnsi="Lato"/>
          <w:sz w:val="18"/>
          <w:szCs w:val="18"/>
        </w:rPr>
        <w:t>pomoc</w:t>
      </w:r>
      <w:proofErr w:type="spellEnd"/>
      <w:r w:rsidRPr="005C2070">
        <w:rPr>
          <w:rFonts w:ascii="Lato" w:hAnsi="Lato"/>
          <w:sz w:val="18"/>
          <w:szCs w:val="18"/>
        </w:rPr>
        <w:t xml:space="preserve"> w </w:t>
      </w:r>
      <w:proofErr w:type="spellStart"/>
      <w:r w:rsidRPr="005C2070">
        <w:rPr>
          <w:rFonts w:ascii="Lato" w:hAnsi="Lato"/>
          <w:sz w:val="18"/>
          <w:szCs w:val="18"/>
        </w:rPr>
        <w:t>identyfikacji</w:t>
      </w:r>
      <w:proofErr w:type="spellEnd"/>
      <w:r w:rsidRPr="005C2070">
        <w:rPr>
          <w:rFonts w:ascii="Lato" w:hAnsi="Lato"/>
          <w:sz w:val="18"/>
          <w:szCs w:val="18"/>
        </w:rPr>
        <w:t xml:space="preserve"> </w:t>
      </w:r>
      <w:proofErr w:type="spellStart"/>
      <w:r w:rsidRPr="005C2070">
        <w:rPr>
          <w:rFonts w:ascii="Lato" w:hAnsi="Lato"/>
          <w:sz w:val="18"/>
          <w:szCs w:val="18"/>
        </w:rPr>
        <w:t>osób</w:t>
      </w:r>
      <w:proofErr w:type="spellEnd"/>
      <w:r w:rsidRPr="005C2070">
        <w:rPr>
          <w:rFonts w:ascii="Lato" w:hAnsi="Lato"/>
          <w:sz w:val="18"/>
          <w:szCs w:val="18"/>
        </w:rPr>
        <w:t xml:space="preserve"> </w:t>
      </w:r>
      <w:proofErr w:type="spellStart"/>
      <w:r w:rsidRPr="005C2070">
        <w:rPr>
          <w:rFonts w:ascii="Lato" w:hAnsi="Lato"/>
          <w:sz w:val="18"/>
          <w:szCs w:val="18"/>
        </w:rPr>
        <w:t>ubiegających</w:t>
      </w:r>
      <w:proofErr w:type="spellEnd"/>
      <w:r w:rsidRPr="005C2070">
        <w:rPr>
          <w:rFonts w:ascii="Lato" w:hAnsi="Lato"/>
          <w:sz w:val="18"/>
          <w:szCs w:val="18"/>
        </w:rPr>
        <w:t xml:space="preserve"> </w:t>
      </w:r>
      <w:proofErr w:type="spellStart"/>
      <w:r w:rsidRPr="005C2070">
        <w:rPr>
          <w:rFonts w:ascii="Lato" w:hAnsi="Lato"/>
          <w:sz w:val="18"/>
          <w:szCs w:val="18"/>
        </w:rPr>
        <w:t>się</w:t>
      </w:r>
      <w:proofErr w:type="spellEnd"/>
      <w:r w:rsidRPr="005C2070">
        <w:rPr>
          <w:rFonts w:ascii="Lato" w:hAnsi="Lato"/>
          <w:sz w:val="18"/>
          <w:szCs w:val="18"/>
        </w:rPr>
        <w:t xml:space="preserve"> o </w:t>
      </w:r>
      <w:proofErr w:type="spellStart"/>
      <w:r w:rsidRPr="005C2070">
        <w:rPr>
          <w:rFonts w:ascii="Lato" w:hAnsi="Lato"/>
          <w:sz w:val="18"/>
          <w:szCs w:val="18"/>
        </w:rPr>
        <w:t>azyl</w:t>
      </w:r>
      <w:proofErr w:type="spellEnd"/>
      <w:r w:rsidRPr="005C2070">
        <w:rPr>
          <w:rFonts w:ascii="Lato" w:hAnsi="Lato"/>
          <w:sz w:val="18"/>
          <w:szCs w:val="18"/>
        </w:rPr>
        <w:t xml:space="preserve"> </w:t>
      </w:r>
      <w:proofErr w:type="spellStart"/>
      <w:r w:rsidRPr="005C2070">
        <w:rPr>
          <w:rFonts w:ascii="Lato" w:hAnsi="Lato"/>
          <w:sz w:val="18"/>
          <w:szCs w:val="18"/>
        </w:rPr>
        <w:t>i</w:t>
      </w:r>
      <w:proofErr w:type="spellEnd"/>
      <w:r w:rsidRPr="005C2070">
        <w:rPr>
          <w:rFonts w:ascii="Lato" w:hAnsi="Lato"/>
          <w:sz w:val="18"/>
          <w:szCs w:val="18"/>
        </w:rPr>
        <w:t xml:space="preserve"> </w:t>
      </w:r>
      <w:proofErr w:type="spellStart"/>
      <w:r w:rsidRPr="005C2070">
        <w:rPr>
          <w:rFonts w:ascii="Lato" w:hAnsi="Lato"/>
          <w:sz w:val="18"/>
          <w:szCs w:val="18"/>
        </w:rPr>
        <w:t>osób</w:t>
      </w:r>
      <w:proofErr w:type="spellEnd"/>
      <w:r w:rsidRPr="005C2070">
        <w:rPr>
          <w:rFonts w:ascii="Lato" w:hAnsi="Lato"/>
          <w:sz w:val="18"/>
          <w:szCs w:val="18"/>
        </w:rPr>
        <w:t xml:space="preserve">, </w:t>
      </w:r>
      <w:proofErr w:type="spellStart"/>
      <w:r w:rsidRPr="005C2070">
        <w:rPr>
          <w:rFonts w:ascii="Lato" w:hAnsi="Lato"/>
          <w:sz w:val="18"/>
          <w:szCs w:val="18"/>
        </w:rPr>
        <w:t>które</w:t>
      </w:r>
      <w:proofErr w:type="spellEnd"/>
      <w:r w:rsidRPr="005C2070">
        <w:rPr>
          <w:rFonts w:ascii="Lato" w:hAnsi="Lato"/>
          <w:sz w:val="18"/>
          <w:szCs w:val="18"/>
        </w:rPr>
        <w:t xml:space="preserve"> </w:t>
      </w:r>
      <w:proofErr w:type="spellStart"/>
      <w:r w:rsidRPr="005C2070">
        <w:rPr>
          <w:rFonts w:ascii="Lato" w:hAnsi="Lato"/>
          <w:sz w:val="18"/>
          <w:szCs w:val="18"/>
        </w:rPr>
        <w:t>zostały</w:t>
      </w:r>
      <w:proofErr w:type="spellEnd"/>
      <w:r w:rsidRPr="005C2070">
        <w:rPr>
          <w:rFonts w:ascii="Lato" w:hAnsi="Lato"/>
          <w:sz w:val="18"/>
          <w:szCs w:val="18"/>
        </w:rPr>
        <w:t xml:space="preserve"> </w:t>
      </w:r>
      <w:proofErr w:type="spellStart"/>
      <w:r w:rsidRPr="005C2070">
        <w:rPr>
          <w:rFonts w:ascii="Lato" w:hAnsi="Lato"/>
          <w:sz w:val="18"/>
          <w:szCs w:val="18"/>
        </w:rPr>
        <w:t>zatrzymane</w:t>
      </w:r>
      <w:proofErr w:type="spellEnd"/>
      <w:r w:rsidRPr="005C2070">
        <w:rPr>
          <w:rFonts w:ascii="Lato" w:hAnsi="Lato"/>
          <w:sz w:val="18"/>
          <w:szCs w:val="18"/>
        </w:rPr>
        <w:t xml:space="preserve"> w </w:t>
      </w:r>
      <w:proofErr w:type="spellStart"/>
      <w:r w:rsidRPr="005C2070">
        <w:rPr>
          <w:rFonts w:ascii="Lato" w:hAnsi="Lato"/>
          <w:sz w:val="18"/>
          <w:szCs w:val="18"/>
        </w:rPr>
        <w:t>związku</w:t>
      </w:r>
      <w:proofErr w:type="spellEnd"/>
      <w:r w:rsidRPr="005C2070">
        <w:rPr>
          <w:rFonts w:ascii="Lato" w:hAnsi="Lato"/>
          <w:sz w:val="18"/>
          <w:szCs w:val="18"/>
        </w:rPr>
        <w:t xml:space="preserve"> z </w:t>
      </w:r>
      <w:proofErr w:type="spellStart"/>
      <w:r w:rsidRPr="005C2070">
        <w:rPr>
          <w:rFonts w:ascii="Lato" w:hAnsi="Lato"/>
          <w:sz w:val="18"/>
          <w:szCs w:val="18"/>
        </w:rPr>
        <w:t>nielegalnym</w:t>
      </w:r>
      <w:proofErr w:type="spellEnd"/>
      <w:r w:rsidRPr="005C2070">
        <w:rPr>
          <w:rFonts w:ascii="Lato" w:hAnsi="Lato"/>
          <w:sz w:val="18"/>
          <w:szCs w:val="18"/>
        </w:rPr>
        <w:t xml:space="preserve"> </w:t>
      </w:r>
      <w:proofErr w:type="spellStart"/>
      <w:r w:rsidRPr="005C2070">
        <w:rPr>
          <w:rFonts w:ascii="Lato" w:hAnsi="Lato"/>
          <w:sz w:val="18"/>
          <w:szCs w:val="18"/>
        </w:rPr>
        <w:t>przekroczeniem</w:t>
      </w:r>
      <w:proofErr w:type="spellEnd"/>
      <w:r w:rsidRPr="005C2070">
        <w:rPr>
          <w:rFonts w:ascii="Lato" w:hAnsi="Lato"/>
          <w:sz w:val="18"/>
          <w:szCs w:val="18"/>
        </w:rPr>
        <w:t xml:space="preserve"> </w:t>
      </w:r>
      <w:proofErr w:type="spellStart"/>
      <w:r w:rsidRPr="005C2070">
        <w:rPr>
          <w:rFonts w:ascii="Lato" w:hAnsi="Lato"/>
          <w:sz w:val="18"/>
          <w:szCs w:val="18"/>
        </w:rPr>
        <w:t>zewnętrznej</w:t>
      </w:r>
      <w:proofErr w:type="spellEnd"/>
      <w:r w:rsidRPr="005C2070">
        <w:rPr>
          <w:rFonts w:ascii="Lato" w:hAnsi="Lato"/>
          <w:sz w:val="18"/>
          <w:szCs w:val="18"/>
        </w:rPr>
        <w:t xml:space="preserve"> </w:t>
      </w:r>
      <w:proofErr w:type="spellStart"/>
      <w:r w:rsidRPr="005C2070">
        <w:rPr>
          <w:rFonts w:ascii="Lato" w:hAnsi="Lato"/>
          <w:sz w:val="18"/>
          <w:szCs w:val="18"/>
        </w:rPr>
        <w:t>granicy</w:t>
      </w:r>
      <w:proofErr w:type="spellEnd"/>
      <w:r w:rsidRPr="005C2070">
        <w:rPr>
          <w:rFonts w:ascii="Lato" w:hAnsi="Lato"/>
          <w:sz w:val="18"/>
          <w:szCs w:val="18"/>
        </w:rPr>
        <w:t xml:space="preserve"> </w:t>
      </w:r>
      <w:proofErr w:type="spellStart"/>
      <w:r w:rsidRPr="005C2070">
        <w:rPr>
          <w:rFonts w:ascii="Lato" w:hAnsi="Lato"/>
          <w:sz w:val="18"/>
          <w:szCs w:val="18"/>
        </w:rPr>
        <w:t>Unii</w:t>
      </w:r>
      <w:proofErr w:type="spellEnd"/>
      <w:r w:rsidRPr="005C2070">
        <w:rPr>
          <w:rFonts w:ascii="Lato" w:hAnsi="Lato"/>
          <w:sz w:val="18"/>
          <w:szCs w:val="18"/>
        </w:rPr>
        <w:t xml:space="preserve">. </w:t>
      </w:r>
      <w:proofErr w:type="spellStart"/>
      <w:r w:rsidRPr="005C2070">
        <w:rPr>
          <w:rFonts w:ascii="Lato" w:hAnsi="Lato"/>
          <w:sz w:val="18"/>
          <w:szCs w:val="18"/>
        </w:rPr>
        <w:t>Porównując</w:t>
      </w:r>
      <w:proofErr w:type="spellEnd"/>
      <w:r w:rsidRPr="005C2070">
        <w:rPr>
          <w:rFonts w:ascii="Lato" w:hAnsi="Lato"/>
          <w:sz w:val="18"/>
          <w:szCs w:val="18"/>
        </w:rPr>
        <w:t xml:space="preserve"> </w:t>
      </w:r>
      <w:proofErr w:type="spellStart"/>
      <w:r w:rsidRPr="005C2070">
        <w:rPr>
          <w:rFonts w:ascii="Lato" w:hAnsi="Lato"/>
          <w:sz w:val="18"/>
          <w:szCs w:val="18"/>
        </w:rPr>
        <w:t>odciski</w:t>
      </w:r>
      <w:proofErr w:type="spellEnd"/>
      <w:r w:rsidRPr="005C2070">
        <w:rPr>
          <w:rFonts w:ascii="Lato" w:hAnsi="Lato"/>
          <w:sz w:val="18"/>
          <w:szCs w:val="18"/>
        </w:rPr>
        <w:t xml:space="preserve"> </w:t>
      </w:r>
      <w:proofErr w:type="spellStart"/>
      <w:r w:rsidRPr="005C2070">
        <w:rPr>
          <w:rFonts w:ascii="Lato" w:hAnsi="Lato"/>
          <w:sz w:val="18"/>
          <w:szCs w:val="18"/>
        </w:rPr>
        <w:t>palców</w:t>
      </w:r>
      <w:proofErr w:type="spellEnd"/>
      <w:r w:rsidRPr="005C2070">
        <w:rPr>
          <w:rFonts w:ascii="Lato" w:hAnsi="Lato"/>
          <w:sz w:val="18"/>
          <w:szCs w:val="18"/>
        </w:rPr>
        <w:t xml:space="preserve">, </w:t>
      </w:r>
      <w:proofErr w:type="spellStart"/>
      <w:r w:rsidRPr="005C2070">
        <w:rPr>
          <w:rFonts w:ascii="Lato" w:hAnsi="Lato"/>
          <w:sz w:val="18"/>
          <w:szCs w:val="18"/>
        </w:rPr>
        <w:t>kraje</w:t>
      </w:r>
      <w:proofErr w:type="spellEnd"/>
      <w:r w:rsidRPr="005C2070">
        <w:rPr>
          <w:rFonts w:ascii="Lato" w:hAnsi="Lato"/>
          <w:sz w:val="18"/>
          <w:szCs w:val="18"/>
        </w:rPr>
        <w:t xml:space="preserve"> UE </w:t>
      </w:r>
      <w:proofErr w:type="spellStart"/>
      <w:r w:rsidRPr="005C2070">
        <w:rPr>
          <w:rFonts w:ascii="Lato" w:hAnsi="Lato"/>
          <w:sz w:val="18"/>
          <w:szCs w:val="18"/>
        </w:rPr>
        <w:t>mogą</w:t>
      </w:r>
      <w:proofErr w:type="spellEnd"/>
      <w:r w:rsidRPr="005C2070">
        <w:rPr>
          <w:rFonts w:ascii="Lato" w:hAnsi="Lato"/>
          <w:sz w:val="18"/>
          <w:szCs w:val="18"/>
        </w:rPr>
        <w:t xml:space="preserve"> </w:t>
      </w:r>
      <w:proofErr w:type="spellStart"/>
      <w:r w:rsidRPr="005C2070">
        <w:rPr>
          <w:rFonts w:ascii="Lato" w:hAnsi="Lato"/>
          <w:sz w:val="18"/>
          <w:szCs w:val="18"/>
        </w:rPr>
        <w:t>ustalić</w:t>
      </w:r>
      <w:proofErr w:type="spellEnd"/>
      <w:r w:rsidRPr="005C2070">
        <w:rPr>
          <w:rFonts w:ascii="Lato" w:hAnsi="Lato"/>
          <w:sz w:val="18"/>
          <w:szCs w:val="18"/>
        </w:rPr>
        <w:t xml:space="preserve">, </w:t>
      </w:r>
      <w:proofErr w:type="spellStart"/>
      <w:r w:rsidRPr="005C2070">
        <w:rPr>
          <w:rFonts w:ascii="Lato" w:hAnsi="Lato"/>
          <w:sz w:val="18"/>
          <w:szCs w:val="18"/>
        </w:rPr>
        <w:t>czy</w:t>
      </w:r>
      <w:proofErr w:type="spellEnd"/>
      <w:r w:rsidRPr="005C2070">
        <w:rPr>
          <w:rFonts w:ascii="Lato" w:hAnsi="Lato"/>
          <w:sz w:val="18"/>
          <w:szCs w:val="18"/>
        </w:rPr>
        <w:t xml:space="preserve"> </w:t>
      </w:r>
      <w:proofErr w:type="spellStart"/>
      <w:r w:rsidRPr="005C2070">
        <w:rPr>
          <w:rFonts w:ascii="Lato" w:hAnsi="Lato"/>
          <w:sz w:val="18"/>
          <w:szCs w:val="18"/>
        </w:rPr>
        <w:t>osoba</w:t>
      </w:r>
      <w:proofErr w:type="spellEnd"/>
      <w:r w:rsidRPr="005C2070">
        <w:rPr>
          <w:rFonts w:ascii="Lato" w:hAnsi="Lato"/>
          <w:sz w:val="18"/>
          <w:szCs w:val="18"/>
        </w:rPr>
        <w:t xml:space="preserve"> </w:t>
      </w:r>
      <w:proofErr w:type="spellStart"/>
      <w:r w:rsidRPr="005C2070">
        <w:rPr>
          <w:rFonts w:ascii="Lato" w:hAnsi="Lato"/>
          <w:sz w:val="18"/>
          <w:szCs w:val="18"/>
        </w:rPr>
        <w:t>ubiegająca</w:t>
      </w:r>
      <w:proofErr w:type="spellEnd"/>
      <w:r w:rsidRPr="005C2070">
        <w:rPr>
          <w:rFonts w:ascii="Lato" w:hAnsi="Lato"/>
          <w:sz w:val="18"/>
          <w:szCs w:val="18"/>
        </w:rPr>
        <w:t xml:space="preserve"> </w:t>
      </w:r>
      <w:proofErr w:type="spellStart"/>
      <w:r w:rsidRPr="005C2070">
        <w:rPr>
          <w:rFonts w:ascii="Lato" w:hAnsi="Lato"/>
          <w:sz w:val="18"/>
          <w:szCs w:val="18"/>
        </w:rPr>
        <w:t>się</w:t>
      </w:r>
      <w:proofErr w:type="spellEnd"/>
      <w:r w:rsidRPr="005C2070">
        <w:rPr>
          <w:rFonts w:ascii="Lato" w:hAnsi="Lato"/>
          <w:sz w:val="18"/>
          <w:szCs w:val="18"/>
        </w:rPr>
        <w:t xml:space="preserve"> o </w:t>
      </w:r>
      <w:proofErr w:type="spellStart"/>
      <w:r w:rsidRPr="005C2070">
        <w:rPr>
          <w:rFonts w:ascii="Lato" w:hAnsi="Lato"/>
          <w:sz w:val="18"/>
          <w:szCs w:val="18"/>
        </w:rPr>
        <w:t>azyl</w:t>
      </w:r>
      <w:proofErr w:type="spellEnd"/>
      <w:r w:rsidRPr="005C2070">
        <w:rPr>
          <w:rFonts w:ascii="Lato" w:hAnsi="Lato"/>
          <w:sz w:val="18"/>
          <w:szCs w:val="18"/>
        </w:rPr>
        <w:t xml:space="preserve"> </w:t>
      </w:r>
      <w:proofErr w:type="spellStart"/>
      <w:r w:rsidRPr="005C2070">
        <w:rPr>
          <w:rFonts w:ascii="Lato" w:hAnsi="Lato"/>
          <w:sz w:val="18"/>
          <w:szCs w:val="18"/>
        </w:rPr>
        <w:t>lub</w:t>
      </w:r>
      <w:proofErr w:type="spellEnd"/>
      <w:r w:rsidRPr="005C2070">
        <w:rPr>
          <w:rFonts w:ascii="Lato" w:hAnsi="Lato"/>
          <w:sz w:val="18"/>
          <w:szCs w:val="18"/>
        </w:rPr>
        <w:t xml:space="preserve"> </w:t>
      </w:r>
      <w:proofErr w:type="spellStart"/>
      <w:r w:rsidRPr="005C2070">
        <w:rPr>
          <w:rFonts w:ascii="Lato" w:hAnsi="Lato"/>
          <w:sz w:val="18"/>
          <w:szCs w:val="18"/>
        </w:rPr>
        <w:t>cudzoziemiec</w:t>
      </w:r>
      <w:proofErr w:type="spellEnd"/>
      <w:r w:rsidRPr="005C2070">
        <w:rPr>
          <w:rFonts w:ascii="Lato" w:hAnsi="Lato"/>
          <w:sz w:val="18"/>
          <w:szCs w:val="18"/>
        </w:rPr>
        <w:t xml:space="preserve"> </w:t>
      </w:r>
      <w:proofErr w:type="spellStart"/>
      <w:r w:rsidRPr="005C2070">
        <w:rPr>
          <w:rFonts w:ascii="Lato" w:hAnsi="Lato"/>
          <w:sz w:val="18"/>
          <w:szCs w:val="18"/>
        </w:rPr>
        <w:t>nielegalnie</w:t>
      </w:r>
      <w:proofErr w:type="spellEnd"/>
      <w:r w:rsidRPr="005C2070">
        <w:rPr>
          <w:rFonts w:ascii="Lato" w:hAnsi="Lato"/>
          <w:sz w:val="18"/>
          <w:szCs w:val="18"/>
        </w:rPr>
        <w:t xml:space="preserve"> </w:t>
      </w:r>
      <w:proofErr w:type="spellStart"/>
      <w:r w:rsidRPr="005C2070">
        <w:rPr>
          <w:rFonts w:ascii="Lato" w:hAnsi="Lato"/>
          <w:sz w:val="18"/>
          <w:szCs w:val="18"/>
        </w:rPr>
        <w:t>przebywający</w:t>
      </w:r>
      <w:proofErr w:type="spellEnd"/>
      <w:r w:rsidRPr="005C2070">
        <w:rPr>
          <w:rFonts w:ascii="Lato" w:hAnsi="Lato"/>
          <w:sz w:val="18"/>
          <w:szCs w:val="18"/>
        </w:rPr>
        <w:t xml:space="preserve"> w </w:t>
      </w:r>
      <w:proofErr w:type="spellStart"/>
      <w:r w:rsidRPr="005C2070">
        <w:rPr>
          <w:rFonts w:ascii="Lato" w:hAnsi="Lato"/>
          <w:sz w:val="18"/>
          <w:szCs w:val="18"/>
        </w:rPr>
        <w:t>kraju</w:t>
      </w:r>
      <w:proofErr w:type="spellEnd"/>
      <w:r w:rsidRPr="005C2070">
        <w:rPr>
          <w:rFonts w:ascii="Lato" w:hAnsi="Lato"/>
          <w:sz w:val="18"/>
          <w:szCs w:val="18"/>
        </w:rPr>
        <w:t xml:space="preserve"> UE </w:t>
      </w:r>
      <w:proofErr w:type="spellStart"/>
      <w:r w:rsidRPr="005C2070">
        <w:rPr>
          <w:rFonts w:ascii="Lato" w:hAnsi="Lato"/>
          <w:sz w:val="18"/>
          <w:szCs w:val="18"/>
        </w:rPr>
        <w:t>ubiegał</w:t>
      </w:r>
      <w:proofErr w:type="spellEnd"/>
      <w:r w:rsidRPr="005C2070">
        <w:rPr>
          <w:rFonts w:ascii="Lato" w:hAnsi="Lato"/>
          <w:sz w:val="18"/>
          <w:szCs w:val="18"/>
        </w:rPr>
        <w:t xml:space="preserve"> </w:t>
      </w:r>
      <w:proofErr w:type="spellStart"/>
      <w:r w:rsidRPr="005C2070">
        <w:rPr>
          <w:rFonts w:ascii="Lato" w:hAnsi="Lato"/>
          <w:sz w:val="18"/>
          <w:szCs w:val="18"/>
        </w:rPr>
        <w:t>się</w:t>
      </w:r>
      <w:proofErr w:type="spellEnd"/>
      <w:r w:rsidRPr="005C2070">
        <w:rPr>
          <w:rFonts w:ascii="Lato" w:hAnsi="Lato"/>
          <w:sz w:val="18"/>
          <w:szCs w:val="18"/>
        </w:rPr>
        <w:t xml:space="preserve"> </w:t>
      </w:r>
      <w:proofErr w:type="spellStart"/>
      <w:r w:rsidRPr="005C2070">
        <w:rPr>
          <w:rFonts w:ascii="Lato" w:hAnsi="Lato"/>
          <w:sz w:val="18"/>
          <w:szCs w:val="18"/>
        </w:rPr>
        <w:t>wcześniej</w:t>
      </w:r>
      <w:proofErr w:type="spellEnd"/>
      <w:r w:rsidRPr="005C2070">
        <w:rPr>
          <w:rFonts w:ascii="Lato" w:hAnsi="Lato"/>
          <w:sz w:val="18"/>
          <w:szCs w:val="18"/>
        </w:rPr>
        <w:t xml:space="preserve"> o </w:t>
      </w:r>
      <w:proofErr w:type="spellStart"/>
      <w:r w:rsidRPr="005C2070">
        <w:rPr>
          <w:rFonts w:ascii="Lato" w:hAnsi="Lato"/>
          <w:sz w:val="18"/>
          <w:szCs w:val="18"/>
        </w:rPr>
        <w:t>azyl</w:t>
      </w:r>
      <w:proofErr w:type="spellEnd"/>
      <w:r w:rsidRPr="005C2070">
        <w:rPr>
          <w:rFonts w:ascii="Lato" w:hAnsi="Lato"/>
          <w:sz w:val="18"/>
          <w:szCs w:val="18"/>
        </w:rPr>
        <w:t xml:space="preserve"> w </w:t>
      </w:r>
      <w:proofErr w:type="spellStart"/>
      <w:r w:rsidRPr="005C2070">
        <w:rPr>
          <w:rFonts w:ascii="Lato" w:hAnsi="Lato"/>
          <w:sz w:val="18"/>
          <w:szCs w:val="18"/>
        </w:rPr>
        <w:t>innym</w:t>
      </w:r>
      <w:proofErr w:type="spellEnd"/>
      <w:r w:rsidRPr="005C2070">
        <w:rPr>
          <w:rFonts w:ascii="Lato" w:hAnsi="Lato"/>
          <w:sz w:val="18"/>
          <w:szCs w:val="18"/>
        </w:rPr>
        <w:t xml:space="preserve"> </w:t>
      </w:r>
      <w:proofErr w:type="spellStart"/>
      <w:r w:rsidRPr="005C2070">
        <w:rPr>
          <w:rFonts w:ascii="Lato" w:hAnsi="Lato"/>
          <w:sz w:val="18"/>
          <w:szCs w:val="18"/>
        </w:rPr>
        <w:t>kraju</w:t>
      </w:r>
      <w:proofErr w:type="spellEnd"/>
      <w:r w:rsidRPr="005C2070">
        <w:rPr>
          <w:rFonts w:ascii="Lato" w:hAnsi="Lato"/>
          <w:sz w:val="18"/>
          <w:szCs w:val="18"/>
        </w:rPr>
        <w:t xml:space="preserve"> UE </w:t>
      </w:r>
      <w:proofErr w:type="spellStart"/>
      <w:r w:rsidRPr="005C2070">
        <w:rPr>
          <w:rFonts w:ascii="Lato" w:hAnsi="Lato"/>
          <w:sz w:val="18"/>
          <w:szCs w:val="18"/>
        </w:rPr>
        <w:t>lub</w:t>
      </w:r>
      <w:proofErr w:type="spellEnd"/>
      <w:r w:rsidRPr="005C2070">
        <w:rPr>
          <w:rFonts w:ascii="Lato" w:hAnsi="Lato"/>
          <w:sz w:val="18"/>
          <w:szCs w:val="18"/>
        </w:rPr>
        <w:t xml:space="preserve"> </w:t>
      </w:r>
      <w:proofErr w:type="spellStart"/>
      <w:r w:rsidRPr="005C2070">
        <w:rPr>
          <w:rFonts w:ascii="Lato" w:hAnsi="Lato"/>
          <w:sz w:val="18"/>
          <w:szCs w:val="18"/>
        </w:rPr>
        <w:t>czy</w:t>
      </w:r>
      <w:proofErr w:type="spellEnd"/>
      <w:r w:rsidRPr="005C2070">
        <w:rPr>
          <w:rFonts w:ascii="Lato" w:hAnsi="Lato"/>
          <w:sz w:val="18"/>
          <w:szCs w:val="18"/>
        </w:rPr>
        <w:t xml:space="preserve"> </w:t>
      </w:r>
      <w:proofErr w:type="spellStart"/>
      <w:r w:rsidRPr="005C2070">
        <w:rPr>
          <w:rFonts w:ascii="Lato" w:hAnsi="Lato"/>
          <w:sz w:val="18"/>
          <w:szCs w:val="18"/>
        </w:rPr>
        <w:t>osoba</w:t>
      </w:r>
      <w:proofErr w:type="spellEnd"/>
      <w:r w:rsidRPr="005C2070">
        <w:rPr>
          <w:rFonts w:ascii="Lato" w:hAnsi="Lato"/>
          <w:sz w:val="18"/>
          <w:szCs w:val="18"/>
        </w:rPr>
        <w:t xml:space="preserve"> </w:t>
      </w:r>
      <w:proofErr w:type="spellStart"/>
      <w:r w:rsidRPr="005C2070">
        <w:rPr>
          <w:rFonts w:ascii="Lato" w:hAnsi="Lato"/>
          <w:sz w:val="18"/>
          <w:szCs w:val="18"/>
        </w:rPr>
        <w:t>ubiegająca</w:t>
      </w:r>
      <w:proofErr w:type="spellEnd"/>
      <w:r w:rsidRPr="005C2070">
        <w:rPr>
          <w:rFonts w:ascii="Lato" w:hAnsi="Lato"/>
          <w:sz w:val="18"/>
          <w:szCs w:val="18"/>
        </w:rPr>
        <w:t xml:space="preserve"> </w:t>
      </w:r>
      <w:proofErr w:type="spellStart"/>
      <w:r w:rsidRPr="005C2070">
        <w:rPr>
          <w:rFonts w:ascii="Lato" w:hAnsi="Lato"/>
          <w:sz w:val="18"/>
          <w:szCs w:val="18"/>
        </w:rPr>
        <w:t>się</w:t>
      </w:r>
      <w:proofErr w:type="spellEnd"/>
      <w:r w:rsidRPr="005C2070">
        <w:rPr>
          <w:rFonts w:ascii="Lato" w:hAnsi="Lato"/>
          <w:sz w:val="18"/>
          <w:szCs w:val="18"/>
        </w:rPr>
        <w:t xml:space="preserve"> o </w:t>
      </w:r>
      <w:proofErr w:type="spellStart"/>
      <w:r w:rsidRPr="005C2070">
        <w:rPr>
          <w:rFonts w:ascii="Lato" w:hAnsi="Lato"/>
          <w:sz w:val="18"/>
          <w:szCs w:val="18"/>
        </w:rPr>
        <w:t>azyl</w:t>
      </w:r>
      <w:proofErr w:type="spellEnd"/>
      <w:r w:rsidRPr="005C2070">
        <w:rPr>
          <w:rFonts w:ascii="Lato" w:hAnsi="Lato"/>
          <w:sz w:val="18"/>
          <w:szCs w:val="18"/>
        </w:rPr>
        <w:t xml:space="preserve"> </w:t>
      </w:r>
      <w:proofErr w:type="spellStart"/>
      <w:r w:rsidRPr="005C2070">
        <w:rPr>
          <w:rFonts w:ascii="Lato" w:hAnsi="Lato"/>
          <w:sz w:val="18"/>
          <w:szCs w:val="18"/>
        </w:rPr>
        <w:t>wjechała</w:t>
      </w:r>
      <w:proofErr w:type="spellEnd"/>
      <w:r w:rsidRPr="005C2070">
        <w:rPr>
          <w:rFonts w:ascii="Lato" w:hAnsi="Lato"/>
          <w:sz w:val="18"/>
          <w:szCs w:val="18"/>
        </w:rPr>
        <w:t xml:space="preserve"> </w:t>
      </w:r>
      <w:proofErr w:type="spellStart"/>
      <w:r w:rsidRPr="005C2070">
        <w:rPr>
          <w:rFonts w:ascii="Lato" w:hAnsi="Lato"/>
          <w:sz w:val="18"/>
          <w:szCs w:val="18"/>
        </w:rPr>
        <w:t>na</w:t>
      </w:r>
      <w:proofErr w:type="spellEnd"/>
      <w:r w:rsidRPr="005C2070">
        <w:rPr>
          <w:rFonts w:ascii="Lato" w:hAnsi="Lato"/>
          <w:sz w:val="18"/>
          <w:szCs w:val="18"/>
        </w:rPr>
        <w:t xml:space="preserve"> </w:t>
      </w:r>
      <w:proofErr w:type="spellStart"/>
      <w:r w:rsidRPr="005C2070">
        <w:rPr>
          <w:rFonts w:ascii="Lato" w:hAnsi="Lato"/>
          <w:sz w:val="18"/>
          <w:szCs w:val="18"/>
        </w:rPr>
        <w:t>terytorium</w:t>
      </w:r>
      <w:proofErr w:type="spellEnd"/>
      <w:r w:rsidRPr="005C2070">
        <w:rPr>
          <w:rFonts w:ascii="Lato" w:hAnsi="Lato"/>
          <w:sz w:val="18"/>
          <w:szCs w:val="18"/>
        </w:rPr>
        <w:t xml:space="preserve"> </w:t>
      </w:r>
      <w:proofErr w:type="spellStart"/>
      <w:r w:rsidRPr="005C2070">
        <w:rPr>
          <w:rFonts w:ascii="Lato" w:hAnsi="Lato"/>
          <w:sz w:val="18"/>
          <w:szCs w:val="18"/>
        </w:rPr>
        <w:t>Unii</w:t>
      </w:r>
      <w:proofErr w:type="spellEnd"/>
      <w:r w:rsidRPr="005C2070">
        <w:rPr>
          <w:rFonts w:ascii="Lato" w:hAnsi="Lato"/>
          <w:sz w:val="18"/>
          <w:szCs w:val="18"/>
        </w:rPr>
        <w:t xml:space="preserve"> </w:t>
      </w:r>
      <w:proofErr w:type="spellStart"/>
      <w:r w:rsidRPr="005C2070">
        <w:rPr>
          <w:rFonts w:ascii="Lato" w:hAnsi="Lato"/>
          <w:sz w:val="18"/>
          <w:szCs w:val="18"/>
        </w:rPr>
        <w:t>nielegalnie</w:t>
      </w:r>
      <w:proofErr w:type="spellEnd"/>
      <w:r w:rsidRPr="005C2070">
        <w:rPr>
          <w:rFonts w:ascii="Lato" w:hAnsi="Lato"/>
          <w:sz w:val="18"/>
          <w:szCs w:val="18"/>
        </w:rPr>
        <w:t>.</w:t>
      </w:r>
    </w:p>
  </w:footnote>
  <w:footnote w:id="5">
    <w:p w14:paraId="679193B9" w14:textId="30B8302D" w:rsidR="00046A9E" w:rsidRPr="005C2070" w:rsidRDefault="00046A9E">
      <w:pPr>
        <w:pStyle w:val="Tekstprzypisudolnego"/>
        <w:rPr>
          <w:rFonts w:ascii="Lato" w:hAnsi="Lato"/>
          <w:lang w:val="pl-PL"/>
        </w:rPr>
      </w:pPr>
      <w:r w:rsidRPr="005C2070">
        <w:rPr>
          <w:rStyle w:val="Odwoanieprzypisudolnego"/>
          <w:rFonts w:ascii="Lato" w:hAnsi="Lato"/>
          <w:sz w:val="18"/>
          <w:szCs w:val="18"/>
        </w:rPr>
        <w:footnoteRef/>
      </w:r>
      <w:r w:rsidRPr="005C2070">
        <w:rPr>
          <w:rFonts w:ascii="Lato" w:hAnsi="Lato"/>
          <w:sz w:val="18"/>
          <w:szCs w:val="18"/>
        </w:rPr>
        <w:t xml:space="preserve"> </w:t>
      </w:r>
      <w:proofErr w:type="spellStart"/>
      <w:r w:rsidRPr="005C2070">
        <w:rPr>
          <w:rFonts w:ascii="Lato" w:hAnsi="Lato"/>
          <w:sz w:val="18"/>
          <w:szCs w:val="18"/>
        </w:rPr>
        <w:t>Niniejszy</w:t>
      </w:r>
      <w:proofErr w:type="spellEnd"/>
      <w:r w:rsidRPr="005C2070">
        <w:rPr>
          <w:rFonts w:ascii="Lato" w:hAnsi="Lato"/>
          <w:sz w:val="18"/>
          <w:szCs w:val="18"/>
        </w:rPr>
        <w:t xml:space="preserve"> </w:t>
      </w:r>
      <w:proofErr w:type="spellStart"/>
      <w:r w:rsidRPr="005C2070">
        <w:rPr>
          <w:rFonts w:ascii="Lato" w:hAnsi="Lato"/>
          <w:sz w:val="18"/>
          <w:szCs w:val="18"/>
        </w:rPr>
        <w:t>wyrok</w:t>
      </w:r>
      <w:proofErr w:type="spellEnd"/>
      <w:r w:rsidRPr="005C2070">
        <w:rPr>
          <w:rFonts w:ascii="Lato" w:hAnsi="Lato"/>
          <w:sz w:val="18"/>
          <w:szCs w:val="18"/>
        </w:rPr>
        <w:t xml:space="preserve"> </w:t>
      </w:r>
      <w:proofErr w:type="spellStart"/>
      <w:r w:rsidRPr="005C2070">
        <w:rPr>
          <w:rFonts w:ascii="Lato" w:hAnsi="Lato"/>
          <w:sz w:val="18"/>
          <w:szCs w:val="18"/>
        </w:rPr>
        <w:t>stanie</w:t>
      </w:r>
      <w:proofErr w:type="spellEnd"/>
      <w:r w:rsidRPr="005C2070">
        <w:rPr>
          <w:rFonts w:ascii="Lato" w:hAnsi="Lato"/>
          <w:sz w:val="18"/>
          <w:szCs w:val="18"/>
        </w:rPr>
        <w:t xml:space="preserve"> </w:t>
      </w:r>
      <w:proofErr w:type="spellStart"/>
      <w:r w:rsidRPr="005C2070">
        <w:rPr>
          <w:rFonts w:ascii="Lato" w:hAnsi="Lato"/>
          <w:sz w:val="18"/>
          <w:szCs w:val="18"/>
        </w:rPr>
        <w:t>się</w:t>
      </w:r>
      <w:proofErr w:type="spellEnd"/>
      <w:r w:rsidRPr="005C2070">
        <w:rPr>
          <w:rFonts w:ascii="Lato" w:hAnsi="Lato"/>
          <w:sz w:val="18"/>
          <w:szCs w:val="18"/>
        </w:rPr>
        <w:t xml:space="preserve"> </w:t>
      </w:r>
      <w:proofErr w:type="spellStart"/>
      <w:r w:rsidRPr="005C2070">
        <w:rPr>
          <w:rFonts w:ascii="Lato" w:hAnsi="Lato"/>
          <w:sz w:val="18"/>
          <w:szCs w:val="18"/>
        </w:rPr>
        <w:t>prawomocny</w:t>
      </w:r>
      <w:proofErr w:type="spellEnd"/>
      <w:r w:rsidRPr="005C2070">
        <w:rPr>
          <w:rFonts w:ascii="Lato" w:hAnsi="Lato"/>
          <w:sz w:val="18"/>
          <w:szCs w:val="18"/>
        </w:rPr>
        <w:t xml:space="preserve"> w </w:t>
      </w:r>
      <w:proofErr w:type="spellStart"/>
      <w:r w:rsidRPr="005C2070">
        <w:rPr>
          <w:rFonts w:ascii="Lato" w:hAnsi="Lato"/>
          <w:sz w:val="18"/>
          <w:szCs w:val="18"/>
        </w:rPr>
        <w:t>okolicznościach</w:t>
      </w:r>
      <w:proofErr w:type="spellEnd"/>
      <w:r w:rsidRPr="005C2070">
        <w:rPr>
          <w:rFonts w:ascii="Lato" w:hAnsi="Lato"/>
          <w:sz w:val="18"/>
          <w:szCs w:val="18"/>
        </w:rPr>
        <w:t xml:space="preserve"> </w:t>
      </w:r>
      <w:proofErr w:type="spellStart"/>
      <w:r w:rsidRPr="005C2070">
        <w:rPr>
          <w:rFonts w:ascii="Lato" w:hAnsi="Lato"/>
          <w:sz w:val="18"/>
          <w:szCs w:val="18"/>
        </w:rPr>
        <w:t>określonych</w:t>
      </w:r>
      <w:proofErr w:type="spellEnd"/>
      <w:r w:rsidRPr="005C2070">
        <w:rPr>
          <w:rFonts w:ascii="Lato" w:hAnsi="Lato"/>
          <w:sz w:val="18"/>
          <w:szCs w:val="18"/>
        </w:rPr>
        <w:t xml:space="preserve"> w art. 44 § 2 (</w:t>
      </w:r>
      <w:proofErr w:type="spellStart"/>
      <w:r w:rsidRPr="005C2070">
        <w:rPr>
          <w:rFonts w:ascii="Lato" w:hAnsi="Lato"/>
          <w:sz w:val="18"/>
          <w:szCs w:val="18"/>
        </w:rPr>
        <w:t>prawomocne</w:t>
      </w:r>
      <w:proofErr w:type="spellEnd"/>
      <w:r w:rsidRPr="005C2070">
        <w:rPr>
          <w:rFonts w:ascii="Lato" w:hAnsi="Lato"/>
          <w:sz w:val="18"/>
          <w:szCs w:val="18"/>
        </w:rPr>
        <w:t xml:space="preserve"> </w:t>
      </w:r>
      <w:proofErr w:type="spellStart"/>
      <w:r w:rsidRPr="005C2070">
        <w:rPr>
          <w:rFonts w:ascii="Lato" w:hAnsi="Lato"/>
          <w:sz w:val="18"/>
          <w:szCs w:val="18"/>
        </w:rPr>
        <w:t>wyroki</w:t>
      </w:r>
      <w:proofErr w:type="spellEnd"/>
      <w:r w:rsidRPr="005C2070">
        <w:rPr>
          <w:rFonts w:ascii="Lato" w:hAnsi="Lato"/>
          <w:sz w:val="18"/>
          <w:szCs w:val="18"/>
        </w:rPr>
        <w:t xml:space="preserve">) </w:t>
      </w:r>
      <w:proofErr w:type="spellStart"/>
      <w:r w:rsidRPr="005C2070">
        <w:rPr>
          <w:rFonts w:ascii="Lato" w:hAnsi="Lato"/>
          <w:sz w:val="18"/>
          <w:szCs w:val="18"/>
        </w:rPr>
        <w:t>Europejskiej</w:t>
      </w:r>
      <w:proofErr w:type="spellEnd"/>
      <w:r w:rsidRPr="005C2070">
        <w:rPr>
          <w:rFonts w:ascii="Lato" w:hAnsi="Lato"/>
          <w:sz w:val="18"/>
          <w:szCs w:val="18"/>
        </w:rPr>
        <w:t xml:space="preserve"> </w:t>
      </w:r>
      <w:proofErr w:type="spellStart"/>
      <w:r w:rsidRPr="005C2070">
        <w:rPr>
          <w:rFonts w:ascii="Lato" w:hAnsi="Lato"/>
          <w:sz w:val="18"/>
          <w:szCs w:val="18"/>
        </w:rPr>
        <w:t>Konwencji</w:t>
      </w:r>
      <w:proofErr w:type="spellEnd"/>
      <w:r w:rsidRPr="005C2070">
        <w:rPr>
          <w:rFonts w:ascii="Lato" w:hAnsi="Lato"/>
          <w:sz w:val="18"/>
          <w:szCs w:val="18"/>
        </w:rPr>
        <w:t xml:space="preserve"> </w:t>
      </w:r>
      <w:proofErr w:type="spellStart"/>
      <w:r w:rsidRPr="005C2070">
        <w:rPr>
          <w:rFonts w:ascii="Lato" w:hAnsi="Lato"/>
          <w:sz w:val="18"/>
          <w:szCs w:val="18"/>
        </w:rPr>
        <w:t>Praw</w:t>
      </w:r>
      <w:proofErr w:type="spellEnd"/>
      <w:r w:rsidRPr="005C2070">
        <w:rPr>
          <w:rFonts w:ascii="Lato" w:hAnsi="Lato"/>
          <w:sz w:val="18"/>
          <w:szCs w:val="18"/>
        </w:rPr>
        <w:t xml:space="preserve"> </w:t>
      </w:r>
      <w:proofErr w:type="spellStart"/>
      <w:r w:rsidRPr="005C2070">
        <w:rPr>
          <w:rFonts w:ascii="Lato" w:hAnsi="Lato"/>
          <w:sz w:val="18"/>
          <w:szCs w:val="18"/>
        </w:rPr>
        <w:t>Człowieka</w:t>
      </w:r>
      <w:proofErr w:type="spellEnd"/>
      <w:r w:rsidRPr="005C2070">
        <w:rPr>
          <w:rFonts w:ascii="Lato" w:hAnsi="Lato"/>
          <w:sz w:val="18"/>
          <w:szCs w:val="18"/>
        </w:rPr>
        <w:t>.</w:t>
      </w:r>
    </w:p>
  </w:footnote>
  <w:footnote w:id="6">
    <w:p w14:paraId="7440CABC" w14:textId="28E4EE03" w:rsidR="00FD2388" w:rsidRPr="00FD2388" w:rsidRDefault="00FD2388">
      <w:pPr>
        <w:pStyle w:val="Tekstprzypisudolnego"/>
        <w:rPr>
          <w:lang w:val="pl-PL"/>
        </w:rPr>
      </w:pPr>
      <w:r>
        <w:rPr>
          <w:rStyle w:val="Odwoanieprzypisudolnego"/>
        </w:rPr>
        <w:footnoteRef/>
      </w:r>
      <w:r>
        <w:t xml:space="preserve"> </w:t>
      </w:r>
      <w:proofErr w:type="spellStart"/>
      <w:r w:rsidRPr="00FD2388">
        <w:t>Rząd</w:t>
      </w:r>
      <w:proofErr w:type="spellEnd"/>
      <w:r w:rsidRPr="00FD2388">
        <w:t xml:space="preserve"> </w:t>
      </w:r>
      <w:proofErr w:type="spellStart"/>
      <w:r w:rsidRPr="00FD2388">
        <w:t>irlandzki</w:t>
      </w:r>
      <w:proofErr w:type="spellEnd"/>
      <w:r w:rsidRPr="00FD2388">
        <w:t xml:space="preserve"> </w:t>
      </w:r>
      <w:proofErr w:type="spellStart"/>
      <w:r w:rsidRPr="00FD2388">
        <w:t>tymczasowo</w:t>
      </w:r>
      <w:proofErr w:type="spellEnd"/>
      <w:r w:rsidRPr="00FD2388">
        <w:t xml:space="preserve"> </w:t>
      </w:r>
      <w:proofErr w:type="spellStart"/>
      <w:r w:rsidRPr="00FD2388">
        <w:t>zakazał</w:t>
      </w:r>
      <w:proofErr w:type="spellEnd"/>
      <w:r w:rsidRPr="00FD2388">
        <w:t xml:space="preserve"> </w:t>
      </w:r>
      <w:proofErr w:type="spellStart"/>
      <w:r w:rsidRPr="00FD2388">
        <w:t>połowów</w:t>
      </w:r>
      <w:proofErr w:type="spellEnd"/>
      <w:r w:rsidRPr="00FD2388">
        <w:t xml:space="preserve"> </w:t>
      </w:r>
      <w:proofErr w:type="spellStart"/>
      <w:r w:rsidRPr="00FD2388">
        <w:t>omułków</w:t>
      </w:r>
      <w:proofErr w:type="spellEnd"/>
      <w:r w:rsidRPr="00FD2388">
        <w:t xml:space="preserve"> w 2008 </w:t>
      </w:r>
      <w:proofErr w:type="spellStart"/>
      <w:r w:rsidRPr="00FD2388">
        <w:t>roku</w:t>
      </w:r>
      <w:proofErr w:type="spellEnd"/>
      <w:r w:rsidRPr="00FD2388">
        <w:t xml:space="preserve"> w </w:t>
      </w:r>
      <w:proofErr w:type="spellStart"/>
      <w:r w:rsidRPr="00FD2388">
        <w:t>porcie</w:t>
      </w:r>
      <w:proofErr w:type="spellEnd"/>
      <w:r w:rsidRPr="00FD2388">
        <w:t xml:space="preserve">, w </w:t>
      </w:r>
      <w:proofErr w:type="spellStart"/>
      <w:r w:rsidRPr="00FD2388">
        <w:t>którym</w:t>
      </w:r>
      <w:proofErr w:type="spellEnd"/>
      <w:r w:rsidRPr="00FD2388">
        <w:t xml:space="preserve"> </w:t>
      </w:r>
      <w:proofErr w:type="spellStart"/>
      <w:r w:rsidRPr="00FD2388">
        <w:t>firma</w:t>
      </w:r>
      <w:proofErr w:type="spellEnd"/>
      <w:r w:rsidRPr="00FD2388">
        <w:t xml:space="preserve"> </w:t>
      </w:r>
      <w:proofErr w:type="spellStart"/>
      <w:r w:rsidRPr="00FD2388">
        <w:t>prowadziła</w:t>
      </w:r>
      <w:proofErr w:type="spellEnd"/>
      <w:r w:rsidRPr="00FD2388">
        <w:t xml:space="preserve"> </w:t>
      </w:r>
      <w:proofErr w:type="spellStart"/>
      <w:r w:rsidRPr="00FD2388">
        <w:t>działalność</w:t>
      </w:r>
      <w:proofErr w:type="spellEnd"/>
      <w:r w:rsidRPr="00FD2388">
        <w:t xml:space="preserve">, po </w:t>
      </w:r>
      <w:proofErr w:type="spellStart"/>
      <w:r w:rsidRPr="00FD2388">
        <w:t>tym</w:t>
      </w:r>
      <w:proofErr w:type="spellEnd"/>
      <w:r w:rsidRPr="00FD2388">
        <w:t xml:space="preserve"> jak </w:t>
      </w:r>
      <w:proofErr w:type="spellStart"/>
      <w:r w:rsidRPr="00FD2388">
        <w:t>Trybunał</w:t>
      </w:r>
      <w:proofErr w:type="spellEnd"/>
      <w:r w:rsidRPr="00FD2388">
        <w:t xml:space="preserve"> </w:t>
      </w:r>
      <w:proofErr w:type="spellStart"/>
      <w:r w:rsidRPr="00FD2388">
        <w:t>Sprawiedliwości</w:t>
      </w:r>
      <w:proofErr w:type="spellEnd"/>
      <w:r w:rsidRPr="00FD2388">
        <w:t xml:space="preserve"> </w:t>
      </w:r>
      <w:proofErr w:type="spellStart"/>
      <w:r w:rsidRPr="00FD2388">
        <w:t>Unii</w:t>
      </w:r>
      <w:proofErr w:type="spellEnd"/>
      <w:r w:rsidRPr="00FD2388">
        <w:t xml:space="preserve"> </w:t>
      </w:r>
      <w:proofErr w:type="spellStart"/>
      <w:r w:rsidRPr="00FD2388">
        <w:t>Europejskiej</w:t>
      </w:r>
      <w:proofErr w:type="spellEnd"/>
      <w:r w:rsidRPr="00FD2388">
        <w:t xml:space="preserve"> </w:t>
      </w:r>
      <w:proofErr w:type="spellStart"/>
      <w:r w:rsidRPr="00FD2388">
        <w:t>stwierdził</w:t>
      </w:r>
      <w:proofErr w:type="spellEnd"/>
      <w:r w:rsidRPr="00FD2388">
        <w:t xml:space="preserve">, </w:t>
      </w:r>
      <w:proofErr w:type="spellStart"/>
      <w:r w:rsidRPr="00FD2388">
        <w:t>że</w:t>
      </w:r>
      <w:proofErr w:type="spellEnd"/>
      <w:r w:rsidRPr="00FD2388">
        <w:t xml:space="preserve"> </w:t>
      </w:r>
      <w:proofErr w:type="spellStart"/>
      <w:r w:rsidRPr="00FD2388">
        <w:t>Irlandia</w:t>
      </w:r>
      <w:proofErr w:type="spellEnd"/>
      <w:r w:rsidRPr="00FD2388">
        <w:t xml:space="preserve"> </w:t>
      </w:r>
      <w:proofErr w:type="spellStart"/>
      <w:r w:rsidRPr="00FD2388">
        <w:t>nie</w:t>
      </w:r>
      <w:proofErr w:type="spellEnd"/>
      <w:r w:rsidRPr="00FD2388">
        <w:t xml:space="preserve"> </w:t>
      </w:r>
      <w:proofErr w:type="spellStart"/>
      <w:r w:rsidRPr="00FD2388">
        <w:t>wypełniła</w:t>
      </w:r>
      <w:proofErr w:type="spellEnd"/>
      <w:r w:rsidRPr="00FD2388">
        <w:t xml:space="preserve"> </w:t>
      </w:r>
      <w:proofErr w:type="spellStart"/>
      <w:r w:rsidRPr="00FD2388">
        <w:t>swoich</w:t>
      </w:r>
      <w:proofErr w:type="spellEnd"/>
      <w:r w:rsidRPr="00FD2388">
        <w:t xml:space="preserve"> </w:t>
      </w:r>
      <w:proofErr w:type="spellStart"/>
      <w:r w:rsidRPr="00FD2388">
        <w:t>zobowiązań</w:t>
      </w:r>
      <w:proofErr w:type="spellEnd"/>
      <w:r w:rsidRPr="00FD2388">
        <w:t xml:space="preserve"> </w:t>
      </w:r>
      <w:proofErr w:type="spellStart"/>
      <w:r w:rsidRPr="00FD2388">
        <w:t>wynikających</w:t>
      </w:r>
      <w:proofErr w:type="spellEnd"/>
      <w:r w:rsidRPr="00FD2388">
        <w:t xml:space="preserve"> z </w:t>
      </w:r>
      <w:proofErr w:type="spellStart"/>
      <w:r w:rsidRPr="00FD2388">
        <w:t>dwóch</w:t>
      </w:r>
      <w:proofErr w:type="spellEnd"/>
      <w:r w:rsidRPr="00FD2388">
        <w:t xml:space="preserve"> </w:t>
      </w:r>
      <w:proofErr w:type="spellStart"/>
      <w:r w:rsidRPr="00FD2388">
        <w:t>dyrektyw</w:t>
      </w:r>
      <w:proofErr w:type="spellEnd"/>
      <w:r w:rsidRPr="00FD2388">
        <w:t xml:space="preserve"> </w:t>
      </w:r>
      <w:proofErr w:type="spellStart"/>
      <w:r w:rsidRPr="00FD2388">
        <w:t>środowiskowych</w:t>
      </w:r>
      <w:proofErr w:type="spellEnd"/>
      <w:r w:rsidRPr="00FD2388">
        <w:t xml:space="preserve"> UE. </w:t>
      </w:r>
      <w:proofErr w:type="spellStart"/>
      <w:r w:rsidRPr="00FD2388">
        <w:t>Firma</w:t>
      </w:r>
      <w:proofErr w:type="spellEnd"/>
      <w:r w:rsidRPr="00FD2388">
        <w:t xml:space="preserve"> </w:t>
      </w:r>
      <w:proofErr w:type="spellStart"/>
      <w:r w:rsidRPr="00FD2388">
        <w:t>nie</w:t>
      </w:r>
      <w:proofErr w:type="spellEnd"/>
      <w:r w:rsidRPr="00FD2388">
        <w:t xml:space="preserve"> </w:t>
      </w:r>
      <w:proofErr w:type="spellStart"/>
      <w:r w:rsidRPr="00FD2388">
        <w:t>miała</w:t>
      </w:r>
      <w:proofErr w:type="spellEnd"/>
      <w:r w:rsidRPr="00FD2388">
        <w:t xml:space="preserve"> </w:t>
      </w:r>
      <w:proofErr w:type="spellStart"/>
      <w:r w:rsidRPr="00FD2388">
        <w:t>więc</w:t>
      </w:r>
      <w:proofErr w:type="spellEnd"/>
      <w:r w:rsidRPr="00FD2388">
        <w:t xml:space="preserve"> </w:t>
      </w:r>
      <w:proofErr w:type="spellStart"/>
      <w:r w:rsidRPr="00FD2388">
        <w:t>dojrzałych</w:t>
      </w:r>
      <w:proofErr w:type="spellEnd"/>
      <w:r w:rsidRPr="00FD2388">
        <w:t xml:space="preserve"> </w:t>
      </w:r>
      <w:proofErr w:type="spellStart"/>
      <w:r w:rsidRPr="00FD2388">
        <w:t>omułków</w:t>
      </w:r>
      <w:proofErr w:type="spellEnd"/>
      <w:r w:rsidRPr="00FD2388">
        <w:t xml:space="preserve"> do </w:t>
      </w:r>
      <w:proofErr w:type="spellStart"/>
      <w:r w:rsidRPr="00FD2388">
        <w:t>sprzedania</w:t>
      </w:r>
      <w:proofErr w:type="spellEnd"/>
      <w:r w:rsidRPr="00FD2388">
        <w:t xml:space="preserve"> w 2010 </w:t>
      </w:r>
      <w:proofErr w:type="spellStart"/>
      <w:r w:rsidRPr="00FD2388">
        <w:t>roku</w:t>
      </w:r>
      <w:proofErr w:type="spellEnd"/>
      <w:r w:rsidRPr="00FD2388">
        <w:t xml:space="preserve">, co </w:t>
      </w:r>
      <w:proofErr w:type="spellStart"/>
      <w:r w:rsidRPr="00FD2388">
        <w:t>spowodowało</w:t>
      </w:r>
      <w:proofErr w:type="spellEnd"/>
      <w:r w:rsidRPr="00FD2388">
        <w:t xml:space="preserve"> </w:t>
      </w:r>
      <w:proofErr w:type="spellStart"/>
      <w:r w:rsidRPr="00FD2388">
        <w:t>utratę</w:t>
      </w:r>
      <w:proofErr w:type="spellEnd"/>
      <w:r w:rsidRPr="00FD2388">
        <w:t xml:space="preserve"> </w:t>
      </w:r>
      <w:proofErr w:type="spellStart"/>
      <w:r w:rsidRPr="00FD2388">
        <w:t>zysków</w:t>
      </w:r>
      <w:proofErr w:type="spellEnd"/>
      <w:r w:rsidRPr="00FD2388">
        <w:t>.</w:t>
      </w:r>
    </w:p>
  </w:footnote>
  <w:footnote w:id="7">
    <w:p w14:paraId="070C24A3" w14:textId="17310E61" w:rsidR="005C2070" w:rsidRPr="005C2070" w:rsidRDefault="005C2070">
      <w:pPr>
        <w:pStyle w:val="Tekstprzypisudolnego"/>
        <w:rPr>
          <w:rFonts w:ascii="Lato" w:hAnsi="Lato"/>
          <w:lang w:val="pl-PL"/>
        </w:rPr>
      </w:pPr>
      <w:r w:rsidRPr="005C2070">
        <w:rPr>
          <w:rStyle w:val="Odwoanieprzypisudolnego"/>
          <w:rFonts w:ascii="Lato" w:hAnsi="Lato"/>
          <w:sz w:val="18"/>
          <w:szCs w:val="18"/>
        </w:rPr>
        <w:footnoteRef/>
      </w:r>
      <w:r w:rsidRPr="005C2070">
        <w:rPr>
          <w:rFonts w:ascii="Lato" w:hAnsi="Lato"/>
          <w:sz w:val="18"/>
          <w:szCs w:val="18"/>
        </w:rPr>
        <w:t xml:space="preserve"> </w:t>
      </w:r>
      <w:proofErr w:type="spellStart"/>
      <w:r w:rsidRPr="005C2070">
        <w:rPr>
          <w:rFonts w:ascii="Lato" w:hAnsi="Lato"/>
          <w:sz w:val="18"/>
          <w:szCs w:val="18"/>
        </w:rPr>
        <w:t>Wyrok</w:t>
      </w:r>
      <w:proofErr w:type="spellEnd"/>
      <w:r w:rsidRPr="005C2070">
        <w:rPr>
          <w:rFonts w:ascii="Lato" w:hAnsi="Lato"/>
          <w:sz w:val="18"/>
          <w:szCs w:val="18"/>
        </w:rPr>
        <w:t xml:space="preserve"> ten </w:t>
      </w:r>
      <w:proofErr w:type="spellStart"/>
      <w:r w:rsidRPr="005C2070">
        <w:rPr>
          <w:rFonts w:ascii="Lato" w:hAnsi="Lato"/>
          <w:sz w:val="18"/>
          <w:szCs w:val="18"/>
        </w:rPr>
        <w:t>stanie</w:t>
      </w:r>
      <w:proofErr w:type="spellEnd"/>
      <w:r w:rsidRPr="005C2070">
        <w:rPr>
          <w:rFonts w:ascii="Lato" w:hAnsi="Lato"/>
          <w:sz w:val="18"/>
          <w:szCs w:val="18"/>
        </w:rPr>
        <w:t xml:space="preserve"> </w:t>
      </w:r>
      <w:proofErr w:type="spellStart"/>
      <w:r w:rsidRPr="005C2070">
        <w:rPr>
          <w:rFonts w:ascii="Lato" w:hAnsi="Lato"/>
          <w:sz w:val="18"/>
          <w:szCs w:val="18"/>
        </w:rPr>
        <w:t>się</w:t>
      </w:r>
      <w:proofErr w:type="spellEnd"/>
      <w:r w:rsidRPr="005C2070">
        <w:rPr>
          <w:rFonts w:ascii="Lato" w:hAnsi="Lato"/>
          <w:sz w:val="18"/>
          <w:szCs w:val="18"/>
        </w:rPr>
        <w:t xml:space="preserve"> </w:t>
      </w:r>
      <w:proofErr w:type="spellStart"/>
      <w:r w:rsidRPr="005C2070">
        <w:rPr>
          <w:rFonts w:ascii="Lato" w:hAnsi="Lato"/>
          <w:sz w:val="18"/>
          <w:szCs w:val="18"/>
        </w:rPr>
        <w:t>ostateczny</w:t>
      </w:r>
      <w:proofErr w:type="spellEnd"/>
      <w:r w:rsidRPr="005C2070">
        <w:rPr>
          <w:rFonts w:ascii="Lato" w:hAnsi="Lato"/>
          <w:sz w:val="18"/>
          <w:szCs w:val="18"/>
        </w:rPr>
        <w:t xml:space="preserve"> w </w:t>
      </w:r>
      <w:proofErr w:type="spellStart"/>
      <w:r w:rsidRPr="005C2070">
        <w:rPr>
          <w:rFonts w:ascii="Lato" w:hAnsi="Lato"/>
          <w:sz w:val="18"/>
          <w:szCs w:val="18"/>
        </w:rPr>
        <w:t>okolicznościach</w:t>
      </w:r>
      <w:proofErr w:type="spellEnd"/>
      <w:r w:rsidRPr="005C2070">
        <w:rPr>
          <w:rFonts w:ascii="Lato" w:hAnsi="Lato"/>
          <w:sz w:val="18"/>
          <w:szCs w:val="18"/>
        </w:rPr>
        <w:t xml:space="preserve"> </w:t>
      </w:r>
      <w:proofErr w:type="spellStart"/>
      <w:r w:rsidRPr="005C2070">
        <w:rPr>
          <w:rFonts w:ascii="Lato" w:hAnsi="Lato"/>
          <w:sz w:val="18"/>
          <w:szCs w:val="18"/>
        </w:rPr>
        <w:t>określonych</w:t>
      </w:r>
      <w:proofErr w:type="spellEnd"/>
      <w:r w:rsidRPr="005C2070">
        <w:rPr>
          <w:rFonts w:ascii="Lato" w:hAnsi="Lato"/>
          <w:sz w:val="18"/>
          <w:szCs w:val="18"/>
        </w:rPr>
        <w:t xml:space="preserve"> w art. 44 § 2 </w:t>
      </w:r>
      <w:proofErr w:type="spellStart"/>
      <w:r w:rsidRPr="005C2070">
        <w:rPr>
          <w:rFonts w:ascii="Lato" w:hAnsi="Lato"/>
          <w:sz w:val="18"/>
          <w:szCs w:val="18"/>
        </w:rPr>
        <w:t>Konwencji</w:t>
      </w:r>
      <w:proofErr w:type="spellEnd"/>
      <w:r w:rsidRPr="005C2070">
        <w:rPr>
          <w:rFonts w:ascii="Lato" w:hAnsi="Lato"/>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577AD" w14:textId="77777777" w:rsidR="00E87946" w:rsidRDefault="00E87946" w:rsidP="00762D8E">
    <w:pPr>
      <w:spacing w:line="0" w:lineRule="atLeast"/>
      <w:ind w:right="851"/>
      <w:rPr>
        <w:rFonts w:ascii="Verdana" w:eastAsia="Verdana" w:hAnsi="Verdana"/>
        <w:sz w:val="18"/>
        <w:lang w:val="pl-PL"/>
      </w:rPr>
    </w:pPr>
  </w:p>
  <w:p w14:paraId="156CD735" w14:textId="7EE6F915" w:rsidR="00762D8E" w:rsidRDefault="00762D8E" w:rsidP="00E87946">
    <w:pPr>
      <w:spacing w:line="0" w:lineRule="atLeast"/>
      <w:ind w:right="851"/>
    </w:pPr>
    <w:r w:rsidRPr="00886221">
      <w:rPr>
        <w:rFonts w:ascii="Verdana" w:eastAsia="Verdana" w:hAnsi="Verdana"/>
        <w:sz w:val="18"/>
        <w:lang w:val="pl-PL"/>
      </w:rPr>
      <w:t>Zestawienie</w:t>
    </w:r>
    <w:r w:rsidR="003F4C30">
      <w:rPr>
        <w:rFonts w:ascii="Verdana" w:eastAsia="Verdana" w:hAnsi="Verdana"/>
        <w:sz w:val="18"/>
        <w:lang w:val="pl-PL"/>
      </w:rPr>
      <w:t xml:space="preserve"> </w:t>
    </w:r>
    <w:r w:rsidR="003F4C30" w:rsidRPr="003F4C30">
      <w:rPr>
        <w:rFonts w:ascii="Verdana" w:eastAsia="Verdana" w:hAnsi="Verdana"/>
        <w:sz w:val="18"/>
        <w:lang w:val="pl-PL"/>
      </w:rPr>
      <w:t>– Orzecznictwo dotyczące UE</w:t>
    </w:r>
    <w:r w:rsidR="00667B8B">
      <w:rPr>
        <w:noProof/>
        <w:lang w:val="pl-PL" w:eastAsia="pl-PL"/>
      </w:rPr>
      <mc:AlternateContent>
        <mc:Choice Requires="wps">
          <w:drawing>
            <wp:anchor distT="0" distB="0" distL="114300" distR="114300" simplePos="0" relativeHeight="251656704" behindDoc="0" locked="0" layoutInCell="1" allowOverlap="1" wp14:anchorId="394F2001" wp14:editId="4165AF35">
              <wp:simplePos x="0" y="0"/>
              <wp:positionH relativeFrom="column">
                <wp:posOffset>-334010</wp:posOffset>
              </wp:positionH>
              <wp:positionV relativeFrom="paragraph">
                <wp:posOffset>157480</wp:posOffset>
              </wp:positionV>
              <wp:extent cx="6448425" cy="0"/>
              <wp:effectExtent l="9525" t="6985" r="9525" b="120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5C05EF" id="_x0000_t32" coordsize="21600,21600" o:spt="32" o:oned="t" path="m,l21600,21600e" filled="f">
              <v:path arrowok="t" fillok="f" o:connecttype="none"/>
              <o:lock v:ext="edit" shapetype="t"/>
            </v:shapetype>
            <v:shape id="AutoShape 1" o:spid="_x0000_s1026" type="#_x0000_t32" style="position:absolute;margin-left:-26.3pt;margin-top:12.4pt;width:507.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RogygEAAHwDAAAOAAAAZHJzL2Uyb0RvYy54bWysU01v2zAMvQ/YfxB0X5wEadEZcYohXXfp&#10;tgDtfgAjybYwWRQoJU7+/Sjlo+t2G+aDIIp8j+J78vL+MDixNxQt+kbOJlMpjFeore8a+ePl8cOd&#10;FDGB1+DQm0YeTZT3q/fvlmOozRx7dNqQYBIf6zE0sk8p1FUVVW8GiBMMxnOyRRogcUhdpQlGZh9c&#10;NZ9Ob6sRSQdCZWLk04dTUq4Kf9salb63bTRJuEby3VJZqazbvFarJdQdQeitOl8D/uEWA1jPTa9U&#10;D5BA7Mj+RTVYRRixTROFQ4Vta5UpM/A0s+kf0zz3EEyZhcWJ4SpT/H+06tt+Q8Jq9k4KDwNb9GmX&#10;sHQWsyzPGGLNVWu/oTygOvjn8ITqZxQe1z34zpTil2NgbEFUbyA5iIGbbMevqLkGmL9odWhpyJSs&#10;gjgUS45XS8whCcWHt4vF3WJ+I4W65CqoL8BAMX0xOIi8aWRMBLbr0xq9Z+ORZqUN7J9i4kEYeAHk&#10;rh4frXPFf+fF2MiPN9wnZyI6q3OyBNRt147EHvILKl9WhcnelBHuvC5kvQH9+bxPYN1pz/XOM+yi&#10;xknXLerjhjJdPmeLC/H5OeY39Htcql5/mtUvAAAA//8DAFBLAwQUAAYACAAAACEANVu5/t0AAAAJ&#10;AQAADwAAAGRycy9kb3ducmV2LnhtbEyPwU7DMAyG70i8Q2QkLmhLF7GKdk2nCYkDR7ZJXLPGtB2N&#10;UzXpWvb0GHGAo+1Pv7+/2M6uExccQutJw2qZgECqvG2p1nA8vCyeQIRoyJrOE2r4wgDb8vamMLn1&#10;E73hZR9rwSEUcqOhibHPpQxVg86Epe+R+PbhB2cij0Mt7WAmDnedVEmSSmda4g+N6fG5wepzPzoN&#10;GMb1Ktllrj6+XqeHd3U9T/1B6/u7ebcBEXGOfzD86LM6lOx08iPZIDoNi7VKGdWgHrkCA1mqMhCn&#10;34UsC/m/QfkNAAD//wMAUEsBAi0AFAAGAAgAAAAhALaDOJL+AAAA4QEAABMAAAAAAAAAAAAAAAAA&#10;AAAAAFtDb250ZW50X1R5cGVzXS54bWxQSwECLQAUAAYACAAAACEAOP0h/9YAAACUAQAACwAAAAAA&#10;AAAAAAAAAAAvAQAAX3JlbHMvLnJlbHNQSwECLQAUAAYACAAAACEAkUEaIMoBAAB8AwAADgAAAAAA&#10;AAAAAAAAAAAuAgAAZHJzL2Uyb0RvYy54bWxQSwECLQAUAAYACAAAACEANVu5/t0AAAAJAQAADwAA&#10;AAAAAAAAAAAAAAAkBAAAZHJzL2Rvd25yZXYueG1sUEsFBgAAAAAEAAQA8wAAAC4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7AC13" w14:textId="7DBC3A60" w:rsidR="00E87946" w:rsidRDefault="00667B8B">
    <w:pPr>
      <w:pStyle w:val="Nagwek"/>
    </w:pPr>
    <w:r>
      <w:rPr>
        <w:noProof/>
      </w:rPr>
      <w:drawing>
        <wp:anchor distT="0" distB="0" distL="114300" distR="114300" simplePos="0" relativeHeight="251657728" behindDoc="0" locked="0" layoutInCell="1" allowOverlap="1" wp14:anchorId="2B8B945D" wp14:editId="2A6848C3">
          <wp:simplePos x="0" y="0"/>
          <wp:positionH relativeFrom="page">
            <wp:posOffset>549275</wp:posOffset>
          </wp:positionH>
          <wp:positionV relativeFrom="paragraph">
            <wp:posOffset>84455</wp:posOffset>
          </wp:positionV>
          <wp:extent cx="2391410" cy="885190"/>
          <wp:effectExtent l="0" t="0" r="0" b="0"/>
          <wp:wrapNone/>
          <wp:docPr id="2" name="3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1410" cy="8851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14:anchorId="24C790FF" wp14:editId="47E6FFAF">
          <wp:simplePos x="0" y="0"/>
          <wp:positionH relativeFrom="page">
            <wp:posOffset>5836285</wp:posOffset>
          </wp:positionH>
          <wp:positionV relativeFrom="page">
            <wp:posOffset>616585</wp:posOffset>
          </wp:positionV>
          <wp:extent cx="1410970" cy="368300"/>
          <wp:effectExtent l="0" t="0" r="0" b="0"/>
          <wp:wrapNone/>
          <wp:docPr id="3" name="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0970" cy="368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327B23C6"/>
    <w:lvl w:ilvl="0" w:tplc="58DC889A">
      <w:start w:val="2"/>
      <w:numFmt w:val="lowerLetter"/>
      <w:lvlText w:val="(%1)"/>
      <w:lvlJc w:val="left"/>
    </w:lvl>
    <w:lvl w:ilvl="1" w:tplc="03203020">
      <w:start w:val="1"/>
      <w:numFmt w:val="bullet"/>
      <w:lvlText w:val=""/>
      <w:lvlJc w:val="left"/>
    </w:lvl>
    <w:lvl w:ilvl="2" w:tplc="BB24FBBC">
      <w:start w:val="1"/>
      <w:numFmt w:val="bullet"/>
      <w:lvlText w:val=""/>
      <w:lvlJc w:val="left"/>
    </w:lvl>
    <w:lvl w:ilvl="3" w:tplc="251883C6">
      <w:start w:val="1"/>
      <w:numFmt w:val="bullet"/>
      <w:lvlText w:val=""/>
      <w:lvlJc w:val="left"/>
    </w:lvl>
    <w:lvl w:ilvl="4" w:tplc="A0BE4322">
      <w:start w:val="1"/>
      <w:numFmt w:val="bullet"/>
      <w:lvlText w:val=""/>
      <w:lvlJc w:val="left"/>
    </w:lvl>
    <w:lvl w:ilvl="5" w:tplc="EA08B8EC">
      <w:start w:val="1"/>
      <w:numFmt w:val="bullet"/>
      <w:lvlText w:val=""/>
      <w:lvlJc w:val="left"/>
    </w:lvl>
    <w:lvl w:ilvl="6" w:tplc="B492F7D8">
      <w:start w:val="1"/>
      <w:numFmt w:val="bullet"/>
      <w:lvlText w:val=""/>
      <w:lvlJc w:val="left"/>
    </w:lvl>
    <w:lvl w:ilvl="7" w:tplc="B29EE770">
      <w:start w:val="1"/>
      <w:numFmt w:val="bullet"/>
      <w:lvlText w:val=""/>
      <w:lvlJc w:val="left"/>
    </w:lvl>
    <w:lvl w:ilvl="8" w:tplc="6A00F70C">
      <w:start w:val="1"/>
      <w:numFmt w:val="bullet"/>
      <w:lvlText w:val=""/>
      <w:lvlJc w:val="left"/>
    </w:lvl>
  </w:abstractNum>
  <w:num w:numId="1" w16cid:durableId="133911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20C"/>
    <w:rsid w:val="000009FE"/>
    <w:rsid w:val="000019A1"/>
    <w:rsid w:val="00001DCF"/>
    <w:rsid w:val="00002432"/>
    <w:rsid w:val="00002D2B"/>
    <w:rsid w:val="00003A53"/>
    <w:rsid w:val="000048DC"/>
    <w:rsid w:val="00006371"/>
    <w:rsid w:val="00007E10"/>
    <w:rsid w:val="00010F9A"/>
    <w:rsid w:val="00011191"/>
    <w:rsid w:val="000117DC"/>
    <w:rsid w:val="00013B86"/>
    <w:rsid w:val="00015012"/>
    <w:rsid w:val="000151B9"/>
    <w:rsid w:val="0001561D"/>
    <w:rsid w:val="00015F0E"/>
    <w:rsid w:val="000160DF"/>
    <w:rsid w:val="000168FC"/>
    <w:rsid w:val="00021E4F"/>
    <w:rsid w:val="00022439"/>
    <w:rsid w:val="00022FA7"/>
    <w:rsid w:val="0002336E"/>
    <w:rsid w:val="000246DE"/>
    <w:rsid w:val="000327CE"/>
    <w:rsid w:val="0003291A"/>
    <w:rsid w:val="00032B15"/>
    <w:rsid w:val="00033F39"/>
    <w:rsid w:val="00034A02"/>
    <w:rsid w:val="00035005"/>
    <w:rsid w:val="00035AA3"/>
    <w:rsid w:val="00036132"/>
    <w:rsid w:val="00036A5F"/>
    <w:rsid w:val="00036C79"/>
    <w:rsid w:val="00037C7F"/>
    <w:rsid w:val="00040266"/>
    <w:rsid w:val="00040EBB"/>
    <w:rsid w:val="00041C36"/>
    <w:rsid w:val="00041DDF"/>
    <w:rsid w:val="00042B43"/>
    <w:rsid w:val="000462CA"/>
    <w:rsid w:val="00046A9E"/>
    <w:rsid w:val="00046B06"/>
    <w:rsid w:val="00047A75"/>
    <w:rsid w:val="00051D8E"/>
    <w:rsid w:val="00051FF8"/>
    <w:rsid w:val="00052044"/>
    <w:rsid w:val="000527D4"/>
    <w:rsid w:val="00054016"/>
    <w:rsid w:val="000542BA"/>
    <w:rsid w:val="00054AFA"/>
    <w:rsid w:val="000564A4"/>
    <w:rsid w:val="00057435"/>
    <w:rsid w:val="000575BA"/>
    <w:rsid w:val="000577AE"/>
    <w:rsid w:val="00060C69"/>
    <w:rsid w:val="0006103B"/>
    <w:rsid w:val="000611D5"/>
    <w:rsid w:val="00061ED1"/>
    <w:rsid w:val="000631DB"/>
    <w:rsid w:val="00063374"/>
    <w:rsid w:val="0006734B"/>
    <w:rsid w:val="00067B37"/>
    <w:rsid w:val="00070BB7"/>
    <w:rsid w:val="00071BAA"/>
    <w:rsid w:val="000735A0"/>
    <w:rsid w:val="00074378"/>
    <w:rsid w:val="0007485F"/>
    <w:rsid w:val="00081409"/>
    <w:rsid w:val="00086268"/>
    <w:rsid w:val="000878B7"/>
    <w:rsid w:val="00092467"/>
    <w:rsid w:val="0009252E"/>
    <w:rsid w:val="00092ECC"/>
    <w:rsid w:val="00094904"/>
    <w:rsid w:val="00095CCC"/>
    <w:rsid w:val="0009603B"/>
    <w:rsid w:val="00096633"/>
    <w:rsid w:val="000A0579"/>
    <w:rsid w:val="000A0B8B"/>
    <w:rsid w:val="000A3811"/>
    <w:rsid w:val="000A38D3"/>
    <w:rsid w:val="000A7522"/>
    <w:rsid w:val="000A7A2F"/>
    <w:rsid w:val="000A7FC2"/>
    <w:rsid w:val="000B065C"/>
    <w:rsid w:val="000B0A17"/>
    <w:rsid w:val="000B30DF"/>
    <w:rsid w:val="000B4666"/>
    <w:rsid w:val="000B478C"/>
    <w:rsid w:val="000B4C72"/>
    <w:rsid w:val="000B523F"/>
    <w:rsid w:val="000B54F1"/>
    <w:rsid w:val="000B6CD4"/>
    <w:rsid w:val="000B6FE1"/>
    <w:rsid w:val="000B7AFF"/>
    <w:rsid w:val="000C1363"/>
    <w:rsid w:val="000C1545"/>
    <w:rsid w:val="000C15FA"/>
    <w:rsid w:val="000C1780"/>
    <w:rsid w:val="000C3003"/>
    <w:rsid w:val="000C4189"/>
    <w:rsid w:val="000C41CB"/>
    <w:rsid w:val="000C5482"/>
    <w:rsid w:val="000C551F"/>
    <w:rsid w:val="000C6036"/>
    <w:rsid w:val="000C6B96"/>
    <w:rsid w:val="000C701F"/>
    <w:rsid w:val="000D035C"/>
    <w:rsid w:val="000D20FC"/>
    <w:rsid w:val="000D2F95"/>
    <w:rsid w:val="000D31A0"/>
    <w:rsid w:val="000D39A4"/>
    <w:rsid w:val="000D3F2B"/>
    <w:rsid w:val="000D5606"/>
    <w:rsid w:val="000D671C"/>
    <w:rsid w:val="000D6978"/>
    <w:rsid w:val="000E1A65"/>
    <w:rsid w:val="000E20DE"/>
    <w:rsid w:val="000E24FD"/>
    <w:rsid w:val="000E2593"/>
    <w:rsid w:val="000E2705"/>
    <w:rsid w:val="000E47E8"/>
    <w:rsid w:val="000E6693"/>
    <w:rsid w:val="000E67C1"/>
    <w:rsid w:val="000E720A"/>
    <w:rsid w:val="000F111B"/>
    <w:rsid w:val="000F378B"/>
    <w:rsid w:val="000F4ED1"/>
    <w:rsid w:val="000F538D"/>
    <w:rsid w:val="000F57EA"/>
    <w:rsid w:val="000F6E8C"/>
    <w:rsid w:val="000F7362"/>
    <w:rsid w:val="000F7451"/>
    <w:rsid w:val="0010020F"/>
    <w:rsid w:val="0010085D"/>
    <w:rsid w:val="00100991"/>
    <w:rsid w:val="00100E32"/>
    <w:rsid w:val="001018B2"/>
    <w:rsid w:val="001021D3"/>
    <w:rsid w:val="00102C88"/>
    <w:rsid w:val="00103C46"/>
    <w:rsid w:val="001050ED"/>
    <w:rsid w:val="00110644"/>
    <w:rsid w:val="00110BF5"/>
    <w:rsid w:val="00110CFB"/>
    <w:rsid w:val="00112324"/>
    <w:rsid w:val="00114ECA"/>
    <w:rsid w:val="00117C2D"/>
    <w:rsid w:val="00120E36"/>
    <w:rsid w:val="001227AF"/>
    <w:rsid w:val="00124C90"/>
    <w:rsid w:val="00125611"/>
    <w:rsid w:val="00125900"/>
    <w:rsid w:val="00125FA3"/>
    <w:rsid w:val="00126F35"/>
    <w:rsid w:val="00127E7E"/>
    <w:rsid w:val="00130F98"/>
    <w:rsid w:val="00131BE7"/>
    <w:rsid w:val="0013287E"/>
    <w:rsid w:val="00132C23"/>
    <w:rsid w:val="00133135"/>
    <w:rsid w:val="0013424C"/>
    <w:rsid w:val="001348F1"/>
    <w:rsid w:val="001357CA"/>
    <w:rsid w:val="00137A29"/>
    <w:rsid w:val="00137C75"/>
    <w:rsid w:val="00140FDC"/>
    <w:rsid w:val="001429BA"/>
    <w:rsid w:val="00143259"/>
    <w:rsid w:val="00143902"/>
    <w:rsid w:val="00143A3E"/>
    <w:rsid w:val="00143FB2"/>
    <w:rsid w:val="00144A77"/>
    <w:rsid w:val="00144F07"/>
    <w:rsid w:val="0014526D"/>
    <w:rsid w:val="00146982"/>
    <w:rsid w:val="00146E74"/>
    <w:rsid w:val="001473E3"/>
    <w:rsid w:val="001501C2"/>
    <w:rsid w:val="001526C9"/>
    <w:rsid w:val="00153131"/>
    <w:rsid w:val="00153487"/>
    <w:rsid w:val="001538F0"/>
    <w:rsid w:val="00153EA9"/>
    <w:rsid w:val="00155354"/>
    <w:rsid w:val="00156899"/>
    <w:rsid w:val="00157370"/>
    <w:rsid w:val="00157A74"/>
    <w:rsid w:val="00157B0C"/>
    <w:rsid w:val="00157FDD"/>
    <w:rsid w:val="001609FB"/>
    <w:rsid w:val="00160A8D"/>
    <w:rsid w:val="00160E07"/>
    <w:rsid w:val="0016154E"/>
    <w:rsid w:val="00165F8D"/>
    <w:rsid w:val="00166674"/>
    <w:rsid w:val="00170C33"/>
    <w:rsid w:val="001721EE"/>
    <w:rsid w:val="00173918"/>
    <w:rsid w:val="00173BA1"/>
    <w:rsid w:val="00173E92"/>
    <w:rsid w:val="00176B00"/>
    <w:rsid w:val="00180BFA"/>
    <w:rsid w:val="00181F06"/>
    <w:rsid w:val="00183686"/>
    <w:rsid w:val="00183DCC"/>
    <w:rsid w:val="00184103"/>
    <w:rsid w:val="00184852"/>
    <w:rsid w:val="00186DF2"/>
    <w:rsid w:val="00187E79"/>
    <w:rsid w:val="001901E3"/>
    <w:rsid w:val="00191282"/>
    <w:rsid w:val="00192E35"/>
    <w:rsid w:val="00193149"/>
    <w:rsid w:val="0019337E"/>
    <w:rsid w:val="00195870"/>
    <w:rsid w:val="00195AD0"/>
    <w:rsid w:val="00196873"/>
    <w:rsid w:val="0019687E"/>
    <w:rsid w:val="00197D72"/>
    <w:rsid w:val="001A1AA6"/>
    <w:rsid w:val="001A22EC"/>
    <w:rsid w:val="001A237C"/>
    <w:rsid w:val="001A3000"/>
    <w:rsid w:val="001A443A"/>
    <w:rsid w:val="001A4FF7"/>
    <w:rsid w:val="001A6D2F"/>
    <w:rsid w:val="001A7652"/>
    <w:rsid w:val="001B028B"/>
    <w:rsid w:val="001B02D2"/>
    <w:rsid w:val="001B0691"/>
    <w:rsid w:val="001B1D82"/>
    <w:rsid w:val="001B1E41"/>
    <w:rsid w:val="001B215D"/>
    <w:rsid w:val="001B2533"/>
    <w:rsid w:val="001B25F1"/>
    <w:rsid w:val="001B293B"/>
    <w:rsid w:val="001B3857"/>
    <w:rsid w:val="001B63E4"/>
    <w:rsid w:val="001B6590"/>
    <w:rsid w:val="001C00BF"/>
    <w:rsid w:val="001C41A7"/>
    <w:rsid w:val="001C4F80"/>
    <w:rsid w:val="001C5613"/>
    <w:rsid w:val="001C5CAF"/>
    <w:rsid w:val="001C5EB0"/>
    <w:rsid w:val="001C5FAC"/>
    <w:rsid w:val="001D01D1"/>
    <w:rsid w:val="001D297B"/>
    <w:rsid w:val="001D45EC"/>
    <w:rsid w:val="001D7151"/>
    <w:rsid w:val="001E140B"/>
    <w:rsid w:val="001E3752"/>
    <w:rsid w:val="001E5DEE"/>
    <w:rsid w:val="001E5EB2"/>
    <w:rsid w:val="001E6F49"/>
    <w:rsid w:val="001F2C8E"/>
    <w:rsid w:val="001F35D7"/>
    <w:rsid w:val="001F451F"/>
    <w:rsid w:val="001F471E"/>
    <w:rsid w:val="001F4BFF"/>
    <w:rsid w:val="001F4F8F"/>
    <w:rsid w:val="001F5EC7"/>
    <w:rsid w:val="001F7B86"/>
    <w:rsid w:val="001F7FC4"/>
    <w:rsid w:val="00200542"/>
    <w:rsid w:val="00200CC9"/>
    <w:rsid w:val="00201A02"/>
    <w:rsid w:val="00203AF2"/>
    <w:rsid w:val="002048D1"/>
    <w:rsid w:val="00204EAD"/>
    <w:rsid w:val="00205F3F"/>
    <w:rsid w:val="0020719D"/>
    <w:rsid w:val="002103B7"/>
    <w:rsid w:val="002123D4"/>
    <w:rsid w:val="00214CF3"/>
    <w:rsid w:val="00215500"/>
    <w:rsid w:val="002157BE"/>
    <w:rsid w:val="002161F7"/>
    <w:rsid w:val="00216699"/>
    <w:rsid w:val="002174B9"/>
    <w:rsid w:val="0021752B"/>
    <w:rsid w:val="00217998"/>
    <w:rsid w:val="0022200C"/>
    <w:rsid w:val="00222544"/>
    <w:rsid w:val="0022277E"/>
    <w:rsid w:val="00222789"/>
    <w:rsid w:val="0022472E"/>
    <w:rsid w:val="00224CB9"/>
    <w:rsid w:val="002250A8"/>
    <w:rsid w:val="002257CF"/>
    <w:rsid w:val="00225924"/>
    <w:rsid w:val="00227EBE"/>
    <w:rsid w:val="00230098"/>
    <w:rsid w:val="00230126"/>
    <w:rsid w:val="00230639"/>
    <w:rsid w:val="002306BE"/>
    <w:rsid w:val="00230BED"/>
    <w:rsid w:val="00231432"/>
    <w:rsid w:val="00232065"/>
    <w:rsid w:val="00232C10"/>
    <w:rsid w:val="00233648"/>
    <w:rsid w:val="002336CE"/>
    <w:rsid w:val="00234F98"/>
    <w:rsid w:val="002369FE"/>
    <w:rsid w:val="00236A2E"/>
    <w:rsid w:val="00236E4C"/>
    <w:rsid w:val="0023701C"/>
    <w:rsid w:val="002371BA"/>
    <w:rsid w:val="00237617"/>
    <w:rsid w:val="0024035C"/>
    <w:rsid w:val="00242D8D"/>
    <w:rsid w:val="00244120"/>
    <w:rsid w:val="00244828"/>
    <w:rsid w:val="00245886"/>
    <w:rsid w:val="00245E1E"/>
    <w:rsid w:val="0024628D"/>
    <w:rsid w:val="00246871"/>
    <w:rsid w:val="00247BA4"/>
    <w:rsid w:val="0025125C"/>
    <w:rsid w:val="0025142B"/>
    <w:rsid w:val="0025166B"/>
    <w:rsid w:val="00252C8C"/>
    <w:rsid w:val="002545BA"/>
    <w:rsid w:val="0025467C"/>
    <w:rsid w:val="002559D6"/>
    <w:rsid w:val="002572FA"/>
    <w:rsid w:val="002600ED"/>
    <w:rsid w:val="0026089E"/>
    <w:rsid w:val="00261F7A"/>
    <w:rsid w:val="00266DF8"/>
    <w:rsid w:val="002674EE"/>
    <w:rsid w:val="0026760B"/>
    <w:rsid w:val="00267DDA"/>
    <w:rsid w:val="0027116C"/>
    <w:rsid w:val="00271482"/>
    <w:rsid w:val="00271484"/>
    <w:rsid w:val="00274A6E"/>
    <w:rsid w:val="00274B9D"/>
    <w:rsid w:val="00274D96"/>
    <w:rsid w:val="00274E89"/>
    <w:rsid w:val="0027637F"/>
    <w:rsid w:val="00277101"/>
    <w:rsid w:val="0028076C"/>
    <w:rsid w:val="00282778"/>
    <w:rsid w:val="00282D75"/>
    <w:rsid w:val="0028465E"/>
    <w:rsid w:val="00284A50"/>
    <w:rsid w:val="002850CC"/>
    <w:rsid w:val="0028532C"/>
    <w:rsid w:val="002867FB"/>
    <w:rsid w:val="00287663"/>
    <w:rsid w:val="002879B5"/>
    <w:rsid w:val="00287C66"/>
    <w:rsid w:val="00291793"/>
    <w:rsid w:val="002919F8"/>
    <w:rsid w:val="002942F3"/>
    <w:rsid w:val="00295E84"/>
    <w:rsid w:val="002A01FF"/>
    <w:rsid w:val="002A0709"/>
    <w:rsid w:val="002A164B"/>
    <w:rsid w:val="002A2F2E"/>
    <w:rsid w:val="002A34AE"/>
    <w:rsid w:val="002A3568"/>
    <w:rsid w:val="002A3742"/>
    <w:rsid w:val="002A437D"/>
    <w:rsid w:val="002A4A9D"/>
    <w:rsid w:val="002A4DC0"/>
    <w:rsid w:val="002A57F0"/>
    <w:rsid w:val="002A5CE3"/>
    <w:rsid w:val="002A64C0"/>
    <w:rsid w:val="002A698B"/>
    <w:rsid w:val="002B19C9"/>
    <w:rsid w:val="002B31BD"/>
    <w:rsid w:val="002B31FF"/>
    <w:rsid w:val="002B4130"/>
    <w:rsid w:val="002B4686"/>
    <w:rsid w:val="002B5AAD"/>
    <w:rsid w:val="002B5BB1"/>
    <w:rsid w:val="002B605C"/>
    <w:rsid w:val="002B62FE"/>
    <w:rsid w:val="002B649C"/>
    <w:rsid w:val="002B6894"/>
    <w:rsid w:val="002C0CAB"/>
    <w:rsid w:val="002C22CE"/>
    <w:rsid w:val="002C3BE0"/>
    <w:rsid w:val="002C4E07"/>
    <w:rsid w:val="002C5BC0"/>
    <w:rsid w:val="002C7072"/>
    <w:rsid w:val="002C7523"/>
    <w:rsid w:val="002C75B3"/>
    <w:rsid w:val="002C7800"/>
    <w:rsid w:val="002D2C5C"/>
    <w:rsid w:val="002D3C50"/>
    <w:rsid w:val="002D3D4F"/>
    <w:rsid w:val="002D4573"/>
    <w:rsid w:val="002E1281"/>
    <w:rsid w:val="002E380C"/>
    <w:rsid w:val="002E41E9"/>
    <w:rsid w:val="002E4664"/>
    <w:rsid w:val="002E6057"/>
    <w:rsid w:val="002F0C4B"/>
    <w:rsid w:val="002F1921"/>
    <w:rsid w:val="002F37DE"/>
    <w:rsid w:val="002F39F5"/>
    <w:rsid w:val="002F4D07"/>
    <w:rsid w:val="002F5142"/>
    <w:rsid w:val="002F52F5"/>
    <w:rsid w:val="002F550F"/>
    <w:rsid w:val="002F5E03"/>
    <w:rsid w:val="002F794C"/>
    <w:rsid w:val="00300633"/>
    <w:rsid w:val="00300A24"/>
    <w:rsid w:val="00300A3A"/>
    <w:rsid w:val="00303E1B"/>
    <w:rsid w:val="003052FC"/>
    <w:rsid w:val="00306188"/>
    <w:rsid w:val="00306EF4"/>
    <w:rsid w:val="00310BB6"/>
    <w:rsid w:val="003127E7"/>
    <w:rsid w:val="0031439B"/>
    <w:rsid w:val="00316DF4"/>
    <w:rsid w:val="00317986"/>
    <w:rsid w:val="00320548"/>
    <w:rsid w:val="0032069C"/>
    <w:rsid w:val="00320882"/>
    <w:rsid w:val="0032160D"/>
    <w:rsid w:val="00321655"/>
    <w:rsid w:val="00324244"/>
    <w:rsid w:val="00324279"/>
    <w:rsid w:val="00324341"/>
    <w:rsid w:val="00325FFE"/>
    <w:rsid w:val="00326FE8"/>
    <w:rsid w:val="00327400"/>
    <w:rsid w:val="0033066F"/>
    <w:rsid w:val="0033087B"/>
    <w:rsid w:val="0033129F"/>
    <w:rsid w:val="00331450"/>
    <w:rsid w:val="00331682"/>
    <w:rsid w:val="00332076"/>
    <w:rsid w:val="0033301D"/>
    <w:rsid w:val="003353E0"/>
    <w:rsid w:val="00335988"/>
    <w:rsid w:val="0033654B"/>
    <w:rsid w:val="003403A0"/>
    <w:rsid w:val="00340B28"/>
    <w:rsid w:val="00340C61"/>
    <w:rsid w:val="00342056"/>
    <w:rsid w:val="00342DD7"/>
    <w:rsid w:val="00343766"/>
    <w:rsid w:val="003439BF"/>
    <w:rsid w:val="00343E56"/>
    <w:rsid w:val="0034438B"/>
    <w:rsid w:val="00344532"/>
    <w:rsid w:val="00344AC3"/>
    <w:rsid w:val="00345969"/>
    <w:rsid w:val="003467AB"/>
    <w:rsid w:val="00346A23"/>
    <w:rsid w:val="003479EC"/>
    <w:rsid w:val="00351562"/>
    <w:rsid w:val="00351BF1"/>
    <w:rsid w:val="00351E2C"/>
    <w:rsid w:val="003527FB"/>
    <w:rsid w:val="003546CE"/>
    <w:rsid w:val="00355C19"/>
    <w:rsid w:val="00357997"/>
    <w:rsid w:val="00357D08"/>
    <w:rsid w:val="0036068D"/>
    <w:rsid w:val="0036110B"/>
    <w:rsid w:val="003621B8"/>
    <w:rsid w:val="0036225D"/>
    <w:rsid w:val="00362D18"/>
    <w:rsid w:val="003647F6"/>
    <w:rsid w:val="003653D0"/>
    <w:rsid w:val="00365D6E"/>
    <w:rsid w:val="0037088A"/>
    <w:rsid w:val="0037270F"/>
    <w:rsid w:val="00373214"/>
    <w:rsid w:val="00373EA6"/>
    <w:rsid w:val="00374106"/>
    <w:rsid w:val="00374B40"/>
    <w:rsid w:val="00375435"/>
    <w:rsid w:val="0037769E"/>
    <w:rsid w:val="00377F3B"/>
    <w:rsid w:val="00380E68"/>
    <w:rsid w:val="00381D89"/>
    <w:rsid w:val="00382049"/>
    <w:rsid w:val="00382458"/>
    <w:rsid w:val="00384076"/>
    <w:rsid w:val="00384610"/>
    <w:rsid w:val="00385701"/>
    <w:rsid w:val="00385C67"/>
    <w:rsid w:val="00390932"/>
    <w:rsid w:val="0039134E"/>
    <w:rsid w:val="003917BF"/>
    <w:rsid w:val="00391DEF"/>
    <w:rsid w:val="0039257E"/>
    <w:rsid w:val="003931C9"/>
    <w:rsid w:val="003940EB"/>
    <w:rsid w:val="00394E1E"/>
    <w:rsid w:val="003956EF"/>
    <w:rsid w:val="00396662"/>
    <w:rsid w:val="00396BBE"/>
    <w:rsid w:val="003A0CA2"/>
    <w:rsid w:val="003A1343"/>
    <w:rsid w:val="003A2145"/>
    <w:rsid w:val="003A217F"/>
    <w:rsid w:val="003A2599"/>
    <w:rsid w:val="003A297A"/>
    <w:rsid w:val="003A54E7"/>
    <w:rsid w:val="003A5863"/>
    <w:rsid w:val="003A6793"/>
    <w:rsid w:val="003A68DA"/>
    <w:rsid w:val="003A74FF"/>
    <w:rsid w:val="003A7F02"/>
    <w:rsid w:val="003B0CA7"/>
    <w:rsid w:val="003B1660"/>
    <w:rsid w:val="003B1E0D"/>
    <w:rsid w:val="003B55E2"/>
    <w:rsid w:val="003B5958"/>
    <w:rsid w:val="003C214D"/>
    <w:rsid w:val="003C2CD2"/>
    <w:rsid w:val="003C39BE"/>
    <w:rsid w:val="003C4904"/>
    <w:rsid w:val="003C4A78"/>
    <w:rsid w:val="003C666F"/>
    <w:rsid w:val="003C72FD"/>
    <w:rsid w:val="003C7DC8"/>
    <w:rsid w:val="003D01A3"/>
    <w:rsid w:val="003D1237"/>
    <w:rsid w:val="003D1F6C"/>
    <w:rsid w:val="003D260B"/>
    <w:rsid w:val="003D29B6"/>
    <w:rsid w:val="003D2B12"/>
    <w:rsid w:val="003D4E65"/>
    <w:rsid w:val="003D6850"/>
    <w:rsid w:val="003D6C85"/>
    <w:rsid w:val="003D73CC"/>
    <w:rsid w:val="003E0647"/>
    <w:rsid w:val="003E128B"/>
    <w:rsid w:val="003E26CF"/>
    <w:rsid w:val="003E406C"/>
    <w:rsid w:val="003E43CE"/>
    <w:rsid w:val="003E4955"/>
    <w:rsid w:val="003E7291"/>
    <w:rsid w:val="003E7D4C"/>
    <w:rsid w:val="003F11B7"/>
    <w:rsid w:val="003F2276"/>
    <w:rsid w:val="003F43B0"/>
    <w:rsid w:val="003F47BA"/>
    <w:rsid w:val="003F4C30"/>
    <w:rsid w:val="003F69C1"/>
    <w:rsid w:val="003F6D08"/>
    <w:rsid w:val="003F7ED5"/>
    <w:rsid w:val="00401D6E"/>
    <w:rsid w:val="00401E3B"/>
    <w:rsid w:val="00404866"/>
    <w:rsid w:val="00404877"/>
    <w:rsid w:val="00404AF3"/>
    <w:rsid w:val="00406958"/>
    <w:rsid w:val="00407F67"/>
    <w:rsid w:val="00411230"/>
    <w:rsid w:val="00411421"/>
    <w:rsid w:val="004114F9"/>
    <w:rsid w:val="00412D6A"/>
    <w:rsid w:val="00413317"/>
    <w:rsid w:val="004167DE"/>
    <w:rsid w:val="0041684D"/>
    <w:rsid w:val="00416DC9"/>
    <w:rsid w:val="004174A1"/>
    <w:rsid w:val="004179DC"/>
    <w:rsid w:val="0042121E"/>
    <w:rsid w:val="00422A79"/>
    <w:rsid w:val="0042308E"/>
    <w:rsid w:val="00425B55"/>
    <w:rsid w:val="0042662D"/>
    <w:rsid w:val="004315D0"/>
    <w:rsid w:val="00432F10"/>
    <w:rsid w:val="00434C15"/>
    <w:rsid w:val="00436832"/>
    <w:rsid w:val="004379B3"/>
    <w:rsid w:val="00437CD3"/>
    <w:rsid w:val="004422B3"/>
    <w:rsid w:val="0044250A"/>
    <w:rsid w:val="004439E9"/>
    <w:rsid w:val="00445B6C"/>
    <w:rsid w:val="00446430"/>
    <w:rsid w:val="00447552"/>
    <w:rsid w:val="004478B3"/>
    <w:rsid w:val="00447E39"/>
    <w:rsid w:val="00452A80"/>
    <w:rsid w:val="00452BFD"/>
    <w:rsid w:val="00452F27"/>
    <w:rsid w:val="00454CC4"/>
    <w:rsid w:val="00455560"/>
    <w:rsid w:val="00455A4F"/>
    <w:rsid w:val="00455E9D"/>
    <w:rsid w:val="00461879"/>
    <w:rsid w:val="00462B2B"/>
    <w:rsid w:val="00463B6C"/>
    <w:rsid w:val="00464A02"/>
    <w:rsid w:val="00467469"/>
    <w:rsid w:val="00467C02"/>
    <w:rsid w:val="0047057B"/>
    <w:rsid w:val="00472835"/>
    <w:rsid w:val="00473931"/>
    <w:rsid w:val="00473F07"/>
    <w:rsid w:val="004741BC"/>
    <w:rsid w:val="00475670"/>
    <w:rsid w:val="0047578E"/>
    <w:rsid w:val="00475C83"/>
    <w:rsid w:val="004779F6"/>
    <w:rsid w:val="00477EF0"/>
    <w:rsid w:val="004806DA"/>
    <w:rsid w:val="00480735"/>
    <w:rsid w:val="0048339E"/>
    <w:rsid w:val="0048348C"/>
    <w:rsid w:val="00485E2F"/>
    <w:rsid w:val="004861C7"/>
    <w:rsid w:val="00486A13"/>
    <w:rsid w:val="00490545"/>
    <w:rsid w:val="00490B28"/>
    <w:rsid w:val="004914B4"/>
    <w:rsid w:val="00492128"/>
    <w:rsid w:val="004921DE"/>
    <w:rsid w:val="00492625"/>
    <w:rsid w:val="004939EC"/>
    <w:rsid w:val="004A0D0D"/>
    <w:rsid w:val="004A1C5D"/>
    <w:rsid w:val="004A20B6"/>
    <w:rsid w:val="004A274F"/>
    <w:rsid w:val="004A2FDA"/>
    <w:rsid w:val="004A49DA"/>
    <w:rsid w:val="004A642E"/>
    <w:rsid w:val="004A718A"/>
    <w:rsid w:val="004B0E62"/>
    <w:rsid w:val="004B16D0"/>
    <w:rsid w:val="004B2553"/>
    <w:rsid w:val="004B26D0"/>
    <w:rsid w:val="004B3E9E"/>
    <w:rsid w:val="004B57C3"/>
    <w:rsid w:val="004B6A83"/>
    <w:rsid w:val="004C184C"/>
    <w:rsid w:val="004C2897"/>
    <w:rsid w:val="004C2E5E"/>
    <w:rsid w:val="004C31EF"/>
    <w:rsid w:val="004C3DC5"/>
    <w:rsid w:val="004C4E9D"/>
    <w:rsid w:val="004C5E24"/>
    <w:rsid w:val="004C64A9"/>
    <w:rsid w:val="004C69AA"/>
    <w:rsid w:val="004C701F"/>
    <w:rsid w:val="004D087F"/>
    <w:rsid w:val="004D0A6F"/>
    <w:rsid w:val="004D128B"/>
    <w:rsid w:val="004D1C0C"/>
    <w:rsid w:val="004D47C3"/>
    <w:rsid w:val="004D5A29"/>
    <w:rsid w:val="004D5F72"/>
    <w:rsid w:val="004D6150"/>
    <w:rsid w:val="004D7D83"/>
    <w:rsid w:val="004E118A"/>
    <w:rsid w:val="004E1C2C"/>
    <w:rsid w:val="004E3569"/>
    <w:rsid w:val="004E4506"/>
    <w:rsid w:val="004E57BB"/>
    <w:rsid w:val="004E5AAF"/>
    <w:rsid w:val="004F02F6"/>
    <w:rsid w:val="004F037E"/>
    <w:rsid w:val="004F2950"/>
    <w:rsid w:val="004F3D9C"/>
    <w:rsid w:val="004F446B"/>
    <w:rsid w:val="004F469E"/>
    <w:rsid w:val="004F64B7"/>
    <w:rsid w:val="004F6F0C"/>
    <w:rsid w:val="004F7C03"/>
    <w:rsid w:val="005005D3"/>
    <w:rsid w:val="00502E95"/>
    <w:rsid w:val="00503483"/>
    <w:rsid w:val="005040AF"/>
    <w:rsid w:val="00504172"/>
    <w:rsid w:val="0050483B"/>
    <w:rsid w:val="005066CE"/>
    <w:rsid w:val="00507058"/>
    <w:rsid w:val="0051232F"/>
    <w:rsid w:val="00513253"/>
    <w:rsid w:val="00513AE8"/>
    <w:rsid w:val="005148A4"/>
    <w:rsid w:val="00514C67"/>
    <w:rsid w:val="00514E28"/>
    <w:rsid w:val="00515291"/>
    <w:rsid w:val="00520277"/>
    <w:rsid w:val="005206A7"/>
    <w:rsid w:val="0052138E"/>
    <w:rsid w:val="005215B3"/>
    <w:rsid w:val="00522754"/>
    <w:rsid w:val="00523C7F"/>
    <w:rsid w:val="00523FD3"/>
    <w:rsid w:val="005242E2"/>
    <w:rsid w:val="005250EF"/>
    <w:rsid w:val="00526ED9"/>
    <w:rsid w:val="005272AD"/>
    <w:rsid w:val="00527436"/>
    <w:rsid w:val="00530D3F"/>
    <w:rsid w:val="00531FD7"/>
    <w:rsid w:val="005344AA"/>
    <w:rsid w:val="00536D6C"/>
    <w:rsid w:val="00537A9E"/>
    <w:rsid w:val="00540016"/>
    <w:rsid w:val="0054128C"/>
    <w:rsid w:val="00541BB0"/>
    <w:rsid w:val="005427C5"/>
    <w:rsid w:val="00542FDA"/>
    <w:rsid w:val="00543489"/>
    <w:rsid w:val="00544E56"/>
    <w:rsid w:val="0054509F"/>
    <w:rsid w:val="005465FA"/>
    <w:rsid w:val="005468E9"/>
    <w:rsid w:val="00546C31"/>
    <w:rsid w:val="005511D6"/>
    <w:rsid w:val="00553C0A"/>
    <w:rsid w:val="00554A05"/>
    <w:rsid w:val="00554E0C"/>
    <w:rsid w:val="0055631B"/>
    <w:rsid w:val="00556374"/>
    <w:rsid w:val="00556886"/>
    <w:rsid w:val="005579E7"/>
    <w:rsid w:val="00557E2B"/>
    <w:rsid w:val="005601ED"/>
    <w:rsid w:val="00560838"/>
    <w:rsid w:val="005610B6"/>
    <w:rsid w:val="0056187B"/>
    <w:rsid w:val="00562192"/>
    <w:rsid w:val="00563BB5"/>
    <w:rsid w:val="00563E5A"/>
    <w:rsid w:val="00564059"/>
    <w:rsid w:val="005661E9"/>
    <w:rsid w:val="005662DB"/>
    <w:rsid w:val="00566597"/>
    <w:rsid w:val="00566948"/>
    <w:rsid w:val="00566A92"/>
    <w:rsid w:val="00567249"/>
    <w:rsid w:val="005715B6"/>
    <w:rsid w:val="00572266"/>
    <w:rsid w:val="005724F8"/>
    <w:rsid w:val="005732E7"/>
    <w:rsid w:val="00575394"/>
    <w:rsid w:val="00580E76"/>
    <w:rsid w:val="00581ADF"/>
    <w:rsid w:val="00581F8E"/>
    <w:rsid w:val="00582672"/>
    <w:rsid w:val="00585656"/>
    <w:rsid w:val="00585B7E"/>
    <w:rsid w:val="0058676F"/>
    <w:rsid w:val="00587673"/>
    <w:rsid w:val="00587995"/>
    <w:rsid w:val="00590D89"/>
    <w:rsid w:val="005910BA"/>
    <w:rsid w:val="0059192E"/>
    <w:rsid w:val="00593BA8"/>
    <w:rsid w:val="005942B2"/>
    <w:rsid w:val="00595637"/>
    <w:rsid w:val="005966BA"/>
    <w:rsid w:val="0059717B"/>
    <w:rsid w:val="00597363"/>
    <w:rsid w:val="0059765F"/>
    <w:rsid w:val="00597712"/>
    <w:rsid w:val="00597FA4"/>
    <w:rsid w:val="005A071D"/>
    <w:rsid w:val="005A0CA0"/>
    <w:rsid w:val="005A16C0"/>
    <w:rsid w:val="005A1CAD"/>
    <w:rsid w:val="005A29B3"/>
    <w:rsid w:val="005A5BDE"/>
    <w:rsid w:val="005A6BCA"/>
    <w:rsid w:val="005A7055"/>
    <w:rsid w:val="005B16FC"/>
    <w:rsid w:val="005B1E0D"/>
    <w:rsid w:val="005B1EA6"/>
    <w:rsid w:val="005B1FC7"/>
    <w:rsid w:val="005B3FAF"/>
    <w:rsid w:val="005B5BBA"/>
    <w:rsid w:val="005B63EB"/>
    <w:rsid w:val="005B7F6E"/>
    <w:rsid w:val="005C2070"/>
    <w:rsid w:val="005C315D"/>
    <w:rsid w:val="005C45C3"/>
    <w:rsid w:val="005C5184"/>
    <w:rsid w:val="005C55C3"/>
    <w:rsid w:val="005C61C3"/>
    <w:rsid w:val="005C6DD8"/>
    <w:rsid w:val="005C79E2"/>
    <w:rsid w:val="005C7DCE"/>
    <w:rsid w:val="005D3A27"/>
    <w:rsid w:val="005D4AEA"/>
    <w:rsid w:val="005D4D1B"/>
    <w:rsid w:val="005D5968"/>
    <w:rsid w:val="005D648D"/>
    <w:rsid w:val="005D7186"/>
    <w:rsid w:val="005D7B6E"/>
    <w:rsid w:val="005E2A15"/>
    <w:rsid w:val="005E4872"/>
    <w:rsid w:val="005E4D5D"/>
    <w:rsid w:val="005E503C"/>
    <w:rsid w:val="005E6889"/>
    <w:rsid w:val="005E776D"/>
    <w:rsid w:val="005F0F04"/>
    <w:rsid w:val="005F15B6"/>
    <w:rsid w:val="005F19E5"/>
    <w:rsid w:val="005F1A1C"/>
    <w:rsid w:val="005F5545"/>
    <w:rsid w:val="005F59FB"/>
    <w:rsid w:val="005F6C21"/>
    <w:rsid w:val="005F7315"/>
    <w:rsid w:val="005F7D29"/>
    <w:rsid w:val="005F7DC4"/>
    <w:rsid w:val="0060088C"/>
    <w:rsid w:val="00600A49"/>
    <w:rsid w:val="00601CC0"/>
    <w:rsid w:val="00602B5A"/>
    <w:rsid w:val="00603556"/>
    <w:rsid w:val="006037AD"/>
    <w:rsid w:val="00605393"/>
    <w:rsid w:val="0060777A"/>
    <w:rsid w:val="0061034F"/>
    <w:rsid w:val="006104CA"/>
    <w:rsid w:val="00610F80"/>
    <w:rsid w:val="00611373"/>
    <w:rsid w:val="006113A3"/>
    <w:rsid w:val="006120C5"/>
    <w:rsid w:val="0061216E"/>
    <w:rsid w:val="0061234E"/>
    <w:rsid w:val="00612783"/>
    <w:rsid w:val="00613A09"/>
    <w:rsid w:val="006144A8"/>
    <w:rsid w:val="00615125"/>
    <w:rsid w:val="006155CB"/>
    <w:rsid w:val="006157C1"/>
    <w:rsid w:val="006161B4"/>
    <w:rsid w:val="006163EC"/>
    <w:rsid w:val="006206F6"/>
    <w:rsid w:val="00621D9D"/>
    <w:rsid w:val="00621F68"/>
    <w:rsid w:val="0062264A"/>
    <w:rsid w:val="00623777"/>
    <w:rsid w:val="00624544"/>
    <w:rsid w:val="0062517F"/>
    <w:rsid w:val="0063009F"/>
    <w:rsid w:val="00631856"/>
    <w:rsid w:val="00631B8C"/>
    <w:rsid w:val="00632A73"/>
    <w:rsid w:val="00634B41"/>
    <w:rsid w:val="00634DA7"/>
    <w:rsid w:val="0063595A"/>
    <w:rsid w:val="006362EE"/>
    <w:rsid w:val="00637F2A"/>
    <w:rsid w:val="0064028B"/>
    <w:rsid w:val="00640299"/>
    <w:rsid w:val="00640F8D"/>
    <w:rsid w:val="006438AA"/>
    <w:rsid w:val="0064391D"/>
    <w:rsid w:val="00644B2B"/>
    <w:rsid w:val="00645CFF"/>
    <w:rsid w:val="00645F97"/>
    <w:rsid w:val="006469F0"/>
    <w:rsid w:val="006500DF"/>
    <w:rsid w:val="00650158"/>
    <w:rsid w:val="00650890"/>
    <w:rsid w:val="00652C8E"/>
    <w:rsid w:val="00653931"/>
    <w:rsid w:val="00653D48"/>
    <w:rsid w:val="00655A7F"/>
    <w:rsid w:val="006573C4"/>
    <w:rsid w:val="0066080D"/>
    <w:rsid w:val="006613A5"/>
    <w:rsid w:val="00661578"/>
    <w:rsid w:val="0066189A"/>
    <w:rsid w:val="00661BCE"/>
    <w:rsid w:val="00664C25"/>
    <w:rsid w:val="006664DA"/>
    <w:rsid w:val="00667B8B"/>
    <w:rsid w:val="006708BF"/>
    <w:rsid w:val="00671F7C"/>
    <w:rsid w:val="006727EB"/>
    <w:rsid w:val="00672949"/>
    <w:rsid w:val="00673883"/>
    <w:rsid w:val="00674B54"/>
    <w:rsid w:val="00675B03"/>
    <w:rsid w:val="00676340"/>
    <w:rsid w:val="0067708B"/>
    <w:rsid w:val="006774C0"/>
    <w:rsid w:val="006776C1"/>
    <w:rsid w:val="00683C7D"/>
    <w:rsid w:val="00686069"/>
    <w:rsid w:val="00690E9C"/>
    <w:rsid w:val="00691052"/>
    <w:rsid w:val="00692F6B"/>
    <w:rsid w:val="006939F2"/>
    <w:rsid w:val="00693A29"/>
    <w:rsid w:val="00694974"/>
    <w:rsid w:val="00694A46"/>
    <w:rsid w:val="006A066D"/>
    <w:rsid w:val="006A1862"/>
    <w:rsid w:val="006A19B2"/>
    <w:rsid w:val="006A1FD5"/>
    <w:rsid w:val="006A32AA"/>
    <w:rsid w:val="006A5686"/>
    <w:rsid w:val="006A5CD8"/>
    <w:rsid w:val="006A5F3B"/>
    <w:rsid w:val="006A6CDC"/>
    <w:rsid w:val="006A729D"/>
    <w:rsid w:val="006B1FBA"/>
    <w:rsid w:val="006B535A"/>
    <w:rsid w:val="006B6DDC"/>
    <w:rsid w:val="006B7E64"/>
    <w:rsid w:val="006C19C8"/>
    <w:rsid w:val="006C2920"/>
    <w:rsid w:val="006C3208"/>
    <w:rsid w:val="006C3496"/>
    <w:rsid w:val="006C398A"/>
    <w:rsid w:val="006C492F"/>
    <w:rsid w:val="006C525E"/>
    <w:rsid w:val="006C55AE"/>
    <w:rsid w:val="006C6552"/>
    <w:rsid w:val="006C688F"/>
    <w:rsid w:val="006D1CA9"/>
    <w:rsid w:val="006D3171"/>
    <w:rsid w:val="006D4379"/>
    <w:rsid w:val="006D5227"/>
    <w:rsid w:val="006E2530"/>
    <w:rsid w:val="006E5E7B"/>
    <w:rsid w:val="006E737F"/>
    <w:rsid w:val="006E7DA2"/>
    <w:rsid w:val="006F030B"/>
    <w:rsid w:val="006F04EB"/>
    <w:rsid w:val="006F0F6F"/>
    <w:rsid w:val="006F1C2D"/>
    <w:rsid w:val="006F2158"/>
    <w:rsid w:val="006F256D"/>
    <w:rsid w:val="006F30AC"/>
    <w:rsid w:val="006F55AC"/>
    <w:rsid w:val="00701645"/>
    <w:rsid w:val="00702E37"/>
    <w:rsid w:val="00704366"/>
    <w:rsid w:val="00704E41"/>
    <w:rsid w:val="00705D03"/>
    <w:rsid w:val="00705E2B"/>
    <w:rsid w:val="00707D4B"/>
    <w:rsid w:val="00711042"/>
    <w:rsid w:val="0071156C"/>
    <w:rsid w:val="007138F6"/>
    <w:rsid w:val="0071476E"/>
    <w:rsid w:val="007151AD"/>
    <w:rsid w:val="007160CB"/>
    <w:rsid w:val="00716BC3"/>
    <w:rsid w:val="00717A2C"/>
    <w:rsid w:val="007202A4"/>
    <w:rsid w:val="00720919"/>
    <w:rsid w:val="00722BB1"/>
    <w:rsid w:val="00723202"/>
    <w:rsid w:val="00723A5F"/>
    <w:rsid w:val="0072474E"/>
    <w:rsid w:val="00724D32"/>
    <w:rsid w:val="00725995"/>
    <w:rsid w:val="00730F2D"/>
    <w:rsid w:val="0073247F"/>
    <w:rsid w:val="00733941"/>
    <w:rsid w:val="007341FE"/>
    <w:rsid w:val="00735113"/>
    <w:rsid w:val="00735C2C"/>
    <w:rsid w:val="0073612D"/>
    <w:rsid w:val="0073705A"/>
    <w:rsid w:val="0074053D"/>
    <w:rsid w:val="00741255"/>
    <w:rsid w:val="00742500"/>
    <w:rsid w:val="007428AB"/>
    <w:rsid w:val="007436EB"/>
    <w:rsid w:val="007436FF"/>
    <w:rsid w:val="00743C65"/>
    <w:rsid w:val="007479AD"/>
    <w:rsid w:val="00750D55"/>
    <w:rsid w:val="007512F1"/>
    <w:rsid w:val="00751751"/>
    <w:rsid w:val="00752753"/>
    <w:rsid w:val="00752759"/>
    <w:rsid w:val="00756BFD"/>
    <w:rsid w:val="0076003A"/>
    <w:rsid w:val="007619BC"/>
    <w:rsid w:val="00761F9D"/>
    <w:rsid w:val="00762D8E"/>
    <w:rsid w:val="007634C7"/>
    <w:rsid w:val="00764C1B"/>
    <w:rsid w:val="007653C1"/>
    <w:rsid w:val="0076787C"/>
    <w:rsid w:val="00771C0B"/>
    <w:rsid w:val="00773D11"/>
    <w:rsid w:val="00774105"/>
    <w:rsid w:val="00775255"/>
    <w:rsid w:val="00775E31"/>
    <w:rsid w:val="007801F2"/>
    <w:rsid w:val="0078116D"/>
    <w:rsid w:val="00782A6A"/>
    <w:rsid w:val="00783489"/>
    <w:rsid w:val="0078424E"/>
    <w:rsid w:val="0078560F"/>
    <w:rsid w:val="00787286"/>
    <w:rsid w:val="00787CF6"/>
    <w:rsid w:val="00791AFA"/>
    <w:rsid w:val="00793894"/>
    <w:rsid w:val="00794571"/>
    <w:rsid w:val="00795239"/>
    <w:rsid w:val="0079587F"/>
    <w:rsid w:val="007A1290"/>
    <w:rsid w:val="007A1BE6"/>
    <w:rsid w:val="007A1F9E"/>
    <w:rsid w:val="007A2A06"/>
    <w:rsid w:val="007A2A36"/>
    <w:rsid w:val="007A2DC7"/>
    <w:rsid w:val="007A4742"/>
    <w:rsid w:val="007A5CE4"/>
    <w:rsid w:val="007A6897"/>
    <w:rsid w:val="007A6B17"/>
    <w:rsid w:val="007A6FFD"/>
    <w:rsid w:val="007A7B80"/>
    <w:rsid w:val="007B12CA"/>
    <w:rsid w:val="007B29FE"/>
    <w:rsid w:val="007B48CF"/>
    <w:rsid w:val="007B51D2"/>
    <w:rsid w:val="007B5698"/>
    <w:rsid w:val="007B5B5A"/>
    <w:rsid w:val="007C1619"/>
    <w:rsid w:val="007C28FB"/>
    <w:rsid w:val="007C292C"/>
    <w:rsid w:val="007C2F6F"/>
    <w:rsid w:val="007C4812"/>
    <w:rsid w:val="007C577F"/>
    <w:rsid w:val="007D02E4"/>
    <w:rsid w:val="007D0535"/>
    <w:rsid w:val="007D1126"/>
    <w:rsid w:val="007D129E"/>
    <w:rsid w:val="007D2845"/>
    <w:rsid w:val="007D4B47"/>
    <w:rsid w:val="007D5953"/>
    <w:rsid w:val="007D6182"/>
    <w:rsid w:val="007D7062"/>
    <w:rsid w:val="007E064D"/>
    <w:rsid w:val="007E0A84"/>
    <w:rsid w:val="007E184C"/>
    <w:rsid w:val="007E4B16"/>
    <w:rsid w:val="007E5750"/>
    <w:rsid w:val="007E6528"/>
    <w:rsid w:val="007E65B5"/>
    <w:rsid w:val="007E6947"/>
    <w:rsid w:val="007E7514"/>
    <w:rsid w:val="007F04C1"/>
    <w:rsid w:val="007F398A"/>
    <w:rsid w:val="007F619C"/>
    <w:rsid w:val="007F7F65"/>
    <w:rsid w:val="00801139"/>
    <w:rsid w:val="00801951"/>
    <w:rsid w:val="008024F1"/>
    <w:rsid w:val="00802544"/>
    <w:rsid w:val="00802865"/>
    <w:rsid w:val="0080328E"/>
    <w:rsid w:val="00803B66"/>
    <w:rsid w:val="00804168"/>
    <w:rsid w:val="00804E5F"/>
    <w:rsid w:val="0080646D"/>
    <w:rsid w:val="00807F60"/>
    <w:rsid w:val="00810CE1"/>
    <w:rsid w:val="0081216C"/>
    <w:rsid w:val="008128CF"/>
    <w:rsid w:val="008129A6"/>
    <w:rsid w:val="00813300"/>
    <w:rsid w:val="00813484"/>
    <w:rsid w:val="00813B99"/>
    <w:rsid w:val="008155D8"/>
    <w:rsid w:val="00816F72"/>
    <w:rsid w:val="0081725F"/>
    <w:rsid w:val="00817434"/>
    <w:rsid w:val="00820864"/>
    <w:rsid w:val="00820F75"/>
    <w:rsid w:val="008230F0"/>
    <w:rsid w:val="00823238"/>
    <w:rsid w:val="0082357D"/>
    <w:rsid w:val="008235A6"/>
    <w:rsid w:val="00824778"/>
    <w:rsid w:val="0082484F"/>
    <w:rsid w:val="00824890"/>
    <w:rsid w:val="0082521B"/>
    <w:rsid w:val="00827117"/>
    <w:rsid w:val="00830352"/>
    <w:rsid w:val="00830EAB"/>
    <w:rsid w:val="00832AB4"/>
    <w:rsid w:val="0083442F"/>
    <w:rsid w:val="00835946"/>
    <w:rsid w:val="008365EF"/>
    <w:rsid w:val="008369C0"/>
    <w:rsid w:val="00837A9B"/>
    <w:rsid w:val="008402AC"/>
    <w:rsid w:val="00841195"/>
    <w:rsid w:val="0084243D"/>
    <w:rsid w:val="00842DDE"/>
    <w:rsid w:val="00843A00"/>
    <w:rsid w:val="00843B74"/>
    <w:rsid w:val="008451B0"/>
    <w:rsid w:val="008465C8"/>
    <w:rsid w:val="00847474"/>
    <w:rsid w:val="0084787C"/>
    <w:rsid w:val="008478DA"/>
    <w:rsid w:val="00847A34"/>
    <w:rsid w:val="008500F6"/>
    <w:rsid w:val="00850689"/>
    <w:rsid w:val="00850B7E"/>
    <w:rsid w:val="008512D4"/>
    <w:rsid w:val="0085160D"/>
    <w:rsid w:val="0085347B"/>
    <w:rsid w:val="00853743"/>
    <w:rsid w:val="00856CBB"/>
    <w:rsid w:val="00856F8A"/>
    <w:rsid w:val="00861443"/>
    <w:rsid w:val="00861766"/>
    <w:rsid w:val="00861C27"/>
    <w:rsid w:val="008621C7"/>
    <w:rsid w:val="00862432"/>
    <w:rsid w:val="00862CFC"/>
    <w:rsid w:val="008674D9"/>
    <w:rsid w:val="00867B97"/>
    <w:rsid w:val="00870652"/>
    <w:rsid w:val="00872576"/>
    <w:rsid w:val="0087581C"/>
    <w:rsid w:val="0087616A"/>
    <w:rsid w:val="00881C90"/>
    <w:rsid w:val="00882EB2"/>
    <w:rsid w:val="008845D1"/>
    <w:rsid w:val="00886221"/>
    <w:rsid w:val="008862DC"/>
    <w:rsid w:val="0088678F"/>
    <w:rsid w:val="008869AD"/>
    <w:rsid w:val="00887313"/>
    <w:rsid w:val="00887968"/>
    <w:rsid w:val="00887B33"/>
    <w:rsid w:val="008914C1"/>
    <w:rsid w:val="008926DA"/>
    <w:rsid w:val="00893777"/>
    <w:rsid w:val="00894259"/>
    <w:rsid w:val="00895FB9"/>
    <w:rsid w:val="00896AF5"/>
    <w:rsid w:val="00897B30"/>
    <w:rsid w:val="008A0E05"/>
    <w:rsid w:val="008A260D"/>
    <w:rsid w:val="008A317A"/>
    <w:rsid w:val="008A3D9E"/>
    <w:rsid w:val="008A4C08"/>
    <w:rsid w:val="008A6C98"/>
    <w:rsid w:val="008A7099"/>
    <w:rsid w:val="008B0406"/>
    <w:rsid w:val="008B1AC0"/>
    <w:rsid w:val="008B2F08"/>
    <w:rsid w:val="008B2F9E"/>
    <w:rsid w:val="008B364B"/>
    <w:rsid w:val="008B3FEB"/>
    <w:rsid w:val="008C18FA"/>
    <w:rsid w:val="008C2D73"/>
    <w:rsid w:val="008C2F47"/>
    <w:rsid w:val="008C58CD"/>
    <w:rsid w:val="008C6A1B"/>
    <w:rsid w:val="008C6E26"/>
    <w:rsid w:val="008C6FA4"/>
    <w:rsid w:val="008C71A0"/>
    <w:rsid w:val="008C7963"/>
    <w:rsid w:val="008D0B37"/>
    <w:rsid w:val="008D181F"/>
    <w:rsid w:val="008D1BB6"/>
    <w:rsid w:val="008D23BB"/>
    <w:rsid w:val="008D2692"/>
    <w:rsid w:val="008D3FE2"/>
    <w:rsid w:val="008D5C9A"/>
    <w:rsid w:val="008E0135"/>
    <w:rsid w:val="008E0196"/>
    <w:rsid w:val="008E0A43"/>
    <w:rsid w:val="008E1B3F"/>
    <w:rsid w:val="008E2020"/>
    <w:rsid w:val="008E2D97"/>
    <w:rsid w:val="008E305C"/>
    <w:rsid w:val="008E359A"/>
    <w:rsid w:val="008E4182"/>
    <w:rsid w:val="008E4931"/>
    <w:rsid w:val="008E4984"/>
    <w:rsid w:val="008E4E52"/>
    <w:rsid w:val="008E50B5"/>
    <w:rsid w:val="008E6AF9"/>
    <w:rsid w:val="008E6CB3"/>
    <w:rsid w:val="008E74B9"/>
    <w:rsid w:val="008E7776"/>
    <w:rsid w:val="008F13E1"/>
    <w:rsid w:val="008F3701"/>
    <w:rsid w:val="008F3E20"/>
    <w:rsid w:val="008F4B40"/>
    <w:rsid w:val="008F6142"/>
    <w:rsid w:val="008F7065"/>
    <w:rsid w:val="009003A8"/>
    <w:rsid w:val="00900C66"/>
    <w:rsid w:val="00901197"/>
    <w:rsid w:val="00901E56"/>
    <w:rsid w:val="00907216"/>
    <w:rsid w:val="009076A9"/>
    <w:rsid w:val="00907AAB"/>
    <w:rsid w:val="00907EDE"/>
    <w:rsid w:val="00911C64"/>
    <w:rsid w:val="009125C6"/>
    <w:rsid w:val="00912904"/>
    <w:rsid w:val="00913982"/>
    <w:rsid w:val="00914903"/>
    <w:rsid w:val="00915A7F"/>
    <w:rsid w:val="00916D69"/>
    <w:rsid w:val="00917B42"/>
    <w:rsid w:val="00917DB6"/>
    <w:rsid w:val="009203B3"/>
    <w:rsid w:val="00920D23"/>
    <w:rsid w:val="00922D3D"/>
    <w:rsid w:val="00923615"/>
    <w:rsid w:val="009244E0"/>
    <w:rsid w:val="00925BAA"/>
    <w:rsid w:val="00926D91"/>
    <w:rsid w:val="00931146"/>
    <w:rsid w:val="00931D61"/>
    <w:rsid w:val="009331E3"/>
    <w:rsid w:val="00933DD6"/>
    <w:rsid w:val="00933F6D"/>
    <w:rsid w:val="00935D47"/>
    <w:rsid w:val="00935EDD"/>
    <w:rsid w:val="009368E3"/>
    <w:rsid w:val="00936EA2"/>
    <w:rsid w:val="0093798E"/>
    <w:rsid w:val="00940513"/>
    <w:rsid w:val="00941773"/>
    <w:rsid w:val="00941B98"/>
    <w:rsid w:val="00943F3C"/>
    <w:rsid w:val="0094434F"/>
    <w:rsid w:val="009447D1"/>
    <w:rsid w:val="00946020"/>
    <w:rsid w:val="00947247"/>
    <w:rsid w:val="00947DF0"/>
    <w:rsid w:val="00950521"/>
    <w:rsid w:val="00951B93"/>
    <w:rsid w:val="009532D5"/>
    <w:rsid w:val="00953CB5"/>
    <w:rsid w:val="00954F7B"/>
    <w:rsid w:val="00955FB4"/>
    <w:rsid w:val="00955FF6"/>
    <w:rsid w:val="00960EBB"/>
    <w:rsid w:val="00964907"/>
    <w:rsid w:val="00964CB4"/>
    <w:rsid w:val="0096519A"/>
    <w:rsid w:val="009679E0"/>
    <w:rsid w:val="00967A6F"/>
    <w:rsid w:val="009707E3"/>
    <w:rsid w:val="00970ACE"/>
    <w:rsid w:val="00971006"/>
    <w:rsid w:val="009711B5"/>
    <w:rsid w:val="00971B26"/>
    <w:rsid w:val="00971D28"/>
    <w:rsid w:val="009768BA"/>
    <w:rsid w:val="00977158"/>
    <w:rsid w:val="0098064F"/>
    <w:rsid w:val="00980BB6"/>
    <w:rsid w:val="00981C5C"/>
    <w:rsid w:val="00982BF4"/>
    <w:rsid w:val="009835F9"/>
    <w:rsid w:val="00984B89"/>
    <w:rsid w:val="00984BA3"/>
    <w:rsid w:val="00985F0F"/>
    <w:rsid w:val="00985F32"/>
    <w:rsid w:val="0098720C"/>
    <w:rsid w:val="00987BF6"/>
    <w:rsid w:val="00987D63"/>
    <w:rsid w:val="0099033F"/>
    <w:rsid w:val="009912BC"/>
    <w:rsid w:val="00992299"/>
    <w:rsid w:val="00992E87"/>
    <w:rsid w:val="009937E7"/>
    <w:rsid w:val="00993ABF"/>
    <w:rsid w:val="00993CED"/>
    <w:rsid w:val="00994B9D"/>
    <w:rsid w:val="00994DCA"/>
    <w:rsid w:val="00995D42"/>
    <w:rsid w:val="00996B3E"/>
    <w:rsid w:val="00997928"/>
    <w:rsid w:val="00997D4D"/>
    <w:rsid w:val="009A0BBF"/>
    <w:rsid w:val="009A216E"/>
    <w:rsid w:val="009A3828"/>
    <w:rsid w:val="009A3FCC"/>
    <w:rsid w:val="009A5663"/>
    <w:rsid w:val="009A5963"/>
    <w:rsid w:val="009A5CB9"/>
    <w:rsid w:val="009A5F41"/>
    <w:rsid w:val="009A744A"/>
    <w:rsid w:val="009A793F"/>
    <w:rsid w:val="009B130A"/>
    <w:rsid w:val="009B50C0"/>
    <w:rsid w:val="009B5A9E"/>
    <w:rsid w:val="009C0F02"/>
    <w:rsid w:val="009C20A2"/>
    <w:rsid w:val="009C26A4"/>
    <w:rsid w:val="009C2849"/>
    <w:rsid w:val="009C3AC1"/>
    <w:rsid w:val="009C6AB3"/>
    <w:rsid w:val="009C6EA9"/>
    <w:rsid w:val="009C6FDB"/>
    <w:rsid w:val="009C7079"/>
    <w:rsid w:val="009D04DE"/>
    <w:rsid w:val="009D06B3"/>
    <w:rsid w:val="009D2082"/>
    <w:rsid w:val="009D2B0E"/>
    <w:rsid w:val="009D3CF1"/>
    <w:rsid w:val="009D5B03"/>
    <w:rsid w:val="009D6134"/>
    <w:rsid w:val="009D672C"/>
    <w:rsid w:val="009D6AD8"/>
    <w:rsid w:val="009E00EB"/>
    <w:rsid w:val="009E0286"/>
    <w:rsid w:val="009E1703"/>
    <w:rsid w:val="009E1AD3"/>
    <w:rsid w:val="009E1B46"/>
    <w:rsid w:val="009E1E72"/>
    <w:rsid w:val="009E2237"/>
    <w:rsid w:val="009E3641"/>
    <w:rsid w:val="009E3F91"/>
    <w:rsid w:val="009E5201"/>
    <w:rsid w:val="009E5A8F"/>
    <w:rsid w:val="009E5FC9"/>
    <w:rsid w:val="009E69DE"/>
    <w:rsid w:val="009E70DA"/>
    <w:rsid w:val="009F223C"/>
    <w:rsid w:val="009F2D60"/>
    <w:rsid w:val="009F31B4"/>
    <w:rsid w:val="009F379E"/>
    <w:rsid w:val="009F7C77"/>
    <w:rsid w:val="00A0121B"/>
    <w:rsid w:val="00A01BB9"/>
    <w:rsid w:val="00A0203A"/>
    <w:rsid w:val="00A028D0"/>
    <w:rsid w:val="00A02F5E"/>
    <w:rsid w:val="00A036FE"/>
    <w:rsid w:val="00A039E8"/>
    <w:rsid w:val="00A0577C"/>
    <w:rsid w:val="00A05BD3"/>
    <w:rsid w:val="00A07F44"/>
    <w:rsid w:val="00A1029B"/>
    <w:rsid w:val="00A141C6"/>
    <w:rsid w:val="00A15207"/>
    <w:rsid w:val="00A15A3C"/>
    <w:rsid w:val="00A1795F"/>
    <w:rsid w:val="00A17E7F"/>
    <w:rsid w:val="00A21A53"/>
    <w:rsid w:val="00A21ADF"/>
    <w:rsid w:val="00A235E8"/>
    <w:rsid w:val="00A2585B"/>
    <w:rsid w:val="00A26B35"/>
    <w:rsid w:val="00A27487"/>
    <w:rsid w:val="00A30BA0"/>
    <w:rsid w:val="00A31C60"/>
    <w:rsid w:val="00A35244"/>
    <w:rsid w:val="00A3586F"/>
    <w:rsid w:val="00A36047"/>
    <w:rsid w:val="00A36BA0"/>
    <w:rsid w:val="00A4108F"/>
    <w:rsid w:val="00A42229"/>
    <w:rsid w:val="00A43DEC"/>
    <w:rsid w:val="00A44ED2"/>
    <w:rsid w:val="00A50AB5"/>
    <w:rsid w:val="00A50CEC"/>
    <w:rsid w:val="00A50D88"/>
    <w:rsid w:val="00A5155D"/>
    <w:rsid w:val="00A54DF7"/>
    <w:rsid w:val="00A552E2"/>
    <w:rsid w:val="00A555F0"/>
    <w:rsid w:val="00A561AE"/>
    <w:rsid w:val="00A57C2A"/>
    <w:rsid w:val="00A57DA1"/>
    <w:rsid w:val="00A61258"/>
    <w:rsid w:val="00A64719"/>
    <w:rsid w:val="00A64B06"/>
    <w:rsid w:val="00A651F7"/>
    <w:rsid w:val="00A6662B"/>
    <w:rsid w:val="00A667E5"/>
    <w:rsid w:val="00A6692D"/>
    <w:rsid w:val="00A67EEA"/>
    <w:rsid w:val="00A70EAD"/>
    <w:rsid w:val="00A714CB"/>
    <w:rsid w:val="00A72DC6"/>
    <w:rsid w:val="00A73589"/>
    <w:rsid w:val="00A75097"/>
    <w:rsid w:val="00A75F63"/>
    <w:rsid w:val="00A762C9"/>
    <w:rsid w:val="00A77969"/>
    <w:rsid w:val="00A77BAB"/>
    <w:rsid w:val="00A816CF"/>
    <w:rsid w:val="00A81B3D"/>
    <w:rsid w:val="00A81EAD"/>
    <w:rsid w:val="00A83F40"/>
    <w:rsid w:val="00A83FE5"/>
    <w:rsid w:val="00A840EB"/>
    <w:rsid w:val="00A8565C"/>
    <w:rsid w:val="00A874C8"/>
    <w:rsid w:val="00A877F7"/>
    <w:rsid w:val="00A87B61"/>
    <w:rsid w:val="00A90578"/>
    <w:rsid w:val="00A91020"/>
    <w:rsid w:val="00A9338B"/>
    <w:rsid w:val="00A93D1B"/>
    <w:rsid w:val="00A94F94"/>
    <w:rsid w:val="00A950A6"/>
    <w:rsid w:val="00A95E0B"/>
    <w:rsid w:val="00A97DB5"/>
    <w:rsid w:val="00AA02FF"/>
    <w:rsid w:val="00AA03A4"/>
    <w:rsid w:val="00AA1D31"/>
    <w:rsid w:val="00AA231C"/>
    <w:rsid w:val="00AA276D"/>
    <w:rsid w:val="00AA4EF5"/>
    <w:rsid w:val="00AA61E9"/>
    <w:rsid w:val="00AA6D05"/>
    <w:rsid w:val="00AB0148"/>
    <w:rsid w:val="00AB019D"/>
    <w:rsid w:val="00AB01A8"/>
    <w:rsid w:val="00AB0C19"/>
    <w:rsid w:val="00AB0FBA"/>
    <w:rsid w:val="00AB126E"/>
    <w:rsid w:val="00AB1B41"/>
    <w:rsid w:val="00AB1D7E"/>
    <w:rsid w:val="00AB21DB"/>
    <w:rsid w:val="00AB3105"/>
    <w:rsid w:val="00AB41AD"/>
    <w:rsid w:val="00AB44A8"/>
    <w:rsid w:val="00AB50D3"/>
    <w:rsid w:val="00AB551D"/>
    <w:rsid w:val="00AB60AE"/>
    <w:rsid w:val="00AB6A04"/>
    <w:rsid w:val="00AB7163"/>
    <w:rsid w:val="00AC0455"/>
    <w:rsid w:val="00AC07C8"/>
    <w:rsid w:val="00AC1229"/>
    <w:rsid w:val="00AC14FB"/>
    <w:rsid w:val="00AC156B"/>
    <w:rsid w:val="00AC186E"/>
    <w:rsid w:val="00AC1DEC"/>
    <w:rsid w:val="00AC2828"/>
    <w:rsid w:val="00AC2E20"/>
    <w:rsid w:val="00AC4A3E"/>
    <w:rsid w:val="00AC5920"/>
    <w:rsid w:val="00AC7D61"/>
    <w:rsid w:val="00AD18D2"/>
    <w:rsid w:val="00AD1922"/>
    <w:rsid w:val="00AD279F"/>
    <w:rsid w:val="00AD2CF1"/>
    <w:rsid w:val="00AD2E5D"/>
    <w:rsid w:val="00AD3F51"/>
    <w:rsid w:val="00AD4E3C"/>
    <w:rsid w:val="00AD58AF"/>
    <w:rsid w:val="00AD7681"/>
    <w:rsid w:val="00AD7B19"/>
    <w:rsid w:val="00AE0822"/>
    <w:rsid w:val="00AE0C5C"/>
    <w:rsid w:val="00AE1F7D"/>
    <w:rsid w:val="00AE3DF6"/>
    <w:rsid w:val="00AE5C98"/>
    <w:rsid w:val="00AE656A"/>
    <w:rsid w:val="00AF0BB4"/>
    <w:rsid w:val="00AF1835"/>
    <w:rsid w:val="00AF26DD"/>
    <w:rsid w:val="00AF2A45"/>
    <w:rsid w:val="00AF2B67"/>
    <w:rsid w:val="00AF31A1"/>
    <w:rsid w:val="00AF451B"/>
    <w:rsid w:val="00AF50C0"/>
    <w:rsid w:val="00AF514A"/>
    <w:rsid w:val="00AF63F5"/>
    <w:rsid w:val="00AF6CB1"/>
    <w:rsid w:val="00B0067D"/>
    <w:rsid w:val="00B02F64"/>
    <w:rsid w:val="00B10052"/>
    <w:rsid w:val="00B10D52"/>
    <w:rsid w:val="00B11402"/>
    <w:rsid w:val="00B1155D"/>
    <w:rsid w:val="00B11B57"/>
    <w:rsid w:val="00B1275A"/>
    <w:rsid w:val="00B1351D"/>
    <w:rsid w:val="00B13F4A"/>
    <w:rsid w:val="00B141EA"/>
    <w:rsid w:val="00B14339"/>
    <w:rsid w:val="00B145A4"/>
    <w:rsid w:val="00B1477D"/>
    <w:rsid w:val="00B14EF6"/>
    <w:rsid w:val="00B1556B"/>
    <w:rsid w:val="00B155E5"/>
    <w:rsid w:val="00B15EFE"/>
    <w:rsid w:val="00B167C8"/>
    <w:rsid w:val="00B20125"/>
    <w:rsid w:val="00B20A67"/>
    <w:rsid w:val="00B23ECE"/>
    <w:rsid w:val="00B258CF"/>
    <w:rsid w:val="00B25FA0"/>
    <w:rsid w:val="00B309E1"/>
    <w:rsid w:val="00B30A90"/>
    <w:rsid w:val="00B31A87"/>
    <w:rsid w:val="00B33652"/>
    <w:rsid w:val="00B34B8C"/>
    <w:rsid w:val="00B359D5"/>
    <w:rsid w:val="00B3725F"/>
    <w:rsid w:val="00B40C0F"/>
    <w:rsid w:val="00B40FD2"/>
    <w:rsid w:val="00B4199E"/>
    <w:rsid w:val="00B41ABD"/>
    <w:rsid w:val="00B41CE7"/>
    <w:rsid w:val="00B42F73"/>
    <w:rsid w:val="00B43EF2"/>
    <w:rsid w:val="00B44A5D"/>
    <w:rsid w:val="00B45035"/>
    <w:rsid w:val="00B47FAB"/>
    <w:rsid w:val="00B51816"/>
    <w:rsid w:val="00B52336"/>
    <w:rsid w:val="00B53093"/>
    <w:rsid w:val="00B54CEA"/>
    <w:rsid w:val="00B5563C"/>
    <w:rsid w:val="00B5665B"/>
    <w:rsid w:val="00B57B57"/>
    <w:rsid w:val="00B6059F"/>
    <w:rsid w:val="00B619F0"/>
    <w:rsid w:val="00B65015"/>
    <w:rsid w:val="00B65F23"/>
    <w:rsid w:val="00B6653A"/>
    <w:rsid w:val="00B66E08"/>
    <w:rsid w:val="00B677AC"/>
    <w:rsid w:val="00B67AA8"/>
    <w:rsid w:val="00B70799"/>
    <w:rsid w:val="00B70998"/>
    <w:rsid w:val="00B70BE5"/>
    <w:rsid w:val="00B71D04"/>
    <w:rsid w:val="00B7234B"/>
    <w:rsid w:val="00B723D2"/>
    <w:rsid w:val="00B737F4"/>
    <w:rsid w:val="00B7406F"/>
    <w:rsid w:val="00B74F58"/>
    <w:rsid w:val="00B7528F"/>
    <w:rsid w:val="00B7724D"/>
    <w:rsid w:val="00B774A3"/>
    <w:rsid w:val="00B814EA"/>
    <w:rsid w:val="00B85966"/>
    <w:rsid w:val="00B9103D"/>
    <w:rsid w:val="00B916B5"/>
    <w:rsid w:val="00B91FCD"/>
    <w:rsid w:val="00B937A8"/>
    <w:rsid w:val="00B94887"/>
    <w:rsid w:val="00B949CE"/>
    <w:rsid w:val="00BA0492"/>
    <w:rsid w:val="00BA04C8"/>
    <w:rsid w:val="00BA0707"/>
    <w:rsid w:val="00BA2F11"/>
    <w:rsid w:val="00BA5500"/>
    <w:rsid w:val="00BA6C69"/>
    <w:rsid w:val="00BA6F3D"/>
    <w:rsid w:val="00BA76F3"/>
    <w:rsid w:val="00BB234D"/>
    <w:rsid w:val="00BB3031"/>
    <w:rsid w:val="00BB4B77"/>
    <w:rsid w:val="00BB5EDA"/>
    <w:rsid w:val="00BB68C9"/>
    <w:rsid w:val="00BB77B7"/>
    <w:rsid w:val="00BC10E3"/>
    <w:rsid w:val="00BC2013"/>
    <w:rsid w:val="00BC2368"/>
    <w:rsid w:val="00BC2B52"/>
    <w:rsid w:val="00BC3E2C"/>
    <w:rsid w:val="00BC5353"/>
    <w:rsid w:val="00BC5F60"/>
    <w:rsid w:val="00BC6F92"/>
    <w:rsid w:val="00BD136E"/>
    <w:rsid w:val="00BD1855"/>
    <w:rsid w:val="00BD5966"/>
    <w:rsid w:val="00BD5987"/>
    <w:rsid w:val="00BD6E47"/>
    <w:rsid w:val="00BD7627"/>
    <w:rsid w:val="00BD7BD3"/>
    <w:rsid w:val="00BE065B"/>
    <w:rsid w:val="00BE3371"/>
    <w:rsid w:val="00BE54B6"/>
    <w:rsid w:val="00BE5BE3"/>
    <w:rsid w:val="00BE660C"/>
    <w:rsid w:val="00BE6E7C"/>
    <w:rsid w:val="00BE70DD"/>
    <w:rsid w:val="00BF1035"/>
    <w:rsid w:val="00BF15EB"/>
    <w:rsid w:val="00BF1866"/>
    <w:rsid w:val="00BF2137"/>
    <w:rsid w:val="00BF4203"/>
    <w:rsid w:val="00BF48C5"/>
    <w:rsid w:val="00BF4B25"/>
    <w:rsid w:val="00BF4FD4"/>
    <w:rsid w:val="00BF60B8"/>
    <w:rsid w:val="00BF6158"/>
    <w:rsid w:val="00C00007"/>
    <w:rsid w:val="00C00D13"/>
    <w:rsid w:val="00C00E92"/>
    <w:rsid w:val="00C01E13"/>
    <w:rsid w:val="00C024C1"/>
    <w:rsid w:val="00C02F8E"/>
    <w:rsid w:val="00C036E3"/>
    <w:rsid w:val="00C06006"/>
    <w:rsid w:val="00C06661"/>
    <w:rsid w:val="00C06D26"/>
    <w:rsid w:val="00C07CC6"/>
    <w:rsid w:val="00C10A42"/>
    <w:rsid w:val="00C11860"/>
    <w:rsid w:val="00C128D5"/>
    <w:rsid w:val="00C12C85"/>
    <w:rsid w:val="00C15590"/>
    <w:rsid w:val="00C16226"/>
    <w:rsid w:val="00C163D1"/>
    <w:rsid w:val="00C1679F"/>
    <w:rsid w:val="00C16EF6"/>
    <w:rsid w:val="00C22A25"/>
    <w:rsid w:val="00C22A8C"/>
    <w:rsid w:val="00C22AD9"/>
    <w:rsid w:val="00C24F45"/>
    <w:rsid w:val="00C252B6"/>
    <w:rsid w:val="00C25C34"/>
    <w:rsid w:val="00C266E1"/>
    <w:rsid w:val="00C27652"/>
    <w:rsid w:val="00C302A5"/>
    <w:rsid w:val="00C30DB2"/>
    <w:rsid w:val="00C30F01"/>
    <w:rsid w:val="00C334BC"/>
    <w:rsid w:val="00C33928"/>
    <w:rsid w:val="00C355B8"/>
    <w:rsid w:val="00C356B2"/>
    <w:rsid w:val="00C36181"/>
    <w:rsid w:val="00C376E1"/>
    <w:rsid w:val="00C37C18"/>
    <w:rsid w:val="00C37E06"/>
    <w:rsid w:val="00C40709"/>
    <w:rsid w:val="00C42FDE"/>
    <w:rsid w:val="00C433BC"/>
    <w:rsid w:val="00C4350D"/>
    <w:rsid w:val="00C45C75"/>
    <w:rsid w:val="00C50803"/>
    <w:rsid w:val="00C54032"/>
    <w:rsid w:val="00C54CD9"/>
    <w:rsid w:val="00C5531E"/>
    <w:rsid w:val="00C55618"/>
    <w:rsid w:val="00C55ADD"/>
    <w:rsid w:val="00C55CCC"/>
    <w:rsid w:val="00C563EF"/>
    <w:rsid w:val="00C56C48"/>
    <w:rsid w:val="00C56F31"/>
    <w:rsid w:val="00C57482"/>
    <w:rsid w:val="00C57F92"/>
    <w:rsid w:val="00C62577"/>
    <w:rsid w:val="00C626CA"/>
    <w:rsid w:val="00C6283B"/>
    <w:rsid w:val="00C63395"/>
    <w:rsid w:val="00C6394C"/>
    <w:rsid w:val="00C63AF0"/>
    <w:rsid w:val="00C63BC8"/>
    <w:rsid w:val="00C63CEF"/>
    <w:rsid w:val="00C6664F"/>
    <w:rsid w:val="00C711BD"/>
    <w:rsid w:val="00C71361"/>
    <w:rsid w:val="00C72D9D"/>
    <w:rsid w:val="00C750F5"/>
    <w:rsid w:val="00C75193"/>
    <w:rsid w:val="00C76903"/>
    <w:rsid w:val="00C76988"/>
    <w:rsid w:val="00C83D4F"/>
    <w:rsid w:val="00C8638D"/>
    <w:rsid w:val="00C86A8A"/>
    <w:rsid w:val="00C872EC"/>
    <w:rsid w:val="00C879B2"/>
    <w:rsid w:val="00C90388"/>
    <w:rsid w:val="00C90FC0"/>
    <w:rsid w:val="00C91007"/>
    <w:rsid w:val="00C910C0"/>
    <w:rsid w:val="00C91979"/>
    <w:rsid w:val="00C9338F"/>
    <w:rsid w:val="00C9693E"/>
    <w:rsid w:val="00CA129D"/>
    <w:rsid w:val="00CA169B"/>
    <w:rsid w:val="00CA2352"/>
    <w:rsid w:val="00CA261C"/>
    <w:rsid w:val="00CA288D"/>
    <w:rsid w:val="00CA4C64"/>
    <w:rsid w:val="00CA4F17"/>
    <w:rsid w:val="00CA4FBD"/>
    <w:rsid w:val="00CA55AB"/>
    <w:rsid w:val="00CA5872"/>
    <w:rsid w:val="00CA5C9C"/>
    <w:rsid w:val="00CA630B"/>
    <w:rsid w:val="00CA690D"/>
    <w:rsid w:val="00CA697B"/>
    <w:rsid w:val="00CA760F"/>
    <w:rsid w:val="00CB0A13"/>
    <w:rsid w:val="00CB6D4E"/>
    <w:rsid w:val="00CB79C3"/>
    <w:rsid w:val="00CC0541"/>
    <w:rsid w:val="00CC0E7B"/>
    <w:rsid w:val="00CC0F6D"/>
    <w:rsid w:val="00CC136D"/>
    <w:rsid w:val="00CC1D0E"/>
    <w:rsid w:val="00CC2AEB"/>
    <w:rsid w:val="00CC3568"/>
    <w:rsid w:val="00CC4F42"/>
    <w:rsid w:val="00CC5563"/>
    <w:rsid w:val="00CC55F1"/>
    <w:rsid w:val="00CC74F8"/>
    <w:rsid w:val="00CD00D0"/>
    <w:rsid w:val="00CD6066"/>
    <w:rsid w:val="00CD68CF"/>
    <w:rsid w:val="00CD7C7C"/>
    <w:rsid w:val="00CE1713"/>
    <w:rsid w:val="00CE1DF0"/>
    <w:rsid w:val="00CE1F6D"/>
    <w:rsid w:val="00CE21D1"/>
    <w:rsid w:val="00CE24C0"/>
    <w:rsid w:val="00CE25F6"/>
    <w:rsid w:val="00CE2BEE"/>
    <w:rsid w:val="00CE2C9F"/>
    <w:rsid w:val="00CE30F9"/>
    <w:rsid w:val="00CE3D73"/>
    <w:rsid w:val="00CE5C78"/>
    <w:rsid w:val="00CE66FC"/>
    <w:rsid w:val="00CE6923"/>
    <w:rsid w:val="00CE7D2D"/>
    <w:rsid w:val="00CF0873"/>
    <w:rsid w:val="00CF3FA3"/>
    <w:rsid w:val="00CF44C7"/>
    <w:rsid w:val="00CF5A4F"/>
    <w:rsid w:val="00CF5F67"/>
    <w:rsid w:val="00CF6C04"/>
    <w:rsid w:val="00D056AA"/>
    <w:rsid w:val="00D07A48"/>
    <w:rsid w:val="00D12B17"/>
    <w:rsid w:val="00D13B07"/>
    <w:rsid w:val="00D13D53"/>
    <w:rsid w:val="00D1545F"/>
    <w:rsid w:val="00D17E4B"/>
    <w:rsid w:val="00D20C65"/>
    <w:rsid w:val="00D211F9"/>
    <w:rsid w:val="00D21913"/>
    <w:rsid w:val="00D22338"/>
    <w:rsid w:val="00D249D6"/>
    <w:rsid w:val="00D249E9"/>
    <w:rsid w:val="00D24A4A"/>
    <w:rsid w:val="00D257CD"/>
    <w:rsid w:val="00D259DB"/>
    <w:rsid w:val="00D27FAB"/>
    <w:rsid w:val="00D30B0B"/>
    <w:rsid w:val="00D30DE8"/>
    <w:rsid w:val="00D314C7"/>
    <w:rsid w:val="00D3186B"/>
    <w:rsid w:val="00D31B93"/>
    <w:rsid w:val="00D32401"/>
    <w:rsid w:val="00D33082"/>
    <w:rsid w:val="00D35875"/>
    <w:rsid w:val="00D3676F"/>
    <w:rsid w:val="00D369F5"/>
    <w:rsid w:val="00D41658"/>
    <w:rsid w:val="00D41DD0"/>
    <w:rsid w:val="00D4423B"/>
    <w:rsid w:val="00D447FA"/>
    <w:rsid w:val="00D44C9D"/>
    <w:rsid w:val="00D451EF"/>
    <w:rsid w:val="00D46EF6"/>
    <w:rsid w:val="00D50903"/>
    <w:rsid w:val="00D51A0C"/>
    <w:rsid w:val="00D52248"/>
    <w:rsid w:val="00D52960"/>
    <w:rsid w:val="00D54DAD"/>
    <w:rsid w:val="00D56849"/>
    <w:rsid w:val="00D56E63"/>
    <w:rsid w:val="00D57681"/>
    <w:rsid w:val="00D62D33"/>
    <w:rsid w:val="00D63741"/>
    <w:rsid w:val="00D6393A"/>
    <w:rsid w:val="00D66392"/>
    <w:rsid w:val="00D668BE"/>
    <w:rsid w:val="00D670AD"/>
    <w:rsid w:val="00D71137"/>
    <w:rsid w:val="00D71249"/>
    <w:rsid w:val="00D71831"/>
    <w:rsid w:val="00D72760"/>
    <w:rsid w:val="00D7345B"/>
    <w:rsid w:val="00D738E5"/>
    <w:rsid w:val="00D73CB4"/>
    <w:rsid w:val="00D74740"/>
    <w:rsid w:val="00D7508C"/>
    <w:rsid w:val="00D75129"/>
    <w:rsid w:val="00D75BCA"/>
    <w:rsid w:val="00D7624C"/>
    <w:rsid w:val="00D766FF"/>
    <w:rsid w:val="00D769D6"/>
    <w:rsid w:val="00D7797C"/>
    <w:rsid w:val="00D80B05"/>
    <w:rsid w:val="00D829BE"/>
    <w:rsid w:val="00D83B64"/>
    <w:rsid w:val="00D84F89"/>
    <w:rsid w:val="00D86D4A"/>
    <w:rsid w:val="00D87678"/>
    <w:rsid w:val="00D904DC"/>
    <w:rsid w:val="00D90564"/>
    <w:rsid w:val="00D90629"/>
    <w:rsid w:val="00D908E2"/>
    <w:rsid w:val="00D917A2"/>
    <w:rsid w:val="00D91A72"/>
    <w:rsid w:val="00D92DE0"/>
    <w:rsid w:val="00D9352B"/>
    <w:rsid w:val="00D94B5E"/>
    <w:rsid w:val="00D9500E"/>
    <w:rsid w:val="00D97D89"/>
    <w:rsid w:val="00DA073B"/>
    <w:rsid w:val="00DA22A2"/>
    <w:rsid w:val="00DA2C98"/>
    <w:rsid w:val="00DA2FFD"/>
    <w:rsid w:val="00DB3909"/>
    <w:rsid w:val="00DB3BF8"/>
    <w:rsid w:val="00DB4940"/>
    <w:rsid w:val="00DB4BE9"/>
    <w:rsid w:val="00DB5324"/>
    <w:rsid w:val="00DB5DF8"/>
    <w:rsid w:val="00DB5FFF"/>
    <w:rsid w:val="00DB76E4"/>
    <w:rsid w:val="00DB7BD9"/>
    <w:rsid w:val="00DC023F"/>
    <w:rsid w:val="00DC1B9C"/>
    <w:rsid w:val="00DC250C"/>
    <w:rsid w:val="00DC4413"/>
    <w:rsid w:val="00DC5F26"/>
    <w:rsid w:val="00DC73DA"/>
    <w:rsid w:val="00DD09FA"/>
    <w:rsid w:val="00DD3838"/>
    <w:rsid w:val="00DD5671"/>
    <w:rsid w:val="00DD636F"/>
    <w:rsid w:val="00DE0051"/>
    <w:rsid w:val="00DE16EF"/>
    <w:rsid w:val="00DE2C7A"/>
    <w:rsid w:val="00DE37F5"/>
    <w:rsid w:val="00DE7717"/>
    <w:rsid w:val="00DF121E"/>
    <w:rsid w:val="00DF1775"/>
    <w:rsid w:val="00DF1F60"/>
    <w:rsid w:val="00DF1F79"/>
    <w:rsid w:val="00DF25F4"/>
    <w:rsid w:val="00DF334D"/>
    <w:rsid w:val="00DF4CE0"/>
    <w:rsid w:val="00DF4DAE"/>
    <w:rsid w:val="00DF4DF6"/>
    <w:rsid w:val="00DF5795"/>
    <w:rsid w:val="00DF5E67"/>
    <w:rsid w:val="00DF77AA"/>
    <w:rsid w:val="00E021E2"/>
    <w:rsid w:val="00E041F9"/>
    <w:rsid w:val="00E04238"/>
    <w:rsid w:val="00E058E9"/>
    <w:rsid w:val="00E062C2"/>
    <w:rsid w:val="00E071D9"/>
    <w:rsid w:val="00E07761"/>
    <w:rsid w:val="00E106B2"/>
    <w:rsid w:val="00E11CAE"/>
    <w:rsid w:val="00E136F2"/>
    <w:rsid w:val="00E1426B"/>
    <w:rsid w:val="00E147E6"/>
    <w:rsid w:val="00E16D29"/>
    <w:rsid w:val="00E16F35"/>
    <w:rsid w:val="00E1700F"/>
    <w:rsid w:val="00E20A8E"/>
    <w:rsid w:val="00E2114E"/>
    <w:rsid w:val="00E21554"/>
    <w:rsid w:val="00E217AD"/>
    <w:rsid w:val="00E217B0"/>
    <w:rsid w:val="00E217D3"/>
    <w:rsid w:val="00E22305"/>
    <w:rsid w:val="00E22637"/>
    <w:rsid w:val="00E24FB0"/>
    <w:rsid w:val="00E2543D"/>
    <w:rsid w:val="00E31302"/>
    <w:rsid w:val="00E31D77"/>
    <w:rsid w:val="00E32025"/>
    <w:rsid w:val="00E3243B"/>
    <w:rsid w:val="00E324CB"/>
    <w:rsid w:val="00E32554"/>
    <w:rsid w:val="00E32DAC"/>
    <w:rsid w:val="00E32F0E"/>
    <w:rsid w:val="00E34073"/>
    <w:rsid w:val="00E36F2E"/>
    <w:rsid w:val="00E41851"/>
    <w:rsid w:val="00E42523"/>
    <w:rsid w:val="00E4271C"/>
    <w:rsid w:val="00E44E48"/>
    <w:rsid w:val="00E45D8B"/>
    <w:rsid w:val="00E46931"/>
    <w:rsid w:val="00E50989"/>
    <w:rsid w:val="00E516C9"/>
    <w:rsid w:val="00E53A0D"/>
    <w:rsid w:val="00E55508"/>
    <w:rsid w:val="00E555F4"/>
    <w:rsid w:val="00E55AAB"/>
    <w:rsid w:val="00E56D9C"/>
    <w:rsid w:val="00E56F04"/>
    <w:rsid w:val="00E56F43"/>
    <w:rsid w:val="00E5711B"/>
    <w:rsid w:val="00E603B9"/>
    <w:rsid w:val="00E60B8D"/>
    <w:rsid w:val="00E60F81"/>
    <w:rsid w:val="00E61D79"/>
    <w:rsid w:val="00E62179"/>
    <w:rsid w:val="00E62E87"/>
    <w:rsid w:val="00E62EC5"/>
    <w:rsid w:val="00E62F14"/>
    <w:rsid w:val="00E639CD"/>
    <w:rsid w:val="00E6639D"/>
    <w:rsid w:val="00E66CED"/>
    <w:rsid w:val="00E713F7"/>
    <w:rsid w:val="00E72052"/>
    <w:rsid w:val="00E741FB"/>
    <w:rsid w:val="00E7531A"/>
    <w:rsid w:val="00E75C6C"/>
    <w:rsid w:val="00E76981"/>
    <w:rsid w:val="00E81262"/>
    <w:rsid w:val="00E82C2E"/>
    <w:rsid w:val="00E8622B"/>
    <w:rsid w:val="00E87946"/>
    <w:rsid w:val="00E902C0"/>
    <w:rsid w:val="00E915AF"/>
    <w:rsid w:val="00E9171D"/>
    <w:rsid w:val="00E918B9"/>
    <w:rsid w:val="00E933DC"/>
    <w:rsid w:val="00E942B7"/>
    <w:rsid w:val="00E9518B"/>
    <w:rsid w:val="00E95933"/>
    <w:rsid w:val="00E95D60"/>
    <w:rsid w:val="00E96F37"/>
    <w:rsid w:val="00E97C8D"/>
    <w:rsid w:val="00EA1B0A"/>
    <w:rsid w:val="00EA28C9"/>
    <w:rsid w:val="00EA2906"/>
    <w:rsid w:val="00EA320B"/>
    <w:rsid w:val="00EA4135"/>
    <w:rsid w:val="00EA4B72"/>
    <w:rsid w:val="00EA4D7A"/>
    <w:rsid w:val="00EA58AC"/>
    <w:rsid w:val="00EA58D9"/>
    <w:rsid w:val="00EA692D"/>
    <w:rsid w:val="00EA6B21"/>
    <w:rsid w:val="00EA6C42"/>
    <w:rsid w:val="00EA6D57"/>
    <w:rsid w:val="00EB109B"/>
    <w:rsid w:val="00EB5207"/>
    <w:rsid w:val="00EB67C1"/>
    <w:rsid w:val="00EB7B5B"/>
    <w:rsid w:val="00EC02BD"/>
    <w:rsid w:val="00EC0DE4"/>
    <w:rsid w:val="00EC1B13"/>
    <w:rsid w:val="00EC3747"/>
    <w:rsid w:val="00EC48A3"/>
    <w:rsid w:val="00EC67F6"/>
    <w:rsid w:val="00EC746F"/>
    <w:rsid w:val="00ED00D1"/>
    <w:rsid w:val="00ED0911"/>
    <w:rsid w:val="00ED0B03"/>
    <w:rsid w:val="00ED2EC5"/>
    <w:rsid w:val="00ED58CB"/>
    <w:rsid w:val="00ED60FC"/>
    <w:rsid w:val="00ED653B"/>
    <w:rsid w:val="00ED6683"/>
    <w:rsid w:val="00ED7B55"/>
    <w:rsid w:val="00EE223E"/>
    <w:rsid w:val="00EE29FA"/>
    <w:rsid w:val="00EE2B05"/>
    <w:rsid w:val="00EE6D21"/>
    <w:rsid w:val="00EF0DFF"/>
    <w:rsid w:val="00EF1812"/>
    <w:rsid w:val="00EF1A33"/>
    <w:rsid w:val="00EF29EF"/>
    <w:rsid w:val="00EF2C48"/>
    <w:rsid w:val="00EF316C"/>
    <w:rsid w:val="00EF4337"/>
    <w:rsid w:val="00EF4463"/>
    <w:rsid w:val="00EF50FF"/>
    <w:rsid w:val="00F00D46"/>
    <w:rsid w:val="00F01465"/>
    <w:rsid w:val="00F021F2"/>
    <w:rsid w:val="00F0283C"/>
    <w:rsid w:val="00F04CD1"/>
    <w:rsid w:val="00F04F6A"/>
    <w:rsid w:val="00F0589F"/>
    <w:rsid w:val="00F0685D"/>
    <w:rsid w:val="00F06951"/>
    <w:rsid w:val="00F07A45"/>
    <w:rsid w:val="00F07F1A"/>
    <w:rsid w:val="00F07FDE"/>
    <w:rsid w:val="00F1196D"/>
    <w:rsid w:val="00F136B3"/>
    <w:rsid w:val="00F140AB"/>
    <w:rsid w:val="00F20464"/>
    <w:rsid w:val="00F21254"/>
    <w:rsid w:val="00F22353"/>
    <w:rsid w:val="00F2297F"/>
    <w:rsid w:val="00F23913"/>
    <w:rsid w:val="00F24D46"/>
    <w:rsid w:val="00F263AD"/>
    <w:rsid w:val="00F26A7B"/>
    <w:rsid w:val="00F27CE7"/>
    <w:rsid w:val="00F32FAF"/>
    <w:rsid w:val="00F332BC"/>
    <w:rsid w:val="00F33681"/>
    <w:rsid w:val="00F33CDA"/>
    <w:rsid w:val="00F34682"/>
    <w:rsid w:val="00F35750"/>
    <w:rsid w:val="00F37057"/>
    <w:rsid w:val="00F409F2"/>
    <w:rsid w:val="00F40DAA"/>
    <w:rsid w:val="00F43173"/>
    <w:rsid w:val="00F431DC"/>
    <w:rsid w:val="00F43305"/>
    <w:rsid w:val="00F468EE"/>
    <w:rsid w:val="00F46BFC"/>
    <w:rsid w:val="00F4766A"/>
    <w:rsid w:val="00F47E60"/>
    <w:rsid w:val="00F50B33"/>
    <w:rsid w:val="00F514F2"/>
    <w:rsid w:val="00F51D71"/>
    <w:rsid w:val="00F523DB"/>
    <w:rsid w:val="00F52BA2"/>
    <w:rsid w:val="00F53FD6"/>
    <w:rsid w:val="00F548D6"/>
    <w:rsid w:val="00F55D5C"/>
    <w:rsid w:val="00F56177"/>
    <w:rsid w:val="00F56643"/>
    <w:rsid w:val="00F56C75"/>
    <w:rsid w:val="00F56F51"/>
    <w:rsid w:val="00F57570"/>
    <w:rsid w:val="00F60394"/>
    <w:rsid w:val="00F6106A"/>
    <w:rsid w:val="00F61B29"/>
    <w:rsid w:val="00F6310E"/>
    <w:rsid w:val="00F6497A"/>
    <w:rsid w:val="00F64F97"/>
    <w:rsid w:val="00F65C07"/>
    <w:rsid w:val="00F65F30"/>
    <w:rsid w:val="00F70756"/>
    <w:rsid w:val="00F70976"/>
    <w:rsid w:val="00F71182"/>
    <w:rsid w:val="00F7371A"/>
    <w:rsid w:val="00F7452D"/>
    <w:rsid w:val="00F74598"/>
    <w:rsid w:val="00F75039"/>
    <w:rsid w:val="00F7725A"/>
    <w:rsid w:val="00F77747"/>
    <w:rsid w:val="00F777DC"/>
    <w:rsid w:val="00F811ED"/>
    <w:rsid w:val="00F812F4"/>
    <w:rsid w:val="00F829AA"/>
    <w:rsid w:val="00F84031"/>
    <w:rsid w:val="00F846B8"/>
    <w:rsid w:val="00F85898"/>
    <w:rsid w:val="00F85AF1"/>
    <w:rsid w:val="00F916CA"/>
    <w:rsid w:val="00F93239"/>
    <w:rsid w:val="00F935B4"/>
    <w:rsid w:val="00F93C13"/>
    <w:rsid w:val="00F942D1"/>
    <w:rsid w:val="00F97817"/>
    <w:rsid w:val="00FA111D"/>
    <w:rsid w:val="00FA1F90"/>
    <w:rsid w:val="00FA26EE"/>
    <w:rsid w:val="00FA2921"/>
    <w:rsid w:val="00FA2C8B"/>
    <w:rsid w:val="00FA2FF5"/>
    <w:rsid w:val="00FA69D1"/>
    <w:rsid w:val="00FA76BF"/>
    <w:rsid w:val="00FB0918"/>
    <w:rsid w:val="00FB0B3D"/>
    <w:rsid w:val="00FB0E53"/>
    <w:rsid w:val="00FB22E8"/>
    <w:rsid w:val="00FB2AEB"/>
    <w:rsid w:val="00FB2B24"/>
    <w:rsid w:val="00FB2C50"/>
    <w:rsid w:val="00FB311A"/>
    <w:rsid w:val="00FB3888"/>
    <w:rsid w:val="00FB4087"/>
    <w:rsid w:val="00FB44F4"/>
    <w:rsid w:val="00FB5377"/>
    <w:rsid w:val="00FB6D90"/>
    <w:rsid w:val="00FC1FB9"/>
    <w:rsid w:val="00FC5C96"/>
    <w:rsid w:val="00FC7EF8"/>
    <w:rsid w:val="00FD0BF3"/>
    <w:rsid w:val="00FD0D6F"/>
    <w:rsid w:val="00FD2388"/>
    <w:rsid w:val="00FD24EF"/>
    <w:rsid w:val="00FD2861"/>
    <w:rsid w:val="00FD4334"/>
    <w:rsid w:val="00FD62E1"/>
    <w:rsid w:val="00FD6553"/>
    <w:rsid w:val="00FD7317"/>
    <w:rsid w:val="00FD7FE1"/>
    <w:rsid w:val="00FE1530"/>
    <w:rsid w:val="00FE1BAA"/>
    <w:rsid w:val="00FE1F8C"/>
    <w:rsid w:val="00FE4B37"/>
    <w:rsid w:val="00FE5C88"/>
    <w:rsid w:val="00FE61E0"/>
    <w:rsid w:val="00FF0703"/>
    <w:rsid w:val="00FF16BE"/>
    <w:rsid w:val="00FF1B88"/>
    <w:rsid w:val="00FF2EDE"/>
    <w:rsid w:val="00FF46F9"/>
    <w:rsid w:val="00FF50CE"/>
    <w:rsid w:val="00FF5166"/>
    <w:rsid w:val="00FF5F6C"/>
    <w:rsid w:val="00FF79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C491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GB" w:eastAsia="en-GB"/>
    </w:rPr>
  </w:style>
  <w:style w:type="paragraph" w:styleId="Nagwek2">
    <w:name w:val="heading 2"/>
    <w:basedOn w:val="Normalny"/>
    <w:link w:val="Nagwek2Znak"/>
    <w:uiPriority w:val="1"/>
    <w:semiHidden/>
    <w:unhideWhenUsed/>
    <w:qFormat/>
    <w:rsid w:val="008B2F08"/>
    <w:pPr>
      <w:widowControl w:val="0"/>
      <w:spacing w:before="119"/>
      <w:ind w:left="840"/>
      <w:outlineLvl w:val="1"/>
    </w:pPr>
    <w:rPr>
      <w:rFonts w:ascii="Verdana" w:eastAsia="Verdana" w:hAnsi="Verdana" w:cs="Times New Roman"/>
      <w:b/>
      <w:bCs/>
      <w:u w:val="single"/>
      <w:lang w:val="pl-PL"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F07FDE"/>
  </w:style>
  <w:style w:type="character" w:customStyle="1" w:styleId="TekstprzypisukocowegoZnak">
    <w:name w:val="Tekst przypisu końcowego Znak"/>
    <w:basedOn w:val="Domylnaczcionkaakapitu"/>
    <w:link w:val="Tekstprzypisukocowego"/>
    <w:uiPriority w:val="99"/>
    <w:semiHidden/>
    <w:rsid w:val="00F07FDE"/>
  </w:style>
  <w:style w:type="character" w:styleId="Odwoanieprzypisukocowego">
    <w:name w:val="endnote reference"/>
    <w:uiPriority w:val="99"/>
    <w:semiHidden/>
    <w:unhideWhenUsed/>
    <w:rsid w:val="00F07FDE"/>
    <w:rPr>
      <w:vertAlign w:val="superscript"/>
    </w:rPr>
  </w:style>
  <w:style w:type="paragraph" w:styleId="Tekstprzypisudolnego">
    <w:name w:val="footnote text"/>
    <w:basedOn w:val="Normalny"/>
    <w:link w:val="TekstprzypisudolnegoZnak"/>
    <w:uiPriority w:val="99"/>
    <w:semiHidden/>
    <w:unhideWhenUsed/>
    <w:rsid w:val="00764C1B"/>
  </w:style>
  <w:style w:type="character" w:customStyle="1" w:styleId="TekstprzypisudolnegoZnak">
    <w:name w:val="Tekst przypisu dolnego Znak"/>
    <w:basedOn w:val="Domylnaczcionkaakapitu"/>
    <w:link w:val="Tekstprzypisudolnego"/>
    <w:uiPriority w:val="99"/>
    <w:semiHidden/>
    <w:rsid w:val="00764C1B"/>
  </w:style>
  <w:style w:type="character" w:styleId="Odwoanieprzypisudolnego">
    <w:name w:val="footnote reference"/>
    <w:uiPriority w:val="99"/>
    <w:semiHidden/>
    <w:unhideWhenUsed/>
    <w:rsid w:val="00764C1B"/>
    <w:rPr>
      <w:vertAlign w:val="superscript"/>
    </w:rPr>
  </w:style>
  <w:style w:type="paragraph" w:styleId="Bezodstpw">
    <w:name w:val="No Spacing"/>
    <w:link w:val="BezodstpwZnak"/>
    <w:uiPriority w:val="1"/>
    <w:qFormat/>
    <w:rsid w:val="008500F6"/>
    <w:rPr>
      <w:rFonts w:eastAsia="Times New Roman" w:cs="Times New Roman"/>
      <w:sz w:val="22"/>
      <w:szCs w:val="22"/>
      <w:lang w:eastAsia="en-US"/>
    </w:rPr>
  </w:style>
  <w:style w:type="character" w:customStyle="1" w:styleId="BezodstpwZnak">
    <w:name w:val="Bez odstępów Znak"/>
    <w:link w:val="Bezodstpw"/>
    <w:uiPriority w:val="1"/>
    <w:rsid w:val="008500F6"/>
    <w:rPr>
      <w:rFonts w:eastAsia="Times New Roman" w:cs="Times New Roman"/>
      <w:sz w:val="22"/>
      <w:szCs w:val="22"/>
      <w:lang w:val="pl-PL" w:eastAsia="en-US" w:bidi="ar-SA"/>
    </w:rPr>
  </w:style>
  <w:style w:type="paragraph" w:styleId="Tekstdymka">
    <w:name w:val="Balloon Text"/>
    <w:basedOn w:val="Normalny"/>
    <w:link w:val="TekstdymkaZnak"/>
    <w:uiPriority w:val="99"/>
    <w:semiHidden/>
    <w:unhideWhenUsed/>
    <w:rsid w:val="008500F6"/>
    <w:rPr>
      <w:rFonts w:ascii="Tahoma" w:hAnsi="Tahoma" w:cs="Times New Roman"/>
      <w:sz w:val="16"/>
      <w:szCs w:val="16"/>
      <w:lang w:val="x-none" w:eastAsia="x-none"/>
    </w:rPr>
  </w:style>
  <w:style w:type="character" w:customStyle="1" w:styleId="TekstdymkaZnak">
    <w:name w:val="Tekst dymka Znak"/>
    <w:link w:val="Tekstdymka"/>
    <w:uiPriority w:val="99"/>
    <w:semiHidden/>
    <w:rsid w:val="008500F6"/>
    <w:rPr>
      <w:rFonts w:ascii="Tahoma" w:hAnsi="Tahoma" w:cs="Tahoma"/>
      <w:sz w:val="16"/>
      <w:szCs w:val="16"/>
    </w:rPr>
  </w:style>
  <w:style w:type="paragraph" w:styleId="Nagwek">
    <w:name w:val="header"/>
    <w:basedOn w:val="Normalny"/>
    <w:link w:val="NagwekZnak"/>
    <w:uiPriority w:val="99"/>
    <w:unhideWhenUsed/>
    <w:rsid w:val="004E118A"/>
    <w:pPr>
      <w:tabs>
        <w:tab w:val="center" w:pos="4536"/>
        <w:tab w:val="right" w:pos="9072"/>
      </w:tabs>
    </w:pPr>
  </w:style>
  <w:style w:type="character" w:customStyle="1" w:styleId="NagwekZnak">
    <w:name w:val="Nagłówek Znak"/>
    <w:basedOn w:val="Domylnaczcionkaakapitu"/>
    <w:link w:val="Nagwek"/>
    <w:uiPriority w:val="99"/>
    <w:rsid w:val="004E118A"/>
  </w:style>
  <w:style w:type="paragraph" w:styleId="Stopka">
    <w:name w:val="footer"/>
    <w:basedOn w:val="Normalny"/>
    <w:link w:val="StopkaZnak"/>
    <w:uiPriority w:val="99"/>
    <w:unhideWhenUsed/>
    <w:rsid w:val="004E118A"/>
    <w:pPr>
      <w:tabs>
        <w:tab w:val="center" w:pos="4536"/>
        <w:tab w:val="right" w:pos="9072"/>
      </w:tabs>
    </w:pPr>
  </w:style>
  <w:style w:type="character" w:customStyle="1" w:styleId="StopkaZnak">
    <w:name w:val="Stopka Znak"/>
    <w:basedOn w:val="Domylnaczcionkaakapitu"/>
    <w:link w:val="Stopka"/>
    <w:uiPriority w:val="99"/>
    <w:rsid w:val="004E118A"/>
  </w:style>
  <w:style w:type="paragraph" w:customStyle="1" w:styleId="Default">
    <w:name w:val="Default"/>
    <w:rsid w:val="00C302A5"/>
    <w:pPr>
      <w:autoSpaceDE w:val="0"/>
      <w:autoSpaceDN w:val="0"/>
      <w:adjustRightInd w:val="0"/>
    </w:pPr>
    <w:rPr>
      <w:rFonts w:ascii="Verdana" w:hAnsi="Verdana" w:cs="Verdana"/>
      <w:color w:val="000000"/>
      <w:sz w:val="24"/>
      <w:szCs w:val="24"/>
    </w:rPr>
  </w:style>
  <w:style w:type="character" w:customStyle="1" w:styleId="tlid-translation">
    <w:name w:val="tlid-translation"/>
    <w:rsid w:val="00AC1229"/>
  </w:style>
  <w:style w:type="character" w:customStyle="1" w:styleId="Nagwek2Znak">
    <w:name w:val="Nagłówek 2 Znak"/>
    <w:link w:val="Nagwek2"/>
    <w:uiPriority w:val="1"/>
    <w:semiHidden/>
    <w:rsid w:val="008B2F08"/>
    <w:rPr>
      <w:rFonts w:ascii="Verdana" w:eastAsia="Verdana" w:hAnsi="Verdana" w:cs="Times New Roman"/>
      <w:b/>
      <w:bCs/>
      <w:u w:val="single"/>
      <w:lang w:eastAsia="en-US"/>
    </w:rPr>
  </w:style>
  <w:style w:type="paragraph" w:styleId="Tekstpodstawowy">
    <w:name w:val="Body Text"/>
    <w:basedOn w:val="Normalny"/>
    <w:link w:val="TekstpodstawowyZnak"/>
    <w:uiPriority w:val="1"/>
    <w:semiHidden/>
    <w:unhideWhenUsed/>
    <w:qFormat/>
    <w:rsid w:val="008B2F08"/>
    <w:pPr>
      <w:widowControl w:val="0"/>
      <w:ind w:left="840"/>
    </w:pPr>
    <w:rPr>
      <w:rFonts w:ascii="Verdana" w:eastAsia="Verdana" w:hAnsi="Verdana" w:cs="Times New Roman"/>
      <w:lang w:val="pl-PL" w:eastAsia="en-US"/>
    </w:rPr>
  </w:style>
  <w:style w:type="character" w:customStyle="1" w:styleId="TekstpodstawowyZnak">
    <w:name w:val="Tekst podstawowy Znak"/>
    <w:link w:val="Tekstpodstawowy"/>
    <w:uiPriority w:val="1"/>
    <w:semiHidden/>
    <w:rsid w:val="008B2F08"/>
    <w:rPr>
      <w:rFonts w:ascii="Verdana" w:eastAsia="Verdana" w:hAnsi="Verdana" w:cs="Times New Roman"/>
      <w:lang w:eastAsia="en-US"/>
    </w:rPr>
  </w:style>
  <w:style w:type="character" w:styleId="Hipercze">
    <w:name w:val="Hyperlink"/>
    <w:basedOn w:val="Domylnaczcionkaakapitu"/>
    <w:uiPriority w:val="99"/>
    <w:unhideWhenUsed/>
    <w:rsid w:val="00750D55"/>
    <w:rPr>
      <w:color w:val="0563C1" w:themeColor="hyperlink"/>
      <w:u w:val="single"/>
    </w:rPr>
  </w:style>
  <w:style w:type="character" w:styleId="Nierozpoznanawzmianka">
    <w:name w:val="Unresolved Mention"/>
    <w:basedOn w:val="Domylnaczcionkaakapitu"/>
    <w:uiPriority w:val="99"/>
    <w:semiHidden/>
    <w:unhideWhenUsed/>
    <w:rsid w:val="00750D55"/>
    <w:rPr>
      <w:color w:val="605E5C"/>
      <w:shd w:val="clear" w:color="auto" w:fill="E1DFDD"/>
    </w:rPr>
  </w:style>
  <w:style w:type="character" w:styleId="UyteHipercze">
    <w:name w:val="FollowedHyperlink"/>
    <w:basedOn w:val="Domylnaczcionkaakapitu"/>
    <w:uiPriority w:val="99"/>
    <w:semiHidden/>
    <w:unhideWhenUsed/>
    <w:rsid w:val="001501C2"/>
    <w:rPr>
      <w:color w:val="954F72" w:themeColor="followedHyperlink"/>
      <w:u w:val="single"/>
    </w:rPr>
  </w:style>
  <w:style w:type="paragraph" w:styleId="Akapitzlist">
    <w:name w:val="List Paragraph"/>
    <w:basedOn w:val="Normalny"/>
    <w:uiPriority w:val="34"/>
    <w:qFormat/>
    <w:rsid w:val="006B7E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608547">
      <w:bodyDiv w:val="1"/>
      <w:marLeft w:val="0"/>
      <w:marRight w:val="0"/>
      <w:marTop w:val="0"/>
      <w:marBottom w:val="0"/>
      <w:divBdr>
        <w:top w:val="none" w:sz="0" w:space="0" w:color="auto"/>
        <w:left w:val="none" w:sz="0" w:space="0" w:color="auto"/>
        <w:bottom w:val="none" w:sz="0" w:space="0" w:color="auto"/>
        <w:right w:val="none" w:sz="0" w:space="0" w:color="auto"/>
      </w:divBdr>
    </w:div>
    <w:div w:id="200030535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hudoc.echr.coe.int/tkp197/view.asp" TargetMode="External"/><Relationship Id="rId18" Type="http://schemas.openxmlformats.org/officeDocument/2006/relationships/hyperlink" Target="https://hudoc.echr.coe.int/eng" TargetMode="External"/><Relationship Id="rId26" Type="http://schemas.openxmlformats.org/officeDocument/2006/relationships/hyperlink" Target="https://hudoc.echr.coe.int/eng-press" TargetMode="External"/><Relationship Id="rId39" Type="http://schemas.openxmlformats.org/officeDocument/2006/relationships/hyperlink" Target="https://hudoc.echr.coe.int/eng-press" TargetMode="External"/><Relationship Id="rId21" Type="http://schemas.openxmlformats.org/officeDocument/2006/relationships/hyperlink" Target="https://hudoc.echr.coe.int/fre-press" TargetMode="External"/><Relationship Id="rId34" Type="http://schemas.openxmlformats.org/officeDocument/2006/relationships/hyperlink" Target="https://hudoc.echr.coe.int/eng-press" TargetMode="External"/><Relationship Id="rId42" Type="http://schemas.openxmlformats.org/officeDocument/2006/relationships/hyperlink" Target="https://hudoc.echr.coe.int/fre" TargetMode="External"/><Relationship Id="rId47" Type="http://schemas.openxmlformats.org/officeDocument/2006/relationships/hyperlink" Target="https://hudoc.echr.coe.int/eng-press"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udoc.echr.coe.int/eng" TargetMode="External"/><Relationship Id="rId29" Type="http://schemas.openxmlformats.org/officeDocument/2006/relationships/hyperlink" Target="https://hudoc.echr.coe.int/eng-press" TargetMode="External"/><Relationship Id="rId11" Type="http://schemas.openxmlformats.org/officeDocument/2006/relationships/hyperlink" Target="https://hudoc.echr.coe.int/eng" TargetMode="External"/><Relationship Id="rId24" Type="http://schemas.openxmlformats.org/officeDocument/2006/relationships/hyperlink" Target="https://hudoc.echr.coe.int/eng-press" TargetMode="External"/><Relationship Id="rId32" Type="http://schemas.openxmlformats.org/officeDocument/2006/relationships/hyperlink" Target="https://hudoc.echr.coe.int/eng-press" TargetMode="External"/><Relationship Id="rId37" Type="http://schemas.openxmlformats.org/officeDocument/2006/relationships/hyperlink" Target="https://hudoc.echr.coe.int/eng" TargetMode="External"/><Relationship Id="rId40" Type="http://schemas.openxmlformats.org/officeDocument/2006/relationships/hyperlink" Target="https://hudoc.echr.coe.int/fre-press" TargetMode="External"/><Relationship Id="rId45" Type="http://schemas.openxmlformats.org/officeDocument/2006/relationships/hyperlink" Target="https://hudoc.echr.coe.int/eng-press" TargetMode="Externa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echr.coe.int/documents/d/echr/Convention_ENG" TargetMode="External"/><Relationship Id="rId19" Type="http://schemas.openxmlformats.org/officeDocument/2006/relationships/hyperlink" Target="https://hudoc.echr.coe.int/eng-press" TargetMode="External"/><Relationship Id="rId31" Type="http://schemas.openxmlformats.org/officeDocument/2006/relationships/hyperlink" Target="https://hudoc.echr.coe.int/eng" TargetMode="External"/><Relationship Id="rId44" Type="http://schemas.openxmlformats.org/officeDocument/2006/relationships/hyperlink" Target="https://hudoc.echr.coe.int/eng-press"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coe.int/en/web/about-us/do-not-get-confused" TargetMode="External"/><Relationship Id="rId14" Type="http://schemas.openxmlformats.org/officeDocument/2006/relationships/image" Target="media/image2.png"/><Relationship Id="rId22" Type="http://schemas.openxmlformats.org/officeDocument/2006/relationships/hyperlink" Target="https://hudoc.echr.coe.int/eng-press" TargetMode="External"/><Relationship Id="rId27" Type="http://schemas.openxmlformats.org/officeDocument/2006/relationships/hyperlink" Target="https://hudoc.echr.coe.int/eng-press" TargetMode="External"/><Relationship Id="rId30" Type="http://schemas.openxmlformats.org/officeDocument/2006/relationships/hyperlink" Target="https://hudoc.echr.coe.int/eng-press" TargetMode="External"/><Relationship Id="rId35" Type="http://schemas.openxmlformats.org/officeDocument/2006/relationships/hyperlink" Target="https://hudoc.echr.coe.int/eng-press" TargetMode="External"/><Relationship Id="rId43" Type="http://schemas.openxmlformats.org/officeDocument/2006/relationships/hyperlink" Target="https://hudoc.echr.coe.int/fre-press" TargetMode="External"/><Relationship Id="rId48" Type="http://schemas.openxmlformats.org/officeDocument/2006/relationships/hyperlink" Target="https://hudoc.echr.coe.int/fre" TargetMode="Externa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hudoc.echr.coe.int/tkp197/view.asp" TargetMode="External"/><Relationship Id="rId17" Type="http://schemas.openxmlformats.org/officeDocument/2006/relationships/hyperlink" Target="https://hudoc.echr.coe.int/eng-press" TargetMode="External"/><Relationship Id="rId25" Type="http://schemas.openxmlformats.org/officeDocument/2006/relationships/hyperlink" Target="https://hudoc.echr.coe.int/eng-press" TargetMode="External"/><Relationship Id="rId33" Type="http://schemas.openxmlformats.org/officeDocument/2006/relationships/hyperlink" Target="https://hudoc.echr.coe.int/eng-press" TargetMode="External"/><Relationship Id="rId38" Type="http://schemas.openxmlformats.org/officeDocument/2006/relationships/hyperlink" Target="https://hudoc.echr.coe.int/eng" TargetMode="External"/><Relationship Id="rId46" Type="http://schemas.openxmlformats.org/officeDocument/2006/relationships/hyperlink" Target="https://hudoc.echr.coe.int/eng-press" TargetMode="External"/><Relationship Id="rId20" Type="http://schemas.openxmlformats.org/officeDocument/2006/relationships/hyperlink" Target="https://hudoc.echr.coe.int/eng-press" TargetMode="External"/><Relationship Id="rId41" Type="http://schemas.openxmlformats.org/officeDocument/2006/relationships/hyperlink" Target="https://hudoc.echr.coe.int/fre-pres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hudoc.echr.coe.int/eng" TargetMode="External"/><Relationship Id="rId23" Type="http://schemas.openxmlformats.org/officeDocument/2006/relationships/hyperlink" Target="https://hudoc.echr.coe.int/eng-press" TargetMode="External"/><Relationship Id="rId28" Type="http://schemas.openxmlformats.org/officeDocument/2006/relationships/hyperlink" Target="https://hudoc.echr.coe.int/eng" TargetMode="External"/><Relationship Id="rId36" Type="http://schemas.openxmlformats.org/officeDocument/2006/relationships/hyperlink" Target="https://hudoc.echr.coe.int/eng-press" TargetMode="External"/><Relationship Id="rId49" Type="http://schemas.openxmlformats.org/officeDocument/2006/relationships/hyperlink" Target="https://hudoc.echr.coe.int/eng-pres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BE40B-4D88-4C57-9494-1463D2135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8116</Words>
  <Characters>48697</Characters>
  <Application>Microsoft Office Word</Application>
  <DocSecurity>0</DocSecurity>
  <Lines>405</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2025-01-13T10:58:00Z</dcterms:created>
  <dcterms:modified xsi:type="dcterms:W3CDTF">2025-01-13T12:39:00Z</dcterms:modified>
</cp:coreProperties>
</file>