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5" w:type="dxa"/>
        <w:tblCellSpacing w:w="0" w:type="dxa"/>
        <w:tblInd w:w="709" w:type="dxa"/>
        <w:tblBorders>
          <w:top w:val="single" w:sz="8" w:space="0" w:color="E0E0E0"/>
          <w:left w:val="single" w:sz="8" w:space="0" w:color="E0E0E0"/>
          <w:bottom w:val="single" w:sz="8" w:space="0" w:color="E0E0E0"/>
          <w:right w:val="single" w:sz="8" w:space="0" w:color="E0E0E0"/>
        </w:tblBorders>
        <w:tblCellMar>
          <w:left w:w="0" w:type="dxa"/>
          <w:right w:w="0" w:type="dxa"/>
        </w:tblCellMar>
        <w:tblLook w:val="04A0" w:firstRow="1" w:lastRow="0" w:firstColumn="1" w:lastColumn="0" w:noHBand="0" w:noVBand="1"/>
      </w:tblPr>
      <w:tblGrid>
        <w:gridCol w:w="10995"/>
      </w:tblGrid>
      <w:tr>
        <w:trPr>
          <w:tblCellSpacing w:w="0" w:type="dxa"/>
        </w:trPr>
        <w:tc>
          <w:tcPr>
            <w:tcW w:w="0" w:type="auto"/>
            <w:tcBorders>
              <w:top w:val="nil"/>
              <w:left w:val="nil"/>
              <w:bottom w:val="nil"/>
              <w:right w:val="nil"/>
            </w:tcBorders>
            <w:vAlign w:val="center"/>
            <w:hideMark/>
          </w:tcPr>
          <w:tbl>
            <w:tblPr>
              <w:tblW w:w="10995" w:type="dxa"/>
              <w:tblCellSpacing w:w="7" w:type="dxa"/>
              <w:tblCellMar>
                <w:left w:w="0" w:type="dxa"/>
                <w:right w:w="0" w:type="dxa"/>
              </w:tblCellMar>
              <w:tblLook w:val="04A0" w:firstRow="1" w:lastRow="0" w:firstColumn="1" w:lastColumn="0" w:noHBand="0" w:noVBand="1"/>
            </w:tblPr>
            <w:tblGrid>
              <w:gridCol w:w="27"/>
              <w:gridCol w:w="10968"/>
            </w:tblGrid>
            <w:tr>
              <w:trPr>
                <w:tblCellSpacing w:w="7" w:type="dxa"/>
              </w:trPr>
              <w:tc>
                <w:tcPr>
                  <w:tcW w:w="0" w:type="auto"/>
                  <w:vAlign w:val="center"/>
                  <w:hideMark/>
                </w:tcPr>
                <w:p>
                  <w:pPr>
                    <w:ind w:hanging="357"/>
                    <w:rPr>
                      <w:sz w:val="24"/>
                      <w:szCs w:val="24"/>
                      <w:lang w:val="en-GB"/>
                    </w:rPr>
                  </w:pPr>
                  <w:r>
                    <w:rPr>
                      <w:lang w:val="en-GB"/>
                    </w:rPr>
                    <w:t> </w:t>
                  </w:r>
                </w:p>
              </w:tc>
              <w:tc>
                <w:tcPr>
                  <w:tcW w:w="0" w:type="auto"/>
                  <w:shd w:val="clear" w:color="auto" w:fill="E0E0E0"/>
                  <w:vAlign w:val="center"/>
                  <w:hideMark/>
                </w:tcPr>
                <w:p>
                  <w:pPr>
                    <w:pStyle w:val="NormalnyWeb"/>
                    <w:shd w:val="clear" w:color="auto" w:fill="336699"/>
                    <w:rPr>
                      <w:rFonts w:ascii="Verdana" w:hAnsi="Verdana"/>
                      <w:color w:val="FFFFFF"/>
                      <w:sz w:val="18"/>
                      <w:szCs w:val="18"/>
                      <w:lang w:val="en-GB"/>
                    </w:rPr>
                  </w:pPr>
                  <w:r>
                    <w:rPr>
                      <w:rFonts w:ascii="Arial" w:hAnsi="Arial" w:cs="Arial"/>
                      <w:noProof/>
                      <w:sz w:val="18"/>
                      <w:szCs w:val="18"/>
                    </w:rPr>
                    <w:drawing>
                      <wp:inline distT="0" distB="0" distL="0" distR="0">
                        <wp:extent cx="2476500" cy="762000"/>
                        <wp:effectExtent l="0" t="0" r="0" b="0"/>
                        <wp:docPr id="1" name="Obraz 1" descr="cid:4D7E4731.09B495E6.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4D7E4731.09B495E6.0000000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r>
                    <w:rPr>
                      <w:rFonts w:ascii="Arial" w:hAnsi="Arial" w:cs="Arial"/>
                      <w:sz w:val="18"/>
                      <w:szCs w:val="18"/>
                      <w:lang w:val="en-GB"/>
                    </w:rPr>
                    <w:t>       </w:t>
                  </w:r>
                  <w:r>
                    <w:rPr>
                      <w:rFonts w:ascii="Arial" w:hAnsi="Arial" w:cs="Arial"/>
                      <w:color w:val="FFFFFF"/>
                      <w:sz w:val="18"/>
                      <w:szCs w:val="18"/>
                      <w:lang w:val="en-GB"/>
                    </w:rPr>
                    <w:t xml:space="preserve">                                                                               </w:t>
                  </w:r>
                </w:p>
                <w:p>
                  <w:pPr>
                    <w:pStyle w:val="NormalnyWeb"/>
                    <w:shd w:val="clear" w:color="auto" w:fill="336699"/>
                    <w:rPr>
                      <w:rFonts w:ascii="Arial" w:hAnsi="Arial" w:cs="Arial"/>
                      <w:b/>
                      <w:bCs/>
                      <w:sz w:val="34"/>
                      <w:szCs w:val="34"/>
                      <w:lang w:val="en-GB"/>
                    </w:rPr>
                  </w:pPr>
                  <w:r>
                    <w:rPr>
                      <w:rFonts w:ascii="Arial" w:hAnsi="Arial" w:cs="Arial"/>
                      <w:b/>
                      <w:bCs/>
                      <w:color w:val="FFFFFF"/>
                      <w:sz w:val="18"/>
                      <w:szCs w:val="18"/>
                      <w:lang w:val="en-GB"/>
                    </w:rPr>
                    <w:t xml:space="preserve">   </w:t>
                  </w:r>
                  <w:r>
                    <w:rPr>
                      <w:rFonts w:ascii="Verdana" w:hAnsi="Verdana"/>
                      <w:b/>
                      <w:bCs/>
                      <w:color w:val="FFFFFF"/>
                      <w:sz w:val="20"/>
                      <w:szCs w:val="20"/>
                      <w:lang w:val="en-GB"/>
                    </w:rPr>
                    <w:t>Berlin, 12 -13 June 2014</w:t>
                  </w:r>
                  <w:r>
                    <w:rPr>
                      <w:rFonts w:ascii="Arial" w:hAnsi="Arial" w:cs="Arial"/>
                      <w:b/>
                      <w:bCs/>
                      <w:color w:val="FFFFFF"/>
                      <w:sz w:val="34"/>
                      <w:szCs w:val="34"/>
                      <w:lang w:val="en-GB"/>
                    </w:rPr>
                    <w:t>                                                </w:t>
                  </w:r>
                  <w:r>
                    <w:rPr>
                      <w:rFonts w:ascii="Verdana" w:hAnsi="Verdana"/>
                      <w:b/>
                      <w:bCs/>
                      <w:color w:val="FFFFFF"/>
                      <w:sz w:val="20"/>
                      <w:szCs w:val="20"/>
                      <w:lang w:val="en-GB"/>
                    </w:rPr>
                    <w:t>Information letter No. 3/14</w:t>
                  </w:r>
                </w:p>
              </w:tc>
            </w:tr>
            <w:tr>
              <w:trPr>
                <w:tblCellSpacing w:w="7" w:type="dxa"/>
              </w:trPr>
              <w:tc>
                <w:tcPr>
                  <w:tcW w:w="0" w:type="auto"/>
                  <w:vAlign w:val="center"/>
                </w:tcPr>
                <w:p>
                  <w:pPr>
                    <w:ind w:hanging="357"/>
                    <w:rPr>
                      <w:lang w:val="en-GB"/>
                    </w:rPr>
                  </w:pPr>
                </w:p>
              </w:tc>
              <w:tc>
                <w:tcPr>
                  <w:tcW w:w="0" w:type="auto"/>
                  <w:shd w:val="clear" w:color="auto" w:fill="E0E0E0"/>
                  <w:vAlign w:val="center"/>
                </w:tcPr>
                <w:p>
                  <w:pPr>
                    <w:pStyle w:val="NormalnyWeb"/>
                    <w:shd w:val="clear" w:color="auto" w:fill="336699"/>
                    <w:rPr>
                      <w:rFonts w:ascii="Arial" w:hAnsi="Arial" w:cs="Arial"/>
                      <w:sz w:val="18"/>
                      <w:szCs w:val="18"/>
                      <w:lang w:val="en-GB"/>
                    </w:rPr>
                  </w:pPr>
                </w:p>
              </w:tc>
            </w:tr>
          </w:tbl>
          <w:p>
            <w:pPr>
              <w:rPr>
                <w:rFonts w:ascii="Times New Roman" w:eastAsia="Times New Roman" w:hAnsi="Times New Roman"/>
                <w:color w:val="auto"/>
                <w:sz w:val="20"/>
                <w:szCs w:val="20"/>
                <w:lang w:val="en-GB"/>
              </w:rPr>
            </w:pPr>
          </w:p>
        </w:tc>
      </w:tr>
      <w:tr>
        <w:trPr>
          <w:tblCellSpacing w:w="0" w:type="dxa"/>
        </w:trPr>
        <w:tc>
          <w:tcPr>
            <w:tcW w:w="0" w:type="auto"/>
            <w:tcBorders>
              <w:top w:val="nil"/>
              <w:left w:val="nil"/>
              <w:bottom w:val="nil"/>
              <w:right w:val="nil"/>
            </w:tcBorders>
            <w:tcMar>
              <w:top w:w="150" w:type="dxa"/>
              <w:left w:w="150" w:type="dxa"/>
              <w:bottom w:w="150" w:type="dxa"/>
              <w:right w:w="150" w:type="dxa"/>
            </w:tcMar>
            <w:vAlign w:val="center"/>
          </w:tcPr>
          <w:p>
            <w:pPr>
              <w:ind w:left="275"/>
              <w:rPr>
                <w:rFonts w:ascii="Verdana" w:hAnsi="Verdana"/>
                <w:sz w:val="20"/>
                <w:szCs w:val="20"/>
                <w:lang w:val="en-GB"/>
              </w:rPr>
            </w:pPr>
          </w:p>
          <w:p>
            <w:pPr>
              <w:pStyle w:val="Nagwek1"/>
              <w:rPr>
                <w:rStyle w:val="Uwydatnienie"/>
                <w:rFonts w:eastAsia="Times New Roman"/>
                <w:b w:val="0"/>
                <w:bCs w:val="0"/>
                <w:sz w:val="32"/>
                <w:szCs w:val="32"/>
                <w:lang w:val="en-GB"/>
              </w:rPr>
            </w:pPr>
            <w:r>
              <w:rPr>
                <w:rStyle w:val="Uwydatnienie"/>
                <w:rFonts w:ascii="Verdana" w:eastAsia="Times New Roman" w:hAnsi="Verdana"/>
                <w:b w:val="0"/>
                <w:bCs w:val="0"/>
                <w:sz w:val="32"/>
                <w:szCs w:val="32"/>
                <w:lang w:val="en-GB"/>
              </w:rPr>
              <w:t>Digital society at stake – Europe and the future of the Internet</w:t>
            </w:r>
          </w:p>
          <w:p>
            <w:pPr>
              <w:pStyle w:val="Nagwek1"/>
              <w:rPr>
                <w:sz w:val="20"/>
                <w:szCs w:val="20"/>
              </w:rPr>
            </w:pPr>
            <w:r>
              <w:rPr>
                <w:rFonts w:ascii="Verdana" w:eastAsia="Times New Roman" w:hAnsi="Verdana"/>
                <w:b w:val="0"/>
                <w:bCs w:val="0"/>
                <w:color w:val="595959"/>
                <w:sz w:val="20"/>
                <w:szCs w:val="20"/>
                <w:lang w:val="en-GB"/>
              </w:rPr>
              <w:t xml:space="preserve">          </w:t>
            </w:r>
            <w:r>
              <w:rPr>
                <w:rFonts w:ascii="Verdana" w:eastAsia="Times New Roman" w:hAnsi="Verdana"/>
                <w:b w:val="0"/>
                <w:bCs w:val="0"/>
                <w:i/>
                <w:iCs/>
                <w:color w:val="595959"/>
                <w:sz w:val="20"/>
                <w:szCs w:val="20"/>
                <w:lang w:val="en-GB"/>
              </w:rPr>
              <w:t xml:space="preserve">After an inclusive participation process the </w:t>
            </w:r>
            <w:hyperlink r:id="rId8" w:tgtFrame="_blank" w:history="1">
              <w:r>
                <w:rPr>
                  <w:rStyle w:val="Hipercze"/>
                  <w:rFonts w:ascii="Verdana" w:eastAsia="Times New Roman" w:hAnsi="Verdana"/>
                  <w:b w:val="0"/>
                  <w:bCs w:val="0"/>
                  <w:i/>
                  <w:iCs/>
                  <w:sz w:val="20"/>
                  <w:szCs w:val="20"/>
                  <w:lang w:val="en-GB"/>
                </w:rPr>
                <w:t>consolidated programme</w:t>
              </w:r>
            </w:hyperlink>
            <w:r>
              <w:rPr>
                <w:rFonts w:ascii="Verdana" w:eastAsia="Times New Roman" w:hAnsi="Verdana"/>
                <w:b w:val="0"/>
                <w:bCs w:val="0"/>
                <w:i/>
                <w:iCs/>
                <w:sz w:val="20"/>
                <w:szCs w:val="20"/>
                <w:lang w:val="en-GB"/>
              </w:rPr>
              <w:t xml:space="preserve"> </w:t>
            </w:r>
            <w:r>
              <w:rPr>
                <w:rFonts w:ascii="Verdana" w:eastAsia="Times New Roman" w:hAnsi="Verdana"/>
                <w:b w:val="0"/>
                <w:bCs w:val="0"/>
                <w:i/>
                <w:iCs/>
                <w:color w:val="595959"/>
                <w:sz w:val="20"/>
                <w:szCs w:val="20"/>
                <w:lang w:val="en-GB"/>
              </w:rPr>
              <w:t xml:space="preserve">is out now! </w:t>
            </w:r>
            <w:r>
              <w:rPr>
                <w:rFonts w:ascii="Verdana" w:eastAsia="Times New Roman" w:hAnsi="Verdana"/>
                <w:b w:val="0"/>
                <w:bCs w:val="0"/>
                <w:i/>
                <w:iCs/>
                <w:color w:val="595959"/>
                <w:sz w:val="20"/>
                <w:szCs w:val="20"/>
                <w:lang w:val="en-GB"/>
              </w:rPr>
              <w:br/>
              <w:t>          (see also enclosed)</w:t>
            </w:r>
          </w:p>
          <w:p>
            <w:pPr>
              <w:pStyle w:val="Akapitzlist"/>
              <w:numPr>
                <w:ilvl w:val="1"/>
                <w:numId w:val="1"/>
              </w:numPr>
              <w:ind w:left="701" w:hanging="426"/>
              <w:rPr>
                <w:rFonts w:ascii="Verdana" w:hAnsi="Verdana"/>
                <w:b/>
                <w:bCs/>
                <w:color w:val="FF0000"/>
                <w:sz w:val="20"/>
                <w:szCs w:val="20"/>
                <w:lang w:val="en-GB"/>
              </w:rPr>
            </w:pPr>
            <w:proofErr w:type="spellStart"/>
            <w:r>
              <w:rPr>
                <w:rFonts w:ascii="Verdana" w:hAnsi="Verdana"/>
                <w:b/>
                <w:bCs/>
                <w:color w:val="FF0000"/>
                <w:sz w:val="20"/>
                <w:szCs w:val="20"/>
                <w:lang w:val="en-GB"/>
              </w:rPr>
              <w:t>EuroDIG</w:t>
            </w:r>
            <w:proofErr w:type="spellEnd"/>
            <w:r>
              <w:rPr>
                <w:rFonts w:ascii="Verdana" w:hAnsi="Verdana"/>
                <w:b/>
                <w:bCs/>
                <w:color w:val="FF0000"/>
                <w:sz w:val="20"/>
                <w:szCs w:val="20"/>
                <w:lang w:val="en-GB"/>
              </w:rPr>
              <w:t xml:space="preserve"> planning process at a glance</w:t>
            </w:r>
          </w:p>
          <w:p>
            <w:pPr>
              <w:ind w:left="275"/>
              <w:rPr>
                <w:rFonts w:ascii="Verdana" w:hAnsi="Verdana"/>
                <w:color w:val="auto"/>
                <w:sz w:val="20"/>
                <w:szCs w:val="20"/>
                <w:lang w:val="en-GB"/>
              </w:rPr>
            </w:pPr>
          </w:p>
          <w:p>
            <w:pPr>
              <w:pStyle w:val="NormalnyWeb"/>
              <w:spacing w:before="0" w:beforeAutospacing="0" w:after="0" w:afterAutospacing="0"/>
              <w:ind w:left="701"/>
              <w:rPr>
                <w:rFonts w:ascii="Verdana" w:hAnsi="Verdana"/>
                <w:color w:val="595959"/>
                <w:sz w:val="20"/>
                <w:szCs w:val="20"/>
                <w:lang w:val="en-US"/>
              </w:rPr>
            </w:pPr>
            <w:r>
              <w:rPr>
                <w:rFonts w:ascii="Verdana" w:hAnsi="Verdana"/>
                <w:color w:val="595959"/>
                <w:sz w:val="20"/>
                <w:szCs w:val="20"/>
                <w:lang w:val="en-GB"/>
              </w:rPr>
              <w:t>At the end of the call period we received more than 90 submissions. All proposals were compiled, clustered and listed in order to provide the community with input for the open planning meeting in Berlin end of January.</w:t>
            </w:r>
            <w:r>
              <w:rPr>
                <w:rFonts w:ascii="Verdana" w:hAnsi="Verdana"/>
                <w:sz w:val="20"/>
                <w:szCs w:val="20"/>
                <w:lang w:val="en-GB"/>
              </w:rPr>
              <w:t xml:space="preserve"> </w:t>
            </w:r>
            <w:hyperlink r:id="rId9" w:history="1">
              <w:r>
                <w:rPr>
                  <w:rStyle w:val="Pogrubienie"/>
                  <w:rFonts w:ascii="Verdana" w:hAnsi="Verdana"/>
                  <w:color w:val="0000FF"/>
                  <w:sz w:val="16"/>
                  <w:szCs w:val="16"/>
                  <w:u w:val="single"/>
                  <w:lang w:val="en-GB"/>
                </w:rPr>
                <w:t>…read more</w:t>
              </w:r>
            </w:hyperlink>
          </w:p>
          <w:p>
            <w:pPr>
              <w:rPr>
                <w:rFonts w:ascii="Verdana" w:hAnsi="Verdana"/>
                <w:color w:val="FF0000"/>
                <w:sz w:val="20"/>
                <w:szCs w:val="20"/>
                <w:lang w:val="en-US"/>
              </w:rPr>
            </w:pPr>
          </w:p>
          <w:p>
            <w:pPr>
              <w:pStyle w:val="Akapitzlist"/>
              <w:numPr>
                <w:ilvl w:val="1"/>
                <w:numId w:val="1"/>
              </w:numPr>
              <w:ind w:left="701" w:hanging="426"/>
              <w:rPr>
                <w:rFonts w:ascii="Verdana" w:hAnsi="Verdana"/>
                <w:b/>
                <w:bCs/>
                <w:color w:val="FF0000"/>
                <w:sz w:val="20"/>
                <w:szCs w:val="20"/>
                <w:lang w:val="en-GB"/>
              </w:rPr>
            </w:pPr>
            <w:r>
              <w:rPr>
                <w:rFonts w:ascii="Verdana" w:hAnsi="Verdana"/>
                <w:b/>
                <w:bCs/>
                <w:color w:val="FF0000"/>
                <w:sz w:val="20"/>
                <w:szCs w:val="20"/>
                <w:lang w:val="en-GB"/>
              </w:rPr>
              <w:t xml:space="preserve">How to participate at </w:t>
            </w:r>
            <w:proofErr w:type="spellStart"/>
            <w:r>
              <w:rPr>
                <w:rFonts w:ascii="Verdana" w:hAnsi="Verdana"/>
                <w:b/>
                <w:bCs/>
                <w:color w:val="FF0000"/>
                <w:sz w:val="20"/>
                <w:szCs w:val="20"/>
                <w:lang w:val="en-GB"/>
              </w:rPr>
              <w:t>EuroDIG</w:t>
            </w:r>
            <w:proofErr w:type="spellEnd"/>
          </w:p>
          <w:p>
            <w:pPr>
              <w:ind w:left="701"/>
              <w:rPr>
                <w:rFonts w:ascii="Verdana" w:hAnsi="Verdana"/>
                <w:color w:val="auto"/>
                <w:sz w:val="20"/>
                <w:szCs w:val="20"/>
                <w:lang w:val="en-GB"/>
              </w:rPr>
            </w:pPr>
          </w:p>
          <w:p>
            <w:pPr>
              <w:ind w:left="701"/>
              <w:rPr>
                <w:rFonts w:ascii="Verdana" w:hAnsi="Verdana"/>
                <w:sz w:val="20"/>
                <w:szCs w:val="20"/>
                <w:lang w:val="en-GB"/>
              </w:rPr>
            </w:pPr>
            <w:r>
              <w:rPr>
                <w:rFonts w:ascii="Verdana" w:hAnsi="Verdana"/>
                <w:sz w:val="20"/>
                <w:szCs w:val="20"/>
                <w:lang w:val="en-GB"/>
              </w:rPr>
              <w:t xml:space="preserve">The challenge at hand is now to form thematic org – teams that can enter into online exchange about how to collaborate on preparing sessions. The </w:t>
            </w:r>
            <w:proofErr w:type="spellStart"/>
            <w:r>
              <w:rPr>
                <w:rFonts w:ascii="Verdana" w:hAnsi="Verdana"/>
                <w:sz w:val="20"/>
                <w:szCs w:val="20"/>
                <w:lang w:val="en-GB"/>
              </w:rPr>
              <w:t>EuroDIG</w:t>
            </w:r>
            <w:proofErr w:type="spellEnd"/>
            <w:r>
              <w:rPr>
                <w:rFonts w:ascii="Verdana" w:hAnsi="Verdana"/>
                <w:sz w:val="20"/>
                <w:szCs w:val="20"/>
                <w:lang w:val="en-GB"/>
              </w:rPr>
              <w:t xml:space="preserve"> team will begin to identify focal points for each session. Focal points are the main contact person for each session and shall take over responsibility for a reliable and inclusive session planning according to our </w:t>
            </w:r>
            <w:hyperlink r:id="rId10" w:tgtFrame="_blank" w:history="1">
              <w:r>
                <w:rPr>
                  <w:rStyle w:val="Hipercze"/>
                  <w:rFonts w:ascii="Verdana" w:hAnsi="Verdana"/>
                  <w:sz w:val="20"/>
                  <w:szCs w:val="20"/>
                  <w:lang w:val="en-GB"/>
                </w:rPr>
                <w:t>session principles</w:t>
              </w:r>
            </w:hyperlink>
            <w:r>
              <w:rPr>
                <w:rFonts w:ascii="Verdana" w:hAnsi="Verdana"/>
                <w:sz w:val="20"/>
                <w:szCs w:val="20"/>
                <w:lang w:val="en-GB"/>
              </w:rPr>
              <w:t xml:space="preserve">. If you are interested to serve as a focal point or like to be part of an organising team, please let us know — if you haven’t yet via your submission form (send email to </w:t>
            </w:r>
            <w:hyperlink r:id="rId11" w:history="1">
              <w:r>
                <w:rPr>
                  <w:rStyle w:val="Hipercze"/>
                  <w:rFonts w:ascii="Verdana" w:hAnsi="Verdana"/>
                  <w:sz w:val="20"/>
                  <w:szCs w:val="20"/>
                  <w:lang w:val="en-GB"/>
                </w:rPr>
                <w:t>office@eurodig.org</w:t>
              </w:r>
            </w:hyperlink>
            <w:r>
              <w:rPr>
                <w:rFonts w:ascii="Verdana" w:hAnsi="Verdana"/>
                <w:sz w:val="20"/>
                <w:szCs w:val="20"/>
                <w:lang w:val="en-GB"/>
              </w:rPr>
              <w:t xml:space="preserve">). </w:t>
            </w:r>
            <w:hyperlink r:id="rId12" w:history="1">
              <w:r>
                <w:rPr>
                  <w:rStyle w:val="Pogrubienie"/>
                  <w:rFonts w:ascii="Verdana" w:hAnsi="Verdana"/>
                  <w:color w:val="0000FF"/>
                  <w:sz w:val="16"/>
                  <w:szCs w:val="16"/>
                  <w:u w:val="single"/>
                  <w:lang w:val="en-GB"/>
                </w:rPr>
                <w:t>…read more</w:t>
              </w:r>
            </w:hyperlink>
          </w:p>
          <w:p>
            <w:pPr>
              <w:ind w:left="701"/>
              <w:rPr>
                <w:rFonts w:ascii="Verdana" w:hAnsi="Verdana"/>
                <w:sz w:val="20"/>
                <w:szCs w:val="20"/>
                <w:lang w:val="en-US"/>
              </w:rPr>
            </w:pPr>
          </w:p>
          <w:p>
            <w:pPr>
              <w:pStyle w:val="Akapitzlist"/>
              <w:numPr>
                <w:ilvl w:val="1"/>
                <w:numId w:val="1"/>
              </w:numPr>
              <w:ind w:left="701" w:hanging="426"/>
              <w:rPr>
                <w:rFonts w:ascii="Verdana" w:hAnsi="Verdana"/>
                <w:b/>
                <w:bCs/>
                <w:color w:val="FF0000"/>
                <w:sz w:val="20"/>
                <w:szCs w:val="20"/>
                <w:lang w:val="en-US"/>
              </w:rPr>
            </w:pPr>
            <w:proofErr w:type="spellStart"/>
            <w:r>
              <w:rPr>
                <w:rFonts w:ascii="Verdana" w:hAnsi="Verdana"/>
                <w:b/>
                <w:bCs/>
                <w:color w:val="FF0000"/>
                <w:sz w:val="20"/>
                <w:szCs w:val="20"/>
                <w:lang w:val="en-US"/>
              </w:rPr>
              <w:t>EuroDIG</w:t>
            </w:r>
            <w:proofErr w:type="spellEnd"/>
            <w:r>
              <w:rPr>
                <w:rFonts w:ascii="Verdana" w:hAnsi="Verdana"/>
                <w:b/>
                <w:bCs/>
                <w:color w:val="FF0000"/>
                <w:sz w:val="20"/>
                <w:szCs w:val="20"/>
                <w:lang w:val="en-US"/>
              </w:rPr>
              <w:t xml:space="preserve"> WIKI – a new tool for interaction and transparency</w:t>
            </w:r>
          </w:p>
          <w:p>
            <w:pPr>
              <w:ind w:left="275"/>
              <w:rPr>
                <w:rFonts w:ascii="Verdana" w:hAnsi="Verdana"/>
                <w:sz w:val="20"/>
                <w:szCs w:val="20"/>
                <w:lang w:val="en-US"/>
              </w:rPr>
            </w:pPr>
          </w:p>
          <w:p>
            <w:pPr>
              <w:ind w:left="701"/>
              <w:rPr>
                <w:rFonts w:ascii="Verdana" w:hAnsi="Verdana"/>
                <w:sz w:val="20"/>
                <w:szCs w:val="20"/>
                <w:lang w:val="en-GB"/>
              </w:rPr>
            </w:pPr>
            <w:r>
              <w:rPr>
                <w:rFonts w:ascii="Verdana" w:hAnsi="Verdana"/>
                <w:sz w:val="20"/>
                <w:szCs w:val="20"/>
                <w:lang w:val="en-GB"/>
              </w:rPr>
              <w:lastRenderedPageBreak/>
              <w:t xml:space="preserve">For the purpose of a transparent and inclusive session planning process we want to point to our new </w:t>
            </w:r>
            <w:hyperlink r:id="rId13" w:tgtFrame="_blank" w:history="1">
              <w:proofErr w:type="spellStart"/>
              <w:r>
                <w:rPr>
                  <w:rStyle w:val="Hipercze"/>
                  <w:rFonts w:ascii="Verdana" w:hAnsi="Verdana"/>
                  <w:sz w:val="20"/>
                  <w:szCs w:val="20"/>
                  <w:lang w:val="en-GB"/>
                </w:rPr>
                <w:t>EuroDIG</w:t>
              </w:r>
              <w:proofErr w:type="spellEnd"/>
              <w:r>
                <w:rPr>
                  <w:rStyle w:val="Hipercze"/>
                  <w:rFonts w:ascii="Verdana" w:hAnsi="Verdana"/>
                  <w:sz w:val="20"/>
                  <w:szCs w:val="20"/>
                  <w:lang w:val="en-GB"/>
                </w:rPr>
                <w:t xml:space="preserve"> WIKI </w:t>
              </w:r>
            </w:hyperlink>
            <w:r>
              <w:rPr>
                <w:rFonts w:ascii="Verdana" w:hAnsi="Verdana"/>
                <w:sz w:val="20"/>
                <w:szCs w:val="20"/>
                <w:lang w:val="en-GB"/>
              </w:rPr>
              <w:t xml:space="preserve">which will serve as an additional tool for everyone to collaboratively prepare for and conduct a sessions at </w:t>
            </w:r>
            <w:proofErr w:type="spellStart"/>
            <w:r>
              <w:rPr>
                <w:rFonts w:ascii="Verdana" w:hAnsi="Verdana"/>
                <w:sz w:val="20"/>
                <w:szCs w:val="20"/>
                <w:lang w:val="en-GB"/>
              </w:rPr>
              <w:t>EuroDIG</w:t>
            </w:r>
            <w:proofErr w:type="spellEnd"/>
            <w:r>
              <w:rPr>
                <w:rFonts w:ascii="Verdana" w:hAnsi="Verdana"/>
                <w:sz w:val="20"/>
                <w:szCs w:val="20"/>
                <w:lang w:val="en-GB"/>
              </w:rPr>
              <w:t xml:space="preserve">. Everyone is invited to contribute with ideas and comments to the WIKI. For each session you will find a respective </w:t>
            </w:r>
            <w:proofErr w:type="spellStart"/>
            <w:r>
              <w:rPr>
                <w:rFonts w:ascii="Verdana" w:hAnsi="Verdana"/>
                <w:sz w:val="20"/>
                <w:szCs w:val="20"/>
                <w:lang w:val="en-GB"/>
              </w:rPr>
              <w:t>sub page</w:t>
            </w:r>
            <w:proofErr w:type="spellEnd"/>
            <w:r>
              <w:rPr>
                <w:rFonts w:ascii="Verdana" w:hAnsi="Verdana"/>
                <w:sz w:val="20"/>
                <w:szCs w:val="20"/>
                <w:lang w:val="en-GB"/>
              </w:rPr>
              <w:t>. But even if you do not plan to touch the WIKI yourself - in each session one digital facilitator will keep track of the discussion and update the WIKI accordingly. This should allow everybody to join the planning process at any time and get a full understanding on what has been discussed so far.</w:t>
            </w:r>
          </w:p>
          <w:p>
            <w:pPr>
              <w:ind w:left="701"/>
              <w:rPr>
                <w:rFonts w:ascii="Verdana" w:hAnsi="Verdana"/>
                <w:sz w:val="20"/>
                <w:szCs w:val="20"/>
                <w:lang w:val="en-US"/>
              </w:rPr>
            </w:pPr>
          </w:p>
          <w:p>
            <w:pPr>
              <w:pStyle w:val="Akapitzlist"/>
              <w:numPr>
                <w:ilvl w:val="1"/>
                <w:numId w:val="1"/>
              </w:numPr>
              <w:ind w:left="701" w:hanging="426"/>
              <w:rPr>
                <w:rFonts w:ascii="Verdana" w:hAnsi="Verdana"/>
                <w:b/>
                <w:bCs/>
                <w:color w:val="FF0000"/>
                <w:sz w:val="20"/>
                <w:szCs w:val="20"/>
                <w:lang w:val="en-US"/>
              </w:rPr>
            </w:pPr>
            <w:r>
              <w:rPr>
                <w:rFonts w:ascii="Verdana" w:hAnsi="Verdana"/>
                <w:b/>
                <w:bCs/>
                <w:color w:val="FF0000"/>
                <w:sz w:val="20"/>
                <w:szCs w:val="20"/>
                <w:lang w:val="en-US"/>
              </w:rPr>
              <w:t xml:space="preserve">Planning a side- or pre-event at </w:t>
            </w:r>
            <w:proofErr w:type="spellStart"/>
            <w:r>
              <w:rPr>
                <w:rFonts w:ascii="Verdana" w:hAnsi="Verdana"/>
                <w:b/>
                <w:bCs/>
                <w:color w:val="FF0000"/>
                <w:sz w:val="20"/>
                <w:szCs w:val="20"/>
                <w:lang w:val="en-US"/>
              </w:rPr>
              <w:t>EuroDIG</w:t>
            </w:r>
            <w:proofErr w:type="spellEnd"/>
            <w:r>
              <w:rPr>
                <w:rFonts w:ascii="Verdana" w:hAnsi="Verdana"/>
                <w:b/>
                <w:bCs/>
                <w:color w:val="FF0000"/>
                <w:sz w:val="20"/>
                <w:szCs w:val="20"/>
                <w:lang w:val="en-US"/>
              </w:rPr>
              <w:t>?</w:t>
            </w:r>
          </w:p>
          <w:p>
            <w:pPr>
              <w:ind w:left="275"/>
              <w:rPr>
                <w:rFonts w:ascii="Verdana" w:hAnsi="Verdana"/>
                <w:sz w:val="20"/>
                <w:szCs w:val="20"/>
                <w:lang w:val="en-US"/>
              </w:rPr>
            </w:pPr>
          </w:p>
          <w:p>
            <w:pPr>
              <w:ind w:left="701"/>
              <w:rPr>
                <w:rFonts w:ascii="Verdana" w:hAnsi="Verdana"/>
                <w:sz w:val="20"/>
                <w:szCs w:val="20"/>
                <w:lang w:val="en-US"/>
              </w:rPr>
            </w:pPr>
            <w:r>
              <w:rPr>
                <w:rFonts w:ascii="Verdana" w:hAnsi="Verdana"/>
                <w:sz w:val="20"/>
                <w:szCs w:val="20"/>
                <w:lang w:val="en-US"/>
              </w:rPr>
              <w:t xml:space="preserve">It is a tradition that other groups </w:t>
            </w:r>
            <w:proofErr w:type="spellStart"/>
            <w:r>
              <w:rPr>
                <w:rFonts w:ascii="Verdana" w:hAnsi="Verdana"/>
                <w:sz w:val="20"/>
                <w:szCs w:val="20"/>
                <w:lang w:val="en-US"/>
              </w:rPr>
              <w:t>organise</w:t>
            </w:r>
            <w:proofErr w:type="spellEnd"/>
            <w:r>
              <w:rPr>
                <w:rFonts w:ascii="Verdana" w:hAnsi="Verdana"/>
                <w:sz w:val="20"/>
                <w:szCs w:val="20"/>
                <w:lang w:val="en-US"/>
              </w:rPr>
              <w:t xml:space="preserve"> a pre-or side event during or around </w:t>
            </w:r>
            <w:proofErr w:type="spellStart"/>
            <w:r>
              <w:rPr>
                <w:rFonts w:ascii="Verdana" w:hAnsi="Verdana"/>
                <w:sz w:val="20"/>
                <w:szCs w:val="20"/>
                <w:lang w:val="en-US"/>
              </w:rPr>
              <w:t>EuroDIG</w:t>
            </w:r>
            <w:proofErr w:type="spellEnd"/>
            <w:r>
              <w:rPr>
                <w:rFonts w:ascii="Verdana" w:hAnsi="Verdana"/>
                <w:sz w:val="20"/>
                <w:szCs w:val="20"/>
                <w:lang w:val="en-US"/>
              </w:rPr>
              <w:t xml:space="preserve">. We like to invite you to contact the secretariat until </w:t>
            </w:r>
            <w:r>
              <w:rPr>
                <w:rFonts w:ascii="Verdana" w:hAnsi="Verdana"/>
                <w:b/>
                <w:bCs/>
                <w:sz w:val="20"/>
                <w:szCs w:val="20"/>
                <w:lang w:val="en-US"/>
              </w:rPr>
              <w:t>31 March 2014</w:t>
            </w:r>
            <w:r>
              <w:rPr>
                <w:rFonts w:ascii="Verdana" w:hAnsi="Verdana"/>
                <w:sz w:val="20"/>
                <w:szCs w:val="20"/>
                <w:lang w:val="en-US"/>
              </w:rPr>
              <w:t xml:space="preserve"> if you are planning such </w:t>
            </w:r>
            <w:proofErr w:type="spellStart"/>
            <w:r>
              <w:rPr>
                <w:rFonts w:ascii="Verdana" w:hAnsi="Verdana"/>
                <w:sz w:val="20"/>
                <w:szCs w:val="20"/>
                <w:lang w:val="en-US"/>
              </w:rPr>
              <w:t>a</w:t>
            </w:r>
            <w:proofErr w:type="spellEnd"/>
            <w:r>
              <w:rPr>
                <w:rFonts w:ascii="Verdana" w:hAnsi="Verdana"/>
                <w:sz w:val="20"/>
                <w:szCs w:val="20"/>
                <w:lang w:val="en-US"/>
              </w:rPr>
              <w:t xml:space="preserve"> event and we will assist with the logistics. </w:t>
            </w:r>
          </w:p>
          <w:p>
            <w:pPr>
              <w:ind w:left="701"/>
              <w:rPr>
                <w:rFonts w:ascii="Verdana" w:hAnsi="Verdana"/>
                <w:sz w:val="20"/>
                <w:szCs w:val="20"/>
                <w:lang w:val="en-US"/>
              </w:rPr>
            </w:pPr>
          </w:p>
          <w:p>
            <w:pPr>
              <w:pStyle w:val="Akapitzlist"/>
              <w:numPr>
                <w:ilvl w:val="1"/>
                <w:numId w:val="1"/>
              </w:numPr>
              <w:ind w:left="701" w:hanging="426"/>
              <w:rPr>
                <w:rFonts w:ascii="Verdana" w:hAnsi="Verdana"/>
                <w:b/>
                <w:bCs/>
                <w:color w:val="FF0000"/>
                <w:sz w:val="20"/>
                <w:szCs w:val="20"/>
                <w:lang w:val="en-US"/>
              </w:rPr>
            </w:pPr>
            <w:r>
              <w:rPr>
                <w:rFonts w:ascii="Verdana" w:hAnsi="Verdana"/>
                <w:b/>
                <w:bCs/>
                <w:color w:val="FF0000"/>
                <w:sz w:val="20"/>
                <w:szCs w:val="20"/>
                <w:lang w:val="en-US"/>
              </w:rPr>
              <w:t>Outreach meeting in Singapore during ICANN 49</w:t>
            </w:r>
          </w:p>
          <w:p>
            <w:pPr>
              <w:ind w:left="701"/>
              <w:rPr>
                <w:rFonts w:ascii="Verdana" w:hAnsi="Verdana"/>
                <w:sz w:val="20"/>
                <w:szCs w:val="20"/>
                <w:lang w:val="en-US"/>
              </w:rPr>
            </w:pPr>
          </w:p>
          <w:p>
            <w:pPr>
              <w:ind w:left="701"/>
              <w:rPr>
                <w:rFonts w:ascii="Verdana" w:hAnsi="Verdana"/>
                <w:sz w:val="20"/>
                <w:szCs w:val="20"/>
                <w:lang w:val="en-US"/>
              </w:rPr>
            </w:pPr>
            <w:r>
              <w:rPr>
                <w:rFonts w:ascii="Verdana" w:hAnsi="Verdana"/>
                <w:sz w:val="20"/>
                <w:szCs w:val="20"/>
                <w:lang w:val="en-US"/>
              </w:rPr>
              <w:t>We will organize a next outreach meeting in line with the forthcoming ICANN meeting in Singapore by the end of month, to update ICANN related community members on the Berlin process. Please let us know if you are around and like to participate. Further details will follow soon.</w:t>
            </w:r>
          </w:p>
          <w:p>
            <w:pPr>
              <w:ind w:left="701"/>
              <w:rPr>
                <w:rFonts w:ascii="Verdana" w:hAnsi="Verdana"/>
                <w:sz w:val="20"/>
                <w:szCs w:val="20"/>
                <w:lang w:val="en-US"/>
              </w:rPr>
            </w:pPr>
          </w:p>
          <w:p>
            <w:pPr>
              <w:pStyle w:val="Akapitzlist"/>
              <w:numPr>
                <w:ilvl w:val="1"/>
                <w:numId w:val="1"/>
              </w:numPr>
              <w:ind w:left="701"/>
              <w:rPr>
                <w:rFonts w:ascii="Verdana" w:hAnsi="Verdana"/>
                <w:b/>
                <w:bCs/>
                <w:color w:val="FF0000"/>
                <w:sz w:val="20"/>
                <w:szCs w:val="20"/>
                <w:lang w:val="en-US"/>
              </w:rPr>
            </w:pPr>
            <w:r>
              <w:rPr>
                <w:rFonts w:ascii="Verdana" w:hAnsi="Verdana"/>
                <w:b/>
                <w:bCs/>
                <w:color w:val="FF0000"/>
                <w:sz w:val="20"/>
                <w:szCs w:val="20"/>
                <w:lang w:val="en-US"/>
              </w:rPr>
              <w:t>Registration opens on 1 April 2014</w:t>
            </w:r>
          </w:p>
          <w:p>
            <w:pPr>
              <w:ind w:left="275"/>
              <w:rPr>
                <w:rFonts w:ascii="Verdana" w:hAnsi="Verdana"/>
                <w:sz w:val="20"/>
                <w:szCs w:val="20"/>
                <w:lang w:val="en-US"/>
              </w:rPr>
            </w:pPr>
          </w:p>
          <w:p>
            <w:pPr>
              <w:ind w:left="701"/>
              <w:rPr>
                <w:rFonts w:ascii="Verdana" w:hAnsi="Verdana"/>
                <w:sz w:val="20"/>
                <w:szCs w:val="20"/>
                <w:lang w:val="en-US"/>
              </w:rPr>
            </w:pPr>
            <w:proofErr w:type="spellStart"/>
            <w:r>
              <w:rPr>
                <w:rFonts w:ascii="Verdana" w:hAnsi="Verdana"/>
                <w:sz w:val="20"/>
                <w:szCs w:val="20"/>
                <w:lang w:val="en-US"/>
              </w:rPr>
              <w:t>EuroDIG</w:t>
            </w:r>
            <w:proofErr w:type="spellEnd"/>
            <w:r>
              <w:rPr>
                <w:rFonts w:ascii="Verdana" w:hAnsi="Verdana"/>
                <w:sz w:val="20"/>
                <w:szCs w:val="20"/>
                <w:lang w:val="en-US"/>
              </w:rPr>
              <w:t xml:space="preserve"> will take place at the Federal Foreign office of Germany, in the heart of Berlin. For security reasons it is absolutely necessary to register online in advance. Online registration will be possible from 1 April until 6 June 2014. </w:t>
            </w:r>
            <w:hyperlink r:id="rId14" w:history="1">
              <w:r>
                <w:rPr>
                  <w:rStyle w:val="Pogrubienie"/>
                  <w:rFonts w:ascii="Verdana" w:hAnsi="Verdana"/>
                  <w:color w:val="0000FF"/>
                  <w:sz w:val="16"/>
                  <w:szCs w:val="16"/>
                  <w:u w:val="single"/>
                  <w:lang w:val="en-GB"/>
                </w:rPr>
                <w:t>…read more</w:t>
              </w:r>
            </w:hyperlink>
          </w:p>
          <w:p>
            <w:pPr>
              <w:spacing w:line="276" w:lineRule="auto"/>
              <w:ind w:left="701"/>
              <w:rPr>
                <w:rFonts w:ascii="Verdana" w:hAnsi="Verdana"/>
                <w:sz w:val="20"/>
                <w:szCs w:val="20"/>
                <w:lang w:val="en-US"/>
              </w:rPr>
            </w:pPr>
          </w:p>
          <w:p>
            <w:pPr>
              <w:spacing w:line="276" w:lineRule="auto"/>
              <w:ind w:left="701"/>
              <w:rPr>
                <w:rFonts w:ascii="Verdana" w:hAnsi="Verdana"/>
                <w:sz w:val="20"/>
                <w:szCs w:val="20"/>
                <w:lang w:val="en-US"/>
              </w:rPr>
            </w:pPr>
          </w:p>
          <w:p>
            <w:pPr>
              <w:spacing w:line="276" w:lineRule="auto"/>
              <w:ind w:left="701"/>
              <w:rPr>
                <w:rFonts w:ascii="Verdana" w:hAnsi="Verdana"/>
                <w:sz w:val="20"/>
                <w:szCs w:val="20"/>
                <w:lang w:val="en-US"/>
              </w:rPr>
            </w:pPr>
            <w:r>
              <w:rPr>
                <w:rFonts w:ascii="Verdana" w:hAnsi="Verdana"/>
                <w:sz w:val="20"/>
                <w:szCs w:val="20"/>
                <w:lang w:val="en-US"/>
              </w:rPr>
              <w:t xml:space="preserve">The </w:t>
            </w:r>
            <w:proofErr w:type="spellStart"/>
            <w:r>
              <w:rPr>
                <w:rFonts w:ascii="Verdana" w:hAnsi="Verdana"/>
                <w:sz w:val="20"/>
                <w:szCs w:val="20"/>
                <w:lang w:val="en-US"/>
              </w:rPr>
              <w:t>EuroDIG</w:t>
            </w:r>
            <w:proofErr w:type="spellEnd"/>
            <w:r>
              <w:rPr>
                <w:rFonts w:ascii="Verdana" w:hAnsi="Verdana"/>
                <w:sz w:val="20"/>
                <w:szCs w:val="20"/>
                <w:lang w:val="en-US"/>
              </w:rPr>
              <w:t xml:space="preserve"> team</w:t>
            </w:r>
          </w:p>
          <w:p>
            <w:pPr>
              <w:spacing w:line="276" w:lineRule="auto"/>
              <w:ind w:left="701"/>
              <w:rPr>
                <w:rFonts w:ascii="Verdana" w:hAnsi="Verdana"/>
                <w:sz w:val="20"/>
                <w:szCs w:val="20"/>
                <w:lang w:val="en-US"/>
              </w:rPr>
            </w:pPr>
          </w:p>
          <w:p>
            <w:pPr>
              <w:spacing w:line="276" w:lineRule="auto"/>
              <w:ind w:left="701"/>
              <w:rPr>
                <w:color w:val="auto"/>
                <w:lang w:val="en-GB"/>
              </w:rPr>
            </w:pPr>
            <w:r>
              <w:rPr>
                <w:rFonts w:ascii="Verdana" w:hAnsi="Verdana"/>
                <w:sz w:val="16"/>
                <w:szCs w:val="16"/>
                <w:lang w:val="en-GB"/>
              </w:rPr>
              <w:t xml:space="preserve">If you don’t want to receive this information letter in the future please send a message to </w:t>
            </w:r>
            <w:hyperlink r:id="rId15" w:history="1">
              <w:r>
                <w:rPr>
                  <w:rStyle w:val="Hipercze"/>
                  <w:rFonts w:ascii="Verdana" w:hAnsi="Verdana"/>
                  <w:sz w:val="16"/>
                  <w:szCs w:val="16"/>
                  <w:lang w:val="en-GB"/>
                </w:rPr>
                <w:t>office@eurodig.org</w:t>
              </w:r>
            </w:hyperlink>
            <w:r>
              <w:rPr>
                <w:rFonts w:ascii="Verdana" w:hAnsi="Verdana"/>
                <w:sz w:val="16"/>
                <w:szCs w:val="16"/>
                <w:lang w:val="en-GB"/>
              </w:rPr>
              <w:t>.</w:t>
            </w:r>
          </w:p>
          <w:p>
            <w:pPr>
              <w:ind w:left="275"/>
              <w:jc w:val="center"/>
              <w:rPr>
                <w:rFonts w:ascii="Arial" w:hAnsi="Arial" w:cs="Arial"/>
                <w:sz w:val="18"/>
                <w:szCs w:val="18"/>
                <w:lang w:val="en-GB"/>
              </w:rPr>
            </w:pPr>
          </w:p>
          <w:p>
            <w:pPr>
              <w:jc w:val="center"/>
              <w:rPr>
                <w:rFonts w:ascii="Arial" w:eastAsia="Times New Roman" w:hAnsi="Arial" w:cs="Arial"/>
                <w:sz w:val="18"/>
                <w:szCs w:val="18"/>
              </w:rPr>
            </w:pPr>
            <w:r>
              <w:rPr>
                <w:rFonts w:ascii="Arial" w:eastAsia="Times New Roman" w:hAnsi="Arial" w:cs="Arial"/>
                <w:sz w:val="18"/>
                <w:szCs w:val="18"/>
              </w:rPr>
              <w:pict>
                <v:rect id="_x0000_i1025" style="width:453.6pt;height:1.5pt" o:hralign="center" o:hrstd="t" o:hr="t" fillcolor="#a0a0a0" stroked="f"/>
              </w:pict>
            </w:r>
          </w:p>
          <w:p>
            <w:pPr>
              <w:rPr>
                <w:lang w:val="en-GB"/>
              </w:rPr>
            </w:pPr>
            <w:r>
              <w:rPr>
                <w:rFonts w:ascii="Arial" w:hAnsi="Arial" w:cs="Arial"/>
                <w:sz w:val="16"/>
                <w:szCs w:val="16"/>
                <w:lang w:val="en-US"/>
              </w:rPr>
              <w:t>      </w:t>
            </w:r>
          </w:p>
          <w:p>
            <w:pPr>
              <w:ind w:left="275"/>
              <w:rPr>
                <w:lang w:val="en-GB"/>
              </w:rPr>
            </w:pPr>
            <w:r>
              <w:rPr>
                <w:rFonts w:ascii="Arial" w:hAnsi="Arial" w:cs="Arial"/>
                <w:b/>
                <w:bCs/>
                <w:sz w:val="16"/>
                <w:szCs w:val="16"/>
                <w:lang w:val="en-US"/>
              </w:rPr>
              <w:t>European Dialogue on Internet Governance (</w:t>
            </w:r>
            <w:proofErr w:type="spellStart"/>
            <w:r>
              <w:rPr>
                <w:rFonts w:ascii="Arial" w:hAnsi="Arial" w:cs="Arial"/>
                <w:b/>
                <w:bCs/>
                <w:sz w:val="16"/>
                <w:szCs w:val="16"/>
                <w:lang w:val="en-US"/>
              </w:rPr>
              <w:t>EuroDIG</w:t>
            </w:r>
            <w:proofErr w:type="spellEnd"/>
            <w:r>
              <w:rPr>
                <w:rFonts w:ascii="Arial" w:hAnsi="Arial" w:cs="Arial"/>
                <w:b/>
                <w:bCs/>
                <w:sz w:val="16"/>
                <w:szCs w:val="16"/>
                <w:lang w:val="en-US"/>
              </w:rPr>
              <w:t>)</w:t>
            </w:r>
            <w:bookmarkStart w:id="0" w:name="_GoBack"/>
            <w:bookmarkEnd w:id="0"/>
          </w:p>
          <w:p>
            <w:pPr>
              <w:ind w:left="275"/>
              <w:rPr>
                <w:rFonts w:ascii="Arial" w:hAnsi="Arial" w:cs="Arial"/>
                <w:sz w:val="18"/>
                <w:szCs w:val="18"/>
                <w:lang w:val="en-GB"/>
              </w:rPr>
            </w:pPr>
            <w:hyperlink r:id="rId16" w:history="1">
              <w:r>
                <w:rPr>
                  <w:rStyle w:val="Hipercze"/>
                  <w:rFonts w:ascii="Arial" w:hAnsi="Arial" w:cs="Arial"/>
                  <w:sz w:val="16"/>
                  <w:szCs w:val="16"/>
                  <w:lang w:val="en-US"/>
                </w:rPr>
                <w:t>office@eurodig.org</w:t>
              </w:r>
            </w:hyperlink>
          </w:p>
        </w:tc>
      </w:tr>
    </w:tbl>
    <w:p>
      <w:pPr>
        <w:rPr>
          <w:lang w:val="en-GB"/>
        </w:rPr>
      </w:pPr>
    </w:p>
    <w:sectPr>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66E1C"/>
    <w:multiLevelType w:val="hybridMultilevel"/>
    <w:tmpl w:val="F962DFD4"/>
    <w:lvl w:ilvl="0" w:tplc="0407000F">
      <w:start w:val="1"/>
      <w:numFmt w:val="decimal"/>
      <w:lvlText w:val="%1."/>
      <w:lvlJc w:val="left"/>
      <w:pPr>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8A"/>
    <w:rsid w:val="001D258A"/>
    <w:rsid w:val="002A2F21"/>
    <w:rsid w:val="00BB1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258A"/>
    <w:pPr>
      <w:spacing w:after="0" w:line="240" w:lineRule="auto"/>
    </w:pPr>
    <w:rPr>
      <w:rFonts w:ascii="Calibri" w:hAnsi="Calibri" w:cs="Times New Roman"/>
      <w:color w:val="595959"/>
      <w:lang w:eastAsia="pl-PL"/>
    </w:rPr>
  </w:style>
  <w:style w:type="paragraph" w:styleId="Nagwek1">
    <w:name w:val="heading 1"/>
    <w:basedOn w:val="Normalny"/>
    <w:link w:val="Nagwek1Znak"/>
    <w:uiPriority w:val="9"/>
    <w:qFormat/>
    <w:rsid w:val="001D258A"/>
    <w:pPr>
      <w:spacing w:before="100" w:beforeAutospacing="1" w:after="100" w:afterAutospacing="1"/>
      <w:outlineLvl w:val="0"/>
    </w:pPr>
    <w:rPr>
      <w:rFonts w:ascii="Times New Roman" w:hAnsi="Times New Roman"/>
      <w:b/>
      <w:bCs/>
      <w:color w:val="auto"/>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258A"/>
    <w:rPr>
      <w:rFonts w:ascii="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1D258A"/>
    <w:rPr>
      <w:color w:val="0000FF"/>
      <w:u w:val="single"/>
    </w:rPr>
  </w:style>
  <w:style w:type="paragraph" w:styleId="NormalnyWeb">
    <w:name w:val="Normal (Web)"/>
    <w:basedOn w:val="Normalny"/>
    <w:uiPriority w:val="99"/>
    <w:semiHidden/>
    <w:unhideWhenUsed/>
    <w:rsid w:val="001D258A"/>
    <w:pPr>
      <w:spacing w:before="100" w:beforeAutospacing="1" w:after="100" w:afterAutospacing="1"/>
    </w:pPr>
    <w:rPr>
      <w:rFonts w:ascii="Times New Roman" w:hAnsi="Times New Roman"/>
      <w:color w:val="auto"/>
      <w:sz w:val="24"/>
      <w:szCs w:val="24"/>
    </w:rPr>
  </w:style>
  <w:style w:type="paragraph" w:styleId="Akapitzlist">
    <w:name w:val="List Paragraph"/>
    <w:basedOn w:val="Normalny"/>
    <w:uiPriority w:val="34"/>
    <w:qFormat/>
    <w:rsid w:val="001D258A"/>
    <w:pPr>
      <w:ind w:left="720"/>
    </w:pPr>
    <w:rPr>
      <w:color w:val="auto"/>
    </w:rPr>
  </w:style>
  <w:style w:type="character" w:styleId="Uwydatnienie">
    <w:name w:val="Emphasis"/>
    <w:basedOn w:val="Domylnaczcionkaakapitu"/>
    <w:uiPriority w:val="20"/>
    <w:qFormat/>
    <w:rsid w:val="001D258A"/>
    <w:rPr>
      <w:i/>
      <w:iCs/>
    </w:rPr>
  </w:style>
  <w:style w:type="character" w:styleId="Pogrubienie">
    <w:name w:val="Strong"/>
    <w:basedOn w:val="Domylnaczcionkaakapitu"/>
    <w:uiPriority w:val="22"/>
    <w:qFormat/>
    <w:rsid w:val="001D258A"/>
    <w:rPr>
      <w:b/>
      <w:bCs/>
    </w:rPr>
  </w:style>
  <w:style w:type="paragraph" w:styleId="Tekstdymka">
    <w:name w:val="Balloon Text"/>
    <w:basedOn w:val="Normalny"/>
    <w:link w:val="TekstdymkaZnak"/>
    <w:uiPriority w:val="99"/>
    <w:semiHidden/>
    <w:unhideWhenUsed/>
    <w:rsid w:val="002A2F21"/>
    <w:rPr>
      <w:rFonts w:ascii="Tahoma" w:hAnsi="Tahoma" w:cs="Tahoma"/>
      <w:sz w:val="16"/>
      <w:szCs w:val="16"/>
    </w:rPr>
  </w:style>
  <w:style w:type="character" w:customStyle="1" w:styleId="TekstdymkaZnak">
    <w:name w:val="Tekst dymka Znak"/>
    <w:basedOn w:val="Domylnaczcionkaakapitu"/>
    <w:link w:val="Tekstdymka"/>
    <w:uiPriority w:val="99"/>
    <w:semiHidden/>
    <w:rsid w:val="002A2F21"/>
    <w:rPr>
      <w:rFonts w:ascii="Tahoma" w:hAnsi="Tahoma" w:cs="Tahoma"/>
      <w:color w:val="595959"/>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258A"/>
    <w:pPr>
      <w:spacing w:after="0" w:line="240" w:lineRule="auto"/>
    </w:pPr>
    <w:rPr>
      <w:rFonts w:ascii="Calibri" w:hAnsi="Calibri" w:cs="Times New Roman"/>
      <w:color w:val="595959"/>
      <w:lang w:eastAsia="pl-PL"/>
    </w:rPr>
  </w:style>
  <w:style w:type="paragraph" w:styleId="Nagwek1">
    <w:name w:val="heading 1"/>
    <w:basedOn w:val="Normalny"/>
    <w:link w:val="Nagwek1Znak"/>
    <w:uiPriority w:val="9"/>
    <w:qFormat/>
    <w:rsid w:val="001D258A"/>
    <w:pPr>
      <w:spacing w:before="100" w:beforeAutospacing="1" w:after="100" w:afterAutospacing="1"/>
      <w:outlineLvl w:val="0"/>
    </w:pPr>
    <w:rPr>
      <w:rFonts w:ascii="Times New Roman" w:hAnsi="Times New Roman"/>
      <w:b/>
      <w:bCs/>
      <w:color w:val="auto"/>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258A"/>
    <w:rPr>
      <w:rFonts w:ascii="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1D258A"/>
    <w:rPr>
      <w:color w:val="0000FF"/>
      <w:u w:val="single"/>
    </w:rPr>
  </w:style>
  <w:style w:type="paragraph" w:styleId="NormalnyWeb">
    <w:name w:val="Normal (Web)"/>
    <w:basedOn w:val="Normalny"/>
    <w:uiPriority w:val="99"/>
    <w:semiHidden/>
    <w:unhideWhenUsed/>
    <w:rsid w:val="001D258A"/>
    <w:pPr>
      <w:spacing w:before="100" w:beforeAutospacing="1" w:after="100" w:afterAutospacing="1"/>
    </w:pPr>
    <w:rPr>
      <w:rFonts w:ascii="Times New Roman" w:hAnsi="Times New Roman"/>
      <w:color w:val="auto"/>
      <w:sz w:val="24"/>
      <w:szCs w:val="24"/>
    </w:rPr>
  </w:style>
  <w:style w:type="paragraph" w:styleId="Akapitzlist">
    <w:name w:val="List Paragraph"/>
    <w:basedOn w:val="Normalny"/>
    <w:uiPriority w:val="34"/>
    <w:qFormat/>
    <w:rsid w:val="001D258A"/>
    <w:pPr>
      <w:ind w:left="720"/>
    </w:pPr>
    <w:rPr>
      <w:color w:val="auto"/>
    </w:rPr>
  </w:style>
  <w:style w:type="character" w:styleId="Uwydatnienie">
    <w:name w:val="Emphasis"/>
    <w:basedOn w:val="Domylnaczcionkaakapitu"/>
    <w:uiPriority w:val="20"/>
    <w:qFormat/>
    <w:rsid w:val="001D258A"/>
    <w:rPr>
      <w:i/>
      <w:iCs/>
    </w:rPr>
  </w:style>
  <w:style w:type="character" w:styleId="Pogrubienie">
    <w:name w:val="Strong"/>
    <w:basedOn w:val="Domylnaczcionkaakapitu"/>
    <w:uiPriority w:val="22"/>
    <w:qFormat/>
    <w:rsid w:val="001D258A"/>
    <w:rPr>
      <w:b/>
      <w:bCs/>
    </w:rPr>
  </w:style>
  <w:style w:type="paragraph" w:styleId="Tekstdymka">
    <w:name w:val="Balloon Text"/>
    <w:basedOn w:val="Normalny"/>
    <w:link w:val="TekstdymkaZnak"/>
    <w:uiPriority w:val="99"/>
    <w:semiHidden/>
    <w:unhideWhenUsed/>
    <w:rsid w:val="002A2F21"/>
    <w:rPr>
      <w:rFonts w:ascii="Tahoma" w:hAnsi="Tahoma" w:cs="Tahoma"/>
      <w:sz w:val="16"/>
      <w:szCs w:val="16"/>
    </w:rPr>
  </w:style>
  <w:style w:type="character" w:customStyle="1" w:styleId="TekstdymkaZnak">
    <w:name w:val="Tekst dymka Znak"/>
    <w:basedOn w:val="Domylnaczcionkaakapitu"/>
    <w:link w:val="Tekstdymka"/>
    <w:uiPriority w:val="99"/>
    <w:semiHidden/>
    <w:rsid w:val="002A2F21"/>
    <w:rPr>
      <w:rFonts w:ascii="Tahoma" w:hAnsi="Tahoma" w:cs="Tahoma"/>
      <w:color w:val="595959"/>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14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eurodig.org/eurodig-uploads/2014/EuroDIG%202014_2nd-ProgramOutline_20140311.pdf" TargetMode="External" />
  <Relationship Id="rId13" Type="http://schemas.openxmlformats.org/officeDocument/2006/relationships/hyperlink" Target="http://www.eurodig.org/wiki/Main_Page" TargetMode="External" />
  <Relationship Id="rId18" Type="http://schemas.openxmlformats.org/officeDocument/2006/relationships/theme" Target="theme/theme1.xml" />
  <Relationship Id="rId3" Type="http://schemas.microsoft.com/office/2007/relationships/stylesWithEffects" Target="stylesWithEffects.xml" />
  <Relationship Id="rId7" Type="http://schemas.openxmlformats.org/officeDocument/2006/relationships/image" Target="cid:image001.jpg@01CF3A3B.E68F34A0" TargetMode="External" />
  <Relationship Id="rId12" Type="http://schemas.openxmlformats.org/officeDocument/2006/relationships/hyperlink" Target="http://www.eurodig.org/how-to-participate" TargetMode="External" />
  <Relationship Id="rId17" Type="http://schemas.openxmlformats.org/officeDocument/2006/relationships/fontTable" Target="fontTable.xml" />
  <Relationship Id="rId2" Type="http://schemas.openxmlformats.org/officeDocument/2006/relationships/styles" Target="styles.xml" />
  <Relationship Id="rId16" Type="http://schemas.openxmlformats.org/officeDocument/2006/relationships/hyperlink" Target="mailto:office@eurodig.org" TargetMode="External" />
  <Relationship Id="rId1" Type="http://schemas.openxmlformats.org/officeDocument/2006/relationships/numbering" Target="numbering.xml" />
  <Relationship Id="rId6" Type="http://schemas.openxmlformats.org/officeDocument/2006/relationships/image" Target="media/image1.jpeg" />
  <Relationship Id="rId11" Type="http://schemas.openxmlformats.org/officeDocument/2006/relationships/hyperlink" Target="mailto:office@eurodig.org" TargetMode="External" />
  <Relationship Id="rId5" Type="http://schemas.openxmlformats.org/officeDocument/2006/relationships/webSettings" Target="webSettings.xml" />
  <Relationship Id="rId15" Type="http://schemas.openxmlformats.org/officeDocument/2006/relationships/hyperlink" Target="mailto:office@eurodig.org" TargetMode="External" />
  <Relationship Id="rId10" Type="http://schemas.openxmlformats.org/officeDocument/2006/relationships/hyperlink" Target="http://www.eurodig.org/eurodig-2012/information/session-principles" TargetMode="External" />
  <Relationship Id="rId4" Type="http://schemas.openxmlformats.org/officeDocument/2006/relationships/settings" Target="settings.xml" />
  <Relationship Id="rId9" Type="http://schemas.openxmlformats.org/officeDocument/2006/relationships/hyperlink" Target="http://www.eurodig.org/eurodig-2014-planning-process-at-a-glance" TargetMode="External" />
  <Relationship Id="rId14" Type="http://schemas.openxmlformats.org/officeDocument/2006/relationships/hyperlink" Target="http://www.eurodig.org/eurodig-2012/information/practical-information" TargetMode="External" />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2</Pages>
  <Words>531</Words>
  <Characters>3191</Characters>
  <DocSecurity>0</DocSecurity>
  <Lines>26</Lines>
  <Paragraphs>7</Paragraphs>
  <ScaleCrop>false</ScaleCrop>
  <HeadingPairs>
    <vt:vector size="2" baseType="variant">
      <vt:variant>
        <vt:lpstr>Tytuł</vt:lpstr>
      </vt:variant>
      <vt:variant>
        <vt:i4>1</vt:i4>
      </vt:variant>
    </vt:vector>
  </HeadingPairs>
  <LinksUpToDate>false</LinksUpToDate>
  <CharactersWithSpaces>3715</CharactersWithSpaces>
  <SharedDoc>false</SharedDoc>
  <HyperlinksChanged>false</HyperlinksChanged>
</Properties>
</file>