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16D" w:rsidRPr="00730C2D" w:rsidRDefault="006E4874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b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b/>
          <w:color w:val="222222"/>
          <w:lang w:val="pl-PL"/>
        </w:rPr>
        <w:t>MF - Konsultacje podatkowe - formularz interaktywny informacji o cenach transferowych - PYTANIA</w:t>
      </w:r>
    </w:p>
    <w:p w:rsidR="0037016D" w:rsidRPr="00730C2D" w:rsidRDefault="0037016D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</w:p>
    <w:p w:rsidR="003F60EF" w:rsidRPr="00730C2D" w:rsidRDefault="000A0932" w:rsidP="00744D2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b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br/>
      </w:r>
      <w:r w:rsidR="00744D2F" w:rsidRPr="00730C2D">
        <w:rPr>
          <w:rFonts w:asciiTheme="majorHAnsi" w:eastAsia="Times New Roman" w:hAnsiTheme="majorHAnsi" w:cs="Calibri"/>
          <w:b/>
          <w:color w:val="222222"/>
          <w:lang w:val="pl-PL"/>
        </w:rPr>
        <w:t>1.</w:t>
      </w:r>
    </w:p>
    <w:p w:rsidR="00744D2F" w:rsidRPr="00730C2D" w:rsidRDefault="00744D2F" w:rsidP="00744D2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Jakie standardy rachunkowości należy stosować w przypadku przedstawienia wyniku na transakcji w </w:t>
      </w:r>
      <w:r w:rsidR="00521712">
        <w:rPr>
          <w:rFonts w:asciiTheme="majorHAnsi" w:eastAsia="Times New Roman" w:hAnsiTheme="majorHAnsi" w:cs="Calibri"/>
          <w:color w:val="222222"/>
          <w:lang w:val="pl-PL"/>
        </w:rPr>
        <w:t>S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ekcji E formularza? Czy polski podmiot może stosować inne niż polskie standardy rachunkowości? Czy można wykorzystywać dane stosowane dla celów rachunkowości zarządczej?</w:t>
      </w:r>
    </w:p>
    <w:p w:rsidR="00744D2F" w:rsidRPr="00730C2D" w:rsidRDefault="00744D2F" w:rsidP="00744D2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bookmarkStart w:id="0" w:name="_GoBack"/>
      <w:bookmarkEnd w:id="0"/>
    </w:p>
    <w:p w:rsidR="00744D2F" w:rsidRPr="00730C2D" w:rsidRDefault="00744D2F" w:rsidP="00744D2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Poniższe pytania wynikają z następujących kwestii:</w:t>
      </w:r>
    </w:p>
    <w:p w:rsidR="00744D2F" w:rsidRPr="00730C2D" w:rsidRDefault="00744D2F" w:rsidP="00744D2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niektóre wartości, które należy zaprezentować</w:t>
      </w:r>
      <w:r w:rsidR="003F60EF" w:rsidRPr="00730C2D">
        <w:rPr>
          <w:rFonts w:asciiTheme="majorHAnsi" w:eastAsia="Times New Roman" w:hAnsiTheme="majorHAnsi" w:cs="Calibri"/>
          <w:color w:val="222222"/>
          <w:lang w:val="pl-PL"/>
        </w:rPr>
        <w:t>,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będą dotyczyły wyników zagranicznych spółek,</w:t>
      </w:r>
    </w:p>
    <w:p w:rsidR="00744D2F" w:rsidRPr="00730C2D" w:rsidRDefault="00744D2F" w:rsidP="00744D2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policzenie wybranych wskaźników wynikających z metody marży transakcyjnej netto może wymagać przedstawienia danych z posegmentowanego rachunku wyników, które nie są zaprezentowane w statutowym sprawozdaniu finansowym.</w:t>
      </w:r>
    </w:p>
    <w:p w:rsidR="00744D2F" w:rsidRPr="00730C2D" w:rsidRDefault="00744D2F" w:rsidP="00744D2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</w:p>
    <w:p w:rsidR="003F60EF" w:rsidRPr="00730C2D" w:rsidRDefault="00730C2D" w:rsidP="00744D2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b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b/>
          <w:color w:val="222222"/>
          <w:lang w:val="pl-PL"/>
        </w:rPr>
        <w:t>2</w:t>
      </w:r>
      <w:r w:rsidR="00744D2F" w:rsidRPr="00730C2D">
        <w:rPr>
          <w:rFonts w:asciiTheme="majorHAnsi" w:eastAsia="Times New Roman" w:hAnsiTheme="majorHAnsi" w:cs="Calibri"/>
          <w:b/>
          <w:color w:val="222222"/>
          <w:lang w:val="pl-PL"/>
        </w:rPr>
        <w:t>.</w:t>
      </w:r>
    </w:p>
    <w:p w:rsidR="00744D2F" w:rsidRPr="00730C2D" w:rsidRDefault="00744D2F" w:rsidP="00744D2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Jak postępować w sytuacji, w której kontrahent nie udostępni nam informacji na temat osiąganej przez niego rentowności na transakcji?</w:t>
      </w:r>
    </w:p>
    <w:p w:rsidR="00744D2F" w:rsidRPr="00730C2D" w:rsidRDefault="00744D2F" w:rsidP="00744D2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</w:p>
    <w:p w:rsidR="003F60EF" w:rsidRPr="00730C2D" w:rsidRDefault="00730C2D" w:rsidP="00744D2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b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b/>
          <w:color w:val="222222"/>
          <w:lang w:val="pl-PL"/>
        </w:rPr>
        <w:t>3</w:t>
      </w:r>
      <w:r w:rsidR="00744D2F" w:rsidRPr="00730C2D">
        <w:rPr>
          <w:rFonts w:asciiTheme="majorHAnsi" w:eastAsia="Times New Roman" w:hAnsiTheme="majorHAnsi" w:cs="Calibri"/>
          <w:b/>
          <w:color w:val="222222"/>
          <w:lang w:val="pl-PL"/>
        </w:rPr>
        <w:t>.</w:t>
      </w:r>
    </w:p>
    <w:p w:rsidR="00744D2F" w:rsidRPr="00730C2D" w:rsidRDefault="00744D2F" w:rsidP="00744D2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Czy w przypadku analogicznej transakcji z wieloma kontrahentami niezbędne jest uzupełnienie formularza oddzielnie dla transakcji z każdym kontrahentem?</w:t>
      </w:r>
      <w:r w:rsidR="00FB18A4" w:rsidRPr="00730C2D">
        <w:rPr>
          <w:rFonts w:asciiTheme="majorHAnsi" w:eastAsia="Times New Roman" w:hAnsiTheme="majorHAnsi" w:cs="Calibri"/>
          <w:color w:val="222222"/>
          <w:lang w:val="pl-PL"/>
        </w:rPr>
        <w:t xml:space="preserve"> Jeśli tak, to czy możliwym jest przedstawi</w:t>
      </w:r>
      <w:r w:rsidR="00B859E6" w:rsidRPr="00730C2D">
        <w:rPr>
          <w:rFonts w:asciiTheme="majorHAnsi" w:eastAsia="Times New Roman" w:hAnsiTheme="majorHAnsi" w:cs="Calibri"/>
          <w:color w:val="222222"/>
          <w:lang w:val="pl-PL"/>
        </w:rPr>
        <w:t>e</w:t>
      </w:r>
      <w:r w:rsidR="00FB18A4" w:rsidRPr="00730C2D">
        <w:rPr>
          <w:rFonts w:asciiTheme="majorHAnsi" w:eastAsia="Times New Roman" w:hAnsiTheme="majorHAnsi" w:cs="Calibri"/>
          <w:color w:val="222222"/>
          <w:lang w:val="pl-PL"/>
        </w:rPr>
        <w:t>nie łącznej rentowności na wszystkich tego typu transakcjach czy wynik należy segmentować oddzielnie dla każdego przepływu</w:t>
      </w:r>
      <w:r w:rsidR="00677E80" w:rsidRPr="00730C2D">
        <w:rPr>
          <w:rFonts w:asciiTheme="majorHAnsi" w:eastAsia="Times New Roman" w:hAnsiTheme="majorHAnsi" w:cs="Calibri"/>
          <w:color w:val="222222"/>
          <w:lang w:val="pl-PL"/>
        </w:rPr>
        <w:t xml:space="preserve"> (nawet jeśli dotyczy tej samej grupy transakcji)</w:t>
      </w:r>
      <w:r w:rsidR="00FB18A4" w:rsidRPr="00730C2D">
        <w:rPr>
          <w:rFonts w:asciiTheme="majorHAnsi" w:eastAsia="Times New Roman" w:hAnsiTheme="majorHAnsi" w:cs="Calibri"/>
          <w:color w:val="222222"/>
          <w:lang w:val="pl-PL"/>
        </w:rPr>
        <w:t>?</w:t>
      </w:r>
    </w:p>
    <w:p w:rsidR="00744D2F" w:rsidRPr="00730C2D" w:rsidRDefault="00744D2F" w:rsidP="00744D2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</w:p>
    <w:p w:rsidR="003F60EF" w:rsidRPr="00730C2D" w:rsidRDefault="00730C2D" w:rsidP="00744D2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b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b/>
          <w:color w:val="222222"/>
          <w:lang w:val="pl-PL"/>
        </w:rPr>
        <w:t>4</w:t>
      </w:r>
      <w:r w:rsidR="00744D2F" w:rsidRPr="00730C2D">
        <w:rPr>
          <w:rFonts w:asciiTheme="majorHAnsi" w:eastAsia="Times New Roman" w:hAnsiTheme="majorHAnsi" w:cs="Calibri"/>
          <w:b/>
          <w:color w:val="222222"/>
          <w:lang w:val="pl-PL"/>
        </w:rPr>
        <w:t>.</w:t>
      </w:r>
    </w:p>
    <w:p w:rsidR="00744D2F" w:rsidRPr="00730C2D" w:rsidRDefault="00744D2F" w:rsidP="00744D2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Zgodnie z par. 9, ustęp 2, Rozporządzenia Ministra Finansów z dnia 21 grudnia 2018 r. w sprawie cen transferowych w zakresie podatku dochodowego od osób prawnych, przy weryfikowaniu rentowności możliwe jest kompensowanie niższego dochodu uzyskanego w jednym roku obrotowym, dochodem wyższym z trzyletniego okresu. Czy jest możliwość odzwierciedlenia takiej sytuacji w TP-R?</w:t>
      </w:r>
    </w:p>
    <w:p w:rsidR="00744D2F" w:rsidRPr="00730C2D" w:rsidRDefault="00744D2F" w:rsidP="0037016D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</w:p>
    <w:p w:rsidR="003F60EF" w:rsidRPr="00730C2D" w:rsidRDefault="00730C2D" w:rsidP="0037016D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Times New Roman"/>
          <w:b/>
          <w:color w:val="222222"/>
          <w:sz w:val="14"/>
          <w:szCs w:val="14"/>
          <w:lang w:val="pl-PL"/>
        </w:rPr>
      </w:pPr>
      <w:r w:rsidRPr="00730C2D">
        <w:rPr>
          <w:rFonts w:asciiTheme="majorHAnsi" w:eastAsia="Times New Roman" w:hAnsiTheme="majorHAnsi" w:cs="Calibri"/>
          <w:b/>
          <w:color w:val="222222"/>
          <w:lang w:val="pl-PL"/>
        </w:rPr>
        <w:t>5</w:t>
      </w:r>
      <w:r w:rsidR="000A0932" w:rsidRPr="00730C2D">
        <w:rPr>
          <w:rFonts w:asciiTheme="majorHAnsi" w:eastAsia="Times New Roman" w:hAnsiTheme="majorHAnsi" w:cs="Calibri"/>
          <w:b/>
          <w:color w:val="222222"/>
          <w:lang w:val="pl-PL"/>
        </w:rPr>
        <w:t>.</w:t>
      </w:r>
    </w:p>
    <w:p w:rsidR="000A0932" w:rsidRPr="00730C2D" w:rsidRDefault="0037016D" w:rsidP="0037016D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W jaki sposób wypełnić formularz dla </w:t>
      </w:r>
      <w:r w:rsidRPr="00730C2D">
        <w:rPr>
          <w:rFonts w:asciiTheme="majorHAnsi" w:eastAsia="Times New Roman" w:hAnsiTheme="majorHAnsi" w:cs="Calibri"/>
          <w:b/>
          <w:color w:val="222222"/>
          <w:lang w:val="pl-PL"/>
        </w:rPr>
        <w:t>Podatkowej Grupy Kapitałowej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? 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Mowa jest w nim o podmiocie składającym informację i podmiocie, dla którego jest składana informacja. Rozumiem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y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, że podmiotami, dla których składana jest informacja są spółki wchodzące w skład PGK, ale kogo wpisać jako podmiot składający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- rozumiem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y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, że nie PGK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 xml:space="preserve">- skoro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trzeba podać PKD tego podmiotu? 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Czy to znaczy, że każda spółka z PGK składa TP-R za siebie i nie podaje nigdzie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,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 xml:space="preserve"> że wchodzi w skład PGK (i nie podaje jej </w:t>
      </w:r>
      <w:proofErr w:type="spellStart"/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NIP’u</w:t>
      </w:r>
      <w:proofErr w:type="spellEnd"/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)?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 </w:t>
      </w:r>
    </w:p>
    <w:p w:rsidR="003F60EF" w:rsidRPr="00730C2D" w:rsidRDefault="00730C2D" w:rsidP="003F60EF">
      <w:pPr>
        <w:keepNext/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b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b/>
          <w:color w:val="222222"/>
          <w:lang w:val="pl-PL"/>
        </w:rPr>
        <w:t>6</w:t>
      </w:r>
      <w:r w:rsidR="00744D2F" w:rsidRPr="00730C2D">
        <w:rPr>
          <w:rFonts w:asciiTheme="majorHAnsi" w:eastAsia="Times New Roman" w:hAnsiTheme="majorHAnsi" w:cs="Calibri"/>
          <w:b/>
          <w:color w:val="222222"/>
          <w:lang w:val="pl-PL"/>
        </w:rPr>
        <w:t>.</w:t>
      </w:r>
    </w:p>
    <w:p w:rsidR="000A0932" w:rsidRPr="00730C2D" w:rsidRDefault="000A0932" w:rsidP="003F60EF">
      <w:pPr>
        <w:keepNext/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b/>
          <w:bCs/>
          <w:color w:val="222222"/>
          <w:lang w:val="pl-PL"/>
        </w:rPr>
        <w:t>Metoda porównywalnej ceny niekontrolowanej</w:t>
      </w:r>
      <w:r w:rsidR="0037016D" w:rsidRPr="00730C2D">
        <w:rPr>
          <w:rFonts w:asciiTheme="majorHAnsi" w:eastAsia="Times New Roman" w:hAnsiTheme="majorHAnsi" w:cs="Calibri"/>
          <w:color w:val="222222"/>
          <w:lang w:val="pl-PL"/>
        </w:rPr>
        <w:t> – pytania dotyczące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 </w:t>
      </w:r>
      <w:r w:rsidRPr="00730C2D">
        <w:rPr>
          <w:rFonts w:asciiTheme="majorHAnsi" w:eastAsia="Times New Roman" w:hAnsiTheme="majorHAnsi" w:cs="Calibri"/>
          <w:b/>
          <w:bCs/>
          <w:color w:val="222222"/>
          <w:lang w:val="pl-PL"/>
        </w:rPr>
        <w:t>min i max ceny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związanej z transakcją oraz min i max cen porównywalnych: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 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a)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W formularzu mowa jest o minimalnej i maksymalnej cenie jednostkowej</w:t>
      </w:r>
      <w:r w:rsidR="0037016D" w:rsidRPr="00730C2D">
        <w:rPr>
          <w:rFonts w:asciiTheme="majorHAnsi" w:eastAsia="Times New Roman" w:hAnsiTheme="majorHAnsi" w:cs="Calibri"/>
          <w:color w:val="222222"/>
          <w:lang w:val="pl-PL"/>
        </w:rPr>
        <w:t>,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a nie o średniej cenie w roku dla danej transakcji z podmiotem powiązanym. W przypadku jednego produktu, rozumiem</w:t>
      </w:r>
      <w:r w:rsidR="0037016D" w:rsidRPr="00730C2D">
        <w:rPr>
          <w:rFonts w:asciiTheme="majorHAnsi" w:eastAsia="Times New Roman" w:hAnsiTheme="majorHAnsi" w:cs="Calibri"/>
          <w:color w:val="222222"/>
          <w:lang w:val="pl-PL"/>
        </w:rPr>
        <w:t>y, że cenę min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i max należy wybrać wśród cen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lastRenderedPageBreak/>
        <w:t>jednostkowych pojedynczych transakcji, a jakie ceny należy podać w przypadku sprzedaży </w:t>
      </w:r>
      <w:r w:rsidRPr="00730C2D">
        <w:rPr>
          <w:rFonts w:asciiTheme="majorHAnsi" w:eastAsia="Times New Roman" w:hAnsiTheme="majorHAnsi" w:cs="Calibri"/>
          <w:color w:val="222222"/>
          <w:u w:val="single"/>
          <w:lang w:val="pl-PL"/>
        </w:rPr>
        <w:t>zróżnicowanego asortymentu produktów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? W rozporządzeniu jest mowa o </w:t>
      </w:r>
      <w:r w:rsidR="0037016D" w:rsidRPr="00730C2D">
        <w:rPr>
          <w:rFonts w:asciiTheme="majorHAnsi" w:eastAsia="Times New Roman" w:hAnsiTheme="majorHAnsi" w:cs="Calibri"/>
          <w:color w:val="222222"/>
          <w:lang w:val="pl-PL"/>
        </w:rPr>
        <w:t>tym, że wówczas mają to być ceny min i max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</w:t>
      </w:r>
      <w:r w:rsidR="0037016D" w:rsidRPr="00730C2D">
        <w:rPr>
          <w:rFonts w:asciiTheme="majorHAnsi" w:eastAsia="Times New Roman" w:hAnsiTheme="majorHAnsi" w:cs="Calibri"/>
          <w:color w:val="222222"/>
          <w:lang w:val="pl-PL"/>
        </w:rPr>
        <w:t xml:space="preserve">całego asortymentu. Czy mowa tu o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średnich ważonych cenach skalkulowanych na podstawie cen poszczególnych produktów i ich ilości użytych jako wag</w:t>
      </w:r>
      <w:r w:rsidR="0037016D" w:rsidRPr="00730C2D">
        <w:rPr>
          <w:rFonts w:asciiTheme="majorHAnsi" w:eastAsia="Times New Roman" w:hAnsiTheme="majorHAnsi" w:cs="Calibri"/>
          <w:color w:val="222222"/>
          <w:lang w:val="pl-PL"/>
        </w:rPr>
        <w:t>a? A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le skoro tych średnich nie da się policzyć dla pojedynczych transakcji (ponieważ sprzedaż poszczególnych produktów może być bardzo zróżnicowana w ciągu roku i różnie pogrupowana w ramach pojedynczych transakcji), to jak wyliczyć takie średnie ceny, żeby wybrać z nich cenę minimalną i maksymalną? Czy jednostka powinna skalkulować średnie ceny dla poszczególnych miesięcy i wybrać z nich minimalną i maksymalną?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 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b)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Czy w przypadku </w:t>
      </w:r>
      <w:r w:rsidRPr="00730C2D">
        <w:rPr>
          <w:rFonts w:asciiTheme="majorHAnsi" w:eastAsia="Times New Roman" w:hAnsiTheme="majorHAnsi" w:cs="Calibri"/>
          <w:color w:val="222222"/>
          <w:u w:val="single"/>
          <w:lang w:val="pl-PL"/>
        </w:rPr>
        <w:t>porównywalnych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cen także chodz</w:t>
      </w:r>
      <w:r w:rsidR="0037016D" w:rsidRPr="00730C2D">
        <w:rPr>
          <w:rFonts w:asciiTheme="majorHAnsi" w:eastAsia="Times New Roman" w:hAnsiTheme="majorHAnsi" w:cs="Calibri"/>
          <w:color w:val="222222"/>
          <w:lang w:val="pl-PL"/>
        </w:rPr>
        <w:t>i o ceny jednostkowe dla poszczególnych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transakcji czy raczej o to, by wybrać najniższą i najwyższą cenę spośród średnich cen z roku skalkulowanych dla poszczególnych podmiotów niepowiązanych?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 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c)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Jeżeli w ramach je</w:t>
      </w:r>
      <w:r w:rsidR="0037016D" w:rsidRPr="00730C2D">
        <w:rPr>
          <w:rFonts w:asciiTheme="majorHAnsi" w:eastAsia="Times New Roman" w:hAnsiTheme="majorHAnsi" w:cs="Calibri"/>
          <w:color w:val="222222"/>
          <w:lang w:val="pl-PL"/>
        </w:rPr>
        <w:t>dnej transakcji z jednym podmiotem występuje zakup (lub sprzedaż) dwóch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grup produk</w:t>
      </w:r>
      <w:r w:rsidR="0037016D" w:rsidRPr="00730C2D">
        <w:rPr>
          <w:rFonts w:asciiTheme="majorHAnsi" w:eastAsia="Times New Roman" w:hAnsiTheme="majorHAnsi" w:cs="Calibri"/>
          <w:color w:val="222222"/>
          <w:lang w:val="pl-PL"/>
        </w:rPr>
        <w:t>tów traktowanych jako transakcja jednorodna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, dla których jednak przeprowadzono </w:t>
      </w:r>
      <w:r w:rsidRPr="00730C2D">
        <w:rPr>
          <w:rFonts w:asciiTheme="majorHAnsi" w:eastAsia="Times New Roman" w:hAnsiTheme="majorHAnsi" w:cs="Calibri"/>
          <w:color w:val="222222"/>
          <w:u w:val="single"/>
          <w:lang w:val="pl-PL"/>
        </w:rPr>
        <w:t>osobną analizę porównawczą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 (ze względu na istotne różnice w cenie produktów), to czy w TP-R powinniśmy zaraportować je jako 1 transakcję czy 2 osobne transakcje?</w:t>
      </w:r>
    </w:p>
    <w:p w:rsidR="000A0932" w:rsidRPr="00730C2D" w:rsidRDefault="000A0932" w:rsidP="000A093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</w:pPr>
      <w:r w:rsidRPr="00730C2D"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  <w:t> 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d)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Czy w przypadku </w:t>
      </w:r>
      <w:r w:rsidRPr="00730C2D">
        <w:rPr>
          <w:rFonts w:asciiTheme="majorHAnsi" w:eastAsia="Times New Roman" w:hAnsiTheme="majorHAnsi" w:cs="Calibri"/>
          <w:color w:val="222222"/>
          <w:u w:val="single"/>
          <w:lang w:val="pl-PL"/>
        </w:rPr>
        <w:t>zakupu materiałów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 ceny minimalne i maksymalne powinny być wybrane spośród cen materiałów </w:t>
      </w:r>
      <w:r w:rsidRPr="00730C2D">
        <w:rPr>
          <w:rFonts w:asciiTheme="majorHAnsi" w:eastAsia="Times New Roman" w:hAnsiTheme="majorHAnsi" w:cs="Calibri"/>
          <w:color w:val="222222"/>
          <w:u w:val="single"/>
          <w:lang w:val="pl-PL"/>
        </w:rPr>
        <w:t>przyjętych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 w danym roku do magazynu, czy cen z </w:t>
      </w:r>
      <w:r w:rsidRPr="00730C2D">
        <w:rPr>
          <w:rFonts w:asciiTheme="majorHAnsi" w:eastAsia="Times New Roman" w:hAnsiTheme="majorHAnsi" w:cs="Calibri"/>
          <w:color w:val="222222"/>
          <w:u w:val="single"/>
          <w:lang w:val="pl-PL"/>
        </w:rPr>
        <w:t>faktur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 otrzymanych w danym roku?</w:t>
      </w:r>
    </w:p>
    <w:p w:rsidR="000A0932" w:rsidRPr="00730C2D" w:rsidRDefault="000A0932" w:rsidP="000A093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</w:pPr>
      <w:r w:rsidRPr="00730C2D"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  <w:t> 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e)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Jak skalkulowa</w:t>
      </w:r>
      <w:r w:rsidR="0037016D" w:rsidRPr="00730C2D">
        <w:rPr>
          <w:rFonts w:asciiTheme="majorHAnsi" w:eastAsia="Times New Roman" w:hAnsiTheme="majorHAnsi" w:cs="Calibri"/>
          <w:color w:val="222222"/>
          <w:lang w:val="pl-PL"/>
        </w:rPr>
        <w:t>ć ceny minimalne i maksymalne dla jednostki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, która do tej samej sprzedaży udziela </w:t>
      </w:r>
      <w:r w:rsidRPr="00730C2D">
        <w:rPr>
          <w:rFonts w:asciiTheme="majorHAnsi" w:eastAsia="Times New Roman" w:hAnsiTheme="majorHAnsi" w:cs="Calibri"/>
          <w:color w:val="222222"/>
          <w:u w:val="single"/>
          <w:lang w:val="pl-PL"/>
        </w:rPr>
        <w:t>rabatów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 miesięcznych, kwartalnych i rocznych - każdy dokumentując osobną fakturą korygującą. Faktury rabatowe wystawiane są czasami wiele miesięcy po dokonan</w:t>
      </w:r>
      <w:r w:rsidR="0037016D" w:rsidRPr="00730C2D">
        <w:rPr>
          <w:rFonts w:asciiTheme="majorHAnsi" w:eastAsia="Times New Roman" w:hAnsiTheme="majorHAnsi" w:cs="Calibri"/>
          <w:color w:val="222222"/>
          <w:lang w:val="pl-PL"/>
        </w:rPr>
        <w:t xml:space="preserve">iu sprzedaży (i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częściowo w roku n</w:t>
      </w:r>
      <w:r w:rsidR="0037016D" w:rsidRPr="00730C2D">
        <w:rPr>
          <w:rFonts w:asciiTheme="majorHAnsi" w:eastAsia="Times New Roman" w:hAnsiTheme="majorHAnsi" w:cs="Calibri"/>
          <w:color w:val="222222"/>
          <w:lang w:val="pl-PL"/>
        </w:rPr>
        <w:t>astępującym po roku sprzedaży). P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ytanie dotyczy zarówno cen dla podmiotów powiązanych jak i cen wszystkich porównywalnych podmiotów niepowiązanych.</w:t>
      </w:r>
    </w:p>
    <w:p w:rsidR="000A0932" w:rsidRPr="00730C2D" w:rsidRDefault="000A0932" w:rsidP="000A093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</w:pPr>
      <w:r w:rsidRPr="00730C2D"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  <w:t> 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f)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Spółka dokonując analizy porównawczej cen przedmiotu transakcji odejmuje </w:t>
      </w:r>
      <w:r w:rsidRPr="00730C2D">
        <w:rPr>
          <w:rFonts w:asciiTheme="majorHAnsi" w:eastAsia="Times New Roman" w:hAnsiTheme="majorHAnsi" w:cs="Calibri"/>
          <w:color w:val="222222"/>
          <w:u w:val="single"/>
          <w:lang w:val="pl-PL"/>
        </w:rPr>
        <w:t>koszty transportu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 aby zapewnić większą porównywalność cen podmiotów powiązanych i niepowiązanych. Czy dobrze rozumiemy, że wówczas minimalne i maksymalne ceny raportowane w TP-R również powinny być pomniejszone o 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>koszty transportu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?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 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g)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Czego dotyczy pole  „korekty porówn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 xml:space="preserve">ywalności wyników”? Wydawało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się, że dotyczy ono właśnie takich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 xml:space="preserve"> sytuacji jak te korekty dotyczące kosztów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transportu –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 xml:space="preserve">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ale jest ono w formularzu dostępne tylko dla metod innych niż PCN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 xml:space="preserve">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- dl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>aczego? (analogicznie jak pole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 „Korekta cen transferowych”)</w:t>
      </w:r>
    </w:p>
    <w:p w:rsidR="000A0932" w:rsidRPr="00730C2D" w:rsidRDefault="000A0932" w:rsidP="000A093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</w:pPr>
      <w:r w:rsidRPr="00730C2D"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  <w:t> 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h)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W jakiej </w:t>
      </w:r>
      <w:r w:rsidRPr="00730C2D">
        <w:rPr>
          <w:rFonts w:asciiTheme="majorHAnsi" w:eastAsia="Times New Roman" w:hAnsiTheme="majorHAnsi" w:cs="Calibri"/>
          <w:color w:val="222222"/>
          <w:u w:val="single"/>
          <w:lang w:val="pl-PL"/>
        </w:rPr>
        <w:t>walucie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 powinny być podawane ceny w TP-R? Taka waluta, jaka zostanie nadana dla cen z podmiotami powiązanymi  wstawia się automatycznie dla cen porównywalnych. Jest to log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>iczne, ale chcielibyśmy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się upewnić, że jeżeli transakcja zawierana była oryginalnie w innej walucie niż PLN, to można podać jej cenę w przeliczeniu na PL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>N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. </w:t>
      </w:r>
    </w:p>
    <w:p w:rsidR="000A0932" w:rsidRPr="00730C2D" w:rsidRDefault="000A0932" w:rsidP="000A093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</w:pPr>
      <w:r w:rsidRPr="00730C2D"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  <w:t> 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i)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Czy dla metody porównywalnej ceny niekontrolowanej jako cenę minimalną i maksymalną można wpisać wartości wyrażone </w:t>
      </w:r>
      <w:r w:rsidRPr="00730C2D">
        <w:rPr>
          <w:rFonts w:asciiTheme="majorHAnsi" w:eastAsia="Times New Roman" w:hAnsiTheme="majorHAnsi" w:cs="Calibri"/>
          <w:b/>
          <w:bCs/>
          <w:color w:val="222222"/>
          <w:lang w:val="pl-PL"/>
        </w:rPr>
        <w:t>w %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(np. dla 2% wpisując 2 w polu „Cena min” i „Cena max”  oraz % w polu „Rodzaj jednostki miary”)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 xml:space="preserve"> - nie widzimy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in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 xml:space="preserve">nej 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lastRenderedPageBreak/>
        <w:t>możliwości, gdy np. dla usług prowizyjnych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porównanie dotyczy prowizji kalkulowanej jako % przychodu od sprzedaży stosowanego przez jednostki powiązane i niepowiązane.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 </w:t>
      </w:r>
    </w:p>
    <w:p w:rsidR="000A0932" w:rsidRPr="00730C2D" w:rsidRDefault="00EC2D85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j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)</w:t>
      </w:r>
      <w:r w:rsidR="000A0932"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 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Jaki sposób weryfikacji ceny wybrać, gdy do wyznaczenia poziomu rynkowego wykorzystano </w:t>
      </w:r>
      <w:r w:rsidR="000A0932" w:rsidRPr="00730C2D">
        <w:rPr>
          <w:rFonts w:asciiTheme="majorHAnsi" w:eastAsia="Times New Roman" w:hAnsiTheme="majorHAnsi" w:cs="Calibri"/>
          <w:color w:val="222222"/>
          <w:u w:val="single"/>
          <w:lang w:val="pl-PL"/>
        </w:rPr>
        <w:t>różne źródła danych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 – w formularzu istnieje tylko możliwość wybo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ru 1 opcji (dotyczyć to może głó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wnie transakcji finansowych).</w:t>
      </w:r>
    </w:p>
    <w:p w:rsidR="000A0932" w:rsidRPr="00730C2D" w:rsidRDefault="000A0932" w:rsidP="000A093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</w:pPr>
      <w:r w:rsidRPr="00730C2D"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  <w:t> </w:t>
      </w:r>
    </w:p>
    <w:p w:rsidR="00730C2D" w:rsidRPr="00730C2D" w:rsidRDefault="00730C2D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Times New Roman"/>
          <w:b/>
          <w:color w:val="222222"/>
          <w:sz w:val="14"/>
          <w:szCs w:val="14"/>
          <w:lang w:val="pl-PL"/>
        </w:rPr>
      </w:pPr>
      <w:r w:rsidRPr="00730C2D">
        <w:rPr>
          <w:rFonts w:asciiTheme="majorHAnsi" w:eastAsia="Times New Roman" w:hAnsiTheme="majorHAnsi" w:cs="Calibri"/>
          <w:b/>
          <w:color w:val="222222"/>
          <w:lang w:val="pl-PL"/>
        </w:rPr>
        <w:t>7</w:t>
      </w:r>
      <w:r w:rsidR="000A0932" w:rsidRPr="00730C2D">
        <w:rPr>
          <w:rFonts w:asciiTheme="majorHAnsi" w:eastAsia="Times New Roman" w:hAnsiTheme="majorHAnsi" w:cs="Calibri"/>
          <w:b/>
          <w:color w:val="222222"/>
          <w:lang w:val="pl-PL"/>
        </w:rPr>
        <w:t>.</w:t>
      </w:r>
      <w:r w:rsidR="00744D2F" w:rsidRPr="00730C2D">
        <w:rPr>
          <w:rFonts w:asciiTheme="majorHAnsi" w:eastAsia="Times New Roman" w:hAnsiTheme="majorHAnsi" w:cs="Times New Roman"/>
          <w:b/>
          <w:color w:val="222222"/>
          <w:sz w:val="14"/>
          <w:szCs w:val="14"/>
          <w:lang w:val="pl-PL"/>
        </w:rPr>
        <w:t xml:space="preserve"> 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b/>
          <w:color w:val="222222"/>
          <w:lang w:val="pl-PL"/>
        </w:rPr>
        <w:t xml:space="preserve">Jaką metodę i sposób weryfikacji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należy wpisać dla przypadków, dla których nie da się sporządzić analizy porównawczej i dopuszczalna jest </w:t>
      </w:r>
      <w:r w:rsidRPr="00730C2D">
        <w:rPr>
          <w:rFonts w:asciiTheme="majorHAnsi" w:eastAsia="Times New Roman" w:hAnsiTheme="majorHAnsi" w:cs="Calibri"/>
          <w:b/>
          <w:bCs/>
          <w:color w:val="222222"/>
          <w:lang w:val="pl-PL"/>
        </w:rPr>
        <w:t>analiza zgodności warunków transakcji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?</w:t>
      </w:r>
    </w:p>
    <w:p w:rsidR="00EC2D85" w:rsidRPr="00730C2D" w:rsidRDefault="00EC2D85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</w:p>
    <w:p w:rsidR="000A0932" w:rsidRPr="00730C2D" w:rsidRDefault="000A0932" w:rsidP="00EC2D85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a)       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>N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ajprostszym przykładem jest refaktura</w:t>
      </w:r>
      <w:r w:rsidR="00730C2D">
        <w:rPr>
          <w:rFonts w:asciiTheme="majorHAnsi" w:eastAsia="Times New Roman" w:hAnsiTheme="majorHAnsi" w:cs="Calibri"/>
          <w:color w:val="222222"/>
          <w:lang w:val="pl-PL"/>
        </w:rPr>
        <w:t xml:space="preserve"> 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>kosztów - rozważaliśmy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możliwość wyb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>oru „Inna metoda-pozostałe” i „I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nny sposób weryfikacji rynkowego charakteru ceny”, ale po ich wybraniu nadal trzeba wpi</w:t>
      </w:r>
      <w:r w:rsidR="00EC2D85" w:rsidRPr="00730C2D">
        <w:rPr>
          <w:rFonts w:asciiTheme="majorHAnsi" w:eastAsia="Times New Roman" w:hAnsiTheme="majorHAnsi" w:cs="Calibri"/>
          <w:color w:val="222222"/>
          <w:lang w:val="pl-PL"/>
        </w:rPr>
        <w:t>sać cenę minimalną i maksymalną – a dla refaktury taka nie występuje.</w:t>
      </w:r>
    </w:p>
    <w:p w:rsidR="00EC2D85" w:rsidRPr="00730C2D" w:rsidRDefault="00EC2D85" w:rsidP="00EC2D85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</w:p>
    <w:p w:rsidR="000A0932" w:rsidRPr="00730C2D" w:rsidRDefault="000A0932" w:rsidP="00EC2D85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b)      </w:t>
      </w:r>
      <w:r w:rsidR="00730C2D">
        <w:rPr>
          <w:rFonts w:asciiTheme="majorHAnsi" w:eastAsia="Times New Roman" w:hAnsiTheme="majorHAnsi" w:cs="Calibri"/>
          <w:color w:val="222222"/>
          <w:lang w:val="pl-PL"/>
        </w:rPr>
        <w:t>C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o w trudniejszych przypadkach gdy nie da się sporządzić analizy porównawczej?</w:t>
      </w:r>
    </w:p>
    <w:p w:rsidR="000A0932" w:rsidRPr="00730C2D" w:rsidRDefault="000A0932" w:rsidP="000A093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</w:pPr>
      <w:r w:rsidRPr="00730C2D">
        <w:rPr>
          <w:rFonts w:asciiTheme="majorHAnsi" w:eastAsia="Times New Roman" w:hAnsiTheme="majorHAnsi" w:cs="Arial"/>
          <w:color w:val="222222"/>
          <w:sz w:val="24"/>
          <w:szCs w:val="24"/>
          <w:lang w:val="pl-PL"/>
        </w:rPr>
        <w:t> </w:t>
      </w:r>
    </w:p>
    <w:p w:rsidR="00730C2D" w:rsidRPr="00730C2D" w:rsidRDefault="00730C2D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Times New Roman"/>
          <w:b/>
          <w:color w:val="222222"/>
          <w:sz w:val="14"/>
          <w:szCs w:val="14"/>
          <w:lang w:val="pl-PL"/>
        </w:rPr>
      </w:pPr>
      <w:r w:rsidRPr="00730C2D">
        <w:rPr>
          <w:rFonts w:asciiTheme="majorHAnsi" w:eastAsia="Times New Roman" w:hAnsiTheme="majorHAnsi" w:cs="Calibri"/>
          <w:b/>
          <w:color w:val="222222"/>
          <w:lang w:val="pl-PL"/>
        </w:rPr>
        <w:t>8</w:t>
      </w:r>
      <w:r w:rsidR="000A0932" w:rsidRPr="00730C2D">
        <w:rPr>
          <w:rFonts w:asciiTheme="majorHAnsi" w:eastAsia="Times New Roman" w:hAnsiTheme="majorHAnsi" w:cs="Calibri"/>
          <w:b/>
          <w:color w:val="222222"/>
          <w:lang w:val="pl-PL"/>
        </w:rPr>
        <w:t>.</w:t>
      </w:r>
    </w:p>
    <w:p w:rsidR="00EC2D85" w:rsidRPr="00730C2D" w:rsidRDefault="00EC2D85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b/>
          <w:bCs/>
          <w:color w:val="222222"/>
          <w:lang w:val="pl-PL"/>
        </w:rPr>
        <w:t>Kategorie transakcji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 </w:t>
      </w:r>
    </w:p>
    <w:p w:rsidR="00EC2D85" w:rsidRPr="00730C2D" w:rsidRDefault="00EC2D85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</w:p>
    <w:p w:rsidR="00EC2D85" w:rsidRPr="00730C2D" w:rsidRDefault="00EC2D85" w:rsidP="00EC2D85">
      <w:pPr>
        <w:shd w:val="clear" w:color="auto" w:fill="FFFFFF"/>
        <w:tabs>
          <w:tab w:val="left" w:pos="1134"/>
        </w:tabs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a)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ab/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Do jakiej kategorii przypisać transakcję polegającą na świadczeniu dla jednostki powiązanej usług wsparcia w z</w:t>
      </w:r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 xml:space="preserve">akresie wiedzy specjalistów </w:t>
      </w:r>
      <w:r w:rsidR="00A52270" w:rsidRPr="00730C2D">
        <w:rPr>
          <w:rFonts w:asciiTheme="majorHAnsi" w:eastAsia="Times New Roman" w:hAnsiTheme="majorHAnsi" w:cs="Calibri"/>
          <w:b/>
          <w:color w:val="222222"/>
          <w:lang w:val="pl-PL"/>
        </w:rPr>
        <w:t>z ró</w:t>
      </w:r>
      <w:r w:rsidR="000A0932" w:rsidRPr="00730C2D">
        <w:rPr>
          <w:rFonts w:asciiTheme="majorHAnsi" w:eastAsia="Times New Roman" w:hAnsiTheme="majorHAnsi" w:cs="Calibri"/>
          <w:b/>
          <w:color w:val="222222"/>
          <w:lang w:val="pl-PL"/>
        </w:rPr>
        <w:t>żnych obszarów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, gdy</w:t>
      </w:r>
      <w:r w:rsidR="00730C2D" w:rsidRPr="00730C2D">
        <w:rPr>
          <w:rFonts w:asciiTheme="majorHAnsi" w:eastAsia="Times New Roman" w:hAnsiTheme="majorHAnsi" w:cs="Calibri"/>
          <w:color w:val="222222"/>
          <w:lang w:val="pl-PL"/>
        </w:rPr>
        <w:t xml:space="preserve"> 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niektóre z tych obszarów są wymienione w zał. do ustawy o CIT jako usługi o niskiej wartości dodanej a inne nie? Czy całość może być zakwalifikowana jako 1101 Sprzedaż usług o niskiej wartości dodanej czy raczej 1105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- sprzedaż usług niematerialnych innych niż usługi o niskiej wartości dodanej, czy trzeba sięgnąć do kalkulacji kwot z poszczególnych faktur i dokonać podziału tych kwot na dwie kategorie i każdą zaraportować osobno?</w:t>
      </w:r>
    </w:p>
    <w:p w:rsidR="00EC2D85" w:rsidRPr="00730C2D" w:rsidRDefault="00EC2D85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</w:p>
    <w:p w:rsidR="000A0932" w:rsidRPr="00730C2D" w:rsidRDefault="00EC2D85" w:rsidP="00EC2D85">
      <w:pPr>
        <w:shd w:val="clear" w:color="auto" w:fill="FFFFFF"/>
        <w:tabs>
          <w:tab w:val="left" w:pos="1134"/>
        </w:tabs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b)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ab/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To samo pytanie odnosi się do transakcji zakupu </w:t>
      </w:r>
      <w:r w:rsidR="000A0932" w:rsidRPr="00730C2D">
        <w:rPr>
          <w:rFonts w:asciiTheme="majorHAnsi" w:eastAsia="Times New Roman" w:hAnsiTheme="majorHAnsi" w:cs="Calibri"/>
          <w:b/>
          <w:bCs/>
          <w:color w:val="222222"/>
          <w:lang w:val="pl-PL"/>
        </w:rPr>
        <w:t>usług mieszanych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 xml:space="preserve">. (Należy zaznaczyć, że spółka nie zamierza korzystać z </w:t>
      </w:r>
      <w:proofErr w:type="spellStart"/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safe</w:t>
      </w:r>
      <w:proofErr w:type="spellEnd"/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 xml:space="preserve"> </w:t>
      </w:r>
      <w:proofErr w:type="spellStart"/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harbour</w:t>
      </w:r>
      <w:proofErr w:type="spellEnd"/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 xml:space="preserve"> w tym zakr</w:t>
      </w:r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>esie</w:t>
      </w:r>
      <w:r w:rsidR="000A0932" w:rsidRPr="00730C2D">
        <w:rPr>
          <w:rFonts w:asciiTheme="majorHAnsi" w:eastAsia="Times New Roman" w:hAnsiTheme="majorHAnsi" w:cs="Calibri"/>
          <w:color w:val="222222"/>
          <w:lang w:val="pl-PL"/>
        </w:rPr>
        <w:t>)</w:t>
      </w:r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>.</w:t>
      </w:r>
    </w:p>
    <w:p w:rsidR="000A0932" w:rsidRPr="00730C2D" w:rsidRDefault="000A0932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 </w:t>
      </w:r>
    </w:p>
    <w:p w:rsidR="00730C2D" w:rsidRPr="00730C2D" w:rsidRDefault="00730C2D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b/>
          <w:bCs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b/>
          <w:bCs/>
          <w:color w:val="222222"/>
          <w:lang w:val="pl-PL"/>
        </w:rPr>
        <w:t>9</w:t>
      </w:r>
      <w:r w:rsidR="000A0932" w:rsidRPr="00730C2D">
        <w:rPr>
          <w:rFonts w:asciiTheme="majorHAnsi" w:eastAsia="Times New Roman" w:hAnsiTheme="majorHAnsi" w:cs="Calibri"/>
          <w:b/>
          <w:bCs/>
          <w:color w:val="222222"/>
          <w:lang w:val="pl-PL"/>
        </w:rPr>
        <w:t>.</w:t>
      </w:r>
    </w:p>
    <w:p w:rsidR="000A0932" w:rsidRPr="00730C2D" w:rsidRDefault="00A52270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b/>
          <w:bCs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b/>
          <w:bCs/>
          <w:color w:val="222222"/>
          <w:lang w:val="pl-PL"/>
        </w:rPr>
        <w:t>Transakcje finansowe</w:t>
      </w:r>
    </w:p>
    <w:p w:rsidR="00A52270" w:rsidRPr="00730C2D" w:rsidRDefault="00A52270" w:rsidP="000A093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Calibri"/>
          <w:color w:val="222222"/>
          <w:lang w:val="pl-PL"/>
        </w:rPr>
      </w:pPr>
    </w:p>
    <w:p w:rsidR="00A52270" w:rsidRPr="00730C2D" w:rsidRDefault="000A0932" w:rsidP="00A52270">
      <w:pPr>
        <w:shd w:val="clear" w:color="auto" w:fill="FFFFFF"/>
        <w:spacing w:after="0" w:line="240" w:lineRule="auto"/>
        <w:ind w:left="709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a)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Jaka wartość powinna być wpisana w polu „</w:t>
      </w:r>
      <w:r w:rsidRPr="00730C2D">
        <w:rPr>
          <w:rFonts w:asciiTheme="majorHAnsi" w:eastAsia="Times New Roman" w:hAnsiTheme="majorHAnsi" w:cs="Calibri"/>
          <w:b/>
          <w:bCs/>
          <w:color w:val="222222"/>
          <w:lang w:val="pl-PL"/>
        </w:rPr>
        <w:t>wartość transakcji”</w:t>
      </w:r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 xml:space="preserve"> dla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transakcji </w:t>
      </w:r>
      <w:proofErr w:type="spellStart"/>
      <w:r w:rsidRPr="00730C2D">
        <w:rPr>
          <w:rFonts w:asciiTheme="majorHAnsi" w:eastAsia="Times New Roman" w:hAnsiTheme="majorHAnsi" w:cs="Calibri"/>
          <w:b/>
          <w:bCs/>
          <w:color w:val="222222"/>
          <w:lang w:val="pl-PL"/>
        </w:rPr>
        <w:t>cashpoolingu</w:t>
      </w:r>
      <w:proofErr w:type="spellEnd"/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? </w:t>
      </w:r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 xml:space="preserve">Ustawa o CIT nie odnosi się do </w:t>
      </w:r>
      <w:proofErr w:type="spellStart"/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>c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ashpoolingu</w:t>
      </w:r>
      <w:proofErr w:type="spellEnd"/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, natomiast dla pożyczek czy poręczeń wartością transakcji jest wartość tożsama z kwotą, którą należy wpisać w polu „Kwota kapitału” ( a nie „kwota odsetek”). Skoro dla </w:t>
      </w:r>
      <w:proofErr w:type="spellStart"/>
      <w:r w:rsidRPr="00730C2D">
        <w:rPr>
          <w:rFonts w:asciiTheme="majorHAnsi" w:eastAsia="Times New Roman" w:hAnsiTheme="majorHAnsi" w:cs="Calibri"/>
          <w:color w:val="222222"/>
          <w:lang w:val="pl-PL"/>
        </w:rPr>
        <w:t>cashpoolingu</w:t>
      </w:r>
      <w:proofErr w:type="spellEnd"/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kwota kapitału definiowana jest jako limit zadłużenia, to czy jako wartość transakcji także należy wpisać ten limit? Czy w przypadku braku limitu – wartość transakcji ma wynieść zero? Czy jednak w tym przypadku powinna to być taka kwota jak w polu „kwota zadłużenia”?</w:t>
      </w:r>
    </w:p>
    <w:p w:rsidR="00A52270" w:rsidRPr="00730C2D" w:rsidRDefault="00A52270" w:rsidP="00A52270">
      <w:pPr>
        <w:shd w:val="clear" w:color="auto" w:fill="FFFFFF"/>
        <w:spacing w:after="0" w:line="240" w:lineRule="auto"/>
        <w:ind w:left="709"/>
        <w:rPr>
          <w:rFonts w:asciiTheme="majorHAnsi" w:eastAsia="Times New Roman" w:hAnsiTheme="majorHAnsi" w:cs="Calibri"/>
          <w:color w:val="222222"/>
          <w:lang w:val="pl-PL"/>
        </w:rPr>
      </w:pPr>
    </w:p>
    <w:p w:rsidR="00A52270" w:rsidRPr="00730C2D" w:rsidRDefault="000A0932" w:rsidP="00A52270">
      <w:pPr>
        <w:shd w:val="clear" w:color="auto" w:fill="FFFFFF"/>
        <w:spacing w:after="0" w:line="240" w:lineRule="auto"/>
        <w:ind w:left="709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b)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Jak prezentować zadłużenie i ods</w:t>
      </w:r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 xml:space="preserve">etki wynikające z </w:t>
      </w:r>
      <w:proofErr w:type="spellStart"/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>cashpoolingu</w:t>
      </w:r>
      <w:proofErr w:type="spellEnd"/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>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ma podmiot, który czasami jest podmiotem udostępniającym a czasami korzystającym ze środków finansowych?</w:t>
      </w:r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 xml:space="preserve">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Wg wyjaśnień do TP</w:t>
      </w:r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>-R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„w przypadku </w:t>
      </w:r>
      <w:proofErr w:type="spellStart"/>
      <w:r w:rsidRPr="00730C2D">
        <w:rPr>
          <w:rFonts w:asciiTheme="majorHAnsi" w:eastAsia="Times New Roman" w:hAnsiTheme="majorHAnsi" w:cs="Calibri"/>
          <w:color w:val="222222"/>
          <w:lang w:val="pl-PL"/>
        </w:rPr>
        <w:t>cash</w:t>
      </w:r>
      <w:proofErr w:type="spellEnd"/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</w:t>
      </w:r>
      <w:proofErr w:type="spellStart"/>
      <w:r w:rsidRPr="00730C2D">
        <w:rPr>
          <w:rFonts w:asciiTheme="majorHAnsi" w:eastAsia="Times New Roman" w:hAnsiTheme="majorHAnsi" w:cs="Calibri"/>
          <w:color w:val="222222"/>
          <w:lang w:val="pl-PL"/>
        </w:rPr>
        <w:t>poolingu</w:t>
      </w:r>
      <w:proofErr w:type="spellEnd"/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wartość zadłużenia uzupełnia się średnią z dziennych sald pozycji ujemnych lub dodatnich w ciągu roku, w zależności od tego, czy podmiot, dla którego składana jest informacja o cenach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lastRenderedPageBreak/>
        <w:t xml:space="preserve">transferowych, występuje odpowiednio jako korzystający ze środków finansowych, czy umożliwia korzystanie z własnych środków innym podmiotom w ramach </w:t>
      </w:r>
      <w:proofErr w:type="spellStart"/>
      <w:r w:rsidRPr="00730C2D">
        <w:rPr>
          <w:rFonts w:asciiTheme="majorHAnsi" w:eastAsia="Times New Roman" w:hAnsiTheme="majorHAnsi" w:cs="Calibri"/>
          <w:color w:val="222222"/>
          <w:lang w:val="pl-PL"/>
        </w:rPr>
        <w:t>cash</w:t>
      </w:r>
      <w:proofErr w:type="spellEnd"/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</w:t>
      </w:r>
      <w:proofErr w:type="spellStart"/>
      <w:r w:rsidRPr="00730C2D">
        <w:rPr>
          <w:rFonts w:asciiTheme="majorHAnsi" w:eastAsia="Times New Roman" w:hAnsiTheme="majorHAnsi" w:cs="Calibri"/>
          <w:color w:val="222222"/>
          <w:lang w:val="pl-PL"/>
        </w:rPr>
        <w:t>poolingu</w:t>
      </w:r>
      <w:proofErr w:type="spellEnd"/>
      <w:r w:rsidRPr="00730C2D">
        <w:rPr>
          <w:rFonts w:asciiTheme="majorHAnsi" w:eastAsia="Times New Roman" w:hAnsiTheme="majorHAnsi" w:cs="Calibri"/>
          <w:color w:val="222222"/>
          <w:lang w:val="pl-PL"/>
        </w:rPr>
        <w:t>.”</w:t>
      </w:r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 xml:space="preserve"> 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To wyjaśnienie wydaje się niejasne w przypadku jednostek, które czasami występują w roli podmiotu udostępniającego, a czasami korzystającego ze środków finansowych.</w:t>
      </w:r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 xml:space="preserve"> Czy dobrze r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ozumiemy, że skoro poziom rynkowy marż dla sald ujemnych j</w:t>
      </w:r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>est inny niż dla dodatnich, te dwie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kategorie powinny być prezentowane w TP</w:t>
      </w:r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>-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R osobno  i  należy policzyć osobno poziom zadłużenia na podstawie występujących w ciągu roku sald dodatnich i osobno dla ujemnych? Jeżeli tak, to czy oznacza to, że jeżeli jednostka w księgach ujmuje odsetki w ujęciu miesięcznym (w 1 kwocie będącą wartością netto odsetek dodatnich i ujemnych), to na potrzeby TP-R powinna dokonać innej agregacji odsetek dodatnich i ujemnych niż zostały one ujęte w księgach - tak by wartość odsetek była spójna z wyl</w:t>
      </w:r>
      <w:r w:rsidR="00A52270" w:rsidRPr="00730C2D">
        <w:rPr>
          <w:rFonts w:asciiTheme="majorHAnsi" w:eastAsia="Times New Roman" w:hAnsiTheme="majorHAnsi" w:cs="Calibri"/>
          <w:color w:val="222222"/>
          <w:lang w:val="pl-PL"/>
        </w:rPr>
        <w:t>iczoną kwotą zadłużeń dla tych dwóch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kategorii?</w:t>
      </w:r>
    </w:p>
    <w:p w:rsidR="00A52270" w:rsidRPr="00730C2D" w:rsidRDefault="00A52270" w:rsidP="00A52270">
      <w:pPr>
        <w:shd w:val="clear" w:color="auto" w:fill="FFFFFF"/>
        <w:spacing w:after="0" w:line="240" w:lineRule="auto"/>
        <w:ind w:left="709"/>
        <w:rPr>
          <w:rFonts w:asciiTheme="majorHAnsi" w:eastAsia="Times New Roman" w:hAnsiTheme="majorHAnsi" w:cs="Calibri"/>
          <w:color w:val="222222"/>
          <w:lang w:val="pl-PL"/>
        </w:rPr>
      </w:pPr>
    </w:p>
    <w:p w:rsidR="006E4874" w:rsidRPr="00730C2D" w:rsidRDefault="000A0932" w:rsidP="006E4874">
      <w:pPr>
        <w:shd w:val="clear" w:color="auto" w:fill="FFFFFF"/>
        <w:spacing w:after="0" w:line="240" w:lineRule="auto"/>
        <w:ind w:left="709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c)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Czy w przypadku, gdy dla transakcji finansowych stopa bazowa pomniejszana jest o marżę, to czy w polach „Wynik analizy granica dolna” oraz „Wynik analizy-granica górna” powinna być wpisana marża ze znakiem ujemnym? Wydaje się, że odpowiedź powinna być twierdząc</w:t>
      </w:r>
      <w:r w:rsidR="006E4874" w:rsidRPr="00730C2D">
        <w:rPr>
          <w:rFonts w:asciiTheme="majorHAnsi" w:eastAsia="Times New Roman" w:hAnsiTheme="majorHAnsi" w:cs="Calibri"/>
          <w:color w:val="222222"/>
          <w:lang w:val="pl-PL"/>
        </w:rPr>
        <w:t>a, szczególnie, ze czasami dla jednej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transakcji dla jednej granicy przedziału od stopy bazowej należy </w:t>
      </w:r>
      <w:r w:rsidR="006E4874" w:rsidRPr="00730C2D">
        <w:rPr>
          <w:rFonts w:asciiTheme="majorHAnsi" w:eastAsia="Times New Roman" w:hAnsiTheme="majorHAnsi" w:cs="Calibri"/>
          <w:color w:val="222222"/>
          <w:lang w:val="pl-PL"/>
        </w:rPr>
        <w:t>odjąć marżę a dla drugiej dodać.</w:t>
      </w:r>
    </w:p>
    <w:p w:rsidR="006E4874" w:rsidRPr="00730C2D" w:rsidRDefault="006E4874" w:rsidP="006E4874">
      <w:pPr>
        <w:shd w:val="clear" w:color="auto" w:fill="FFFFFF"/>
        <w:spacing w:after="0" w:line="240" w:lineRule="auto"/>
        <w:ind w:left="709"/>
        <w:rPr>
          <w:rFonts w:asciiTheme="majorHAnsi" w:eastAsia="Times New Roman" w:hAnsiTheme="majorHAnsi" w:cs="Calibri"/>
          <w:color w:val="222222"/>
          <w:lang w:val="pl-PL"/>
        </w:rPr>
      </w:pPr>
    </w:p>
    <w:p w:rsidR="006E4874" w:rsidRPr="00730C2D" w:rsidRDefault="000A0932" w:rsidP="006E4874">
      <w:pPr>
        <w:shd w:val="clear" w:color="auto" w:fill="FFFFFF"/>
        <w:spacing w:after="0" w:line="240" w:lineRule="auto"/>
        <w:ind w:left="709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d)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W liście rozwijanej dot. stóp bazowych jest tylko LIBOR, WIBOR, EURIBOR, a nie ma </w:t>
      </w:r>
      <w:r w:rsidRPr="00730C2D">
        <w:rPr>
          <w:rFonts w:asciiTheme="majorHAnsi" w:eastAsia="Times New Roman" w:hAnsiTheme="majorHAnsi" w:cs="Calibri"/>
          <w:b/>
          <w:bCs/>
          <w:color w:val="222222"/>
          <w:lang w:val="pl-PL"/>
        </w:rPr>
        <w:t>WIBID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. Czy w takiej sytuacji wybierać „inna stopa bazowa”?</w:t>
      </w:r>
    </w:p>
    <w:p w:rsidR="006E4874" w:rsidRPr="00730C2D" w:rsidRDefault="006E4874" w:rsidP="006E4874">
      <w:pPr>
        <w:shd w:val="clear" w:color="auto" w:fill="FFFFFF"/>
        <w:spacing w:after="0" w:line="240" w:lineRule="auto"/>
        <w:ind w:left="709"/>
        <w:rPr>
          <w:rFonts w:asciiTheme="majorHAnsi" w:eastAsia="Times New Roman" w:hAnsiTheme="majorHAnsi" w:cs="Calibri"/>
          <w:color w:val="222222"/>
          <w:lang w:val="pl-PL"/>
        </w:rPr>
      </w:pPr>
    </w:p>
    <w:p w:rsidR="000A0932" w:rsidRPr="00730C2D" w:rsidRDefault="000A0932" w:rsidP="006E4874">
      <w:pPr>
        <w:shd w:val="clear" w:color="auto" w:fill="FFFFFF"/>
        <w:spacing w:after="0" w:line="240" w:lineRule="auto"/>
        <w:ind w:left="709"/>
        <w:rPr>
          <w:rFonts w:asciiTheme="majorHAnsi" w:eastAsia="Times New Roman" w:hAnsiTheme="majorHAnsi" w:cs="Calibri"/>
          <w:color w:val="222222"/>
          <w:lang w:val="pl-PL"/>
        </w:rPr>
      </w:pPr>
      <w:r w:rsidRPr="00730C2D">
        <w:rPr>
          <w:rFonts w:asciiTheme="majorHAnsi" w:eastAsia="Times New Roman" w:hAnsiTheme="majorHAnsi" w:cs="Calibri"/>
          <w:color w:val="222222"/>
          <w:lang w:val="pl-PL"/>
        </w:rPr>
        <w:t>e)</w:t>
      </w:r>
      <w:r w:rsidRPr="00730C2D">
        <w:rPr>
          <w:rFonts w:asciiTheme="majorHAnsi" w:eastAsia="Times New Roman" w:hAnsiTheme="majorHAnsi" w:cs="Times New Roman"/>
          <w:color w:val="222222"/>
          <w:sz w:val="14"/>
          <w:szCs w:val="14"/>
          <w:lang w:val="pl-PL"/>
        </w:rPr>
        <w:t>      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Jak kalkulować wartość zadłużenia w przypadku poręczenia/gwarancji, która wygasła pr</w:t>
      </w:r>
      <w:r w:rsidR="006E4874" w:rsidRPr="00730C2D">
        <w:rPr>
          <w:rFonts w:asciiTheme="majorHAnsi" w:eastAsia="Times New Roman" w:hAnsiTheme="majorHAnsi" w:cs="Calibri"/>
          <w:color w:val="222222"/>
          <w:lang w:val="pl-PL"/>
        </w:rPr>
        <w:t>zed końcem roku? C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>zy naprawdę  wartość zadłużenia dla gwarancji/poręczeń powinna być średnią arytmetyczną z wartości zadłużenia z początku i końcu </w:t>
      </w:r>
      <w:r w:rsidRPr="00730C2D">
        <w:rPr>
          <w:rFonts w:asciiTheme="majorHAnsi" w:eastAsia="Times New Roman" w:hAnsiTheme="majorHAnsi" w:cs="Calibri"/>
          <w:color w:val="222222"/>
          <w:u w:val="single"/>
          <w:lang w:val="pl-PL"/>
        </w:rPr>
        <w:t>okresu za jaki sporządzana jest TP-R</w:t>
      </w:r>
      <w:r w:rsidR="006E4874" w:rsidRPr="00730C2D">
        <w:rPr>
          <w:rFonts w:asciiTheme="majorHAnsi" w:eastAsia="Times New Roman" w:hAnsiTheme="majorHAnsi" w:cs="Calibri"/>
          <w:color w:val="222222"/>
          <w:lang w:val="pl-PL"/>
        </w:rPr>
        <w:t>?</w:t>
      </w:r>
      <w:r w:rsidRPr="00730C2D">
        <w:rPr>
          <w:rFonts w:asciiTheme="majorHAnsi" w:eastAsia="Times New Roman" w:hAnsiTheme="majorHAnsi" w:cs="Calibri"/>
          <w:color w:val="222222"/>
          <w:lang w:val="pl-PL"/>
        </w:rPr>
        <w:t xml:space="preserve"> Czy skoro na przykład na dzień 1.1.2019 wartość poręczenia wynosiła 100 tys. zł a na dzień 31.12.2019 r. 0, to czy w TP-R należy wpisać 50 tys. zł?)</w:t>
      </w:r>
    </w:p>
    <w:p w:rsidR="007A5916" w:rsidRPr="00730C2D" w:rsidRDefault="007A5916">
      <w:pPr>
        <w:rPr>
          <w:rFonts w:asciiTheme="majorHAnsi" w:hAnsiTheme="majorHAnsi"/>
          <w:sz w:val="20"/>
          <w:szCs w:val="20"/>
          <w:lang w:val="pl-PL"/>
        </w:rPr>
      </w:pPr>
    </w:p>
    <w:sectPr w:rsidR="007A5916" w:rsidRPr="00730C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C2D" w:rsidRDefault="00730C2D" w:rsidP="00730C2D">
      <w:pPr>
        <w:spacing w:after="0" w:line="240" w:lineRule="auto"/>
      </w:pPr>
      <w:r>
        <w:separator/>
      </w:r>
    </w:p>
  </w:endnote>
  <w:endnote w:type="continuationSeparator" w:id="0">
    <w:p w:rsidR="00730C2D" w:rsidRDefault="00730C2D" w:rsidP="0073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9986708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730C2D" w:rsidRPr="00730C2D" w:rsidRDefault="00730C2D">
        <w:pPr>
          <w:pStyle w:val="Footer"/>
          <w:jc w:val="right"/>
          <w:rPr>
            <w:rFonts w:asciiTheme="majorHAnsi" w:hAnsiTheme="majorHAnsi"/>
          </w:rPr>
        </w:pPr>
        <w:r w:rsidRPr="00730C2D">
          <w:rPr>
            <w:rFonts w:asciiTheme="majorHAnsi" w:hAnsiTheme="majorHAnsi"/>
          </w:rPr>
          <w:fldChar w:fldCharType="begin"/>
        </w:r>
        <w:r w:rsidRPr="00730C2D">
          <w:rPr>
            <w:rFonts w:asciiTheme="majorHAnsi" w:hAnsiTheme="majorHAnsi"/>
          </w:rPr>
          <w:instrText>PAGE   \* MERGEFORMAT</w:instrText>
        </w:r>
        <w:r w:rsidRPr="00730C2D">
          <w:rPr>
            <w:rFonts w:asciiTheme="majorHAnsi" w:hAnsiTheme="majorHAnsi"/>
          </w:rPr>
          <w:fldChar w:fldCharType="separate"/>
        </w:r>
        <w:r w:rsidRPr="00730C2D">
          <w:rPr>
            <w:rFonts w:asciiTheme="majorHAnsi" w:hAnsiTheme="majorHAnsi"/>
            <w:lang w:val="pl-PL"/>
          </w:rPr>
          <w:t>2</w:t>
        </w:r>
        <w:r w:rsidRPr="00730C2D">
          <w:rPr>
            <w:rFonts w:asciiTheme="majorHAnsi" w:hAnsiTheme="majorHAnsi"/>
          </w:rPr>
          <w:fldChar w:fldCharType="end"/>
        </w:r>
      </w:p>
    </w:sdtContent>
  </w:sdt>
  <w:p w:rsidR="00730C2D" w:rsidRDefault="00730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C2D" w:rsidRDefault="00730C2D" w:rsidP="00730C2D">
      <w:pPr>
        <w:spacing w:after="0" w:line="240" w:lineRule="auto"/>
      </w:pPr>
      <w:r>
        <w:separator/>
      </w:r>
    </w:p>
  </w:footnote>
  <w:footnote w:type="continuationSeparator" w:id="0">
    <w:p w:rsidR="00730C2D" w:rsidRDefault="00730C2D" w:rsidP="00730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E287E"/>
    <w:multiLevelType w:val="hybridMultilevel"/>
    <w:tmpl w:val="548877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32"/>
    <w:rsid w:val="00000EEA"/>
    <w:rsid w:val="00000F77"/>
    <w:rsid w:val="00003C7A"/>
    <w:rsid w:val="00006D42"/>
    <w:rsid w:val="00010412"/>
    <w:rsid w:val="00010639"/>
    <w:rsid w:val="00010736"/>
    <w:rsid w:val="000108C4"/>
    <w:rsid w:val="00011BA3"/>
    <w:rsid w:val="00011D2A"/>
    <w:rsid w:val="00011FE3"/>
    <w:rsid w:val="000123A7"/>
    <w:rsid w:val="000132C8"/>
    <w:rsid w:val="000132F4"/>
    <w:rsid w:val="000137B3"/>
    <w:rsid w:val="00014166"/>
    <w:rsid w:val="000149E4"/>
    <w:rsid w:val="00014A69"/>
    <w:rsid w:val="00015D2D"/>
    <w:rsid w:val="0001657F"/>
    <w:rsid w:val="000171B8"/>
    <w:rsid w:val="00017467"/>
    <w:rsid w:val="000210A9"/>
    <w:rsid w:val="00021110"/>
    <w:rsid w:val="00022570"/>
    <w:rsid w:val="00023321"/>
    <w:rsid w:val="00023573"/>
    <w:rsid w:val="00025126"/>
    <w:rsid w:val="000251E2"/>
    <w:rsid w:val="00025E04"/>
    <w:rsid w:val="00031593"/>
    <w:rsid w:val="00031D39"/>
    <w:rsid w:val="00031D77"/>
    <w:rsid w:val="00031FE8"/>
    <w:rsid w:val="0003213F"/>
    <w:rsid w:val="00034E7B"/>
    <w:rsid w:val="00035A9C"/>
    <w:rsid w:val="00035CFA"/>
    <w:rsid w:val="00036690"/>
    <w:rsid w:val="00037D07"/>
    <w:rsid w:val="0004066B"/>
    <w:rsid w:val="00041435"/>
    <w:rsid w:val="00041E0A"/>
    <w:rsid w:val="000425B1"/>
    <w:rsid w:val="00043675"/>
    <w:rsid w:val="00045AC1"/>
    <w:rsid w:val="00047026"/>
    <w:rsid w:val="00051DA7"/>
    <w:rsid w:val="000544FE"/>
    <w:rsid w:val="00054CDE"/>
    <w:rsid w:val="00055EEE"/>
    <w:rsid w:val="000567D1"/>
    <w:rsid w:val="00057F6F"/>
    <w:rsid w:val="00057F84"/>
    <w:rsid w:val="00060D0F"/>
    <w:rsid w:val="00060D8B"/>
    <w:rsid w:val="00061693"/>
    <w:rsid w:val="000617F6"/>
    <w:rsid w:val="00061F03"/>
    <w:rsid w:val="0006301F"/>
    <w:rsid w:val="000635C0"/>
    <w:rsid w:val="000636F5"/>
    <w:rsid w:val="00063A1D"/>
    <w:rsid w:val="000644CA"/>
    <w:rsid w:val="00064E25"/>
    <w:rsid w:val="00065840"/>
    <w:rsid w:val="0006660F"/>
    <w:rsid w:val="00070E62"/>
    <w:rsid w:val="000736F1"/>
    <w:rsid w:val="000738FF"/>
    <w:rsid w:val="00073AC3"/>
    <w:rsid w:val="00074AAC"/>
    <w:rsid w:val="00075F38"/>
    <w:rsid w:val="00076205"/>
    <w:rsid w:val="0007658C"/>
    <w:rsid w:val="000770F3"/>
    <w:rsid w:val="000806BA"/>
    <w:rsid w:val="00080D89"/>
    <w:rsid w:val="00082EA2"/>
    <w:rsid w:val="00083052"/>
    <w:rsid w:val="00083E02"/>
    <w:rsid w:val="00084739"/>
    <w:rsid w:val="00084D66"/>
    <w:rsid w:val="00085708"/>
    <w:rsid w:val="00085F13"/>
    <w:rsid w:val="00086397"/>
    <w:rsid w:val="00086C72"/>
    <w:rsid w:val="0008730F"/>
    <w:rsid w:val="0009083C"/>
    <w:rsid w:val="000908BA"/>
    <w:rsid w:val="00090E3B"/>
    <w:rsid w:val="00090EF6"/>
    <w:rsid w:val="000925C7"/>
    <w:rsid w:val="000945AF"/>
    <w:rsid w:val="000961EC"/>
    <w:rsid w:val="000970B9"/>
    <w:rsid w:val="000A0932"/>
    <w:rsid w:val="000A0C61"/>
    <w:rsid w:val="000A11AC"/>
    <w:rsid w:val="000A29B1"/>
    <w:rsid w:val="000A43D1"/>
    <w:rsid w:val="000A72AE"/>
    <w:rsid w:val="000A73D2"/>
    <w:rsid w:val="000B0804"/>
    <w:rsid w:val="000B0FFA"/>
    <w:rsid w:val="000B22CE"/>
    <w:rsid w:val="000B3EAE"/>
    <w:rsid w:val="000B3ED8"/>
    <w:rsid w:val="000B476A"/>
    <w:rsid w:val="000B4F1A"/>
    <w:rsid w:val="000B6775"/>
    <w:rsid w:val="000C00C4"/>
    <w:rsid w:val="000C12F3"/>
    <w:rsid w:val="000C23E1"/>
    <w:rsid w:val="000C267E"/>
    <w:rsid w:val="000C2695"/>
    <w:rsid w:val="000C2F06"/>
    <w:rsid w:val="000C6111"/>
    <w:rsid w:val="000C61F1"/>
    <w:rsid w:val="000C6972"/>
    <w:rsid w:val="000C704F"/>
    <w:rsid w:val="000C75D4"/>
    <w:rsid w:val="000D0650"/>
    <w:rsid w:val="000D06FF"/>
    <w:rsid w:val="000D07B8"/>
    <w:rsid w:val="000D13DC"/>
    <w:rsid w:val="000D1442"/>
    <w:rsid w:val="000D1587"/>
    <w:rsid w:val="000D2477"/>
    <w:rsid w:val="000D2627"/>
    <w:rsid w:val="000D2E10"/>
    <w:rsid w:val="000D318A"/>
    <w:rsid w:val="000D3F19"/>
    <w:rsid w:val="000D3F9A"/>
    <w:rsid w:val="000D4480"/>
    <w:rsid w:val="000D5089"/>
    <w:rsid w:val="000D54FE"/>
    <w:rsid w:val="000D61E4"/>
    <w:rsid w:val="000D7D52"/>
    <w:rsid w:val="000D7E4D"/>
    <w:rsid w:val="000E2DCB"/>
    <w:rsid w:val="000E3049"/>
    <w:rsid w:val="000E3C8B"/>
    <w:rsid w:val="000E440A"/>
    <w:rsid w:val="000E5892"/>
    <w:rsid w:val="000E5A1C"/>
    <w:rsid w:val="000E63DD"/>
    <w:rsid w:val="000E6B60"/>
    <w:rsid w:val="000E7C2E"/>
    <w:rsid w:val="000F0090"/>
    <w:rsid w:val="000F0446"/>
    <w:rsid w:val="000F0999"/>
    <w:rsid w:val="000F133A"/>
    <w:rsid w:val="000F296F"/>
    <w:rsid w:val="000F2D24"/>
    <w:rsid w:val="000F3822"/>
    <w:rsid w:val="000F39D1"/>
    <w:rsid w:val="000F3E90"/>
    <w:rsid w:val="000F5161"/>
    <w:rsid w:val="000F61D5"/>
    <w:rsid w:val="000F794D"/>
    <w:rsid w:val="00100332"/>
    <w:rsid w:val="0010090A"/>
    <w:rsid w:val="00100C6A"/>
    <w:rsid w:val="00101943"/>
    <w:rsid w:val="001020C8"/>
    <w:rsid w:val="0010263F"/>
    <w:rsid w:val="00102CF2"/>
    <w:rsid w:val="00103807"/>
    <w:rsid w:val="0010384A"/>
    <w:rsid w:val="00103DE1"/>
    <w:rsid w:val="001044E1"/>
    <w:rsid w:val="00106A6D"/>
    <w:rsid w:val="00106B4B"/>
    <w:rsid w:val="001076D3"/>
    <w:rsid w:val="00110004"/>
    <w:rsid w:val="00111A11"/>
    <w:rsid w:val="001125F3"/>
    <w:rsid w:val="00113DCA"/>
    <w:rsid w:val="00114071"/>
    <w:rsid w:val="001144E2"/>
    <w:rsid w:val="001145E4"/>
    <w:rsid w:val="00115DFC"/>
    <w:rsid w:val="00117EC1"/>
    <w:rsid w:val="001215DA"/>
    <w:rsid w:val="00122328"/>
    <w:rsid w:val="00123105"/>
    <w:rsid w:val="001235DA"/>
    <w:rsid w:val="00124B1D"/>
    <w:rsid w:val="00124FF3"/>
    <w:rsid w:val="00125526"/>
    <w:rsid w:val="00125597"/>
    <w:rsid w:val="00125A9C"/>
    <w:rsid w:val="00126045"/>
    <w:rsid w:val="0012638D"/>
    <w:rsid w:val="00127972"/>
    <w:rsid w:val="00130477"/>
    <w:rsid w:val="0013075D"/>
    <w:rsid w:val="00130C04"/>
    <w:rsid w:val="00132400"/>
    <w:rsid w:val="001328A3"/>
    <w:rsid w:val="0013473D"/>
    <w:rsid w:val="00134F60"/>
    <w:rsid w:val="00137CE8"/>
    <w:rsid w:val="00140CD6"/>
    <w:rsid w:val="00140F62"/>
    <w:rsid w:val="00141785"/>
    <w:rsid w:val="00141A70"/>
    <w:rsid w:val="001436AC"/>
    <w:rsid w:val="0014380E"/>
    <w:rsid w:val="001438FA"/>
    <w:rsid w:val="00143A84"/>
    <w:rsid w:val="0014610F"/>
    <w:rsid w:val="001467F1"/>
    <w:rsid w:val="0014701A"/>
    <w:rsid w:val="00147570"/>
    <w:rsid w:val="00147953"/>
    <w:rsid w:val="00147CC7"/>
    <w:rsid w:val="00147E05"/>
    <w:rsid w:val="00151B8D"/>
    <w:rsid w:val="00153E10"/>
    <w:rsid w:val="00153E2A"/>
    <w:rsid w:val="001556E0"/>
    <w:rsid w:val="00156B6F"/>
    <w:rsid w:val="001608E2"/>
    <w:rsid w:val="00161F50"/>
    <w:rsid w:val="00162327"/>
    <w:rsid w:val="00162F91"/>
    <w:rsid w:val="00163D9B"/>
    <w:rsid w:val="00164B21"/>
    <w:rsid w:val="001679C6"/>
    <w:rsid w:val="00170F2C"/>
    <w:rsid w:val="00170FCC"/>
    <w:rsid w:val="0017292B"/>
    <w:rsid w:val="00172D69"/>
    <w:rsid w:val="001738E3"/>
    <w:rsid w:val="0017464F"/>
    <w:rsid w:val="00174B07"/>
    <w:rsid w:val="00175442"/>
    <w:rsid w:val="001812C9"/>
    <w:rsid w:val="00183B3E"/>
    <w:rsid w:val="00186202"/>
    <w:rsid w:val="00186F62"/>
    <w:rsid w:val="001875B0"/>
    <w:rsid w:val="00187720"/>
    <w:rsid w:val="0019037D"/>
    <w:rsid w:val="0019060B"/>
    <w:rsid w:val="00190669"/>
    <w:rsid w:val="00191B66"/>
    <w:rsid w:val="00192926"/>
    <w:rsid w:val="00192ED4"/>
    <w:rsid w:val="00193CF7"/>
    <w:rsid w:val="00194792"/>
    <w:rsid w:val="0019582E"/>
    <w:rsid w:val="00195F21"/>
    <w:rsid w:val="001966C1"/>
    <w:rsid w:val="00197366"/>
    <w:rsid w:val="00197D47"/>
    <w:rsid w:val="001A0992"/>
    <w:rsid w:val="001A0C67"/>
    <w:rsid w:val="001A12F0"/>
    <w:rsid w:val="001A1C8D"/>
    <w:rsid w:val="001A26B4"/>
    <w:rsid w:val="001A3440"/>
    <w:rsid w:val="001A43F2"/>
    <w:rsid w:val="001A4B07"/>
    <w:rsid w:val="001A4CC7"/>
    <w:rsid w:val="001A51A4"/>
    <w:rsid w:val="001A5C0B"/>
    <w:rsid w:val="001A6F89"/>
    <w:rsid w:val="001A7528"/>
    <w:rsid w:val="001A7925"/>
    <w:rsid w:val="001B16B9"/>
    <w:rsid w:val="001B3A2C"/>
    <w:rsid w:val="001B5826"/>
    <w:rsid w:val="001B5EC1"/>
    <w:rsid w:val="001B6AD6"/>
    <w:rsid w:val="001B7B6C"/>
    <w:rsid w:val="001C094D"/>
    <w:rsid w:val="001C0C2C"/>
    <w:rsid w:val="001C169B"/>
    <w:rsid w:val="001C1760"/>
    <w:rsid w:val="001C196D"/>
    <w:rsid w:val="001C3B8E"/>
    <w:rsid w:val="001C4D4D"/>
    <w:rsid w:val="001C5D92"/>
    <w:rsid w:val="001C682C"/>
    <w:rsid w:val="001C7FE1"/>
    <w:rsid w:val="001D06E8"/>
    <w:rsid w:val="001D0F20"/>
    <w:rsid w:val="001D120E"/>
    <w:rsid w:val="001D21AA"/>
    <w:rsid w:val="001D2A1A"/>
    <w:rsid w:val="001D41B7"/>
    <w:rsid w:val="001D4666"/>
    <w:rsid w:val="001D556D"/>
    <w:rsid w:val="001D5B94"/>
    <w:rsid w:val="001D5D59"/>
    <w:rsid w:val="001D5EF3"/>
    <w:rsid w:val="001D6BF2"/>
    <w:rsid w:val="001D6D6B"/>
    <w:rsid w:val="001D7160"/>
    <w:rsid w:val="001D7509"/>
    <w:rsid w:val="001E0C3B"/>
    <w:rsid w:val="001E3414"/>
    <w:rsid w:val="001E3700"/>
    <w:rsid w:val="001E3799"/>
    <w:rsid w:val="001E3A70"/>
    <w:rsid w:val="001E3C10"/>
    <w:rsid w:val="001E6493"/>
    <w:rsid w:val="001E6AB7"/>
    <w:rsid w:val="001E6E2C"/>
    <w:rsid w:val="001E7524"/>
    <w:rsid w:val="001F2372"/>
    <w:rsid w:val="001F288B"/>
    <w:rsid w:val="001F2CDE"/>
    <w:rsid w:val="001F3950"/>
    <w:rsid w:val="001F3C05"/>
    <w:rsid w:val="001F73AA"/>
    <w:rsid w:val="002003F2"/>
    <w:rsid w:val="0020082F"/>
    <w:rsid w:val="00210888"/>
    <w:rsid w:val="002115CA"/>
    <w:rsid w:val="00212D19"/>
    <w:rsid w:val="00212FC0"/>
    <w:rsid w:val="002130F9"/>
    <w:rsid w:val="0021484C"/>
    <w:rsid w:val="002152E8"/>
    <w:rsid w:val="002157D8"/>
    <w:rsid w:val="00215F99"/>
    <w:rsid w:val="00216F54"/>
    <w:rsid w:val="00216FCF"/>
    <w:rsid w:val="00217392"/>
    <w:rsid w:val="002207E4"/>
    <w:rsid w:val="002209D0"/>
    <w:rsid w:val="00223048"/>
    <w:rsid w:val="00225837"/>
    <w:rsid w:val="00225E77"/>
    <w:rsid w:val="002279E4"/>
    <w:rsid w:val="0023111F"/>
    <w:rsid w:val="00231A31"/>
    <w:rsid w:val="00232A5D"/>
    <w:rsid w:val="00233406"/>
    <w:rsid w:val="00233E9A"/>
    <w:rsid w:val="00234B2E"/>
    <w:rsid w:val="002378D4"/>
    <w:rsid w:val="002409F7"/>
    <w:rsid w:val="00240DC6"/>
    <w:rsid w:val="00242EA5"/>
    <w:rsid w:val="00242F78"/>
    <w:rsid w:val="002435D6"/>
    <w:rsid w:val="00244C11"/>
    <w:rsid w:val="00246060"/>
    <w:rsid w:val="002469B7"/>
    <w:rsid w:val="002473AB"/>
    <w:rsid w:val="002502FB"/>
    <w:rsid w:val="00250F2E"/>
    <w:rsid w:val="00251384"/>
    <w:rsid w:val="00251C32"/>
    <w:rsid w:val="0025236E"/>
    <w:rsid w:val="00253007"/>
    <w:rsid w:val="002536E1"/>
    <w:rsid w:val="002554D9"/>
    <w:rsid w:val="00256218"/>
    <w:rsid w:val="002565C7"/>
    <w:rsid w:val="002566DF"/>
    <w:rsid w:val="00260C91"/>
    <w:rsid w:val="002612C2"/>
    <w:rsid w:val="002615B2"/>
    <w:rsid w:val="0026208D"/>
    <w:rsid w:val="00262BF8"/>
    <w:rsid w:val="0026347A"/>
    <w:rsid w:val="00263B5D"/>
    <w:rsid w:val="00265B40"/>
    <w:rsid w:val="00265C30"/>
    <w:rsid w:val="00265E34"/>
    <w:rsid w:val="00265F50"/>
    <w:rsid w:val="002660DE"/>
    <w:rsid w:val="0026678E"/>
    <w:rsid w:val="00267B5C"/>
    <w:rsid w:val="00267F8C"/>
    <w:rsid w:val="0027018D"/>
    <w:rsid w:val="00270995"/>
    <w:rsid w:val="0027106C"/>
    <w:rsid w:val="0027163C"/>
    <w:rsid w:val="00271D66"/>
    <w:rsid w:val="00272A20"/>
    <w:rsid w:val="00274BC0"/>
    <w:rsid w:val="00275953"/>
    <w:rsid w:val="00276536"/>
    <w:rsid w:val="002773F9"/>
    <w:rsid w:val="00277E6F"/>
    <w:rsid w:val="00280251"/>
    <w:rsid w:val="002810F2"/>
    <w:rsid w:val="00281C4B"/>
    <w:rsid w:val="00281EAB"/>
    <w:rsid w:val="00282708"/>
    <w:rsid w:val="00283E42"/>
    <w:rsid w:val="00283F94"/>
    <w:rsid w:val="00284864"/>
    <w:rsid w:val="00284A80"/>
    <w:rsid w:val="00286AFB"/>
    <w:rsid w:val="002872D4"/>
    <w:rsid w:val="002901A0"/>
    <w:rsid w:val="00290E11"/>
    <w:rsid w:val="00291E26"/>
    <w:rsid w:val="002927DD"/>
    <w:rsid w:val="00293A8B"/>
    <w:rsid w:val="002949B1"/>
    <w:rsid w:val="002958F7"/>
    <w:rsid w:val="0029659D"/>
    <w:rsid w:val="00296972"/>
    <w:rsid w:val="00296D50"/>
    <w:rsid w:val="002A1D93"/>
    <w:rsid w:val="002A3D40"/>
    <w:rsid w:val="002A40FD"/>
    <w:rsid w:val="002A4F57"/>
    <w:rsid w:val="002A63EF"/>
    <w:rsid w:val="002A6949"/>
    <w:rsid w:val="002A6C11"/>
    <w:rsid w:val="002A7998"/>
    <w:rsid w:val="002A7CF0"/>
    <w:rsid w:val="002B0189"/>
    <w:rsid w:val="002B057F"/>
    <w:rsid w:val="002B1B58"/>
    <w:rsid w:val="002B1EEE"/>
    <w:rsid w:val="002B236F"/>
    <w:rsid w:val="002B24A7"/>
    <w:rsid w:val="002B2D04"/>
    <w:rsid w:val="002B2E3A"/>
    <w:rsid w:val="002B5770"/>
    <w:rsid w:val="002B5EB9"/>
    <w:rsid w:val="002B6D4D"/>
    <w:rsid w:val="002B6E09"/>
    <w:rsid w:val="002B737A"/>
    <w:rsid w:val="002B7C68"/>
    <w:rsid w:val="002B7DB5"/>
    <w:rsid w:val="002C276F"/>
    <w:rsid w:val="002C39A9"/>
    <w:rsid w:val="002C3C43"/>
    <w:rsid w:val="002C3DB0"/>
    <w:rsid w:val="002C3DBE"/>
    <w:rsid w:val="002C3FD3"/>
    <w:rsid w:val="002C45D2"/>
    <w:rsid w:val="002C5BF1"/>
    <w:rsid w:val="002C6218"/>
    <w:rsid w:val="002C627E"/>
    <w:rsid w:val="002C6FC2"/>
    <w:rsid w:val="002C785D"/>
    <w:rsid w:val="002D0F4F"/>
    <w:rsid w:val="002D2020"/>
    <w:rsid w:val="002D2553"/>
    <w:rsid w:val="002D264F"/>
    <w:rsid w:val="002D374F"/>
    <w:rsid w:val="002D409B"/>
    <w:rsid w:val="002D4175"/>
    <w:rsid w:val="002D45D1"/>
    <w:rsid w:val="002D55A7"/>
    <w:rsid w:val="002D6831"/>
    <w:rsid w:val="002D796C"/>
    <w:rsid w:val="002D7B7F"/>
    <w:rsid w:val="002E096F"/>
    <w:rsid w:val="002E0A61"/>
    <w:rsid w:val="002E34E5"/>
    <w:rsid w:val="002E380E"/>
    <w:rsid w:val="002E3954"/>
    <w:rsid w:val="002E43EA"/>
    <w:rsid w:val="002E446F"/>
    <w:rsid w:val="002E4933"/>
    <w:rsid w:val="002E50F5"/>
    <w:rsid w:val="002E5107"/>
    <w:rsid w:val="002E6A1F"/>
    <w:rsid w:val="002E6C3B"/>
    <w:rsid w:val="002F25D6"/>
    <w:rsid w:val="002F2632"/>
    <w:rsid w:val="002F2973"/>
    <w:rsid w:val="002F5A87"/>
    <w:rsid w:val="002F5B47"/>
    <w:rsid w:val="002F7769"/>
    <w:rsid w:val="00300C9B"/>
    <w:rsid w:val="0030135F"/>
    <w:rsid w:val="00302DE9"/>
    <w:rsid w:val="00303E2B"/>
    <w:rsid w:val="0030408E"/>
    <w:rsid w:val="003054BE"/>
    <w:rsid w:val="00305968"/>
    <w:rsid w:val="003059E3"/>
    <w:rsid w:val="00305C6D"/>
    <w:rsid w:val="00306D19"/>
    <w:rsid w:val="00307ADE"/>
    <w:rsid w:val="00307F09"/>
    <w:rsid w:val="00307F47"/>
    <w:rsid w:val="00310A1A"/>
    <w:rsid w:val="00310C78"/>
    <w:rsid w:val="00313288"/>
    <w:rsid w:val="00317537"/>
    <w:rsid w:val="00317853"/>
    <w:rsid w:val="00317BBA"/>
    <w:rsid w:val="0032048F"/>
    <w:rsid w:val="00321040"/>
    <w:rsid w:val="00321790"/>
    <w:rsid w:val="003228FA"/>
    <w:rsid w:val="00322EA1"/>
    <w:rsid w:val="003232D5"/>
    <w:rsid w:val="003237CD"/>
    <w:rsid w:val="00323ADE"/>
    <w:rsid w:val="0032421B"/>
    <w:rsid w:val="003246E6"/>
    <w:rsid w:val="0032470B"/>
    <w:rsid w:val="00324ABE"/>
    <w:rsid w:val="00325A70"/>
    <w:rsid w:val="00325E60"/>
    <w:rsid w:val="003264B9"/>
    <w:rsid w:val="0032755E"/>
    <w:rsid w:val="00327714"/>
    <w:rsid w:val="00327CA7"/>
    <w:rsid w:val="0033024E"/>
    <w:rsid w:val="0033046C"/>
    <w:rsid w:val="0033062E"/>
    <w:rsid w:val="00330D94"/>
    <w:rsid w:val="0033167C"/>
    <w:rsid w:val="0033223D"/>
    <w:rsid w:val="0033274C"/>
    <w:rsid w:val="003337BA"/>
    <w:rsid w:val="00333F5B"/>
    <w:rsid w:val="00334DC6"/>
    <w:rsid w:val="00335898"/>
    <w:rsid w:val="00335E0E"/>
    <w:rsid w:val="00336DCA"/>
    <w:rsid w:val="003400AE"/>
    <w:rsid w:val="00341142"/>
    <w:rsid w:val="00341D90"/>
    <w:rsid w:val="00342DC1"/>
    <w:rsid w:val="00343818"/>
    <w:rsid w:val="00343DD1"/>
    <w:rsid w:val="00345D6B"/>
    <w:rsid w:val="00346F18"/>
    <w:rsid w:val="0035063F"/>
    <w:rsid w:val="00350740"/>
    <w:rsid w:val="00350FA7"/>
    <w:rsid w:val="00354195"/>
    <w:rsid w:val="00354424"/>
    <w:rsid w:val="00354F6A"/>
    <w:rsid w:val="0035720A"/>
    <w:rsid w:val="00360EA0"/>
    <w:rsid w:val="003613A1"/>
    <w:rsid w:val="0036155D"/>
    <w:rsid w:val="003633A6"/>
    <w:rsid w:val="00363586"/>
    <w:rsid w:val="00364FA6"/>
    <w:rsid w:val="003652FE"/>
    <w:rsid w:val="00365C5D"/>
    <w:rsid w:val="00365E8C"/>
    <w:rsid w:val="0036606B"/>
    <w:rsid w:val="003665CD"/>
    <w:rsid w:val="00367C07"/>
    <w:rsid w:val="0037016D"/>
    <w:rsid w:val="00374AB3"/>
    <w:rsid w:val="00374DF5"/>
    <w:rsid w:val="00377F31"/>
    <w:rsid w:val="00380212"/>
    <w:rsid w:val="003808E9"/>
    <w:rsid w:val="00380B9F"/>
    <w:rsid w:val="00380D5D"/>
    <w:rsid w:val="0038201D"/>
    <w:rsid w:val="0038255B"/>
    <w:rsid w:val="00382A7C"/>
    <w:rsid w:val="0038418F"/>
    <w:rsid w:val="00384515"/>
    <w:rsid w:val="0038510A"/>
    <w:rsid w:val="00392EBE"/>
    <w:rsid w:val="0039303A"/>
    <w:rsid w:val="00393982"/>
    <w:rsid w:val="00393C93"/>
    <w:rsid w:val="00394227"/>
    <w:rsid w:val="0039495D"/>
    <w:rsid w:val="00395E68"/>
    <w:rsid w:val="00396604"/>
    <w:rsid w:val="00396DE8"/>
    <w:rsid w:val="003973F2"/>
    <w:rsid w:val="003A1735"/>
    <w:rsid w:val="003A1D32"/>
    <w:rsid w:val="003A2926"/>
    <w:rsid w:val="003A378A"/>
    <w:rsid w:val="003A54D0"/>
    <w:rsid w:val="003A5755"/>
    <w:rsid w:val="003A583D"/>
    <w:rsid w:val="003A64A2"/>
    <w:rsid w:val="003A71CE"/>
    <w:rsid w:val="003B046E"/>
    <w:rsid w:val="003B058A"/>
    <w:rsid w:val="003B0B0A"/>
    <w:rsid w:val="003B31EA"/>
    <w:rsid w:val="003B3538"/>
    <w:rsid w:val="003B38D7"/>
    <w:rsid w:val="003B5C80"/>
    <w:rsid w:val="003B5DE7"/>
    <w:rsid w:val="003B60D3"/>
    <w:rsid w:val="003C0415"/>
    <w:rsid w:val="003C1D4A"/>
    <w:rsid w:val="003C268E"/>
    <w:rsid w:val="003C271D"/>
    <w:rsid w:val="003C3F6E"/>
    <w:rsid w:val="003C456A"/>
    <w:rsid w:val="003C4953"/>
    <w:rsid w:val="003C6618"/>
    <w:rsid w:val="003C666D"/>
    <w:rsid w:val="003C68B6"/>
    <w:rsid w:val="003C74E1"/>
    <w:rsid w:val="003C7885"/>
    <w:rsid w:val="003C7B18"/>
    <w:rsid w:val="003D006C"/>
    <w:rsid w:val="003D0B44"/>
    <w:rsid w:val="003D136C"/>
    <w:rsid w:val="003D228A"/>
    <w:rsid w:val="003D2BDD"/>
    <w:rsid w:val="003D2F5D"/>
    <w:rsid w:val="003D4060"/>
    <w:rsid w:val="003D4663"/>
    <w:rsid w:val="003D529C"/>
    <w:rsid w:val="003D7165"/>
    <w:rsid w:val="003D7E27"/>
    <w:rsid w:val="003D7F64"/>
    <w:rsid w:val="003E0812"/>
    <w:rsid w:val="003E0A8F"/>
    <w:rsid w:val="003E0D08"/>
    <w:rsid w:val="003E1CC3"/>
    <w:rsid w:val="003E21A4"/>
    <w:rsid w:val="003E25DD"/>
    <w:rsid w:val="003E29D7"/>
    <w:rsid w:val="003E2F4D"/>
    <w:rsid w:val="003E4654"/>
    <w:rsid w:val="003E4929"/>
    <w:rsid w:val="003E773B"/>
    <w:rsid w:val="003E7DBA"/>
    <w:rsid w:val="003F04D1"/>
    <w:rsid w:val="003F0DE2"/>
    <w:rsid w:val="003F1E1C"/>
    <w:rsid w:val="003F45CD"/>
    <w:rsid w:val="003F5EE7"/>
    <w:rsid w:val="003F60EF"/>
    <w:rsid w:val="00400463"/>
    <w:rsid w:val="0040054B"/>
    <w:rsid w:val="00400621"/>
    <w:rsid w:val="0040074E"/>
    <w:rsid w:val="0040166C"/>
    <w:rsid w:val="0040224D"/>
    <w:rsid w:val="00404A1E"/>
    <w:rsid w:val="004050D9"/>
    <w:rsid w:val="0040549B"/>
    <w:rsid w:val="00405D90"/>
    <w:rsid w:val="00406523"/>
    <w:rsid w:val="00406581"/>
    <w:rsid w:val="004069F8"/>
    <w:rsid w:val="00407303"/>
    <w:rsid w:val="00407833"/>
    <w:rsid w:val="004078EC"/>
    <w:rsid w:val="00407CE4"/>
    <w:rsid w:val="00407D39"/>
    <w:rsid w:val="00407EB8"/>
    <w:rsid w:val="00410E8A"/>
    <w:rsid w:val="004112E1"/>
    <w:rsid w:val="004113C3"/>
    <w:rsid w:val="00411436"/>
    <w:rsid w:val="00412255"/>
    <w:rsid w:val="00413B96"/>
    <w:rsid w:val="0041545D"/>
    <w:rsid w:val="00416555"/>
    <w:rsid w:val="00417820"/>
    <w:rsid w:val="00417A47"/>
    <w:rsid w:val="00420197"/>
    <w:rsid w:val="004205A5"/>
    <w:rsid w:val="004206C5"/>
    <w:rsid w:val="0042071C"/>
    <w:rsid w:val="00421440"/>
    <w:rsid w:val="00421A5C"/>
    <w:rsid w:val="00421A8C"/>
    <w:rsid w:val="00421B65"/>
    <w:rsid w:val="004222A6"/>
    <w:rsid w:val="004229CA"/>
    <w:rsid w:val="00423B3F"/>
    <w:rsid w:val="00423D39"/>
    <w:rsid w:val="00423F12"/>
    <w:rsid w:val="00425878"/>
    <w:rsid w:val="00427AB6"/>
    <w:rsid w:val="004302C3"/>
    <w:rsid w:val="00430929"/>
    <w:rsid w:val="0043142C"/>
    <w:rsid w:val="004319EE"/>
    <w:rsid w:val="0043286B"/>
    <w:rsid w:val="00432BBC"/>
    <w:rsid w:val="00433554"/>
    <w:rsid w:val="00433D95"/>
    <w:rsid w:val="00435172"/>
    <w:rsid w:val="004375F9"/>
    <w:rsid w:val="00437EC8"/>
    <w:rsid w:val="004406DC"/>
    <w:rsid w:val="00440808"/>
    <w:rsid w:val="00440A7F"/>
    <w:rsid w:val="00441275"/>
    <w:rsid w:val="00441833"/>
    <w:rsid w:val="00441B74"/>
    <w:rsid w:val="0044332C"/>
    <w:rsid w:val="00444471"/>
    <w:rsid w:val="00445670"/>
    <w:rsid w:val="004460A8"/>
    <w:rsid w:val="00451208"/>
    <w:rsid w:val="00452516"/>
    <w:rsid w:val="0045491F"/>
    <w:rsid w:val="00456596"/>
    <w:rsid w:val="00457A91"/>
    <w:rsid w:val="00460F95"/>
    <w:rsid w:val="00461C7A"/>
    <w:rsid w:val="00462F28"/>
    <w:rsid w:val="0046331E"/>
    <w:rsid w:val="00464E48"/>
    <w:rsid w:val="004661D9"/>
    <w:rsid w:val="00466597"/>
    <w:rsid w:val="0046797A"/>
    <w:rsid w:val="004706AC"/>
    <w:rsid w:val="00470786"/>
    <w:rsid w:val="00470D7F"/>
    <w:rsid w:val="0047159D"/>
    <w:rsid w:val="00471609"/>
    <w:rsid w:val="00471F58"/>
    <w:rsid w:val="004727E5"/>
    <w:rsid w:val="00473092"/>
    <w:rsid w:val="004732FC"/>
    <w:rsid w:val="004735DD"/>
    <w:rsid w:val="00473629"/>
    <w:rsid w:val="0047393F"/>
    <w:rsid w:val="00473E9C"/>
    <w:rsid w:val="00475CF1"/>
    <w:rsid w:val="00476362"/>
    <w:rsid w:val="00476B6A"/>
    <w:rsid w:val="00476EB6"/>
    <w:rsid w:val="0047753D"/>
    <w:rsid w:val="00477D2C"/>
    <w:rsid w:val="00477DBC"/>
    <w:rsid w:val="00480AF5"/>
    <w:rsid w:val="00482626"/>
    <w:rsid w:val="00483376"/>
    <w:rsid w:val="00483C85"/>
    <w:rsid w:val="00483EB8"/>
    <w:rsid w:val="004840C9"/>
    <w:rsid w:val="00485721"/>
    <w:rsid w:val="00487052"/>
    <w:rsid w:val="00487578"/>
    <w:rsid w:val="00487BFD"/>
    <w:rsid w:val="004905EE"/>
    <w:rsid w:val="00492233"/>
    <w:rsid w:val="004922B7"/>
    <w:rsid w:val="00493B20"/>
    <w:rsid w:val="00493E73"/>
    <w:rsid w:val="00494494"/>
    <w:rsid w:val="0049499A"/>
    <w:rsid w:val="00495791"/>
    <w:rsid w:val="0049588E"/>
    <w:rsid w:val="00495A0C"/>
    <w:rsid w:val="00495DA4"/>
    <w:rsid w:val="00496843"/>
    <w:rsid w:val="00496ABE"/>
    <w:rsid w:val="004A0BBB"/>
    <w:rsid w:val="004A12A4"/>
    <w:rsid w:val="004A1EAC"/>
    <w:rsid w:val="004A1F49"/>
    <w:rsid w:val="004A205B"/>
    <w:rsid w:val="004A4209"/>
    <w:rsid w:val="004A4526"/>
    <w:rsid w:val="004A79D7"/>
    <w:rsid w:val="004B06D0"/>
    <w:rsid w:val="004B131C"/>
    <w:rsid w:val="004B16EE"/>
    <w:rsid w:val="004B2F66"/>
    <w:rsid w:val="004B333E"/>
    <w:rsid w:val="004B384D"/>
    <w:rsid w:val="004B3CEA"/>
    <w:rsid w:val="004B4C1D"/>
    <w:rsid w:val="004B511F"/>
    <w:rsid w:val="004B5868"/>
    <w:rsid w:val="004B6765"/>
    <w:rsid w:val="004B7351"/>
    <w:rsid w:val="004B7AF1"/>
    <w:rsid w:val="004C09C2"/>
    <w:rsid w:val="004C103A"/>
    <w:rsid w:val="004C1576"/>
    <w:rsid w:val="004C1B5C"/>
    <w:rsid w:val="004C44AE"/>
    <w:rsid w:val="004C4948"/>
    <w:rsid w:val="004C4A3A"/>
    <w:rsid w:val="004C4F30"/>
    <w:rsid w:val="004C5085"/>
    <w:rsid w:val="004C51C7"/>
    <w:rsid w:val="004C6465"/>
    <w:rsid w:val="004C6482"/>
    <w:rsid w:val="004C71DA"/>
    <w:rsid w:val="004C74EB"/>
    <w:rsid w:val="004C79E8"/>
    <w:rsid w:val="004D0282"/>
    <w:rsid w:val="004D0592"/>
    <w:rsid w:val="004D0C49"/>
    <w:rsid w:val="004D16EF"/>
    <w:rsid w:val="004D1C10"/>
    <w:rsid w:val="004D4AF5"/>
    <w:rsid w:val="004D6270"/>
    <w:rsid w:val="004D6DF9"/>
    <w:rsid w:val="004D7EA1"/>
    <w:rsid w:val="004E0D2C"/>
    <w:rsid w:val="004E1B7D"/>
    <w:rsid w:val="004E342B"/>
    <w:rsid w:val="004E34DB"/>
    <w:rsid w:val="004E3A1E"/>
    <w:rsid w:val="004E4EFC"/>
    <w:rsid w:val="004E5358"/>
    <w:rsid w:val="004E561E"/>
    <w:rsid w:val="004E5AC8"/>
    <w:rsid w:val="004E5F10"/>
    <w:rsid w:val="004E6070"/>
    <w:rsid w:val="004E616A"/>
    <w:rsid w:val="004E6C13"/>
    <w:rsid w:val="004E6E9F"/>
    <w:rsid w:val="004E73E2"/>
    <w:rsid w:val="004E7AD0"/>
    <w:rsid w:val="004E7E4A"/>
    <w:rsid w:val="004F2FEC"/>
    <w:rsid w:val="004F4B8C"/>
    <w:rsid w:val="004F4CE2"/>
    <w:rsid w:val="004F7113"/>
    <w:rsid w:val="004F72BE"/>
    <w:rsid w:val="004F7465"/>
    <w:rsid w:val="004F78B0"/>
    <w:rsid w:val="00500617"/>
    <w:rsid w:val="00501790"/>
    <w:rsid w:val="00501795"/>
    <w:rsid w:val="00502302"/>
    <w:rsid w:val="005024C3"/>
    <w:rsid w:val="00502524"/>
    <w:rsid w:val="0050324D"/>
    <w:rsid w:val="00505E2F"/>
    <w:rsid w:val="00506CB1"/>
    <w:rsid w:val="0050707C"/>
    <w:rsid w:val="0050752B"/>
    <w:rsid w:val="00510962"/>
    <w:rsid w:val="005117C9"/>
    <w:rsid w:val="00511A1E"/>
    <w:rsid w:val="00512DAE"/>
    <w:rsid w:val="005135DE"/>
    <w:rsid w:val="0051375A"/>
    <w:rsid w:val="005152BF"/>
    <w:rsid w:val="005159F7"/>
    <w:rsid w:val="00515E21"/>
    <w:rsid w:val="005202DE"/>
    <w:rsid w:val="00521712"/>
    <w:rsid w:val="005245C3"/>
    <w:rsid w:val="00526981"/>
    <w:rsid w:val="005274BE"/>
    <w:rsid w:val="005276F7"/>
    <w:rsid w:val="005305EA"/>
    <w:rsid w:val="00531819"/>
    <w:rsid w:val="0053371D"/>
    <w:rsid w:val="00534121"/>
    <w:rsid w:val="00534EF8"/>
    <w:rsid w:val="00535A02"/>
    <w:rsid w:val="005375B5"/>
    <w:rsid w:val="0053776C"/>
    <w:rsid w:val="00537AD5"/>
    <w:rsid w:val="00540A01"/>
    <w:rsid w:val="0054250F"/>
    <w:rsid w:val="005426D9"/>
    <w:rsid w:val="005435D3"/>
    <w:rsid w:val="00543FD3"/>
    <w:rsid w:val="00544280"/>
    <w:rsid w:val="0054532D"/>
    <w:rsid w:val="00550BF8"/>
    <w:rsid w:val="00551CFA"/>
    <w:rsid w:val="00552567"/>
    <w:rsid w:val="0055497D"/>
    <w:rsid w:val="00554F52"/>
    <w:rsid w:val="00555AA1"/>
    <w:rsid w:val="00555B6B"/>
    <w:rsid w:val="0055613C"/>
    <w:rsid w:val="00556488"/>
    <w:rsid w:val="00560DF4"/>
    <w:rsid w:val="00561946"/>
    <w:rsid w:val="00561D38"/>
    <w:rsid w:val="00561D9B"/>
    <w:rsid w:val="00562596"/>
    <w:rsid w:val="00562BBF"/>
    <w:rsid w:val="00562E52"/>
    <w:rsid w:val="00564D44"/>
    <w:rsid w:val="00565675"/>
    <w:rsid w:val="00565747"/>
    <w:rsid w:val="00565A6C"/>
    <w:rsid w:val="00565B5A"/>
    <w:rsid w:val="00566229"/>
    <w:rsid w:val="0056693C"/>
    <w:rsid w:val="00566B1F"/>
    <w:rsid w:val="00567D67"/>
    <w:rsid w:val="0057042C"/>
    <w:rsid w:val="005708E2"/>
    <w:rsid w:val="0057147F"/>
    <w:rsid w:val="00571AD6"/>
    <w:rsid w:val="005722A7"/>
    <w:rsid w:val="0057252B"/>
    <w:rsid w:val="00572868"/>
    <w:rsid w:val="0057379E"/>
    <w:rsid w:val="0057390B"/>
    <w:rsid w:val="00575E20"/>
    <w:rsid w:val="005779AC"/>
    <w:rsid w:val="005818F8"/>
    <w:rsid w:val="00581C88"/>
    <w:rsid w:val="00581E46"/>
    <w:rsid w:val="00583A45"/>
    <w:rsid w:val="00584A19"/>
    <w:rsid w:val="00585CFA"/>
    <w:rsid w:val="00586CE8"/>
    <w:rsid w:val="00586F28"/>
    <w:rsid w:val="00587922"/>
    <w:rsid w:val="00591763"/>
    <w:rsid w:val="00592089"/>
    <w:rsid w:val="00592220"/>
    <w:rsid w:val="005929CF"/>
    <w:rsid w:val="00592A17"/>
    <w:rsid w:val="00593605"/>
    <w:rsid w:val="00593664"/>
    <w:rsid w:val="00594683"/>
    <w:rsid w:val="00597322"/>
    <w:rsid w:val="00597582"/>
    <w:rsid w:val="00597627"/>
    <w:rsid w:val="005A06FC"/>
    <w:rsid w:val="005A08B6"/>
    <w:rsid w:val="005A0F25"/>
    <w:rsid w:val="005A134F"/>
    <w:rsid w:val="005A1892"/>
    <w:rsid w:val="005A2311"/>
    <w:rsid w:val="005A243A"/>
    <w:rsid w:val="005A52E6"/>
    <w:rsid w:val="005A7038"/>
    <w:rsid w:val="005A7908"/>
    <w:rsid w:val="005B1178"/>
    <w:rsid w:val="005B1538"/>
    <w:rsid w:val="005B163E"/>
    <w:rsid w:val="005B194F"/>
    <w:rsid w:val="005B19C6"/>
    <w:rsid w:val="005B2635"/>
    <w:rsid w:val="005B2E16"/>
    <w:rsid w:val="005B36A0"/>
    <w:rsid w:val="005B3921"/>
    <w:rsid w:val="005B3A68"/>
    <w:rsid w:val="005B3F9C"/>
    <w:rsid w:val="005B4425"/>
    <w:rsid w:val="005B4794"/>
    <w:rsid w:val="005B5620"/>
    <w:rsid w:val="005B7839"/>
    <w:rsid w:val="005B7A4D"/>
    <w:rsid w:val="005C0974"/>
    <w:rsid w:val="005C09DB"/>
    <w:rsid w:val="005C18BF"/>
    <w:rsid w:val="005C1B28"/>
    <w:rsid w:val="005C1BEB"/>
    <w:rsid w:val="005C2D45"/>
    <w:rsid w:val="005C341C"/>
    <w:rsid w:val="005C349D"/>
    <w:rsid w:val="005C5C12"/>
    <w:rsid w:val="005C6096"/>
    <w:rsid w:val="005C6860"/>
    <w:rsid w:val="005C7252"/>
    <w:rsid w:val="005C780A"/>
    <w:rsid w:val="005C7CCB"/>
    <w:rsid w:val="005C7FA1"/>
    <w:rsid w:val="005D0B27"/>
    <w:rsid w:val="005D44D5"/>
    <w:rsid w:val="005D4657"/>
    <w:rsid w:val="005D6A92"/>
    <w:rsid w:val="005D701D"/>
    <w:rsid w:val="005D78A6"/>
    <w:rsid w:val="005D7F3A"/>
    <w:rsid w:val="005E042F"/>
    <w:rsid w:val="005E19B9"/>
    <w:rsid w:val="005E239A"/>
    <w:rsid w:val="005E4F77"/>
    <w:rsid w:val="005E5AA7"/>
    <w:rsid w:val="005E6487"/>
    <w:rsid w:val="005E6B02"/>
    <w:rsid w:val="005F0D32"/>
    <w:rsid w:val="005F139A"/>
    <w:rsid w:val="005F1C27"/>
    <w:rsid w:val="005F4583"/>
    <w:rsid w:val="005F45D0"/>
    <w:rsid w:val="005F4622"/>
    <w:rsid w:val="005F4712"/>
    <w:rsid w:val="005F5D43"/>
    <w:rsid w:val="006007BC"/>
    <w:rsid w:val="00600951"/>
    <w:rsid w:val="00601691"/>
    <w:rsid w:val="00601B51"/>
    <w:rsid w:val="0060286D"/>
    <w:rsid w:val="00602A34"/>
    <w:rsid w:val="00602A76"/>
    <w:rsid w:val="00602F83"/>
    <w:rsid w:val="0060350A"/>
    <w:rsid w:val="006042C2"/>
    <w:rsid w:val="006049CC"/>
    <w:rsid w:val="006055FB"/>
    <w:rsid w:val="006059E0"/>
    <w:rsid w:val="0060624E"/>
    <w:rsid w:val="00606960"/>
    <w:rsid w:val="00606BCB"/>
    <w:rsid w:val="006078CA"/>
    <w:rsid w:val="00610295"/>
    <w:rsid w:val="00610ACB"/>
    <w:rsid w:val="006115E4"/>
    <w:rsid w:val="006118EE"/>
    <w:rsid w:val="00612366"/>
    <w:rsid w:val="00612C5D"/>
    <w:rsid w:val="00614236"/>
    <w:rsid w:val="00614327"/>
    <w:rsid w:val="00614672"/>
    <w:rsid w:val="00616DC4"/>
    <w:rsid w:val="00617570"/>
    <w:rsid w:val="00617A02"/>
    <w:rsid w:val="00617A35"/>
    <w:rsid w:val="00620FB7"/>
    <w:rsid w:val="00621680"/>
    <w:rsid w:val="00622759"/>
    <w:rsid w:val="00623C4A"/>
    <w:rsid w:val="006240F4"/>
    <w:rsid w:val="00624A5B"/>
    <w:rsid w:val="006256FD"/>
    <w:rsid w:val="006262A4"/>
    <w:rsid w:val="00626EB3"/>
    <w:rsid w:val="00630C56"/>
    <w:rsid w:val="00631B02"/>
    <w:rsid w:val="00632221"/>
    <w:rsid w:val="00632C5F"/>
    <w:rsid w:val="00632EB8"/>
    <w:rsid w:val="006331EE"/>
    <w:rsid w:val="0063389D"/>
    <w:rsid w:val="00633A93"/>
    <w:rsid w:val="00633AC0"/>
    <w:rsid w:val="00635B20"/>
    <w:rsid w:val="006379BA"/>
    <w:rsid w:val="00637AC9"/>
    <w:rsid w:val="006412FA"/>
    <w:rsid w:val="006416B1"/>
    <w:rsid w:val="006430C4"/>
    <w:rsid w:val="00643447"/>
    <w:rsid w:val="00643FEC"/>
    <w:rsid w:val="00644676"/>
    <w:rsid w:val="00645391"/>
    <w:rsid w:val="006454E0"/>
    <w:rsid w:val="00646220"/>
    <w:rsid w:val="006477B7"/>
    <w:rsid w:val="00650734"/>
    <w:rsid w:val="00650B6B"/>
    <w:rsid w:val="00651F1F"/>
    <w:rsid w:val="0065292F"/>
    <w:rsid w:val="00653AC3"/>
    <w:rsid w:val="0065404E"/>
    <w:rsid w:val="006544C4"/>
    <w:rsid w:val="00654752"/>
    <w:rsid w:val="00654C23"/>
    <w:rsid w:val="006550E5"/>
    <w:rsid w:val="00655132"/>
    <w:rsid w:val="00655317"/>
    <w:rsid w:val="00657733"/>
    <w:rsid w:val="006578E4"/>
    <w:rsid w:val="00657AC0"/>
    <w:rsid w:val="00660AB9"/>
    <w:rsid w:val="00660D28"/>
    <w:rsid w:val="006618E6"/>
    <w:rsid w:val="00662E53"/>
    <w:rsid w:val="006636BB"/>
    <w:rsid w:val="006646F9"/>
    <w:rsid w:val="00664DD1"/>
    <w:rsid w:val="00665456"/>
    <w:rsid w:val="006655EE"/>
    <w:rsid w:val="00665985"/>
    <w:rsid w:val="00665A14"/>
    <w:rsid w:val="00666692"/>
    <w:rsid w:val="00667285"/>
    <w:rsid w:val="006709A5"/>
    <w:rsid w:val="00670D31"/>
    <w:rsid w:val="00671EA5"/>
    <w:rsid w:val="00672582"/>
    <w:rsid w:val="00672D35"/>
    <w:rsid w:val="0067358C"/>
    <w:rsid w:val="00673A8E"/>
    <w:rsid w:val="006751C1"/>
    <w:rsid w:val="00676392"/>
    <w:rsid w:val="00676628"/>
    <w:rsid w:val="00676812"/>
    <w:rsid w:val="00677E80"/>
    <w:rsid w:val="00680054"/>
    <w:rsid w:val="00680196"/>
    <w:rsid w:val="00680372"/>
    <w:rsid w:val="00681056"/>
    <w:rsid w:val="00682943"/>
    <w:rsid w:val="00682C3B"/>
    <w:rsid w:val="00682DCD"/>
    <w:rsid w:val="00684721"/>
    <w:rsid w:val="006851A0"/>
    <w:rsid w:val="00685805"/>
    <w:rsid w:val="00685ED4"/>
    <w:rsid w:val="00686A24"/>
    <w:rsid w:val="00690550"/>
    <w:rsid w:val="006905BC"/>
    <w:rsid w:val="00692012"/>
    <w:rsid w:val="006946AE"/>
    <w:rsid w:val="00694BE2"/>
    <w:rsid w:val="006975AE"/>
    <w:rsid w:val="00697713"/>
    <w:rsid w:val="0069797B"/>
    <w:rsid w:val="00697F82"/>
    <w:rsid w:val="006A04C7"/>
    <w:rsid w:val="006A1082"/>
    <w:rsid w:val="006A116F"/>
    <w:rsid w:val="006A1B65"/>
    <w:rsid w:val="006A1F11"/>
    <w:rsid w:val="006A27B4"/>
    <w:rsid w:val="006A27C9"/>
    <w:rsid w:val="006A2908"/>
    <w:rsid w:val="006A2AD2"/>
    <w:rsid w:val="006A3ECC"/>
    <w:rsid w:val="006A4D7E"/>
    <w:rsid w:val="006A6DF4"/>
    <w:rsid w:val="006B043F"/>
    <w:rsid w:val="006B0EAC"/>
    <w:rsid w:val="006B1FFE"/>
    <w:rsid w:val="006B34CC"/>
    <w:rsid w:val="006B39B2"/>
    <w:rsid w:val="006B5144"/>
    <w:rsid w:val="006B52E5"/>
    <w:rsid w:val="006B5BED"/>
    <w:rsid w:val="006B6007"/>
    <w:rsid w:val="006B6369"/>
    <w:rsid w:val="006B6430"/>
    <w:rsid w:val="006B6E57"/>
    <w:rsid w:val="006B6F5E"/>
    <w:rsid w:val="006B72CC"/>
    <w:rsid w:val="006B7AF9"/>
    <w:rsid w:val="006C0792"/>
    <w:rsid w:val="006C0A5C"/>
    <w:rsid w:val="006C3ABF"/>
    <w:rsid w:val="006C4331"/>
    <w:rsid w:val="006C5478"/>
    <w:rsid w:val="006C5A5E"/>
    <w:rsid w:val="006C5AC0"/>
    <w:rsid w:val="006C68BD"/>
    <w:rsid w:val="006C6C0D"/>
    <w:rsid w:val="006C7302"/>
    <w:rsid w:val="006C7C9B"/>
    <w:rsid w:val="006D128F"/>
    <w:rsid w:val="006D1CD5"/>
    <w:rsid w:val="006D2451"/>
    <w:rsid w:val="006D28C8"/>
    <w:rsid w:val="006D2D69"/>
    <w:rsid w:val="006D311D"/>
    <w:rsid w:val="006D51D5"/>
    <w:rsid w:val="006D5C70"/>
    <w:rsid w:val="006D6007"/>
    <w:rsid w:val="006D6C3A"/>
    <w:rsid w:val="006D758E"/>
    <w:rsid w:val="006D7FB7"/>
    <w:rsid w:val="006E05B6"/>
    <w:rsid w:val="006E0F3E"/>
    <w:rsid w:val="006E0FF8"/>
    <w:rsid w:val="006E2612"/>
    <w:rsid w:val="006E4874"/>
    <w:rsid w:val="006E571C"/>
    <w:rsid w:val="006E5795"/>
    <w:rsid w:val="006E5C99"/>
    <w:rsid w:val="006E6C4A"/>
    <w:rsid w:val="006E7551"/>
    <w:rsid w:val="006E78BD"/>
    <w:rsid w:val="006E7BA7"/>
    <w:rsid w:val="006E7D2F"/>
    <w:rsid w:val="006F0A2B"/>
    <w:rsid w:val="006F0D95"/>
    <w:rsid w:val="006F11A0"/>
    <w:rsid w:val="006F269E"/>
    <w:rsid w:val="006F294E"/>
    <w:rsid w:val="006F5888"/>
    <w:rsid w:val="006F72EA"/>
    <w:rsid w:val="00700ACE"/>
    <w:rsid w:val="00700E63"/>
    <w:rsid w:val="007014C3"/>
    <w:rsid w:val="00701535"/>
    <w:rsid w:val="00702C4C"/>
    <w:rsid w:val="0070328C"/>
    <w:rsid w:val="00703576"/>
    <w:rsid w:val="007061B3"/>
    <w:rsid w:val="00706367"/>
    <w:rsid w:val="007064EB"/>
    <w:rsid w:val="00707F58"/>
    <w:rsid w:val="00710AD6"/>
    <w:rsid w:val="00710C85"/>
    <w:rsid w:val="00713989"/>
    <w:rsid w:val="00713D69"/>
    <w:rsid w:val="00713E50"/>
    <w:rsid w:val="0071501F"/>
    <w:rsid w:val="00715785"/>
    <w:rsid w:val="0072003B"/>
    <w:rsid w:val="00720B5A"/>
    <w:rsid w:val="00720C02"/>
    <w:rsid w:val="00720C14"/>
    <w:rsid w:val="00721354"/>
    <w:rsid w:val="0072167C"/>
    <w:rsid w:val="00721BC0"/>
    <w:rsid w:val="00723F4F"/>
    <w:rsid w:val="00724333"/>
    <w:rsid w:val="0072473E"/>
    <w:rsid w:val="00724BF7"/>
    <w:rsid w:val="007268EA"/>
    <w:rsid w:val="00726B83"/>
    <w:rsid w:val="007300CA"/>
    <w:rsid w:val="007303D9"/>
    <w:rsid w:val="0073040E"/>
    <w:rsid w:val="007306C1"/>
    <w:rsid w:val="00730C2D"/>
    <w:rsid w:val="00731941"/>
    <w:rsid w:val="00731AD1"/>
    <w:rsid w:val="00731F36"/>
    <w:rsid w:val="00732C1C"/>
    <w:rsid w:val="007337DC"/>
    <w:rsid w:val="00733D2D"/>
    <w:rsid w:val="00734C30"/>
    <w:rsid w:val="007357FA"/>
    <w:rsid w:val="00737DAB"/>
    <w:rsid w:val="00740C9C"/>
    <w:rsid w:val="0074185F"/>
    <w:rsid w:val="00742A01"/>
    <w:rsid w:val="00742C6D"/>
    <w:rsid w:val="007439FB"/>
    <w:rsid w:val="00743A1A"/>
    <w:rsid w:val="00744D2F"/>
    <w:rsid w:val="0074542E"/>
    <w:rsid w:val="00747062"/>
    <w:rsid w:val="0075051C"/>
    <w:rsid w:val="00750A29"/>
    <w:rsid w:val="00754F3A"/>
    <w:rsid w:val="00755F2D"/>
    <w:rsid w:val="00756DF6"/>
    <w:rsid w:val="00756F3C"/>
    <w:rsid w:val="007574D8"/>
    <w:rsid w:val="007579B7"/>
    <w:rsid w:val="00757F16"/>
    <w:rsid w:val="0076105C"/>
    <w:rsid w:val="00762BA5"/>
    <w:rsid w:val="00762C98"/>
    <w:rsid w:val="007632C7"/>
    <w:rsid w:val="0076385B"/>
    <w:rsid w:val="00763BF7"/>
    <w:rsid w:val="00764068"/>
    <w:rsid w:val="007641C9"/>
    <w:rsid w:val="00764F66"/>
    <w:rsid w:val="00765073"/>
    <w:rsid w:val="00765583"/>
    <w:rsid w:val="00766028"/>
    <w:rsid w:val="0076661D"/>
    <w:rsid w:val="00766EB8"/>
    <w:rsid w:val="007673BC"/>
    <w:rsid w:val="007679F9"/>
    <w:rsid w:val="0077008E"/>
    <w:rsid w:val="00770AAC"/>
    <w:rsid w:val="00771D2E"/>
    <w:rsid w:val="00772C4F"/>
    <w:rsid w:val="00772D75"/>
    <w:rsid w:val="00772E33"/>
    <w:rsid w:val="00773258"/>
    <w:rsid w:val="00773FDF"/>
    <w:rsid w:val="00775B1C"/>
    <w:rsid w:val="00776E98"/>
    <w:rsid w:val="00777B8C"/>
    <w:rsid w:val="00780412"/>
    <w:rsid w:val="007804CC"/>
    <w:rsid w:val="007819AA"/>
    <w:rsid w:val="00783BB6"/>
    <w:rsid w:val="00787833"/>
    <w:rsid w:val="007878B1"/>
    <w:rsid w:val="00787C14"/>
    <w:rsid w:val="00790523"/>
    <w:rsid w:val="00790837"/>
    <w:rsid w:val="007908F0"/>
    <w:rsid w:val="00792358"/>
    <w:rsid w:val="00792F31"/>
    <w:rsid w:val="0079385C"/>
    <w:rsid w:val="00793C7C"/>
    <w:rsid w:val="00793D2B"/>
    <w:rsid w:val="00794A55"/>
    <w:rsid w:val="00797467"/>
    <w:rsid w:val="00797741"/>
    <w:rsid w:val="007A11D5"/>
    <w:rsid w:val="007A1584"/>
    <w:rsid w:val="007A180C"/>
    <w:rsid w:val="007A234C"/>
    <w:rsid w:val="007A23AF"/>
    <w:rsid w:val="007A278A"/>
    <w:rsid w:val="007A2974"/>
    <w:rsid w:val="007A2BF8"/>
    <w:rsid w:val="007A3ACE"/>
    <w:rsid w:val="007A40DD"/>
    <w:rsid w:val="007A5916"/>
    <w:rsid w:val="007A6A1B"/>
    <w:rsid w:val="007A6C5E"/>
    <w:rsid w:val="007A718E"/>
    <w:rsid w:val="007A7A4E"/>
    <w:rsid w:val="007B00C8"/>
    <w:rsid w:val="007B0307"/>
    <w:rsid w:val="007B174E"/>
    <w:rsid w:val="007B2A80"/>
    <w:rsid w:val="007B4B27"/>
    <w:rsid w:val="007B4B6F"/>
    <w:rsid w:val="007B62BA"/>
    <w:rsid w:val="007B6709"/>
    <w:rsid w:val="007B676A"/>
    <w:rsid w:val="007B71D4"/>
    <w:rsid w:val="007B7219"/>
    <w:rsid w:val="007B7514"/>
    <w:rsid w:val="007C12A7"/>
    <w:rsid w:val="007C2D22"/>
    <w:rsid w:val="007C2DDE"/>
    <w:rsid w:val="007C2E6C"/>
    <w:rsid w:val="007C33C6"/>
    <w:rsid w:val="007C3E8C"/>
    <w:rsid w:val="007C3FA5"/>
    <w:rsid w:val="007C425B"/>
    <w:rsid w:val="007C47B0"/>
    <w:rsid w:val="007C4F68"/>
    <w:rsid w:val="007C6288"/>
    <w:rsid w:val="007C6C88"/>
    <w:rsid w:val="007C755A"/>
    <w:rsid w:val="007D1698"/>
    <w:rsid w:val="007D17E9"/>
    <w:rsid w:val="007D1EBB"/>
    <w:rsid w:val="007D229E"/>
    <w:rsid w:val="007D3E21"/>
    <w:rsid w:val="007D45D7"/>
    <w:rsid w:val="007D5A4A"/>
    <w:rsid w:val="007D5DFF"/>
    <w:rsid w:val="007D6027"/>
    <w:rsid w:val="007D60DC"/>
    <w:rsid w:val="007D720C"/>
    <w:rsid w:val="007D729B"/>
    <w:rsid w:val="007D7488"/>
    <w:rsid w:val="007D7C81"/>
    <w:rsid w:val="007D7E46"/>
    <w:rsid w:val="007E08A2"/>
    <w:rsid w:val="007E0FD0"/>
    <w:rsid w:val="007E11FE"/>
    <w:rsid w:val="007E27B6"/>
    <w:rsid w:val="007E3379"/>
    <w:rsid w:val="007E3767"/>
    <w:rsid w:val="007E3B25"/>
    <w:rsid w:val="007E46C4"/>
    <w:rsid w:val="007E5447"/>
    <w:rsid w:val="007E6F1D"/>
    <w:rsid w:val="007E7769"/>
    <w:rsid w:val="007F01A4"/>
    <w:rsid w:val="007F198D"/>
    <w:rsid w:val="007F41F4"/>
    <w:rsid w:val="007F4AB5"/>
    <w:rsid w:val="007F578A"/>
    <w:rsid w:val="007F5BBF"/>
    <w:rsid w:val="007F6E6B"/>
    <w:rsid w:val="008005AA"/>
    <w:rsid w:val="00800842"/>
    <w:rsid w:val="00800A93"/>
    <w:rsid w:val="00800CFD"/>
    <w:rsid w:val="0080135A"/>
    <w:rsid w:val="00802109"/>
    <w:rsid w:val="008022B1"/>
    <w:rsid w:val="00802CED"/>
    <w:rsid w:val="0080469E"/>
    <w:rsid w:val="0080579B"/>
    <w:rsid w:val="0080707F"/>
    <w:rsid w:val="00807727"/>
    <w:rsid w:val="008100BA"/>
    <w:rsid w:val="00810D12"/>
    <w:rsid w:val="008115EC"/>
    <w:rsid w:val="00813249"/>
    <w:rsid w:val="00813403"/>
    <w:rsid w:val="00814D11"/>
    <w:rsid w:val="00814DB0"/>
    <w:rsid w:val="008159DB"/>
    <w:rsid w:val="00815BE4"/>
    <w:rsid w:val="008179D8"/>
    <w:rsid w:val="008202E2"/>
    <w:rsid w:val="0082308F"/>
    <w:rsid w:val="008248C7"/>
    <w:rsid w:val="00824A0F"/>
    <w:rsid w:val="00824BC0"/>
    <w:rsid w:val="00825A19"/>
    <w:rsid w:val="00826658"/>
    <w:rsid w:val="00827679"/>
    <w:rsid w:val="00832858"/>
    <w:rsid w:val="00832EDE"/>
    <w:rsid w:val="00833216"/>
    <w:rsid w:val="00833FC3"/>
    <w:rsid w:val="0083417A"/>
    <w:rsid w:val="00834A2B"/>
    <w:rsid w:val="00835287"/>
    <w:rsid w:val="00835AED"/>
    <w:rsid w:val="00836220"/>
    <w:rsid w:val="00836713"/>
    <w:rsid w:val="00836991"/>
    <w:rsid w:val="00836DC3"/>
    <w:rsid w:val="0083763D"/>
    <w:rsid w:val="00837C2B"/>
    <w:rsid w:val="008414D9"/>
    <w:rsid w:val="008427E2"/>
    <w:rsid w:val="00842E27"/>
    <w:rsid w:val="00843D87"/>
    <w:rsid w:val="008448FC"/>
    <w:rsid w:val="008454A6"/>
    <w:rsid w:val="00845887"/>
    <w:rsid w:val="00845A89"/>
    <w:rsid w:val="00845DF9"/>
    <w:rsid w:val="00846E05"/>
    <w:rsid w:val="00846F6D"/>
    <w:rsid w:val="00847E19"/>
    <w:rsid w:val="00851284"/>
    <w:rsid w:val="0085244A"/>
    <w:rsid w:val="008524D3"/>
    <w:rsid w:val="00852780"/>
    <w:rsid w:val="00852D50"/>
    <w:rsid w:val="00853778"/>
    <w:rsid w:val="00854629"/>
    <w:rsid w:val="00855A6A"/>
    <w:rsid w:val="0085658F"/>
    <w:rsid w:val="00856792"/>
    <w:rsid w:val="00856FC6"/>
    <w:rsid w:val="0086071F"/>
    <w:rsid w:val="00861212"/>
    <w:rsid w:val="008623CD"/>
    <w:rsid w:val="00862F50"/>
    <w:rsid w:val="0086310A"/>
    <w:rsid w:val="0086398B"/>
    <w:rsid w:val="00866565"/>
    <w:rsid w:val="008668D1"/>
    <w:rsid w:val="00866A1E"/>
    <w:rsid w:val="00867142"/>
    <w:rsid w:val="00867D45"/>
    <w:rsid w:val="00867D7D"/>
    <w:rsid w:val="008714B7"/>
    <w:rsid w:val="0087176E"/>
    <w:rsid w:val="00871DCB"/>
    <w:rsid w:val="00872312"/>
    <w:rsid w:val="00872BC2"/>
    <w:rsid w:val="00874209"/>
    <w:rsid w:val="00874424"/>
    <w:rsid w:val="00875EC9"/>
    <w:rsid w:val="0087629A"/>
    <w:rsid w:val="00876BC6"/>
    <w:rsid w:val="00876D68"/>
    <w:rsid w:val="00876F9D"/>
    <w:rsid w:val="00877006"/>
    <w:rsid w:val="00880079"/>
    <w:rsid w:val="00880D01"/>
    <w:rsid w:val="00881A8E"/>
    <w:rsid w:val="00882963"/>
    <w:rsid w:val="008851BF"/>
    <w:rsid w:val="008853F9"/>
    <w:rsid w:val="008862E4"/>
    <w:rsid w:val="008866CA"/>
    <w:rsid w:val="008900AE"/>
    <w:rsid w:val="008900ED"/>
    <w:rsid w:val="0089103E"/>
    <w:rsid w:val="008916F1"/>
    <w:rsid w:val="00891CD0"/>
    <w:rsid w:val="008922FB"/>
    <w:rsid w:val="00893B07"/>
    <w:rsid w:val="008941DE"/>
    <w:rsid w:val="00894454"/>
    <w:rsid w:val="00894C4C"/>
    <w:rsid w:val="00896498"/>
    <w:rsid w:val="008970BA"/>
    <w:rsid w:val="00897265"/>
    <w:rsid w:val="00897B7F"/>
    <w:rsid w:val="00897DAC"/>
    <w:rsid w:val="00897F12"/>
    <w:rsid w:val="008A18DD"/>
    <w:rsid w:val="008A21B5"/>
    <w:rsid w:val="008A30C1"/>
    <w:rsid w:val="008A30FC"/>
    <w:rsid w:val="008A390E"/>
    <w:rsid w:val="008A49B4"/>
    <w:rsid w:val="008A51FC"/>
    <w:rsid w:val="008A5406"/>
    <w:rsid w:val="008A6FBD"/>
    <w:rsid w:val="008A75A1"/>
    <w:rsid w:val="008A7B73"/>
    <w:rsid w:val="008B03C9"/>
    <w:rsid w:val="008B045E"/>
    <w:rsid w:val="008B050D"/>
    <w:rsid w:val="008B1AB8"/>
    <w:rsid w:val="008B21EC"/>
    <w:rsid w:val="008B262E"/>
    <w:rsid w:val="008B3192"/>
    <w:rsid w:val="008B3EAE"/>
    <w:rsid w:val="008B4985"/>
    <w:rsid w:val="008B698E"/>
    <w:rsid w:val="008B6EA4"/>
    <w:rsid w:val="008C0898"/>
    <w:rsid w:val="008C099C"/>
    <w:rsid w:val="008C1380"/>
    <w:rsid w:val="008C16F5"/>
    <w:rsid w:val="008C1B51"/>
    <w:rsid w:val="008C205B"/>
    <w:rsid w:val="008C25FA"/>
    <w:rsid w:val="008C26FC"/>
    <w:rsid w:val="008C291B"/>
    <w:rsid w:val="008C300A"/>
    <w:rsid w:val="008C360C"/>
    <w:rsid w:val="008C4156"/>
    <w:rsid w:val="008C473C"/>
    <w:rsid w:val="008C55C9"/>
    <w:rsid w:val="008C77D9"/>
    <w:rsid w:val="008C7BB5"/>
    <w:rsid w:val="008D1129"/>
    <w:rsid w:val="008D22DB"/>
    <w:rsid w:val="008D2893"/>
    <w:rsid w:val="008D2947"/>
    <w:rsid w:val="008D349E"/>
    <w:rsid w:val="008D4D13"/>
    <w:rsid w:val="008D5247"/>
    <w:rsid w:val="008D5990"/>
    <w:rsid w:val="008D5AA2"/>
    <w:rsid w:val="008D65E4"/>
    <w:rsid w:val="008E115C"/>
    <w:rsid w:val="008E1A24"/>
    <w:rsid w:val="008E1AB1"/>
    <w:rsid w:val="008E524D"/>
    <w:rsid w:val="008E5542"/>
    <w:rsid w:val="008E7837"/>
    <w:rsid w:val="008F008B"/>
    <w:rsid w:val="008F1BF8"/>
    <w:rsid w:val="008F1E01"/>
    <w:rsid w:val="008F1F80"/>
    <w:rsid w:val="008F30F6"/>
    <w:rsid w:val="008F3ECE"/>
    <w:rsid w:val="008F41DF"/>
    <w:rsid w:val="008F515C"/>
    <w:rsid w:val="008F57D3"/>
    <w:rsid w:val="008F592A"/>
    <w:rsid w:val="008F7816"/>
    <w:rsid w:val="008F7F86"/>
    <w:rsid w:val="009019F4"/>
    <w:rsid w:val="00902483"/>
    <w:rsid w:val="00902920"/>
    <w:rsid w:val="00904F37"/>
    <w:rsid w:val="00905517"/>
    <w:rsid w:val="0090561F"/>
    <w:rsid w:val="0090583D"/>
    <w:rsid w:val="009065C7"/>
    <w:rsid w:val="00906DEA"/>
    <w:rsid w:val="009075D0"/>
    <w:rsid w:val="00907BA1"/>
    <w:rsid w:val="00907E32"/>
    <w:rsid w:val="00907F94"/>
    <w:rsid w:val="00910CB3"/>
    <w:rsid w:val="00912556"/>
    <w:rsid w:val="00912CB8"/>
    <w:rsid w:val="00912EE2"/>
    <w:rsid w:val="009134BA"/>
    <w:rsid w:val="009140D8"/>
    <w:rsid w:val="00915462"/>
    <w:rsid w:val="009158B3"/>
    <w:rsid w:val="009160EE"/>
    <w:rsid w:val="00916A40"/>
    <w:rsid w:val="00917828"/>
    <w:rsid w:val="00917DB2"/>
    <w:rsid w:val="00921E1C"/>
    <w:rsid w:val="00922665"/>
    <w:rsid w:val="00922CFD"/>
    <w:rsid w:val="00924072"/>
    <w:rsid w:val="009255EC"/>
    <w:rsid w:val="00925A21"/>
    <w:rsid w:val="00925F8E"/>
    <w:rsid w:val="00926000"/>
    <w:rsid w:val="009263B7"/>
    <w:rsid w:val="00926A23"/>
    <w:rsid w:val="00931548"/>
    <w:rsid w:val="00932B4D"/>
    <w:rsid w:val="00934AA8"/>
    <w:rsid w:val="00935DFE"/>
    <w:rsid w:val="00936050"/>
    <w:rsid w:val="009363F9"/>
    <w:rsid w:val="009400E8"/>
    <w:rsid w:val="00940CC1"/>
    <w:rsid w:val="009415DB"/>
    <w:rsid w:val="00944FC2"/>
    <w:rsid w:val="0094586F"/>
    <w:rsid w:val="00945E41"/>
    <w:rsid w:val="00945EB6"/>
    <w:rsid w:val="009465B3"/>
    <w:rsid w:val="0094751C"/>
    <w:rsid w:val="0094798B"/>
    <w:rsid w:val="00947B3B"/>
    <w:rsid w:val="00952860"/>
    <w:rsid w:val="00952892"/>
    <w:rsid w:val="009536D1"/>
    <w:rsid w:val="00954E95"/>
    <w:rsid w:val="00956E47"/>
    <w:rsid w:val="00956F70"/>
    <w:rsid w:val="00957851"/>
    <w:rsid w:val="00957FB5"/>
    <w:rsid w:val="009605CF"/>
    <w:rsid w:val="009611C3"/>
    <w:rsid w:val="00961F36"/>
    <w:rsid w:val="0096207E"/>
    <w:rsid w:val="009668FC"/>
    <w:rsid w:val="00966ADF"/>
    <w:rsid w:val="009708D7"/>
    <w:rsid w:val="00970E16"/>
    <w:rsid w:val="00971324"/>
    <w:rsid w:val="009713E2"/>
    <w:rsid w:val="00972374"/>
    <w:rsid w:val="009728E4"/>
    <w:rsid w:val="00973F40"/>
    <w:rsid w:val="00974634"/>
    <w:rsid w:val="00974F00"/>
    <w:rsid w:val="0097631F"/>
    <w:rsid w:val="0097796F"/>
    <w:rsid w:val="00980F3F"/>
    <w:rsid w:val="009819F7"/>
    <w:rsid w:val="00982764"/>
    <w:rsid w:val="00983823"/>
    <w:rsid w:val="00984036"/>
    <w:rsid w:val="009853E4"/>
    <w:rsid w:val="00986A35"/>
    <w:rsid w:val="009871A0"/>
    <w:rsid w:val="00987433"/>
    <w:rsid w:val="00987C41"/>
    <w:rsid w:val="00987DAC"/>
    <w:rsid w:val="009906BB"/>
    <w:rsid w:val="00990E1B"/>
    <w:rsid w:val="00991CDB"/>
    <w:rsid w:val="0099214D"/>
    <w:rsid w:val="0099242F"/>
    <w:rsid w:val="00993617"/>
    <w:rsid w:val="009954BF"/>
    <w:rsid w:val="00995ADF"/>
    <w:rsid w:val="0099669F"/>
    <w:rsid w:val="00996AA5"/>
    <w:rsid w:val="009973BB"/>
    <w:rsid w:val="00997418"/>
    <w:rsid w:val="009A08BF"/>
    <w:rsid w:val="009A111A"/>
    <w:rsid w:val="009A15CA"/>
    <w:rsid w:val="009A2442"/>
    <w:rsid w:val="009A2696"/>
    <w:rsid w:val="009A390B"/>
    <w:rsid w:val="009A4139"/>
    <w:rsid w:val="009A4709"/>
    <w:rsid w:val="009A580B"/>
    <w:rsid w:val="009A5F6B"/>
    <w:rsid w:val="009A6A71"/>
    <w:rsid w:val="009A6FAF"/>
    <w:rsid w:val="009A78D2"/>
    <w:rsid w:val="009A7E24"/>
    <w:rsid w:val="009B061A"/>
    <w:rsid w:val="009B0CE0"/>
    <w:rsid w:val="009B1786"/>
    <w:rsid w:val="009B2668"/>
    <w:rsid w:val="009B2BA1"/>
    <w:rsid w:val="009B391C"/>
    <w:rsid w:val="009B788B"/>
    <w:rsid w:val="009B7AA0"/>
    <w:rsid w:val="009C121F"/>
    <w:rsid w:val="009C130F"/>
    <w:rsid w:val="009C17BD"/>
    <w:rsid w:val="009C22CD"/>
    <w:rsid w:val="009C2387"/>
    <w:rsid w:val="009C2EDA"/>
    <w:rsid w:val="009C3A6D"/>
    <w:rsid w:val="009C4336"/>
    <w:rsid w:val="009C4371"/>
    <w:rsid w:val="009C59DF"/>
    <w:rsid w:val="009C643B"/>
    <w:rsid w:val="009C6E1B"/>
    <w:rsid w:val="009C7AF4"/>
    <w:rsid w:val="009D009A"/>
    <w:rsid w:val="009D0870"/>
    <w:rsid w:val="009D2222"/>
    <w:rsid w:val="009D25EA"/>
    <w:rsid w:val="009D2849"/>
    <w:rsid w:val="009D2ECB"/>
    <w:rsid w:val="009D34AD"/>
    <w:rsid w:val="009D5B6F"/>
    <w:rsid w:val="009D5ED6"/>
    <w:rsid w:val="009D6C3E"/>
    <w:rsid w:val="009D7908"/>
    <w:rsid w:val="009E1928"/>
    <w:rsid w:val="009E2107"/>
    <w:rsid w:val="009E2F93"/>
    <w:rsid w:val="009E4816"/>
    <w:rsid w:val="009E4DDC"/>
    <w:rsid w:val="009E52B4"/>
    <w:rsid w:val="009E6619"/>
    <w:rsid w:val="009E686E"/>
    <w:rsid w:val="009E68E0"/>
    <w:rsid w:val="009E69C1"/>
    <w:rsid w:val="009E7876"/>
    <w:rsid w:val="009F085E"/>
    <w:rsid w:val="009F0C1D"/>
    <w:rsid w:val="009F0FBE"/>
    <w:rsid w:val="009F1958"/>
    <w:rsid w:val="009F2B17"/>
    <w:rsid w:val="009F3D7A"/>
    <w:rsid w:val="009F4422"/>
    <w:rsid w:val="009F56BE"/>
    <w:rsid w:val="009F58DF"/>
    <w:rsid w:val="009F6DDD"/>
    <w:rsid w:val="009F6E32"/>
    <w:rsid w:val="009F7CEE"/>
    <w:rsid w:val="00A00EF1"/>
    <w:rsid w:val="00A0467B"/>
    <w:rsid w:val="00A06D7D"/>
    <w:rsid w:val="00A06E34"/>
    <w:rsid w:val="00A07FF0"/>
    <w:rsid w:val="00A10356"/>
    <w:rsid w:val="00A10825"/>
    <w:rsid w:val="00A117E8"/>
    <w:rsid w:val="00A12BDB"/>
    <w:rsid w:val="00A1301C"/>
    <w:rsid w:val="00A15A7B"/>
    <w:rsid w:val="00A16C1F"/>
    <w:rsid w:val="00A1717B"/>
    <w:rsid w:val="00A17279"/>
    <w:rsid w:val="00A17D6C"/>
    <w:rsid w:val="00A20B9F"/>
    <w:rsid w:val="00A21E69"/>
    <w:rsid w:val="00A21E6C"/>
    <w:rsid w:val="00A22084"/>
    <w:rsid w:val="00A224E9"/>
    <w:rsid w:val="00A23BBB"/>
    <w:rsid w:val="00A24D2C"/>
    <w:rsid w:val="00A25243"/>
    <w:rsid w:val="00A267F8"/>
    <w:rsid w:val="00A26A1B"/>
    <w:rsid w:val="00A26AE1"/>
    <w:rsid w:val="00A26D72"/>
    <w:rsid w:val="00A271A1"/>
    <w:rsid w:val="00A27F60"/>
    <w:rsid w:val="00A30AB0"/>
    <w:rsid w:val="00A30B28"/>
    <w:rsid w:val="00A31ABA"/>
    <w:rsid w:val="00A31C3B"/>
    <w:rsid w:val="00A32B3F"/>
    <w:rsid w:val="00A32C75"/>
    <w:rsid w:val="00A33010"/>
    <w:rsid w:val="00A331CF"/>
    <w:rsid w:val="00A33F14"/>
    <w:rsid w:val="00A3406E"/>
    <w:rsid w:val="00A364F4"/>
    <w:rsid w:val="00A36CA0"/>
    <w:rsid w:val="00A37E77"/>
    <w:rsid w:val="00A40B81"/>
    <w:rsid w:val="00A411BE"/>
    <w:rsid w:val="00A41ED5"/>
    <w:rsid w:val="00A422BE"/>
    <w:rsid w:val="00A446D7"/>
    <w:rsid w:val="00A46097"/>
    <w:rsid w:val="00A47350"/>
    <w:rsid w:val="00A50063"/>
    <w:rsid w:val="00A50E43"/>
    <w:rsid w:val="00A52270"/>
    <w:rsid w:val="00A526B2"/>
    <w:rsid w:val="00A533BB"/>
    <w:rsid w:val="00A5344F"/>
    <w:rsid w:val="00A54974"/>
    <w:rsid w:val="00A56016"/>
    <w:rsid w:val="00A567DE"/>
    <w:rsid w:val="00A57999"/>
    <w:rsid w:val="00A60B53"/>
    <w:rsid w:val="00A60D59"/>
    <w:rsid w:val="00A614F2"/>
    <w:rsid w:val="00A61FB7"/>
    <w:rsid w:val="00A6291A"/>
    <w:rsid w:val="00A63533"/>
    <w:rsid w:val="00A6388D"/>
    <w:rsid w:val="00A63DA1"/>
    <w:rsid w:val="00A63E20"/>
    <w:rsid w:val="00A63FC9"/>
    <w:rsid w:val="00A659FD"/>
    <w:rsid w:val="00A667F3"/>
    <w:rsid w:val="00A66B24"/>
    <w:rsid w:val="00A67539"/>
    <w:rsid w:val="00A67AB0"/>
    <w:rsid w:val="00A67BA4"/>
    <w:rsid w:val="00A70079"/>
    <w:rsid w:val="00A70613"/>
    <w:rsid w:val="00A71E02"/>
    <w:rsid w:val="00A7349D"/>
    <w:rsid w:val="00A736A7"/>
    <w:rsid w:val="00A73951"/>
    <w:rsid w:val="00A74F0C"/>
    <w:rsid w:val="00A75988"/>
    <w:rsid w:val="00A763EC"/>
    <w:rsid w:val="00A779AF"/>
    <w:rsid w:val="00A77E2B"/>
    <w:rsid w:val="00A809BB"/>
    <w:rsid w:val="00A809F3"/>
    <w:rsid w:val="00A816CD"/>
    <w:rsid w:val="00A817B0"/>
    <w:rsid w:val="00A81B6B"/>
    <w:rsid w:val="00A81F59"/>
    <w:rsid w:val="00A83EAC"/>
    <w:rsid w:val="00A84780"/>
    <w:rsid w:val="00A858A3"/>
    <w:rsid w:val="00A91830"/>
    <w:rsid w:val="00A91ED2"/>
    <w:rsid w:val="00A9379B"/>
    <w:rsid w:val="00A93998"/>
    <w:rsid w:val="00A94882"/>
    <w:rsid w:val="00A9606E"/>
    <w:rsid w:val="00A97341"/>
    <w:rsid w:val="00A976D9"/>
    <w:rsid w:val="00A979FD"/>
    <w:rsid w:val="00AA1733"/>
    <w:rsid w:val="00AA1790"/>
    <w:rsid w:val="00AA1F21"/>
    <w:rsid w:val="00AA2D52"/>
    <w:rsid w:val="00AA2EDB"/>
    <w:rsid w:val="00AA3393"/>
    <w:rsid w:val="00AA3DF6"/>
    <w:rsid w:val="00AA4085"/>
    <w:rsid w:val="00AA4902"/>
    <w:rsid w:val="00AA614F"/>
    <w:rsid w:val="00AA6466"/>
    <w:rsid w:val="00AB075B"/>
    <w:rsid w:val="00AB0C76"/>
    <w:rsid w:val="00AB1412"/>
    <w:rsid w:val="00AB1E64"/>
    <w:rsid w:val="00AB22B4"/>
    <w:rsid w:val="00AB3456"/>
    <w:rsid w:val="00AB4919"/>
    <w:rsid w:val="00AB714D"/>
    <w:rsid w:val="00AC054C"/>
    <w:rsid w:val="00AC1CFB"/>
    <w:rsid w:val="00AC2827"/>
    <w:rsid w:val="00AC2F8A"/>
    <w:rsid w:val="00AC3150"/>
    <w:rsid w:val="00AC370C"/>
    <w:rsid w:val="00AC5860"/>
    <w:rsid w:val="00AC64F8"/>
    <w:rsid w:val="00AC7861"/>
    <w:rsid w:val="00AC7A81"/>
    <w:rsid w:val="00AC7EF1"/>
    <w:rsid w:val="00AD20A6"/>
    <w:rsid w:val="00AD2BA8"/>
    <w:rsid w:val="00AD343C"/>
    <w:rsid w:val="00AD39DE"/>
    <w:rsid w:val="00AD41F3"/>
    <w:rsid w:val="00AD4781"/>
    <w:rsid w:val="00AD5234"/>
    <w:rsid w:val="00AD5E9A"/>
    <w:rsid w:val="00AD6FF4"/>
    <w:rsid w:val="00AD7002"/>
    <w:rsid w:val="00AD700A"/>
    <w:rsid w:val="00AD7801"/>
    <w:rsid w:val="00AE04EE"/>
    <w:rsid w:val="00AE05F1"/>
    <w:rsid w:val="00AE0E4C"/>
    <w:rsid w:val="00AE1A3D"/>
    <w:rsid w:val="00AE2751"/>
    <w:rsid w:val="00AE30A8"/>
    <w:rsid w:val="00AE3FA1"/>
    <w:rsid w:val="00AE5CA2"/>
    <w:rsid w:val="00AE64C8"/>
    <w:rsid w:val="00AF01A4"/>
    <w:rsid w:val="00AF0A3B"/>
    <w:rsid w:val="00AF1A1D"/>
    <w:rsid w:val="00AF1D72"/>
    <w:rsid w:val="00AF2C27"/>
    <w:rsid w:val="00AF3643"/>
    <w:rsid w:val="00AF4E48"/>
    <w:rsid w:val="00AF71DA"/>
    <w:rsid w:val="00B00CB3"/>
    <w:rsid w:val="00B02C86"/>
    <w:rsid w:val="00B02CB3"/>
    <w:rsid w:val="00B02D81"/>
    <w:rsid w:val="00B049E1"/>
    <w:rsid w:val="00B051E6"/>
    <w:rsid w:val="00B05E5A"/>
    <w:rsid w:val="00B06284"/>
    <w:rsid w:val="00B065BA"/>
    <w:rsid w:val="00B06777"/>
    <w:rsid w:val="00B067D0"/>
    <w:rsid w:val="00B07081"/>
    <w:rsid w:val="00B10C22"/>
    <w:rsid w:val="00B114C0"/>
    <w:rsid w:val="00B12B0C"/>
    <w:rsid w:val="00B131A5"/>
    <w:rsid w:val="00B16508"/>
    <w:rsid w:val="00B17772"/>
    <w:rsid w:val="00B20CCD"/>
    <w:rsid w:val="00B21A2F"/>
    <w:rsid w:val="00B2201F"/>
    <w:rsid w:val="00B2209F"/>
    <w:rsid w:val="00B2332A"/>
    <w:rsid w:val="00B23399"/>
    <w:rsid w:val="00B25E29"/>
    <w:rsid w:val="00B30A80"/>
    <w:rsid w:val="00B30BAB"/>
    <w:rsid w:val="00B32387"/>
    <w:rsid w:val="00B32538"/>
    <w:rsid w:val="00B32F75"/>
    <w:rsid w:val="00B336EC"/>
    <w:rsid w:val="00B365ED"/>
    <w:rsid w:val="00B36687"/>
    <w:rsid w:val="00B36F8E"/>
    <w:rsid w:val="00B373F6"/>
    <w:rsid w:val="00B37C28"/>
    <w:rsid w:val="00B417BA"/>
    <w:rsid w:val="00B42D18"/>
    <w:rsid w:val="00B42DB0"/>
    <w:rsid w:val="00B430BF"/>
    <w:rsid w:val="00B439BF"/>
    <w:rsid w:val="00B43A1C"/>
    <w:rsid w:val="00B44B10"/>
    <w:rsid w:val="00B45414"/>
    <w:rsid w:val="00B455AB"/>
    <w:rsid w:val="00B45A14"/>
    <w:rsid w:val="00B45BA3"/>
    <w:rsid w:val="00B45BF3"/>
    <w:rsid w:val="00B469D6"/>
    <w:rsid w:val="00B47583"/>
    <w:rsid w:val="00B47894"/>
    <w:rsid w:val="00B50DA7"/>
    <w:rsid w:val="00B547E6"/>
    <w:rsid w:val="00B54990"/>
    <w:rsid w:val="00B54B07"/>
    <w:rsid w:val="00B564D5"/>
    <w:rsid w:val="00B57759"/>
    <w:rsid w:val="00B57C95"/>
    <w:rsid w:val="00B602FE"/>
    <w:rsid w:val="00B609A9"/>
    <w:rsid w:val="00B6127A"/>
    <w:rsid w:val="00B637A5"/>
    <w:rsid w:val="00B6528E"/>
    <w:rsid w:val="00B65317"/>
    <w:rsid w:val="00B6612D"/>
    <w:rsid w:val="00B668CD"/>
    <w:rsid w:val="00B66AB9"/>
    <w:rsid w:val="00B670DA"/>
    <w:rsid w:val="00B67A5A"/>
    <w:rsid w:val="00B70A40"/>
    <w:rsid w:val="00B70AD9"/>
    <w:rsid w:val="00B71A6F"/>
    <w:rsid w:val="00B71B51"/>
    <w:rsid w:val="00B71D80"/>
    <w:rsid w:val="00B726AC"/>
    <w:rsid w:val="00B72A66"/>
    <w:rsid w:val="00B72B86"/>
    <w:rsid w:val="00B73F96"/>
    <w:rsid w:val="00B74112"/>
    <w:rsid w:val="00B74131"/>
    <w:rsid w:val="00B74AAC"/>
    <w:rsid w:val="00B75253"/>
    <w:rsid w:val="00B75CDA"/>
    <w:rsid w:val="00B770EF"/>
    <w:rsid w:val="00B800AF"/>
    <w:rsid w:val="00B80B0E"/>
    <w:rsid w:val="00B80CDB"/>
    <w:rsid w:val="00B80CF7"/>
    <w:rsid w:val="00B8574D"/>
    <w:rsid w:val="00B859E6"/>
    <w:rsid w:val="00B8668F"/>
    <w:rsid w:val="00B867FE"/>
    <w:rsid w:val="00B86F03"/>
    <w:rsid w:val="00B87F60"/>
    <w:rsid w:val="00B904A9"/>
    <w:rsid w:val="00B90697"/>
    <w:rsid w:val="00B91618"/>
    <w:rsid w:val="00B918A2"/>
    <w:rsid w:val="00B918F1"/>
    <w:rsid w:val="00B9288C"/>
    <w:rsid w:val="00B92BA4"/>
    <w:rsid w:val="00B92FC3"/>
    <w:rsid w:val="00B93532"/>
    <w:rsid w:val="00B93DA4"/>
    <w:rsid w:val="00B9461F"/>
    <w:rsid w:val="00B94B08"/>
    <w:rsid w:val="00B9601D"/>
    <w:rsid w:val="00B961CE"/>
    <w:rsid w:val="00B97291"/>
    <w:rsid w:val="00B97587"/>
    <w:rsid w:val="00BA1A3A"/>
    <w:rsid w:val="00BA3D4E"/>
    <w:rsid w:val="00BA3E40"/>
    <w:rsid w:val="00BA3E88"/>
    <w:rsid w:val="00BA4204"/>
    <w:rsid w:val="00BA4309"/>
    <w:rsid w:val="00BA563E"/>
    <w:rsid w:val="00BA642E"/>
    <w:rsid w:val="00BA71C4"/>
    <w:rsid w:val="00BA7AFA"/>
    <w:rsid w:val="00BB0782"/>
    <w:rsid w:val="00BB34F2"/>
    <w:rsid w:val="00BB386D"/>
    <w:rsid w:val="00BB3E96"/>
    <w:rsid w:val="00BB3FA9"/>
    <w:rsid w:val="00BB493F"/>
    <w:rsid w:val="00BB4B56"/>
    <w:rsid w:val="00BB674F"/>
    <w:rsid w:val="00BB6F1C"/>
    <w:rsid w:val="00BB7782"/>
    <w:rsid w:val="00BB7FD3"/>
    <w:rsid w:val="00BC02D3"/>
    <w:rsid w:val="00BC036E"/>
    <w:rsid w:val="00BC079A"/>
    <w:rsid w:val="00BC08FE"/>
    <w:rsid w:val="00BC1050"/>
    <w:rsid w:val="00BC10A2"/>
    <w:rsid w:val="00BC2DF4"/>
    <w:rsid w:val="00BC345C"/>
    <w:rsid w:val="00BC3B7A"/>
    <w:rsid w:val="00BC3FB0"/>
    <w:rsid w:val="00BC4134"/>
    <w:rsid w:val="00BC48DD"/>
    <w:rsid w:val="00BC57DE"/>
    <w:rsid w:val="00BC581D"/>
    <w:rsid w:val="00BC5A0F"/>
    <w:rsid w:val="00BC6964"/>
    <w:rsid w:val="00BC77AE"/>
    <w:rsid w:val="00BD0977"/>
    <w:rsid w:val="00BD12FD"/>
    <w:rsid w:val="00BD1310"/>
    <w:rsid w:val="00BD27E2"/>
    <w:rsid w:val="00BD2DF6"/>
    <w:rsid w:val="00BE25A1"/>
    <w:rsid w:val="00BE26A4"/>
    <w:rsid w:val="00BE2B5E"/>
    <w:rsid w:val="00BE2D3E"/>
    <w:rsid w:val="00BE4C11"/>
    <w:rsid w:val="00BE4F95"/>
    <w:rsid w:val="00BE5473"/>
    <w:rsid w:val="00BE5BB5"/>
    <w:rsid w:val="00BE63F3"/>
    <w:rsid w:val="00BE654A"/>
    <w:rsid w:val="00BE6824"/>
    <w:rsid w:val="00BE6BB1"/>
    <w:rsid w:val="00BE6CE9"/>
    <w:rsid w:val="00BE7E41"/>
    <w:rsid w:val="00BF0492"/>
    <w:rsid w:val="00BF0641"/>
    <w:rsid w:val="00BF0833"/>
    <w:rsid w:val="00BF2F10"/>
    <w:rsid w:val="00BF381F"/>
    <w:rsid w:val="00BF6C0D"/>
    <w:rsid w:val="00BF6FAC"/>
    <w:rsid w:val="00BF76BB"/>
    <w:rsid w:val="00C00099"/>
    <w:rsid w:val="00C016E3"/>
    <w:rsid w:val="00C018BF"/>
    <w:rsid w:val="00C02201"/>
    <w:rsid w:val="00C023B2"/>
    <w:rsid w:val="00C0261B"/>
    <w:rsid w:val="00C05530"/>
    <w:rsid w:val="00C072CF"/>
    <w:rsid w:val="00C0782E"/>
    <w:rsid w:val="00C0799B"/>
    <w:rsid w:val="00C1368D"/>
    <w:rsid w:val="00C14360"/>
    <w:rsid w:val="00C14F4F"/>
    <w:rsid w:val="00C15AD5"/>
    <w:rsid w:val="00C20571"/>
    <w:rsid w:val="00C208EA"/>
    <w:rsid w:val="00C217F7"/>
    <w:rsid w:val="00C21D82"/>
    <w:rsid w:val="00C22BC3"/>
    <w:rsid w:val="00C23B57"/>
    <w:rsid w:val="00C24877"/>
    <w:rsid w:val="00C24FDC"/>
    <w:rsid w:val="00C25279"/>
    <w:rsid w:val="00C253C4"/>
    <w:rsid w:val="00C25E53"/>
    <w:rsid w:val="00C271D6"/>
    <w:rsid w:val="00C27484"/>
    <w:rsid w:val="00C27DC9"/>
    <w:rsid w:val="00C27EC0"/>
    <w:rsid w:val="00C300C3"/>
    <w:rsid w:val="00C302DA"/>
    <w:rsid w:val="00C31A20"/>
    <w:rsid w:val="00C337D1"/>
    <w:rsid w:val="00C33DBB"/>
    <w:rsid w:val="00C342AB"/>
    <w:rsid w:val="00C3556F"/>
    <w:rsid w:val="00C360A9"/>
    <w:rsid w:val="00C363AA"/>
    <w:rsid w:val="00C37171"/>
    <w:rsid w:val="00C37F20"/>
    <w:rsid w:val="00C40882"/>
    <w:rsid w:val="00C40BCB"/>
    <w:rsid w:val="00C41695"/>
    <w:rsid w:val="00C4215E"/>
    <w:rsid w:val="00C42472"/>
    <w:rsid w:val="00C43189"/>
    <w:rsid w:val="00C4561F"/>
    <w:rsid w:val="00C4594F"/>
    <w:rsid w:val="00C461CD"/>
    <w:rsid w:val="00C5015A"/>
    <w:rsid w:val="00C5102C"/>
    <w:rsid w:val="00C51436"/>
    <w:rsid w:val="00C51BED"/>
    <w:rsid w:val="00C52920"/>
    <w:rsid w:val="00C53E87"/>
    <w:rsid w:val="00C56DAB"/>
    <w:rsid w:val="00C578E8"/>
    <w:rsid w:val="00C60B89"/>
    <w:rsid w:val="00C61C57"/>
    <w:rsid w:val="00C61EA9"/>
    <w:rsid w:val="00C63929"/>
    <w:rsid w:val="00C63BD8"/>
    <w:rsid w:val="00C6446E"/>
    <w:rsid w:val="00C64568"/>
    <w:rsid w:val="00C649C8"/>
    <w:rsid w:val="00C655EE"/>
    <w:rsid w:val="00C6582B"/>
    <w:rsid w:val="00C65D5C"/>
    <w:rsid w:val="00C666CD"/>
    <w:rsid w:val="00C66ECF"/>
    <w:rsid w:val="00C67599"/>
    <w:rsid w:val="00C67AD7"/>
    <w:rsid w:val="00C700EE"/>
    <w:rsid w:val="00C70149"/>
    <w:rsid w:val="00C708C9"/>
    <w:rsid w:val="00C7188B"/>
    <w:rsid w:val="00C71EB8"/>
    <w:rsid w:val="00C72446"/>
    <w:rsid w:val="00C72650"/>
    <w:rsid w:val="00C72922"/>
    <w:rsid w:val="00C73402"/>
    <w:rsid w:val="00C7398D"/>
    <w:rsid w:val="00C746C7"/>
    <w:rsid w:val="00C75A7C"/>
    <w:rsid w:val="00C75CD2"/>
    <w:rsid w:val="00C76178"/>
    <w:rsid w:val="00C76435"/>
    <w:rsid w:val="00C7698C"/>
    <w:rsid w:val="00C76A15"/>
    <w:rsid w:val="00C771B0"/>
    <w:rsid w:val="00C77459"/>
    <w:rsid w:val="00C80C61"/>
    <w:rsid w:val="00C80E5A"/>
    <w:rsid w:val="00C814CF"/>
    <w:rsid w:val="00C84248"/>
    <w:rsid w:val="00C8426A"/>
    <w:rsid w:val="00C850C6"/>
    <w:rsid w:val="00C855C8"/>
    <w:rsid w:val="00C86500"/>
    <w:rsid w:val="00C86656"/>
    <w:rsid w:val="00C8701A"/>
    <w:rsid w:val="00C87FB7"/>
    <w:rsid w:val="00C918DD"/>
    <w:rsid w:val="00C92FF8"/>
    <w:rsid w:val="00C933C0"/>
    <w:rsid w:val="00C93B2B"/>
    <w:rsid w:val="00C93E70"/>
    <w:rsid w:val="00C941C5"/>
    <w:rsid w:val="00C94762"/>
    <w:rsid w:val="00C96851"/>
    <w:rsid w:val="00C96B15"/>
    <w:rsid w:val="00C97AE6"/>
    <w:rsid w:val="00CA0514"/>
    <w:rsid w:val="00CA0DC8"/>
    <w:rsid w:val="00CA156E"/>
    <w:rsid w:val="00CA2857"/>
    <w:rsid w:val="00CA2F22"/>
    <w:rsid w:val="00CA351B"/>
    <w:rsid w:val="00CA3BED"/>
    <w:rsid w:val="00CA60A6"/>
    <w:rsid w:val="00CA678D"/>
    <w:rsid w:val="00CA7446"/>
    <w:rsid w:val="00CB054B"/>
    <w:rsid w:val="00CB0965"/>
    <w:rsid w:val="00CB156A"/>
    <w:rsid w:val="00CB1F7F"/>
    <w:rsid w:val="00CB295A"/>
    <w:rsid w:val="00CB6F30"/>
    <w:rsid w:val="00CB76FC"/>
    <w:rsid w:val="00CC2269"/>
    <w:rsid w:val="00CC25AF"/>
    <w:rsid w:val="00CC2731"/>
    <w:rsid w:val="00CC2B87"/>
    <w:rsid w:val="00CC3051"/>
    <w:rsid w:val="00CC3222"/>
    <w:rsid w:val="00CC341C"/>
    <w:rsid w:val="00CC538D"/>
    <w:rsid w:val="00CC5467"/>
    <w:rsid w:val="00CC73CD"/>
    <w:rsid w:val="00CC7447"/>
    <w:rsid w:val="00CD0269"/>
    <w:rsid w:val="00CD092F"/>
    <w:rsid w:val="00CD14F9"/>
    <w:rsid w:val="00CD1DA6"/>
    <w:rsid w:val="00CD2332"/>
    <w:rsid w:val="00CD2356"/>
    <w:rsid w:val="00CD33EF"/>
    <w:rsid w:val="00CD4A67"/>
    <w:rsid w:val="00CD5119"/>
    <w:rsid w:val="00CD5853"/>
    <w:rsid w:val="00CD5953"/>
    <w:rsid w:val="00CD5A53"/>
    <w:rsid w:val="00CD5DC6"/>
    <w:rsid w:val="00CD690E"/>
    <w:rsid w:val="00CD7684"/>
    <w:rsid w:val="00CD768E"/>
    <w:rsid w:val="00CD7716"/>
    <w:rsid w:val="00CE01A3"/>
    <w:rsid w:val="00CE1287"/>
    <w:rsid w:val="00CE16FA"/>
    <w:rsid w:val="00CE263C"/>
    <w:rsid w:val="00CE35A7"/>
    <w:rsid w:val="00CE3F6A"/>
    <w:rsid w:val="00CE47A8"/>
    <w:rsid w:val="00CE5A98"/>
    <w:rsid w:val="00CE7110"/>
    <w:rsid w:val="00CE7273"/>
    <w:rsid w:val="00CE78C4"/>
    <w:rsid w:val="00CE7D0E"/>
    <w:rsid w:val="00CF0E98"/>
    <w:rsid w:val="00CF123A"/>
    <w:rsid w:val="00CF1F42"/>
    <w:rsid w:val="00CF1FD2"/>
    <w:rsid w:val="00CF3069"/>
    <w:rsid w:val="00CF391A"/>
    <w:rsid w:val="00CF723E"/>
    <w:rsid w:val="00CF7A9A"/>
    <w:rsid w:val="00D0073E"/>
    <w:rsid w:val="00D00789"/>
    <w:rsid w:val="00D04B10"/>
    <w:rsid w:val="00D054C3"/>
    <w:rsid w:val="00D056E3"/>
    <w:rsid w:val="00D06151"/>
    <w:rsid w:val="00D067F7"/>
    <w:rsid w:val="00D06A46"/>
    <w:rsid w:val="00D06FE6"/>
    <w:rsid w:val="00D074DC"/>
    <w:rsid w:val="00D07EFD"/>
    <w:rsid w:val="00D07FA1"/>
    <w:rsid w:val="00D10005"/>
    <w:rsid w:val="00D105C8"/>
    <w:rsid w:val="00D1192F"/>
    <w:rsid w:val="00D1203C"/>
    <w:rsid w:val="00D1305C"/>
    <w:rsid w:val="00D13F9D"/>
    <w:rsid w:val="00D143D5"/>
    <w:rsid w:val="00D14E3E"/>
    <w:rsid w:val="00D15554"/>
    <w:rsid w:val="00D15713"/>
    <w:rsid w:val="00D15A2D"/>
    <w:rsid w:val="00D16D35"/>
    <w:rsid w:val="00D17789"/>
    <w:rsid w:val="00D17B26"/>
    <w:rsid w:val="00D21752"/>
    <w:rsid w:val="00D226E3"/>
    <w:rsid w:val="00D23332"/>
    <w:rsid w:val="00D23478"/>
    <w:rsid w:val="00D23A06"/>
    <w:rsid w:val="00D23A74"/>
    <w:rsid w:val="00D23BD1"/>
    <w:rsid w:val="00D24F18"/>
    <w:rsid w:val="00D25FBF"/>
    <w:rsid w:val="00D26221"/>
    <w:rsid w:val="00D26301"/>
    <w:rsid w:val="00D27223"/>
    <w:rsid w:val="00D27A61"/>
    <w:rsid w:val="00D31E58"/>
    <w:rsid w:val="00D3267D"/>
    <w:rsid w:val="00D32AF9"/>
    <w:rsid w:val="00D349B6"/>
    <w:rsid w:val="00D35431"/>
    <w:rsid w:val="00D35651"/>
    <w:rsid w:val="00D36269"/>
    <w:rsid w:val="00D375EE"/>
    <w:rsid w:val="00D375F6"/>
    <w:rsid w:val="00D400A0"/>
    <w:rsid w:val="00D4176B"/>
    <w:rsid w:val="00D41B7A"/>
    <w:rsid w:val="00D41EF5"/>
    <w:rsid w:val="00D42E14"/>
    <w:rsid w:val="00D4398D"/>
    <w:rsid w:val="00D43AF9"/>
    <w:rsid w:val="00D44F1C"/>
    <w:rsid w:val="00D45E5B"/>
    <w:rsid w:val="00D4694E"/>
    <w:rsid w:val="00D4737A"/>
    <w:rsid w:val="00D47BD2"/>
    <w:rsid w:val="00D5019C"/>
    <w:rsid w:val="00D518EE"/>
    <w:rsid w:val="00D52A23"/>
    <w:rsid w:val="00D5335A"/>
    <w:rsid w:val="00D53E28"/>
    <w:rsid w:val="00D565F8"/>
    <w:rsid w:val="00D575DC"/>
    <w:rsid w:val="00D6132E"/>
    <w:rsid w:val="00D618B6"/>
    <w:rsid w:val="00D61EF7"/>
    <w:rsid w:val="00D62A45"/>
    <w:rsid w:val="00D630C6"/>
    <w:rsid w:val="00D63848"/>
    <w:rsid w:val="00D6549D"/>
    <w:rsid w:val="00D658EE"/>
    <w:rsid w:val="00D65910"/>
    <w:rsid w:val="00D659EA"/>
    <w:rsid w:val="00D673D3"/>
    <w:rsid w:val="00D67670"/>
    <w:rsid w:val="00D6786F"/>
    <w:rsid w:val="00D704FD"/>
    <w:rsid w:val="00D71495"/>
    <w:rsid w:val="00D73555"/>
    <w:rsid w:val="00D735FC"/>
    <w:rsid w:val="00D74140"/>
    <w:rsid w:val="00D74DA2"/>
    <w:rsid w:val="00D74F77"/>
    <w:rsid w:val="00D754BF"/>
    <w:rsid w:val="00D761A5"/>
    <w:rsid w:val="00D808D4"/>
    <w:rsid w:val="00D81E0A"/>
    <w:rsid w:val="00D8264D"/>
    <w:rsid w:val="00D8331A"/>
    <w:rsid w:val="00D8338B"/>
    <w:rsid w:val="00D838E0"/>
    <w:rsid w:val="00D83FC6"/>
    <w:rsid w:val="00D84840"/>
    <w:rsid w:val="00D8491E"/>
    <w:rsid w:val="00D84E7A"/>
    <w:rsid w:val="00D851C1"/>
    <w:rsid w:val="00D85D84"/>
    <w:rsid w:val="00D8652E"/>
    <w:rsid w:val="00D8684C"/>
    <w:rsid w:val="00D87071"/>
    <w:rsid w:val="00D877E3"/>
    <w:rsid w:val="00D87E40"/>
    <w:rsid w:val="00D9022B"/>
    <w:rsid w:val="00D904DE"/>
    <w:rsid w:val="00D90637"/>
    <w:rsid w:val="00D92FEB"/>
    <w:rsid w:val="00D93C42"/>
    <w:rsid w:val="00D9487C"/>
    <w:rsid w:val="00D94F7D"/>
    <w:rsid w:val="00D95B5B"/>
    <w:rsid w:val="00D976E8"/>
    <w:rsid w:val="00D97E5E"/>
    <w:rsid w:val="00DA0B66"/>
    <w:rsid w:val="00DA1BE7"/>
    <w:rsid w:val="00DA2021"/>
    <w:rsid w:val="00DA2040"/>
    <w:rsid w:val="00DA2080"/>
    <w:rsid w:val="00DA3639"/>
    <w:rsid w:val="00DA46EF"/>
    <w:rsid w:val="00DA506E"/>
    <w:rsid w:val="00DA5A47"/>
    <w:rsid w:val="00DA6100"/>
    <w:rsid w:val="00DA61BB"/>
    <w:rsid w:val="00DA6316"/>
    <w:rsid w:val="00DA6698"/>
    <w:rsid w:val="00DA678B"/>
    <w:rsid w:val="00DA70A3"/>
    <w:rsid w:val="00DA7161"/>
    <w:rsid w:val="00DA7DD5"/>
    <w:rsid w:val="00DB0BC8"/>
    <w:rsid w:val="00DB3695"/>
    <w:rsid w:val="00DB5042"/>
    <w:rsid w:val="00DB52FF"/>
    <w:rsid w:val="00DB5683"/>
    <w:rsid w:val="00DB5C28"/>
    <w:rsid w:val="00DB61C8"/>
    <w:rsid w:val="00DB6E84"/>
    <w:rsid w:val="00DB7288"/>
    <w:rsid w:val="00DB7431"/>
    <w:rsid w:val="00DB7AF4"/>
    <w:rsid w:val="00DC0453"/>
    <w:rsid w:val="00DC0B64"/>
    <w:rsid w:val="00DC0D25"/>
    <w:rsid w:val="00DC0F07"/>
    <w:rsid w:val="00DC1589"/>
    <w:rsid w:val="00DC2596"/>
    <w:rsid w:val="00DC25DA"/>
    <w:rsid w:val="00DC31C1"/>
    <w:rsid w:val="00DC32E3"/>
    <w:rsid w:val="00DC350B"/>
    <w:rsid w:val="00DC3C99"/>
    <w:rsid w:val="00DC4708"/>
    <w:rsid w:val="00DC5B7B"/>
    <w:rsid w:val="00DC5F43"/>
    <w:rsid w:val="00DC6BDD"/>
    <w:rsid w:val="00DC746F"/>
    <w:rsid w:val="00DC7ECD"/>
    <w:rsid w:val="00DD0214"/>
    <w:rsid w:val="00DD124A"/>
    <w:rsid w:val="00DD1FF3"/>
    <w:rsid w:val="00DD2563"/>
    <w:rsid w:val="00DD263C"/>
    <w:rsid w:val="00DD39A3"/>
    <w:rsid w:val="00DD40DF"/>
    <w:rsid w:val="00DD46CD"/>
    <w:rsid w:val="00DD4821"/>
    <w:rsid w:val="00DD4B39"/>
    <w:rsid w:val="00DD5056"/>
    <w:rsid w:val="00DD52BA"/>
    <w:rsid w:val="00DD5861"/>
    <w:rsid w:val="00DD6317"/>
    <w:rsid w:val="00DD7B67"/>
    <w:rsid w:val="00DE0D02"/>
    <w:rsid w:val="00DE1290"/>
    <w:rsid w:val="00DE167F"/>
    <w:rsid w:val="00DE1A5D"/>
    <w:rsid w:val="00DE226A"/>
    <w:rsid w:val="00DE2C3B"/>
    <w:rsid w:val="00DE3AF4"/>
    <w:rsid w:val="00DE4691"/>
    <w:rsid w:val="00DE4DB7"/>
    <w:rsid w:val="00DE78AE"/>
    <w:rsid w:val="00DF01E6"/>
    <w:rsid w:val="00DF1B40"/>
    <w:rsid w:val="00DF1E41"/>
    <w:rsid w:val="00DF3B85"/>
    <w:rsid w:val="00DF3E94"/>
    <w:rsid w:val="00DF4059"/>
    <w:rsid w:val="00DF4281"/>
    <w:rsid w:val="00DF4820"/>
    <w:rsid w:val="00DF4870"/>
    <w:rsid w:val="00DF760E"/>
    <w:rsid w:val="00DF78AA"/>
    <w:rsid w:val="00E00ED6"/>
    <w:rsid w:val="00E01550"/>
    <w:rsid w:val="00E01FB4"/>
    <w:rsid w:val="00E03D4E"/>
    <w:rsid w:val="00E03EC3"/>
    <w:rsid w:val="00E0480A"/>
    <w:rsid w:val="00E0525D"/>
    <w:rsid w:val="00E0687F"/>
    <w:rsid w:val="00E069DA"/>
    <w:rsid w:val="00E06BFA"/>
    <w:rsid w:val="00E10600"/>
    <w:rsid w:val="00E10BD0"/>
    <w:rsid w:val="00E126E8"/>
    <w:rsid w:val="00E12A2B"/>
    <w:rsid w:val="00E13095"/>
    <w:rsid w:val="00E1328F"/>
    <w:rsid w:val="00E13FEB"/>
    <w:rsid w:val="00E1504E"/>
    <w:rsid w:val="00E165BD"/>
    <w:rsid w:val="00E16B1D"/>
    <w:rsid w:val="00E17AD3"/>
    <w:rsid w:val="00E17C26"/>
    <w:rsid w:val="00E17F99"/>
    <w:rsid w:val="00E2021A"/>
    <w:rsid w:val="00E20B65"/>
    <w:rsid w:val="00E20FFF"/>
    <w:rsid w:val="00E2203B"/>
    <w:rsid w:val="00E2284E"/>
    <w:rsid w:val="00E22E56"/>
    <w:rsid w:val="00E2316A"/>
    <w:rsid w:val="00E240F8"/>
    <w:rsid w:val="00E24131"/>
    <w:rsid w:val="00E24593"/>
    <w:rsid w:val="00E247DF"/>
    <w:rsid w:val="00E248D9"/>
    <w:rsid w:val="00E24EF2"/>
    <w:rsid w:val="00E255A8"/>
    <w:rsid w:val="00E256C8"/>
    <w:rsid w:val="00E26189"/>
    <w:rsid w:val="00E26289"/>
    <w:rsid w:val="00E26434"/>
    <w:rsid w:val="00E27735"/>
    <w:rsid w:val="00E3001C"/>
    <w:rsid w:val="00E302A4"/>
    <w:rsid w:val="00E31F5F"/>
    <w:rsid w:val="00E3330E"/>
    <w:rsid w:val="00E33D77"/>
    <w:rsid w:val="00E340F0"/>
    <w:rsid w:val="00E379C9"/>
    <w:rsid w:val="00E37ED6"/>
    <w:rsid w:val="00E41D0C"/>
    <w:rsid w:val="00E43181"/>
    <w:rsid w:val="00E43E88"/>
    <w:rsid w:val="00E45470"/>
    <w:rsid w:val="00E456EE"/>
    <w:rsid w:val="00E4581A"/>
    <w:rsid w:val="00E45A18"/>
    <w:rsid w:val="00E47FD8"/>
    <w:rsid w:val="00E52A29"/>
    <w:rsid w:val="00E53AFB"/>
    <w:rsid w:val="00E54565"/>
    <w:rsid w:val="00E55285"/>
    <w:rsid w:val="00E55D37"/>
    <w:rsid w:val="00E566C8"/>
    <w:rsid w:val="00E56BD0"/>
    <w:rsid w:val="00E576FA"/>
    <w:rsid w:val="00E6042D"/>
    <w:rsid w:val="00E61347"/>
    <w:rsid w:val="00E626DA"/>
    <w:rsid w:val="00E62B5F"/>
    <w:rsid w:val="00E6394C"/>
    <w:rsid w:val="00E645CE"/>
    <w:rsid w:val="00E70576"/>
    <w:rsid w:val="00E71762"/>
    <w:rsid w:val="00E71BB1"/>
    <w:rsid w:val="00E72501"/>
    <w:rsid w:val="00E73068"/>
    <w:rsid w:val="00E73311"/>
    <w:rsid w:val="00E73AE3"/>
    <w:rsid w:val="00E7427A"/>
    <w:rsid w:val="00E7496E"/>
    <w:rsid w:val="00E74E72"/>
    <w:rsid w:val="00E7563F"/>
    <w:rsid w:val="00E75F23"/>
    <w:rsid w:val="00E77460"/>
    <w:rsid w:val="00E779B6"/>
    <w:rsid w:val="00E80147"/>
    <w:rsid w:val="00E80219"/>
    <w:rsid w:val="00E8076B"/>
    <w:rsid w:val="00E82E8D"/>
    <w:rsid w:val="00E83955"/>
    <w:rsid w:val="00E84325"/>
    <w:rsid w:val="00E844EE"/>
    <w:rsid w:val="00E85365"/>
    <w:rsid w:val="00E855AE"/>
    <w:rsid w:val="00E85F63"/>
    <w:rsid w:val="00E8739A"/>
    <w:rsid w:val="00E8767A"/>
    <w:rsid w:val="00E87EC5"/>
    <w:rsid w:val="00E90EFC"/>
    <w:rsid w:val="00E93BDC"/>
    <w:rsid w:val="00E93F9F"/>
    <w:rsid w:val="00E942FD"/>
    <w:rsid w:val="00E9475A"/>
    <w:rsid w:val="00E94C99"/>
    <w:rsid w:val="00E95825"/>
    <w:rsid w:val="00E96272"/>
    <w:rsid w:val="00EA01BC"/>
    <w:rsid w:val="00EA12F8"/>
    <w:rsid w:val="00EA178D"/>
    <w:rsid w:val="00EA19AF"/>
    <w:rsid w:val="00EA1A90"/>
    <w:rsid w:val="00EA22A7"/>
    <w:rsid w:val="00EA331C"/>
    <w:rsid w:val="00EA4AFF"/>
    <w:rsid w:val="00EA5568"/>
    <w:rsid w:val="00EA567F"/>
    <w:rsid w:val="00EA5D76"/>
    <w:rsid w:val="00EA616A"/>
    <w:rsid w:val="00EA71BB"/>
    <w:rsid w:val="00EA74AF"/>
    <w:rsid w:val="00EB06B1"/>
    <w:rsid w:val="00EB0C11"/>
    <w:rsid w:val="00EB30A1"/>
    <w:rsid w:val="00EB444D"/>
    <w:rsid w:val="00EB478A"/>
    <w:rsid w:val="00EB4AA1"/>
    <w:rsid w:val="00EB69EB"/>
    <w:rsid w:val="00EB76AD"/>
    <w:rsid w:val="00EC2D85"/>
    <w:rsid w:val="00EC345D"/>
    <w:rsid w:val="00EC41FB"/>
    <w:rsid w:val="00EC4894"/>
    <w:rsid w:val="00EC4C7B"/>
    <w:rsid w:val="00EC5B10"/>
    <w:rsid w:val="00EC5C7C"/>
    <w:rsid w:val="00EC5DA3"/>
    <w:rsid w:val="00EC62BD"/>
    <w:rsid w:val="00EC65E8"/>
    <w:rsid w:val="00EC72B4"/>
    <w:rsid w:val="00EC76F4"/>
    <w:rsid w:val="00ED0B87"/>
    <w:rsid w:val="00ED10D1"/>
    <w:rsid w:val="00ED1DA0"/>
    <w:rsid w:val="00ED4299"/>
    <w:rsid w:val="00ED5730"/>
    <w:rsid w:val="00ED60CD"/>
    <w:rsid w:val="00ED6571"/>
    <w:rsid w:val="00EE0E33"/>
    <w:rsid w:val="00EE15A8"/>
    <w:rsid w:val="00EE1E80"/>
    <w:rsid w:val="00EE769C"/>
    <w:rsid w:val="00EF1B7C"/>
    <w:rsid w:val="00EF2A4F"/>
    <w:rsid w:val="00EF3B92"/>
    <w:rsid w:val="00EF3D1F"/>
    <w:rsid w:val="00EF453C"/>
    <w:rsid w:val="00EF5FC2"/>
    <w:rsid w:val="00EF757F"/>
    <w:rsid w:val="00F00C0D"/>
    <w:rsid w:val="00F02D89"/>
    <w:rsid w:val="00F0314C"/>
    <w:rsid w:val="00F035E2"/>
    <w:rsid w:val="00F03A8A"/>
    <w:rsid w:val="00F03E42"/>
    <w:rsid w:val="00F05A47"/>
    <w:rsid w:val="00F0633F"/>
    <w:rsid w:val="00F07C75"/>
    <w:rsid w:val="00F1043D"/>
    <w:rsid w:val="00F10F49"/>
    <w:rsid w:val="00F11969"/>
    <w:rsid w:val="00F11DA0"/>
    <w:rsid w:val="00F129DF"/>
    <w:rsid w:val="00F12E8D"/>
    <w:rsid w:val="00F131C7"/>
    <w:rsid w:val="00F13D63"/>
    <w:rsid w:val="00F151E0"/>
    <w:rsid w:val="00F15FEF"/>
    <w:rsid w:val="00F16546"/>
    <w:rsid w:val="00F1664C"/>
    <w:rsid w:val="00F168C6"/>
    <w:rsid w:val="00F16BF0"/>
    <w:rsid w:val="00F172B7"/>
    <w:rsid w:val="00F20608"/>
    <w:rsid w:val="00F20DE0"/>
    <w:rsid w:val="00F2143B"/>
    <w:rsid w:val="00F21939"/>
    <w:rsid w:val="00F21992"/>
    <w:rsid w:val="00F22729"/>
    <w:rsid w:val="00F23C3E"/>
    <w:rsid w:val="00F23E6F"/>
    <w:rsid w:val="00F23E73"/>
    <w:rsid w:val="00F23FD7"/>
    <w:rsid w:val="00F26F98"/>
    <w:rsid w:val="00F3012B"/>
    <w:rsid w:val="00F3036C"/>
    <w:rsid w:val="00F3038F"/>
    <w:rsid w:val="00F30470"/>
    <w:rsid w:val="00F30F00"/>
    <w:rsid w:val="00F31A37"/>
    <w:rsid w:val="00F32462"/>
    <w:rsid w:val="00F326F6"/>
    <w:rsid w:val="00F33928"/>
    <w:rsid w:val="00F348EB"/>
    <w:rsid w:val="00F34FBE"/>
    <w:rsid w:val="00F35312"/>
    <w:rsid w:val="00F361D9"/>
    <w:rsid w:val="00F364D3"/>
    <w:rsid w:val="00F40C0B"/>
    <w:rsid w:val="00F41287"/>
    <w:rsid w:val="00F42384"/>
    <w:rsid w:val="00F44584"/>
    <w:rsid w:val="00F45CF3"/>
    <w:rsid w:val="00F460C8"/>
    <w:rsid w:val="00F46129"/>
    <w:rsid w:val="00F4645F"/>
    <w:rsid w:val="00F466AF"/>
    <w:rsid w:val="00F46B1D"/>
    <w:rsid w:val="00F51A8E"/>
    <w:rsid w:val="00F523A6"/>
    <w:rsid w:val="00F52B36"/>
    <w:rsid w:val="00F5312B"/>
    <w:rsid w:val="00F53AD4"/>
    <w:rsid w:val="00F53BA7"/>
    <w:rsid w:val="00F550B9"/>
    <w:rsid w:val="00F55639"/>
    <w:rsid w:val="00F571D0"/>
    <w:rsid w:val="00F61520"/>
    <w:rsid w:val="00F61F0E"/>
    <w:rsid w:val="00F627AC"/>
    <w:rsid w:val="00F62E63"/>
    <w:rsid w:val="00F64623"/>
    <w:rsid w:val="00F64C70"/>
    <w:rsid w:val="00F6575F"/>
    <w:rsid w:val="00F6788B"/>
    <w:rsid w:val="00F67C83"/>
    <w:rsid w:val="00F70F03"/>
    <w:rsid w:val="00F71C86"/>
    <w:rsid w:val="00F721F0"/>
    <w:rsid w:val="00F72499"/>
    <w:rsid w:val="00F724E8"/>
    <w:rsid w:val="00F72935"/>
    <w:rsid w:val="00F74C9C"/>
    <w:rsid w:val="00F75E46"/>
    <w:rsid w:val="00F768E6"/>
    <w:rsid w:val="00F76941"/>
    <w:rsid w:val="00F803E1"/>
    <w:rsid w:val="00F805A5"/>
    <w:rsid w:val="00F807C9"/>
    <w:rsid w:val="00F8154B"/>
    <w:rsid w:val="00F81A59"/>
    <w:rsid w:val="00F81B58"/>
    <w:rsid w:val="00F82E05"/>
    <w:rsid w:val="00F83203"/>
    <w:rsid w:val="00F83B44"/>
    <w:rsid w:val="00F840B4"/>
    <w:rsid w:val="00F84A22"/>
    <w:rsid w:val="00F84AAC"/>
    <w:rsid w:val="00F84FFC"/>
    <w:rsid w:val="00F85A49"/>
    <w:rsid w:val="00F85CE6"/>
    <w:rsid w:val="00F86755"/>
    <w:rsid w:val="00F86DCD"/>
    <w:rsid w:val="00F87655"/>
    <w:rsid w:val="00F900EB"/>
    <w:rsid w:val="00F9107A"/>
    <w:rsid w:val="00F91CD4"/>
    <w:rsid w:val="00F9371B"/>
    <w:rsid w:val="00F94F97"/>
    <w:rsid w:val="00F960C6"/>
    <w:rsid w:val="00F97CE7"/>
    <w:rsid w:val="00F97DF8"/>
    <w:rsid w:val="00FA003B"/>
    <w:rsid w:val="00FA15B7"/>
    <w:rsid w:val="00FA1941"/>
    <w:rsid w:val="00FA2C42"/>
    <w:rsid w:val="00FA3902"/>
    <w:rsid w:val="00FA41DA"/>
    <w:rsid w:val="00FA4AE7"/>
    <w:rsid w:val="00FA617E"/>
    <w:rsid w:val="00FA6707"/>
    <w:rsid w:val="00FA7062"/>
    <w:rsid w:val="00FA7938"/>
    <w:rsid w:val="00FB0D2E"/>
    <w:rsid w:val="00FB18A4"/>
    <w:rsid w:val="00FB27F4"/>
    <w:rsid w:val="00FB2F83"/>
    <w:rsid w:val="00FB339C"/>
    <w:rsid w:val="00FB37A1"/>
    <w:rsid w:val="00FB42C6"/>
    <w:rsid w:val="00FB5227"/>
    <w:rsid w:val="00FB5A51"/>
    <w:rsid w:val="00FB5E6E"/>
    <w:rsid w:val="00FB650D"/>
    <w:rsid w:val="00FB65D7"/>
    <w:rsid w:val="00FB6976"/>
    <w:rsid w:val="00FB7706"/>
    <w:rsid w:val="00FB7980"/>
    <w:rsid w:val="00FB7CFD"/>
    <w:rsid w:val="00FB7F0E"/>
    <w:rsid w:val="00FC196E"/>
    <w:rsid w:val="00FC2DA0"/>
    <w:rsid w:val="00FC324E"/>
    <w:rsid w:val="00FC3727"/>
    <w:rsid w:val="00FC5074"/>
    <w:rsid w:val="00FC522D"/>
    <w:rsid w:val="00FC74E8"/>
    <w:rsid w:val="00FC7849"/>
    <w:rsid w:val="00FD057D"/>
    <w:rsid w:val="00FD1411"/>
    <w:rsid w:val="00FD1DE4"/>
    <w:rsid w:val="00FD2300"/>
    <w:rsid w:val="00FD268E"/>
    <w:rsid w:val="00FD2ACB"/>
    <w:rsid w:val="00FD3986"/>
    <w:rsid w:val="00FD3F9A"/>
    <w:rsid w:val="00FD4D98"/>
    <w:rsid w:val="00FD523D"/>
    <w:rsid w:val="00FD67FC"/>
    <w:rsid w:val="00FD6DA6"/>
    <w:rsid w:val="00FE173C"/>
    <w:rsid w:val="00FE1E71"/>
    <w:rsid w:val="00FE2B84"/>
    <w:rsid w:val="00FE2E37"/>
    <w:rsid w:val="00FE351B"/>
    <w:rsid w:val="00FE37D0"/>
    <w:rsid w:val="00FE3A3B"/>
    <w:rsid w:val="00FE47A0"/>
    <w:rsid w:val="00FE584B"/>
    <w:rsid w:val="00FE5AC2"/>
    <w:rsid w:val="00FE61B1"/>
    <w:rsid w:val="00FE75A8"/>
    <w:rsid w:val="00FF1996"/>
    <w:rsid w:val="00FF1FB9"/>
    <w:rsid w:val="00FF521D"/>
    <w:rsid w:val="00FF551F"/>
    <w:rsid w:val="00FF5DF3"/>
    <w:rsid w:val="00FF5FB9"/>
    <w:rsid w:val="00FF68CB"/>
    <w:rsid w:val="00FF6976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7362"/>
  <w15:chartTrackingRefBased/>
  <w15:docId w15:val="{E9A3264B-16EE-4F18-9C3A-1244D85C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8520885126714879397msolistparagraph">
    <w:name w:val="m_-8520885126714879397msolistparagraph"/>
    <w:basedOn w:val="Normal"/>
    <w:rsid w:val="000A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4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C2D"/>
  </w:style>
  <w:style w:type="paragraph" w:styleId="Footer">
    <w:name w:val="footer"/>
    <w:basedOn w:val="Normal"/>
    <w:link w:val="FooterChar"/>
    <w:uiPriority w:val="99"/>
    <w:unhideWhenUsed/>
    <w:rsid w:val="00730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3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1488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Sroka</dc:creator>
  <cp:keywords/>
  <dc:description/>
  <cp:lastModifiedBy>Mariusz Sobota</cp:lastModifiedBy>
  <cp:revision>8</cp:revision>
  <dcterms:created xsi:type="dcterms:W3CDTF">2019-10-17T19:51:00Z</dcterms:created>
  <dcterms:modified xsi:type="dcterms:W3CDTF">2019-10-21T16:13:00Z</dcterms:modified>
</cp:coreProperties>
</file>