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F64BE6" w:rsidRDefault="00F64BE6" w:rsidP="00F64BE6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4BE6">
        <w:rPr>
          <w:rFonts w:asciiTheme="minorHAnsi" w:hAnsiTheme="minorHAnsi" w:cstheme="minorHAnsi"/>
          <w:b/>
          <w:sz w:val="24"/>
          <w:szCs w:val="24"/>
        </w:rPr>
        <w:t>KOMUNIKAT NR 01/2023</w:t>
      </w:r>
    </w:p>
    <w:p w:rsidR="00025037" w:rsidRPr="00F64BE6" w:rsidRDefault="00025037" w:rsidP="00F64BE6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4BE6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F64BE6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F64BE6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F64BE6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F64BE6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F64BE6" w:rsidRDefault="004057C8" w:rsidP="00F64BE6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4BE6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F64BE6" w:rsidRPr="00F64BE6">
        <w:rPr>
          <w:rFonts w:asciiTheme="minorHAnsi" w:hAnsiTheme="minorHAnsi" w:cstheme="minorHAnsi"/>
          <w:b/>
          <w:sz w:val="24"/>
          <w:szCs w:val="24"/>
        </w:rPr>
        <w:t>2-31.01.2023</w:t>
      </w:r>
      <w:r w:rsidR="005F609B" w:rsidRPr="00F64BE6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F64BE6" w:rsidRDefault="000A74FB" w:rsidP="00F64BE6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B067F2" w:rsidRPr="00F64BE6" w:rsidRDefault="00B067F2" w:rsidP="00F64BE6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F64BE6">
        <w:rPr>
          <w:rFonts w:asciiTheme="minorHAnsi" w:hAnsiTheme="minorHAnsi" w:cstheme="minorHAnsi"/>
          <w:sz w:val="24"/>
          <w:szCs w:val="24"/>
        </w:rPr>
        <w:t>W okresie objętym niniejszą informacją nie odbywały się posiedzenia Komitetu do Spraw Europejskich.</w:t>
      </w:r>
    </w:p>
    <w:p w:rsidR="002F01AC" w:rsidRPr="00F64BE6" w:rsidRDefault="002F01AC" w:rsidP="00F64BE6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F64BE6" w:rsidRDefault="000A74FB" w:rsidP="00F64BE6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F64BE6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F64BE6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F64BE6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F64BE6" w:rsidRDefault="00A73FE5" w:rsidP="00F64BE6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F64BE6">
              <w:rPr>
                <w:rFonts w:asciiTheme="minorHAnsi" w:hAnsiTheme="minorHAnsi" w:cstheme="minorHAnsi"/>
                <w:b/>
              </w:rPr>
              <w:t>R</w:t>
            </w:r>
            <w:r w:rsidR="00B71F9D" w:rsidRPr="00F64BE6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FF26FF" w:rsidRPr="00F64BE6" w:rsidRDefault="00F64BE6" w:rsidP="00F64BE6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</w:rPr>
              <w:t xml:space="preserve">Informacja w sprawie zatwierdzenia przedłużenia okresu oddelegowania </w:t>
            </w:r>
            <w:r w:rsidRPr="00F64BE6">
              <w:rPr>
                <w:rFonts w:asciiTheme="minorHAnsi" w:hAnsiTheme="minorHAnsi" w:cstheme="minorHAnsi"/>
              </w:rPr>
              <w:br/>
              <w:t xml:space="preserve">- pracownika Kancelarii Prezesa Rady Ministrów na stanowisku eksperta narodowego w </w:t>
            </w:r>
            <w:r w:rsidRPr="00F64BE6">
              <w:rPr>
                <w:rFonts w:asciiTheme="minorHAnsi" w:hAnsiTheme="minorHAnsi" w:cstheme="minorHAnsi"/>
                <w:bCs/>
              </w:rPr>
              <w:t xml:space="preserve">Europejskiej </w:t>
            </w:r>
            <w:r w:rsidRPr="00F64BE6">
              <w:rPr>
                <w:rFonts w:asciiTheme="minorHAnsi" w:hAnsiTheme="minorHAnsi" w:cstheme="minorHAnsi"/>
                <w:bCs/>
                <w:color w:val="000000"/>
              </w:rPr>
              <w:t>Służbie Działań Zewnętrznych.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F64BE6">
              <w:rPr>
                <w:rFonts w:asciiTheme="minorHAnsi" w:hAnsiTheme="minorHAnsi" w:cstheme="minorHAnsi"/>
                <w:i/>
              </w:rPr>
              <w:t xml:space="preserve">Wniosek dotyczący decyzji Rady w sprawie przedłużenia statusu </w:t>
            </w:r>
            <w:r>
              <w:rPr>
                <w:rFonts w:asciiTheme="minorHAnsi" w:hAnsiTheme="minorHAnsi" w:cstheme="minorHAnsi"/>
                <w:i/>
              </w:rPr>
              <w:t xml:space="preserve">wspólnego przedsiębiorstwa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F64BE6">
              <w:rPr>
                <w:rFonts w:asciiTheme="minorHAnsi" w:hAnsiTheme="minorHAnsi" w:cstheme="minorHAnsi"/>
                <w:i/>
              </w:rPr>
              <w:t xml:space="preserve">dla Hochtemperatur-Kernkraftwerk GmbH </w:t>
            </w:r>
            <w:r w:rsidRPr="00F64BE6">
              <w:rPr>
                <w:rFonts w:asciiTheme="minorHAnsi" w:hAnsiTheme="minorHAnsi" w:cstheme="minorHAnsi"/>
              </w:rPr>
              <w:t>(COM(2022) 598).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000000"/>
              </w:rPr>
            </w:pPr>
            <w:r w:rsidRPr="00F64BE6">
              <w:rPr>
                <w:rFonts w:asciiTheme="minorHAnsi" w:hAnsiTheme="minorHAnsi" w:cstheme="minorHAnsi"/>
              </w:rPr>
              <w:t>Projekt stanowiska RP w odniesieniu do dokumentu UE</w:t>
            </w:r>
            <w:r w:rsidRPr="00F64BE6">
              <w:rPr>
                <w:rFonts w:asciiTheme="minorHAnsi" w:hAnsiTheme="minorHAnsi" w:cstheme="minorHAnsi"/>
                <w:color w:val="000000"/>
              </w:rPr>
              <w:t xml:space="preserve">: </w:t>
            </w:r>
            <w:r w:rsidRPr="00F64BE6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Wniosek Rozporządzenie Parlamentu Europejskiego i Rady w sprawie homologacji typu pojazdów silnikowych </w:t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br/>
            </w:r>
            <w:r w:rsidRPr="00F64BE6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i silników </w:t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oraz układów, komponentów </w:t>
            </w:r>
            <w:r w:rsidRPr="00F64BE6">
              <w:rPr>
                <w:rFonts w:asciiTheme="minorHAnsi" w:hAnsiTheme="minorHAnsi" w:cstheme="minorHAnsi"/>
                <w:i/>
                <w:iCs/>
                <w:color w:val="000000"/>
              </w:rPr>
              <w:t>i oddzielnych zespołów technicznych p</w:t>
            </w:r>
            <w:r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rzeznaczonych do tych pojazdów, </w:t>
            </w:r>
            <w:r w:rsidRPr="00F64BE6">
              <w:rPr>
                <w:rFonts w:asciiTheme="minorHAnsi" w:hAnsiTheme="minorHAnsi" w:cstheme="minorHAnsi"/>
                <w:i/>
                <w:iCs/>
                <w:color w:val="000000"/>
              </w:rPr>
              <w:t>w odniesieniu do emisji i trwałości akumulatorów (Euro 7) oraz uchylenia rozporządzeń (WE) nr 715/2007 i (WE) nr 595/2009</w:t>
            </w:r>
            <w:r w:rsidRPr="00F64BE6">
              <w:rPr>
                <w:rFonts w:asciiTheme="minorHAnsi" w:hAnsiTheme="minorHAnsi" w:cstheme="minorHAnsi"/>
                <w:color w:val="000000"/>
              </w:rPr>
              <w:t xml:space="preserve"> (COM(2022) 586).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</w:rPr>
            </w:pPr>
            <w:r w:rsidRPr="00F64BE6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F64BE6">
              <w:rPr>
                <w:rFonts w:asciiTheme="minorHAnsi" w:hAnsiTheme="minorHAnsi" w:cstheme="minorHAnsi"/>
                <w:bCs/>
                <w:i/>
                <w:iCs/>
              </w:rPr>
              <w:t>Wniosek dotyczący rozporządzenia Rady w sprawie interwencji w sytuacji nadzwyczajnej w celu rozwiązania problemu wysokich cen energii</w:t>
            </w:r>
            <w:r w:rsidRPr="00F64BE6">
              <w:rPr>
                <w:rFonts w:asciiTheme="minorHAnsi" w:hAnsiTheme="minorHAnsi" w:cstheme="minorHAnsi"/>
                <w:bCs/>
              </w:rPr>
              <w:t xml:space="preserve"> (COM(2022) 473).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Sprawozdanie z posiedzenia Rady ds. Środowiska w dniu 20 grudnia 2022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Sprawozdanie z posiedzenia Rady ds. Transportu, Telekomunikacji i Energii (telekomunikacja) w dniu 6 grudnia 2022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Sprawozdanie z posiedzenia Rady ds. Kon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kurencyjności (rynek wewnętrzny </w:t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i przemysł, przestrzeń kosmiczna) w dniach 1-2 grudnia 2022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F64BE6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Wniosek dotyczący rozporządzenia Rady w sprawie jurysdykcji, prawa właściwego, uznawania orzeczeń </w:t>
            </w:r>
            <w:r>
              <w:rPr>
                <w:rFonts w:asciiTheme="minorHAnsi" w:hAnsiTheme="minorHAnsi" w:cstheme="minorHAnsi"/>
                <w:i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i/>
                <w:shd w:val="clear" w:color="auto" w:fill="FFFFFF"/>
              </w:rPr>
              <w:t xml:space="preserve">i przyjmowania dokumentów urzędowych dotyczących pochodzenia dziecka </w:t>
            </w:r>
            <w:r>
              <w:rPr>
                <w:rFonts w:asciiTheme="minorHAnsi" w:hAnsiTheme="minorHAnsi" w:cstheme="minorHAnsi"/>
                <w:i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i/>
                <w:shd w:val="clear" w:color="auto" w:fill="FFFFFF"/>
              </w:rPr>
              <w:t>oraz w sprawie ustanowienia europejskiego poświadczenia pochodzenia dziecka</w:t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 (COM(2022) 695).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wskazania instytucji wiodącej w gremiach Komisji Europejskiej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i agencji UE (MZ).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iCs/>
              </w:rPr>
            </w:pPr>
            <w:r w:rsidRPr="00F64BE6">
              <w:rPr>
                <w:rFonts w:asciiTheme="minorHAnsi" w:hAnsiTheme="minorHAnsi" w:cstheme="minorHAnsi"/>
                <w:bCs/>
              </w:rPr>
              <w:t xml:space="preserve">Założenia do stanowiska Rzeczypospolitej Polskiej w postępowaniu w sprawie prejudycjalnej C-561/21 </w:t>
            </w:r>
            <w:r w:rsidRPr="00F64BE6">
              <w:rPr>
                <w:rFonts w:asciiTheme="minorHAnsi" w:hAnsiTheme="minorHAnsi" w:cstheme="minorHAnsi"/>
                <w:bCs/>
                <w:i/>
                <w:iCs/>
              </w:rPr>
              <w:t>Banco Santander</w:t>
            </w:r>
            <w:r w:rsidRPr="00F64BE6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</w:rPr>
              <w:t xml:space="preserve">Projekt stanowiska Rządu w odniesieniu do dokumentu pozalegislacyjnego UE </w:t>
            </w:r>
            <w:r w:rsidRPr="00F64BE6">
              <w:rPr>
                <w:rFonts w:asciiTheme="minorHAnsi" w:hAnsiTheme="minorHAnsi" w:cstheme="minorHAnsi"/>
                <w:i/>
              </w:rPr>
              <w:t xml:space="preserve">Komunikat Komisji do Parlamentu Europejskiego, Rady, Europejskiego Komitetu Ekonomiczno-Społecznego i Komitetu Regionów: Zapewnienie dostępności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F64BE6">
              <w:rPr>
                <w:rFonts w:asciiTheme="minorHAnsi" w:hAnsiTheme="minorHAnsi" w:cstheme="minorHAnsi"/>
                <w:i/>
              </w:rPr>
              <w:t>i przystępności cenowej nawozów</w:t>
            </w:r>
            <w:r w:rsidRPr="00F64BE6">
              <w:rPr>
                <w:rFonts w:asciiTheme="minorHAnsi" w:hAnsiTheme="minorHAnsi" w:cstheme="minorHAnsi"/>
              </w:rPr>
              <w:t xml:space="preserve"> (COM(2022) 590).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F64BE6">
              <w:rPr>
                <w:rFonts w:asciiTheme="minorHAnsi" w:hAnsiTheme="minorHAnsi" w:cstheme="minorHAnsi"/>
              </w:rPr>
              <w:t>11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F64BE6">
              <w:rPr>
                <w:rFonts w:asciiTheme="minorHAnsi" w:hAnsiTheme="minorHAnsi" w:cstheme="minorHAnsi"/>
              </w:rPr>
              <w:t>11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</w:rPr>
              <w:t>Informacja w sprawie stanowiska RP w sprawie wyborów na stanowisko Dyrektora Wykonawczego Agencji Unii Europejskiej ds. Zarządzania Operacyjnego Wielkoskalowymi Systemami Informatycznymi w Przestrzeni Wolności, Bezpieczeństwa i Sprawiedliwości (eu-LISA).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</w:rPr>
              <w:t>Informacja w sprawie zatwierdzenia przedłużenia okresu oddelegowania pracownika Ministerstwa Finansów</w:t>
            </w:r>
            <w:r w:rsidRPr="00F64BE6">
              <w:rPr>
                <w:rFonts w:asciiTheme="minorHAnsi" w:hAnsiTheme="minorHAnsi" w:cstheme="minorHAnsi"/>
                <w:i/>
              </w:rPr>
              <w:t xml:space="preserve"> </w:t>
            </w:r>
            <w:r w:rsidRPr="00F64BE6">
              <w:rPr>
                <w:rFonts w:asciiTheme="minorHAnsi" w:hAnsiTheme="minorHAnsi" w:cstheme="minorHAnsi"/>
              </w:rPr>
              <w:t>na stanowisku eksperta narodowego w Komisji Europejskiej DG TAXUD.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</w:rPr>
            </w:pPr>
            <w:r w:rsidRPr="00F64BE6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F64BE6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ustanawiającego środki </w:t>
            </w:r>
            <w:r w:rsidRPr="00F64BE6">
              <w:rPr>
                <w:rFonts w:asciiTheme="minorHAnsi" w:hAnsiTheme="minorHAnsi" w:cstheme="minorHAnsi"/>
                <w:bCs/>
                <w:i/>
                <w:iCs/>
              </w:rPr>
              <w:br/>
              <w:t xml:space="preserve">na rzecz zapewnienia wysokiego poziomu interoperacyjności sektora publicznego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F64BE6">
              <w:rPr>
                <w:rFonts w:asciiTheme="minorHAnsi" w:hAnsiTheme="minorHAnsi" w:cstheme="minorHAnsi"/>
                <w:bCs/>
                <w:i/>
                <w:iCs/>
              </w:rPr>
              <w:t>w całej Unii (Akt w sprawie Interoperacyjnej Europy)</w:t>
            </w:r>
            <w:r w:rsidRPr="00F64BE6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F64BE6">
              <w:rPr>
                <w:rFonts w:asciiTheme="minorHAnsi" w:hAnsiTheme="minorHAnsi" w:cstheme="minorHAnsi"/>
                <w:bCs/>
              </w:rPr>
              <w:t>(COM(2022) 720).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kandydatury funkcjonariusza Policji,</w:t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br/>
              <w:t>na stanowiska eksperta w Misji Unii Europejskiej w zakresie praworządności (EULEX) w Kosowie.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</w:rPr>
            </w:pPr>
            <w:r w:rsidRPr="00F64BE6">
              <w:rPr>
                <w:rFonts w:asciiTheme="minorHAnsi" w:hAnsiTheme="minorHAnsi" w:cstheme="minorHAnsi"/>
                <w:bCs/>
              </w:rPr>
              <w:t xml:space="preserve">Projekt stanowiska Rządu w odniesieniu do dokumentu pozalegislacyjnego UE </w:t>
            </w:r>
            <w:r w:rsidRPr="00F64BE6">
              <w:rPr>
                <w:rFonts w:asciiTheme="minorHAnsi" w:hAnsiTheme="minorHAnsi" w:cstheme="minorHAnsi"/>
                <w:bCs/>
                <w:i/>
                <w:iCs/>
              </w:rPr>
              <w:t xml:space="preserve">Komunikat Komisji do Parlamentu Europejskiego, Rady Europejskiej, Rady, Europejskiego Banku Centralnego, Europejskiego Komitetu Ekonomiczno-Społecznego, Komitetu Regionów i Europejskiego Banku Inwestycyjnego </w:t>
            </w:r>
            <w:r w:rsidRPr="00F64BE6">
              <w:rPr>
                <w:rFonts w:asciiTheme="minorHAnsi" w:hAnsiTheme="minorHAnsi" w:cstheme="minorHAnsi"/>
                <w:bCs/>
                <w:i/>
                <w:iCs/>
              </w:rPr>
              <w:br/>
              <w:t>– Roczna analiza zrównoważonego wzrostu gospodarczego 2023</w:t>
            </w:r>
            <w:r w:rsidRPr="00F64BE6">
              <w:rPr>
                <w:rFonts w:asciiTheme="minorHAnsi" w:hAnsiTheme="minorHAnsi" w:cstheme="minorHAnsi"/>
                <w:bCs/>
              </w:rPr>
              <w:t xml:space="preserve"> (COM(2022) 780).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11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Instrukcja na posiedzenie Rady ds. Gos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podarczych i Finansowych w dniu </w:t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17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</w:rPr>
            </w:pPr>
            <w:r w:rsidRPr="00F64BE6">
              <w:rPr>
                <w:rFonts w:asciiTheme="minorHAnsi" w:hAnsiTheme="minorHAnsi" w:cstheme="minorHAnsi"/>
                <w:bCs/>
              </w:rPr>
              <w:t xml:space="preserve">Projekt wniosku Polski na posiedzenie Rady UE ds. Rolnictwa i Rybołówstwa w dniu 30 stycznia 2023 r. do omówienia w punkcie </w:t>
            </w:r>
            <w:r w:rsidRPr="00F64BE6">
              <w:rPr>
                <w:rFonts w:asciiTheme="minorHAnsi" w:hAnsiTheme="minorHAnsi" w:cstheme="minorHAnsi"/>
                <w:bCs/>
                <w:i/>
              </w:rPr>
              <w:t>Sprawy różne</w:t>
            </w:r>
            <w:r w:rsidRPr="00F64BE6">
              <w:rPr>
                <w:rFonts w:asciiTheme="minorHAnsi" w:hAnsiTheme="minorHAnsi" w:cstheme="minorHAnsi"/>
                <w:bCs/>
              </w:rPr>
              <w:t xml:space="preserve">, dotyczącego problemów </w:t>
            </w:r>
            <w:r>
              <w:rPr>
                <w:rFonts w:asciiTheme="minorHAnsi" w:hAnsiTheme="minorHAnsi" w:cstheme="minorHAnsi"/>
                <w:bCs/>
              </w:rPr>
              <w:br/>
            </w:r>
            <w:r w:rsidRPr="00F64BE6">
              <w:rPr>
                <w:rFonts w:asciiTheme="minorHAnsi" w:hAnsiTheme="minorHAnsi" w:cstheme="minorHAnsi"/>
                <w:bCs/>
              </w:rPr>
              <w:t>z nadmiernym importem rolnym z Ukrainy.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F64BE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rozporządzenia Rady: Zwiększenie solidarności dzięki lepszej koordynacji zakupów gazu, transgranicznej wymianie gazu i wiarygodnym poziomom odniesienia cen</w:t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549).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11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F64BE6">
              <w:rPr>
                <w:rFonts w:asciiTheme="minorHAnsi" w:hAnsiTheme="minorHAnsi" w:cstheme="minorHAnsi"/>
                <w:i/>
              </w:rPr>
              <w:t>Wniosek w sprawie Rozporządzenia Rady ustanawiającego ramy służące przyspieszeniu wdrażania rozwiązań w zakresie energii odnawialnej</w:t>
            </w:r>
            <w:r w:rsidRPr="00F64BE6">
              <w:rPr>
                <w:rFonts w:asciiTheme="minorHAnsi" w:hAnsiTheme="minorHAnsi" w:cstheme="minorHAnsi"/>
              </w:rPr>
              <w:t xml:space="preserve"> (COM(2022) 591).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18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Ministerstwa Infrastruktury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na stanowisko eksperta narodowego w Europejskiej Agencji Bezpieczeństwa Morskiego (EMSA).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Krajowej Administracji Skarbowej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do oddelegowania do Misji Unii Europejskiej w Armenii (EUMA) w charakterze eksperta narodowego.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18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Informacja w sprawie zatwierdzenia kan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dydatur funkcjonariuszy Policji </w:t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na stanowiska ekspertów w Misji Unii Europejskiej EUMA w Armenii.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F64BE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decyzji Rady w sprawie całkowitego zawieszenia stosowania Umowy między Wspólnotą Europejską a Federacją Rosyjską o ułatwieniach w wydawaniu wiz obywatelom Unii Europejskiej i Federacji Rosyjskiej</w:t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661).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Informacja w sprawie zmiany przedstawicieli Polski w Zarządzie Europejskiego Centrum Rozwoju Kształcenia Zawodowego (CEDEFOP).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Informacja w sprawie wskazania instytucji wiodącej w gremiach Komisji Europejskiej </w:t>
            </w:r>
            <w:r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i agencji UE.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Założenia do stanowiska Rzeczypospolitej Polskiej w postępowaniu w sprawie prejudycjalnej C-652/22 </w:t>
            </w:r>
            <w:r w:rsidRPr="00F64BE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Kolin Inşaat Turizm Sanayi ve Ticaret</w:t>
            </w:r>
            <w:r w:rsidRPr="00F64BE6"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  <w:t>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Instrukcja na posiedzenie Rady do Spraw Zagranicznych w dniu 23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Założenia do odpowiedzi na zarzuty formalne w związku z brakiem transpozycji:</w:t>
            </w:r>
          </w:p>
          <w:p w:rsidR="00F64BE6" w:rsidRPr="00F64BE6" w:rsidRDefault="00F64BE6" w:rsidP="00F64BE6">
            <w:pPr>
              <w:pStyle w:val="Akapitzlist"/>
              <w:widowControl w:val="0"/>
              <w:numPr>
                <w:ilvl w:val="0"/>
                <w:numId w:val="32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dyrektywy delegowanej Komisji (UE) 2021/1716 zmieniającej dyrektywę Parlamentu Europejskiego i Rady 20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14/47/UE w odniesieniu do zmian </w:t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w oznaczeniach kategorii pojazdów wynikających ze zmian w prawodawstwie dotyczącym homologacji typu (naruszenie nr 2022/0432),</w:t>
            </w:r>
          </w:p>
          <w:p w:rsidR="00F64BE6" w:rsidRPr="00F64BE6" w:rsidRDefault="00F64BE6" w:rsidP="00F64BE6">
            <w:pPr>
              <w:pStyle w:val="Akapitzlist"/>
              <w:widowControl w:val="0"/>
              <w:numPr>
                <w:ilvl w:val="0"/>
                <w:numId w:val="32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dyrektywy delegowanej Komisji (UE) 2021/1717 zmieniającej dyrektywę Parlamentu Europejskiego i Rady 2014/45/UE w odniesieniu do aktualizacji niektórych oznaczeń kategorii pojazdów i dodania systemu eCall do wykazu badanych elementów, metod, kryteriów uznania stanu technicznego za niezadowalający i oceny usterek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w załącznikach I i III do tej dyrektywy (naruszenie nr 2022/0433).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Informacja o stanie realizacji zadań nakładanych na ministerstwa i urzędy centralne.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Założenia do stanowiska Rzeczypospolitej Polskiej w postępowaniu w sprawie prejudycjalnej C-677/22 Przedsiębiorstwo A.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Propozycja sposobu koordynacji prac w związku z projektem budżetu Unii Europejskiej na 2024 r., implementacją budżetu na 2023 r. oraz udzieleniem Komisji Europejskiej absolutorium z wykonania budżetu za 2021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ds. Rolnictwa </w:t>
            </w:r>
            <w:r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i Rybołówstwa w dniu 30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Sprawozdanie okresowe z działalności polskiej administracji w Komitecie Doradczym TDC oraz Komitecie ds. Nadmiernego Importu (SFG) (lipiec - grudzień 2022 r.)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18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18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Instrukcja na posiedzenie Komitetu Stałych Przedstawicieli COREPER I w dniu </w:t>
            </w:r>
            <w:r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25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Instrukcja na nieformalne spotkanie ministrów UE ds. wymiaru sprawiedliwości </w:t>
            </w:r>
            <w:r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 spraw wewnętrznych (sesja dot. spraw wewnętrznych) w dniach 26-27 stycznia </w:t>
            </w:r>
            <w:r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</w:rPr>
            </w:pPr>
            <w:r w:rsidRPr="00F64BE6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F64BE6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ustanawiającego wspólne ramy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F64BE6">
              <w:rPr>
                <w:rFonts w:asciiTheme="minorHAnsi" w:hAnsiTheme="minorHAnsi" w:cstheme="minorHAnsi"/>
                <w:bCs/>
                <w:i/>
                <w:iCs/>
              </w:rPr>
              <w:t xml:space="preserve">dla usług medialnych na rynku wewnętrznym („europejski akt o wolności mediów”)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F64BE6">
              <w:rPr>
                <w:rFonts w:asciiTheme="minorHAnsi" w:hAnsiTheme="minorHAnsi" w:cstheme="minorHAnsi"/>
                <w:bCs/>
                <w:i/>
                <w:iCs/>
              </w:rPr>
              <w:t>i zmieniającego dyrektywę 2010/13/UE</w:t>
            </w:r>
            <w:r w:rsidRPr="00F64BE6">
              <w:rPr>
                <w:rFonts w:asciiTheme="minorHAnsi" w:hAnsiTheme="minorHAnsi" w:cstheme="minorHAnsi"/>
                <w:bCs/>
              </w:rPr>
              <w:t xml:space="preserve"> (COM(2022) 457).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F64BE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dotyczący dyrektywy Parlamentu Europejskiego i Rady w sprawie norm dotyczących organów ds. równości w dziedzinie równego traktowania i równości szans kobiet i mężczyzn w zakresie zatrudnienia i pracy oraz uchylającej art. 20 dyrektywy 2006/54/WE i art. 11 dyrektywy 2010/41/UE</w:t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688).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F64BE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Wniosek w sprawie dyrektywy Rady dotyczącej norm funk</w:t>
            </w:r>
            <w:r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cjonowania organów ds. równości </w:t>
            </w:r>
            <w:r w:rsidRPr="00F64BE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w obszarze równego traktowania osób be</w:t>
            </w:r>
            <w:r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z względu na pochodzenie rasowe </w:t>
            </w:r>
            <w:r w:rsidRPr="00F64BE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lub etniczne, równego traktowania osób w dziedzinie zatrudnienia i pracy bez względu na wyznawaną religię lub światopogląd, niepełnosprawność, wiek lub orientację seksualną, równego traktowania kobiet i mężczyzn w dziedzinie zabezpieczenia społecznego </w:t>
            </w:r>
            <w:r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oraz w zakresie dostępu do towarów i usług oraz dostarczania towarów i usług, </w:t>
            </w:r>
            <w:r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oraz uchylającej art. 13 dyrektywy 2000/43/WE i art. 12 dyrektywy 2004/113/WE</w:t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(COM(2022) 689).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Instrukcja na nieformalne spotkanie ministrów UE ds. wymiaru sprawiedliwości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i spraw wewnętrznych (sesja dot. wymiaru sprawiedliwości) w dniach 26-27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Założenia do stanowiska Rzeczypospolitej Polskiej w postępowaniu w sprawie prejudycjalnej C-603/22 </w:t>
            </w:r>
            <w:r w:rsidRPr="00F64BE6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>M.S. e.a.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Informacja Ministerstwa Spraw Zagranicznych w sprawie zatwierdzenia kandydatury w naborze na stanowisko eksperta narodowego szefa biura terenowego w m. Mtskheta w ramach Misji Obserwacyjnej Unii Europejskiej w Gruzji (EUMM Georgia).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pracownika Głównego Inspektoratu Rybołówstwa Morskiego w Słupsku na stanowisko eksperta narodowego </w:t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br/>
              <w:t>w Europejskiej Agencji Kontroli Rybołówstwa (EFCA).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Raport z prac Komitetu ds. Polityki Handlowej (TPC) za II półrocze 2022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przedłużenia okresu oddelegowania ekspertów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z Ministerstwa Obrony Narodowej wykonujących zadania w Misji Obserwacyjnej UE w Gruzji (EUMM Georgia).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ds. Rolnictwa i Rybołówstwa w dniu 30 stycznia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bCs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bCs/>
                <w:shd w:val="clear" w:color="auto" w:fill="FFFFFF"/>
              </w:rPr>
              <w:t>25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27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Krajowej Administracji Skarbowej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do oddelegowania do Misji Pomocy Granicznej dla Mołdawii i Ukrainy (EUBAM)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w charakterze eksperta narodowego.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Projekt fiszki informacyjnej do inicjatywy Komisji Europejskiej – Akt </w:t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br/>
              <w:t>ws. surowców krytycznych.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okresu oddelegowania czterech funkcjonariuszy Policji na stanowiskach obserwatorów, w tym lidera zespołu obserwatorów, w Misji Obserwacyjnej UE w Gruzji (EUMM).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Informacja na temat stanu wdrożenia dyrektyw unijnych i zobowiązań legislacyjnych wynikających z orzeczeń Trybunału Sprawiedliwości UE oraz uwag Komisji Europejskiej przekazywanych w ramach post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ępowania </w:t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w trybie art. 258 TFUE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lub art. 260 TFUE.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25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27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31 stycznia 2023 r.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hd w:val="clear" w:color="auto" w:fill="FFFFFF"/>
                <w:lang w:val="en-GB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  <w:lang w:val="en-GB"/>
              </w:rPr>
              <w:t xml:space="preserve">Aktualizacja „Instrukcji na posiedzenie Komitetu Stałych Przedstawicieli COREPER II </w:t>
            </w:r>
            <w:r>
              <w:rPr>
                <w:rFonts w:asciiTheme="minorHAnsi" w:hAnsiTheme="minorHAnsi" w:cstheme="minorHAnsi"/>
                <w:shd w:val="clear" w:color="auto" w:fill="FFFFFF"/>
                <w:lang w:val="en-GB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  <w:lang w:val="en-GB"/>
              </w:rPr>
              <w:t xml:space="preserve">w dniu 31 stycznia 2023 r.” w punkcie </w:t>
            </w:r>
            <w:r w:rsidRPr="00F64BE6">
              <w:rPr>
                <w:rFonts w:asciiTheme="minorHAnsi" w:hAnsiTheme="minorHAnsi" w:cstheme="minorHAnsi"/>
                <w:i/>
                <w:shd w:val="clear" w:color="auto" w:fill="FFFFFF"/>
                <w:lang w:val="en-GB"/>
              </w:rPr>
              <w:t>Council Decision and Regulation concerning restrictive measures in view of the situation in Belarus and the involvement of Belarus in the Russian aggression against Ukraine</w:t>
            </w:r>
            <w:r w:rsidRPr="00F64BE6">
              <w:rPr>
                <w:rFonts w:asciiTheme="minorHAnsi" w:hAnsiTheme="minorHAnsi" w:cstheme="minorHAnsi"/>
                <w:shd w:val="clear" w:color="auto" w:fill="FFFFFF"/>
                <w:lang w:val="en-GB"/>
              </w:rPr>
              <w:t>.</w:t>
            </w:r>
          </w:p>
          <w:p w:rsidR="00540607" w:rsidRPr="00F64BE6" w:rsidRDefault="00F64BE6" w:rsidP="00F64BE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COREPER II w dniu 3 lutego 2023 r.</w:t>
            </w:r>
          </w:p>
          <w:p w:rsidR="00583B41" w:rsidRPr="00F64BE6" w:rsidRDefault="00BD7A98" w:rsidP="00F64BE6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F64BE6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Projekt rozporządzenia Rady Ministrów w sprawie przyjęcia „Programu działań mających na celu zmniejszenie zanieczyszczenia wód azotanami pochodzącymi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ze źródeł rolniczych oraz zapobieganie dalszemu zanieczyszczeniu” (RC12).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Projekt ustawy o ochronie osób zgłaszających naruszenia prawa (UC101).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</w:rPr>
              <w:t>Projekt ustawy o Planie Strategicznym dla wspólnej polityki rolnej (UC137).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bCs/>
              </w:rPr>
            </w:pPr>
            <w:r w:rsidRPr="00F64BE6">
              <w:rPr>
                <w:rFonts w:asciiTheme="minorHAnsi" w:hAnsiTheme="minorHAnsi" w:cstheme="minorHAnsi"/>
                <w:bCs/>
              </w:rPr>
              <w:t>Projekt ustawy o zmianie ustawy o odnawialnych źródłach energii oraz niektórych innych ustaw (UC99).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 xml:space="preserve">Plan certyfikacji wydatków do Komisji Europejskiej w 2023 r. w programach współfinansowanych z funduszy europejskich w ramach Umowy Partnerstwa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F64BE6">
              <w:rPr>
                <w:rFonts w:asciiTheme="minorHAnsi" w:hAnsiTheme="minorHAnsi" w:cstheme="minorHAnsi"/>
                <w:shd w:val="clear" w:color="auto" w:fill="FFFFFF"/>
              </w:rPr>
              <w:t>2014-2020.</w:t>
            </w:r>
          </w:p>
          <w:p w:rsidR="0042479D" w:rsidRPr="00F64BE6" w:rsidRDefault="00F64BE6" w:rsidP="00F64BE6">
            <w:pPr>
              <w:pStyle w:val="Akapitzlist"/>
              <w:numPr>
                <w:ilvl w:val="0"/>
                <w:numId w:val="33"/>
              </w:numPr>
              <w:spacing w:after="240"/>
              <w:ind w:left="714" w:hanging="357"/>
              <w:rPr>
                <w:rFonts w:asciiTheme="minorHAnsi" w:hAnsiTheme="minorHAnsi" w:cstheme="minorHAnsi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Raport z realizacji polityki morskiej Rzeczypospolitej Polskiej w 2021 r.</w:t>
            </w:r>
          </w:p>
          <w:p w:rsidR="002444F2" w:rsidRPr="00F64BE6" w:rsidRDefault="002444F2" w:rsidP="00F64BE6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F64BE6">
              <w:rPr>
                <w:rFonts w:asciiTheme="minorHAnsi" w:hAnsiTheme="minorHAnsi" w:cstheme="minorHAnsi"/>
                <w:b/>
              </w:rPr>
              <w:t>Uzgodnił oraz rekomendował Radzie Ministrów rozpatrzenie następujących dokumentów</w:t>
            </w:r>
            <w:r w:rsidR="009E3D0B" w:rsidRPr="00F64BE6">
              <w:rPr>
                <w:rFonts w:asciiTheme="minorHAnsi" w:hAnsiTheme="minorHAnsi" w:cstheme="minorHAnsi"/>
                <w:b/>
              </w:rPr>
              <w:t>:</w:t>
            </w:r>
          </w:p>
          <w:p w:rsidR="00F64BE6" w:rsidRPr="00F64BE6" w:rsidRDefault="00F64BE6" w:rsidP="00F64BE6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F64BE6">
              <w:rPr>
                <w:rFonts w:asciiTheme="minorHAnsi" w:hAnsiTheme="minorHAnsi" w:cstheme="minorHAnsi"/>
                <w:shd w:val="clear" w:color="auto" w:fill="FFFFFF"/>
              </w:rPr>
              <w:t>Projekt „Planu pracy Komitetu do Spraw Europejskich na 2023 r.”</w:t>
            </w:r>
          </w:p>
          <w:p w:rsidR="009E3D0B" w:rsidRPr="00F64BE6" w:rsidRDefault="00F64BE6" w:rsidP="00F64BE6">
            <w:pPr>
              <w:pStyle w:val="Akapitzlist"/>
              <w:mirrorIndents/>
              <w:rPr>
                <w:rFonts w:asciiTheme="minorHAnsi" w:hAnsiTheme="minorHAnsi" w:cstheme="minorHAnsi"/>
                <w:b/>
              </w:rPr>
            </w:pPr>
            <w:r w:rsidRPr="00F64BE6">
              <w:rPr>
                <w:rFonts w:asciiTheme="minorHAnsi" w:hAnsiTheme="minorHAnsi" w:cstheme="minorHAnsi"/>
                <w:bCs/>
              </w:rPr>
              <w:t>Komitet rekomendował Radzie Ministrów zatwierdzenie „</w:t>
            </w:r>
            <w:r w:rsidRPr="00F64BE6">
              <w:rPr>
                <w:rFonts w:asciiTheme="minorHAnsi" w:hAnsiTheme="minorHAnsi" w:cstheme="minorHAnsi"/>
              </w:rPr>
              <w:t xml:space="preserve">Planu pracy Komitetu </w:t>
            </w:r>
            <w:r>
              <w:rPr>
                <w:rFonts w:asciiTheme="minorHAnsi" w:hAnsiTheme="minorHAnsi" w:cstheme="minorHAnsi"/>
              </w:rPr>
              <w:br/>
            </w:r>
            <w:r w:rsidRPr="00F64BE6">
              <w:rPr>
                <w:rFonts w:asciiTheme="minorHAnsi" w:hAnsiTheme="minorHAnsi" w:cstheme="minorHAnsi"/>
              </w:rPr>
              <w:t>do Spraw Europejskich na 2023 r.”.</w:t>
            </w:r>
          </w:p>
        </w:tc>
      </w:tr>
    </w:tbl>
    <w:p w:rsidR="005B7044" w:rsidRPr="00F64BE6" w:rsidRDefault="005B7044" w:rsidP="00F64BE6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F64BE6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44" w:rsidRDefault="00026044">
      <w:r>
        <w:separator/>
      </w:r>
    </w:p>
  </w:endnote>
  <w:endnote w:type="continuationSeparator" w:id="0">
    <w:p w:rsidR="00026044" w:rsidRDefault="0002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5A3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44" w:rsidRDefault="00026044">
      <w:r>
        <w:separator/>
      </w:r>
    </w:p>
  </w:footnote>
  <w:footnote w:type="continuationSeparator" w:id="0">
    <w:p w:rsidR="00026044" w:rsidRDefault="0002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D58B1"/>
    <w:multiLevelType w:val="hybridMultilevel"/>
    <w:tmpl w:val="AE50C89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E0A2D"/>
    <w:multiLevelType w:val="hybridMultilevel"/>
    <w:tmpl w:val="3F1C87E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53CA8"/>
    <w:multiLevelType w:val="hybridMultilevel"/>
    <w:tmpl w:val="4DD69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C013A"/>
    <w:multiLevelType w:val="hybridMultilevel"/>
    <w:tmpl w:val="72FED30A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274C"/>
    <w:multiLevelType w:val="hybridMultilevel"/>
    <w:tmpl w:val="83EA1B5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A2088"/>
    <w:multiLevelType w:val="hybridMultilevel"/>
    <w:tmpl w:val="5FD2988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DC078A"/>
    <w:multiLevelType w:val="hybridMultilevel"/>
    <w:tmpl w:val="D294F4F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004AC"/>
    <w:multiLevelType w:val="hybridMultilevel"/>
    <w:tmpl w:val="BE3210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5280C"/>
    <w:multiLevelType w:val="hybridMultilevel"/>
    <w:tmpl w:val="263414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53240"/>
    <w:multiLevelType w:val="hybridMultilevel"/>
    <w:tmpl w:val="F26EFEB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F7281"/>
    <w:multiLevelType w:val="hybridMultilevel"/>
    <w:tmpl w:val="345C2EF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505218"/>
    <w:multiLevelType w:val="hybridMultilevel"/>
    <w:tmpl w:val="745C87A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5A70"/>
    <w:multiLevelType w:val="hybridMultilevel"/>
    <w:tmpl w:val="9FDE9E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756"/>
    <w:multiLevelType w:val="hybridMultilevel"/>
    <w:tmpl w:val="25F6C5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661AE"/>
    <w:multiLevelType w:val="hybridMultilevel"/>
    <w:tmpl w:val="1F94C57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50609"/>
    <w:multiLevelType w:val="hybridMultilevel"/>
    <w:tmpl w:val="638A37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B3BF0"/>
    <w:multiLevelType w:val="hybridMultilevel"/>
    <w:tmpl w:val="7018A21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30270"/>
    <w:multiLevelType w:val="hybridMultilevel"/>
    <w:tmpl w:val="4ECA2F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15D33"/>
    <w:multiLevelType w:val="hybridMultilevel"/>
    <w:tmpl w:val="4E70B5C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22346"/>
    <w:multiLevelType w:val="hybridMultilevel"/>
    <w:tmpl w:val="BB44B6C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97FD6"/>
    <w:multiLevelType w:val="hybridMultilevel"/>
    <w:tmpl w:val="34589E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D42DC5"/>
    <w:multiLevelType w:val="hybridMultilevel"/>
    <w:tmpl w:val="1DBAC95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72EA0"/>
    <w:multiLevelType w:val="hybridMultilevel"/>
    <w:tmpl w:val="CFCC5F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10"/>
  </w:num>
  <w:num w:numId="5">
    <w:abstractNumId w:val="26"/>
  </w:num>
  <w:num w:numId="6">
    <w:abstractNumId w:val="24"/>
  </w:num>
  <w:num w:numId="7">
    <w:abstractNumId w:val="0"/>
  </w:num>
  <w:num w:numId="8">
    <w:abstractNumId w:val="29"/>
  </w:num>
  <w:num w:numId="9">
    <w:abstractNumId w:val="31"/>
  </w:num>
  <w:num w:numId="10">
    <w:abstractNumId w:val="13"/>
  </w:num>
  <w:num w:numId="11">
    <w:abstractNumId w:val="18"/>
  </w:num>
  <w:num w:numId="12">
    <w:abstractNumId w:val="30"/>
  </w:num>
  <w:num w:numId="13">
    <w:abstractNumId w:val="32"/>
  </w:num>
  <w:num w:numId="14">
    <w:abstractNumId w:val="17"/>
  </w:num>
  <w:num w:numId="15">
    <w:abstractNumId w:val="33"/>
  </w:num>
  <w:num w:numId="16">
    <w:abstractNumId w:val="27"/>
  </w:num>
  <w:num w:numId="17">
    <w:abstractNumId w:val="21"/>
  </w:num>
  <w:num w:numId="18">
    <w:abstractNumId w:val="28"/>
  </w:num>
  <w:num w:numId="19">
    <w:abstractNumId w:val="23"/>
  </w:num>
  <w:num w:numId="20">
    <w:abstractNumId w:val="9"/>
  </w:num>
  <w:num w:numId="21">
    <w:abstractNumId w:val="7"/>
  </w:num>
  <w:num w:numId="22">
    <w:abstractNumId w:val="14"/>
  </w:num>
  <w:num w:numId="23">
    <w:abstractNumId w:val="5"/>
  </w:num>
  <w:num w:numId="24">
    <w:abstractNumId w:val="3"/>
  </w:num>
  <w:num w:numId="25">
    <w:abstractNumId w:val="6"/>
  </w:num>
  <w:num w:numId="26">
    <w:abstractNumId w:val="4"/>
  </w:num>
  <w:num w:numId="27">
    <w:abstractNumId w:val="19"/>
  </w:num>
  <w:num w:numId="28">
    <w:abstractNumId w:val="22"/>
  </w:num>
  <w:num w:numId="29">
    <w:abstractNumId w:val="8"/>
  </w:num>
  <w:num w:numId="30">
    <w:abstractNumId w:val="15"/>
  </w:num>
  <w:num w:numId="31">
    <w:abstractNumId w:val="20"/>
  </w:num>
  <w:num w:numId="32">
    <w:abstractNumId w:val="12"/>
  </w:num>
  <w:num w:numId="33">
    <w:abstractNumId w:val="16"/>
  </w:num>
  <w:num w:numId="3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044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013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5F5A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44F2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8C0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321A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D73FE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79D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0E22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0607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5450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604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A3D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395B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D0B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67F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2D1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76081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BE6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67A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6FF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4F155-283C-4D84-8558-AB652FCB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1875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2019-04-17T12:04:00Z</cp:lastPrinted>
  <dcterms:created xsi:type="dcterms:W3CDTF">2023-01-12T09:20:00Z</dcterms:created>
  <dcterms:modified xsi:type="dcterms:W3CDTF">2023-02-17T14:44:00Z</dcterms:modified>
</cp:coreProperties>
</file>