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CD540" w14:textId="77777777" w:rsidR="000B03C5" w:rsidRPr="000B03C5" w:rsidRDefault="00A74478" w:rsidP="000B03C5">
      <w:pPr>
        <w:spacing w:after="0" w:line="240" w:lineRule="auto"/>
        <w:ind w:left="284"/>
        <w:jc w:val="right"/>
        <w:rPr>
          <w:rFonts w:cstheme="minorHAnsi"/>
        </w:rPr>
      </w:pPr>
      <w:r w:rsidRPr="000B03C5">
        <w:rPr>
          <w:rFonts w:cstheme="minorHAnsi"/>
        </w:rPr>
        <w:t xml:space="preserve">Załącznik nr 1 </w:t>
      </w:r>
    </w:p>
    <w:p w14:paraId="16A81AFA" w14:textId="71D6239A" w:rsidR="00A74478" w:rsidRDefault="00A74478" w:rsidP="00324B47">
      <w:pPr>
        <w:spacing w:after="0" w:line="240" w:lineRule="auto"/>
        <w:ind w:left="284"/>
        <w:rPr>
          <w:rFonts w:cstheme="minorHAnsi"/>
        </w:rPr>
      </w:pPr>
    </w:p>
    <w:p w14:paraId="3F20B5A5" w14:textId="364AF926" w:rsidR="000B03C5" w:rsidRPr="004D3057" w:rsidRDefault="000B03C5" w:rsidP="00324B47">
      <w:pPr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>WIS.261.27.2023.AM</w:t>
      </w:r>
    </w:p>
    <w:p w14:paraId="7316ED08" w14:textId="77777777" w:rsidR="000B03C5" w:rsidRDefault="000B03C5" w:rsidP="00A74478">
      <w:pPr>
        <w:spacing w:after="0" w:line="240" w:lineRule="auto"/>
        <w:ind w:left="284"/>
        <w:jc w:val="center"/>
        <w:rPr>
          <w:rFonts w:cstheme="minorHAnsi"/>
          <w:sz w:val="36"/>
          <w:szCs w:val="36"/>
        </w:rPr>
      </w:pPr>
    </w:p>
    <w:p w14:paraId="4A1FA344" w14:textId="30E34DFC" w:rsidR="00A74478" w:rsidRPr="000B03C5" w:rsidRDefault="000B03C5" w:rsidP="00A74478">
      <w:pPr>
        <w:spacing w:after="0" w:line="240" w:lineRule="auto"/>
        <w:ind w:left="284"/>
        <w:jc w:val="center"/>
        <w:rPr>
          <w:rFonts w:cstheme="minorHAnsi"/>
          <w:b/>
          <w:sz w:val="28"/>
          <w:szCs w:val="28"/>
        </w:rPr>
      </w:pPr>
      <w:r w:rsidRPr="000B03C5">
        <w:rPr>
          <w:rFonts w:cstheme="minorHAnsi"/>
          <w:b/>
          <w:sz w:val="28"/>
          <w:szCs w:val="28"/>
        </w:rPr>
        <w:t>OPIS PRZEDMIOTU ZAMÓWIENIA</w:t>
      </w:r>
    </w:p>
    <w:p w14:paraId="3AC73541" w14:textId="77777777" w:rsidR="00A74478" w:rsidRPr="004D3057" w:rsidRDefault="00A74478" w:rsidP="00A74478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0752D862" w14:textId="77777777" w:rsidR="00B458EB" w:rsidRPr="004D3057" w:rsidRDefault="00B458EB" w:rsidP="00A74478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5E5B7E77" w14:textId="77777777" w:rsidR="004D3057" w:rsidRPr="000B03C5" w:rsidRDefault="00F232D6" w:rsidP="004D3057">
      <w:pPr>
        <w:spacing w:after="0" w:line="240" w:lineRule="auto"/>
        <w:ind w:left="284"/>
        <w:rPr>
          <w:rFonts w:cstheme="minorHAnsi"/>
          <w:u w:val="single"/>
        </w:rPr>
      </w:pPr>
      <w:r w:rsidRPr="000B03C5">
        <w:rPr>
          <w:rFonts w:cstheme="minorHAnsi"/>
          <w:u w:val="single"/>
        </w:rPr>
        <w:t>Nazwa zadania:</w:t>
      </w:r>
    </w:p>
    <w:p w14:paraId="7F08E448" w14:textId="5BE6B123" w:rsidR="000B03C5" w:rsidRDefault="0053721B" w:rsidP="000B03C5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53721B">
        <w:rPr>
          <w:rFonts w:cstheme="minorHAnsi"/>
        </w:rPr>
        <w:t>Zakup macierzy, kart sieciowych wraz z dodatkowymi dyskami oraz usługa wdrożenia.</w:t>
      </w:r>
    </w:p>
    <w:p w14:paraId="3C26681A" w14:textId="77777777" w:rsidR="0053721B" w:rsidRPr="008E13B7" w:rsidRDefault="0053721B" w:rsidP="000B03C5">
      <w:pPr>
        <w:pStyle w:val="Akapitzlist"/>
        <w:spacing w:after="0" w:line="240" w:lineRule="auto"/>
        <w:ind w:left="568" w:hanging="284"/>
        <w:contextualSpacing w:val="0"/>
        <w:rPr>
          <w:rFonts w:cstheme="minorHAnsi"/>
          <w:b/>
          <w:sz w:val="24"/>
        </w:rPr>
      </w:pPr>
    </w:p>
    <w:p w14:paraId="13F3BA10" w14:textId="73E37D63" w:rsidR="00F232D6" w:rsidRDefault="00F232D6" w:rsidP="00F232D6">
      <w:pPr>
        <w:spacing w:after="0" w:line="240" w:lineRule="auto"/>
        <w:ind w:firstLine="284"/>
        <w:rPr>
          <w:rFonts w:cstheme="minorHAnsi"/>
          <w:u w:val="single"/>
        </w:rPr>
      </w:pPr>
      <w:r w:rsidRPr="004D3057">
        <w:rPr>
          <w:rFonts w:cstheme="minorHAnsi"/>
          <w:u w:val="single"/>
        </w:rPr>
        <w:t>Szczegółowy opis przedmiotu zamówienia:</w:t>
      </w:r>
    </w:p>
    <w:p w14:paraId="794E3EA4" w14:textId="536BBDE4" w:rsidR="000B03C5" w:rsidRPr="000B03C5" w:rsidRDefault="000B03C5" w:rsidP="000B03C5">
      <w:pPr>
        <w:spacing w:after="0" w:line="240" w:lineRule="auto"/>
        <w:ind w:left="284"/>
        <w:jc w:val="both"/>
        <w:rPr>
          <w:rFonts w:cstheme="minorHAnsi"/>
        </w:rPr>
      </w:pPr>
      <w:r w:rsidRPr="003078BE">
        <w:rPr>
          <w:rFonts w:cstheme="minorHAnsi"/>
        </w:rPr>
        <w:t xml:space="preserve">Przedmiotem zamówienia jest </w:t>
      </w:r>
      <w:r>
        <w:rPr>
          <w:rFonts w:cstheme="minorHAnsi"/>
        </w:rPr>
        <w:t>modernizacja serwerowni dla Regionalnej Dyrekcji Ochrony Środowiska w Bydgoszczy obejmująca rozbudowę zasobów serwerowych poprzez zakup macierzy dyskowej z akcesoriami wraz z usługą wdrożenia.</w:t>
      </w:r>
    </w:p>
    <w:p w14:paraId="0835C5AB" w14:textId="6760B41C" w:rsidR="00F232D6" w:rsidRPr="004D3057" w:rsidRDefault="00F232D6" w:rsidP="000B03C5">
      <w:pPr>
        <w:spacing w:after="0" w:line="240" w:lineRule="auto"/>
        <w:rPr>
          <w:rFonts w:cstheme="minorHAnsi"/>
        </w:rPr>
      </w:pPr>
    </w:p>
    <w:p w14:paraId="11ECDA09" w14:textId="7E6684CA" w:rsidR="00F232D6" w:rsidRPr="004D3057" w:rsidRDefault="004D3057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cstheme="minorHAnsi"/>
          <w:iCs w:val="0"/>
        </w:rPr>
      </w:pPr>
      <w:r w:rsidRPr="004D3057">
        <w:rPr>
          <w:rStyle w:val="Uwydatnienie"/>
          <w:rFonts w:cstheme="minorHAnsi"/>
          <w:b/>
          <w:i w:val="0"/>
          <w:color w:val="000000"/>
          <w:u w:val="single"/>
        </w:rPr>
        <w:t>Macierz</w:t>
      </w:r>
      <w:r w:rsidR="00F232D6" w:rsidRPr="004D3057">
        <w:rPr>
          <w:rStyle w:val="Uwydatnienie"/>
          <w:rFonts w:cstheme="minorHAnsi"/>
          <w:i w:val="0"/>
          <w:color w:val="000000"/>
        </w:rPr>
        <w:t xml:space="preserve"> o następujących parametrach:</w:t>
      </w:r>
    </w:p>
    <w:p w14:paraId="4675457D" w14:textId="77777777" w:rsidR="00F232D6" w:rsidRPr="004D3057" w:rsidRDefault="00F232D6" w:rsidP="00F232D6">
      <w:pPr>
        <w:pStyle w:val="Akapitzlist"/>
        <w:spacing w:after="0" w:line="240" w:lineRule="auto"/>
        <w:ind w:left="644"/>
        <w:rPr>
          <w:rStyle w:val="Uwydatnienie"/>
          <w:rFonts w:cstheme="minorHAnsi"/>
          <w:iCs w:val="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3"/>
      </w:tblGrid>
      <w:tr w:rsidR="004D3057" w:rsidRPr="004D3057" w14:paraId="290397C9" w14:textId="77777777" w:rsidTr="0003068E">
        <w:trPr>
          <w:trHeight w:val="528"/>
        </w:trPr>
        <w:tc>
          <w:tcPr>
            <w:tcW w:w="1985" w:type="dxa"/>
            <w:shd w:val="clear" w:color="auto" w:fill="auto"/>
            <w:vAlign w:val="center"/>
          </w:tcPr>
          <w:p w14:paraId="64BBBCEE" w14:textId="77777777" w:rsidR="004D3057" w:rsidRPr="004D3057" w:rsidRDefault="004D3057" w:rsidP="0003068E">
            <w:pPr>
              <w:spacing w:after="0"/>
              <w:rPr>
                <w:rFonts w:cstheme="minorHAnsi"/>
                <w:b/>
              </w:rPr>
            </w:pPr>
            <w:r w:rsidRPr="004D3057">
              <w:rPr>
                <w:rFonts w:cstheme="minorHAnsi"/>
                <w:b/>
                <w:bCs/>
              </w:rPr>
              <w:t>Element konfiguracji/cecha/funkcjonalność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14BEE59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  <w:b/>
              </w:rPr>
            </w:pPr>
            <w:r w:rsidRPr="004D3057">
              <w:rPr>
                <w:rFonts w:cstheme="minorHAnsi"/>
                <w:b/>
              </w:rPr>
              <w:t>Wymagania minimalne</w:t>
            </w:r>
          </w:p>
        </w:tc>
      </w:tr>
      <w:tr w:rsidR="004D3057" w:rsidRPr="004D3057" w14:paraId="0A19B388" w14:textId="77777777" w:rsidTr="0003068E">
        <w:tc>
          <w:tcPr>
            <w:tcW w:w="1985" w:type="dxa"/>
          </w:tcPr>
          <w:p w14:paraId="09E2D07E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Typ obudowy</w:t>
            </w:r>
          </w:p>
        </w:tc>
        <w:tc>
          <w:tcPr>
            <w:tcW w:w="7513" w:type="dxa"/>
          </w:tcPr>
          <w:p w14:paraId="5D651669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być przystosowana do montażu w szafie </w:t>
            </w:r>
            <w:proofErr w:type="spellStart"/>
            <w:r w:rsidRPr="004D3057">
              <w:rPr>
                <w:rFonts w:cstheme="minorHAnsi"/>
              </w:rPr>
              <w:t>rack</w:t>
            </w:r>
            <w:proofErr w:type="spellEnd"/>
            <w:r w:rsidRPr="004D3057">
              <w:rPr>
                <w:rFonts w:cstheme="minorHAnsi"/>
              </w:rPr>
              <w:t xml:space="preserve"> 19”, </w:t>
            </w:r>
            <w:r w:rsidRPr="004D3057">
              <w:rPr>
                <w:rFonts w:cstheme="minorHAnsi"/>
              </w:rPr>
              <w:br/>
              <w:t xml:space="preserve">o wysokość maksymalnie 2U i pozwalać na instalacje 12 dysków 3.5”. </w:t>
            </w:r>
          </w:p>
        </w:tc>
      </w:tr>
      <w:tr w:rsidR="004D3057" w:rsidRPr="006E0646" w14:paraId="212B0CEA" w14:textId="77777777" w:rsidTr="0003068E">
        <w:tc>
          <w:tcPr>
            <w:tcW w:w="1985" w:type="dxa"/>
          </w:tcPr>
          <w:p w14:paraId="170925C6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Dyski</w:t>
            </w:r>
          </w:p>
        </w:tc>
        <w:tc>
          <w:tcPr>
            <w:tcW w:w="7513" w:type="dxa"/>
          </w:tcPr>
          <w:p w14:paraId="54FAEDB4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Zainstalowane:</w:t>
            </w:r>
          </w:p>
          <w:p w14:paraId="397DE4E3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6 dysków Hot-Plug o pojemności 20 TB HDD SAS 12Gbps, 7.2 tys. </w:t>
            </w:r>
            <w:proofErr w:type="spellStart"/>
            <w:r w:rsidRPr="004D3057">
              <w:rPr>
                <w:rFonts w:cstheme="minorHAnsi"/>
              </w:rPr>
              <w:t>obr</w:t>
            </w:r>
            <w:proofErr w:type="spellEnd"/>
            <w:r w:rsidRPr="004D3057">
              <w:rPr>
                <w:rFonts w:cstheme="minorHAnsi"/>
              </w:rPr>
              <w:t>./min., 3,5”,</w:t>
            </w:r>
          </w:p>
          <w:p w14:paraId="2DC2B1C8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  <w:lang w:val="en-US"/>
              </w:rPr>
            </w:pPr>
            <w:r w:rsidRPr="004D3057">
              <w:rPr>
                <w:rFonts w:cstheme="minorHAnsi"/>
                <w:lang w:val="en-US"/>
              </w:rPr>
              <w:t xml:space="preserve">3 </w:t>
            </w:r>
            <w:proofErr w:type="spellStart"/>
            <w:r w:rsidRPr="004D3057">
              <w:rPr>
                <w:rFonts w:cstheme="minorHAnsi"/>
                <w:lang w:val="en-US"/>
              </w:rPr>
              <w:t>dyski</w:t>
            </w:r>
            <w:proofErr w:type="spellEnd"/>
            <w:r w:rsidRPr="004D3057">
              <w:rPr>
                <w:rFonts w:cstheme="minorHAnsi"/>
                <w:lang w:val="en-US"/>
              </w:rPr>
              <w:t xml:space="preserve"> Hot-Plug o </w:t>
            </w:r>
            <w:proofErr w:type="spellStart"/>
            <w:r w:rsidRPr="004D3057">
              <w:rPr>
                <w:rFonts w:cstheme="minorHAnsi"/>
                <w:lang w:val="en-US"/>
              </w:rPr>
              <w:t>pojemności</w:t>
            </w:r>
            <w:proofErr w:type="spellEnd"/>
            <w:r w:rsidRPr="004D3057">
              <w:rPr>
                <w:rFonts w:cstheme="minorHAnsi"/>
                <w:lang w:val="en-US"/>
              </w:rPr>
              <w:t xml:space="preserve"> 3.84 TB SSD SAS Read Intensive up to 24Gbps, 2,5”.</w:t>
            </w:r>
          </w:p>
        </w:tc>
      </w:tr>
      <w:tr w:rsidR="004D3057" w:rsidRPr="004D3057" w14:paraId="645F5ECB" w14:textId="77777777" w:rsidTr="0003068E">
        <w:tc>
          <w:tcPr>
            <w:tcW w:w="1985" w:type="dxa"/>
          </w:tcPr>
          <w:p w14:paraId="0B9B3CE3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Możliwość rozbudowy</w:t>
            </w:r>
          </w:p>
        </w:tc>
        <w:tc>
          <w:tcPr>
            <w:tcW w:w="7513" w:type="dxa"/>
          </w:tcPr>
          <w:p w14:paraId="5D7B75B4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Macierz musi umożliwiać rozbudowę (bez wymiany kontrolerów macierzy), do co najmniej 264 dysków twardych.</w:t>
            </w:r>
          </w:p>
        </w:tc>
      </w:tr>
      <w:tr w:rsidR="004D3057" w:rsidRPr="004D3057" w14:paraId="47812558" w14:textId="77777777" w:rsidTr="0003068E">
        <w:tc>
          <w:tcPr>
            <w:tcW w:w="1985" w:type="dxa"/>
          </w:tcPr>
          <w:p w14:paraId="39C47ADF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Obsługa dysków</w:t>
            </w:r>
          </w:p>
        </w:tc>
        <w:tc>
          <w:tcPr>
            <w:tcW w:w="7513" w:type="dxa"/>
          </w:tcPr>
          <w:p w14:paraId="41AA90C8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mieć możliwość obsługiwania dysków SSD, SAS i </w:t>
            </w:r>
            <w:proofErr w:type="spellStart"/>
            <w:r w:rsidRPr="004D3057">
              <w:rPr>
                <w:rFonts w:cstheme="minorHAnsi"/>
              </w:rPr>
              <w:t>Nearline</w:t>
            </w:r>
            <w:proofErr w:type="spellEnd"/>
            <w:r w:rsidRPr="004D3057">
              <w:rPr>
                <w:rFonts w:cstheme="minorHAnsi"/>
              </w:rPr>
              <w:t xml:space="preserve"> SAS. Macierz musi umożliwiać mieszanie napędów dyskowych SSD, SAS i NL SAS w obrębie pojedynczej półki dyskowej.</w:t>
            </w:r>
          </w:p>
        </w:tc>
      </w:tr>
      <w:tr w:rsidR="004D3057" w:rsidRPr="004D3057" w14:paraId="7888FC63" w14:textId="77777777" w:rsidTr="0003068E">
        <w:tc>
          <w:tcPr>
            <w:tcW w:w="1985" w:type="dxa"/>
          </w:tcPr>
          <w:p w14:paraId="40826EE5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Sposób zabezpieczenia danych</w:t>
            </w:r>
          </w:p>
        </w:tc>
        <w:tc>
          <w:tcPr>
            <w:tcW w:w="7513" w:type="dxa"/>
          </w:tcPr>
          <w:p w14:paraId="66E51D6F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obsługiwać mechanizmy RAID zgodne z RAID1, RAID10, RAID5, RAID6 oraz RAID z tzw. rozproszoną wolną pojemnością, realizowane sprzętowo za pomocą dedykowanego układu, z możliwością dowolnej ich kombinacji w obrębie oferowanej macierzy i z wykorzystaniem wszystkich dysków (tzw. </w:t>
            </w:r>
            <w:proofErr w:type="spellStart"/>
            <w:r w:rsidRPr="004D3057">
              <w:rPr>
                <w:rFonts w:cstheme="minorHAnsi"/>
              </w:rPr>
              <w:t>wide-striping</w:t>
            </w:r>
            <w:proofErr w:type="spellEnd"/>
            <w:r w:rsidRPr="004D3057">
              <w:rPr>
                <w:rFonts w:cstheme="minorHAnsi"/>
              </w:rPr>
              <w:t>).</w:t>
            </w:r>
          </w:p>
          <w:p w14:paraId="7EA707C8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umożliwiać definiowanie globalnych dysków </w:t>
            </w:r>
            <w:proofErr w:type="spellStart"/>
            <w:r w:rsidRPr="004D3057">
              <w:rPr>
                <w:rFonts w:cstheme="minorHAnsi"/>
              </w:rPr>
              <w:t>spare</w:t>
            </w:r>
            <w:proofErr w:type="spellEnd"/>
            <w:r w:rsidRPr="004D3057">
              <w:rPr>
                <w:rFonts w:cstheme="minorHAnsi"/>
                <w:bCs/>
              </w:rPr>
              <w:t xml:space="preserve"> oraz dedykowanie dysków </w:t>
            </w:r>
            <w:proofErr w:type="spellStart"/>
            <w:r w:rsidRPr="004D3057">
              <w:rPr>
                <w:rFonts w:cstheme="minorHAnsi"/>
                <w:bCs/>
              </w:rPr>
              <w:t>spare</w:t>
            </w:r>
            <w:proofErr w:type="spellEnd"/>
            <w:r w:rsidRPr="004D3057">
              <w:rPr>
                <w:rFonts w:cstheme="minorHAnsi"/>
                <w:bCs/>
              </w:rPr>
              <w:t xml:space="preserve"> do konkretnych grup RAID</w:t>
            </w:r>
            <w:r w:rsidRPr="004D3057">
              <w:rPr>
                <w:rFonts w:cstheme="minorHAnsi"/>
              </w:rPr>
              <w:t xml:space="preserve">. </w:t>
            </w:r>
          </w:p>
          <w:p w14:paraId="68E28967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Macierz musi również oferować możliwość zdefiniowania grup dyskowych z tzw. rozproszoną wolną pojemnością, która nie wykorzystuje tradycyjnych dysków zapasowych (integracja dysków zapasowych i nieaktywnych do zwiększenia dostępności i wydajności macierzy, zwiększenie szybkości odbudowy macierzy na wypadek awarii dysku).</w:t>
            </w:r>
          </w:p>
          <w:p w14:paraId="55BE1719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  <w:b/>
              </w:rPr>
            </w:pPr>
            <w:r w:rsidRPr="004D3057">
              <w:rPr>
                <w:rFonts w:cstheme="minorHAnsi"/>
              </w:rPr>
              <w:t>Macierz musi umożliwiać obsługę dysków różnej pojemności w ramach grupy dysków.</w:t>
            </w:r>
          </w:p>
        </w:tc>
      </w:tr>
      <w:tr w:rsidR="004D3057" w:rsidRPr="004D3057" w14:paraId="3FA0A5FE" w14:textId="77777777" w:rsidTr="0003068E">
        <w:tc>
          <w:tcPr>
            <w:tcW w:w="1985" w:type="dxa"/>
          </w:tcPr>
          <w:p w14:paraId="3A4747CB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lastRenderedPageBreak/>
              <w:t>Tryb pracy kontrolerów macierzowych</w:t>
            </w:r>
          </w:p>
        </w:tc>
        <w:tc>
          <w:tcPr>
            <w:tcW w:w="7513" w:type="dxa"/>
          </w:tcPr>
          <w:p w14:paraId="5B9A0AE4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posiadać minimum 2 kontrolery macierzowe pracujące w trybie </w:t>
            </w:r>
            <w:proofErr w:type="spellStart"/>
            <w:r w:rsidRPr="004D3057">
              <w:rPr>
                <w:rFonts w:cstheme="minorHAnsi"/>
              </w:rPr>
              <w:t>active-active</w:t>
            </w:r>
            <w:proofErr w:type="spellEnd"/>
            <w:r w:rsidRPr="004D3057">
              <w:rPr>
                <w:rFonts w:cstheme="minorHAnsi"/>
              </w:rPr>
              <w:t xml:space="preserve"> i udostępniające jednocześnie dane blokowe. Wszystkie kontrolery muszą komunikować się między sobą bez stosowania dodatkowych przełączników lub koncentratorów. </w:t>
            </w:r>
          </w:p>
        </w:tc>
      </w:tr>
      <w:tr w:rsidR="004D3057" w:rsidRPr="004D3057" w14:paraId="671D7B27" w14:textId="77777777" w:rsidTr="0003068E">
        <w:tc>
          <w:tcPr>
            <w:tcW w:w="1985" w:type="dxa"/>
          </w:tcPr>
          <w:p w14:paraId="110CE0F6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Pamięć cache</w:t>
            </w:r>
          </w:p>
        </w:tc>
        <w:tc>
          <w:tcPr>
            <w:tcW w:w="7513" w:type="dxa"/>
          </w:tcPr>
          <w:p w14:paraId="361EEF1F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Macierz musi posiadać minimum sumarycznie 32 GB pamięci cache. Pamięć cache musi być zbudowana w oparciu o wydajną pamięć typu RAM.</w:t>
            </w:r>
          </w:p>
          <w:p w14:paraId="5BC8431D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Pamięć zapisu musi być mirrorowana (kopie lustrzane) pomiędzy kontrolerami dyskowymi.</w:t>
            </w:r>
          </w:p>
          <w:p w14:paraId="2CC39AFC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Dane niezapisane na dyskach (np. zawartość pamięci kontrolera) muszą zostać zabezpieczone w przypadku awarii zasilania za pomocą podtrzymania bateryjnego lub z zastosowaniem innej technologii przez okres minimum 5 lat.</w:t>
            </w:r>
          </w:p>
        </w:tc>
      </w:tr>
      <w:tr w:rsidR="004D3057" w:rsidRPr="004D3057" w14:paraId="1C66EDC4" w14:textId="77777777" w:rsidTr="0003068E">
        <w:tc>
          <w:tcPr>
            <w:tcW w:w="1985" w:type="dxa"/>
          </w:tcPr>
          <w:p w14:paraId="710A7D8D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Rozbudowa pamięci cache</w:t>
            </w:r>
          </w:p>
        </w:tc>
        <w:tc>
          <w:tcPr>
            <w:tcW w:w="7513" w:type="dxa"/>
          </w:tcPr>
          <w:p w14:paraId="3A7F8A20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umożliwiać zwiększenie pojemności pamięci cache dla odczytów do minimum 8 TB z wykorzystaniem dysków SSD lub kart pamięci </w:t>
            </w:r>
            <w:proofErr w:type="spellStart"/>
            <w:r w:rsidRPr="004D3057">
              <w:rPr>
                <w:rFonts w:cstheme="minorHAnsi"/>
              </w:rPr>
              <w:t>flash</w:t>
            </w:r>
            <w:proofErr w:type="spellEnd"/>
            <w:r w:rsidRPr="004D3057">
              <w:rPr>
                <w:rFonts w:cstheme="minorHAnsi"/>
              </w:rPr>
              <w:t xml:space="preserve">. </w:t>
            </w:r>
          </w:p>
          <w:p w14:paraId="49E2C9DD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Jeżeli do obsługi powyższej funkcjonalności wymagane są dodatkowe licencje, należy je dostarczyć wraz z rozwiązaniem.</w:t>
            </w:r>
          </w:p>
        </w:tc>
      </w:tr>
      <w:tr w:rsidR="004D3057" w:rsidRPr="004D3057" w14:paraId="5734F3A8" w14:textId="77777777" w:rsidTr="0003068E">
        <w:tc>
          <w:tcPr>
            <w:tcW w:w="1985" w:type="dxa"/>
          </w:tcPr>
          <w:p w14:paraId="33BC40CF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Interfejsy </w:t>
            </w:r>
          </w:p>
        </w:tc>
        <w:tc>
          <w:tcPr>
            <w:tcW w:w="7513" w:type="dxa"/>
          </w:tcPr>
          <w:p w14:paraId="580F1F69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posiadać, co najmniej 8 portów 25Gb </w:t>
            </w:r>
            <w:proofErr w:type="spellStart"/>
            <w:r w:rsidRPr="004D3057">
              <w:rPr>
                <w:rFonts w:cstheme="minorHAnsi"/>
              </w:rPr>
              <w:t>iSCSI</w:t>
            </w:r>
            <w:proofErr w:type="spellEnd"/>
            <w:r w:rsidRPr="004D3057">
              <w:rPr>
                <w:rFonts w:cstheme="minorHAnsi"/>
              </w:rPr>
              <w:t xml:space="preserve"> w standardzie SFP28 </w:t>
            </w:r>
            <w:r w:rsidRPr="004D3057">
              <w:rPr>
                <w:rFonts w:cstheme="minorHAnsi"/>
              </w:rPr>
              <w:br/>
              <w:t>(4 porty na kontroler), 4 szt. kable DAC SFP28 25Gb, 2m. Kable dostarczone przez producenta serwera.</w:t>
            </w:r>
          </w:p>
        </w:tc>
      </w:tr>
      <w:tr w:rsidR="004D3057" w:rsidRPr="004D3057" w14:paraId="118DE0B6" w14:textId="77777777" w:rsidTr="0003068E">
        <w:tc>
          <w:tcPr>
            <w:tcW w:w="1985" w:type="dxa"/>
          </w:tcPr>
          <w:p w14:paraId="25745F2E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Zarządzanie</w:t>
            </w:r>
          </w:p>
        </w:tc>
        <w:tc>
          <w:tcPr>
            <w:tcW w:w="7513" w:type="dxa"/>
          </w:tcPr>
          <w:p w14:paraId="7C7437CE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Zarządzanie macierzą musi być możliwe z poziomu interfejsu graficznego i interfejsu znakowego. Zarządzanie macierzą musi odbywać się bezpośrednio na kontrolerach macierzy z poziomu przeglądarki internetowej. </w:t>
            </w:r>
          </w:p>
        </w:tc>
      </w:tr>
      <w:tr w:rsidR="004D3057" w:rsidRPr="004D3057" w14:paraId="32276AF0" w14:textId="77777777" w:rsidTr="0003068E">
        <w:tc>
          <w:tcPr>
            <w:tcW w:w="1985" w:type="dxa"/>
          </w:tcPr>
          <w:p w14:paraId="0AF257CC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Zarządzanie grupami dyskowymi oraz dyskami logicznymi</w:t>
            </w:r>
          </w:p>
        </w:tc>
        <w:tc>
          <w:tcPr>
            <w:tcW w:w="7513" w:type="dxa"/>
          </w:tcPr>
          <w:p w14:paraId="0E1EF0FF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umożliwiać zdefiniowanie, co najmniej 500 wolumenów logicznych w ramach oferowanej macierzy dyskowej. </w:t>
            </w:r>
          </w:p>
          <w:p w14:paraId="54102FD7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Musi istnieć możliwość rozłożenia pojedynczego wolumenu logicznego na wszystkie dyski fizyczne macierzy (tzw. </w:t>
            </w:r>
            <w:proofErr w:type="spellStart"/>
            <w:r w:rsidRPr="004D3057">
              <w:rPr>
                <w:rFonts w:cstheme="minorHAnsi"/>
              </w:rPr>
              <w:t>wide-striping</w:t>
            </w:r>
            <w:proofErr w:type="spellEnd"/>
            <w:r w:rsidRPr="004D3057">
              <w:rPr>
                <w:rFonts w:cstheme="minorHAnsi"/>
              </w:rPr>
              <w:t>), bez konieczności łączenia wielu różnych dysków logicznych w jeden większy.</w:t>
            </w:r>
          </w:p>
          <w:p w14:paraId="0C0836B5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  <w:bCs/>
              </w:rPr>
              <w:t>Jeżeli do obsługi powyższych funkcjonalności wymagane są dodatkowe licencje, należy je dostarczyć dla całej pojemności urządzenia.</w:t>
            </w:r>
          </w:p>
        </w:tc>
      </w:tr>
      <w:tr w:rsidR="004D3057" w:rsidRPr="004D3057" w14:paraId="7293287B" w14:textId="77777777" w:rsidTr="0003068E">
        <w:tc>
          <w:tcPr>
            <w:tcW w:w="1985" w:type="dxa"/>
          </w:tcPr>
          <w:p w14:paraId="2D3E40F8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proofErr w:type="spellStart"/>
            <w:r w:rsidRPr="004D3057">
              <w:rPr>
                <w:rFonts w:cstheme="minorHAnsi"/>
              </w:rPr>
              <w:t>Thin</w:t>
            </w:r>
            <w:proofErr w:type="spellEnd"/>
            <w:r w:rsidRPr="004D3057">
              <w:rPr>
                <w:rFonts w:cstheme="minorHAnsi"/>
              </w:rPr>
              <w:t xml:space="preserve"> </w:t>
            </w:r>
            <w:proofErr w:type="spellStart"/>
            <w:r w:rsidRPr="004D3057">
              <w:rPr>
                <w:rFonts w:cstheme="minorHAnsi"/>
              </w:rPr>
              <w:t>Provisioning</w:t>
            </w:r>
            <w:proofErr w:type="spellEnd"/>
          </w:p>
        </w:tc>
        <w:tc>
          <w:tcPr>
            <w:tcW w:w="7513" w:type="dxa"/>
          </w:tcPr>
          <w:p w14:paraId="484F4462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umożliwiać udostępnianie zasobów dyskowych do serwerów w trybie tradycyjnym, jak i w trybie typu </w:t>
            </w:r>
            <w:proofErr w:type="spellStart"/>
            <w:r w:rsidRPr="004D3057">
              <w:rPr>
                <w:rFonts w:cstheme="minorHAnsi"/>
              </w:rPr>
              <w:t>Thin</w:t>
            </w:r>
            <w:proofErr w:type="spellEnd"/>
            <w:r w:rsidRPr="004D3057">
              <w:rPr>
                <w:rFonts w:cstheme="minorHAnsi"/>
              </w:rPr>
              <w:t xml:space="preserve"> </w:t>
            </w:r>
            <w:proofErr w:type="spellStart"/>
            <w:r w:rsidRPr="004D3057">
              <w:rPr>
                <w:rFonts w:cstheme="minorHAnsi"/>
              </w:rPr>
              <w:t>Provisioning</w:t>
            </w:r>
            <w:proofErr w:type="spellEnd"/>
            <w:r w:rsidRPr="004D3057">
              <w:rPr>
                <w:rFonts w:cstheme="minorHAnsi"/>
              </w:rPr>
              <w:t>.</w:t>
            </w:r>
          </w:p>
          <w:p w14:paraId="23FF38B9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umożliwiać odzyskiwanie przestrzeni dyskowych po usuniętych danych w ramach wolumenów typu </w:t>
            </w:r>
            <w:proofErr w:type="spellStart"/>
            <w:r w:rsidRPr="004D3057">
              <w:rPr>
                <w:rFonts w:cstheme="minorHAnsi"/>
              </w:rPr>
              <w:t>Thin</w:t>
            </w:r>
            <w:proofErr w:type="spellEnd"/>
            <w:r w:rsidRPr="004D3057">
              <w:rPr>
                <w:rFonts w:cstheme="minorHAnsi"/>
              </w:rPr>
              <w:t>. Proces odzyskiwania danych musi być automatyczny bez konieczności uruchamiania dodatkowych procesów na kontrolerach macierzowych (wymagana obsługa standardu T10 SCSI UNMAP).</w:t>
            </w:r>
          </w:p>
          <w:p w14:paraId="112FD1E0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  <w:bCs/>
              </w:rPr>
              <w:t>Jeżeli do obsługi powyższych funkcjonalności wymagane są dodatkowe licencje, należy je dostarczyć dla całej pojemności urządzenia.</w:t>
            </w:r>
          </w:p>
        </w:tc>
      </w:tr>
      <w:tr w:rsidR="004D3057" w:rsidRPr="004D3057" w14:paraId="6DC6D8B8" w14:textId="77777777" w:rsidTr="0003068E">
        <w:tc>
          <w:tcPr>
            <w:tcW w:w="1985" w:type="dxa"/>
          </w:tcPr>
          <w:p w14:paraId="1284FA09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proofErr w:type="spellStart"/>
            <w:r w:rsidRPr="004D3057">
              <w:rPr>
                <w:rFonts w:cstheme="minorHAnsi"/>
              </w:rPr>
              <w:t>Tiering</w:t>
            </w:r>
            <w:proofErr w:type="spellEnd"/>
          </w:p>
        </w:tc>
        <w:tc>
          <w:tcPr>
            <w:tcW w:w="7513" w:type="dxa"/>
          </w:tcPr>
          <w:p w14:paraId="1278EEC8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posiadać funkcjonalność </w:t>
            </w:r>
            <w:proofErr w:type="spellStart"/>
            <w:r w:rsidRPr="004D3057">
              <w:rPr>
                <w:rFonts w:cstheme="minorHAnsi"/>
              </w:rPr>
              <w:t>Tiering</w:t>
            </w:r>
            <w:proofErr w:type="spellEnd"/>
            <w:r w:rsidRPr="004D3057">
              <w:rPr>
                <w:rFonts w:cstheme="minorHAnsi"/>
              </w:rPr>
              <w:t xml:space="preserve"> między dyskami SSD i SAS i między dyskami SAS i NL SAS.</w:t>
            </w:r>
          </w:p>
          <w:p w14:paraId="446D3B62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proofErr w:type="spellStart"/>
            <w:r w:rsidRPr="004D3057">
              <w:rPr>
                <w:rFonts w:cstheme="minorHAnsi"/>
              </w:rPr>
              <w:t>Tiering</w:t>
            </w:r>
            <w:proofErr w:type="spellEnd"/>
            <w:r w:rsidRPr="004D3057">
              <w:rPr>
                <w:rFonts w:cstheme="minorHAnsi"/>
              </w:rPr>
              <w:t xml:space="preserve"> musi obejmować wszystkie woluminy w danej puli dyskowej.</w:t>
            </w:r>
          </w:p>
          <w:p w14:paraId="2D8BF871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Dyski SSD mogą być wykorzystane zarówno do uzyskania pojemności w warstwie wydajności lub na potrzeby zwiększenia pamięci podręcznej odczytu w celu przyspieszenia operacji losowego odczytu z jednej lub wielu warstw napędów mechanicznych.</w:t>
            </w:r>
          </w:p>
        </w:tc>
      </w:tr>
      <w:tr w:rsidR="004D3057" w:rsidRPr="004D3057" w14:paraId="4E786702" w14:textId="77777777" w:rsidTr="0003068E">
        <w:tc>
          <w:tcPr>
            <w:tcW w:w="1985" w:type="dxa"/>
          </w:tcPr>
          <w:p w14:paraId="00750A9A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lastRenderedPageBreak/>
              <w:t>Wewnętrzne kopie migawkowe</w:t>
            </w:r>
          </w:p>
        </w:tc>
        <w:tc>
          <w:tcPr>
            <w:tcW w:w="7513" w:type="dxa"/>
          </w:tcPr>
          <w:p w14:paraId="25245DE2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  <w:bCs/>
              </w:rPr>
            </w:pPr>
            <w:r w:rsidRPr="004D3057">
              <w:rPr>
                <w:rFonts w:cstheme="minorHAnsi"/>
                <w:bCs/>
              </w:rPr>
              <w:t>Macierz musi umożliwiać dokonywania na żądanie tzw. migawkowej kopii danych (</w:t>
            </w:r>
            <w:proofErr w:type="spellStart"/>
            <w:r w:rsidRPr="004D3057">
              <w:rPr>
                <w:rFonts w:cstheme="minorHAnsi"/>
                <w:bCs/>
              </w:rPr>
              <w:t>snapshot</w:t>
            </w:r>
            <w:proofErr w:type="spellEnd"/>
            <w:r w:rsidRPr="004D3057">
              <w:rPr>
                <w:rFonts w:cstheme="minorHAnsi"/>
                <w:bCs/>
              </w:rPr>
              <w:t>, point-in-</w:t>
            </w:r>
            <w:proofErr w:type="spellStart"/>
            <w:r w:rsidRPr="004D3057">
              <w:rPr>
                <w:rFonts w:cstheme="minorHAnsi"/>
                <w:bCs/>
              </w:rPr>
              <w:t>time</w:t>
            </w:r>
            <w:proofErr w:type="spellEnd"/>
            <w:r w:rsidRPr="004D3057">
              <w:rPr>
                <w:rFonts w:cstheme="minorHAnsi"/>
                <w:bCs/>
              </w:rPr>
              <w:t xml:space="preserve">) w ramach macierzy za pomocą wewnętrznych kontrolerów macierzowych. Kopia migawkowa wykonuje się bez alokowania dodatkowej przestrzeni dyskowej na potrzeby kopii. Zajmowanie dodatkowej przestrzeni dyskowej następuje w momencie zmiany danych na dysku źródłowym lub na jego kopii. </w:t>
            </w:r>
          </w:p>
          <w:p w14:paraId="7F3279D2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  <w:bCs/>
              </w:rPr>
            </w:pPr>
            <w:r w:rsidRPr="004D3057">
              <w:rPr>
                <w:rFonts w:cstheme="minorHAnsi"/>
                <w:bCs/>
              </w:rPr>
              <w:t xml:space="preserve">Macierz musi wspierać minimum 512 kopii migawkowych. Jeżeli do obsługi powyższych funkcjonalności wymagane są dodatkowe licencje, należy je dostarczyć dla całej pojemności urządzenia. </w:t>
            </w:r>
          </w:p>
        </w:tc>
      </w:tr>
      <w:tr w:rsidR="004D3057" w:rsidRPr="004D3057" w14:paraId="6B12D731" w14:textId="77777777" w:rsidTr="0003068E">
        <w:tc>
          <w:tcPr>
            <w:tcW w:w="1985" w:type="dxa"/>
          </w:tcPr>
          <w:p w14:paraId="7C14A7BE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Wewnętrzne kopie pełne</w:t>
            </w:r>
          </w:p>
        </w:tc>
        <w:tc>
          <w:tcPr>
            <w:tcW w:w="7513" w:type="dxa"/>
          </w:tcPr>
          <w:p w14:paraId="3F741311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umożliwiać dokonywanie na żądanie pełnej fizycznej kopii danych (clone) w ramach macierzy za pomocą wewnętrznych kontrolerów macierzowych. </w:t>
            </w:r>
          </w:p>
          <w:p w14:paraId="630C5481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  <w:bCs/>
              </w:rPr>
              <w:t>Jeżeli do obsługi powyższych funkcjonalności wymagane są dodatkowe licencje, należy je dostarczyć dla całej pojemności urządzenia.</w:t>
            </w:r>
          </w:p>
        </w:tc>
      </w:tr>
      <w:tr w:rsidR="004D3057" w:rsidRPr="004D3057" w14:paraId="09B2CBBD" w14:textId="77777777" w:rsidTr="0003068E">
        <w:tc>
          <w:tcPr>
            <w:tcW w:w="1985" w:type="dxa"/>
          </w:tcPr>
          <w:p w14:paraId="4CD65615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Migracja danych w obrębie macierzy</w:t>
            </w:r>
          </w:p>
        </w:tc>
        <w:tc>
          <w:tcPr>
            <w:tcW w:w="7513" w:type="dxa"/>
          </w:tcPr>
          <w:p w14:paraId="55B13107" w14:textId="77777777" w:rsidR="004D3057" w:rsidRPr="004D3057" w:rsidRDefault="004D3057" w:rsidP="0003068E">
            <w:pPr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dyskowa musi umożliwiać migrację danych bez przerywania do nich dostępu pomiędzy różnymi warstwami technologii dyskowych na poziomie części wolumenów logicznych (ang. </w:t>
            </w:r>
            <w:proofErr w:type="spellStart"/>
            <w:r w:rsidRPr="004D3057">
              <w:rPr>
                <w:rFonts w:cstheme="minorHAnsi"/>
              </w:rPr>
              <w:t>Sub</w:t>
            </w:r>
            <w:proofErr w:type="spellEnd"/>
            <w:r w:rsidRPr="004D3057">
              <w:rPr>
                <w:rFonts w:cstheme="minorHAnsi"/>
              </w:rPr>
              <w:t xml:space="preserve">-LUN). Zmiany te muszą się odbywać wewnętrznymi mechanizmami macierzy. Funkcjonalność musi umożliwiać zdefiniowanie zasobu LUN, który fizycznie będzie znajdował się na min. 3 typach dysków obsługiwanych przez macierz, a jego części będą realokowane na podstawie analizy ruchu w sposób automatyczny i transparentny (bez przerywania dostępu do danych) dla korzystających z tego wolumenu hostów. Zmiany te muszą się odbywać wewnętrznymi mechanizmami macierzy. </w:t>
            </w:r>
            <w:r w:rsidRPr="004D3057">
              <w:rPr>
                <w:rFonts w:cstheme="minorHAnsi"/>
                <w:bCs/>
              </w:rPr>
              <w:t>Jeżeli do obsługi powyższych funkcjonalności wymagane są dodatkowe licencje, należy je dostarczyć dla całej pojemności dostarczanego urządzenia.</w:t>
            </w:r>
          </w:p>
        </w:tc>
      </w:tr>
      <w:tr w:rsidR="004D3057" w:rsidRPr="004D3057" w14:paraId="4BF6EF53" w14:textId="77777777" w:rsidTr="0003068E">
        <w:tc>
          <w:tcPr>
            <w:tcW w:w="1985" w:type="dxa"/>
          </w:tcPr>
          <w:p w14:paraId="2B3EBE3E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Zdalna replikacja danych</w:t>
            </w:r>
          </w:p>
          <w:p w14:paraId="21152D49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</w:p>
        </w:tc>
        <w:tc>
          <w:tcPr>
            <w:tcW w:w="7513" w:type="dxa"/>
          </w:tcPr>
          <w:p w14:paraId="44771E6A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umożliwiać asynchroniczną replikację danych do innej macierzy z tej samej rodziny. Replikacja musi być wykonywana na poziomie kontrolerów, bez użycia dodatkowych serwerów lub innych urządzeń i bez obciążania serwerów podłączonych do macierzy. </w:t>
            </w:r>
          </w:p>
          <w:p w14:paraId="28D69AA2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  <w:bCs/>
              </w:rPr>
            </w:pPr>
            <w:r w:rsidRPr="004D3057">
              <w:rPr>
                <w:rFonts w:cstheme="minorHAnsi"/>
                <w:bCs/>
              </w:rPr>
              <w:t>Jeżeli do obsługi powyższej funkcjonalności wymagane są dodatkowe licencje, należy je dostarczyć wraz z urządzeniem.</w:t>
            </w:r>
          </w:p>
        </w:tc>
      </w:tr>
      <w:tr w:rsidR="004D3057" w:rsidRPr="004D3057" w14:paraId="29D94280" w14:textId="77777777" w:rsidTr="0003068E">
        <w:tc>
          <w:tcPr>
            <w:tcW w:w="1985" w:type="dxa"/>
          </w:tcPr>
          <w:p w14:paraId="5B481F03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Podłączanie zewnętrznych systemów operacyjnych</w:t>
            </w:r>
          </w:p>
        </w:tc>
        <w:tc>
          <w:tcPr>
            <w:tcW w:w="7513" w:type="dxa"/>
          </w:tcPr>
          <w:p w14:paraId="78DAAA73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umożliwiać jednoczesne podłączenie wielu serwerów w trybie wysokiej dostępności (co najmniej dwoma ścieżkami). </w:t>
            </w:r>
          </w:p>
          <w:p w14:paraId="77CA0159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wspierać podłączenie następujących systemów operacyjnych: Windows, RHEL, SLES, Vmware, </w:t>
            </w:r>
            <w:proofErr w:type="spellStart"/>
            <w:r w:rsidRPr="004D3057">
              <w:rPr>
                <w:rFonts w:cstheme="minorHAnsi"/>
              </w:rPr>
              <w:t>Citrix</w:t>
            </w:r>
            <w:proofErr w:type="spellEnd"/>
            <w:r w:rsidRPr="004D3057">
              <w:rPr>
                <w:rFonts w:cstheme="minorHAnsi"/>
              </w:rPr>
              <w:t xml:space="preserve">. </w:t>
            </w:r>
          </w:p>
          <w:p w14:paraId="1BA2B20A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Dla wymienionych systemów operacyjnych należy dostarczyć oprogramowanie do przełączania ścieżek i równoważenia obciążenia poszczególnych ścieżek. Wymagane jest oprogramowanie dla nielimitowanej liczby serwerów. Dopuszcza się rozwiązania bazujące na natywnych możliwościach systemów operacyjnych.</w:t>
            </w:r>
          </w:p>
          <w:p w14:paraId="4B94E31A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  <w:bCs/>
              </w:rPr>
              <w:t xml:space="preserve">Jeżeli do obsługi powyższych funkcjonalności wymagane są dodatkowe licencje, należy je dostarczyć dla </w:t>
            </w:r>
            <w:r w:rsidRPr="004D3057">
              <w:rPr>
                <w:rFonts w:cstheme="minorHAnsi"/>
              </w:rPr>
              <w:t>maksymalnej liczby serwerów obsługiwanych przez oferowane urządzenie.</w:t>
            </w:r>
          </w:p>
        </w:tc>
      </w:tr>
      <w:tr w:rsidR="004D3057" w:rsidRPr="004D3057" w14:paraId="70FD42DB" w14:textId="77777777" w:rsidTr="0003068E">
        <w:tc>
          <w:tcPr>
            <w:tcW w:w="1985" w:type="dxa"/>
          </w:tcPr>
          <w:p w14:paraId="0ED8EB1D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lastRenderedPageBreak/>
              <w:t>Redundancja</w:t>
            </w:r>
          </w:p>
          <w:p w14:paraId="32C07D5F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</w:p>
        </w:tc>
        <w:tc>
          <w:tcPr>
            <w:tcW w:w="7513" w:type="dxa"/>
          </w:tcPr>
          <w:p w14:paraId="1D966414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Macierz nie może posiadać pojedynczego punktu awarii, który powodowałby brak dostępu do danych. Musi być zapewniona pełna redundancja komponentów, w szczególności zdublowanie kontrolerów, zasilaczy i wentylatorów.</w:t>
            </w:r>
          </w:p>
          <w:p w14:paraId="2D8A2071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Macierz musi umożliwiać wymianę elementów systemu w trybie „hot-</w:t>
            </w:r>
            <w:proofErr w:type="spellStart"/>
            <w:r w:rsidRPr="004D3057">
              <w:rPr>
                <w:rFonts w:cstheme="minorHAnsi"/>
              </w:rPr>
              <w:t>swap</w:t>
            </w:r>
            <w:proofErr w:type="spellEnd"/>
            <w:r w:rsidRPr="004D3057">
              <w:rPr>
                <w:rFonts w:cstheme="minorHAnsi"/>
              </w:rPr>
              <w:t>”, a w szczególności takich, jak: dyski, kontrolery, zasilacze, wentylatory.</w:t>
            </w:r>
          </w:p>
          <w:p w14:paraId="270B6C57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  <w:bCs/>
              </w:rPr>
              <w:t>Macierz musi mieć możliwość zasilania z dwu niezależnych źródeł zasilania – odporność na zanik zasilania jednej fazy lub awarię jednego z zasilaczy macierzy.</w:t>
            </w:r>
            <w:r w:rsidRPr="004D3057">
              <w:rPr>
                <w:rFonts w:cstheme="minorHAnsi"/>
              </w:rPr>
              <w:t xml:space="preserve"> </w:t>
            </w:r>
          </w:p>
          <w:p w14:paraId="7C47FE8C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Zasilacze użyte w macierzy powinny posiadać certyfikat sprawności zasilacza minimum 80+ Gold.</w:t>
            </w:r>
          </w:p>
        </w:tc>
      </w:tr>
      <w:tr w:rsidR="004D3057" w:rsidRPr="004D3057" w14:paraId="7EEAC7B5" w14:textId="77777777" w:rsidTr="0003068E">
        <w:tc>
          <w:tcPr>
            <w:tcW w:w="1985" w:type="dxa"/>
          </w:tcPr>
          <w:p w14:paraId="3EFAD175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Dodatkowe wymagania</w:t>
            </w:r>
          </w:p>
        </w:tc>
        <w:tc>
          <w:tcPr>
            <w:tcW w:w="7513" w:type="dxa"/>
          </w:tcPr>
          <w:p w14:paraId="37423FC2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Oferowany system dyskowy musi się składać z pojedynczej macierzy dyskowej. Niedopuszczalna jest realizacja zamówienia poprzez dostarczenie wielu macierzy dyskowych. Za pojedynczą macierz nie uznaje się rozwiązania opartego o wiele macierzy dyskowych (par kontrolerów macierzowych) połączonych przełącznikami SAN lub tzw. </w:t>
            </w:r>
            <w:proofErr w:type="spellStart"/>
            <w:r w:rsidRPr="004D3057">
              <w:rPr>
                <w:rFonts w:cstheme="minorHAnsi"/>
              </w:rPr>
              <w:t>wirtualizatorem</w:t>
            </w:r>
            <w:proofErr w:type="spellEnd"/>
            <w:r w:rsidRPr="004D3057">
              <w:rPr>
                <w:rFonts w:cstheme="minorHAnsi"/>
              </w:rPr>
              <w:t xml:space="preserve"> sieci SAN czy </w:t>
            </w:r>
            <w:proofErr w:type="spellStart"/>
            <w:r w:rsidRPr="004D3057">
              <w:rPr>
                <w:rFonts w:cstheme="minorHAnsi"/>
              </w:rPr>
              <w:t>wirtualizatorem</w:t>
            </w:r>
            <w:proofErr w:type="spellEnd"/>
            <w:r w:rsidRPr="004D3057">
              <w:rPr>
                <w:rFonts w:cstheme="minorHAnsi"/>
              </w:rPr>
              <w:t xml:space="preserve"> macierzy dyskowych.</w:t>
            </w:r>
          </w:p>
          <w:p w14:paraId="0394CF8B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Możliwość ograniczania poboru zasilania przez dyski, które nie obsługują operacji we/wy, poprzez ich zatrzymanie.</w:t>
            </w:r>
          </w:p>
        </w:tc>
      </w:tr>
      <w:tr w:rsidR="004D3057" w:rsidRPr="004D3057" w14:paraId="2ABDACEF" w14:textId="77777777" w:rsidTr="0003068E">
        <w:tc>
          <w:tcPr>
            <w:tcW w:w="1985" w:type="dxa"/>
          </w:tcPr>
          <w:p w14:paraId="0FFC5E26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Standardy bezpieczeństwa</w:t>
            </w:r>
          </w:p>
        </w:tc>
        <w:tc>
          <w:tcPr>
            <w:tcW w:w="7513" w:type="dxa"/>
          </w:tcPr>
          <w:p w14:paraId="5FB480CA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Urządzenie musi spełniać następujące standardy bezpieczeństwa: EN 62368-1 (</w:t>
            </w:r>
            <w:proofErr w:type="spellStart"/>
            <w:r w:rsidRPr="004D3057">
              <w:rPr>
                <w:rFonts w:cstheme="minorHAnsi"/>
              </w:rPr>
              <w:t>European</w:t>
            </w:r>
            <w:proofErr w:type="spellEnd"/>
            <w:r w:rsidRPr="004D3057">
              <w:rPr>
                <w:rFonts w:cstheme="minorHAnsi"/>
              </w:rPr>
              <w:t xml:space="preserve"> Union), IEC 60950-1 (International)</w:t>
            </w:r>
          </w:p>
        </w:tc>
      </w:tr>
      <w:tr w:rsidR="004D3057" w:rsidRPr="004D3057" w14:paraId="1A041497" w14:textId="77777777" w:rsidTr="00030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4285" w14:textId="77777777" w:rsidR="004D3057" w:rsidRPr="004D3057" w:rsidRDefault="004D3057" w:rsidP="0003068E">
            <w:pPr>
              <w:spacing w:after="0"/>
              <w:rPr>
                <w:rFonts w:eastAsia="MS Mincho" w:cstheme="minorHAnsi"/>
                <w:lang w:eastAsia="ja-JP"/>
              </w:rPr>
            </w:pPr>
            <w:r w:rsidRPr="004D3057">
              <w:rPr>
                <w:rFonts w:eastAsia="MS Mincho" w:cstheme="minorHAnsi"/>
                <w:lang w:eastAsia="ja-JP"/>
              </w:rPr>
              <w:t>Warunki gwarancji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C441" w14:textId="77777777" w:rsidR="004D3057" w:rsidRPr="002551A6" w:rsidRDefault="004D3057" w:rsidP="0003068E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t>5 lat gwarancji producenta</w:t>
            </w:r>
          </w:p>
          <w:p w14:paraId="12F1C696" w14:textId="77777777" w:rsidR="004D3057" w:rsidRPr="002551A6" w:rsidRDefault="004D3057" w:rsidP="0003068E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t xml:space="preserve">Zamawiający oczekuje możliwości zgłaszania zdarzeń serwisowych w trybie 24/7/365 następującymi kanałami: telefonicznie, przez Internet oraz z wykorzystaniem aplikacji. </w:t>
            </w:r>
          </w:p>
          <w:p w14:paraId="605C1B38" w14:textId="77777777" w:rsidR="004D3057" w:rsidRPr="002551A6" w:rsidRDefault="004D3057" w:rsidP="0003068E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t xml:space="preserve">Zamawiający oczekuje rozpoczęcia diagnostyki telefonicznej / internetowej już w momencie dokonania zgłoszenia. Certyfikowany Technik wykonawcy / producenta z właściwym zestawem części do naprawy (potwierdzonym na etapie diagnostyki) ma rozpocząć naprawę w siedzibie zamawiającego najpóźniej w następnym dniu roboczym (NBD) od otrzymania zgłoszenia / zakończenia diagnostyki. Naprawa ma się odbywać w siedzibie zamawiającego, chyba, że zamawiający dla danej naprawy zgodzi się na inną formę.  </w:t>
            </w:r>
          </w:p>
          <w:p w14:paraId="488D0C0F" w14:textId="77777777" w:rsidR="004D3057" w:rsidRPr="002551A6" w:rsidRDefault="004D3057" w:rsidP="0003068E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t>Zamawiający oczekuje bezpośredniego dostępu do wykwalifikowanej kadry inżynierów technicznych a w przypadku konieczności eskalacji zgłoszenia serwisowego wyznaczonego Kierownika Eskalacji po stronie wykonawcy.</w:t>
            </w:r>
          </w:p>
          <w:p w14:paraId="661477AF" w14:textId="19F12BD3" w:rsidR="004D3057" w:rsidRPr="002551A6" w:rsidRDefault="004D3057" w:rsidP="0003068E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t>Zamawiający wymaga pojedynczego punktu kontaktu dla całeg</w:t>
            </w:r>
            <w:r w:rsidR="00191F20">
              <w:rPr>
                <w:rFonts w:eastAsia="MS Mincho" w:cstheme="minorHAnsi"/>
                <w:lang w:eastAsia="ja-JP"/>
              </w:rPr>
              <w:t>o rozwiązania producenta</w:t>
            </w:r>
            <w:r w:rsidRPr="002551A6">
              <w:rPr>
                <w:rFonts w:eastAsia="MS Mincho" w:cstheme="minorHAnsi"/>
                <w:lang w:eastAsia="ja-JP"/>
              </w:rPr>
              <w:t xml:space="preserve">. </w:t>
            </w:r>
          </w:p>
          <w:p w14:paraId="3A40656B" w14:textId="77777777" w:rsidR="004D3057" w:rsidRPr="002551A6" w:rsidRDefault="004D3057" w:rsidP="0003068E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t>Zgłoszenie przyjęte jest potwierdzane przez zespół pomocy technicznej (mail/telefon / aplikacja / portal) przez nadanie unikalnego numeru zgłoszenia pozwalającego na identyfikację zgłoszenia w trakcie realizacji naprawy i po jej zakończeniu.</w:t>
            </w:r>
          </w:p>
          <w:p w14:paraId="537F827A" w14:textId="77777777" w:rsidR="004D3057" w:rsidRPr="002551A6" w:rsidRDefault="004D3057" w:rsidP="0003068E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lastRenderedPageBreak/>
              <w:t xml:space="preserve">Zamawiający oczekuje możliwości samodzielnego kwalifikowania poziomu ważności naprawy. </w:t>
            </w:r>
          </w:p>
          <w:p w14:paraId="5DBD5C88" w14:textId="77777777" w:rsidR="004D3057" w:rsidRPr="002551A6" w:rsidRDefault="004D3057" w:rsidP="0003068E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t xml:space="preserve">Możliwość sprawdzenia statusu gwarancji poprzez stronę producenta podając unikatowy numer urządzenia oraz pobieranie uaktualnień </w:t>
            </w:r>
            <w:proofErr w:type="spellStart"/>
            <w:r w:rsidRPr="002551A6">
              <w:rPr>
                <w:rFonts w:eastAsia="MS Mincho" w:cstheme="minorHAnsi"/>
                <w:lang w:eastAsia="ja-JP"/>
              </w:rPr>
              <w:t>mikrokodu</w:t>
            </w:r>
            <w:proofErr w:type="spellEnd"/>
            <w:r w:rsidRPr="002551A6">
              <w:rPr>
                <w:rFonts w:eastAsia="MS Mincho" w:cstheme="minorHAnsi"/>
                <w:lang w:eastAsia="ja-JP"/>
              </w:rPr>
              <w:t xml:space="preserve"> oraz sterowników nawet w przypadku wygaśnięcia gwarancji urządzenia.</w:t>
            </w:r>
          </w:p>
          <w:p w14:paraId="4493C1EB" w14:textId="77777777" w:rsidR="004D3057" w:rsidRPr="002551A6" w:rsidRDefault="004D3057" w:rsidP="0003068E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t xml:space="preserve">Zamawiający oczekuje nieodpłatnego udostępnienia narzędzi serwisowych i procesów wsparcia umożliwiających: Wykrywanie usterek sprzętowych z predykcją awarii. </w:t>
            </w:r>
          </w:p>
          <w:p w14:paraId="112D82EA" w14:textId="7FA3087B" w:rsidR="004D3057" w:rsidRPr="002551A6" w:rsidRDefault="004D3057" w:rsidP="006E0646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t>Automatyczną diagnostykę i zdalne otwieranie zgłoszeń serwisowych.</w:t>
            </w:r>
            <w:bookmarkStart w:id="0" w:name="_GoBack"/>
            <w:bookmarkEnd w:id="0"/>
          </w:p>
        </w:tc>
      </w:tr>
    </w:tbl>
    <w:p w14:paraId="2996A692" w14:textId="77777777" w:rsidR="004D3057" w:rsidRPr="004D3057" w:rsidRDefault="004D3057" w:rsidP="004D3057">
      <w:pPr>
        <w:rPr>
          <w:rFonts w:cstheme="minorHAnsi"/>
        </w:rPr>
      </w:pPr>
    </w:p>
    <w:p w14:paraId="76697202" w14:textId="77777777" w:rsidR="004D3057" w:rsidRPr="004D3057" w:rsidRDefault="004D3057" w:rsidP="004D305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D3057">
        <w:rPr>
          <w:rFonts w:cstheme="minorHAnsi"/>
        </w:rPr>
        <w:t xml:space="preserve">Nowa karta sieciowa dla posiadanego serwera Dell </w:t>
      </w:r>
      <w:proofErr w:type="spellStart"/>
      <w:r w:rsidRPr="004D3057">
        <w:rPr>
          <w:rFonts w:cstheme="minorHAnsi"/>
        </w:rPr>
        <w:t>PowerEdge</w:t>
      </w:r>
      <w:proofErr w:type="spellEnd"/>
      <w:r w:rsidRPr="004D3057">
        <w:rPr>
          <w:rFonts w:cstheme="minorHAnsi"/>
        </w:rPr>
        <w:t xml:space="preserve"> R440.</w:t>
      </w:r>
      <w:r w:rsidRPr="004D3057">
        <w:rPr>
          <w:rFonts w:cstheme="minorHAnsi"/>
        </w:rPr>
        <w:br/>
        <w:t xml:space="preserve">Karta </w:t>
      </w:r>
      <w:proofErr w:type="spellStart"/>
      <w:r w:rsidRPr="004D3057">
        <w:rPr>
          <w:rFonts w:cstheme="minorHAnsi"/>
        </w:rPr>
        <w:t>Mellanox</w:t>
      </w:r>
      <w:proofErr w:type="spellEnd"/>
      <w:r w:rsidRPr="004D3057">
        <w:rPr>
          <w:rFonts w:cstheme="minorHAnsi"/>
        </w:rPr>
        <w:t xml:space="preserve"> ConnectX-4 </w:t>
      </w:r>
      <w:proofErr w:type="spellStart"/>
      <w:r w:rsidRPr="004D3057">
        <w:rPr>
          <w:rFonts w:cstheme="minorHAnsi"/>
        </w:rPr>
        <w:t>Lx</w:t>
      </w:r>
      <w:proofErr w:type="spellEnd"/>
      <w:r w:rsidRPr="004D3057">
        <w:rPr>
          <w:rFonts w:cstheme="minorHAnsi"/>
        </w:rPr>
        <w:t xml:space="preserve"> 25GbE SFP28 dwuportowa karta sieciowa, </w:t>
      </w:r>
      <w:proofErr w:type="spellStart"/>
      <w:r w:rsidRPr="004D3057">
        <w:rPr>
          <w:rFonts w:cstheme="minorHAnsi"/>
        </w:rPr>
        <w:t>niskoprofilowa</w:t>
      </w:r>
      <w:proofErr w:type="spellEnd"/>
      <w:r w:rsidRPr="004D3057">
        <w:rPr>
          <w:rFonts w:cstheme="minorHAnsi"/>
        </w:rPr>
        <w:t>, zestaw dla klienta. Nowa karta z oficjalnej polskiej dystrybucji firmy Dell.</w:t>
      </w:r>
      <w:r w:rsidRPr="004D3057">
        <w:rPr>
          <w:rFonts w:cstheme="minorHAnsi"/>
        </w:rPr>
        <w:br/>
        <w:t xml:space="preserve">Gwarancja 12 miesięcy </w:t>
      </w:r>
      <w:proofErr w:type="spellStart"/>
      <w:r w:rsidRPr="004D3057">
        <w:rPr>
          <w:rFonts w:cstheme="minorHAnsi"/>
        </w:rPr>
        <w:t>door</w:t>
      </w:r>
      <w:proofErr w:type="spellEnd"/>
      <w:r w:rsidRPr="004D3057">
        <w:rPr>
          <w:rFonts w:cstheme="minorHAnsi"/>
        </w:rPr>
        <w:t>-to-</w:t>
      </w:r>
      <w:proofErr w:type="spellStart"/>
      <w:r w:rsidRPr="004D3057">
        <w:rPr>
          <w:rFonts w:cstheme="minorHAnsi"/>
        </w:rPr>
        <w:t>door</w:t>
      </w:r>
      <w:proofErr w:type="spellEnd"/>
      <w:r w:rsidRPr="004D3057">
        <w:rPr>
          <w:rFonts w:cstheme="minorHAnsi"/>
        </w:rPr>
        <w:t xml:space="preserve"> producenta lub autoryzowanego partnera producenta.</w:t>
      </w:r>
    </w:p>
    <w:p w14:paraId="6764579A" w14:textId="77777777" w:rsidR="004D3057" w:rsidRPr="004D3057" w:rsidRDefault="004D3057" w:rsidP="004D305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D3057">
        <w:rPr>
          <w:rFonts w:cstheme="minorHAnsi"/>
        </w:rPr>
        <w:t xml:space="preserve">Nowa karta sieciowa dla posiadanego serwera HP </w:t>
      </w:r>
      <w:proofErr w:type="spellStart"/>
      <w:r w:rsidRPr="004D3057">
        <w:rPr>
          <w:rFonts w:cstheme="minorHAnsi"/>
        </w:rPr>
        <w:t>ProLiant</w:t>
      </w:r>
      <w:proofErr w:type="spellEnd"/>
      <w:r w:rsidRPr="004D3057">
        <w:rPr>
          <w:rFonts w:cstheme="minorHAnsi"/>
        </w:rPr>
        <w:t xml:space="preserve"> ML350p Gen8</w:t>
      </w:r>
      <w:r w:rsidRPr="004D3057">
        <w:rPr>
          <w:rFonts w:cstheme="minorHAnsi"/>
        </w:rPr>
        <w:br/>
        <w:t xml:space="preserve">Karta </w:t>
      </w:r>
      <w:proofErr w:type="spellStart"/>
      <w:r w:rsidRPr="004D3057">
        <w:rPr>
          <w:rFonts w:cstheme="minorHAnsi"/>
        </w:rPr>
        <w:t>Mellanox</w:t>
      </w:r>
      <w:proofErr w:type="spellEnd"/>
      <w:r w:rsidRPr="004D3057">
        <w:rPr>
          <w:rFonts w:cstheme="minorHAnsi"/>
        </w:rPr>
        <w:t xml:space="preserve"> ConnectX-4 </w:t>
      </w:r>
      <w:proofErr w:type="spellStart"/>
      <w:r w:rsidRPr="004D3057">
        <w:rPr>
          <w:rFonts w:cstheme="minorHAnsi"/>
        </w:rPr>
        <w:t>Lx</w:t>
      </w:r>
      <w:proofErr w:type="spellEnd"/>
      <w:r w:rsidRPr="004D3057">
        <w:rPr>
          <w:rFonts w:cstheme="minorHAnsi"/>
        </w:rPr>
        <w:t xml:space="preserve"> MCX4121A-ACAT 25Gb SFP+ 2-Port</w:t>
      </w:r>
      <w:r w:rsidRPr="004D3057">
        <w:rPr>
          <w:rFonts w:cstheme="minorHAnsi"/>
        </w:rPr>
        <w:br/>
        <w:t xml:space="preserve">Gwarancja 12 miesięcy </w:t>
      </w:r>
      <w:proofErr w:type="spellStart"/>
      <w:r w:rsidRPr="004D3057">
        <w:rPr>
          <w:rFonts w:cstheme="minorHAnsi"/>
        </w:rPr>
        <w:t>door</w:t>
      </w:r>
      <w:proofErr w:type="spellEnd"/>
      <w:r w:rsidRPr="004D3057">
        <w:rPr>
          <w:rFonts w:cstheme="minorHAnsi"/>
        </w:rPr>
        <w:t>-to-</w:t>
      </w:r>
      <w:proofErr w:type="spellStart"/>
      <w:r w:rsidRPr="004D3057">
        <w:rPr>
          <w:rFonts w:cstheme="minorHAnsi"/>
        </w:rPr>
        <w:t>door</w:t>
      </w:r>
      <w:proofErr w:type="spellEnd"/>
      <w:r w:rsidRPr="004D3057">
        <w:rPr>
          <w:rFonts w:cstheme="minorHAnsi"/>
        </w:rPr>
        <w:t xml:space="preserve"> producenta lub autoryzowanego partnera producenta.</w:t>
      </w:r>
    </w:p>
    <w:p w14:paraId="29DA067E" w14:textId="77777777" w:rsidR="004D3057" w:rsidRPr="004D3057" w:rsidRDefault="004D3057" w:rsidP="004D305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D3057">
        <w:rPr>
          <w:rFonts w:cstheme="minorHAnsi"/>
        </w:rPr>
        <w:t xml:space="preserve">6 szt. nowych dysków dla posiadanego urządzenia </w:t>
      </w:r>
      <w:proofErr w:type="spellStart"/>
      <w:r w:rsidRPr="004D3057">
        <w:rPr>
          <w:rFonts w:cstheme="minorHAnsi"/>
        </w:rPr>
        <w:t>Qnap</w:t>
      </w:r>
      <w:proofErr w:type="spellEnd"/>
      <w:r w:rsidRPr="004D3057">
        <w:rPr>
          <w:rFonts w:cstheme="minorHAnsi"/>
        </w:rPr>
        <w:t xml:space="preserve"> TVS-671.</w:t>
      </w:r>
      <w:r w:rsidRPr="004D3057">
        <w:rPr>
          <w:rFonts w:cstheme="minorHAnsi"/>
        </w:rPr>
        <w:br/>
        <w:t>Dyski o pojemności min. 16TB znajdujące się na liście kompatybilności producenta urządzenia NAS.</w:t>
      </w:r>
      <w:r w:rsidRPr="004D3057">
        <w:rPr>
          <w:rFonts w:cstheme="minorHAnsi"/>
        </w:rPr>
        <w:br/>
        <w:t xml:space="preserve">Gwarancja 12 miesięcy </w:t>
      </w:r>
      <w:proofErr w:type="spellStart"/>
      <w:r w:rsidRPr="004D3057">
        <w:rPr>
          <w:rFonts w:cstheme="minorHAnsi"/>
        </w:rPr>
        <w:t>door</w:t>
      </w:r>
      <w:proofErr w:type="spellEnd"/>
      <w:r w:rsidRPr="004D3057">
        <w:rPr>
          <w:rFonts w:cstheme="minorHAnsi"/>
        </w:rPr>
        <w:t>-to-</w:t>
      </w:r>
      <w:proofErr w:type="spellStart"/>
      <w:r w:rsidRPr="004D3057">
        <w:rPr>
          <w:rFonts w:cstheme="minorHAnsi"/>
        </w:rPr>
        <w:t>door</w:t>
      </w:r>
      <w:proofErr w:type="spellEnd"/>
      <w:r w:rsidRPr="004D3057">
        <w:rPr>
          <w:rFonts w:cstheme="minorHAnsi"/>
        </w:rPr>
        <w:t xml:space="preserve"> producenta lub autoryzowanego partnera producenta.</w:t>
      </w:r>
    </w:p>
    <w:p w14:paraId="49D323C9" w14:textId="24033376" w:rsidR="004D3057" w:rsidRPr="004D3057" w:rsidRDefault="004D3057" w:rsidP="004D305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D3057">
        <w:rPr>
          <w:rFonts w:cstheme="minorHAnsi"/>
        </w:rPr>
        <w:t>Wdrożenie</w:t>
      </w:r>
      <w:r w:rsidRPr="004D3057">
        <w:rPr>
          <w:rFonts w:cstheme="minorHAnsi"/>
        </w:rPr>
        <w:br/>
        <w:t>Usługa wdrożenia musi obejmować:</w:t>
      </w:r>
    </w:p>
    <w:p w14:paraId="4410B734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>Montaż oferowanych 6 szt. dysków w macierzy NAS wraz z przeprowadzeniem migracji danych</w:t>
      </w:r>
      <w:r w:rsidRPr="004D3057">
        <w:rPr>
          <w:rFonts w:cstheme="minorHAnsi"/>
        </w:rPr>
        <w:br/>
        <w:t>z obecnie posiadanych dysków – 22TB danych</w:t>
      </w:r>
    </w:p>
    <w:p w14:paraId="50510FEB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 xml:space="preserve">Montaż w szafie </w:t>
      </w:r>
      <w:proofErr w:type="spellStart"/>
      <w:r w:rsidRPr="004D3057">
        <w:rPr>
          <w:rFonts w:cstheme="minorHAnsi"/>
        </w:rPr>
        <w:t>rack</w:t>
      </w:r>
      <w:proofErr w:type="spellEnd"/>
      <w:r w:rsidRPr="004D3057">
        <w:rPr>
          <w:rFonts w:cstheme="minorHAnsi"/>
        </w:rPr>
        <w:t xml:space="preserve"> i uruchomienie oferowanej macierzy w siedzibie Klienta</w:t>
      </w:r>
    </w:p>
    <w:p w14:paraId="50DC95E4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 xml:space="preserve">Montaż i uruchomienie oferowanej karty sieciowe w serwerze Dell </w:t>
      </w:r>
      <w:proofErr w:type="spellStart"/>
      <w:r w:rsidRPr="004D3057">
        <w:rPr>
          <w:rFonts w:cstheme="minorHAnsi"/>
        </w:rPr>
        <w:t>PowerEdge</w:t>
      </w:r>
      <w:proofErr w:type="spellEnd"/>
      <w:r w:rsidRPr="004D3057">
        <w:rPr>
          <w:rFonts w:cstheme="minorHAnsi"/>
        </w:rPr>
        <w:t xml:space="preserve"> R440 posiadanym przez Klienta</w:t>
      </w:r>
    </w:p>
    <w:p w14:paraId="396F3EC5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 xml:space="preserve">Montaż i uruchomienie oferowanej karty sieciowe w serwerze </w:t>
      </w:r>
      <w:bookmarkStart w:id="1" w:name="_Hlk146529204"/>
      <w:r w:rsidRPr="004D3057">
        <w:rPr>
          <w:rFonts w:cstheme="minorHAnsi"/>
        </w:rPr>
        <w:t xml:space="preserve">HP </w:t>
      </w:r>
      <w:proofErr w:type="spellStart"/>
      <w:r w:rsidRPr="004D3057">
        <w:rPr>
          <w:rFonts w:cstheme="minorHAnsi"/>
        </w:rPr>
        <w:t>ProLiant</w:t>
      </w:r>
      <w:proofErr w:type="spellEnd"/>
      <w:r w:rsidRPr="004D3057">
        <w:rPr>
          <w:rFonts w:cstheme="minorHAnsi"/>
        </w:rPr>
        <w:t xml:space="preserve"> ML350p Gen8 </w:t>
      </w:r>
      <w:bookmarkEnd w:id="1"/>
      <w:r w:rsidRPr="004D3057">
        <w:rPr>
          <w:rFonts w:cstheme="minorHAnsi"/>
        </w:rPr>
        <w:t>posiadanym przez Klienta</w:t>
      </w:r>
    </w:p>
    <w:p w14:paraId="7BC7D777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 xml:space="preserve">Podłączenie redundantne macierzy z serwerem (host Vmware – Dell </w:t>
      </w:r>
      <w:proofErr w:type="spellStart"/>
      <w:r w:rsidRPr="004D3057">
        <w:rPr>
          <w:rFonts w:cstheme="minorHAnsi"/>
        </w:rPr>
        <w:t>PowerEdge</w:t>
      </w:r>
      <w:proofErr w:type="spellEnd"/>
      <w:r w:rsidRPr="004D3057">
        <w:rPr>
          <w:rFonts w:cstheme="minorHAnsi"/>
        </w:rPr>
        <w:t xml:space="preserve"> R440)</w:t>
      </w:r>
    </w:p>
    <w:p w14:paraId="3CA1F082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 xml:space="preserve">Podłączenie redundantne macierzy z serwerem (host Hyper-V – HP </w:t>
      </w:r>
      <w:proofErr w:type="spellStart"/>
      <w:r w:rsidRPr="004D3057">
        <w:rPr>
          <w:rFonts w:cstheme="minorHAnsi"/>
        </w:rPr>
        <w:t>ProLiant</w:t>
      </w:r>
      <w:proofErr w:type="spellEnd"/>
      <w:r w:rsidRPr="004D3057">
        <w:rPr>
          <w:rFonts w:cstheme="minorHAnsi"/>
        </w:rPr>
        <w:t xml:space="preserve"> ML350p Gen8)</w:t>
      </w:r>
    </w:p>
    <w:p w14:paraId="2B9483DE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>Konfigurację macierzy zgodnie z wymaganiami Klienta oraz dobrymi praktykami</w:t>
      </w:r>
    </w:p>
    <w:p w14:paraId="7B93B0EA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 xml:space="preserve">Przeniesienie sześciu maszyn wirtualnych z hosta Vmware (Dell </w:t>
      </w:r>
      <w:proofErr w:type="spellStart"/>
      <w:r w:rsidRPr="004D3057">
        <w:rPr>
          <w:rFonts w:cstheme="minorHAnsi"/>
        </w:rPr>
        <w:t>PowerEdge</w:t>
      </w:r>
      <w:proofErr w:type="spellEnd"/>
      <w:r w:rsidRPr="004D3057">
        <w:rPr>
          <w:rFonts w:cstheme="minorHAnsi"/>
        </w:rPr>
        <w:t xml:space="preserve"> R440) Klienta na skonfigurowaną macierz. Na hoście znajduje się 5 maszyn wirtualnych WS 2019 Standard oraz</w:t>
      </w:r>
      <w:r w:rsidRPr="004D3057">
        <w:rPr>
          <w:rFonts w:cstheme="minorHAnsi"/>
        </w:rPr>
        <w:br/>
        <w:t>1 maszyna VCSA o łącznej zajętości ok 4TB</w:t>
      </w:r>
    </w:p>
    <w:p w14:paraId="6BF6F5F8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 xml:space="preserve">Aktualizacja hosta Vmware (Dell </w:t>
      </w:r>
      <w:proofErr w:type="spellStart"/>
      <w:r w:rsidRPr="004D3057">
        <w:rPr>
          <w:rFonts w:cstheme="minorHAnsi"/>
        </w:rPr>
        <w:t>PowerEdge</w:t>
      </w:r>
      <w:proofErr w:type="spellEnd"/>
      <w:r w:rsidRPr="004D3057">
        <w:rPr>
          <w:rFonts w:cstheme="minorHAnsi"/>
        </w:rPr>
        <w:t xml:space="preserve"> R440) z wersji 7.0 do wersji 7.0 U3</w:t>
      </w:r>
    </w:p>
    <w:p w14:paraId="7C4719C2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 xml:space="preserve">Przeniesienie sześciu maszyn wirtualnych z hosta Hyper-V (HP </w:t>
      </w:r>
      <w:proofErr w:type="spellStart"/>
      <w:r w:rsidRPr="004D3057">
        <w:rPr>
          <w:rFonts w:cstheme="minorHAnsi"/>
        </w:rPr>
        <w:t>ProLiant</w:t>
      </w:r>
      <w:proofErr w:type="spellEnd"/>
      <w:r w:rsidRPr="004D3057">
        <w:rPr>
          <w:rFonts w:cstheme="minorHAnsi"/>
        </w:rPr>
        <w:t xml:space="preserve"> ML350p Gen8) Klienta na skonfigurowaną macierz. Na hoście znajdują się 2 maszyny wirtualne WS 2012 oraz 4 maszyny </w:t>
      </w:r>
      <w:proofErr w:type="spellStart"/>
      <w:r w:rsidRPr="004D3057">
        <w:rPr>
          <w:rFonts w:cstheme="minorHAnsi"/>
        </w:rPr>
        <w:t>linuxowe</w:t>
      </w:r>
      <w:proofErr w:type="spellEnd"/>
      <w:r w:rsidRPr="004D3057">
        <w:rPr>
          <w:rFonts w:cstheme="minorHAnsi"/>
        </w:rPr>
        <w:t xml:space="preserve"> (</w:t>
      </w:r>
      <w:proofErr w:type="spellStart"/>
      <w:r w:rsidRPr="004D3057">
        <w:rPr>
          <w:rFonts w:cstheme="minorHAnsi"/>
        </w:rPr>
        <w:t>Ubuntu</w:t>
      </w:r>
      <w:proofErr w:type="spellEnd"/>
      <w:r w:rsidRPr="004D3057">
        <w:rPr>
          <w:rFonts w:cstheme="minorHAnsi"/>
        </w:rPr>
        <w:t xml:space="preserve"> oraz </w:t>
      </w:r>
      <w:proofErr w:type="spellStart"/>
      <w:r w:rsidRPr="004D3057">
        <w:rPr>
          <w:rFonts w:cstheme="minorHAnsi"/>
        </w:rPr>
        <w:t>Centos</w:t>
      </w:r>
      <w:proofErr w:type="spellEnd"/>
      <w:r w:rsidRPr="004D3057">
        <w:rPr>
          <w:rFonts w:cstheme="minorHAnsi"/>
        </w:rPr>
        <w:t>) o łącznej zajętości ok 3,5TB</w:t>
      </w:r>
    </w:p>
    <w:p w14:paraId="4EB4329E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>Uruchomienie oraz przetestowanie wszystkich przeniesionych maszyn wirtualnych</w:t>
      </w:r>
    </w:p>
    <w:p w14:paraId="7206BD13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lastRenderedPageBreak/>
        <w:t xml:space="preserve">Prace wdrożeniowe będą prowadzone w terminie uzgodnionym z informatykiem (w weekend, poza godzinami pracy urzędu) </w:t>
      </w:r>
    </w:p>
    <w:p w14:paraId="07906E67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>Podczas wdrożenia zostanie przeprowadzone instruktażowe szkolenie z wdrożonych systemów</w:t>
      </w:r>
      <w:r w:rsidRPr="004D3057">
        <w:rPr>
          <w:rFonts w:cstheme="minorHAnsi"/>
        </w:rPr>
        <w:br/>
      </w:r>
    </w:p>
    <w:p w14:paraId="57E4B152" w14:textId="77777777" w:rsidR="004D3057" w:rsidRPr="004D3057" w:rsidRDefault="004D3057" w:rsidP="004D305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D3057">
        <w:rPr>
          <w:rFonts w:cstheme="minorHAnsi"/>
        </w:rPr>
        <w:t xml:space="preserve">Urządzenia muszą być fabrycznie nowe, pochodzić z autoryzowanego kanału sprzedaży producenta i reprezentować model bieżącej linii produkcyjnej. Nie dopuszcza się urządzeń: odnawianych, demonstracyjnych lub powystawowych. </w:t>
      </w:r>
    </w:p>
    <w:p w14:paraId="7AEA6D1A" w14:textId="77777777" w:rsidR="004D3057" w:rsidRPr="004D3057" w:rsidRDefault="004D3057" w:rsidP="004D305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D3057">
        <w:rPr>
          <w:rFonts w:cstheme="minorHAnsi"/>
        </w:rPr>
        <w:t xml:space="preserve">Nie dopuszcza się urządzeń posiadających wadę prawną w zakresie pochodzenia sprzętu, wsparcia technicznego i gwarancji producenta. </w:t>
      </w:r>
    </w:p>
    <w:p w14:paraId="4AE8197E" w14:textId="5506A4BB" w:rsidR="004D3057" w:rsidRPr="004D3057" w:rsidRDefault="004D3057" w:rsidP="004D305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D3057">
        <w:rPr>
          <w:rFonts w:cstheme="minorHAnsi"/>
        </w:rPr>
        <w:t>Elementy, z których zbudowane jest urządzenie muszą być produktami producenta urządzenia lub być przez niego certyfikowane oraz całe muszą być objęte gwarancją producenta macierzy.</w:t>
      </w:r>
    </w:p>
    <w:p w14:paraId="6AE1A586" w14:textId="77777777" w:rsidR="00806B85" w:rsidRPr="004D3057" w:rsidRDefault="00806B85" w:rsidP="00F232D6">
      <w:pPr>
        <w:pStyle w:val="Akapitzlist"/>
        <w:spacing w:after="0" w:line="240" w:lineRule="auto"/>
        <w:ind w:left="644"/>
        <w:rPr>
          <w:rStyle w:val="Uwydatnienie"/>
          <w:rFonts w:cstheme="minorHAnsi"/>
          <w:b/>
          <w:i w:val="0"/>
          <w:color w:val="000000"/>
          <w:u w:val="single"/>
        </w:rPr>
      </w:pPr>
    </w:p>
    <w:sectPr w:rsidR="00806B85" w:rsidRPr="004D3057" w:rsidSect="000B03C5">
      <w:headerReference w:type="first" r:id="rId7"/>
      <w:pgSz w:w="11906" w:h="16838"/>
      <w:pgMar w:top="2694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7C386" w14:textId="77777777" w:rsidR="00F91C2A" w:rsidRDefault="00F91C2A" w:rsidP="0099411B">
      <w:pPr>
        <w:spacing w:after="0" w:line="240" w:lineRule="auto"/>
      </w:pPr>
      <w:r>
        <w:separator/>
      </w:r>
    </w:p>
  </w:endnote>
  <w:endnote w:type="continuationSeparator" w:id="0">
    <w:p w14:paraId="722BF1A2" w14:textId="77777777" w:rsidR="00F91C2A" w:rsidRDefault="00F91C2A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449EF" w14:textId="77777777" w:rsidR="00F91C2A" w:rsidRDefault="00F91C2A" w:rsidP="0099411B">
      <w:pPr>
        <w:spacing w:after="0" w:line="240" w:lineRule="auto"/>
      </w:pPr>
      <w:r>
        <w:separator/>
      </w:r>
    </w:p>
  </w:footnote>
  <w:footnote w:type="continuationSeparator" w:id="0">
    <w:p w14:paraId="2886BFBE" w14:textId="77777777" w:rsidR="00F91C2A" w:rsidRDefault="00F91C2A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87795" w14:textId="3B90C5EC" w:rsidR="000B03C5" w:rsidRDefault="000B03C5">
    <w:pPr>
      <w:pStyle w:val="Nagwek"/>
    </w:pPr>
    <w:r w:rsidRPr="003C18B8">
      <w:rPr>
        <w:noProof/>
        <w:lang w:eastAsia="pl-PL"/>
      </w:rPr>
      <w:drawing>
        <wp:inline distT="0" distB="0" distL="0" distR="0" wp14:anchorId="3C05D084" wp14:editId="461D335E">
          <wp:extent cx="4905375" cy="942975"/>
          <wp:effectExtent l="0" t="0" r="0" b="0"/>
          <wp:docPr id="1665711855" name="Obraz 1665711855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95CF2"/>
    <w:multiLevelType w:val="hybridMultilevel"/>
    <w:tmpl w:val="DB5CD9F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70879C0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4C26"/>
    <w:multiLevelType w:val="hybridMultilevel"/>
    <w:tmpl w:val="29E004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235E8E"/>
    <w:multiLevelType w:val="hybridMultilevel"/>
    <w:tmpl w:val="76401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F2071"/>
    <w:multiLevelType w:val="hybridMultilevel"/>
    <w:tmpl w:val="819264BA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11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0166AA"/>
    <w:rsid w:val="00060029"/>
    <w:rsid w:val="000B03C5"/>
    <w:rsid w:val="000D03F5"/>
    <w:rsid w:val="000F1F24"/>
    <w:rsid w:val="001049E9"/>
    <w:rsid w:val="001476FC"/>
    <w:rsid w:val="00162F0B"/>
    <w:rsid w:val="001779EC"/>
    <w:rsid w:val="001902C0"/>
    <w:rsid w:val="00191F20"/>
    <w:rsid w:val="001A68D1"/>
    <w:rsid w:val="002551A6"/>
    <w:rsid w:val="002C7AFB"/>
    <w:rsid w:val="00324B47"/>
    <w:rsid w:val="00352D47"/>
    <w:rsid w:val="003A41F0"/>
    <w:rsid w:val="003D44ED"/>
    <w:rsid w:val="00412BF7"/>
    <w:rsid w:val="00415FFE"/>
    <w:rsid w:val="004647CB"/>
    <w:rsid w:val="004C6722"/>
    <w:rsid w:val="004D3057"/>
    <w:rsid w:val="0053721B"/>
    <w:rsid w:val="00572DAB"/>
    <w:rsid w:val="0058651A"/>
    <w:rsid w:val="006E0646"/>
    <w:rsid w:val="006E3293"/>
    <w:rsid w:val="0071741D"/>
    <w:rsid w:val="0075237D"/>
    <w:rsid w:val="007B0C9C"/>
    <w:rsid w:val="00806B85"/>
    <w:rsid w:val="00844F00"/>
    <w:rsid w:val="008938BD"/>
    <w:rsid w:val="00912D49"/>
    <w:rsid w:val="009718C8"/>
    <w:rsid w:val="0099411B"/>
    <w:rsid w:val="009C77E1"/>
    <w:rsid w:val="009E4D24"/>
    <w:rsid w:val="00A31E7A"/>
    <w:rsid w:val="00A66C3D"/>
    <w:rsid w:val="00A74478"/>
    <w:rsid w:val="00AD2C0F"/>
    <w:rsid w:val="00AE137A"/>
    <w:rsid w:val="00AF1310"/>
    <w:rsid w:val="00B24EE4"/>
    <w:rsid w:val="00B26BE6"/>
    <w:rsid w:val="00B458EB"/>
    <w:rsid w:val="00C273AF"/>
    <w:rsid w:val="00D94509"/>
    <w:rsid w:val="00ED4B4C"/>
    <w:rsid w:val="00F1384F"/>
    <w:rsid w:val="00F232D6"/>
    <w:rsid w:val="00F91C2A"/>
    <w:rsid w:val="00FA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D83E8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Akapit z listą siwz,Wypunktowanie,sw tekst,Bullet List,FooterText,numbered,Paragraphe de liste1,lp1,Preambuła,CP-UC,CP-Punkty,List - bullets,Equipment,Bullet 1,List Paragraph Char Char,b1,Ref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,Akapit z listą siwz Znak,Wypunktowanie Znak,sw tekst Znak,Bullet List Znak,FooterText Znak,numbered Znak,Paragraphe de liste1 Znak,lp1 Znak,Preambuła Znak,CP-UC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D3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1958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2</cp:revision>
  <cp:lastPrinted>2023-10-16T06:43:00Z</cp:lastPrinted>
  <dcterms:created xsi:type="dcterms:W3CDTF">2023-10-18T09:33:00Z</dcterms:created>
  <dcterms:modified xsi:type="dcterms:W3CDTF">2023-10-18T09:33:00Z</dcterms:modified>
</cp:coreProperties>
</file>