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1074" w14:textId="77777777" w:rsidR="00F92B48" w:rsidRPr="0075259F" w:rsidRDefault="00F92B48" w:rsidP="0075259F">
      <w:pPr>
        <w:pStyle w:val="Appendix1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4" w:type="dxa"/>
        <w:tblInd w:w="432" w:type="dxa"/>
        <w:tblLayout w:type="fixed"/>
        <w:tblLook w:val="0000" w:firstRow="0" w:lastRow="0" w:firstColumn="0" w:lastColumn="0" w:noHBand="0" w:noVBand="0"/>
      </w:tblPr>
      <w:tblGrid>
        <w:gridCol w:w="9604"/>
      </w:tblGrid>
      <w:tr w:rsidR="00F92B48" w:rsidRPr="0075259F" w14:paraId="64DBA5C5" w14:textId="77777777" w:rsidTr="00512F96">
        <w:trPr>
          <w:trHeight w:val="13590"/>
        </w:trPr>
        <w:tc>
          <w:tcPr>
            <w:tcW w:w="9604" w:type="dxa"/>
          </w:tcPr>
          <w:p w14:paraId="2AC82EAD" w14:textId="77777777" w:rsidR="00F92B48" w:rsidRDefault="00F92B48" w:rsidP="0075259F">
            <w:pPr>
              <w:jc w:val="center"/>
              <w:rPr>
                <w:b/>
                <w:sz w:val="22"/>
                <w:szCs w:val="22"/>
              </w:rPr>
            </w:pPr>
            <w:r w:rsidRPr="0075259F">
              <w:rPr>
                <w:b/>
                <w:sz w:val="22"/>
                <w:szCs w:val="22"/>
              </w:rPr>
              <w:t>Wytyczne bezpieczeństwa informacji dla Wykonawców</w:t>
            </w:r>
          </w:p>
          <w:p w14:paraId="5CB35D71" w14:textId="77777777" w:rsidR="0075259F" w:rsidRPr="0075259F" w:rsidRDefault="0075259F" w:rsidP="0075259F">
            <w:pPr>
              <w:jc w:val="center"/>
              <w:rPr>
                <w:b/>
                <w:sz w:val="22"/>
                <w:szCs w:val="22"/>
              </w:rPr>
            </w:pPr>
          </w:p>
          <w:p w14:paraId="68149389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Bezpieczeństwo Informacji w ARiMR</w:t>
            </w:r>
          </w:p>
          <w:p w14:paraId="786CE6A7" w14:textId="6AFA3C88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Polityka Bezpieczeństwa Informacji obowiązuje wszystkich wykonawców, jednostki zewnętrzne </w:t>
            </w:r>
            <w:r w:rsidR="0075259F">
              <w:rPr>
                <w:sz w:val="22"/>
                <w:szCs w:val="22"/>
              </w:rPr>
              <w:t xml:space="preserve">                </w:t>
            </w:r>
            <w:r w:rsidRPr="0075259F">
              <w:rPr>
                <w:sz w:val="22"/>
                <w:szCs w:val="22"/>
              </w:rPr>
              <w:t xml:space="preserve">i ich pracowników, o ile w trakcie realizacji umowy otrzymują dostęp do zasobów lub stref informacyjnych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>Oddziału Regionalnego Agencji Restrukturyzacji i Modernizacji Rolnictwa (</w:t>
            </w:r>
            <w:r w:rsidR="00F1161E" w:rsidRPr="0075259F">
              <w:rPr>
                <w:sz w:val="22"/>
                <w:szCs w:val="22"/>
              </w:rPr>
              <w:t>Opolski</w:t>
            </w:r>
            <w:r w:rsidRPr="0075259F">
              <w:rPr>
                <w:sz w:val="22"/>
                <w:szCs w:val="22"/>
              </w:rPr>
              <w:t xml:space="preserve"> OR ARiMR)</w:t>
            </w:r>
            <w:r w:rsidR="00906326">
              <w:rPr>
                <w:sz w:val="22"/>
                <w:szCs w:val="22"/>
              </w:rPr>
              <w:t xml:space="preserve"> oraz podległych BP ARiMR</w:t>
            </w:r>
          </w:p>
          <w:p w14:paraId="04D9867D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Wykonawca zobowiązuje się do przestrzegania przyjętych w ARiMR zasad bezpieczeństwa informacji, których treść jest określona w </w:t>
            </w:r>
            <w:r w:rsidR="00F93A4D" w:rsidRPr="0075259F">
              <w:rPr>
                <w:sz w:val="22"/>
                <w:szCs w:val="22"/>
              </w:rPr>
              <w:t>Polityce Bezpieczeństwa Informacji w ARiMR</w:t>
            </w:r>
            <w:r w:rsidRPr="0075259F">
              <w:rPr>
                <w:sz w:val="22"/>
                <w:szCs w:val="22"/>
              </w:rPr>
              <w:t>, a przedstawiona w obecnych wytycznych.</w:t>
            </w:r>
          </w:p>
          <w:p w14:paraId="28091997" w14:textId="77777777" w:rsidR="00F92B48" w:rsidRPr="0075259F" w:rsidRDefault="00F93A4D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Polityka Bezpieczeństwa Informacji w ARiMR </w:t>
            </w:r>
            <w:r w:rsidR="00F92B48" w:rsidRPr="0075259F">
              <w:rPr>
                <w:sz w:val="22"/>
                <w:szCs w:val="22"/>
              </w:rPr>
              <w:t xml:space="preserve">dotyczy zasobów materialnych i niematerialnych Agencji i znajduje zastosowanie zarówno do pracowników Agencji, jak i podmiotów zewnętrznych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="00F92B48" w:rsidRPr="0075259F">
              <w:rPr>
                <w:sz w:val="22"/>
                <w:szCs w:val="22"/>
              </w:rPr>
              <w:t>z nią współpracujących lub wykonujących usługi.</w:t>
            </w:r>
          </w:p>
          <w:p w14:paraId="002787D5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Wykonawca potwierdza fakt zapoznania się z wytycznymi własnoręcznym podpisem na umowie </w:t>
            </w:r>
            <w:r w:rsidR="0075259F">
              <w:rPr>
                <w:sz w:val="22"/>
                <w:szCs w:val="22"/>
              </w:rPr>
              <w:t xml:space="preserve">                  </w:t>
            </w:r>
            <w:r w:rsidRPr="0075259F">
              <w:rPr>
                <w:sz w:val="22"/>
                <w:szCs w:val="22"/>
              </w:rPr>
              <w:t>lub oświadczeniu, przedłożonym przez ARiMR.</w:t>
            </w:r>
          </w:p>
          <w:p w14:paraId="07929EEB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Wszystkie informacje wrażliwe i środki służące do ich przetwarzania, do których Wykonawca będzie miał dostęp i są własnością Agencji lub są przez nią wykorzystywane, podlegają ochronie.</w:t>
            </w:r>
          </w:p>
          <w:p w14:paraId="1EE75B1E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Informacja prawnie chroniona oraz każda informacja, której utrata, ujawnienie lub udostępnienie osobie/podmiotowi nieuprawnionemu mogłoby spowodować szkodę materialną lub niematerialną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Pr="0075259F">
              <w:rPr>
                <w:sz w:val="22"/>
                <w:szCs w:val="22"/>
              </w:rPr>
              <w:t>dla Agencji lub naruszyć prawnie chroniony interes innych osób/podmiotów podlega szczególnej ochronie.</w:t>
            </w:r>
          </w:p>
          <w:p w14:paraId="2C9F432A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      </w:r>
          </w:p>
          <w:p w14:paraId="74E07277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Wykonawca zobowiązuje zapoznać pracowników i osoby trzecie realizujące objęte umową zadania, w zakresie zachowania zasad bezpieczeństwa informacji określonych w Wytycznych bezpieczeństwa informacji.</w:t>
            </w:r>
          </w:p>
          <w:p w14:paraId="61943D5F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Odpowiedzialność za bezpieczeństwo informacji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 ARiMR obejmuje nie tylko siedzibę oddziału i biur powiatowych, ale także wszelkie sytuacje, w których Wykonawca może mieć dostęp do informacji prawnie chronionych będących własnością ARiMR.</w:t>
            </w:r>
          </w:p>
          <w:p w14:paraId="0F034A98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Informacje związane z działalnością Agencji są przetwarzane także poza jej siedzibą. Obejmuje </w:t>
            </w:r>
            <w:r w:rsidR="0075259F">
              <w:rPr>
                <w:sz w:val="22"/>
                <w:szCs w:val="22"/>
              </w:rPr>
              <w:t xml:space="preserve">                        </w:t>
            </w:r>
            <w:r w:rsidRPr="0075259F">
              <w:rPr>
                <w:sz w:val="22"/>
                <w:szCs w:val="22"/>
              </w:rPr>
              <w:t>to także i w szczególności zdalny dostęp do sieci komputerowej Agencji.</w:t>
            </w:r>
          </w:p>
          <w:p w14:paraId="0C515DF9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Bezpieczeństwo fizyczne i środowiskowe</w:t>
            </w:r>
          </w:p>
          <w:p w14:paraId="288EC824" w14:textId="77777777" w:rsidR="00F92B48" w:rsidRPr="0075259F" w:rsidRDefault="00F92B48" w:rsidP="0075259F">
            <w:pPr>
              <w:jc w:val="both"/>
              <w:rPr>
                <w:b/>
                <w:i/>
                <w:iCs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Strefa administracyjna</w:t>
            </w:r>
          </w:p>
          <w:p w14:paraId="08A0C6C7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Strefa administracyjna w ARiMR to powierzchnia będąca w użytkowaniu Agencji i służąca </w:t>
            </w:r>
            <w:r w:rsidR="0075259F">
              <w:rPr>
                <w:sz w:val="22"/>
                <w:szCs w:val="22"/>
              </w:rPr>
              <w:t xml:space="preserve">                               </w:t>
            </w:r>
            <w:r w:rsidRPr="0075259F">
              <w:rPr>
                <w:sz w:val="22"/>
                <w:szCs w:val="22"/>
              </w:rPr>
              <w:t>do poruszania się w niej tylko pracowników ARiMR.</w:t>
            </w:r>
          </w:p>
          <w:p w14:paraId="1AF66E87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Na granicach strefy administracyjnej funkcjonuje elektroniczna kontrola dostępu.</w:t>
            </w:r>
          </w:p>
          <w:p w14:paraId="7AFAE74A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 Agencji wydzielono obszary dostaw i załadunku dla Wykonawców i jest to strefa obsługi dostępna ogólnie dla Wykonawców i</w:t>
            </w:r>
            <w:r w:rsidR="00F93A4D" w:rsidRPr="0075259F">
              <w:rPr>
                <w:sz w:val="22"/>
                <w:szCs w:val="22"/>
              </w:rPr>
              <w:t> </w:t>
            </w:r>
            <w:r w:rsidRPr="0075259F">
              <w:rPr>
                <w:sz w:val="22"/>
                <w:szCs w:val="22"/>
              </w:rPr>
              <w:t>beneficjentów ARiMR.</w:t>
            </w:r>
          </w:p>
          <w:p w14:paraId="0687EF35" w14:textId="77777777" w:rsidR="00F92B48" w:rsidRPr="0075259F" w:rsidRDefault="00F92B48" w:rsidP="0075259F">
            <w:pPr>
              <w:spacing w:before="120"/>
              <w:jc w:val="both"/>
              <w:rPr>
                <w:b/>
                <w:i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Strefa</w:t>
            </w:r>
            <w:r w:rsidRPr="0075259F">
              <w:rPr>
                <w:b/>
                <w:i/>
                <w:sz w:val="22"/>
                <w:szCs w:val="22"/>
                <w:lang w:bidi="pl-PL"/>
              </w:rPr>
              <w:t xml:space="preserve"> bezpieczeństwa</w:t>
            </w:r>
          </w:p>
          <w:p w14:paraId="27F07855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Pobyt osoby - Wykonawcy, która nie posiada uprawnień do przebywania w strefie bezpieczeństwa</w:t>
            </w:r>
            <w:r w:rsidR="0075259F">
              <w:rPr>
                <w:sz w:val="22"/>
                <w:szCs w:val="22"/>
              </w:rPr>
              <w:t xml:space="preserve"> </w:t>
            </w:r>
            <w:r w:rsidRPr="0075259F">
              <w:rPr>
                <w:sz w:val="22"/>
                <w:szCs w:val="22"/>
              </w:rPr>
              <w:t xml:space="preserve">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Pr="0075259F">
              <w:rPr>
                <w:sz w:val="22"/>
                <w:szCs w:val="22"/>
              </w:rPr>
              <w:t>jest rejestrowany i może się odbywać tylko z osobą posiadającą uprawnienia do tej strefy.</w:t>
            </w:r>
          </w:p>
          <w:p w14:paraId="4F451192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Wszelkie prace w strefie bezpieczeństwa wykonywane zarówno przez podmioty nieuprawnione jak </w:t>
            </w:r>
            <w:r w:rsidR="0075259F">
              <w:rPr>
                <w:sz w:val="22"/>
                <w:szCs w:val="22"/>
              </w:rPr>
              <w:t xml:space="preserve">                    </w:t>
            </w:r>
            <w:r w:rsidRPr="0075259F">
              <w:rPr>
                <w:sz w:val="22"/>
                <w:szCs w:val="22"/>
              </w:rPr>
              <w:t>i uprawnione do przebywania w strefie bezpieczeństwa mogą się odbywać tylko przy ciągłej obecności osoby uprawnionej do tej strefy</w:t>
            </w:r>
          </w:p>
          <w:p w14:paraId="27BFECD3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Pobyt osoby, która nie posiada uprawnień do przebywania w strefie bezpieczeństwa, musi zostać odnotowany na podstawie dokumentu tożsamości.</w:t>
            </w:r>
          </w:p>
          <w:p w14:paraId="08ED2BE1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 xml:space="preserve">Wykonywanie usługi - dostawy na terenie </w:t>
            </w:r>
            <w:r w:rsidR="00F1161E" w:rsidRPr="0075259F">
              <w:rPr>
                <w:b/>
                <w:i/>
                <w:iCs/>
                <w:sz w:val="22"/>
                <w:szCs w:val="22"/>
                <w:lang w:bidi="pl-PL"/>
              </w:rPr>
              <w:t>Opolski</w:t>
            </w: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ego OR/BP</w:t>
            </w:r>
          </w:p>
          <w:p w14:paraId="0DB90652" w14:textId="2ABA7F5B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Wykonawca może poruszać się w strefie administracyjnej (w obecności uprawnionego pracownika ARiMR), w godzinach: </w:t>
            </w:r>
            <w:r w:rsidR="00906326">
              <w:rPr>
                <w:sz w:val="22"/>
                <w:szCs w:val="22"/>
              </w:rPr>
              <w:t>7</w:t>
            </w:r>
            <w:r w:rsidR="00244556">
              <w:rPr>
                <w:sz w:val="22"/>
                <w:szCs w:val="22"/>
              </w:rPr>
              <w:t>.</w:t>
            </w:r>
            <w:r w:rsidR="00906326">
              <w:rPr>
                <w:sz w:val="22"/>
                <w:szCs w:val="22"/>
              </w:rPr>
              <w:t>3</w:t>
            </w:r>
            <w:r w:rsidR="00244556">
              <w:rPr>
                <w:sz w:val="22"/>
                <w:szCs w:val="22"/>
              </w:rPr>
              <w:t xml:space="preserve">0 </w:t>
            </w:r>
            <w:r w:rsidRPr="0075259F">
              <w:rPr>
                <w:sz w:val="22"/>
                <w:szCs w:val="22"/>
              </w:rPr>
              <w:t>-</w:t>
            </w:r>
            <w:r w:rsidR="00244556">
              <w:rPr>
                <w:sz w:val="22"/>
                <w:szCs w:val="22"/>
              </w:rPr>
              <w:t xml:space="preserve"> </w:t>
            </w:r>
            <w:r w:rsidR="00906326">
              <w:rPr>
                <w:sz w:val="22"/>
                <w:szCs w:val="22"/>
              </w:rPr>
              <w:t>15</w:t>
            </w:r>
            <w:r w:rsidR="00BA50DB">
              <w:rPr>
                <w:sz w:val="22"/>
                <w:szCs w:val="22"/>
              </w:rPr>
              <w:t>.</w:t>
            </w:r>
            <w:r w:rsidR="00906326">
              <w:rPr>
                <w:sz w:val="22"/>
                <w:szCs w:val="22"/>
              </w:rPr>
              <w:t>3</w:t>
            </w:r>
            <w:r w:rsidRPr="0075259F">
              <w:rPr>
                <w:sz w:val="22"/>
                <w:szCs w:val="22"/>
              </w:rPr>
              <w:t>0 w dniach roboczych Agencji</w:t>
            </w:r>
            <w:r w:rsidR="00906326">
              <w:rPr>
                <w:sz w:val="22"/>
                <w:szCs w:val="22"/>
              </w:rPr>
              <w:t xml:space="preserve"> – BP oraz siedziby OR.</w:t>
            </w:r>
          </w:p>
          <w:p w14:paraId="0E343861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lastRenderedPageBreak/>
              <w:t xml:space="preserve">Wszystkie osoby przebywające w strefie administracyjnej muszą posiadać identyfikatory noszone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Pr="0075259F">
              <w:rPr>
                <w:sz w:val="22"/>
                <w:szCs w:val="22"/>
              </w:rPr>
              <w:t xml:space="preserve">w widocznym miejscu. Wykonawcy posiadają identyfikatory z napisem „Gość” i numerem identyfikatora, w które zostaną zaopatrzeni przez pracownika Punktu Obsługi Klienta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 </w:t>
            </w:r>
            <w:r w:rsidR="0075259F" w:rsidRPr="0075259F">
              <w:rPr>
                <w:sz w:val="22"/>
                <w:szCs w:val="22"/>
              </w:rPr>
              <w:t xml:space="preserve">                                                   </w:t>
            </w:r>
            <w:r w:rsidRPr="0075259F">
              <w:rPr>
                <w:sz w:val="22"/>
                <w:szCs w:val="22"/>
              </w:rPr>
              <w:t>lub upoważnionego pracownika w BP.</w:t>
            </w:r>
          </w:p>
          <w:p w14:paraId="0463AABF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Wejście osoby - firmy zewnętrznej (administrator obiektu, serwisant, dostawca, firma wykonująca remont, usługę, dostawę) po godzinach pracy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 na teren obiektu jest możliwe jedynie z upoważnionym pracownikiem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 xml:space="preserve">OR/BP i po wcześniejszym pisemnym wystąpieniu o zgodę na wejście na teren obiektu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OR/BP.</w:t>
            </w:r>
          </w:p>
          <w:p w14:paraId="7E9A1C21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Zgodę na wejście w/w na teren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 w formie pisemnej wyraża Administrator Zabezpieczeń Fizycznych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OR/BP.</w:t>
            </w:r>
          </w:p>
          <w:p w14:paraId="79360769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Pracownik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 xml:space="preserve">OR/BP odpowiada za pobyt Wykonawcy od momentu wejścia na teren obiektu i przez cały czas wykonywanych przez niego prac, aż do momentu opuszczenia przez niego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OR/BP. Wychodząc z siedziby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 xml:space="preserve">OR/BP, Wykonawca obowiązany jest do zwrotu identyfikatora, a </w:t>
            </w:r>
            <w:r w:rsidR="00F1161E" w:rsidRPr="0075259F">
              <w:rPr>
                <w:sz w:val="22"/>
                <w:szCs w:val="22"/>
              </w:rPr>
              <w:t>pracownik BP/OR</w:t>
            </w:r>
            <w:r w:rsidRPr="0075259F">
              <w:rPr>
                <w:sz w:val="22"/>
                <w:szCs w:val="22"/>
              </w:rPr>
              <w:t xml:space="preserve"> potwierdza w Książce wejścia/wyjścia do strefy admin</w:t>
            </w:r>
            <w:r w:rsidR="00F1161E" w:rsidRPr="0075259F">
              <w:rPr>
                <w:sz w:val="22"/>
                <w:szCs w:val="22"/>
              </w:rPr>
              <w:t>istracyjnej godzinę opuszczenia pomieszczeń jednostki organizacyjnej</w:t>
            </w:r>
            <w:r w:rsidRPr="0075259F">
              <w:rPr>
                <w:sz w:val="22"/>
                <w:szCs w:val="22"/>
              </w:rPr>
              <w:t xml:space="preserve"> ARIMR.</w:t>
            </w:r>
          </w:p>
          <w:p w14:paraId="28C736DD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 xml:space="preserve">Naruszenie bezpieczeństwa informacji </w:t>
            </w:r>
          </w:p>
          <w:p w14:paraId="7D908F87" w14:textId="77777777" w:rsidR="003957C2" w:rsidRPr="0075259F" w:rsidRDefault="003957C2" w:rsidP="0075259F">
            <w:pPr>
              <w:pStyle w:val="Akapitzlist"/>
              <w:numPr>
                <w:ilvl w:val="0"/>
                <w:numId w:val="5"/>
              </w:numPr>
              <w:ind w:left="311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Naruszenie postanowień Polityki Bezpieczeństwa Informacji w ARiMR przez Wykonawcę stanowi podstawę do odstąpienia przez Agencję od umowy i żądania pokrycia powstałej szkody lub zapłaty kary umownej, jeżeli taki obowiązek wynika z zawartej umowy.</w:t>
            </w:r>
          </w:p>
          <w:p w14:paraId="2DDF26AE" w14:textId="77777777" w:rsidR="00F92B48" w:rsidRPr="0075259F" w:rsidRDefault="003957C2" w:rsidP="0075259F">
            <w:pPr>
              <w:pStyle w:val="Akapitzlist"/>
              <w:numPr>
                <w:ilvl w:val="0"/>
                <w:numId w:val="5"/>
              </w:numPr>
              <w:ind w:left="311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Naruszenie przepisów bezpieczeństwa informacji oraz o ochronie danych osobowych jest zagrożone sankcjami karnymi określonymi w Rozporządzeniu Parlamentu Europejskiego i Rady (UE) 2016/679 </w:t>
            </w:r>
            <w:r w:rsidR="0075259F">
              <w:rPr>
                <w:sz w:val="22"/>
                <w:szCs w:val="22"/>
              </w:rPr>
              <w:t xml:space="preserve">   </w:t>
            </w:r>
            <w:r w:rsidRPr="0075259F">
              <w:rPr>
                <w:sz w:val="22"/>
                <w:szCs w:val="22"/>
              </w:rPr>
              <w:t>z dnia 27 kwietnia 2016 r. w sprawie ochrony osób fizycznych w związku z przetwarzaniem danych osobowych i w sprawie swobodnego przepływu takich danych oraz uchylenia dyrektywy 95/46/W (ogólne rozporządzenie o ochronie danych)  (Dz. Urz. UE L 119 z 04.05.2016, str. 1 oraz Dz. Urz. UE L 127 z 23.05.2018, str. 2), ustawie z dnia 10 maja 2018 r. o ochronie danych osobowych (Dz. U. z 2019 r. poz. 1781) oraz w Kodeksie karnym.</w:t>
            </w:r>
          </w:p>
        </w:tc>
      </w:tr>
    </w:tbl>
    <w:p w14:paraId="5973581F" w14:textId="77777777" w:rsidR="00CA4E73" w:rsidRPr="0075259F" w:rsidRDefault="00CA4E73" w:rsidP="0075259F">
      <w:pPr>
        <w:jc w:val="both"/>
        <w:rPr>
          <w:sz w:val="22"/>
          <w:szCs w:val="22"/>
        </w:rPr>
      </w:pPr>
    </w:p>
    <w:sectPr w:rsidR="00CA4E73" w:rsidRPr="0075259F" w:rsidSect="0075259F">
      <w:headerReference w:type="default" r:id="rId8"/>
      <w:footerReference w:type="default" r:id="rId9"/>
      <w:pgSz w:w="11906" w:h="16838"/>
      <w:pgMar w:top="1418" w:right="127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B422" w14:textId="77777777" w:rsidR="002A08AE" w:rsidRDefault="002A08AE" w:rsidP="0075259F">
      <w:r>
        <w:separator/>
      </w:r>
    </w:p>
  </w:endnote>
  <w:endnote w:type="continuationSeparator" w:id="0">
    <w:p w14:paraId="4ED8B231" w14:textId="77777777" w:rsidR="002A08AE" w:rsidRDefault="002A08AE" w:rsidP="0075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8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32E35" w14:textId="77777777" w:rsidR="0075259F" w:rsidRDefault="0075259F">
            <w:pPr>
              <w:pStyle w:val="Stopka"/>
              <w:jc w:val="right"/>
            </w:pPr>
            <w:r w:rsidRPr="0075259F">
              <w:t xml:space="preserve">Strona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PAGE</w:instrText>
            </w:r>
            <w:r w:rsidRPr="0075259F">
              <w:rPr>
                <w:bCs/>
              </w:rPr>
              <w:fldChar w:fldCharType="separate"/>
            </w:r>
            <w:r w:rsidR="00366EA9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  <w:r w:rsidRPr="0075259F">
              <w:t xml:space="preserve"> z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NUMPAGES</w:instrText>
            </w:r>
            <w:r w:rsidRPr="0075259F">
              <w:rPr>
                <w:bCs/>
              </w:rPr>
              <w:fldChar w:fldCharType="separate"/>
            </w:r>
            <w:r w:rsidR="00366EA9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</w:p>
        </w:sdtContent>
      </w:sdt>
    </w:sdtContent>
  </w:sdt>
  <w:p w14:paraId="0B209567" w14:textId="77777777" w:rsidR="0075259F" w:rsidRDefault="0075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E76B" w14:textId="77777777" w:rsidR="002A08AE" w:rsidRDefault="002A08AE" w:rsidP="0075259F">
      <w:r>
        <w:separator/>
      </w:r>
    </w:p>
  </w:footnote>
  <w:footnote w:type="continuationSeparator" w:id="0">
    <w:p w14:paraId="5EE3B711" w14:textId="77777777" w:rsidR="002A08AE" w:rsidRDefault="002A08AE" w:rsidP="0075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C663" w14:textId="08E1F1E1" w:rsidR="00AD00C0" w:rsidRPr="00D87F4C" w:rsidRDefault="00AD00C0" w:rsidP="00AD00C0">
    <w:pPr>
      <w:pStyle w:val="Nagwek"/>
      <w:jc w:val="right"/>
      <w:rPr>
        <w:i/>
      </w:rPr>
    </w:pPr>
    <w:bookmarkStart w:id="0" w:name="_Hlk48813615"/>
    <w:r>
      <w:rPr>
        <w:i/>
      </w:rPr>
      <w:t xml:space="preserve">Załącznik nr </w:t>
    </w:r>
    <w:r w:rsidR="00B6300C">
      <w:rPr>
        <w:i/>
      </w:rPr>
      <w:t>4</w:t>
    </w:r>
    <w:r w:rsidRPr="00D87F4C">
      <w:rPr>
        <w:i/>
      </w:rPr>
      <w:t xml:space="preserve"> </w:t>
    </w:r>
    <w:r>
      <w:rPr>
        <w:i/>
      </w:rPr>
      <w:t xml:space="preserve">do </w:t>
    </w:r>
    <w:r w:rsidR="006756B2">
      <w:rPr>
        <w:i/>
      </w:rPr>
      <w:t>Zaproszenia</w:t>
    </w:r>
  </w:p>
  <w:p w14:paraId="2D4D9CC2" w14:textId="671DF43B" w:rsidR="00AD00C0" w:rsidRPr="00D87F4C" w:rsidRDefault="00AD00C0" w:rsidP="00AD00C0">
    <w:pPr>
      <w:pStyle w:val="Nagwek"/>
      <w:jc w:val="right"/>
      <w:rPr>
        <w:i/>
      </w:rPr>
    </w:pPr>
    <w:r>
      <w:rPr>
        <w:i/>
      </w:rPr>
      <w:t xml:space="preserve"> (</w:t>
    </w:r>
    <w:r w:rsidR="00AC6F6D">
      <w:rPr>
        <w:i/>
      </w:rPr>
      <w:t>BOR08.2</w:t>
    </w:r>
    <w:r w:rsidR="00B6300C">
      <w:rPr>
        <w:i/>
      </w:rPr>
      <w:t>22</w:t>
    </w:r>
    <w:r w:rsidR="00AC6F6D">
      <w:rPr>
        <w:i/>
      </w:rPr>
      <w:t>.</w:t>
    </w:r>
    <w:r w:rsidR="00A0357A">
      <w:rPr>
        <w:i/>
      </w:rPr>
      <w:t>0</w:t>
    </w:r>
    <w:r w:rsidR="00964569">
      <w:rPr>
        <w:i/>
      </w:rPr>
      <w:t>7</w:t>
    </w:r>
    <w:r w:rsidR="00AC6F6D">
      <w:rPr>
        <w:i/>
      </w:rPr>
      <w:t>.202</w:t>
    </w:r>
    <w:r w:rsidR="00964569">
      <w:rPr>
        <w:i/>
      </w:rPr>
      <w:t>4</w:t>
    </w:r>
    <w:r w:rsidR="00AC6F6D" w:rsidRPr="00D87F4C">
      <w:rPr>
        <w:i/>
      </w:rPr>
      <w:t>.</w:t>
    </w:r>
    <w:r w:rsidR="00A0357A">
      <w:rPr>
        <w:i/>
      </w:rPr>
      <w:t>JK</w:t>
    </w:r>
    <w:r w:rsidRPr="00D87F4C">
      <w:rPr>
        <w:i/>
      </w:rPr>
      <w:t>)</w:t>
    </w:r>
  </w:p>
  <w:bookmarkEnd w:id="0"/>
  <w:p w14:paraId="7C8C220F" w14:textId="77777777" w:rsidR="0075259F" w:rsidRPr="0075259F" w:rsidRDefault="0075259F" w:rsidP="0075259F">
    <w:pPr>
      <w:pStyle w:val="Nagwek"/>
      <w:jc w:val="right"/>
      <w:rPr>
        <w:rFonts w:asciiTheme="minorHAnsi" w:hAnsiTheme="minorHAns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C04"/>
    <w:multiLevelType w:val="hybridMultilevel"/>
    <w:tmpl w:val="60D2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7E9"/>
    <w:multiLevelType w:val="hybridMultilevel"/>
    <w:tmpl w:val="F52C375C"/>
    <w:lvl w:ilvl="0" w:tplc="1D140B68">
      <w:start w:val="1"/>
      <w:numFmt w:val="upperLetter"/>
      <w:pStyle w:val="Appendix1"/>
      <w:lvlText w:val="Załącznik 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45EF"/>
    <w:multiLevelType w:val="hybridMultilevel"/>
    <w:tmpl w:val="690E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83566">
    <w:abstractNumId w:val="2"/>
  </w:num>
  <w:num w:numId="2" w16cid:durableId="1240286605">
    <w:abstractNumId w:val="3"/>
  </w:num>
  <w:num w:numId="3" w16cid:durableId="1287390622">
    <w:abstractNumId w:val="1"/>
  </w:num>
  <w:num w:numId="4" w16cid:durableId="960309215">
    <w:abstractNumId w:val="0"/>
  </w:num>
  <w:num w:numId="5" w16cid:durableId="615328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48"/>
    <w:rsid w:val="0002625F"/>
    <w:rsid w:val="00045619"/>
    <w:rsid w:val="000A46C0"/>
    <w:rsid w:val="00244556"/>
    <w:rsid w:val="00267A20"/>
    <w:rsid w:val="002811F9"/>
    <w:rsid w:val="002A08AE"/>
    <w:rsid w:val="00366EA9"/>
    <w:rsid w:val="003957C2"/>
    <w:rsid w:val="00401BF5"/>
    <w:rsid w:val="004816D7"/>
    <w:rsid w:val="004B09A3"/>
    <w:rsid w:val="00512F96"/>
    <w:rsid w:val="00567E33"/>
    <w:rsid w:val="00583089"/>
    <w:rsid w:val="00646B3E"/>
    <w:rsid w:val="006756B2"/>
    <w:rsid w:val="0075259F"/>
    <w:rsid w:val="007C5F05"/>
    <w:rsid w:val="0083008F"/>
    <w:rsid w:val="008B1DF6"/>
    <w:rsid w:val="00906326"/>
    <w:rsid w:val="009603DA"/>
    <w:rsid w:val="00964569"/>
    <w:rsid w:val="00A0357A"/>
    <w:rsid w:val="00A1628B"/>
    <w:rsid w:val="00AC6F6D"/>
    <w:rsid w:val="00AD00C0"/>
    <w:rsid w:val="00B6300C"/>
    <w:rsid w:val="00B75657"/>
    <w:rsid w:val="00BA0E3B"/>
    <w:rsid w:val="00BA50DB"/>
    <w:rsid w:val="00C3570C"/>
    <w:rsid w:val="00C533D4"/>
    <w:rsid w:val="00CA4E73"/>
    <w:rsid w:val="00CF305A"/>
    <w:rsid w:val="00E01C31"/>
    <w:rsid w:val="00EB41F6"/>
    <w:rsid w:val="00EC0FF9"/>
    <w:rsid w:val="00F1161E"/>
    <w:rsid w:val="00F713B9"/>
    <w:rsid w:val="00F92B48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12584A"/>
  <w15:chartTrackingRefBased/>
  <w15:docId w15:val="{3E0CF1B3-7F73-459B-B408-88A045E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628B"/>
    <w:pPr>
      <w:spacing w:before="120" w:after="12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Appendix1">
    <w:name w:val="Appendix 1"/>
    <w:basedOn w:val="Nagwek1"/>
    <w:next w:val="Tekstpodstawowy"/>
    <w:rsid w:val="00F92B48"/>
    <w:pPr>
      <w:keepLines w:val="0"/>
      <w:pageBreakBefore/>
      <w:numPr>
        <w:numId w:val="1"/>
      </w:numPr>
      <w:tabs>
        <w:tab w:val="num" w:pos="360"/>
      </w:tabs>
      <w:spacing w:before="480" w:after="120"/>
      <w:ind w:left="0" w:firstLine="0"/>
      <w:outlineLvl w:val="9"/>
    </w:pPr>
    <w:rPr>
      <w:rFonts w:ascii="Verdana" w:eastAsia="Times New Roman" w:hAnsi="Verdana" w:cs="Verdana"/>
      <w:b/>
      <w:bCs/>
      <w:color w:val="auto"/>
      <w:kern w:val="28"/>
      <w:sz w:val="24"/>
      <w:szCs w:val="24"/>
      <w:lang w:eastAsia="en-US"/>
    </w:rPr>
  </w:style>
  <w:style w:type="paragraph" w:customStyle="1" w:styleId="DocTitle">
    <w:name w:val="DocTitle"/>
    <w:rsid w:val="00F92B48"/>
    <w:pPr>
      <w:spacing w:before="720" w:after="0" w:line="240" w:lineRule="auto"/>
      <w:jc w:val="right"/>
    </w:pPr>
    <w:rPr>
      <w:rFonts w:ascii="Verdana" w:eastAsia="Times New Roman" w:hAnsi="Verdana" w:cs="Verdana"/>
      <w:sz w:val="40"/>
      <w:szCs w:val="40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92B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2B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2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2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6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1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A9556BF-0022-4A7E-BE68-99D0CD65EF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Przybyszewski Kazimierz</dc:creator>
  <cp:keywords/>
  <dc:description/>
  <cp:lastModifiedBy>Karpiński Jakub</cp:lastModifiedBy>
  <cp:revision>3</cp:revision>
  <cp:lastPrinted>2024-06-13T12:54:00Z</cp:lastPrinted>
  <dcterms:created xsi:type="dcterms:W3CDTF">2024-06-11T13:31:00Z</dcterms:created>
  <dcterms:modified xsi:type="dcterms:W3CDTF">2024-06-13T13:09:00Z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31f8c8e5-c8ee-452b-bed3-1a2058b965bf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