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ListParagraph"/>
        <w:spacing w:lineRule="auto" w:line="360"/>
        <w:ind w:left="709" w:hanging="0"/>
        <w:jc w:val="both"/>
        <w:rPr/>
      </w:pPr>
      <w:r>
        <w:rPr>
          <w:rFonts w:cs="Tahoma" w:ascii="Tahoma" w:hAnsi="Tahoma"/>
          <w:b/>
          <w:color w:val="000000"/>
          <w:sz w:val="20"/>
          <w:szCs w:val="20"/>
        </w:rPr>
        <w:t xml:space="preserve">Kontakt z Pełnomocnikiem  ds.  Praw Pacjentów i Weteranów </w:t>
      </w:r>
    </w:p>
    <w:p>
      <w:pPr>
        <w:pStyle w:val="ListParagraph"/>
        <w:spacing w:lineRule="auto" w:line="360"/>
        <w:ind w:left="709" w:hanging="0"/>
        <w:jc w:val="both"/>
        <w:rPr/>
      </w:pPr>
      <w:r>
        <w:rPr>
          <w:rFonts w:cs="Tahoma" w:ascii="Tahoma" w:hAnsi="Tahoma"/>
          <w:b/>
          <w:color w:val="000000"/>
          <w:sz w:val="20"/>
          <w:szCs w:val="20"/>
        </w:rPr>
        <w:t>w SP ZOZ MSWiA w Szczecinie</w:t>
      </w:r>
    </w:p>
    <w:p>
      <w:pPr>
        <w:pStyle w:val="ListParagraph"/>
        <w:spacing w:lineRule="auto" w:line="360"/>
        <w:ind w:left="709" w:hanging="0"/>
        <w:jc w:val="both"/>
        <w:rPr>
          <w:rFonts w:ascii="Tahoma" w:hAnsi="Tahoma" w:cs="Tahoma"/>
          <w:color w:val="000000"/>
          <w:sz w:val="20"/>
          <w:szCs w:val="20"/>
        </w:rPr>
      </w:pPr>
      <w:r>
        <w:rPr>
          <w:rFonts w:cs="Tahoma" w:ascii="Tahoma" w:hAnsi="Tahoma"/>
          <w:color w:val="000000"/>
          <w:sz w:val="20"/>
          <w:szCs w:val="20"/>
        </w:rPr>
        <w:t>(91) 433-21-06</w:t>
      </w:r>
    </w:p>
    <w:p>
      <w:pPr>
        <w:pStyle w:val="ListParagraph"/>
        <w:spacing w:lineRule="auto" w:line="360"/>
        <w:ind w:left="709" w:hanging="0"/>
        <w:jc w:val="both"/>
        <w:rPr>
          <w:rFonts w:ascii="Tahoma" w:hAnsi="Tahoma" w:cs="Tahoma"/>
          <w:color w:val="000000"/>
          <w:sz w:val="20"/>
          <w:szCs w:val="20"/>
        </w:rPr>
      </w:pPr>
      <w:r>
        <w:rPr>
          <w:rFonts w:cs="Tahoma" w:ascii="Tahoma" w:hAnsi="Tahoma"/>
          <w:color w:val="000000"/>
          <w:sz w:val="20"/>
          <w:szCs w:val="20"/>
        </w:rPr>
        <w:t>ul. Jagiellońska 44</w:t>
      </w:r>
    </w:p>
    <w:p>
      <w:pPr>
        <w:pStyle w:val="ListParagraph"/>
        <w:spacing w:lineRule="auto" w:line="360"/>
        <w:ind w:left="709" w:hanging="0"/>
        <w:jc w:val="both"/>
        <w:rPr>
          <w:rFonts w:ascii="Tahoma" w:hAnsi="Tahoma" w:cs="Tahoma"/>
          <w:color w:val="000000"/>
          <w:sz w:val="20"/>
          <w:szCs w:val="20"/>
        </w:rPr>
      </w:pPr>
      <w:r>
        <w:rPr>
          <w:rFonts w:cs="Tahoma" w:ascii="Tahoma" w:hAnsi="Tahoma"/>
          <w:color w:val="000000"/>
          <w:sz w:val="20"/>
          <w:szCs w:val="20"/>
        </w:rPr>
        <w:t>70-382 Szczecin</w:t>
      </w:r>
    </w:p>
    <w:p>
      <w:pPr>
        <w:pStyle w:val="ListParagraph"/>
        <w:spacing w:lineRule="auto" w:line="360"/>
        <w:ind w:left="709" w:hanging="0"/>
        <w:jc w:val="both"/>
        <w:rPr>
          <w:rFonts w:ascii="Tahoma" w:hAnsi="Tahoma" w:cs="Tahoma"/>
          <w:color w:val="000000"/>
          <w:sz w:val="20"/>
          <w:szCs w:val="20"/>
        </w:rPr>
      </w:pPr>
      <w:r>
        <w:rPr>
          <w:rFonts w:cs="Tahoma" w:ascii="Tahoma" w:hAnsi="Tahoma"/>
          <w:color w:val="000000"/>
          <w:sz w:val="20"/>
          <w:szCs w:val="20"/>
        </w:rPr>
      </w:r>
    </w:p>
    <w:p>
      <w:pPr>
        <w:pStyle w:val="ListParagraph"/>
        <w:spacing w:lineRule="auto" w:line="360"/>
        <w:ind w:left="709" w:hanging="0"/>
        <w:jc w:val="both"/>
        <w:rPr>
          <w:rFonts w:ascii="Tahoma" w:hAnsi="Tahoma" w:cs="Tahoma"/>
          <w:color w:val="000000"/>
          <w:sz w:val="20"/>
          <w:szCs w:val="20"/>
        </w:rPr>
      </w:pPr>
      <w:r>
        <w:rPr>
          <w:rFonts w:cs="Tahoma" w:ascii="Tahoma" w:hAnsi="Tahoma"/>
          <w:b/>
          <w:color w:val="000000"/>
          <w:sz w:val="20"/>
          <w:szCs w:val="20"/>
        </w:rPr>
        <w:t>Biuro Rzecznika Praw Pacjenta</w:t>
      </w:r>
    </w:p>
    <w:p>
      <w:pPr>
        <w:pStyle w:val="ListParagraph"/>
        <w:spacing w:lineRule="auto" w:line="360"/>
        <w:ind w:left="709" w:hanging="0"/>
        <w:jc w:val="both"/>
        <w:rPr>
          <w:rFonts w:ascii="Tahoma" w:hAnsi="Tahoma" w:cs="Tahoma"/>
          <w:color w:val="000000"/>
          <w:sz w:val="20"/>
          <w:szCs w:val="20"/>
        </w:rPr>
      </w:pPr>
      <w:r>
        <w:rPr>
          <w:rFonts w:cs="Tahoma" w:ascii="Tahoma" w:hAnsi="Tahoma"/>
          <w:color w:val="000000"/>
          <w:sz w:val="20"/>
          <w:szCs w:val="20"/>
        </w:rPr>
        <w:t>ul. Młynarska 46</w:t>
      </w:r>
    </w:p>
    <w:p>
      <w:pPr>
        <w:pStyle w:val="ListParagraph"/>
        <w:spacing w:lineRule="auto" w:line="360"/>
        <w:ind w:left="709" w:hanging="0"/>
        <w:jc w:val="both"/>
        <w:rPr>
          <w:rFonts w:ascii="Tahoma" w:hAnsi="Tahoma" w:cs="Tahoma"/>
          <w:color w:val="000000"/>
          <w:sz w:val="20"/>
          <w:szCs w:val="20"/>
        </w:rPr>
      </w:pPr>
      <w:r>
        <w:rPr>
          <w:rFonts w:cs="Tahoma" w:ascii="Tahoma" w:hAnsi="Tahoma"/>
          <w:color w:val="000000"/>
          <w:sz w:val="20"/>
          <w:szCs w:val="20"/>
        </w:rPr>
        <w:t>01-171 Warszawa</w:t>
      </w:r>
    </w:p>
    <w:p>
      <w:pPr>
        <w:pStyle w:val="ListParagraph"/>
        <w:spacing w:lineRule="auto" w:line="360"/>
        <w:ind w:left="709" w:hanging="0"/>
        <w:jc w:val="both"/>
        <w:rPr>
          <w:rFonts w:ascii="Tahoma" w:hAnsi="Tahoma" w:cs="Tahoma"/>
          <w:color w:val="000000"/>
          <w:sz w:val="20"/>
          <w:szCs w:val="20"/>
        </w:rPr>
      </w:pPr>
      <w:r>
        <w:rPr>
          <w:rFonts w:cs="Tahoma" w:ascii="Tahoma" w:hAnsi="Tahoma"/>
          <w:color w:val="000000"/>
          <w:sz w:val="20"/>
          <w:szCs w:val="20"/>
        </w:rPr>
        <w:t>Sekretariat</w:t>
      </w:r>
    </w:p>
    <w:p>
      <w:pPr>
        <w:pStyle w:val="ListParagraph"/>
        <w:spacing w:lineRule="auto" w:line="360"/>
        <w:ind w:left="709" w:hanging="0"/>
        <w:jc w:val="both"/>
        <w:rPr>
          <w:rFonts w:ascii="Tahoma" w:hAnsi="Tahoma" w:cs="Tahoma"/>
          <w:color w:val="000000"/>
          <w:sz w:val="20"/>
          <w:szCs w:val="20"/>
        </w:rPr>
      </w:pPr>
      <w:r>
        <w:rPr>
          <w:rFonts w:cs="Tahoma" w:ascii="Tahoma" w:hAnsi="Tahoma"/>
          <w:color w:val="000000"/>
          <w:sz w:val="20"/>
          <w:szCs w:val="20"/>
        </w:rPr>
        <w:t>tel.: (22) 532-82-50</w:t>
      </w:r>
    </w:p>
    <w:p>
      <w:pPr>
        <w:pStyle w:val="ListParagraph"/>
        <w:spacing w:lineRule="auto" w:line="360"/>
        <w:ind w:left="709" w:hanging="0"/>
        <w:jc w:val="both"/>
        <w:rPr>
          <w:rFonts w:ascii="Tahoma" w:hAnsi="Tahoma" w:cs="Tahoma"/>
          <w:color w:val="000000"/>
          <w:sz w:val="20"/>
          <w:szCs w:val="20"/>
        </w:rPr>
      </w:pPr>
      <w:r>
        <w:rPr>
          <w:rFonts w:cs="Tahoma" w:ascii="Tahoma" w:hAnsi="Tahoma"/>
          <w:b w:val="false"/>
          <w:i w:val="false"/>
          <w:caps w:val="false"/>
          <w:smallCaps w:val="false"/>
          <w:color w:val="1B1B1B"/>
          <w:spacing w:val="0"/>
          <w:sz w:val="20"/>
          <w:szCs w:val="20"/>
        </w:rPr>
        <w:t>fax: (22) 506 - 50 - 64</w:t>
      </w:r>
      <w:r>
        <w:rPr>
          <w:rFonts w:cs="Tahoma" w:ascii="Tahoma" w:hAnsi="Tahoma"/>
          <w:color w:val="000000"/>
          <w:sz w:val="20"/>
          <w:szCs w:val="20"/>
        </w:rPr>
        <w:t xml:space="preserve"> </w:t>
      </w:r>
    </w:p>
    <w:p>
      <w:pPr>
        <w:pStyle w:val="ListParagraph"/>
        <w:spacing w:lineRule="auto" w:line="360"/>
        <w:ind w:left="709" w:hanging="0"/>
        <w:jc w:val="both"/>
        <w:rPr/>
      </w:pPr>
      <w:hyperlink r:id="rId2">
        <w:r>
          <w:rPr>
            <w:rStyle w:val="Czeinternetowe"/>
            <w:rFonts w:cs="Tahoma" w:ascii="Tahoma" w:hAnsi="Tahoma"/>
            <w:color w:val="000000"/>
            <w:sz w:val="20"/>
            <w:szCs w:val="20"/>
          </w:rPr>
          <w:t>kancelaria@rpp.gov.pl</w:t>
        </w:r>
      </w:hyperlink>
    </w:p>
    <w:p>
      <w:pPr>
        <w:pStyle w:val="ListParagraph"/>
        <w:spacing w:lineRule="auto" w:line="360"/>
        <w:ind w:left="709" w:hanging="0"/>
        <w:jc w:val="both"/>
        <w:rPr>
          <w:rStyle w:val="Mocnowyrniony"/>
          <w:rFonts w:ascii="Tahoma" w:hAnsi="Tahoma" w:cs="Tahoma"/>
          <w:b/>
          <w:b/>
          <w:i w:val="false"/>
          <w:i w:val="false"/>
          <w:caps w:val="false"/>
          <w:smallCaps w:val="false"/>
          <w:color w:val="000000"/>
          <w:spacing w:val="0"/>
          <w:sz w:val="18"/>
          <w:szCs w:val="18"/>
          <w:u w:val="single"/>
        </w:rPr>
      </w:pPr>
      <w:r>
        <w:rPr>
          <w:rFonts w:cs="Tahoma" w:ascii="Tahoma" w:hAnsi="Tahoma"/>
          <w:b/>
          <w:i w:val="false"/>
          <w:caps w:val="false"/>
          <w:smallCaps w:val="false"/>
          <w:color w:val="000000"/>
          <w:spacing w:val="0"/>
          <w:sz w:val="18"/>
          <w:szCs w:val="18"/>
          <w:u w:val="single"/>
        </w:rPr>
      </w:r>
    </w:p>
    <w:p>
      <w:pPr>
        <w:pStyle w:val="ListParagraph"/>
        <w:spacing w:lineRule="auto" w:line="360"/>
        <w:ind w:left="709" w:hanging="0"/>
        <w:jc w:val="both"/>
        <w:rPr/>
      </w:pPr>
      <w:r>
        <w:rPr>
          <w:rStyle w:val="Mocnowyrniony"/>
          <w:rFonts w:cs="Tahoma" w:ascii="Tahoma" w:hAnsi="Tahoma"/>
          <w:b/>
          <w:i w:val="false"/>
          <w:caps w:val="false"/>
          <w:smallCaps w:val="false"/>
          <w:color w:val="1B1B1B"/>
          <w:spacing w:val="0"/>
          <w:sz w:val="18"/>
          <w:szCs w:val="18"/>
          <w:u w:val="single"/>
        </w:rPr>
        <w:t>Czat</w:t>
      </w:r>
    </w:p>
    <w:p>
      <w:pPr>
        <w:pStyle w:val="ListParagraph"/>
        <w:spacing w:lineRule="auto" w:line="360"/>
        <w:ind w:left="709" w:hanging="0"/>
        <w:jc w:val="both"/>
        <w:rPr/>
      </w:pPr>
      <w:r>
        <w:rPr>
          <w:rFonts w:ascii="Tahoma" w:hAnsi="Tahoma"/>
          <w:b w:val="false"/>
          <w:i w:val="false"/>
          <w:caps w:val="false"/>
          <w:smallCaps w:val="false"/>
          <w:color w:val="1B1B1B"/>
          <w:spacing w:val="0"/>
          <w:sz w:val="20"/>
          <w:szCs w:val="20"/>
        </w:rPr>
        <w:t xml:space="preserve">Zapraszamy do kontaktu poprzez bezpośrednią rozmowę w formie czatu  </w:t>
      </w:r>
    </w:p>
    <w:p>
      <w:pPr>
        <w:pStyle w:val="ListParagraph"/>
        <w:spacing w:lineRule="auto" w:line="360"/>
        <w:ind w:left="709" w:hanging="0"/>
        <w:jc w:val="both"/>
        <w:rPr/>
      </w:pPr>
      <w:r>
        <w:rPr>
          <w:rFonts w:ascii="Tahoma" w:hAnsi="Tahoma"/>
          <w:b w:val="false"/>
          <w:i w:val="false"/>
          <w:caps w:val="false"/>
          <w:smallCaps w:val="false"/>
          <w:color w:val="1B1B1B"/>
          <w:spacing w:val="0"/>
          <w:sz w:val="20"/>
          <w:szCs w:val="20"/>
        </w:rPr>
        <w:t>(niebieska ikonka w prawym dolnym rogu strony</w:t>
      </w:r>
    </w:p>
    <w:p>
      <w:pPr>
        <w:pStyle w:val="ListParagraph"/>
        <w:spacing w:lineRule="auto" w:line="360"/>
        <w:ind w:left="709" w:hanging="0"/>
        <w:jc w:val="both"/>
        <w:rPr/>
      </w:pPr>
      <w:r>
        <w:rPr>
          <w:rFonts w:ascii="Tahoma" w:hAnsi="Tahoma"/>
          <w:b w:val="false"/>
          <w:i w:val="false"/>
          <w:caps w:val="false"/>
          <w:smallCaps w:val="false"/>
          <w:color w:val="1B1B1B"/>
          <w:spacing w:val="0"/>
          <w:sz w:val="20"/>
          <w:szCs w:val="20"/>
        </w:rPr>
        <w:t>(  pn. - pt. w godz. 8:00 - 18:00)</w:t>
      </w:r>
    </w:p>
    <w:p>
      <w:pPr>
        <w:pStyle w:val="Tretekstu"/>
        <w:widowControl/>
        <w:spacing w:before="0" w:after="0"/>
        <w:ind w:left="0" w:right="0" w:hanging="0"/>
        <w:rPr>
          <w:caps w:val="false"/>
          <w:smallCaps w:val="false"/>
          <w:color w:val="1B1B1B"/>
          <w:spacing w:val="0"/>
        </w:rPr>
      </w:pPr>
      <w:r>
        <w:rPr>
          <w:caps w:val="false"/>
          <w:smallCaps w:val="false"/>
          <w:color w:val="1B1B1B"/>
          <w:spacing w:val="0"/>
        </w:rPr>
        <w:t> </w:t>
      </w:r>
    </w:p>
    <w:p>
      <w:pPr>
        <w:pStyle w:val="ListParagraph"/>
        <w:spacing w:lineRule="auto" w:line="360"/>
        <w:ind w:left="709" w:hanging="0"/>
        <w:jc w:val="both"/>
        <w:rPr>
          <w:rFonts w:ascii="Tahoma" w:hAnsi="Tahoma" w:cs="Tahoma"/>
          <w:color w:val="000000"/>
          <w:sz w:val="20"/>
          <w:szCs w:val="20"/>
        </w:rPr>
      </w:pPr>
      <w:r>
        <w:rPr>
          <w:rFonts w:cs="Tahoma" w:ascii="Tahoma" w:hAnsi="Tahoma"/>
          <w:color w:val="000000"/>
          <w:sz w:val="20"/>
          <w:szCs w:val="20"/>
        </w:rPr>
      </w:r>
    </w:p>
    <w:p>
      <w:pPr>
        <w:pStyle w:val="Normal"/>
        <w:spacing w:lineRule="auto" w:line="360" w:before="0" w:after="0"/>
        <w:contextualSpacing/>
        <w:rPr>
          <w:rFonts w:ascii="Tahoma" w:hAnsi="Tahoma" w:eastAsia="Times New Roman" w:cs="Tahoma"/>
          <w:b/>
          <w:b/>
          <w:bCs/>
          <w:sz w:val="20"/>
          <w:szCs w:val="20"/>
          <w:highlight w:val="white"/>
          <w:lang w:eastAsia="pl-PL"/>
        </w:rPr>
      </w:pPr>
      <w:r>
        <w:rPr>
          <w:rFonts w:eastAsia="Times New Roman" w:cs="Tahoma" w:ascii="Tahoma" w:hAnsi="Tahoma"/>
          <w:b/>
          <w:bCs/>
          <w:sz w:val="20"/>
          <w:szCs w:val="20"/>
          <w:shd w:fill="FFFFFF" w:val="clear"/>
          <w:lang w:eastAsia="pl-PL"/>
        </w:rPr>
        <w:tab/>
        <w:t>Ogólnopolska bezpłatna infolinia Rzecznika Praw Pacjenta</w:t>
      </w:r>
    </w:p>
    <w:p>
      <w:pPr>
        <w:pStyle w:val="Normal"/>
        <w:spacing w:lineRule="auto" w:line="360" w:before="0" w:after="0"/>
        <w:contextualSpacing/>
        <w:rPr>
          <w:rFonts w:ascii="Tahoma" w:hAnsi="Tahoma" w:eastAsia="Times New Roman" w:cs="Tahoma"/>
          <w:bCs/>
          <w:sz w:val="20"/>
          <w:szCs w:val="20"/>
          <w:highlight w:val="white"/>
          <w:lang w:eastAsia="pl-PL"/>
        </w:rPr>
      </w:pPr>
      <w:r>
        <w:rPr>
          <w:rFonts w:eastAsia="Times New Roman" w:cs="Tahoma" w:ascii="Tahoma" w:hAnsi="Tahoma"/>
          <w:bCs/>
          <w:sz w:val="20"/>
          <w:szCs w:val="20"/>
          <w:shd w:fill="FFFFFF" w:val="clear"/>
          <w:lang w:eastAsia="pl-PL"/>
        </w:rPr>
        <w:tab/>
        <w:t>(22) 800-190-590</w:t>
      </w:r>
    </w:p>
    <w:p>
      <w:pPr>
        <w:pStyle w:val="Normal"/>
        <w:spacing w:lineRule="auto" w:line="360" w:before="0" w:after="0"/>
        <w:contextualSpacing/>
        <w:rPr>
          <w:rFonts w:ascii="Tahoma" w:hAnsi="Tahoma" w:eastAsia="Times New Roman" w:cs="Tahoma"/>
          <w:bCs/>
          <w:sz w:val="20"/>
          <w:szCs w:val="20"/>
          <w:highlight w:val="white"/>
          <w:lang w:eastAsia="pl-PL"/>
        </w:rPr>
      </w:pPr>
      <w:r>
        <w:rPr>
          <w:rFonts w:eastAsia="Times New Roman" w:cs="Tahoma" w:ascii="Tahoma" w:hAnsi="Tahoma"/>
          <w:bCs/>
          <w:sz w:val="20"/>
          <w:szCs w:val="20"/>
          <w:shd w:fill="FFFFFF" w:val="clear"/>
          <w:lang w:eastAsia="pl-PL"/>
        </w:rPr>
        <w:tab/>
        <w:t>(z tel. stacjonarnych i komórkowych)</w:t>
      </w:r>
    </w:p>
    <w:p>
      <w:pPr>
        <w:pStyle w:val="Normal"/>
        <w:spacing w:lineRule="auto" w:line="360" w:before="0" w:after="0"/>
        <w:contextualSpacing/>
        <w:rPr>
          <w:rFonts w:ascii="Tahoma" w:hAnsi="Tahoma" w:eastAsia="Times New Roman" w:cs="Tahoma"/>
          <w:bCs/>
          <w:sz w:val="20"/>
          <w:szCs w:val="20"/>
          <w:highlight w:val="white"/>
          <w:lang w:eastAsia="pl-PL"/>
        </w:rPr>
      </w:pPr>
      <w:r>
        <w:rPr>
          <w:rFonts w:eastAsia="Times New Roman" w:cs="Tahoma" w:ascii="Tahoma" w:hAnsi="Tahoma"/>
          <w:b w:val="false"/>
          <w:bCs/>
          <w:i w:val="false"/>
          <w:caps w:val="false"/>
          <w:smallCaps w:val="false"/>
          <w:color w:val="1B1B1B"/>
          <w:spacing w:val="0"/>
          <w:sz w:val="20"/>
          <w:szCs w:val="20"/>
          <w:shd w:fill="FFFFFF" w:val="clear"/>
          <w:lang w:eastAsia="pl-PL"/>
        </w:rPr>
        <w:t xml:space="preserve">           </w:t>
      </w:r>
      <w:r>
        <w:rPr>
          <w:rFonts w:eastAsia="Times New Roman" w:cs="Tahoma" w:ascii="Tahoma" w:hAnsi="Tahoma"/>
          <w:b w:val="false"/>
          <w:bCs/>
          <w:i w:val="false"/>
          <w:caps w:val="false"/>
          <w:smallCaps w:val="false"/>
          <w:color w:val="1B1B1B"/>
          <w:spacing w:val="0"/>
          <w:sz w:val="20"/>
          <w:szCs w:val="20"/>
          <w:shd w:fill="FFFFFF" w:val="clear"/>
          <w:lang w:eastAsia="pl-PL"/>
        </w:rPr>
        <w:t>czynna pn. - pt. w godz. 8.00 - 18.00</w:t>
      </w:r>
      <w:r>
        <w:rPr>
          <w:rFonts w:eastAsia="Times New Roman" w:cs="Tahoma" w:ascii="Tahoma" w:hAnsi="Tahoma"/>
          <w:bCs/>
          <w:sz w:val="20"/>
          <w:szCs w:val="20"/>
          <w:shd w:fill="FFFFFF" w:val="clear"/>
          <w:lang w:eastAsia="pl-PL"/>
        </w:rPr>
        <w:t xml:space="preserve"> </w:t>
      </w:r>
    </w:p>
    <w:p>
      <w:pPr>
        <w:pStyle w:val="Normal"/>
        <w:spacing w:lineRule="auto" w:line="360" w:before="0" w:after="0"/>
        <w:contextualSpacing/>
        <w:rPr>
          <w:rFonts w:ascii="Tahoma" w:hAnsi="Tahoma" w:eastAsia="Times New Roman" w:cs="Tahoma"/>
          <w:bCs/>
          <w:sz w:val="20"/>
          <w:szCs w:val="20"/>
          <w:shd w:fill="FFFFFF" w:val="clear"/>
          <w:lang w:eastAsia="pl-PL"/>
        </w:rPr>
      </w:pPr>
      <w:r>
        <w:rPr>
          <w:rFonts w:eastAsia="Times New Roman" w:cs="Tahoma" w:ascii="Tahoma" w:hAnsi="Tahoma"/>
          <w:bCs/>
          <w:sz w:val="20"/>
          <w:szCs w:val="20"/>
          <w:shd w:fill="FFFFFF" w:val="clear"/>
          <w:lang w:eastAsia="pl-PL"/>
        </w:rPr>
      </w:r>
    </w:p>
    <w:p>
      <w:pPr>
        <w:pStyle w:val="Normal"/>
        <w:spacing w:lineRule="auto" w:line="360" w:before="0" w:after="0"/>
        <w:contextualSpacing/>
        <w:rPr/>
      </w:pPr>
      <w:r>
        <w:rPr>
          <w:rFonts w:eastAsia="Times New Roman" w:cs="Tahoma" w:ascii="Tahoma" w:hAnsi="Tahoma"/>
          <w:b/>
          <w:bCs/>
          <w:sz w:val="20"/>
          <w:szCs w:val="20"/>
          <w:shd w:fill="FFFFFF" w:val="clear"/>
          <w:lang w:eastAsia="pl-PL"/>
        </w:rPr>
        <w:tab/>
        <w:t xml:space="preserve">Sekcja skarg i wniosków </w:t>
      </w:r>
      <w:r>
        <w:rPr>
          <w:rFonts w:eastAsia="Times New Roman" w:cs="Tahoma" w:ascii="Tahoma" w:hAnsi="Tahoma"/>
          <w:b/>
          <w:bCs/>
          <w:sz w:val="20"/>
          <w:szCs w:val="20"/>
          <w:shd w:fill="FFFFFF" w:val="clear"/>
          <w:lang w:eastAsia="pl-PL"/>
        </w:rPr>
        <w:t xml:space="preserve"> Zachodniopomorskim  NFZ </w:t>
      </w:r>
      <w:r>
        <w:rPr>
          <w:rFonts w:eastAsia="Times New Roman" w:cs="Tahoma" w:ascii="Tahoma" w:hAnsi="Tahoma"/>
          <w:b/>
          <w:bCs/>
          <w:sz w:val="20"/>
          <w:szCs w:val="20"/>
          <w:shd w:fill="FFFFFF" w:val="clear"/>
          <w:lang w:eastAsia="pl-PL"/>
        </w:rPr>
        <w:t xml:space="preserve">oddział </w:t>
      </w:r>
      <w:r>
        <w:rPr>
          <w:rFonts w:eastAsia="Times New Roman" w:cs="Tahoma" w:ascii="Tahoma" w:hAnsi="Tahoma"/>
          <w:b/>
          <w:bCs/>
          <w:sz w:val="20"/>
          <w:szCs w:val="20"/>
          <w:shd w:fill="FFFFFF" w:val="clear"/>
          <w:lang w:eastAsia="pl-PL"/>
        </w:rPr>
        <w:t xml:space="preserve"> </w:t>
      </w:r>
      <w:r>
        <w:rPr>
          <w:rFonts w:eastAsia="Times New Roman" w:cs="Tahoma" w:ascii="Tahoma" w:hAnsi="Tahoma"/>
          <w:b/>
          <w:bCs/>
          <w:sz w:val="20"/>
          <w:szCs w:val="20"/>
          <w:shd w:fill="FFFFFF" w:val="clear"/>
          <w:lang w:eastAsia="pl-PL"/>
        </w:rPr>
        <w:t xml:space="preserve">Zachodniopomorski </w:t>
      </w:r>
    </w:p>
    <w:p>
      <w:pPr>
        <w:pStyle w:val="Normal"/>
        <w:spacing w:lineRule="auto" w:line="360" w:before="0" w:after="0"/>
        <w:contextualSpacing/>
        <w:rPr>
          <w:rFonts w:ascii="Tahoma" w:hAnsi="Tahoma" w:eastAsia="Times New Roman" w:cs="Tahoma"/>
          <w:bCs/>
          <w:sz w:val="20"/>
          <w:szCs w:val="20"/>
          <w:highlight w:val="white"/>
          <w:lang w:eastAsia="pl-PL"/>
        </w:rPr>
      </w:pPr>
      <w:r>
        <w:rPr>
          <w:rFonts w:eastAsia="Times New Roman" w:cs="Tahoma" w:ascii="Tahoma" w:hAnsi="Tahoma"/>
          <w:b/>
          <w:bCs/>
          <w:sz w:val="20"/>
          <w:szCs w:val="20"/>
          <w:shd w:fill="FFFFFF" w:val="clear"/>
          <w:lang w:eastAsia="pl-PL"/>
        </w:rPr>
        <w:tab/>
      </w:r>
      <w:r>
        <w:rPr>
          <w:rFonts w:eastAsia="Times New Roman" w:cs="Tahoma" w:ascii="Tahoma" w:hAnsi="Tahoma"/>
          <w:bCs/>
          <w:sz w:val="20"/>
          <w:szCs w:val="20"/>
          <w:shd w:fill="FFFFFF" w:val="clear"/>
          <w:lang w:eastAsia="pl-PL"/>
        </w:rPr>
        <w:t>ul. Arkońska 45</w:t>
      </w:r>
    </w:p>
    <w:p>
      <w:pPr>
        <w:pStyle w:val="Normal"/>
        <w:spacing w:lineRule="auto" w:line="360" w:before="0" w:after="0"/>
        <w:contextualSpacing/>
        <w:rPr>
          <w:rFonts w:ascii="Tahoma" w:hAnsi="Tahoma" w:eastAsia="Times New Roman" w:cs="Tahoma"/>
          <w:bCs/>
          <w:sz w:val="20"/>
          <w:szCs w:val="20"/>
          <w:highlight w:val="white"/>
          <w:lang w:eastAsia="pl-PL"/>
        </w:rPr>
      </w:pPr>
      <w:r>
        <w:rPr>
          <w:rFonts w:eastAsia="Times New Roman" w:cs="Tahoma" w:ascii="Tahoma" w:hAnsi="Tahoma"/>
          <w:bCs/>
          <w:sz w:val="20"/>
          <w:szCs w:val="20"/>
          <w:shd w:fill="FFFFFF" w:val="clear"/>
          <w:lang w:eastAsia="pl-PL"/>
        </w:rPr>
        <w:tab/>
        <w:t>71-470 Szczecin</w:t>
      </w:r>
    </w:p>
    <w:p>
      <w:pPr>
        <w:pStyle w:val="Normal"/>
        <w:spacing w:lineRule="auto" w:line="360" w:before="0" w:after="0"/>
        <w:contextualSpacing/>
        <w:rPr/>
      </w:pPr>
      <w:r>
        <w:rPr>
          <w:rFonts w:eastAsia="Times New Roman" w:cs="Tahoma" w:ascii="Tahoma" w:hAnsi="Tahoma"/>
          <w:bCs/>
          <w:sz w:val="20"/>
          <w:szCs w:val="20"/>
          <w:shd w:fill="FFFFFF" w:val="clear"/>
          <w:lang w:eastAsia="pl-PL"/>
        </w:rPr>
        <w:tab/>
        <w:t>tel. (91) 425-10-52</w:t>
      </w:r>
    </w:p>
    <w:p>
      <w:pPr>
        <w:pStyle w:val="Normal"/>
        <w:tabs>
          <w:tab w:val="left" w:pos="3510" w:leader="none"/>
        </w:tabs>
        <w:spacing w:lineRule="auto" w:line="360" w:before="0" w:after="0"/>
        <w:rPr>
          <w:rFonts w:ascii="Tahoma" w:hAnsi="Tahoma" w:eastAsia="Times New Roman" w:cs="Tahoma"/>
          <w:b/>
          <w:b/>
          <w:bCs/>
          <w:sz w:val="20"/>
          <w:szCs w:val="20"/>
          <w:highlight w:val="white"/>
          <w:lang w:eastAsia="pl-PL"/>
        </w:rPr>
      </w:pPr>
      <w:r>
        <w:rPr>
          <w:rFonts w:eastAsia="Times New Roman" w:cs="Tahoma" w:ascii="Tahoma" w:hAnsi="Tahoma"/>
          <w:b/>
          <w:bCs/>
          <w:sz w:val="20"/>
          <w:szCs w:val="20"/>
          <w:shd w:fill="FFFFFF" w:val="clear"/>
          <w:lang w:eastAsia="pl-PL"/>
        </w:rPr>
        <w:tab/>
        <w:tab/>
      </w:r>
    </w:p>
    <w:p>
      <w:pPr>
        <w:pStyle w:val="Normal"/>
        <w:spacing w:lineRule="auto" w:line="360" w:before="0" w:after="0"/>
        <w:jc w:val="center"/>
        <w:rPr>
          <w:rFonts w:ascii="Tahoma" w:hAnsi="Tahoma" w:eastAsia="Times New Roman" w:cs="Tahoma"/>
          <w:b/>
          <w:b/>
          <w:bCs/>
          <w:sz w:val="20"/>
          <w:szCs w:val="20"/>
          <w:highlight w:val="white"/>
          <w:lang w:eastAsia="pl-PL"/>
        </w:rPr>
      </w:pPr>
      <w:r>
        <w:rPr>
          <w:rFonts w:eastAsia="Times New Roman" w:cs="Tahoma" w:ascii="Tahoma" w:hAnsi="Tahoma"/>
          <w:b/>
          <w:bCs/>
          <w:sz w:val="20"/>
          <w:szCs w:val="20"/>
          <w:shd w:fill="FFFFFF" w:val="clear"/>
          <w:lang w:eastAsia="pl-PL"/>
        </w:rPr>
        <w:t>PRAWA PACJENTA</w:t>
      </w:r>
    </w:p>
    <w:p>
      <w:pPr>
        <w:pStyle w:val="Normal"/>
        <w:spacing w:lineRule="auto" w:line="360" w:before="0" w:after="0"/>
        <w:jc w:val="center"/>
        <w:rPr>
          <w:rFonts w:ascii="Tahoma" w:hAnsi="Tahoma" w:eastAsia="Times New Roman" w:cs="Tahoma"/>
          <w:b/>
          <w:b/>
          <w:bCs/>
          <w:sz w:val="20"/>
          <w:szCs w:val="20"/>
          <w:highlight w:val="white"/>
          <w:lang w:eastAsia="pl-PL"/>
        </w:rPr>
      </w:pPr>
      <w:r>
        <w:rPr>
          <w:rFonts w:eastAsia="Times New Roman" w:cs="Tahoma" w:ascii="Tahoma" w:hAnsi="Tahoma"/>
          <w:b/>
          <w:bCs/>
          <w:sz w:val="20"/>
          <w:szCs w:val="20"/>
          <w:shd w:fill="FFFFFF" w:val="clear"/>
          <w:lang w:eastAsia="pl-PL"/>
        </w:rPr>
        <w:t>Wyciąg z ustawy z dnia 6 listopada 2008 r. o prawach pacjenta i Rzeczniku Praw Pacjenta</w:t>
      </w:r>
    </w:p>
    <w:p>
      <w:pPr>
        <w:pStyle w:val="Normal"/>
        <w:tabs>
          <w:tab w:val="center" w:pos="4536" w:leader="none"/>
          <w:tab w:val="left" w:pos="7290" w:leader="none"/>
        </w:tabs>
        <w:spacing w:lineRule="auto" w:line="360" w:before="0" w:after="0"/>
        <w:rPr>
          <w:rFonts w:ascii="Tahoma" w:hAnsi="Tahoma" w:eastAsia="Times New Roman" w:cs="Tahoma"/>
          <w:b/>
          <w:b/>
          <w:bCs/>
          <w:sz w:val="20"/>
          <w:szCs w:val="20"/>
          <w:shd w:fill="FFFFFF" w:val="clear"/>
          <w:lang w:eastAsia="pl-PL"/>
        </w:rPr>
      </w:pPr>
      <w:r>
        <w:rPr>
          <w:rFonts w:eastAsia="Times New Roman" w:cs="Tahoma" w:ascii="Tahoma" w:hAnsi="Tahoma"/>
          <w:b/>
          <w:bCs/>
          <w:sz w:val="20"/>
          <w:szCs w:val="20"/>
          <w:shd w:fill="FFFFFF" w:val="clear"/>
          <w:lang w:eastAsia="pl-PL"/>
        </w:rPr>
      </w:r>
    </w:p>
    <w:p>
      <w:pPr>
        <w:pStyle w:val="ListParagraph"/>
        <w:numPr>
          <w:ilvl w:val="0"/>
          <w:numId w:val="6"/>
        </w:numPr>
        <w:spacing w:lineRule="auto" w:line="360" w:before="0" w:after="0"/>
        <w:ind w:left="426" w:hanging="360"/>
        <w:rPr>
          <w:rFonts w:ascii="Tahoma" w:hAnsi="Tahoma" w:eastAsia="Times New Roman" w:cs="Tahoma"/>
          <w:b/>
          <w:b/>
          <w:bCs/>
          <w:sz w:val="20"/>
          <w:szCs w:val="20"/>
          <w:highlight w:val="white"/>
          <w:lang w:eastAsia="pl-PL"/>
        </w:rPr>
      </w:pPr>
      <w:r>
        <w:rPr>
          <w:rFonts w:eastAsia="Times New Roman" w:cs="Tahoma" w:ascii="Tahoma" w:hAnsi="Tahoma"/>
          <w:b/>
          <w:bCs/>
          <w:sz w:val="20"/>
          <w:szCs w:val="20"/>
          <w:shd w:fill="FFFFFF" w:val="clear"/>
          <w:lang w:eastAsia="pl-PL"/>
        </w:rPr>
        <w:t>ZAKRES PRAWA DO ŚWIADCZEŃ ZDROWOTNYCH</w:t>
      </w:r>
    </w:p>
    <w:p>
      <w:pPr>
        <w:pStyle w:val="ListParagraph"/>
        <w:numPr>
          <w:ilvl w:val="0"/>
          <w:numId w:val="1"/>
        </w:numPr>
        <w:shd w:val="clear" w:color="auto" w:fill="FFFFFF"/>
        <w:spacing w:lineRule="auto" w:line="360" w:before="0" w:after="0"/>
        <w:ind w:left="284"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Pacjent ma prawo do świadczeń zdrowotnych odpowiadających wymaganiom aktualnej wiedzy medycznej.</w:t>
      </w:r>
    </w:p>
    <w:p>
      <w:pPr>
        <w:pStyle w:val="ListParagraph"/>
        <w:numPr>
          <w:ilvl w:val="0"/>
          <w:numId w:val="1"/>
        </w:numPr>
        <w:shd w:val="clear" w:color="auto" w:fill="FFFFFF"/>
        <w:spacing w:lineRule="auto" w:line="360" w:before="0" w:after="0"/>
        <w:ind w:left="284"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Pacjent ma prawo, w sytuacji ograniczonych możliwości udzielenia odpowiednich świadczeń zdrowotnych, do przejrzystej, obiektywnej, opartej na kryteriach medycznych, procedury ustalającej kolejność dostępu do tych świadczeń.</w:t>
      </w:r>
    </w:p>
    <w:p>
      <w:pPr>
        <w:pStyle w:val="ListParagraph"/>
        <w:numPr>
          <w:ilvl w:val="0"/>
          <w:numId w:val="1"/>
        </w:numPr>
        <w:shd w:val="clear" w:color="auto" w:fill="FFFFFF"/>
        <w:spacing w:lineRule="auto" w:line="360" w:before="0" w:after="0"/>
        <w:ind w:left="284"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Pacjent ma prawo żądać, aby udzielający mu świadczeń zdrowotnych:</w:t>
      </w:r>
    </w:p>
    <w:p>
      <w:pPr>
        <w:pStyle w:val="ListParagraph"/>
        <w:numPr>
          <w:ilvl w:val="1"/>
          <w:numId w:val="1"/>
        </w:numPr>
        <w:shd w:val="clear" w:color="auto" w:fill="FFFFFF"/>
        <w:spacing w:lineRule="auto" w:line="360" w:before="0" w:after="72"/>
        <w:ind w:left="567"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lekarz zasięgnął opinii innego lekarza lub zwołał konsylium lekarskie;</w:t>
      </w:r>
    </w:p>
    <w:p>
      <w:pPr>
        <w:pStyle w:val="ListParagraph"/>
        <w:numPr>
          <w:ilvl w:val="1"/>
          <w:numId w:val="1"/>
        </w:numPr>
        <w:shd w:val="clear" w:color="auto" w:fill="FFFFFF"/>
        <w:spacing w:lineRule="auto" w:line="360" w:before="0" w:after="72"/>
        <w:ind w:left="567"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pielęgniarka (położna) zasięgnęła opinii innej pielęgniarki (położnej).</w:t>
      </w:r>
    </w:p>
    <w:p>
      <w:pPr>
        <w:pStyle w:val="ListParagraph"/>
        <w:numPr>
          <w:ilvl w:val="0"/>
          <w:numId w:val="1"/>
        </w:numPr>
        <w:shd w:val="clear" w:color="auto" w:fill="FFFFFF"/>
        <w:spacing w:lineRule="auto" w:line="360" w:before="0" w:after="0"/>
        <w:ind w:left="284"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Lekarz może odmówić zwołania konsylium lekarskiego lub zasięgnięcia opinii innego lekarza, jeżeli uzna, że żądanie, o którym mowa w ust. 3, jest bezzasadne.</w:t>
      </w:r>
    </w:p>
    <w:p>
      <w:pPr>
        <w:pStyle w:val="ListParagraph"/>
        <w:numPr>
          <w:ilvl w:val="0"/>
          <w:numId w:val="1"/>
        </w:numPr>
        <w:shd w:val="clear" w:color="auto" w:fill="FFFFFF"/>
        <w:spacing w:lineRule="auto" w:line="360" w:before="0" w:after="0"/>
        <w:ind w:left="284"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Żądanie, o którym mowa w ust. 3, oraz odmowę, o której mowa w ust. 4, odnotowuje się w dokumentacji medycznej.</w:t>
      </w:r>
    </w:p>
    <w:p>
      <w:pPr>
        <w:pStyle w:val="ListParagraph"/>
        <w:numPr>
          <w:ilvl w:val="0"/>
          <w:numId w:val="1"/>
        </w:numPr>
        <w:shd w:val="clear" w:color="auto" w:fill="FFFFFF"/>
        <w:spacing w:lineRule="auto" w:line="360" w:before="0" w:after="0"/>
        <w:ind w:left="284"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Przepisy ust. 4 i 5 stosuje się do pielęgniarki (położnej) w zakresie zasięgania opinii innej pielęgniarki (położnej).</w:t>
      </w:r>
    </w:p>
    <w:p>
      <w:pPr>
        <w:pStyle w:val="ListParagraph"/>
        <w:numPr>
          <w:ilvl w:val="0"/>
          <w:numId w:val="6"/>
        </w:numPr>
        <w:shd w:val="clear" w:color="auto" w:fill="FFFFFF"/>
        <w:spacing w:lineRule="auto" w:line="360" w:before="0" w:after="0"/>
        <w:ind w:left="426" w:hanging="360"/>
        <w:rPr>
          <w:rFonts w:ascii="Tahoma" w:hAnsi="Tahoma" w:eastAsia="Times New Roman" w:cs="Tahoma"/>
          <w:b/>
          <w:b/>
          <w:sz w:val="20"/>
          <w:szCs w:val="20"/>
          <w:lang w:eastAsia="pl-PL"/>
        </w:rPr>
      </w:pPr>
      <w:r>
        <w:rPr>
          <w:rFonts w:eastAsia="Times New Roman" w:cs="Tahoma" w:ascii="Tahoma" w:hAnsi="Tahoma"/>
          <w:b/>
          <w:sz w:val="20"/>
          <w:szCs w:val="20"/>
          <w:lang w:eastAsia="pl-PL"/>
        </w:rPr>
        <w:t>ZAKRES PRAWA DO INFORMACJI</w:t>
      </w:r>
    </w:p>
    <w:p>
      <w:pPr>
        <w:pStyle w:val="ListParagraph"/>
        <w:numPr>
          <w:ilvl w:val="0"/>
          <w:numId w:val="10"/>
        </w:numPr>
        <w:shd w:val="clear" w:color="auto" w:fill="FFFFFF"/>
        <w:spacing w:lineRule="auto" w:line="360" w:before="72" w:after="160"/>
        <w:ind w:left="284" w:hanging="360"/>
        <w:jc w:val="both"/>
        <w:rPr>
          <w:rFonts w:ascii="Tahoma" w:hAnsi="Tahoma" w:cs="Tahoma"/>
          <w:color w:val="333333"/>
          <w:sz w:val="20"/>
          <w:szCs w:val="20"/>
        </w:rPr>
      </w:pPr>
      <w:r>
        <w:rPr>
          <w:rFonts w:cs="Tahoma" w:ascii="Tahoma" w:hAnsi="Tahoma"/>
          <w:color w:val="333333"/>
          <w:sz w:val="20"/>
          <w:szCs w:val="20"/>
        </w:rPr>
        <w:t>Pacjent ma prawo do informacji o swoim stanie zdrowia.</w:t>
      </w:r>
    </w:p>
    <w:p>
      <w:pPr>
        <w:pStyle w:val="ListParagraph"/>
        <w:numPr>
          <w:ilvl w:val="0"/>
          <w:numId w:val="10"/>
        </w:numPr>
        <w:shd w:val="clear" w:color="auto" w:fill="FFFFFF"/>
        <w:spacing w:lineRule="auto" w:line="360" w:before="72" w:after="160"/>
        <w:ind w:left="284" w:hanging="360"/>
        <w:jc w:val="both"/>
        <w:rPr>
          <w:rFonts w:ascii="Tahoma" w:hAnsi="Tahoma" w:cs="Tahoma"/>
          <w:color w:val="333333"/>
          <w:sz w:val="20"/>
          <w:szCs w:val="20"/>
        </w:rPr>
      </w:pPr>
      <w:r>
        <w:rPr>
          <w:rFonts w:cs="Tahoma" w:ascii="Tahoma" w:hAnsi="Tahoma"/>
          <w:color w:val="333333"/>
          <w:sz w:val="20"/>
          <w:szCs w:val="20"/>
        </w:rPr>
        <w:t>Pacjent, w tym małoletni, który ukończył 16 lat, lub jego przedstawiciel ustawowy mają prawo do uzyskania od osoby wykonującej zawód medyczny przystępnej informacji o stanie zdrowia pacjenta, rozpoznaniu, proponowanych oraz możliwych metodach diagnostycznych i leczniczych, dających się przewidzieć następstwach ich zastosowania albo zaniechania, wynikach leczenia oraz rokowaniu, w zakresie udzielanych przez tę osobę świadczeń zdrowotnych oraz zgodnie z posiadanymi przez nią uprawnieniami.</w:t>
      </w:r>
    </w:p>
    <w:p>
      <w:pPr>
        <w:pStyle w:val="ListParagraph"/>
        <w:numPr>
          <w:ilvl w:val="0"/>
          <w:numId w:val="10"/>
        </w:numPr>
        <w:shd w:val="clear" w:color="auto" w:fill="FFFFFF"/>
        <w:spacing w:lineRule="auto" w:line="360" w:before="72" w:after="160"/>
        <w:ind w:left="284" w:hanging="360"/>
        <w:jc w:val="both"/>
        <w:rPr>
          <w:rFonts w:ascii="Tahoma" w:hAnsi="Tahoma" w:cs="Tahoma"/>
          <w:color w:val="333333"/>
          <w:sz w:val="20"/>
          <w:szCs w:val="20"/>
        </w:rPr>
      </w:pPr>
      <w:r>
        <w:rPr>
          <w:rFonts w:cs="Tahoma" w:ascii="Tahoma" w:hAnsi="Tahoma"/>
          <w:color w:val="333333"/>
          <w:sz w:val="20"/>
          <w:szCs w:val="20"/>
        </w:rPr>
        <w:t>Pacjent lub jego ustawowy przedstawiciel mają prawo do wyrażenia zgody na udzielenie informacji wymienionych w ust. 2 innym osobom.</w:t>
      </w:r>
    </w:p>
    <w:p>
      <w:pPr>
        <w:pStyle w:val="ListParagraph"/>
        <w:numPr>
          <w:ilvl w:val="0"/>
          <w:numId w:val="10"/>
        </w:numPr>
        <w:shd w:val="clear" w:color="auto" w:fill="FFFFFF"/>
        <w:spacing w:lineRule="auto" w:line="360" w:before="72" w:after="160"/>
        <w:ind w:left="284" w:hanging="360"/>
        <w:jc w:val="both"/>
        <w:rPr>
          <w:rFonts w:ascii="Tahoma" w:hAnsi="Tahoma" w:cs="Tahoma"/>
          <w:color w:val="333333"/>
          <w:sz w:val="20"/>
          <w:szCs w:val="20"/>
        </w:rPr>
      </w:pPr>
      <w:r>
        <w:rPr>
          <w:rFonts w:cs="Tahoma" w:ascii="Tahoma" w:hAnsi="Tahoma"/>
          <w:color w:val="333333"/>
          <w:sz w:val="20"/>
          <w:szCs w:val="20"/>
        </w:rPr>
        <w:t>Pacjent ma prawo żądać, aby osoba wykonująca zawód medyczny nie udzielała mu informacji, o której mowa w ust. 2.</w:t>
      </w:r>
    </w:p>
    <w:p>
      <w:pPr>
        <w:pStyle w:val="ListParagraph"/>
        <w:numPr>
          <w:ilvl w:val="0"/>
          <w:numId w:val="10"/>
        </w:numPr>
        <w:shd w:val="clear" w:color="auto" w:fill="FFFFFF"/>
        <w:spacing w:lineRule="auto" w:line="360" w:before="72" w:after="160"/>
        <w:ind w:left="284" w:hanging="360"/>
        <w:jc w:val="both"/>
        <w:rPr>
          <w:rFonts w:ascii="Tahoma" w:hAnsi="Tahoma" w:cs="Tahoma"/>
          <w:color w:val="333333"/>
          <w:sz w:val="20"/>
          <w:szCs w:val="20"/>
        </w:rPr>
      </w:pPr>
      <w:r>
        <w:rPr>
          <w:rFonts w:cs="Tahoma" w:ascii="Tahoma" w:hAnsi="Tahoma"/>
          <w:color w:val="333333"/>
          <w:sz w:val="20"/>
          <w:szCs w:val="20"/>
        </w:rPr>
        <w:t>Po uzyskaniu informacji, o której mowa w ust. 2, pacjent ma prawo przedstawić osobie wykonującej zawód medyczny swoje zdanie w tym zakresie.</w:t>
      </w:r>
    </w:p>
    <w:p>
      <w:pPr>
        <w:pStyle w:val="ListParagraph"/>
        <w:numPr>
          <w:ilvl w:val="0"/>
          <w:numId w:val="10"/>
        </w:numPr>
        <w:shd w:val="clear" w:color="auto" w:fill="FFFFFF"/>
        <w:spacing w:lineRule="auto" w:line="360" w:before="72" w:after="160"/>
        <w:ind w:left="284" w:hanging="360"/>
        <w:jc w:val="both"/>
        <w:rPr>
          <w:rFonts w:ascii="Tahoma" w:hAnsi="Tahoma" w:cs="Tahoma"/>
          <w:color w:val="333333"/>
          <w:sz w:val="20"/>
          <w:szCs w:val="20"/>
        </w:rPr>
      </w:pPr>
      <w:r>
        <w:rPr>
          <w:rFonts w:cs="Tahoma" w:ascii="Tahoma" w:hAnsi="Tahoma"/>
          <w:color w:val="333333"/>
          <w:sz w:val="20"/>
          <w:szCs w:val="20"/>
        </w:rPr>
        <w:t>W przypadku określonym w art. 31 ust. 4 ustawy z dnia 5 grudnia 1996 r. o zawodach lekarza i lekarza dentysty, pacjent ma prawo żądać, aby lekarz udzielił mu informacji, o której mowa w ust. 2, w pełnym zakresie.</w:t>
      </w:r>
    </w:p>
    <w:p>
      <w:pPr>
        <w:pStyle w:val="ListParagraph"/>
        <w:numPr>
          <w:ilvl w:val="0"/>
          <w:numId w:val="10"/>
        </w:numPr>
        <w:shd w:val="clear" w:color="auto" w:fill="FFFFFF"/>
        <w:spacing w:lineRule="auto" w:line="360" w:before="72" w:after="160"/>
        <w:ind w:left="284" w:hanging="360"/>
        <w:jc w:val="both"/>
        <w:rPr>
          <w:rFonts w:ascii="Tahoma" w:hAnsi="Tahoma" w:cs="Tahoma"/>
          <w:color w:val="333333"/>
          <w:sz w:val="20"/>
          <w:szCs w:val="20"/>
        </w:rPr>
      </w:pPr>
      <w:r>
        <w:rPr>
          <w:rFonts w:cs="Tahoma" w:ascii="Tahoma" w:hAnsi="Tahoma"/>
          <w:color w:val="333333"/>
          <w:sz w:val="20"/>
          <w:szCs w:val="20"/>
        </w:rPr>
        <w:t>Pacjent małoletni, który nie ukończył 16 lat, ma prawo do uzyskania od osoby wykonującej zawód medyczny informacji, o której mowa w ust. 2, w zakresie i formie potrzebnej do prawidłowego przebiegu procesu diagnostycznego lub terapeutycznego.</w:t>
      </w:r>
    </w:p>
    <w:p>
      <w:pPr>
        <w:pStyle w:val="ListParagraph"/>
        <w:numPr>
          <w:ilvl w:val="0"/>
          <w:numId w:val="10"/>
        </w:numPr>
        <w:shd w:val="clear" w:color="auto" w:fill="FFFFFF"/>
        <w:spacing w:lineRule="auto" w:line="360" w:before="72" w:after="160"/>
        <w:ind w:left="284" w:hanging="360"/>
        <w:jc w:val="both"/>
        <w:rPr>
          <w:rFonts w:ascii="Tahoma" w:hAnsi="Tahoma" w:cs="Tahoma"/>
          <w:color w:val="333333"/>
          <w:sz w:val="20"/>
          <w:szCs w:val="20"/>
        </w:rPr>
      </w:pPr>
      <w:r>
        <w:rPr>
          <w:rFonts w:cs="Tahoma" w:ascii="Tahoma" w:hAnsi="Tahoma"/>
          <w:color w:val="333333"/>
          <w:sz w:val="20"/>
          <w:szCs w:val="20"/>
        </w:rPr>
        <w:t>Pacjent, w tym małoletni, który ukończył 16 lat, lub jego ustawowy przedstawiciel mają prawo do uzyskania od pielęgniarki, położnej przystępnej informacji o jego pielęgnacji i zabiegach pielęgniarskich.</w:t>
      </w:r>
    </w:p>
    <w:p>
      <w:pPr>
        <w:pStyle w:val="ListParagraph"/>
        <w:numPr>
          <w:ilvl w:val="0"/>
          <w:numId w:val="6"/>
        </w:numPr>
        <w:shd w:val="clear" w:color="auto" w:fill="FFFFFF"/>
        <w:spacing w:lineRule="auto" w:line="360"/>
        <w:ind w:left="426" w:hanging="360"/>
        <w:rPr>
          <w:rFonts w:ascii="Tahoma" w:hAnsi="Tahoma" w:eastAsia="Times New Roman" w:cs="Tahoma"/>
          <w:b/>
          <w:b/>
          <w:bCs/>
          <w:sz w:val="20"/>
          <w:szCs w:val="20"/>
          <w:lang w:eastAsia="pl-PL"/>
        </w:rPr>
      </w:pPr>
      <w:r>
        <w:rPr>
          <w:rFonts w:eastAsia="Times New Roman" w:cs="Tahoma" w:ascii="Tahoma" w:hAnsi="Tahoma"/>
          <w:b/>
          <w:bCs/>
          <w:sz w:val="20"/>
          <w:szCs w:val="20"/>
          <w:lang w:eastAsia="pl-PL"/>
        </w:rPr>
        <w:t>PRAWO DO ZGŁASZANIA DZIAŁAŃ NIEPOŻĄDANYCH PRODUKTÓW LECZNICZYCH</w:t>
      </w:r>
    </w:p>
    <w:p>
      <w:pPr>
        <w:pStyle w:val="Normal"/>
        <w:shd w:val="clear" w:color="auto" w:fill="FFFFFF"/>
        <w:spacing w:lineRule="auto" w:line="360" w:before="120" w:after="160"/>
        <w:jc w:val="both"/>
        <w:rPr>
          <w:rFonts w:ascii="Tahoma" w:hAnsi="Tahoma" w:eastAsia="Times New Roman" w:cs="Tahoma"/>
          <w:sz w:val="20"/>
          <w:szCs w:val="20"/>
          <w:lang w:eastAsia="pl-PL"/>
        </w:rPr>
      </w:pPr>
      <w:r>
        <w:rPr>
          <w:rFonts w:eastAsia="Times New Roman" w:cs="Tahoma" w:ascii="Tahoma" w:hAnsi="Tahoma"/>
          <w:sz w:val="20"/>
          <w:szCs w:val="20"/>
          <w:lang w:eastAsia="pl-PL"/>
        </w:rPr>
        <w:t>Pacjent lub jego przedstawiciel ustawowy, lub opiekun faktyczny ma prawo zgłaszania osobom wykonującym zawód medyczny, Prezesowi Urzędu Rejestracji Produktów Leczniczych, Wyrobów Medycznych i Produktów Biobójczych lub podmiotowi odpowiedzialnemu za wprowadzenie produktu leczniczego do obrotu działania niepożądanego produktu leczniczego zgodnie z ustawą z dnia 6 września 2001 r. - Prawo farmaceutyczne.</w:t>
      </w:r>
    </w:p>
    <w:p>
      <w:pPr>
        <w:pStyle w:val="ListParagraph"/>
        <w:numPr>
          <w:ilvl w:val="0"/>
          <w:numId w:val="6"/>
        </w:numPr>
        <w:spacing w:lineRule="auto" w:line="360" w:before="0" w:after="0"/>
        <w:ind w:left="426" w:hanging="360"/>
        <w:rPr>
          <w:rFonts w:ascii="Tahoma" w:hAnsi="Tahoma" w:eastAsia="Times New Roman" w:cs="Tahoma"/>
          <w:sz w:val="20"/>
          <w:szCs w:val="20"/>
          <w:lang w:eastAsia="pl-PL"/>
        </w:rPr>
      </w:pPr>
      <w:r>
        <w:rPr>
          <w:rFonts w:eastAsia="Times New Roman" w:cs="Tahoma" w:ascii="Tahoma" w:hAnsi="Tahoma"/>
          <w:b/>
          <w:bCs/>
          <w:sz w:val="20"/>
          <w:szCs w:val="20"/>
          <w:shd w:fill="FFFFFF" w:val="clear"/>
          <w:lang w:eastAsia="pl-PL"/>
        </w:rPr>
        <w:t>PRAWO PACJENTA DO TAJEMNICY INFORMACJI Z NIM ZWIĄZANYCH</w:t>
      </w:r>
    </w:p>
    <w:p>
      <w:pPr>
        <w:pStyle w:val="Normal"/>
        <w:shd w:val="clear" w:color="auto" w:fill="FFFFFF"/>
        <w:spacing w:lineRule="auto" w:line="360" w:before="120" w:after="150"/>
        <w:jc w:val="both"/>
        <w:rPr>
          <w:rFonts w:ascii="Tahoma" w:hAnsi="Tahoma" w:eastAsia="Times New Roman" w:cs="Tahoma"/>
          <w:sz w:val="20"/>
          <w:szCs w:val="20"/>
          <w:lang w:eastAsia="pl-PL"/>
        </w:rPr>
      </w:pPr>
      <w:r>
        <w:rPr>
          <w:rFonts w:eastAsia="Times New Roman" w:cs="Tahoma" w:ascii="Tahoma" w:hAnsi="Tahoma"/>
          <w:sz w:val="20"/>
          <w:szCs w:val="20"/>
          <w:lang w:eastAsia="pl-PL"/>
        </w:rPr>
        <w:t>Pacjent ma prawo do zachowania w tajemnicy przez osoby wykonujące zawód medyczny, w tym udzielające mu świadczeń zdrowotnych, informacji z nim związanych, a uzyskanych w związku z wykonywaniem zawodu medycznego.</w:t>
      </w:r>
    </w:p>
    <w:p>
      <w:pPr>
        <w:pStyle w:val="ListParagraph"/>
        <w:numPr>
          <w:ilvl w:val="0"/>
          <w:numId w:val="6"/>
        </w:numPr>
        <w:spacing w:lineRule="auto" w:line="360" w:before="0" w:after="0"/>
        <w:ind w:left="426" w:hanging="360"/>
        <w:rPr/>
      </w:pPr>
      <w:r>
        <w:rPr>
          <w:rFonts w:eastAsia="Times New Roman" w:cs="Tahoma" w:ascii="Tahoma" w:hAnsi="Tahoma"/>
          <w:b/>
          <w:sz w:val="20"/>
          <w:szCs w:val="20"/>
          <w:lang w:eastAsia="pl-PL"/>
        </w:rPr>
        <w:t>PRAWO PACJENTA DO WYRAŻENIA ZGODY NA UDZIELANIA ŚWIADCZEŃ ZDROWOTNYCH</w:t>
      </w:r>
    </w:p>
    <w:p>
      <w:pPr>
        <w:pStyle w:val="ListParagraph"/>
        <w:numPr>
          <w:ilvl w:val="0"/>
          <w:numId w:val="16"/>
        </w:numPr>
        <w:spacing w:lineRule="auto" w:line="360" w:before="0" w:after="0"/>
        <w:jc w:val="both"/>
        <w:rPr>
          <w:rFonts w:ascii="Tahoma" w:hAnsi="Tahoma" w:cs="Tahoma"/>
          <w:sz w:val="20"/>
          <w:szCs w:val="20"/>
          <w:highlight w:val="white"/>
        </w:rPr>
      </w:pPr>
      <w:r>
        <w:rPr>
          <w:rFonts w:cs="Tahoma" w:ascii="Tahoma" w:hAnsi="Tahoma"/>
          <w:sz w:val="20"/>
          <w:szCs w:val="20"/>
          <w:shd w:fill="FFFFFF" w:val="clear"/>
        </w:rPr>
        <w:t xml:space="preserve">Pacjent ma prawo do wyrażenia zgody na udzielenie określonych świadczeń zdrowotnych lub odmowy takiej zgody, po uzyskaniu informacji w zakresie określonym w art. 9. </w:t>
      </w:r>
    </w:p>
    <w:p>
      <w:pPr>
        <w:pStyle w:val="ListParagraph"/>
        <w:numPr>
          <w:ilvl w:val="0"/>
          <w:numId w:val="15"/>
        </w:numPr>
        <w:shd w:val="clear" w:color="auto" w:fill="FFFFFF"/>
        <w:spacing w:lineRule="auto" w:line="360" w:before="0" w:after="0"/>
        <w:jc w:val="both"/>
        <w:rPr>
          <w:rFonts w:ascii="Tahoma" w:hAnsi="Tahoma" w:eastAsia="Times New Roman" w:cs="Tahoma"/>
          <w:sz w:val="20"/>
          <w:szCs w:val="20"/>
          <w:lang w:eastAsia="pl-PL"/>
        </w:rPr>
      </w:pPr>
      <w:r>
        <w:rPr>
          <w:rFonts w:eastAsia="Times New Roman" w:cs="Tahoma" w:ascii="Tahoma" w:hAnsi="Tahoma"/>
          <w:sz w:val="20"/>
          <w:szCs w:val="20"/>
          <w:lang w:eastAsia="pl-PL"/>
        </w:rPr>
        <w:t>Pacjent, w tym małoletni, który ukończył 16 lat, ma prawo do wyrażenia zgody na przeprowadzenie badania lub udzielenie innych świadczeń zdrowotnych.</w:t>
      </w:r>
    </w:p>
    <w:p>
      <w:pPr>
        <w:pStyle w:val="ListParagraph"/>
        <w:numPr>
          <w:ilvl w:val="0"/>
          <w:numId w:val="15"/>
        </w:numPr>
        <w:shd w:val="clear" w:color="auto" w:fill="FFFFFF"/>
        <w:spacing w:lineRule="auto" w:line="360" w:before="0" w:after="0"/>
        <w:jc w:val="both"/>
        <w:rPr>
          <w:rFonts w:ascii="Tahoma" w:hAnsi="Tahoma" w:eastAsia="Times New Roman" w:cs="Tahoma"/>
          <w:sz w:val="20"/>
          <w:szCs w:val="20"/>
          <w:lang w:eastAsia="pl-PL"/>
        </w:rPr>
      </w:pPr>
      <w:r>
        <w:rPr>
          <w:rFonts w:eastAsia="Times New Roman" w:cs="Tahoma" w:ascii="Tahoma" w:hAnsi="Tahoma"/>
          <w:sz w:val="20"/>
          <w:szCs w:val="20"/>
          <w:lang w:eastAsia="pl-PL"/>
        </w:rPr>
        <w:t>Przedstawiciel ustawowy pacjenta małoletniego, całkowicie ubezwłasnowolnionego lub niezdolnego do świadomego wyrażenia zgody, ma prawo do wyrażenia zgody, o której mowa w ust. 1. W przypadku braku przedstawiciela ustawowego prawo to, w odniesieniu do badania, może wykonać opiekun faktyczny.</w:t>
      </w:r>
    </w:p>
    <w:p>
      <w:pPr>
        <w:pStyle w:val="ListParagraph"/>
        <w:numPr>
          <w:ilvl w:val="0"/>
          <w:numId w:val="15"/>
        </w:numPr>
        <w:shd w:val="clear" w:color="auto" w:fill="FFFFFF"/>
        <w:spacing w:lineRule="auto" w:line="360" w:before="0" w:after="0"/>
        <w:jc w:val="both"/>
        <w:rPr>
          <w:rFonts w:ascii="Tahoma" w:hAnsi="Tahoma" w:eastAsia="Times New Roman" w:cs="Tahoma"/>
          <w:sz w:val="20"/>
          <w:szCs w:val="20"/>
          <w:lang w:eastAsia="pl-PL"/>
        </w:rPr>
      </w:pPr>
      <w:r>
        <w:rPr>
          <w:rFonts w:eastAsia="Times New Roman" w:cs="Tahoma" w:ascii="Tahoma" w:hAnsi="Tahoma"/>
          <w:sz w:val="20"/>
          <w:szCs w:val="20"/>
          <w:lang w:eastAsia="pl-PL"/>
        </w:rPr>
        <w:t>Pacjent małoletni, który ukończył 16 lat, osoba ubezwłasnowolniona albo pacjent chory psychicznie lub upośledzony umysłowo, lecz dysponujący dostatecznym rozeznaniem, ma prawo do wyrażenia sprzeciwu co do udzielenia świadczenia zdrowotnego, pomimo zgody przedstawiciela ustawowego lub opiekuna faktycznego. W takim przypadku wymagane jest zezwolenie sądu opiekuńczego.</w:t>
      </w:r>
    </w:p>
    <w:p>
      <w:pPr>
        <w:pStyle w:val="ListParagraph"/>
        <w:numPr>
          <w:ilvl w:val="0"/>
          <w:numId w:val="15"/>
        </w:numPr>
        <w:shd w:val="clear" w:color="auto" w:fill="FFFFFF"/>
        <w:spacing w:lineRule="auto" w:line="360" w:before="0" w:after="0"/>
        <w:jc w:val="both"/>
        <w:rPr>
          <w:rFonts w:ascii="Tahoma" w:hAnsi="Tahoma" w:eastAsia="Times New Roman" w:cs="Tahoma"/>
          <w:sz w:val="20"/>
          <w:szCs w:val="20"/>
          <w:lang w:eastAsia="pl-PL"/>
        </w:rPr>
      </w:pPr>
      <w:r>
        <w:rPr>
          <w:rFonts w:eastAsia="Times New Roman" w:cs="Tahoma" w:ascii="Tahoma" w:hAnsi="Tahoma"/>
          <w:sz w:val="20"/>
          <w:szCs w:val="20"/>
          <w:lang w:eastAsia="pl-PL"/>
        </w:rPr>
        <w:t>Zgoda oraz sprzeciw, o których mowa w ust. 1-3, mogą być wyrażone ustnie albo przez takie zachowanie się osób wymienionych w tych przepisach, które w sposób niebudzący wątpliwości wskazuje na wolę poddania się czynnościom proponowanym przez osobę wykonującą zawód medyczny albo brak takiej woli.</w:t>
      </w:r>
    </w:p>
    <w:p>
      <w:pPr>
        <w:pStyle w:val="ListParagraph"/>
        <w:numPr>
          <w:ilvl w:val="0"/>
          <w:numId w:val="16"/>
        </w:numPr>
        <w:spacing w:lineRule="auto" w:line="360" w:before="0" w:after="0"/>
        <w:jc w:val="both"/>
        <w:rPr/>
      </w:pPr>
      <w:r>
        <w:rPr>
          <w:rFonts w:cs="Tahoma" w:ascii="Tahoma" w:hAnsi="Tahoma"/>
          <w:sz w:val="20"/>
          <w:szCs w:val="20"/>
          <w:shd w:fill="FFFFFF" w:val="clear"/>
        </w:rPr>
        <w:t xml:space="preserve">Zasady przeprowadzenia badania lub udzielenia innych świadczeń zdrowotnych przez lekarza, ratownika medycznego oraz pielęgniarkę systemu pomimo braku zgody albo wobec zgłoszenia sprzeciwu, o których mowa w art. 17 i art. 18, określają odpowiednio przepisy </w:t>
      </w:r>
      <w:r>
        <w:fldChar w:fldCharType="begin"/>
      </w:r>
      <w:r>
        <w:instrText> HYPERLINK "https://sip.lex.pl/" \l "/document/16798282?unitId=art(33)&amp;cm=DOCUMENT"</w:instrText>
      </w:r>
      <w:r>
        <w:fldChar w:fldCharType="separate"/>
      </w:r>
      <w:r>
        <w:rPr>
          <w:rStyle w:val="Czeinternetowe"/>
          <w:rFonts w:cs="Tahoma" w:ascii="Tahoma" w:hAnsi="Tahoma"/>
          <w:color w:val="00000A"/>
          <w:sz w:val="20"/>
          <w:szCs w:val="20"/>
          <w:highlight w:val="white"/>
          <w:u w:val="none"/>
        </w:rPr>
        <w:t>art. 33</w:t>
      </w:r>
      <w:r>
        <w:fldChar w:fldCharType="end"/>
      </w:r>
      <w:r>
        <w:rPr>
          <w:rFonts w:cs="Tahoma" w:ascii="Tahoma" w:hAnsi="Tahoma"/>
          <w:sz w:val="20"/>
          <w:szCs w:val="20"/>
          <w:shd w:fill="FFFFFF" w:val="clear"/>
        </w:rPr>
        <w:t xml:space="preserve"> i </w:t>
      </w:r>
      <w:r>
        <w:fldChar w:fldCharType="begin"/>
      </w:r>
      <w:r>
        <w:instrText> HYPERLINK "https://sip.lex.pl/" \l "/document/16798282?unitId=art(34)ust(6)&amp;cm=DOCUMENT"</w:instrText>
      </w:r>
      <w:r>
        <w:fldChar w:fldCharType="separate"/>
      </w:r>
      <w:r>
        <w:rPr>
          <w:rStyle w:val="Czeinternetowe"/>
          <w:rFonts w:cs="Tahoma" w:ascii="Tahoma" w:hAnsi="Tahoma"/>
          <w:color w:val="00000A"/>
          <w:sz w:val="20"/>
          <w:szCs w:val="20"/>
          <w:highlight w:val="white"/>
          <w:u w:val="none"/>
        </w:rPr>
        <w:t>art. 34 ust. 6</w:t>
      </w:r>
      <w:r>
        <w:fldChar w:fldCharType="end"/>
      </w:r>
      <w:r>
        <w:rPr>
          <w:rFonts w:cs="Tahoma" w:ascii="Tahoma" w:hAnsi="Tahoma"/>
          <w:sz w:val="20"/>
          <w:szCs w:val="20"/>
          <w:shd w:fill="FFFFFF" w:val="clear"/>
        </w:rPr>
        <w:t xml:space="preserve"> ustawy z dnia 5 grudnia 1996 r. o zawodach lekarza i lekarza dentysty oraz </w:t>
      </w:r>
      <w:r>
        <w:fldChar w:fldCharType="begin"/>
      </w:r>
      <w:r>
        <w:instrText> HYPERLINK "https://sip.lex.pl/" \l "/document/17307669?unitId=art(11)ust(10(a))&amp;cm=DOCUMENT"</w:instrText>
      </w:r>
      <w:r>
        <w:fldChar w:fldCharType="separate"/>
      </w:r>
      <w:r>
        <w:rPr>
          <w:rStyle w:val="Czeinternetowe"/>
          <w:rFonts w:cs="Tahoma" w:ascii="Tahoma" w:hAnsi="Tahoma"/>
          <w:color w:val="00000A"/>
          <w:sz w:val="20"/>
          <w:szCs w:val="20"/>
          <w:highlight w:val="white"/>
          <w:u w:val="none"/>
        </w:rPr>
        <w:t>art. 11 ust. 10a-10c</w:t>
      </w:r>
      <w:r>
        <w:fldChar w:fldCharType="end"/>
      </w:r>
      <w:r>
        <w:rPr>
          <w:rFonts w:cs="Tahoma" w:ascii="Tahoma" w:hAnsi="Tahoma"/>
          <w:sz w:val="20"/>
          <w:szCs w:val="20"/>
          <w:shd w:fill="FFFFFF" w:val="clear"/>
        </w:rPr>
        <w:t xml:space="preserve"> ustawy z dnia 8 września 2006 r. o Państwowym Ratownictwie Medycznym.</w:t>
      </w:r>
    </w:p>
    <w:p>
      <w:pPr>
        <w:pStyle w:val="ListParagraph"/>
        <w:numPr>
          <w:ilvl w:val="0"/>
          <w:numId w:val="6"/>
        </w:numPr>
        <w:shd w:val="clear" w:color="auto" w:fill="FFFFFF"/>
        <w:spacing w:lineRule="auto" w:line="360"/>
        <w:ind w:left="426" w:hanging="360"/>
        <w:rPr>
          <w:rFonts w:ascii="Tahoma" w:hAnsi="Tahoma" w:eastAsia="Times New Roman" w:cs="Tahoma"/>
          <w:b/>
          <w:b/>
          <w:bCs/>
          <w:sz w:val="20"/>
          <w:szCs w:val="20"/>
          <w:lang w:eastAsia="pl-PL"/>
        </w:rPr>
      </w:pPr>
      <w:r>
        <w:rPr>
          <w:rFonts w:eastAsia="Times New Roman" w:cs="Tahoma" w:ascii="Tahoma" w:hAnsi="Tahoma"/>
          <w:b/>
          <w:bCs/>
          <w:sz w:val="20"/>
          <w:szCs w:val="20"/>
          <w:lang w:eastAsia="pl-PL"/>
        </w:rPr>
        <w:t>PRAWO DO POSZANOWANIA INTYMNOŚCI I GODNOŚCI PACJENTA</w:t>
      </w:r>
    </w:p>
    <w:p>
      <w:pPr>
        <w:pStyle w:val="ListParagraph"/>
        <w:numPr>
          <w:ilvl w:val="0"/>
          <w:numId w:val="2"/>
        </w:numPr>
        <w:shd w:val="clear" w:color="auto" w:fill="FFFFFF"/>
        <w:spacing w:lineRule="auto" w:line="360" w:before="0" w:after="0"/>
        <w:ind w:left="284"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Pacjent ma prawo do poszanowania intymności i godności, w szczególności w czasie udzielania mu świadczeń zdrowotnych.</w:t>
      </w:r>
    </w:p>
    <w:p>
      <w:pPr>
        <w:pStyle w:val="ListParagraph"/>
        <w:numPr>
          <w:ilvl w:val="0"/>
          <w:numId w:val="2"/>
        </w:numPr>
        <w:shd w:val="clear" w:color="auto" w:fill="FFFFFF"/>
        <w:spacing w:lineRule="auto" w:line="360"/>
        <w:ind w:left="284" w:hanging="360"/>
        <w:jc w:val="both"/>
        <w:rPr>
          <w:rFonts w:ascii="Tahoma" w:hAnsi="Tahoma" w:eastAsia="Times New Roman" w:cs="Tahoma"/>
          <w:sz w:val="20"/>
          <w:szCs w:val="20"/>
          <w:lang w:eastAsia="pl-PL"/>
        </w:rPr>
      </w:pPr>
      <w:r>
        <w:rPr>
          <w:rFonts w:eastAsia="Times New Roman" w:cs="Tahoma" w:ascii="Tahoma" w:hAnsi="Tahoma"/>
          <w:sz w:val="20"/>
          <w:szCs w:val="20"/>
          <w:lang w:eastAsia="pl-PL"/>
        </w:rPr>
        <w:t>Prawo do poszanowania godności obejmuje także prawo do umierania w spokoju i godności.</w:t>
      </w:r>
    </w:p>
    <w:p>
      <w:pPr>
        <w:pStyle w:val="ListParagraph"/>
        <w:numPr>
          <w:ilvl w:val="0"/>
          <w:numId w:val="7"/>
        </w:numPr>
        <w:shd w:val="clear" w:color="auto" w:fill="FFFFFF"/>
        <w:spacing w:lineRule="auto" w:line="360"/>
        <w:ind w:left="426" w:hanging="360"/>
        <w:rPr>
          <w:rFonts w:ascii="Tahoma" w:hAnsi="Tahoma" w:eastAsia="Times New Roman" w:cs="Tahoma"/>
          <w:b/>
          <w:b/>
          <w:bCs/>
          <w:sz w:val="20"/>
          <w:szCs w:val="20"/>
          <w:lang w:eastAsia="pl-PL"/>
        </w:rPr>
      </w:pPr>
      <w:r>
        <w:rPr>
          <w:rFonts w:eastAsia="Times New Roman" w:cs="Tahoma" w:ascii="Tahoma" w:hAnsi="Tahoma"/>
          <w:b/>
          <w:bCs/>
          <w:sz w:val="20"/>
          <w:szCs w:val="20"/>
          <w:lang w:eastAsia="pl-PL"/>
        </w:rPr>
        <w:t>PRAWO PACJENTA DO DOKUMENTACJI MEDYCZNEJ</w:t>
      </w:r>
    </w:p>
    <w:p>
      <w:pPr>
        <w:pStyle w:val="ListParagraph"/>
        <w:numPr>
          <w:ilvl w:val="0"/>
          <w:numId w:val="11"/>
        </w:numPr>
        <w:shd w:val="clear" w:color="auto" w:fill="FFFFFF"/>
        <w:spacing w:lineRule="auto" w:line="360" w:before="72" w:after="0"/>
        <w:ind w:left="284" w:hanging="360"/>
        <w:jc w:val="both"/>
        <w:rPr>
          <w:rFonts w:ascii="Tahoma" w:hAnsi="Tahoma" w:eastAsia="Times New Roman" w:cs="Tahoma"/>
          <w:color w:val="333333"/>
          <w:sz w:val="20"/>
          <w:szCs w:val="20"/>
          <w:lang w:eastAsia="pl-PL"/>
        </w:rPr>
      </w:pPr>
      <w:r>
        <w:rPr>
          <w:rFonts w:eastAsia="Times New Roman" w:cs="Tahoma" w:ascii="Tahoma" w:hAnsi="Tahoma"/>
          <w:color w:val="333333"/>
          <w:sz w:val="20"/>
          <w:szCs w:val="20"/>
          <w:lang w:eastAsia="pl-PL"/>
        </w:rPr>
        <w:t>Pacjent ma prawo do dostępu do dokumentacji medycznej dotyczącej jego stanu zdrowia oraz udzielonych mu świadczeń zdrowotnych.</w:t>
      </w:r>
    </w:p>
    <w:p>
      <w:pPr>
        <w:pStyle w:val="ListParagraph"/>
        <w:numPr>
          <w:ilvl w:val="0"/>
          <w:numId w:val="11"/>
        </w:numPr>
        <w:shd w:val="clear" w:color="auto" w:fill="FFFFFF"/>
        <w:spacing w:lineRule="auto" w:line="360" w:before="72" w:after="0"/>
        <w:ind w:left="284" w:hanging="360"/>
        <w:jc w:val="both"/>
        <w:rPr>
          <w:rFonts w:ascii="Tahoma" w:hAnsi="Tahoma" w:eastAsia="Times New Roman" w:cs="Tahoma"/>
          <w:color w:val="333333"/>
          <w:sz w:val="20"/>
          <w:szCs w:val="20"/>
          <w:lang w:eastAsia="pl-PL"/>
        </w:rPr>
      </w:pPr>
      <w:r>
        <w:rPr>
          <w:rFonts w:eastAsia="Times New Roman" w:cs="Tahoma" w:ascii="Tahoma" w:hAnsi="Tahoma"/>
          <w:color w:val="333333"/>
          <w:sz w:val="20"/>
          <w:szCs w:val="20"/>
          <w:lang w:eastAsia="pl-PL"/>
        </w:rPr>
        <w:t>Dane zawarte w dokumentacji medycznej podlegają ochronie określonej w niniejszej ustawie oraz w przepisach odrębnych.</w:t>
      </w:r>
    </w:p>
    <w:p>
      <w:pPr>
        <w:pStyle w:val="ListParagraph"/>
        <w:numPr>
          <w:ilvl w:val="0"/>
          <w:numId w:val="8"/>
        </w:numPr>
        <w:shd w:val="clear" w:color="auto" w:fill="FFFFFF"/>
        <w:spacing w:lineRule="auto" w:line="360" w:before="0" w:after="0"/>
        <w:ind w:left="426" w:hanging="360"/>
        <w:rPr>
          <w:rFonts w:ascii="Tahoma" w:hAnsi="Tahoma" w:cs="Tahoma"/>
          <w:b/>
          <w:b/>
          <w:bCs/>
          <w:sz w:val="20"/>
          <w:szCs w:val="20"/>
          <w:highlight w:val="white"/>
        </w:rPr>
      </w:pPr>
      <w:r>
        <w:rPr>
          <w:rFonts w:cs="Tahoma" w:ascii="Tahoma" w:hAnsi="Tahoma"/>
          <w:b/>
          <w:bCs/>
          <w:sz w:val="20"/>
          <w:szCs w:val="20"/>
          <w:shd w:fill="FFFFFF" w:val="clear"/>
        </w:rPr>
        <w:t>PRAWA PACJENTA DO ZGŁOSZENIA SPRZECIWU WOBEC OPINII ALBO ORZECZENIA LEKARZA</w:t>
      </w:r>
    </w:p>
    <w:p>
      <w:pPr>
        <w:pStyle w:val="ListParagraph"/>
        <w:numPr>
          <w:ilvl w:val="0"/>
          <w:numId w:val="12"/>
        </w:numPr>
        <w:shd w:val="clear" w:color="auto" w:fill="FFFFFF"/>
        <w:spacing w:lineRule="auto" w:line="360"/>
        <w:ind w:left="284" w:hanging="360"/>
        <w:jc w:val="both"/>
        <w:rPr>
          <w:rFonts w:ascii="Tahoma" w:hAnsi="Tahoma" w:cs="Tahoma"/>
          <w:color w:val="333333"/>
          <w:sz w:val="20"/>
          <w:szCs w:val="20"/>
        </w:rPr>
      </w:pPr>
      <w:r>
        <w:rPr>
          <w:rFonts w:cs="Tahoma" w:ascii="Tahoma" w:hAnsi="Tahoma"/>
          <w:color w:val="333333"/>
          <w:sz w:val="20"/>
          <w:szCs w:val="20"/>
        </w:rPr>
        <w:t>Pacjent lub jego przedstawiciel ustawowy mogą wnieść sprzeciw wobec opinii albo orzeczenia określonych w art. 2 ust. 1 ustawy z dnia 5 grudnia 1996 r. o zawodach lekarza i lekarza dentysty, jeżeli opinia albo orzeczenie ma wpływ na prawa lub obowiązki pacjenta wynikające z przepisów prawa.</w:t>
      </w:r>
    </w:p>
    <w:p>
      <w:pPr>
        <w:pStyle w:val="ListParagraph"/>
        <w:numPr>
          <w:ilvl w:val="0"/>
          <w:numId w:val="12"/>
        </w:numPr>
        <w:shd w:val="clear" w:color="auto" w:fill="FFFFFF"/>
        <w:spacing w:lineRule="auto" w:line="360"/>
        <w:ind w:left="284" w:hanging="360"/>
        <w:jc w:val="both"/>
        <w:rPr>
          <w:rFonts w:ascii="Tahoma" w:hAnsi="Tahoma" w:cs="Tahoma"/>
          <w:color w:val="333333"/>
          <w:sz w:val="20"/>
          <w:szCs w:val="20"/>
        </w:rPr>
      </w:pPr>
      <w:r>
        <w:rPr>
          <w:rFonts w:cs="Tahoma" w:ascii="Tahoma" w:hAnsi="Tahoma"/>
          <w:color w:val="333333"/>
          <w:sz w:val="20"/>
          <w:szCs w:val="20"/>
        </w:rPr>
        <w:t>Sprzeciw wnosi się do Komisji Lekarskiej działającej przy Rzeczniku Praw Pacjenta, za pośrednictwem Rzecznika Praw Pacjenta, w terminie 30 dni od dnia wydania opinii albo orzeczenia przez lekarza orzekającego o stanie zdrowia pacjenta.</w:t>
      </w:r>
    </w:p>
    <w:p>
      <w:pPr>
        <w:pStyle w:val="ListParagraph"/>
        <w:numPr>
          <w:ilvl w:val="0"/>
          <w:numId w:val="12"/>
        </w:numPr>
        <w:shd w:val="clear" w:color="auto" w:fill="FFFFFF"/>
        <w:spacing w:lineRule="auto" w:line="360"/>
        <w:ind w:left="284" w:hanging="360"/>
        <w:jc w:val="both"/>
        <w:rPr>
          <w:rFonts w:ascii="Tahoma" w:hAnsi="Tahoma" w:cs="Tahoma"/>
          <w:color w:val="333333"/>
          <w:sz w:val="20"/>
          <w:szCs w:val="20"/>
        </w:rPr>
      </w:pPr>
      <w:r>
        <w:rPr>
          <w:rFonts w:cs="Tahoma" w:ascii="Tahoma" w:hAnsi="Tahoma"/>
          <w:color w:val="333333"/>
          <w:sz w:val="20"/>
          <w:szCs w:val="20"/>
        </w:rPr>
        <w:t>Sprzeciw wymaga uzasadnienia, w tym wskazania przepisu prawa, z którego wynikają prawa lub obowiązki, o których mowa w ust. 1.</w:t>
      </w:r>
    </w:p>
    <w:p>
      <w:pPr>
        <w:pStyle w:val="ListParagraph"/>
        <w:numPr>
          <w:ilvl w:val="0"/>
          <w:numId w:val="12"/>
        </w:numPr>
        <w:shd w:val="clear" w:color="auto" w:fill="FFFFFF"/>
        <w:spacing w:lineRule="auto" w:line="360"/>
        <w:ind w:left="284" w:hanging="360"/>
        <w:jc w:val="both"/>
        <w:rPr>
          <w:rFonts w:ascii="Tahoma" w:hAnsi="Tahoma" w:cs="Tahoma"/>
          <w:color w:val="333333"/>
          <w:sz w:val="20"/>
          <w:szCs w:val="20"/>
        </w:rPr>
      </w:pPr>
      <w:r>
        <w:rPr>
          <w:rFonts w:cs="Tahoma" w:ascii="Tahoma" w:hAnsi="Tahoma"/>
          <w:color w:val="333333"/>
          <w:sz w:val="20"/>
          <w:szCs w:val="20"/>
        </w:rPr>
        <w:t>W przypadku niespełnienia wymagań określonych w ust. 3 sprzeciw jest zwracany osobie, która go wniosła.</w:t>
      </w:r>
    </w:p>
    <w:p>
      <w:pPr>
        <w:pStyle w:val="ListParagraph"/>
        <w:numPr>
          <w:ilvl w:val="0"/>
          <w:numId w:val="12"/>
        </w:numPr>
        <w:shd w:val="clear" w:color="auto" w:fill="FFFFFF"/>
        <w:spacing w:lineRule="auto" w:line="360"/>
        <w:ind w:left="284" w:hanging="360"/>
        <w:jc w:val="both"/>
        <w:rPr>
          <w:rFonts w:ascii="Tahoma" w:hAnsi="Tahoma" w:cs="Tahoma"/>
          <w:color w:val="333333"/>
          <w:sz w:val="20"/>
          <w:szCs w:val="20"/>
        </w:rPr>
      </w:pPr>
      <w:r>
        <w:rPr>
          <w:rFonts w:cs="Tahoma" w:ascii="Tahoma" w:hAnsi="Tahoma"/>
          <w:color w:val="333333"/>
          <w:sz w:val="20"/>
          <w:szCs w:val="20"/>
        </w:rPr>
        <w:t>Komisja Lekarska na podstawie dokumentacji medycznej oraz, w miarę potrzeby, po przeprowadzeniu badania pacjenta, wydaje orzeczenie niezwłocznie, nie później niż w terminie 30 dni od dnia wniesienia sprzeciwu.</w:t>
      </w:r>
    </w:p>
    <w:p>
      <w:pPr>
        <w:pStyle w:val="ListParagraph"/>
        <w:numPr>
          <w:ilvl w:val="0"/>
          <w:numId w:val="12"/>
        </w:numPr>
        <w:shd w:val="clear" w:color="auto" w:fill="FFFFFF"/>
        <w:spacing w:lineRule="auto" w:line="360"/>
        <w:ind w:left="284" w:hanging="360"/>
        <w:jc w:val="both"/>
        <w:rPr>
          <w:rFonts w:ascii="Tahoma" w:hAnsi="Tahoma" w:cs="Tahoma"/>
          <w:color w:val="333333"/>
          <w:sz w:val="20"/>
          <w:szCs w:val="20"/>
        </w:rPr>
      </w:pPr>
      <w:r>
        <w:rPr>
          <w:rFonts w:cs="Tahoma" w:ascii="Tahoma" w:hAnsi="Tahoma"/>
          <w:color w:val="333333"/>
          <w:sz w:val="20"/>
          <w:szCs w:val="20"/>
        </w:rPr>
        <w:t>Komisja Lekarska wydaje orzeczenie bezwzględną większością głosów w obecności pełnego składu tej komisji.</w:t>
      </w:r>
    </w:p>
    <w:p>
      <w:pPr>
        <w:pStyle w:val="ListParagraph"/>
        <w:numPr>
          <w:ilvl w:val="0"/>
          <w:numId w:val="12"/>
        </w:numPr>
        <w:shd w:val="clear" w:color="auto" w:fill="FFFFFF"/>
        <w:spacing w:lineRule="auto" w:line="360"/>
        <w:ind w:left="284" w:hanging="360"/>
        <w:jc w:val="both"/>
        <w:rPr>
          <w:rFonts w:ascii="Tahoma" w:hAnsi="Tahoma" w:cs="Tahoma"/>
          <w:color w:val="333333"/>
          <w:sz w:val="20"/>
          <w:szCs w:val="20"/>
        </w:rPr>
      </w:pPr>
      <w:r>
        <w:rPr>
          <w:rFonts w:cs="Tahoma" w:ascii="Tahoma" w:hAnsi="Tahoma"/>
          <w:color w:val="333333"/>
          <w:sz w:val="20"/>
          <w:szCs w:val="20"/>
        </w:rPr>
        <w:t>Od rozstrzygnięcia Komisji Lekarskiej nie przysługuje odwołanie.</w:t>
      </w:r>
    </w:p>
    <w:p>
      <w:pPr>
        <w:pStyle w:val="ListParagraph"/>
        <w:numPr>
          <w:ilvl w:val="0"/>
          <w:numId w:val="12"/>
        </w:numPr>
        <w:shd w:val="clear" w:color="auto" w:fill="FFFFFF"/>
        <w:spacing w:lineRule="auto" w:line="360"/>
        <w:ind w:left="284" w:hanging="360"/>
        <w:jc w:val="both"/>
        <w:rPr>
          <w:rFonts w:ascii="Tahoma" w:hAnsi="Tahoma" w:cs="Tahoma"/>
          <w:color w:val="333333"/>
          <w:sz w:val="20"/>
          <w:szCs w:val="20"/>
        </w:rPr>
      </w:pPr>
      <w:r>
        <w:rPr>
          <w:rFonts w:cs="Tahoma" w:ascii="Tahoma" w:hAnsi="Tahoma"/>
          <w:color w:val="333333"/>
          <w:sz w:val="20"/>
          <w:szCs w:val="20"/>
        </w:rPr>
        <w:t>Do postępowania przed Komisją Lekarską nie stosuje się przepisów Kodeksu postępowania administracyjnego.</w:t>
      </w:r>
    </w:p>
    <w:p>
      <w:pPr>
        <w:pStyle w:val="ListParagraph"/>
        <w:numPr>
          <w:ilvl w:val="0"/>
          <w:numId w:val="12"/>
        </w:numPr>
        <w:shd w:val="clear" w:color="auto" w:fill="FFFFFF"/>
        <w:spacing w:lineRule="auto" w:line="360"/>
        <w:ind w:left="284" w:hanging="360"/>
        <w:jc w:val="both"/>
        <w:rPr>
          <w:rFonts w:ascii="Tahoma" w:hAnsi="Tahoma" w:cs="Tahoma"/>
          <w:color w:val="333333"/>
          <w:sz w:val="20"/>
          <w:szCs w:val="20"/>
        </w:rPr>
      </w:pPr>
      <w:r>
        <w:rPr>
          <w:rFonts w:cs="Tahoma" w:ascii="Tahoma" w:hAnsi="Tahoma"/>
          <w:color w:val="333333"/>
          <w:sz w:val="20"/>
          <w:szCs w:val="20"/>
        </w:rPr>
        <w:t>Przepisów ust. 1-8 nie stosuje się w przypadku postępowania odwoławczego w odniesieniu do opinii i orzeczeń, uregulowanego w odrębnych przepisach.</w:t>
      </w:r>
    </w:p>
    <w:p>
      <w:pPr>
        <w:pStyle w:val="ListParagraph"/>
        <w:numPr>
          <w:ilvl w:val="0"/>
          <w:numId w:val="9"/>
        </w:numPr>
        <w:spacing w:lineRule="auto" w:line="360"/>
        <w:ind w:left="567" w:hanging="360"/>
        <w:rPr>
          <w:rFonts w:ascii="Tahoma" w:hAnsi="Tahoma" w:cs="Tahoma"/>
          <w:b/>
          <w:b/>
          <w:sz w:val="20"/>
          <w:szCs w:val="20"/>
        </w:rPr>
      </w:pPr>
      <w:r>
        <w:rPr>
          <w:rFonts w:cs="Tahoma" w:ascii="Tahoma" w:hAnsi="Tahoma"/>
          <w:b/>
          <w:sz w:val="20"/>
          <w:szCs w:val="20"/>
        </w:rPr>
        <w:t>PRAWO PACJENTA DO POSZANOWANIA ŻYCIA PRYWATNEGO I RODZINNEGO</w:t>
      </w:r>
    </w:p>
    <w:p>
      <w:pPr>
        <w:pStyle w:val="ListParagraph"/>
        <w:numPr>
          <w:ilvl w:val="0"/>
          <w:numId w:val="3"/>
        </w:numPr>
        <w:spacing w:lineRule="auto" w:line="360"/>
        <w:ind w:left="284" w:hanging="360"/>
        <w:jc w:val="both"/>
        <w:rPr>
          <w:rFonts w:ascii="Tahoma" w:hAnsi="Tahoma" w:cs="Tahoma"/>
          <w:sz w:val="20"/>
          <w:szCs w:val="20"/>
        </w:rPr>
      </w:pPr>
      <w:r>
        <w:rPr>
          <w:rFonts w:cs="Tahoma" w:ascii="Tahoma" w:hAnsi="Tahoma"/>
          <w:sz w:val="20"/>
          <w:szCs w:val="20"/>
        </w:rPr>
        <w:t>Pacjent podmiotu leczniczego wykonującego działalność leczniczą w rodzaju stacjonarne i całodobowe świadczenia zdrowotne w rozumieniu przepisów o działalności leczniczej ma prawo do kontaktu osobistego, telefonicznego lub korespondencyjnego z innymi osobami.</w:t>
      </w:r>
    </w:p>
    <w:p>
      <w:pPr>
        <w:pStyle w:val="ListParagraph"/>
        <w:numPr>
          <w:ilvl w:val="0"/>
          <w:numId w:val="3"/>
        </w:numPr>
        <w:spacing w:lineRule="auto" w:line="360"/>
        <w:ind w:left="284" w:hanging="360"/>
        <w:jc w:val="both"/>
        <w:rPr>
          <w:rFonts w:ascii="Tahoma" w:hAnsi="Tahoma" w:cs="Tahoma"/>
          <w:sz w:val="20"/>
          <w:szCs w:val="20"/>
        </w:rPr>
      </w:pPr>
      <w:r>
        <w:rPr>
          <w:rFonts w:cs="Tahoma" w:ascii="Tahoma" w:hAnsi="Tahoma"/>
          <w:sz w:val="20"/>
          <w:szCs w:val="20"/>
        </w:rPr>
        <w:t>Pacjent ma prawo do odmowy kontaktu z osobami wymienionymi w ust. 1.</w:t>
      </w:r>
    </w:p>
    <w:p>
      <w:pPr>
        <w:pStyle w:val="ListParagraph"/>
        <w:numPr>
          <w:ilvl w:val="0"/>
          <w:numId w:val="9"/>
        </w:numPr>
        <w:spacing w:lineRule="auto" w:line="360"/>
        <w:ind w:left="426" w:hanging="360"/>
        <w:rPr>
          <w:rFonts w:ascii="Tahoma" w:hAnsi="Tahoma" w:cs="Tahoma"/>
          <w:b/>
          <w:b/>
          <w:sz w:val="20"/>
          <w:szCs w:val="20"/>
        </w:rPr>
      </w:pPr>
      <w:r>
        <w:rPr>
          <w:rFonts w:cs="Tahoma" w:ascii="Tahoma" w:hAnsi="Tahoma"/>
          <w:b/>
          <w:sz w:val="20"/>
          <w:szCs w:val="20"/>
        </w:rPr>
        <w:t>PRAWO PACJENTA DO OPIEKI DUSZPASTERSKIEJ</w:t>
      </w:r>
    </w:p>
    <w:p>
      <w:pPr>
        <w:pStyle w:val="ListParagraph"/>
        <w:numPr>
          <w:ilvl w:val="0"/>
          <w:numId w:val="4"/>
        </w:numPr>
        <w:spacing w:lineRule="auto" w:line="360"/>
        <w:ind w:left="284" w:hanging="360"/>
        <w:jc w:val="both"/>
        <w:rPr>
          <w:rFonts w:ascii="Tahoma" w:hAnsi="Tahoma" w:cs="Tahoma"/>
          <w:sz w:val="20"/>
          <w:szCs w:val="20"/>
        </w:rPr>
      </w:pPr>
      <w:r>
        <w:rPr>
          <w:rFonts w:cs="Tahoma" w:ascii="Tahoma" w:hAnsi="Tahoma"/>
          <w:sz w:val="20"/>
          <w:szCs w:val="20"/>
        </w:rPr>
        <w:t>Pacjent przebywający w podmiocie leczniczym wykonującym działalność leczniczą w rodzaju stacjonarne i całodobowe świadczenia zdrowotne w rozumieniu przepisów o działalności leczniczej ma prawo do opieki duszpasterskiej.</w:t>
      </w:r>
    </w:p>
    <w:p>
      <w:pPr>
        <w:pStyle w:val="ListParagraph"/>
        <w:numPr>
          <w:ilvl w:val="0"/>
          <w:numId w:val="13"/>
        </w:numPr>
        <w:spacing w:lineRule="auto" w:line="360"/>
        <w:ind w:left="426" w:hanging="360"/>
        <w:rPr>
          <w:rFonts w:ascii="Tahoma" w:hAnsi="Tahoma" w:cs="Tahoma"/>
          <w:sz w:val="20"/>
          <w:szCs w:val="20"/>
        </w:rPr>
      </w:pPr>
      <w:r>
        <w:rPr>
          <w:rFonts w:cs="Tahoma" w:ascii="Tahoma" w:hAnsi="Tahoma"/>
          <w:b/>
          <w:sz w:val="20"/>
          <w:szCs w:val="20"/>
        </w:rPr>
        <w:t>PRAWO PACJENTA DO KONTAKTU Z DUCHOWNYM W RAZIE POGORSZENIA SIĘ STANU ZDROWIA</w:t>
      </w:r>
    </w:p>
    <w:p>
      <w:pPr>
        <w:pStyle w:val="ListParagraph"/>
        <w:numPr>
          <w:ilvl w:val="0"/>
          <w:numId w:val="14"/>
        </w:numPr>
        <w:spacing w:lineRule="auto" w:line="360"/>
        <w:ind w:left="284" w:hanging="360"/>
        <w:jc w:val="both"/>
        <w:rPr>
          <w:rFonts w:ascii="Tahoma" w:hAnsi="Tahoma" w:cs="Tahoma"/>
          <w:sz w:val="20"/>
          <w:szCs w:val="20"/>
        </w:rPr>
      </w:pPr>
      <w:r>
        <w:rPr>
          <w:rFonts w:cs="Tahoma" w:ascii="Tahoma" w:hAnsi="Tahoma"/>
          <w:sz w:val="20"/>
          <w:szCs w:val="20"/>
        </w:rPr>
        <w:t>W sytuacji pogorszenia się stanu zdrowia lub zagrożenia życia podmiot, o którym mowa w art. 33 ust. 1, jest obowiązany umożliwić pacjentowi kontakt z duchownym jego wyznania.</w:t>
      </w:r>
    </w:p>
    <w:p>
      <w:pPr>
        <w:pStyle w:val="ListParagraph"/>
        <w:numPr>
          <w:ilvl w:val="0"/>
          <w:numId w:val="17"/>
        </w:numPr>
        <w:spacing w:lineRule="auto" w:line="360"/>
        <w:ind w:left="426" w:hanging="360"/>
        <w:rPr>
          <w:rFonts w:ascii="Tahoma" w:hAnsi="Tahoma" w:cs="Tahoma"/>
          <w:b/>
          <w:b/>
          <w:sz w:val="20"/>
          <w:szCs w:val="20"/>
        </w:rPr>
      </w:pPr>
      <w:r>
        <w:rPr>
          <w:rFonts w:cs="Tahoma" w:ascii="Tahoma" w:hAnsi="Tahoma"/>
          <w:b/>
          <w:sz w:val="20"/>
          <w:szCs w:val="20"/>
        </w:rPr>
      </w:r>
    </w:p>
    <w:p>
      <w:pPr>
        <w:pStyle w:val="ListParagraph"/>
        <w:numPr>
          <w:ilvl w:val="0"/>
          <w:numId w:val="0"/>
        </w:numPr>
        <w:spacing w:lineRule="auto" w:line="360"/>
        <w:ind w:left="786" w:hanging="0"/>
        <w:rPr>
          <w:rFonts w:ascii="Tahoma" w:hAnsi="Tahoma" w:cs="Tahoma"/>
          <w:b/>
          <w:b/>
          <w:sz w:val="20"/>
          <w:szCs w:val="20"/>
        </w:rPr>
      </w:pPr>
      <w:r>
        <w:rPr>
          <w:rFonts w:cs="Tahoma" w:ascii="Tahoma" w:hAnsi="Tahoma"/>
          <w:b/>
          <w:sz w:val="20"/>
          <w:szCs w:val="20"/>
        </w:rPr>
        <w:t>PRAWO PACJENTA DO PRZECHOWYWANIA RZECZY WARTOŚCIOWYCH W DEPOZYCIE</w:t>
      </w:r>
    </w:p>
    <w:p>
      <w:pPr>
        <w:pStyle w:val="ListParagraph"/>
        <w:numPr>
          <w:ilvl w:val="0"/>
          <w:numId w:val="5"/>
        </w:numPr>
        <w:spacing w:lineRule="auto" w:line="360"/>
        <w:ind w:left="284" w:hanging="360"/>
        <w:jc w:val="both"/>
        <w:rPr>
          <w:rFonts w:ascii="Tahoma" w:hAnsi="Tahoma" w:cs="Tahoma"/>
          <w:sz w:val="20"/>
          <w:szCs w:val="20"/>
        </w:rPr>
      </w:pPr>
      <w:r>
        <w:rPr>
          <w:rFonts w:cs="Tahoma" w:ascii="Tahoma" w:hAnsi="Tahoma"/>
          <w:sz w:val="20"/>
          <w:szCs w:val="20"/>
        </w:rPr>
        <w:t>Pacjent przebywający w podmiocie leczniczym wykonującym działalność leczniczą w rodzaju stacjonarne i całodobowe świadczenia zdrowotne w rozumieniu przepisów o działalności leczniczej ma prawo do przechowywania rzeczy wartościowych w depozycie. Koszty realizacji tego prawa ponosi ten podmiot, chyba że przepisy odrębne stanowią inaczej.</w:t>
      </w:r>
    </w:p>
    <w:p>
      <w:pPr>
        <w:pStyle w:val="ListParagraph"/>
        <w:numPr>
          <w:ilvl w:val="0"/>
          <w:numId w:val="0"/>
        </w:numPr>
        <w:spacing w:lineRule="auto" w:line="360" w:before="0" w:after="160"/>
        <w:ind w:left="644" w:hanging="0"/>
        <w:contextualSpacing/>
        <w:jc w:val="left"/>
        <w:rPr/>
      </w:pPr>
      <w:r>
        <w:rPr/>
      </w:r>
    </w:p>
    <w:sectPr>
      <w:type w:val="nextPage"/>
      <w:pgSz w:w="11906" w:h="16838"/>
      <w:pgMar w:left="1417" w:right="1417" w:header="0" w:top="1417" w:footer="0" w:bottom="1417"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Segoe UI">
    <w:charset w:val="ee"/>
    <w:family w:val="roman"/>
    <w:pitch w:val="variable"/>
  </w:font>
  <w:font w:name="Tahoma">
    <w:charset w:val="ee"/>
    <w:family w:val="roman"/>
    <w:pitch w:val="variable"/>
  </w:font>
  <w:font w:name="Liberation Sans">
    <w:altName w:val="Arial"/>
    <w:charset w:val="ee"/>
    <w:family w:val="roman"/>
    <w:pitch w:val="variable"/>
  </w:font>
  <w:font w:name="Times New Roman">
    <w:charset w:val="ee"/>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lvl w:ilvl="0">
      <w:start w:val="1"/>
      <w:numFmt w:val="upperRoman"/>
      <w:lvlText w:val="%1."/>
      <w:lvlJc w:val="right"/>
      <w:pPr>
        <w:ind w:left="720" w:hanging="360"/>
      </w:pPr>
      <w:rPr>
        <w:sz w:val="20"/>
        <w:b/>
        <w:rFonts w:ascii="Tahoma" w:hAnsi="Tahom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lvl w:ilvl="0">
      <w:start w:val="6"/>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lvl w:ilvl="0">
      <w:start w:val="7"/>
      <w:numFmt w:val="upperRoman"/>
      <w:lvlText w:val="%1."/>
      <w:lvlJc w:val="righ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lvl w:ilvl="0">
      <w:start w:val="8"/>
      <w:numFmt w:val="upperRoman"/>
      <w:lvlText w:val="%1."/>
      <w:lvlJc w:val="righ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lvl w:ilvl="0">
      <w:start w:val="10"/>
      <w:numFmt w:val="upperRoman"/>
      <w:lvlText w:val="%1."/>
      <w:lvlJc w:val="right"/>
      <w:pPr>
        <w:ind w:left="720" w:hanging="360"/>
      </w:pPr>
      <w:rPr>
        <w:sz w:val="20"/>
        <w:b/>
        <w:rFonts w:ascii="Tahoma" w:hAnsi="Tahoma"/>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lvl w:ilvl="0">
      <w:start w:val="1"/>
      <w:numFmt w:val="decimal"/>
      <w:lvlText w:val="%1."/>
      <w:lvlJc w:val="left"/>
      <w:pPr>
        <w:ind w:left="426" w:hanging="360"/>
      </w:pPr>
    </w:lvl>
    <w:lvl w:ilvl="1">
      <w:start w:val="1"/>
      <w:numFmt w:val="lowerLetter"/>
      <w:lvlText w:val="%2."/>
      <w:lvlJc w:val="left"/>
      <w:pPr>
        <w:ind w:left="1146" w:hanging="360"/>
      </w:pPr>
    </w:lvl>
    <w:lvl w:ilvl="2">
      <w:start w:val="1"/>
      <w:numFmt w:val="lowerRoman"/>
      <w:lvlText w:val="%3."/>
      <w:lvlJc w:val="right"/>
      <w:pPr>
        <w:ind w:left="1866" w:hanging="180"/>
      </w:pPr>
    </w:lvl>
    <w:lvl w:ilvl="3">
      <w:start w:val="1"/>
      <w:numFmt w:val="decimal"/>
      <w:lvlText w:val="%4."/>
      <w:lvlJc w:val="left"/>
      <w:pPr>
        <w:ind w:left="2586" w:hanging="360"/>
      </w:pPr>
    </w:lvl>
    <w:lvl w:ilvl="4">
      <w:start w:val="1"/>
      <w:numFmt w:val="lowerLetter"/>
      <w:lvlText w:val="%5."/>
      <w:lvlJc w:val="left"/>
      <w:pPr>
        <w:ind w:left="3306" w:hanging="360"/>
      </w:pPr>
    </w:lvl>
    <w:lvl w:ilvl="5">
      <w:start w:val="1"/>
      <w:numFmt w:val="lowerRoman"/>
      <w:lvlText w:val="%6."/>
      <w:lvlJc w:val="right"/>
      <w:pPr>
        <w:ind w:left="4026" w:hanging="180"/>
      </w:pPr>
    </w:lvl>
    <w:lvl w:ilvl="6">
      <w:start w:val="1"/>
      <w:numFmt w:val="decimal"/>
      <w:lvlText w:val="%7."/>
      <w:lvlJc w:val="left"/>
      <w:pPr>
        <w:ind w:left="4746" w:hanging="360"/>
      </w:pPr>
    </w:lvl>
    <w:lvl w:ilvl="7">
      <w:start w:val="1"/>
      <w:numFmt w:val="lowerLetter"/>
      <w:lvlText w:val="%8."/>
      <w:lvlJc w:val="left"/>
      <w:pPr>
        <w:ind w:left="5466" w:hanging="360"/>
      </w:pPr>
    </w:lvl>
    <w:lvl w:ilvl="8">
      <w:start w:val="1"/>
      <w:numFmt w:val="lowerRoman"/>
      <w:lvlText w:val="%9."/>
      <w:lvlJc w:val="right"/>
      <w:pPr>
        <w:ind w:left="6186" w:hanging="180"/>
      </w:pPr>
    </w:lvl>
  </w:abstractNum>
  <w:abstractNum w:abstractNumId="17">
    <w:lvl w:ilvl="0">
      <w:start w:val="1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bering>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pl-PL" w:eastAsia="en-US" w:bidi="ar-SA"/>
      </w:rPr>
    </w:rPrDefault>
    <w:pPrDefault>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00000A"/>
      <w:sz w:val="22"/>
      <w:szCs w:val="22"/>
      <w:lang w:val="pl-PL" w:eastAsia="en-US" w:bidi="ar-SA"/>
    </w:rPr>
  </w:style>
  <w:style w:type="character" w:styleId="DefaultParagraphFont" w:default="1">
    <w:name w:val="Default Paragraph Font"/>
    <w:uiPriority w:val="1"/>
    <w:semiHidden/>
    <w:unhideWhenUsed/>
    <w:qFormat/>
    <w:rPr/>
  </w:style>
  <w:style w:type="character" w:styleId="Alb" w:customStyle="1">
    <w:name w:val="a_lb"/>
    <w:basedOn w:val="DefaultParagraphFont"/>
    <w:qFormat/>
    <w:rsid w:val="00ad169a"/>
    <w:rPr/>
  </w:style>
  <w:style w:type="character" w:styleId="Albs" w:customStyle="1">
    <w:name w:val="a_lb-s"/>
    <w:basedOn w:val="DefaultParagraphFont"/>
    <w:qFormat/>
    <w:rsid w:val="00ad169a"/>
    <w:rPr/>
  </w:style>
  <w:style w:type="character" w:styleId="Czeinternetowe">
    <w:name w:val="Łącze internetowe"/>
    <w:basedOn w:val="DefaultParagraphFont"/>
    <w:uiPriority w:val="99"/>
    <w:unhideWhenUsed/>
    <w:rsid w:val="00ad169a"/>
    <w:rPr>
      <w:color w:val="0000FF"/>
      <w:u w:val="single"/>
    </w:rPr>
  </w:style>
  <w:style w:type="character" w:styleId="Wyrnienie">
    <w:name w:val="Wyróżnienie"/>
    <w:basedOn w:val="DefaultParagraphFont"/>
    <w:uiPriority w:val="20"/>
    <w:qFormat/>
    <w:rsid w:val="00ad169a"/>
    <w:rPr>
      <w:i/>
      <w:iCs/>
    </w:rPr>
  </w:style>
  <w:style w:type="character" w:styleId="TekstdymkaZnak" w:customStyle="1">
    <w:name w:val="Tekst dymka Znak"/>
    <w:basedOn w:val="DefaultParagraphFont"/>
    <w:link w:val="Tekstdymka"/>
    <w:uiPriority w:val="99"/>
    <w:semiHidden/>
    <w:qFormat/>
    <w:rsid w:val="007c52b7"/>
    <w:rPr>
      <w:rFonts w:ascii="Segoe UI" w:hAnsi="Segoe UI" w:cs="Segoe UI"/>
      <w:sz w:val="18"/>
      <w:szCs w:val="18"/>
    </w:rPr>
  </w:style>
  <w:style w:type="character" w:styleId="ListLabel1">
    <w:name w:val="ListLabel 1"/>
    <w:qFormat/>
    <w:rPr>
      <w:sz w:val="20"/>
    </w:rPr>
  </w:style>
  <w:style w:type="character" w:styleId="ListLabel2">
    <w:name w:val="ListLabel 2"/>
    <w:qFormat/>
    <w:rPr>
      <w:sz w:val="20"/>
    </w:rPr>
  </w:style>
  <w:style w:type="character" w:styleId="ListLabel3">
    <w:name w:val="ListLabel 3"/>
    <w:qFormat/>
    <w:rPr>
      <w:sz w:val="20"/>
    </w:rPr>
  </w:style>
  <w:style w:type="character" w:styleId="ListLabel4">
    <w:name w:val="ListLabel 4"/>
    <w:qFormat/>
    <w:rPr>
      <w:sz w:val="20"/>
    </w:rPr>
  </w:style>
  <w:style w:type="character" w:styleId="ListLabel5">
    <w:name w:val="ListLabel 5"/>
    <w:qFormat/>
    <w:rPr>
      <w:sz w:val="20"/>
    </w:rPr>
  </w:style>
  <w:style w:type="character" w:styleId="ListLabel6">
    <w:name w:val="ListLabel 6"/>
    <w:qFormat/>
    <w:rPr>
      <w:sz w:val="20"/>
    </w:rPr>
  </w:style>
  <w:style w:type="character" w:styleId="ListLabel7">
    <w:name w:val="ListLabel 7"/>
    <w:qFormat/>
    <w:rPr>
      <w:sz w:val="20"/>
    </w:rPr>
  </w:style>
  <w:style w:type="character" w:styleId="ListLabel8">
    <w:name w:val="ListLabel 8"/>
    <w:qFormat/>
    <w:rPr>
      <w:sz w:val="20"/>
    </w:rPr>
  </w:style>
  <w:style w:type="character" w:styleId="ListLabel9">
    <w:name w:val="ListLabel 9"/>
    <w:qFormat/>
    <w:rPr>
      <w:sz w:val="20"/>
    </w:rPr>
  </w:style>
  <w:style w:type="character" w:styleId="ListLabel10">
    <w:name w:val="ListLabel 10"/>
    <w:qFormat/>
    <w:rPr>
      <w:sz w:val="20"/>
    </w:rPr>
  </w:style>
  <w:style w:type="character" w:styleId="ListLabel11">
    <w:name w:val="ListLabel 11"/>
    <w:qFormat/>
    <w:rPr>
      <w:sz w:val="20"/>
    </w:rPr>
  </w:style>
  <w:style w:type="character" w:styleId="ListLabel12">
    <w:name w:val="ListLabel 12"/>
    <w:qFormat/>
    <w:rPr>
      <w:sz w:val="20"/>
    </w:rPr>
  </w:style>
  <w:style w:type="character" w:styleId="ListLabel13">
    <w:name w:val="ListLabel 13"/>
    <w:qFormat/>
    <w:rPr>
      <w:sz w:val="20"/>
    </w:rPr>
  </w:style>
  <w:style w:type="character" w:styleId="ListLabel14">
    <w:name w:val="ListLabel 14"/>
    <w:qFormat/>
    <w:rPr>
      <w:sz w:val="20"/>
    </w:rPr>
  </w:style>
  <w:style w:type="character" w:styleId="ListLabel15">
    <w:name w:val="ListLabel 15"/>
    <w:qFormat/>
    <w:rPr>
      <w:sz w:val="20"/>
    </w:rPr>
  </w:style>
  <w:style w:type="character" w:styleId="ListLabel16">
    <w:name w:val="ListLabel 16"/>
    <w:qFormat/>
    <w:rPr>
      <w:sz w:val="20"/>
    </w:rPr>
  </w:style>
  <w:style w:type="character" w:styleId="ListLabel17">
    <w:name w:val="ListLabel 17"/>
    <w:qFormat/>
    <w:rPr>
      <w:sz w:val="20"/>
    </w:rPr>
  </w:style>
  <w:style w:type="character" w:styleId="ListLabel18">
    <w:name w:val="ListLabel 18"/>
    <w:qFormat/>
    <w:rPr>
      <w:sz w:val="20"/>
    </w:rPr>
  </w:style>
  <w:style w:type="character" w:styleId="ListLabel19">
    <w:name w:val="ListLabel 19"/>
    <w:qFormat/>
    <w:rPr>
      <w:rFonts w:ascii="Tahoma" w:hAnsi="Tahoma"/>
      <w:b/>
      <w:sz w:val="20"/>
    </w:rPr>
  </w:style>
  <w:style w:type="character" w:styleId="ListLabel20">
    <w:name w:val="ListLabel 20"/>
    <w:qFormat/>
    <w:rPr>
      <w:sz w:val="20"/>
    </w:rPr>
  </w:style>
  <w:style w:type="character" w:styleId="ListLabel21">
    <w:name w:val="ListLabel 21"/>
    <w:qFormat/>
    <w:rPr>
      <w:sz w:val="20"/>
    </w:rPr>
  </w:style>
  <w:style w:type="character" w:styleId="ListLabel22">
    <w:name w:val="ListLabel 22"/>
    <w:qFormat/>
    <w:rPr>
      <w:sz w:val="20"/>
    </w:rPr>
  </w:style>
  <w:style w:type="character" w:styleId="ListLabel23">
    <w:name w:val="ListLabel 23"/>
    <w:qFormat/>
    <w:rPr>
      <w:sz w:val="20"/>
    </w:rPr>
  </w:style>
  <w:style w:type="character" w:styleId="ListLabel24">
    <w:name w:val="ListLabel 24"/>
    <w:qFormat/>
    <w:rPr>
      <w:sz w:val="20"/>
    </w:rPr>
  </w:style>
  <w:style w:type="character" w:styleId="ListLabel25">
    <w:name w:val="ListLabel 25"/>
    <w:qFormat/>
    <w:rPr>
      <w:sz w:val="20"/>
    </w:rPr>
  </w:style>
  <w:style w:type="character" w:styleId="ListLabel26">
    <w:name w:val="ListLabel 26"/>
    <w:qFormat/>
    <w:rPr>
      <w:sz w:val="20"/>
    </w:rPr>
  </w:style>
  <w:style w:type="character" w:styleId="ListLabel27">
    <w:name w:val="ListLabel 27"/>
    <w:qFormat/>
    <w:rPr>
      <w:sz w:val="20"/>
    </w:rPr>
  </w:style>
  <w:style w:type="character" w:styleId="ListLabel28">
    <w:name w:val="ListLabel 28"/>
    <w:qFormat/>
    <w:rPr>
      <w:rFonts w:ascii="Tahoma" w:hAnsi="Tahoma"/>
      <w:b/>
      <w:sz w:val="20"/>
    </w:rPr>
  </w:style>
  <w:style w:type="character" w:styleId="ListLabel29">
    <w:name w:val="ListLabel 29"/>
    <w:qFormat/>
    <w:rPr>
      <w:rFonts w:ascii="Tahoma" w:hAnsi="Tahoma"/>
      <w:b/>
      <w:sz w:val="20"/>
    </w:rPr>
  </w:style>
  <w:style w:type="character" w:styleId="ListLabel30">
    <w:name w:val="ListLabel 30"/>
    <w:qFormat/>
    <w:rPr>
      <w:rFonts w:ascii="Tahoma" w:hAnsi="Tahoma"/>
      <w:b/>
      <w:sz w:val="20"/>
    </w:rPr>
  </w:style>
  <w:style w:type="character" w:styleId="ListLabel31">
    <w:name w:val="ListLabel 31"/>
    <w:qFormat/>
    <w:rPr>
      <w:sz w:val="20"/>
    </w:rPr>
  </w:style>
  <w:style w:type="character" w:styleId="ListLabel32">
    <w:name w:val="ListLabel 32"/>
    <w:qFormat/>
    <w:rPr>
      <w:rFonts w:cs="Wingdings"/>
      <w:sz w:val="20"/>
    </w:rPr>
  </w:style>
  <w:style w:type="character" w:styleId="ListLabel33">
    <w:name w:val="ListLabel 33"/>
    <w:qFormat/>
    <w:rPr>
      <w:rFonts w:cs="Wingdings"/>
      <w:sz w:val="20"/>
    </w:rPr>
  </w:style>
  <w:style w:type="character" w:styleId="ListLabel34">
    <w:name w:val="ListLabel 34"/>
    <w:qFormat/>
    <w:rPr>
      <w:rFonts w:cs="Wingdings"/>
      <w:sz w:val="20"/>
    </w:rPr>
  </w:style>
  <w:style w:type="character" w:styleId="ListLabel35">
    <w:name w:val="ListLabel 35"/>
    <w:qFormat/>
    <w:rPr>
      <w:rFonts w:cs="Wingdings"/>
      <w:sz w:val="20"/>
    </w:rPr>
  </w:style>
  <w:style w:type="character" w:styleId="ListLabel36">
    <w:name w:val="ListLabel 36"/>
    <w:qFormat/>
    <w:rPr>
      <w:rFonts w:cs="Wingdings"/>
      <w:sz w:val="20"/>
    </w:rPr>
  </w:style>
  <w:style w:type="character" w:styleId="ListLabel37">
    <w:name w:val="ListLabel 37"/>
    <w:qFormat/>
    <w:rPr>
      <w:rFonts w:cs="Wingdings"/>
      <w:sz w:val="20"/>
    </w:rPr>
  </w:style>
  <w:style w:type="character" w:styleId="ListLabel38">
    <w:name w:val="ListLabel 38"/>
    <w:qFormat/>
    <w:rPr>
      <w:rFonts w:cs="Wingdings"/>
      <w:sz w:val="20"/>
    </w:rPr>
  </w:style>
  <w:style w:type="character" w:styleId="ListLabel39">
    <w:name w:val="ListLabel 39"/>
    <w:qFormat/>
    <w:rPr>
      <w:rFonts w:ascii="Tahoma" w:hAnsi="Tahoma"/>
      <w:b/>
      <w:sz w:val="20"/>
    </w:rPr>
  </w:style>
  <w:style w:type="character" w:styleId="ListLabel40">
    <w:name w:val="ListLabel 40"/>
    <w:qFormat/>
    <w:rPr>
      <w:rFonts w:ascii="Tahoma" w:hAnsi="Tahoma"/>
      <w:b/>
      <w:sz w:val="20"/>
    </w:rPr>
  </w:style>
  <w:style w:type="character" w:styleId="ListLabel41">
    <w:name w:val="ListLabel 41"/>
    <w:qFormat/>
    <w:rPr>
      <w:rFonts w:ascii="Tahoma" w:hAnsi="Tahoma"/>
      <w:b/>
      <w:sz w:val="20"/>
    </w:rPr>
  </w:style>
  <w:style w:type="character" w:styleId="ListLabel42">
    <w:name w:val="ListLabel 42"/>
    <w:qFormat/>
    <w:rPr>
      <w:rFonts w:ascii="Tahoma" w:hAnsi="Tahoma"/>
      <w:b/>
      <w:sz w:val="20"/>
    </w:rPr>
  </w:style>
  <w:style w:type="character" w:styleId="ListLabel43">
    <w:name w:val="ListLabel 43"/>
    <w:qFormat/>
    <w:rPr>
      <w:rFonts w:ascii="Tahoma" w:hAnsi="Tahoma"/>
      <w:b/>
      <w:sz w:val="20"/>
    </w:rPr>
  </w:style>
  <w:style w:type="character" w:styleId="ListLabel44">
    <w:name w:val="ListLabel 44"/>
    <w:qFormat/>
    <w:rPr>
      <w:rFonts w:ascii="Tahoma" w:hAnsi="Tahoma"/>
      <w:b/>
      <w:sz w:val="20"/>
    </w:rPr>
  </w:style>
  <w:style w:type="character" w:styleId="ListLabel45">
    <w:name w:val="ListLabel 45"/>
    <w:qFormat/>
    <w:rPr>
      <w:rFonts w:ascii="Tahoma" w:hAnsi="Tahoma"/>
      <w:b/>
      <w:sz w:val="20"/>
    </w:rPr>
  </w:style>
  <w:style w:type="character" w:styleId="ListLabel46">
    <w:name w:val="ListLabel 46"/>
    <w:qFormat/>
    <w:rPr>
      <w:rFonts w:ascii="Tahoma" w:hAnsi="Tahoma"/>
      <w:b/>
      <w:sz w:val="20"/>
    </w:rPr>
  </w:style>
  <w:style w:type="character" w:styleId="Mocnowyrniony">
    <w:name w:val="Mocno wyróżniony"/>
    <w:qFormat/>
    <w:rPr>
      <w:b/>
      <w:bCs/>
    </w:rPr>
  </w:style>
  <w:style w:type="character" w:styleId="ListLabel47">
    <w:name w:val="ListLabel 47"/>
    <w:qFormat/>
    <w:rPr>
      <w:rFonts w:ascii="Tahoma" w:hAnsi="Tahoma"/>
      <w:b/>
      <w:sz w:val="20"/>
    </w:rPr>
  </w:style>
  <w:style w:type="character" w:styleId="ListLabel48">
    <w:name w:val="ListLabel 48"/>
    <w:qFormat/>
    <w:rPr>
      <w:rFonts w:ascii="Tahoma" w:hAnsi="Tahoma"/>
      <w:b/>
      <w:sz w:val="20"/>
    </w:rPr>
  </w:style>
  <w:style w:type="paragraph" w:styleId="Nagwek">
    <w:name w:val="Nagłówek"/>
    <w:basedOn w:val="Normal"/>
    <w:next w:val="Tretekstu"/>
    <w:qFormat/>
    <w:pPr>
      <w:keepNext/>
      <w:spacing w:before="240" w:after="120"/>
    </w:pPr>
    <w:rPr>
      <w:rFonts w:ascii="Liberation Sans" w:hAnsi="Liberation Sans" w:eastAsia="Microsoft YaHei" w:cs="Arial"/>
      <w:sz w:val="28"/>
      <w:szCs w:val="28"/>
    </w:rPr>
  </w:style>
  <w:style w:type="paragraph" w:styleId="Tretekstu">
    <w:name w:val="Body Text"/>
    <w:basedOn w:val="Normal"/>
    <w:pPr>
      <w:spacing w:lineRule="auto" w:line="288" w:before="0" w:after="140"/>
    </w:pPr>
    <w:rPr/>
  </w:style>
  <w:style w:type="paragraph" w:styleId="Lista">
    <w:name w:val="List"/>
    <w:basedOn w:val="Tretekstu"/>
    <w:pPr/>
    <w:rPr>
      <w:rFonts w:cs="Arial"/>
    </w:rPr>
  </w:style>
  <w:style w:type="paragraph" w:styleId="Podpis">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 w:type="paragraph" w:styleId="ListParagraph">
    <w:name w:val="List Paragraph"/>
    <w:basedOn w:val="Normal"/>
    <w:uiPriority w:val="34"/>
    <w:qFormat/>
    <w:rsid w:val="00ad169a"/>
    <w:pPr>
      <w:spacing w:before="0" w:after="160"/>
      <w:ind w:left="720" w:hanging="0"/>
      <w:contextualSpacing/>
    </w:pPr>
    <w:rPr/>
  </w:style>
  <w:style w:type="paragraph" w:styleId="NormalWeb">
    <w:name w:val="Normal (Web)"/>
    <w:basedOn w:val="Normal"/>
    <w:uiPriority w:val="99"/>
    <w:semiHidden/>
    <w:unhideWhenUsed/>
    <w:qFormat/>
    <w:rsid w:val="00ad169a"/>
    <w:pPr>
      <w:spacing w:lineRule="auto" w:line="240" w:beforeAutospacing="1" w:afterAutospacing="1"/>
    </w:pPr>
    <w:rPr>
      <w:rFonts w:ascii="Times New Roman" w:hAnsi="Times New Roman" w:eastAsia="Times New Roman" w:cs="Times New Roman"/>
      <w:sz w:val="24"/>
      <w:szCs w:val="24"/>
      <w:lang w:eastAsia="pl-PL"/>
    </w:rPr>
  </w:style>
  <w:style w:type="paragraph" w:styleId="Textjustify" w:customStyle="1">
    <w:name w:val="text-justify"/>
    <w:basedOn w:val="Normal"/>
    <w:qFormat/>
    <w:rsid w:val="009a7e7f"/>
    <w:pPr>
      <w:spacing w:lineRule="auto" w:line="240" w:beforeAutospacing="1" w:afterAutospacing="1"/>
    </w:pPr>
    <w:rPr>
      <w:rFonts w:ascii="Times New Roman" w:hAnsi="Times New Roman" w:eastAsia="Times New Roman" w:cs="Times New Roman"/>
      <w:sz w:val="24"/>
      <w:szCs w:val="24"/>
      <w:lang w:eastAsia="pl-PL"/>
    </w:rPr>
  </w:style>
  <w:style w:type="paragraph" w:styleId="BalloonText">
    <w:name w:val="Balloon Text"/>
    <w:basedOn w:val="Normal"/>
    <w:link w:val="TekstdymkaZnak"/>
    <w:uiPriority w:val="99"/>
    <w:semiHidden/>
    <w:unhideWhenUsed/>
    <w:qFormat/>
    <w:rsid w:val="007c52b7"/>
    <w:pPr>
      <w:spacing w:lineRule="auto" w:line="240" w:before="0" w:after="0"/>
    </w:pPr>
    <w:rPr>
      <w:rFonts w:ascii="Segoe UI" w:hAnsi="Segoe UI" w:cs="Segoe UI"/>
      <w:sz w:val="18"/>
      <w:szCs w:val="18"/>
    </w:rPr>
  </w:style>
  <w:style w:type="numbering" w:styleId="NoList" w:default="1">
    <w:name w:val="No List"/>
    <w:uiPriority w:val="99"/>
    <w:semiHidden/>
    <w:unhideWhenUsed/>
    <w:qFormat/>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kancelaria@rpp.gov.pl"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198</TotalTime>
  <Application>LibreOffice/5.2.0.4$Windows_x86 LibreOffice_project/066b007f5ebcc236395c7d282ba488bca6720265</Application>
  <Pages>4</Pages>
  <Words>1330</Words>
  <Characters>8061</Characters>
  <CharactersWithSpaces>9293</CharactersWithSpaces>
  <Paragraphs>83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2018-10-02T08:19:00Z</dcterms:created>
  <dc:creator>Dominik Bracki</dc:creator>
  <dc:description/>
  <dc:language>pl-PL</dc:language>
  <cp:lastModifiedBy/>
  <cp:lastPrinted>2021-07-07T10:52:41Z</cp:lastPrinted>
  <dcterms:modified xsi:type="dcterms:W3CDTF">2021-09-15T14:44:23Z</dcterms:modified>
  <cp:revision>33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