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Pr="00200380" w:rsidRDefault="00472BB5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Załącznik nr 2</w:t>
      </w:r>
    </w:p>
    <w:p w14:paraId="2995FCFC" w14:textId="3498427B" w:rsidR="00472BB5" w:rsidRPr="00200380" w:rsidRDefault="00472BB5" w:rsidP="0054463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przedmiotu zamówienia</w:t>
      </w:r>
    </w:p>
    <w:p w14:paraId="3799015F" w14:textId="3B857757" w:rsidR="00AF32EA" w:rsidRPr="00200380" w:rsidRDefault="00626BBA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</w:t>
      </w:r>
      <w:r w:rsidR="00AF32E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  </w:t>
      </w:r>
      <w:bookmarkStart w:id="0" w:name="_Hlk97040250"/>
      <w:r w:rsidR="00AF32E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remont pomieszczeń w Prokuraturze Rejonowej w </w:t>
      </w:r>
      <w:r w:rsidR="0076094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Przasnyszu</w:t>
      </w:r>
      <w:r w:rsidR="00AF32E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 piętro</w:t>
      </w:r>
      <w:r w:rsidR="00E323B8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6094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sześć </w:t>
      </w:r>
      <w:r w:rsidR="00E323B8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pokoi biurowych</w:t>
      </w:r>
      <w:r w:rsidR="0076094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, pomieszczenie archiwum</w:t>
      </w:r>
      <w:r w:rsidR="00E323B8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76094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łazienka</w:t>
      </w:r>
      <w:r w:rsidR="00AF32E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bookmarkEnd w:id="0"/>
    <w:p w14:paraId="2D1AD2AB" w14:textId="15AE1DAE" w:rsidR="0093478F" w:rsidRPr="00200380" w:rsidRDefault="00E3161F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W czasie wykonywania prac Wykonawca zorganizuje teren prac własnym staraniem podejmie wszelkie działania niezbędne dla ochrony robót i utrzymania porządku</w:t>
      </w:r>
      <w:r w:rsidR="00EA7F01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Wykonawca oznakuje teren wykonywania robót i zabezpieczy przed wpływami niekorzystnymi na</w:t>
      </w:r>
      <w:r w:rsidR="00AF32E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otoczenie oraz ludzi przebywających w budynku podczas robót. Wykonawca jest zobowiązany do usuwania oraz wywożenia gruzu oraz innego materiału z rozbiórki poza teren obiektu. Powinien również dysponować własnym pojemnikiem na odpady budowlane. </w:t>
      </w:r>
      <w:r w:rsidR="00384E2B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prawidłowego zabezpieczenia miejsca robót</w:t>
      </w:r>
      <w:r w:rsidR="00AF32E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uwzględnieniem faktu, iż prace remontowe wykonywane są w obiekcie użyteczności publicznej, niewyłączonym z użytkowania. </w:t>
      </w:r>
      <w:r w:rsidR="00384E2B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E2168F" w14:textId="7BEA0798" w:rsidR="00384E2B" w:rsidRPr="00200380" w:rsidRDefault="00384E2B" w:rsidP="00AE031A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Zakres Prac</w:t>
      </w:r>
    </w:p>
    <w:p w14:paraId="5E1E0EB9" w14:textId="21B5DDB0" w:rsidR="00AF32EA" w:rsidRPr="00200380" w:rsidRDefault="0027639B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Demontaż i w</w:t>
      </w:r>
      <w:r w:rsidR="00AF32E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yniesienie mebli we wskazane miejsce.</w:t>
      </w:r>
    </w:p>
    <w:p w14:paraId="0C30CA68" w14:textId="09F18BC4" w:rsidR="0076094A" w:rsidRPr="00200380" w:rsidRDefault="00AF32EA" w:rsidP="0076094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Wymiana po</w:t>
      </w:r>
      <w:r w:rsidR="00483ECB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dłóg</w:t>
      </w:r>
      <w:r w:rsidR="00F56A00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197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F56A00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panele typu</w:t>
      </w:r>
      <w:r w:rsidR="00863950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3950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Quick</w:t>
      </w:r>
      <w:proofErr w:type="spellEnd"/>
      <w:r w:rsidR="00863950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Step</w:t>
      </w:r>
      <w:r w:rsidR="006C7458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138x190 mm</w:t>
      </w:r>
      <w:r w:rsidR="00863950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7458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grubość </w:t>
      </w:r>
      <w:r w:rsidR="00483ECB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6C7458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mm, </w:t>
      </w:r>
      <w:r w:rsidR="00483ECB" w:rsidRPr="00200380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o parametrach </w:t>
      </w:r>
      <w:proofErr w:type="spellStart"/>
      <w:r w:rsidR="00483ECB" w:rsidRPr="00200380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niegorszych</w:t>
      </w:r>
      <w:proofErr w:type="spellEnd"/>
      <w:r w:rsidR="00483ECB" w:rsidRPr="00200380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niż przedstawione w załączonej karcie katalogowej</w:t>
      </w:r>
      <w:r w:rsidR="00E323B8" w:rsidRPr="00200380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(załącznik nr 6)</w:t>
      </w:r>
      <w:r w:rsidR="002665D6" w:rsidRPr="00200380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665D6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podkład akustyczny tłumiący hałas. </w:t>
      </w:r>
      <w:r w:rsidR="00A84D68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Kolorystyka uzgodniona z Zamawiającym.</w:t>
      </w:r>
      <w:r w:rsidR="00483ECB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ECB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Oblistwowanie</w:t>
      </w:r>
      <w:proofErr w:type="spellEnd"/>
      <w:r w:rsidR="00483ECB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MDF. </w:t>
      </w:r>
    </w:p>
    <w:p w14:paraId="7BA16FAB" w14:textId="09B53120" w:rsidR="00461D07" w:rsidRPr="00200380" w:rsidRDefault="0076094A" w:rsidP="0076094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Demontaż 3 szt. drzwi i zabudowa otworów drzwiowych. </w:t>
      </w:r>
    </w:p>
    <w:p w14:paraId="39E4E6D1" w14:textId="77777777" w:rsidR="00500E8B" w:rsidRPr="00500E8B" w:rsidRDefault="0076094A" w:rsidP="00500E8B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00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</w:t>
      </w:r>
      <w:r w:rsidR="00AF32EA" w:rsidRPr="00500E8B">
        <w:rPr>
          <w:rFonts w:ascii="Times New Roman" w:hAnsi="Times New Roman" w:cs="Times New Roman"/>
          <w:color w:val="000000" w:themeColor="text1"/>
          <w:sz w:val="24"/>
          <w:szCs w:val="24"/>
        </w:rPr>
        <w:t>kratek wentylacyjnych.</w:t>
      </w:r>
    </w:p>
    <w:p w14:paraId="0D5AB65E" w14:textId="73EF2ED7" w:rsidR="00500E8B" w:rsidRPr="00500E8B" w:rsidRDefault="00500E8B" w:rsidP="00500E8B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500E8B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Wymiana opraw oświetleniowych w trzech pokojach. Oświetlenie powinno spełniać parametry oświetlenia stanowisk pracy zgodnie z normą PN-EN 12464-1:2012 oraz poniższe parametry: </w:t>
      </w:r>
    </w:p>
    <w:p w14:paraId="6C12EFF0" w14:textId="77777777" w:rsidR="00500E8B" w:rsidRDefault="00500E8B" w:rsidP="00500E8B">
      <w:pPr>
        <w:pStyle w:val="Akapitzlist"/>
        <w:spacing w:after="0" w:line="276" w:lineRule="auto"/>
        <w:ind w:left="106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- średnie natężenie oświetlenia 500 lx;</w:t>
      </w:r>
    </w:p>
    <w:p w14:paraId="2D8BC871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barwa neutralna 4000 K;</w:t>
      </w:r>
    </w:p>
    <w:p w14:paraId="6695736F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równomierność oświetlenia min. 0,6;</w:t>
      </w:r>
    </w:p>
    <w:p w14:paraId="0E7A681B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współczynnik oddawania barw Ra&gt;=80;</w:t>
      </w:r>
    </w:p>
    <w:p w14:paraId="08F8942D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brak olśnienia,  brak migotania;</w:t>
      </w:r>
    </w:p>
    <w:p w14:paraId="435936F3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źródło światła – LED;</w:t>
      </w:r>
    </w:p>
    <w:p w14:paraId="509DCF62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stopień szczelności – IP20;</w:t>
      </w:r>
    </w:p>
    <w:p w14:paraId="5129CAE7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zakres temperatury pracy – 0 …+35 °C;</w:t>
      </w:r>
    </w:p>
    <w:p w14:paraId="4B59D3C3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sprawność zasilacza  &gt;80%;</w:t>
      </w:r>
    </w:p>
    <w:p w14:paraId="501DC37E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współczynnik mocy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cosϕ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  - min. 0,8.</w:t>
      </w:r>
    </w:p>
    <w:p w14:paraId="20E1A8F1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Oprawy powinny być wykonane z trwałych materiałów i nie ulegać deformacjom oraz odbarwieniom w trakcie użytkowania. Średnia trwałość użytkowa 50 000 h. </w:t>
      </w:r>
    </w:p>
    <w:p w14:paraId="0C1AFC2C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Po wymianie opraw Wykonawca wykona pomiary natężenia oświetlenia pomieszczeń potwierdzone protokołem i przedstawi Zamawiającemu przed odbiorem usługi. </w:t>
      </w:r>
    </w:p>
    <w:p w14:paraId="0248D691" w14:textId="77777777" w:rsidR="00500E8B" w:rsidRDefault="00500E8B" w:rsidP="00500E8B">
      <w:pPr>
        <w:pStyle w:val="Bezodstpw"/>
        <w:spacing w:line="276" w:lineRule="auto"/>
        <w:ind w:left="1068"/>
        <w:jc w:val="both"/>
        <w:rPr>
          <w:rFonts w:eastAsiaTheme="minorHAns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Dostarczone i wymienione elementy systemu objęte będą gwarancją producenta.</w:t>
      </w:r>
    </w:p>
    <w:p w14:paraId="72F92568" w14:textId="3984F244" w:rsidR="00AF32EA" w:rsidRPr="00200380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Roboty malarskie</w:t>
      </w:r>
      <w:r w:rsidR="00527CF9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F2A1CDB" w14:textId="6DA1D718" w:rsidR="00AF32EA" w:rsidRPr="00200380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Wymiana gniazdek i przełączników instalacji elektrycznej.</w:t>
      </w:r>
    </w:p>
    <w:p w14:paraId="058E57D8" w14:textId="4FD81FBD" w:rsidR="00FA20BE" w:rsidRPr="00200380" w:rsidRDefault="00FA20BE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Utylizacja materiałów porozbiórkowych. </w:t>
      </w:r>
    </w:p>
    <w:p w14:paraId="08011C44" w14:textId="696B4609" w:rsidR="00860A02" w:rsidRPr="00200380" w:rsidRDefault="00860A02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Zabudowa instalacji nawodnionych w pomieszczeniach piwnicznych (archiwum)</w:t>
      </w:r>
      <w:r w:rsidR="00500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blachą powlekaną białą gr. 0,50 mm na profilach stalowych systemowych do g-k. </w:t>
      </w:r>
    </w:p>
    <w:p w14:paraId="0A25C3FC" w14:textId="19870187" w:rsidR="00200380" w:rsidRPr="00200380" w:rsidRDefault="00860A02" w:rsidP="00200380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Wymiana drzwi (archiwum)</w:t>
      </w:r>
      <w:r w:rsidR="00200380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wymagania: </w:t>
      </w:r>
      <w:r w:rsidR="00200380" w:rsidRPr="00200380">
        <w:rPr>
          <w:rFonts w:ascii="Times New Roman" w:hAnsi="Times New Roman" w:cs="Times New Roman"/>
          <w:sz w:val="24"/>
          <w:szCs w:val="24"/>
        </w:rPr>
        <w:t xml:space="preserve">Drzwi stalowe, wzmocnione, z minimum dwoma zamkami, w tym jednym o skomplikowanym systemie otwierania. </w:t>
      </w:r>
    </w:p>
    <w:p w14:paraId="4E9B2553" w14:textId="4AE38BAC" w:rsidR="00200380" w:rsidRPr="00200380" w:rsidRDefault="00200380" w:rsidP="00200380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sz w:val="24"/>
          <w:szCs w:val="24"/>
        </w:rPr>
        <w:t>Demontaż urządzeń sanitarnych (łazienka)</w:t>
      </w:r>
    </w:p>
    <w:p w14:paraId="7EB5C174" w14:textId="44316F7F" w:rsidR="001B0904" w:rsidRPr="00200380" w:rsidRDefault="001B0904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Dokumentacja powykonawcza</w:t>
      </w:r>
      <w:r w:rsidR="00C15A6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FE4FF6A" w14:textId="782CFE89" w:rsidR="00FE538B" w:rsidRPr="00200380" w:rsidRDefault="00FE538B" w:rsidP="00544631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Wykonawca winien dokonać wizji lokalnej i w ofercie cenowej określić wszystkie nakłady konieczn</w:t>
      </w:r>
      <w:r w:rsidR="00FA20BE" w:rsidRPr="00200380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00380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do wykonania związane z </w:t>
      </w:r>
      <w:r w:rsidR="00834169" w:rsidRPr="00200380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remontem</w:t>
      </w:r>
      <w:r w:rsidRPr="00200380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  które jego zdaniem będą niezbędne dla realizacji  przedmiotu zamówienia.</w:t>
      </w:r>
      <w:r w:rsidR="00834169" w:rsidRPr="00200380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0380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50D135" w14:textId="4FB4FFE7" w:rsidR="00FE538B" w:rsidRPr="00200380" w:rsidRDefault="00FE538B" w:rsidP="0054463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Po zakończeniu robót teren należy uporządkować z materiałów porozbiórkowych</w:t>
      </w:r>
      <w:r w:rsidR="00834169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34169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drzwi, </w:t>
      </w:r>
      <w:r w:rsid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 inne elementy z </w:t>
      </w: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demontażu przekazać do utylizacji.</w:t>
      </w:r>
    </w:p>
    <w:p w14:paraId="7A5C131F" w14:textId="00C42FDF" w:rsidR="00845417" w:rsidRPr="00200380" w:rsidRDefault="00845417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Wykonawca jest odpowiedzialny za zgodność robót z</w:t>
      </w:r>
      <w:r w:rsidR="00AE031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zakresem prac uwzględnionym w</w:t>
      </w:r>
      <w:r w:rsidR="002003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E031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przedmiarze i opisie przedmiotu zamówienia, a także </w:t>
      </w: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instrukcjami Zamawiającego </w:t>
      </w:r>
      <w:r w:rsidR="00544631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robót zgodnie z umową</w:t>
      </w:r>
      <w:r w:rsidR="00AE031A"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003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materiały do wykonania robót muszą odpowiadać wymaganiom wskazanym w opisie lub przedmiarze robót oraz posiadać świadectwa jakości Producenta (deklaracje zgodności, aprobaty techniczne, atesty higieniczne, klasyfikacje palności) i uzyskać akceptacje Zamawiającego.</w:t>
      </w:r>
    </w:p>
    <w:sectPr w:rsidR="00845417" w:rsidRPr="00200380" w:rsidSect="0020038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396A59"/>
    <w:multiLevelType w:val="hybridMultilevel"/>
    <w:tmpl w:val="3E70D530"/>
    <w:lvl w:ilvl="0" w:tplc="FE9E879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655DB"/>
    <w:rsid w:val="00091963"/>
    <w:rsid w:val="000C19CE"/>
    <w:rsid w:val="000C2A23"/>
    <w:rsid w:val="000F6FC6"/>
    <w:rsid w:val="001454C8"/>
    <w:rsid w:val="0015182B"/>
    <w:rsid w:val="00181A49"/>
    <w:rsid w:val="001B0904"/>
    <w:rsid w:val="001B45D8"/>
    <w:rsid w:val="001C13E1"/>
    <w:rsid w:val="00200380"/>
    <w:rsid w:val="00206A28"/>
    <w:rsid w:val="00242B61"/>
    <w:rsid w:val="002601C8"/>
    <w:rsid w:val="002665D6"/>
    <w:rsid w:val="0027391C"/>
    <w:rsid w:val="0027639B"/>
    <w:rsid w:val="00281DB0"/>
    <w:rsid w:val="002D002E"/>
    <w:rsid w:val="00367124"/>
    <w:rsid w:val="00384E2B"/>
    <w:rsid w:val="00395585"/>
    <w:rsid w:val="00461D07"/>
    <w:rsid w:val="00472BB5"/>
    <w:rsid w:val="00476673"/>
    <w:rsid w:val="00480356"/>
    <w:rsid w:val="00483ECB"/>
    <w:rsid w:val="004906DB"/>
    <w:rsid w:val="004A4817"/>
    <w:rsid w:val="004E1712"/>
    <w:rsid w:val="00500E8B"/>
    <w:rsid w:val="00504A62"/>
    <w:rsid w:val="00527CF9"/>
    <w:rsid w:val="00544631"/>
    <w:rsid w:val="00570338"/>
    <w:rsid w:val="00594144"/>
    <w:rsid w:val="00594465"/>
    <w:rsid w:val="00614802"/>
    <w:rsid w:val="00626BBA"/>
    <w:rsid w:val="00643047"/>
    <w:rsid w:val="00684934"/>
    <w:rsid w:val="006C7458"/>
    <w:rsid w:val="006E0ECB"/>
    <w:rsid w:val="006E7996"/>
    <w:rsid w:val="007010D8"/>
    <w:rsid w:val="00710BA9"/>
    <w:rsid w:val="007328E7"/>
    <w:rsid w:val="0075430F"/>
    <w:rsid w:val="0075771D"/>
    <w:rsid w:val="0076094A"/>
    <w:rsid w:val="00782490"/>
    <w:rsid w:val="007A5019"/>
    <w:rsid w:val="007B3325"/>
    <w:rsid w:val="008142CF"/>
    <w:rsid w:val="00834169"/>
    <w:rsid w:val="00840163"/>
    <w:rsid w:val="00845417"/>
    <w:rsid w:val="00853808"/>
    <w:rsid w:val="008557C9"/>
    <w:rsid w:val="00860A02"/>
    <w:rsid w:val="00861900"/>
    <w:rsid w:val="00863950"/>
    <w:rsid w:val="00863A30"/>
    <w:rsid w:val="00882BE3"/>
    <w:rsid w:val="008B12ED"/>
    <w:rsid w:val="008C2E21"/>
    <w:rsid w:val="0093298E"/>
    <w:rsid w:val="0093478F"/>
    <w:rsid w:val="00981958"/>
    <w:rsid w:val="009D73A1"/>
    <w:rsid w:val="00A47946"/>
    <w:rsid w:val="00A84D68"/>
    <w:rsid w:val="00A93969"/>
    <w:rsid w:val="00AE031A"/>
    <w:rsid w:val="00AF32EA"/>
    <w:rsid w:val="00AF6406"/>
    <w:rsid w:val="00B73322"/>
    <w:rsid w:val="00B94605"/>
    <w:rsid w:val="00C15A6A"/>
    <w:rsid w:val="00C2132F"/>
    <w:rsid w:val="00C802C5"/>
    <w:rsid w:val="00C96D6B"/>
    <w:rsid w:val="00CC59E0"/>
    <w:rsid w:val="00D92323"/>
    <w:rsid w:val="00DB54E7"/>
    <w:rsid w:val="00DF1D9A"/>
    <w:rsid w:val="00E2103A"/>
    <w:rsid w:val="00E3161F"/>
    <w:rsid w:val="00E323B8"/>
    <w:rsid w:val="00E54BD1"/>
    <w:rsid w:val="00E8463B"/>
    <w:rsid w:val="00E91695"/>
    <w:rsid w:val="00E91C5E"/>
    <w:rsid w:val="00EA2C7D"/>
    <w:rsid w:val="00EA7F01"/>
    <w:rsid w:val="00EB406B"/>
    <w:rsid w:val="00ED395B"/>
    <w:rsid w:val="00EE26F9"/>
    <w:rsid w:val="00EF3C24"/>
    <w:rsid w:val="00F4315F"/>
    <w:rsid w:val="00F56A00"/>
    <w:rsid w:val="00F61197"/>
    <w:rsid w:val="00F6443A"/>
    <w:rsid w:val="00FA0E4C"/>
    <w:rsid w:val="00FA20BE"/>
    <w:rsid w:val="00FB5048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docId w15:val="{5C966DB8-DA0E-40F3-AEE0-610E76CB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B504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Kruczyk Marta (PO Ostrołęka)</cp:lastModifiedBy>
  <cp:revision>5</cp:revision>
  <cp:lastPrinted>2023-09-07T06:42:00Z</cp:lastPrinted>
  <dcterms:created xsi:type="dcterms:W3CDTF">2021-08-11T09:46:00Z</dcterms:created>
  <dcterms:modified xsi:type="dcterms:W3CDTF">2023-10-20T06:34:00Z</dcterms:modified>
</cp:coreProperties>
</file>