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0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900"/>
        <w:gridCol w:w="1417"/>
        <w:gridCol w:w="3969"/>
        <w:gridCol w:w="2085"/>
        <w:gridCol w:w="69"/>
        <w:gridCol w:w="1008"/>
        <w:gridCol w:w="983"/>
        <w:gridCol w:w="983"/>
        <w:gridCol w:w="957"/>
      </w:tblGrid>
      <w:tr w:rsidR="00784D7F" w:rsidRPr="00784D7F" w:rsidTr="003E5AEE">
        <w:trPr>
          <w:trHeight w:val="283"/>
        </w:trPr>
        <w:tc>
          <w:tcPr>
            <w:tcW w:w="1600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4D7F" w:rsidRPr="00784D7F" w:rsidRDefault="00285111" w:rsidP="002851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>
              <w:rPr>
                <w:rFonts w:ascii="Calibri" w:eastAsia="Times New Roman" w:hAnsi="Calibri" w:cs="Arial"/>
                <w:color w:val="000000"/>
                <w:lang w:eastAsia="pl-PL"/>
              </w:rPr>
              <w:t>Załącznik nr 1</w:t>
            </w:r>
          </w:p>
        </w:tc>
      </w:tr>
      <w:tr w:rsidR="00784D7F" w:rsidRPr="00784D7F" w:rsidTr="003E5AEE">
        <w:trPr>
          <w:trHeight w:val="283"/>
        </w:trPr>
        <w:tc>
          <w:tcPr>
            <w:tcW w:w="1600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84D7F" w:rsidRPr="00784D7F" w:rsidRDefault="00784D7F" w:rsidP="00771E9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784D7F">
              <w:rPr>
                <w:rFonts w:ascii="Calibri" w:eastAsia="Times New Roman" w:hAnsi="Calibri" w:cs="Arial"/>
                <w:b/>
                <w:bCs/>
                <w:color w:val="000000"/>
                <w:sz w:val="36"/>
                <w:szCs w:val="36"/>
                <w:lang w:eastAsia="pl-PL"/>
              </w:rPr>
              <w:t>Ankieta</w:t>
            </w:r>
            <w:r w:rsidRPr="00784D7F">
              <w:rPr>
                <w:rFonts w:ascii="Calibri" w:eastAsia="Times New Roman" w:hAnsi="Calibri" w:cs="Arial"/>
                <w:b/>
                <w:bCs/>
                <w:color w:val="000000"/>
                <w:sz w:val="36"/>
                <w:szCs w:val="36"/>
                <w:lang w:eastAsia="pl-PL"/>
              </w:rPr>
              <w:br/>
              <w:t xml:space="preserve"> dotycząca działania systemów teleinformatycznych używanych do realizacji zadań publicznych</w:t>
            </w:r>
          </w:p>
        </w:tc>
      </w:tr>
      <w:tr w:rsidR="005608AD" w:rsidRPr="00784D7F" w:rsidTr="003E5AEE">
        <w:trPr>
          <w:trHeight w:val="283"/>
        </w:trPr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771E93" w:rsidRPr="005608AD" w:rsidTr="003E5AEE">
        <w:trPr>
          <w:trHeight w:val="283"/>
        </w:trPr>
        <w:tc>
          <w:tcPr>
            <w:tcW w:w="637" w:type="dxa"/>
            <w:tcBorders>
              <w:top w:val="single" w:sz="4" w:space="0" w:color="auto"/>
            </w:tcBorders>
            <w:shd w:val="clear" w:color="000000" w:fill="A6A6A6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Poz.</w:t>
            </w:r>
          </w:p>
        </w:tc>
        <w:tc>
          <w:tcPr>
            <w:tcW w:w="3900" w:type="dxa"/>
            <w:tcBorders>
              <w:top w:val="single" w:sz="4" w:space="0" w:color="auto"/>
            </w:tcBorders>
            <w:shd w:val="clear" w:color="000000" w:fill="A6A6A6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Obszar / Obszar szczegółowy / Wymaganie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000000" w:fill="A6A6A6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Podstawa prawna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000000" w:fill="A6A6A6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Kontroli podlegają</w:t>
            </w:r>
          </w:p>
        </w:tc>
        <w:tc>
          <w:tcPr>
            <w:tcW w:w="2085" w:type="dxa"/>
            <w:tcBorders>
              <w:top w:val="single" w:sz="4" w:space="0" w:color="auto"/>
            </w:tcBorders>
            <w:shd w:val="clear" w:color="000000" w:fill="A6A6A6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5608AD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Dokumenty potwierdzają</w:t>
            </w:r>
            <w:r w:rsidRPr="00784D7F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ce spełnienie wymagania*) 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</w:tcBorders>
            <w:shd w:val="clear" w:color="000000" w:fill="A6A6A6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Uwagi i wyjaśnienia*) </w:t>
            </w:r>
          </w:p>
        </w:tc>
        <w:tc>
          <w:tcPr>
            <w:tcW w:w="983" w:type="dxa"/>
            <w:tcBorders>
              <w:top w:val="single" w:sz="4" w:space="0" w:color="auto"/>
            </w:tcBorders>
            <w:shd w:val="clear" w:color="000000" w:fill="A6A6A6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Samoocena spełnienia wymagania</w:t>
            </w:r>
            <w:r w:rsidR="005608AD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br/>
            </w:r>
            <w:r w:rsidRPr="00784D7F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*)</w:t>
            </w:r>
            <w:r w:rsidRPr="00784D7F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br/>
              <w:t>S/N/CS/ND</w:t>
            </w:r>
          </w:p>
        </w:tc>
        <w:tc>
          <w:tcPr>
            <w:tcW w:w="983" w:type="dxa"/>
            <w:tcBorders>
              <w:top w:val="single" w:sz="4" w:space="0" w:color="auto"/>
            </w:tcBorders>
            <w:shd w:val="clear" w:color="000000" w:fill="A6A6A6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Komórka i osoba udzielająca odpowiedzi*)</w:t>
            </w:r>
          </w:p>
        </w:tc>
        <w:tc>
          <w:tcPr>
            <w:tcW w:w="957" w:type="dxa"/>
            <w:tcBorders>
              <w:top w:val="single" w:sz="4" w:space="0" w:color="auto"/>
            </w:tcBorders>
            <w:shd w:val="clear" w:color="000000" w:fill="A6A6A6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5608AD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nr telefonu do osoby udzielają</w:t>
            </w:r>
            <w:r w:rsidRPr="00784D7F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cej odpowiedzi*)</w:t>
            </w:r>
          </w:p>
        </w:tc>
      </w:tr>
      <w:tr w:rsidR="00771E93" w:rsidRPr="005608AD" w:rsidTr="003E5AEE">
        <w:trPr>
          <w:trHeight w:val="283"/>
        </w:trPr>
        <w:tc>
          <w:tcPr>
            <w:tcW w:w="637" w:type="dxa"/>
            <w:shd w:val="clear" w:color="000000" w:fill="A6A6A6"/>
            <w:noWrap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900" w:type="dxa"/>
            <w:shd w:val="clear" w:color="000000" w:fill="A6A6A6"/>
            <w:noWrap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17" w:type="dxa"/>
            <w:shd w:val="clear" w:color="000000" w:fill="A6A6A6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969" w:type="dxa"/>
            <w:shd w:val="clear" w:color="000000" w:fill="A6A6A6"/>
            <w:noWrap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085" w:type="dxa"/>
            <w:shd w:val="clear" w:color="000000" w:fill="A6A6A6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077" w:type="dxa"/>
            <w:gridSpan w:val="2"/>
            <w:shd w:val="clear" w:color="000000" w:fill="A6A6A6"/>
            <w:noWrap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83" w:type="dxa"/>
            <w:shd w:val="clear" w:color="000000" w:fill="A6A6A6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83" w:type="dxa"/>
            <w:shd w:val="clear" w:color="000000" w:fill="A6A6A6"/>
            <w:noWrap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7" w:type="dxa"/>
            <w:shd w:val="clear" w:color="000000" w:fill="A6A6A6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pl-PL"/>
              </w:rPr>
              <w:t>8</w:t>
            </w:r>
          </w:p>
        </w:tc>
      </w:tr>
      <w:tr w:rsidR="00784D7F" w:rsidRPr="005608AD" w:rsidTr="003E5AEE">
        <w:trPr>
          <w:trHeight w:val="518"/>
        </w:trPr>
        <w:tc>
          <w:tcPr>
            <w:tcW w:w="637" w:type="dxa"/>
            <w:shd w:val="clear" w:color="auto" w:fill="D9D9D9" w:themeFill="background1" w:themeFillShade="D9"/>
            <w:noWrap/>
            <w:vAlign w:val="center"/>
          </w:tcPr>
          <w:p w:rsidR="00784D7F" w:rsidRPr="005608AD" w:rsidRDefault="00784D7F" w:rsidP="005608AD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371" w:type="dxa"/>
            <w:gridSpan w:val="9"/>
            <w:shd w:val="clear" w:color="auto" w:fill="D9D9D9" w:themeFill="background1" w:themeFillShade="D9"/>
            <w:noWrap/>
            <w:vAlign w:val="center"/>
          </w:tcPr>
          <w:p w:rsidR="00784D7F" w:rsidRPr="005608AD" w:rsidRDefault="00784D7F" w:rsidP="00771E93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Wymiana informacji w postaci elektronicznej, w tym współpraca z innymi systemami/rejestrami informatycznymi i wspomaganie świadczenia usług drogą elektroniczną</w:t>
            </w:r>
          </w:p>
        </w:tc>
      </w:tr>
      <w:tr w:rsidR="00771E93" w:rsidRPr="005608AD" w:rsidTr="003E5AEE">
        <w:trPr>
          <w:trHeight w:val="283"/>
        </w:trPr>
        <w:tc>
          <w:tcPr>
            <w:tcW w:w="637" w:type="dxa"/>
            <w:shd w:val="clear" w:color="auto" w:fill="D9D9D9" w:themeFill="background1" w:themeFillShade="D9"/>
            <w:noWrap/>
            <w:vAlign w:val="center"/>
          </w:tcPr>
          <w:p w:rsidR="00784D7F" w:rsidRPr="005608AD" w:rsidRDefault="00784D7F" w:rsidP="005608AD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1.1</w:t>
            </w:r>
          </w:p>
        </w:tc>
        <w:tc>
          <w:tcPr>
            <w:tcW w:w="15371" w:type="dxa"/>
            <w:gridSpan w:val="9"/>
            <w:shd w:val="clear" w:color="auto" w:fill="D9D9D9" w:themeFill="background1" w:themeFillShade="D9"/>
            <w:noWrap/>
            <w:vAlign w:val="center"/>
          </w:tcPr>
          <w:p w:rsidR="00784D7F" w:rsidRPr="005608AD" w:rsidRDefault="00784D7F" w:rsidP="00771E93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Usługi elektroniczne</w:t>
            </w:r>
          </w:p>
        </w:tc>
      </w:tr>
      <w:tr w:rsidR="005608AD" w:rsidRPr="005608AD" w:rsidTr="003E5AEE">
        <w:trPr>
          <w:trHeight w:val="2908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:rsidR="00784D7F" w:rsidRPr="00784D7F" w:rsidRDefault="00784D7F" w:rsidP="005608AD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1.1.1</w:t>
            </w:r>
          </w:p>
        </w:tc>
        <w:tc>
          <w:tcPr>
            <w:tcW w:w="3900" w:type="dxa"/>
            <w:shd w:val="clear" w:color="auto" w:fill="auto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Czy Podmiot publiczny udostępnia elektroniczną skrzynkę podawczą, spełniającą standardy określone i opublikowane na ePUAP przez ministra właściwego do spraw informatyzacji, oraz zapewnia jej obsługę?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Czy interoperacyjność na poziomie organizacyjnym osiągana jest przez: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- informowanie przez podmioty realizujące zadania publiczne, w sposób umożliwiający skuteczne zapoznanie się, o sposobie dostępu oraz zakresie użytkowym serwisów dla usług realizowanych przez te podmioty,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- publikowanie i uaktualnianie w Biuletynie Informacji Publicznej przez podmiot realizujący zadania publiczne opisów procedur obowiązujących przy załatwianiu spraw z zakresu jego właściwości drogą elektroniczną?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84D7F" w:rsidRPr="00784D7F" w:rsidRDefault="00784D7F" w:rsidP="00771E93">
            <w:pPr>
              <w:spacing w:after="24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t>art. 16 ust. 1a ustawy o informatyzacji</w:t>
            </w: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br/>
            </w: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br/>
              <w:t>§5 ust. 2 pkt 1 rozporządzenia KRI</w:t>
            </w: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br/>
            </w: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br/>
              <w:t>§ 5 ust. 2 pkt 4 rozporządzenia KRI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• Świadczenie </w:t>
            </w:r>
            <w:r w:rsidRPr="005608A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 w formie elektronicznej z 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wykorzystaniem ESP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• Zamieszczenie na głównej stronie internetowej podmiotu (i/lub na stronie BIP podmiotu), odesłania do opisów usług, które zawierają wymagane informacje dotyczące m.in. aktualnej podstawy prawnej świadczonych usług, nazwy usług, miejsca świadczenia usług (złożenia dokumentów), terminu składania i załatwiania spraw oraz nazwy komórek odpowiedzialnych za załatwienie spraw.</w:t>
            </w:r>
          </w:p>
        </w:tc>
        <w:tc>
          <w:tcPr>
            <w:tcW w:w="2085" w:type="dxa"/>
            <w:shd w:val="clear" w:color="auto" w:fill="auto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77" w:type="dxa"/>
            <w:gridSpan w:val="2"/>
            <w:shd w:val="clear" w:color="auto" w:fill="auto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84D7F" w:rsidRPr="005608AD" w:rsidTr="003E5AEE">
        <w:trPr>
          <w:trHeight w:val="283"/>
        </w:trPr>
        <w:tc>
          <w:tcPr>
            <w:tcW w:w="637" w:type="dxa"/>
            <w:shd w:val="clear" w:color="auto" w:fill="D9D9D9" w:themeFill="background1" w:themeFillShade="D9"/>
            <w:noWrap/>
            <w:vAlign w:val="center"/>
          </w:tcPr>
          <w:p w:rsidR="00784D7F" w:rsidRPr="005608AD" w:rsidRDefault="00784D7F" w:rsidP="005608AD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1.2</w:t>
            </w:r>
          </w:p>
        </w:tc>
        <w:tc>
          <w:tcPr>
            <w:tcW w:w="15371" w:type="dxa"/>
            <w:gridSpan w:val="9"/>
            <w:shd w:val="clear" w:color="auto" w:fill="D9D9D9" w:themeFill="background1" w:themeFillShade="D9"/>
            <w:vAlign w:val="center"/>
          </w:tcPr>
          <w:p w:rsidR="00784D7F" w:rsidRPr="005608AD" w:rsidRDefault="00784D7F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Centralne repozytorium wzorów dokumentów elektronicznych</w:t>
            </w:r>
          </w:p>
        </w:tc>
      </w:tr>
      <w:tr w:rsidR="005608AD" w:rsidRPr="005608AD" w:rsidTr="003E5AEE">
        <w:trPr>
          <w:trHeight w:val="1125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:rsidR="00784D7F" w:rsidRPr="00784D7F" w:rsidRDefault="00784D7F" w:rsidP="005608AD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1.2.1</w:t>
            </w:r>
          </w:p>
        </w:tc>
        <w:tc>
          <w:tcPr>
            <w:tcW w:w="3900" w:type="dxa"/>
            <w:shd w:val="clear" w:color="auto" w:fill="auto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Czy organ administracji publicznej przekazuje do centralnego repozytorium (prowadzonego w ramach ePUAP przez Ministra właściwego do spraw informatyzacji) oraz udostępnia w Biuletynie Informacji Publicznej wzory dokumentów elektronicznych?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t>art. 19b ust. 3 ustawy o informatyzacji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• Wykorzystanie przez urząd wzorów dokumentów elektronicznych przechowywanych w CRWDE, jakie zostały już wcześniej opracowane i są używane przez inny urząd. 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• Przekazanie do CRWDE oraz udostępnienie w BIP wzorów dokumentów elektronicznych.</w:t>
            </w:r>
          </w:p>
        </w:tc>
        <w:tc>
          <w:tcPr>
            <w:tcW w:w="2085" w:type="dxa"/>
            <w:shd w:val="clear" w:color="auto" w:fill="auto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77" w:type="dxa"/>
            <w:gridSpan w:val="2"/>
            <w:shd w:val="clear" w:color="auto" w:fill="auto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84D7F" w:rsidRPr="005608AD" w:rsidTr="003E5AEE">
        <w:trPr>
          <w:trHeight w:val="283"/>
        </w:trPr>
        <w:tc>
          <w:tcPr>
            <w:tcW w:w="637" w:type="dxa"/>
            <w:shd w:val="clear" w:color="auto" w:fill="D9D9D9" w:themeFill="background1" w:themeFillShade="D9"/>
            <w:noWrap/>
            <w:vAlign w:val="center"/>
          </w:tcPr>
          <w:p w:rsidR="00784D7F" w:rsidRPr="00784D7F" w:rsidRDefault="00784D7F" w:rsidP="005608AD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1.3</w:t>
            </w:r>
          </w:p>
        </w:tc>
        <w:tc>
          <w:tcPr>
            <w:tcW w:w="15371" w:type="dxa"/>
            <w:gridSpan w:val="9"/>
            <w:shd w:val="clear" w:color="auto" w:fill="D9D9D9" w:themeFill="background1" w:themeFillShade="D9"/>
            <w:vAlign w:val="center"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Model usługowy </w:t>
            </w:r>
          </w:p>
        </w:tc>
      </w:tr>
      <w:tr w:rsidR="005608AD" w:rsidRPr="005608AD" w:rsidTr="003E5AEE">
        <w:trPr>
          <w:trHeight w:val="2109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:rsidR="00784D7F" w:rsidRPr="00784D7F" w:rsidRDefault="00784D7F" w:rsidP="005608AD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1.3.1</w:t>
            </w:r>
          </w:p>
        </w:tc>
        <w:tc>
          <w:tcPr>
            <w:tcW w:w="3900" w:type="dxa"/>
            <w:shd w:val="clear" w:color="auto" w:fill="auto"/>
            <w:vAlign w:val="center"/>
            <w:hideMark/>
          </w:tcPr>
          <w:p w:rsidR="00784D7F" w:rsidRPr="00784D7F" w:rsidRDefault="00784D7F" w:rsidP="00771E93">
            <w:pPr>
              <w:spacing w:after="24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Czy zarządzanie usługami realizowanymi przez systemy teleinformatyczne ma na celu dostarczanie tych usług na deklarowanym poziomie dostępności i odbywa się w oparciu o udokumentowane procedury?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t>§ 15 ust. 2 rozporządzenia KRI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84D7F" w:rsidRPr="00784D7F" w:rsidRDefault="00784D7F" w:rsidP="003E5AE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• Poziom wspierania modelu usługowego w procesie świadczenia usług elektronicznych przez systemy teleinformatyczne podmiotu.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• Weryfikacja sposobu zarządzania usługami w oparciu o ustalone procedury, w tym: możliwość zidentyfikowania właściciela merytorycznego usług (komórka organizacyjna podmiotu), ustalenie odpowiedzialności za utrzymanie usług od strony technicznej, określenie poziomu świadczenia usług, monitorowanie poziomu świadczenia usług na zadeklarowanym poziomie.</w:t>
            </w:r>
          </w:p>
        </w:tc>
        <w:tc>
          <w:tcPr>
            <w:tcW w:w="2085" w:type="dxa"/>
            <w:shd w:val="clear" w:color="auto" w:fill="auto"/>
            <w:vAlign w:val="center"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77" w:type="dxa"/>
            <w:gridSpan w:val="2"/>
            <w:shd w:val="clear" w:color="auto" w:fill="auto"/>
            <w:vAlign w:val="center"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3" w:type="dxa"/>
            <w:shd w:val="clear" w:color="auto" w:fill="auto"/>
            <w:noWrap/>
            <w:vAlign w:val="center"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3" w:type="dxa"/>
            <w:shd w:val="clear" w:color="auto" w:fill="auto"/>
            <w:noWrap/>
            <w:vAlign w:val="center"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71E93" w:rsidRPr="005608AD" w:rsidTr="003E5AEE">
        <w:trPr>
          <w:trHeight w:val="283"/>
        </w:trPr>
        <w:tc>
          <w:tcPr>
            <w:tcW w:w="637" w:type="dxa"/>
            <w:shd w:val="clear" w:color="auto" w:fill="D9D9D9" w:themeFill="background1" w:themeFillShade="D9"/>
            <w:noWrap/>
            <w:vAlign w:val="center"/>
          </w:tcPr>
          <w:p w:rsidR="00771E93" w:rsidRPr="005608AD" w:rsidRDefault="00771E93" w:rsidP="005608AD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1.4.</w:t>
            </w:r>
          </w:p>
        </w:tc>
        <w:tc>
          <w:tcPr>
            <w:tcW w:w="15371" w:type="dxa"/>
            <w:gridSpan w:val="9"/>
            <w:shd w:val="clear" w:color="auto" w:fill="D9D9D9" w:themeFill="background1" w:themeFillShade="D9"/>
            <w:vAlign w:val="center"/>
          </w:tcPr>
          <w:p w:rsidR="00771E93" w:rsidRPr="005608AD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Współpraca systemów teleinformatycznych z innymi systemami</w:t>
            </w:r>
          </w:p>
        </w:tc>
      </w:tr>
      <w:tr w:rsidR="00771E93" w:rsidRPr="005608AD" w:rsidTr="003E5AEE">
        <w:trPr>
          <w:trHeight w:val="3093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:rsidR="00784D7F" w:rsidRPr="00784D7F" w:rsidRDefault="00784D7F" w:rsidP="005608AD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1.4.1</w:t>
            </w:r>
          </w:p>
        </w:tc>
        <w:tc>
          <w:tcPr>
            <w:tcW w:w="3900" w:type="dxa"/>
            <w:shd w:val="clear" w:color="auto" w:fill="auto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Czy interoperacyjność  na poziomie semantycznym osiągana jest przez stosowanie w rejestrach prowadzonych przez podmioty odwołań do rejestrów zawierających dane referencyjne w zakresie niezbędnym do realizacji zadań?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Czy systemy teleinformatyczne używane przez podmioty realizujące zadania publiczne wyposaża się w składniki sprzętowe lub oprogramowanie umożliwiające wymianę danych z innymi systemami teleinformatycznymi za pomocą protokołów komunikacyjnych i szyfrujących określonych w obowiązujących przepisach, normach, standardach lub rekomendacjach ustanowionych przez krajową jednostkę normalizacyjną lub jednostkę normalizacyjną Unii Europejskiej?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84D7F" w:rsidRPr="00784D7F" w:rsidRDefault="00784D7F" w:rsidP="00771E93">
            <w:pPr>
              <w:spacing w:after="24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t>§ 5 ust. 3 pkt 3 rozporządzenia KRI</w:t>
            </w: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br/>
            </w: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br/>
              <w:t>§ 16 ust. 1 rozporządzenia KRI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• Poziom współpracy systemów teleinformatycznych z innymi systemami podmiotu lub systemami informatycznymi innych urzędów w tym rejestrami referencyjnymi. 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• Sposób komunikacji z innymi systemami, w tym wyposażenie w składniki sprzętowe lub oprogramowanie umożliwiające wymianę danych z innymi systemami telekomunikacyjnymi za pomocą protokołów komunikacyjnych i szyfrujących zapewniających BI.</w:t>
            </w:r>
          </w:p>
        </w:tc>
        <w:tc>
          <w:tcPr>
            <w:tcW w:w="2154" w:type="dxa"/>
            <w:gridSpan w:val="2"/>
            <w:shd w:val="clear" w:color="auto" w:fill="auto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784D7F" w:rsidRPr="00784D7F" w:rsidRDefault="00784D7F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71E93" w:rsidRPr="005608AD" w:rsidTr="003E5AEE">
        <w:trPr>
          <w:trHeight w:val="283"/>
        </w:trPr>
        <w:tc>
          <w:tcPr>
            <w:tcW w:w="637" w:type="dxa"/>
            <w:shd w:val="clear" w:color="auto" w:fill="D9D9D9" w:themeFill="background1" w:themeFillShade="D9"/>
            <w:noWrap/>
            <w:vAlign w:val="center"/>
          </w:tcPr>
          <w:p w:rsidR="00771E93" w:rsidRPr="00784D7F" w:rsidRDefault="00771E93" w:rsidP="005608AD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1.5</w:t>
            </w:r>
          </w:p>
        </w:tc>
        <w:tc>
          <w:tcPr>
            <w:tcW w:w="15371" w:type="dxa"/>
            <w:gridSpan w:val="9"/>
            <w:shd w:val="clear" w:color="auto" w:fill="D9D9D9" w:themeFill="background1" w:themeFillShade="D9"/>
            <w:vAlign w:val="center"/>
          </w:tcPr>
          <w:p w:rsidR="00771E93" w:rsidRPr="005608AD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Obieg dokumentów w urzędzie </w:t>
            </w:r>
          </w:p>
        </w:tc>
      </w:tr>
      <w:tr w:rsidR="00771E93" w:rsidRPr="005608AD" w:rsidTr="003E5AEE">
        <w:trPr>
          <w:trHeight w:val="283"/>
        </w:trPr>
        <w:tc>
          <w:tcPr>
            <w:tcW w:w="637" w:type="dxa"/>
            <w:shd w:val="clear" w:color="auto" w:fill="auto"/>
            <w:noWrap/>
            <w:vAlign w:val="center"/>
          </w:tcPr>
          <w:p w:rsidR="00771E93" w:rsidRPr="00784D7F" w:rsidRDefault="00771E93" w:rsidP="005608AD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1.5.1</w:t>
            </w:r>
          </w:p>
        </w:tc>
        <w:tc>
          <w:tcPr>
            <w:tcW w:w="3900" w:type="dxa"/>
            <w:shd w:val="clear" w:color="auto" w:fill="auto"/>
            <w:vAlign w:val="center"/>
          </w:tcPr>
          <w:p w:rsidR="00771E93" w:rsidRPr="00784D7F" w:rsidRDefault="00771E93" w:rsidP="000B20A7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Czy zapewniono zabezpieczenie informacji w sposób uniemożliwiający nieuprawnionemu jej ujawnienie, modyfikacje, usunięcie lub zniszczenie?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1E93" w:rsidRPr="00784D7F" w:rsidRDefault="00771E93" w:rsidP="000B20A7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t>§ 20 ust. 2 pkt 9 rozporządzenia KRI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71E93" w:rsidRPr="00784D7F" w:rsidRDefault="00771E93" w:rsidP="000B20A7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• Regulacje wewnętrzne opisujące sposób zarządzania obiegiem dokumentów w podmiocie, w tym zakres stosowania elektronicznego obiegu dokumentów.</w:t>
            </w:r>
          </w:p>
        </w:tc>
        <w:tc>
          <w:tcPr>
            <w:tcW w:w="2154" w:type="dxa"/>
            <w:gridSpan w:val="2"/>
            <w:shd w:val="clear" w:color="auto" w:fill="auto"/>
            <w:vAlign w:val="center"/>
          </w:tcPr>
          <w:p w:rsidR="00771E93" w:rsidRPr="005608AD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:rsidR="00771E93" w:rsidRPr="005608AD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3" w:type="dxa"/>
            <w:shd w:val="clear" w:color="auto" w:fill="auto"/>
            <w:noWrap/>
            <w:vAlign w:val="center"/>
          </w:tcPr>
          <w:p w:rsidR="00771E93" w:rsidRPr="005608AD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3" w:type="dxa"/>
            <w:shd w:val="clear" w:color="auto" w:fill="auto"/>
            <w:noWrap/>
            <w:vAlign w:val="center"/>
          </w:tcPr>
          <w:p w:rsidR="00771E93" w:rsidRPr="005608AD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771E93" w:rsidRPr="005608AD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71E93" w:rsidRPr="005608AD" w:rsidTr="003E5AEE">
        <w:trPr>
          <w:trHeight w:val="283"/>
        </w:trPr>
        <w:tc>
          <w:tcPr>
            <w:tcW w:w="637" w:type="dxa"/>
            <w:shd w:val="clear" w:color="auto" w:fill="D9D9D9" w:themeFill="background1" w:themeFillShade="D9"/>
            <w:noWrap/>
            <w:vAlign w:val="center"/>
          </w:tcPr>
          <w:p w:rsidR="00771E93" w:rsidRPr="00784D7F" w:rsidRDefault="00771E93" w:rsidP="005608AD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1.6</w:t>
            </w:r>
          </w:p>
        </w:tc>
        <w:tc>
          <w:tcPr>
            <w:tcW w:w="15371" w:type="dxa"/>
            <w:gridSpan w:val="9"/>
            <w:shd w:val="clear" w:color="auto" w:fill="D9D9D9" w:themeFill="background1" w:themeFillShade="D9"/>
            <w:vAlign w:val="center"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Formaty danych udostępniane przez systemy teleinformatyczne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608AD" w:rsidRPr="005608AD" w:rsidTr="003E5AEE">
        <w:trPr>
          <w:trHeight w:val="283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5608AD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1.6.1</w:t>
            </w:r>
          </w:p>
        </w:tc>
        <w:tc>
          <w:tcPr>
            <w:tcW w:w="3900" w:type="dxa"/>
            <w:shd w:val="clear" w:color="auto" w:fill="auto"/>
            <w:vAlign w:val="center"/>
            <w:hideMark/>
          </w:tcPr>
          <w:p w:rsidR="00771E93" w:rsidRPr="00784D7F" w:rsidRDefault="00771E93" w:rsidP="003E5AE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Czy kodowanie znaków w dokumentach wysyłanych z systemu teleinformatycznego także w odniesieniu do informacji wymienianej przez te systemy z innymi systemami na drodze teletransmisji, odbywa się według standardu </w:t>
            </w:r>
            <w:proofErr w:type="spellStart"/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Unicode</w:t>
            </w:r>
            <w:proofErr w:type="spellEnd"/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UTF-8 określonego przez normę ISO/IEC 10646 wraz ze zmianami lub normę ją zastępującą?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Czy system teleinformatyczny udostępnia zasoby informacyjne co najmniej w jednym z formatów danych określonych w załączniku nr 2 do rozporządzenia KRI?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Czy system teleinformatyczny umożliwia przyjmowanie dokumentów elektronicznych służących do załatwiania spraw należących do zakresu działania podmiotu w formatach danych określonych w załącznikach nr 2 i 3 do rozporządzenia KRI - jeżeli z przepisów szczegółowych albo opublikowanych w repozytorium interoperacyjności schematów XML lub innych wzorów nie wynika inaczej?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1E93" w:rsidRPr="00784D7F" w:rsidRDefault="00771E93" w:rsidP="003E5AEE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t>§ 17  ust.1 rozporządzenia KRI</w:t>
            </w: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br/>
              <w:t>§ 18 ust 1 rozporządzenia KRI</w:t>
            </w: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br/>
              <w:t>§ 18 ust. 2 rozporządzenia KRI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• Potwierdzenie sposobu kodowania znaków w dokumentach wysyłanych i odbieranych z systemów teleinformatycznych podmiotu. 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• Potwierdzenie sposobu udostępniania zasobów informatycznych z systemów teleinformatycznych podmiotu.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• Potwierdzenie sposobu przyjmowania dokumentów elektronicznych przez systemy teleinformatyczne podmiotu.</w:t>
            </w:r>
          </w:p>
        </w:tc>
        <w:tc>
          <w:tcPr>
            <w:tcW w:w="2154" w:type="dxa"/>
            <w:gridSpan w:val="2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71E93" w:rsidRPr="005608AD" w:rsidTr="003E5AEE">
        <w:trPr>
          <w:trHeight w:val="283"/>
        </w:trPr>
        <w:tc>
          <w:tcPr>
            <w:tcW w:w="637" w:type="dxa"/>
            <w:shd w:val="clear" w:color="auto" w:fill="D9D9D9" w:themeFill="background1" w:themeFillShade="D9"/>
            <w:noWrap/>
            <w:vAlign w:val="center"/>
            <w:hideMark/>
          </w:tcPr>
          <w:p w:rsidR="00771E93" w:rsidRPr="00784D7F" w:rsidRDefault="00771E93" w:rsidP="005608AD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371" w:type="dxa"/>
            <w:gridSpan w:val="9"/>
            <w:shd w:val="clear" w:color="auto" w:fill="D9D9D9" w:themeFill="background1" w:themeFillShade="D9"/>
            <w:vAlign w:val="center"/>
            <w:hideMark/>
          </w:tcPr>
          <w:p w:rsidR="00771E93" w:rsidRPr="00784D7F" w:rsidRDefault="00771E93" w:rsidP="000B20A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System zarządzania bezpieczeństwem informacji w systemach teleinformatycznych</w:t>
            </w:r>
          </w:p>
        </w:tc>
      </w:tr>
      <w:tr w:rsidR="00771E93" w:rsidRPr="005608AD" w:rsidTr="003E5AEE">
        <w:trPr>
          <w:trHeight w:val="283"/>
        </w:trPr>
        <w:tc>
          <w:tcPr>
            <w:tcW w:w="637" w:type="dxa"/>
            <w:shd w:val="clear" w:color="auto" w:fill="D9D9D9" w:themeFill="background1" w:themeFillShade="D9"/>
            <w:noWrap/>
            <w:vAlign w:val="center"/>
          </w:tcPr>
          <w:p w:rsidR="00771E93" w:rsidRPr="00784D7F" w:rsidRDefault="00771E93" w:rsidP="005608AD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2.1</w:t>
            </w:r>
          </w:p>
        </w:tc>
        <w:tc>
          <w:tcPr>
            <w:tcW w:w="15371" w:type="dxa"/>
            <w:gridSpan w:val="9"/>
            <w:shd w:val="clear" w:color="auto" w:fill="D9D9D9" w:themeFill="background1" w:themeFillShade="D9"/>
            <w:vAlign w:val="center"/>
          </w:tcPr>
          <w:p w:rsidR="00771E93" w:rsidRPr="00784D7F" w:rsidRDefault="00771E93" w:rsidP="000B20A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Dokumenty z zakresu bezpieczeństwa informacji, Zaangażowanie kierownictwa podmiotu</w:t>
            </w:r>
          </w:p>
        </w:tc>
      </w:tr>
      <w:tr w:rsidR="005608AD" w:rsidRPr="005608AD" w:rsidTr="003E5AEE">
        <w:trPr>
          <w:trHeight w:val="283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5608AD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2.1.1</w:t>
            </w:r>
          </w:p>
        </w:tc>
        <w:tc>
          <w:tcPr>
            <w:tcW w:w="3900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Czy opracowano, ustanowiono i wdrożono System Zarządzania Bezpieczeństwem Informacji (SZBI) zapewniający poufność, dostępność i integralność informacji z </w:t>
            </w:r>
            <w:r w:rsidR="00B15390"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uwzględnieniem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takich atrybutów, jak autentyczność, rozliczalność, niezaprzeczalność i niezawodność?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t>§ 20 ust. 1 rozporządzenia KRI</w:t>
            </w: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br/>
            </w: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br/>
              <w:t>§ 20 ust. 2 rozporządzenia KRI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• Dokumentacja SZBI w tym Polityka BI oraz inne dokumenty stanowiące SZBI, w tym m.in.: PBI, dokumentacja przeglądów SZBI, dokumentacja szacowania ryzyka, audyty, dokumentacja incydentów naruszenia BI. 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• Stopień zaangażowania kierownictwa podmiotu publicznego w proces ustanawiania BI.</w:t>
            </w:r>
          </w:p>
        </w:tc>
        <w:tc>
          <w:tcPr>
            <w:tcW w:w="2154" w:type="dxa"/>
            <w:gridSpan w:val="2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608AD" w:rsidRPr="005608AD" w:rsidTr="003E5AEE">
        <w:trPr>
          <w:trHeight w:val="283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5608AD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2.1.2</w:t>
            </w:r>
          </w:p>
        </w:tc>
        <w:tc>
          <w:tcPr>
            <w:tcW w:w="3900" w:type="dxa"/>
            <w:shd w:val="clear" w:color="auto" w:fill="auto"/>
            <w:vAlign w:val="center"/>
            <w:hideMark/>
          </w:tcPr>
          <w:p w:rsidR="00771E93" w:rsidRPr="00784D7F" w:rsidRDefault="00771E93" w:rsidP="003E5AE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Czy SZBI jest monitorowany, poddawany przeglądom oraz doskonalony?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 xml:space="preserve">Czy zarządzanie bezpieczeństwem informacji realizowane 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 xml:space="preserve">jest w szczególności przez zapewnienie przez kierownictwo podmiotu publicznego warunków umożliwiających realizacje i </w:t>
            </w:r>
            <w:r w:rsidR="00B15390"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egzekwowanie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działań związanych z BI?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Czy regulacje wewnętrzne w zakresie SZBI są aktualizowane w zakresie dotyczącym zmieniającego się otoczenia?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lastRenderedPageBreak/>
              <w:t>§ 20 ust. 1 rozporządzenia KRI</w:t>
            </w: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br/>
            </w: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br/>
            </w: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lastRenderedPageBreak/>
              <w:t>§ 20 ust. 2 pkt 1 rozporządzen</w:t>
            </w:r>
            <w:r w:rsidR="00264FA7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t>i</w:t>
            </w: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 xml:space="preserve">• Działania związane z aktualizacją regulacji wewnętrznych w zakresie zmieniającego się otoczenia będące konsekwencją wyników analizy ryzyka, wniosków z 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przeglądów SZBI, zaleceń poaudytowych, wniosków z analizy incydentów naruszenia BI.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• Stopień zaangażowania kierownictwa podmiotu publicznego w proces zarządzania BI, (przeglądy SZBI, egzekwowanie działań związanych z BI).</w:t>
            </w:r>
          </w:p>
        </w:tc>
        <w:tc>
          <w:tcPr>
            <w:tcW w:w="2154" w:type="dxa"/>
            <w:gridSpan w:val="2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E425CA" w:rsidRPr="005608AD" w:rsidTr="003E5AEE">
        <w:trPr>
          <w:trHeight w:val="283"/>
        </w:trPr>
        <w:tc>
          <w:tcPr>
            <w:tcW w:w="637" w:type="dxa"/>
            <w:shd w:val="clear" w:color="auto" w:fill="D9D9D9" w:themeFill="background1" w:themeFillShade="D9"/>
            <w:noWrap/>
            <w:vAlign w:val="center"/>
          </w:tcPr>
          <w:p w:rsidR="00E425CA" w:rsidRPr="00784D7F" w:rsidRDefault="00E425CA" w:rsidP="005608AD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2.2</w:t>
            </w:r>
          </w:p>
        </w:tc>
        <w:tc>
          <w:tcPr>
            <w:tcW w:w="15371" w:type="dxa"/>
            <w:gridSpan w:val="9"/>
            <w:shd w:val="clear" w:color="auto" w:fill="D9D9D9" w:themeFill="background1" w:themeFillShade="D9"/>
            <w:vAlign w:val="center"/>
          </w:tcPr>
          <w:p w:rsidR="00E425CA" w:rsidRPr="005608AD" w:rsidRDefault="00E425CA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Analiza zagrożeń związanych z przetwarzaniem informacji </w:t>
            </w:r>
          </w:p>
        </w:tc>
      </w:tr>
      <w:tr w:rsidR="005608AD" w:rsidRPr="005608AD" w:rsidTr="003E5AEE">
        <w:trPr>
          <w:trHeight w:val="283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5608AD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2.2.1</w:t>
            </w:r>
          </w:p>
        </w:tc>
        <w:tc>
          <w:tcPr>
            <w:tcW w:w="3900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24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Czy przeprowadzana jest okresowa analiza ryzyka utraty integralności, dostępności lub poufności informacji oraz czy podejmowane są działania minimalizujące to ryzyko, stosownie do wyników przeprowadzonej analizy?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t>§ 20 ust. 2 pkt 3 rozporządzenia KRI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• Regulacje wewnętrzne opisujące sposób zarządzania ryzykiem BI. 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 xml:space="preserve">• Dokumentacja z przeprowadzania okresowej analizy ryzyka utraty integralności, poufności lub dostępności informacji, w tym rejestr ryzyka, zawierający informacje o zidentyfikowanych ryzykach, ich poziomie, sposobie postępowania z </w:t>
            </w:r>
            <w:proofErr w:type="spellStart"/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ryzykami</w:t>
            </w:r>
            <w:proofErr w:type="spellEnd"/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oraz plan postępowania z ryzykiem. 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• Działania minimalizujące ryzyko zgodnie z planem postępowania z ryzykiem, stosownie do analizy ryzyka.</w:t>
            </w:r>
          </w:p>
        </w:tc>
        <w:tc>
          <w:tcPr>
            <w:tcW w:w="2154" w:type="dxa"/>
            <w:gridSpan w:val="2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E425CA" w:rsidRPr="005608AD" w:rsidTr="003E5AEE">
        <w:trPr>
          <w:trHeight w:val="283"/>
        </w:trPr>
        <w:tc>
          <w:tcPr>
            <w:tcW w:w="637" w:type="dxa"/>
            <w:shd w:val="clear" w:color="auto" w:fill="D9D9D9" w:themeFill="background1" w:themeFillShade="D9"/>
            <w:noWrap/>
            <w:vAlign w:val="center"/>
          </w:tcPr>
          <w:p w:rsidR="00E425CA" w:rsidRPr="00784D7F" w:rsidRDefault="00E425CA" w:rsidP="005608AD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2.3</w:t>
            </w:r>
          </w:p>
        </w:tc>
        <w:tc>
          <w:tcPr>
            <w:tcW w:w="15371" w:type="dxa"/>
            <w:gridSpan w:val="9"/>
            <w:shd w:val="clear" w:color="auto" w:fill="D9D9D9" w:themeFill="background1" w:themeFillShade="D9"/>
            <w:vAlign w:val="center"/>
          </w:tcPr>
          <w:p w:rsidR="00E425CA" w:rsidRPr="005608AD" w:rsidRDefault="00E425CA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Inwentaryzacja sprzętu i oprogramowania informatycznego</w:t>
            </w:r>
          </w:p>
        </w:tc>
      </w:tr>
      <w:tr w:rsidR="005608AD" w:rsidRPr="005608AD" w:rsidTr="003E5AEE">
        <w:trPr>
          <w:trHeight w:val="283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5608AD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2.3.1</w:t>
            </w:r>
          </w:p>
        </w:tc>
        <w:tc>
          <w:tcPr>
            <w:tcW w:w="3900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Czy utrzymywana jest aktualność inwentaryzacji sprzętu i oprogramowania służącego do przetwarzania informacji obejmującej ich rodzaj i konfigurację?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t>§ 20 ust. 2 pkt 2 rozporządzenia KRI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• Regulacje wewnętrzne opisujące sposób zarządzania sprzętem informatycznym i oprogramowaniem (w tym licencjami na oprogramowanie) oraz funkcjonowania rejestru zasobów teleinformatycznych (bazą konfiguracji CMDB). 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• Rejestr zasobów teleinformatycznych (baza konfiguracji CMDB) zawierający informacje o wszystkich zidentyfikowanych aktywach informatycznych, w tym: szczegółowe dane o urządzeniach technicznych, oprogramowaniu i środkach komunikacji, ich rodzaju, parametrach, aktualnej konfiguracji i relacjach między elementami konfiguracji oraz użytkowniku.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• Sposób aktualizacji rejestru zasobów teleinformatycznych (bazy konfiguracji CMDB).</w:t>
            </w:r>
          </w:p>
        </w:tc>
        <w:tc>
          <w:tcPr>
            <w:tcW w:w="2154" w:type="dxa"/>
            <w:gridSpan w:val="2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A0232" w:rsidRPr="005608AD" w:rsidTr="003E5AEE">
        <w:trPr>
          <w:trHeight w:val="283"/>
        </w:trPr>
        <w:tc>
          <w:tcPr>
            <w:tcW w:w="637" w:type="dxa"/>
            <w:shd w:val="clear" w:color="auto" w:fill="D9D9D9" w:themeFill="background1" w:themeFillShade="D9"/>
            <w:noWrap/>
            <w:vAlign w:val="center"/>
            <w:hideMark/>
          </w:tcPr>
          <w:p w:rsidR="000A0232" w:rsidRPr="00784D7F" w:rsidRDefault="000A0232" w:rsidP="005608AD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2.4</w:t>
            </w:r>
          </w:p>
        </w:tc>
        <w:tc>
          <w:tcPr>
            <w:tcW w:w="15371" w:type="dxa"/>
            <w:gridSpan w:val="9"/>
            <w:shd w:val="clear" w:color="auto" w:fill="D9D9D9" w:themeFill="background1" w:themeFillShade="D9"/>
            <w:vAlign w:val="center"/>
            <w:hideMark/>
          </w:tcPr>
          <w:p w:rsidR="000A0232" w:rsidRPr="00784D7F" w:rsidRDefault="000A0232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Zarządzanie uprawnieniami do pracy w systemach informatycznych   </w:t>
            </w:r>
          </w:p>
        </w:tc>
      </w:tr>
      <w:tr w:rsidR="005608AD" w:rsidRPr="005608AD" w:rsidTr="003E5AEE">
        <w:trPr>
          <w:trHeight w:val="283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5608AD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2.4.1</w:t>
            </w:r>
          </w:p>
        </w:tc>
        <w:tc>
          <w:tcPr>
            <w:tcW w:w="3900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Czy osoby zaangażowane w proces przetwarzania informacji posiadają stosowne uprawnienia i uczestniczą w tym procesie w stopniu adekwatnym do realizowanych przez nie zadań oraz obowiązków mających na celu zapewnienie bezpieczeństwa informacji?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Czy zakres uprawnień osób zaangażowanych w przetwarzanie danych jest bezzwłocznie zmieniany, w przypadku zmiany zadań tych osób?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t>§ 20 ust. 2 pkt 4 rozporządzenia KRI</w:t>
            </w: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br/>
            </w: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br/>
              <w:t>§ 20 ust. 2 pkt 5 rozporządzenia KRI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• Regulacje wewnętrzne opisujące zarządzanie uprawnieniami użytkowników do pracy w systemach teleinformatycznych w tym do przetwarzania danych osobowych.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• Adekwatność poziomu uprawnień do pracy w systemach teleinformatycznych do zakresu czynności i posiadanych upoważnień dostępu do informacji w tym upoważnień do przetwarzania danych osobowych (rejestr wydanych upoważnień).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• Działania w zakresie monitoringu i kontroli dostępu do zasobów teleinformatycznych w tym przeglądy w celu wykrywania nieuprawnionego dostępu, nadmiernych uprawnień, konfliktu interesów czy nadzorowania samego siebie itp.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• Sposób i szybkość odbierania uprawnień byłym pracownikom w systemach informatycznych.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 xml:space="preserve"> </w:t>
            </w:r>
          </w:p>
        </w:tc>
        <w:tc>
          <w:tcPr>
            <w:tcW w:w="2154" w:type="dxa"/>
            <w:gridSpan w:val="2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A0232" w:rsidRPr="005608AD" w:rsidTr="003E5AEE">
        <w:trPr>
          <w:trHeight w:val="283"/>
        </w:trPr>
        <w:tc>
          <w:tcPr>
            <w:tcW w:w="637" w:type="dxa"/>
            <w:shd w:val="clear" w:color="auto" w:fill="D9D9D9" w:themeFill="background1" w:themeFillShade="D9"/>
            <w:noWrap/>
            <w:vAlign w:val="center"/>
          </w:tcPr>
          <w:p w:rsidR="000A0232" w:rsidRPr="00784D7F" w:rsidRDefault="000A0232" w:rsidP="005608AD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2.5</w:t>
            </w:r>
          </w:p>
        </w:tc>
        <w:tc>
          <w:tcPr>
            <w:tcW w:w="15371" w:type="dxa"/>
            <w:gridSpan w:val="9"/>
            <w:shd w:val="clear" w:color="auto" w:fill="D9D9D9" w:themeFill="background1" w:themeFillShade="D9"/>
            <w:vAlign w:val="center"/>
          </w:tcPr>
          <w:p w:rsidR="000A0232" w:rsidRPr="005608AD" w:rsidRDefault="000A0232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Szkolenia pracowników zaangażowanych w proces przetwarzania informacji</w:t>
            </w:r>
          </w:p>
        </w:tc>
      </w:tr>
      <w:tr w:rsidR="005608AD" w:rsidRPr="005608AD" w:rsidTr="003E5AEE">
        <w:trPr>
          <w:trHeight w:val="283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5608AD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2.5.1</w:t>
            </w:r>
          </w:p>
        </w:tc>
        <w:tc>
          <w:tcPr>
            <w:tcW w:w="3900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Czy zapewniono szkolenie osób zaangażowanych w proces przetwarzania informacji, ze szczególnym uwzględnieniem takich zagadnień, jak: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a) zagrożenia bezpieczeństwa informacji,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b) skutki naruszenia zasad bezpieczeństwa informacji, w tym odpowiedzialność prawna,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c) stosowanie środków zapewniających bezpieczeństwo informacji, w tym urządzenia i oprogramowanie minimalizujące ryzyko błędów ludzkich?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t>§ 20 ust. 2 pkt 6 rozporządzenia KRI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• Regulacje wewnętrzne dotyczące przeprowadzania szkoleń użytkowników zaangażowanych w procesie przetwarzania informacji w systemach teleinformatycznych.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 xml:space="preserve">• Dokumentacja z przeprowadzonych szkoleń pod kątem zakresu tematycznego, w tym aktualności informacji o zagrożeniach, skutkach i zabezpieczeniach, wskaźnik liczby osób przeszkolonych w stosunku do wszystkich osób uczestniczących w procesie przetwarzania informacji, a także cykliczności szkoleń. </w:t>
            </w:r>
          </w:p>
        </w:tc>
        <w:tc>
          <w:tcPr>
            <w:tcW w:w="2154" w:type="dxa"/>
            <w:gridSpan w:val="2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A0232" w:rsidRPr="005608AD" w:rsidTr="003E5AEE">
        <w:trPr>
          <w:trHeight w:val="283"/>
        </w:trPr>
        <w:tc>
          <w:tcPr>
            <w:tcW w:w="637" w:type="dxa"/>
            <w:shd w:val="clear" w:color="auto" w:fill="D9D9D9" w:themeFill="background1" w:themeFillShade="D9"/>
            <w:noWrap/>
            <w:vAlign w:val="center"/>
          </w:tcPr>
          <w:p w:rsidR="000A0232" w:rsidRPr="00784D7F" w:rsidRDefault="000A0232" w:rsidP="005608AD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2.6</w:t>
            </w:r>
          </w:p>
        </w:tc>
        <w:tc>
          <w:tcPr>
            <w:tcW w:w="15371" w:type="dxa"/>
            <w:gridSpan w:val="9"/>
            <w:shd w:val="clear" w:color="auto" w:fill="D9D9D9" w:themeFill="background1" w:themeFillShade="D9"/>
            <w:vAlign w:val="center"/>
          </w:tcPr>
          <w:p w:rsidR="000A0232" w:rsidRPr="005608AD" w:rsidRDefault="000A0232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 Praca na odległość i mobilne przetwarzanie danych </w:t>
            </w:r>
          </w:p>
        </w:tc>
      </w:tr>
      <w:tr w:rsidR="005608AD" w:rsidRPr="005608AD" w:rsidTr="003E5AEE">
        <w:trPr>
          <w:trHeight w:val="283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5608AD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2.6.1</w:t>
            </w:r>
          </w:p>
        </w:tc>
        <w:tc>
          <w:tcPr>
            <w:tcW w:w="3900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Czy ustanowiono podstawowe zasady gwarantujące bezpieczną pracę przy przetwarzaniu mobilnym i pracy na odległość?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t>§ 20 ust. 2 pkt 8 rozporządzenia KRI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71E93" w:rsidRPr="00784D7F" w:rsidRDefault="00771E93" w:rsidP="003E5AE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• Regulacje wewnętrzne, w których określono zasady bezpiecznej pracy użytkowników przy wykorzystaniu urządzeń przenośnych i pracy na odległość.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 xml:space="preserve">• Działania w zakresie stosowania zasad bezpiecznej pracy użytkowników przy wykorzystaniu urządzeń przenośnych i pracy na odległość, w tym stosowania zabezpieczeń i procedur bezpieczeństwa przez użytkowników urządzeń przenośnych i pracy na odległość. </w:t>
            </w:r>
          </w:p>
        </w:tc>
        <w:tc>
          <w:tcPr>
            <w:tcW w:w="2154" w:type="dxa"/>
            <w:gridSpan w:val="2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A0232" w:rsidRPr="005608AD" w:rsidTr="003E5AEE">
        <w:trPr>
          <w:trHeight w:val="283"/>
        </w:trPr>
        <w:tc>
          <w:tcPr>
            <w:tcW w:w="637" w:type="dxa"/>
            <w:shd w:val="clear" w:color="auto" w:fill="D9D9D9" w:themeFill="background1" w:themeFillShade="D9"/>
            <w:noWrap/>
            <w:vAlign w:val="center"/>
          </w:tcPr>
          <w:p w:rsidR="000A0232" w:rsidRPr="00784D7F" w:rsidRDefault="000A0232" w:rsidP="005608AD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2.7</w:t>
            </w:r>
          </w:p>
        </w:tc>
        <w:tc>
          <w:tcPr>
            <w:tcW w:w="15371" w:type="dxa"/>
            <w:gridSpan w:val="9"/>
            <w:shd w:val="clear" w:color="auto" w:fill="D9D9D9" w:themeFill="background1" w:themeFillShade="D9"/>
            <w:vAlign w:val="center"/>
          </w:tcPr>
          <w:p w:rsidR="000A0232" w:rsidRPr="005608AD" w:rsidRDefault="000A0232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Serwis sprzętu informatycznego i oprogramowania </w:t>
            </w:r>
          </w:p>
        </w:tc>
      </w:tr>
      <w:tr w:rsidR="005608AD" w:rsidRPr="005608AD" w:rsidTr="003E5AEE">
        <w:trPr>
          <w:trHeight w:val="283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5608AD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2.7.1</w:t>
            </w:r>
          </w:p>
        </w:tc>
        <w:tc>
          <w:tcPr>
            <w:tcW w:w="3900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24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Czy umowy serwisowe podpisane ze stronami trzecimi zawierają zapisy gwarantujące odpowiedni poziom bezpieczeństwa informacji?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t>§ 20 ust. 2 pkt 10 rozporządzenia KRI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• Regulacje wewnętrzne, w których określono zasady współpracy z podmiotami zewnętrznymi w zakresie serwisu i rozwoju systemów teleinformatycznych, w tym wymagane klauzule prawne dotyczące BI.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 xml:space="preserve">• Umowy serwisowe oraz umowy dotyczące rozwoju systemów teleinformatycznych w zakresie zapisów gwarantujących odpowiedni poziom BI. </w:t>
            </w:r>
          </w:p>
        </w:tc>
        <w:tc>
          <w:tcPr>
            <w:tcW w:w="2154" w:type="dxa"/>
            <w:gridSpan w:val="2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A0232" w:rsidRPr="005608AD" w:rsidTr="003E5AEE">
        <w:trPr>
          <w:trHeight w:val="283"/>
        </w:trPr>
        <w:tc>
          <w:tcPr>
            <w:tcW w:w="637" w:type="dxa"/>
            <w:shd w:val="clear" w:color="auto" w:fill="D9D9D9" w:themeFill="background1" w:themeFillShade="D9"/>
            <w:noWrap/>
            <w:vAlign w:val="center"/>
          </w:tcPr>
          <w:p w:rsidR="000A0232" w:rsidRPr="00784D7F" w:rsidRDefault="000A0232" w:rsidP="005608AD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2.8</w:t>
            </w:r>
          </w:p>
        </w:tc>
        <w:tc>
          <w:tcPr>
            <w:tcW w:w="15371" w:type="dxa"/>
            <w:gridSpan w:val="9"/>
            <w:shd w:val="clear" w:color="auto" w:fill="D9D9D9" w:themeFill="background1" w:themeFillShade="D9"/>
            <w:vAlign w:val="center"/>
          </w:tcPr>
          <w:p w:rsidR="000A0232" w:rsidRPr="005608AD" w:rsidRDefault="000A0232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Procedury zgłaszania incydentów naruszenia BI  </w:t>
            </w:r>
          </w:p>
        </w:tc>
      </w:tr>
      <w:tr w:rsidR="005608AD" w:rsidRPr="005608AD" w:rsidTr="003E5AEE">
        <w:trPr>
          <w:trHeight w:val="283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5608AD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2.8.1</w:t>
            </w:r>
          </w:p>
        </w:tc>
        <w:tc>
          <w:tcPr>
            <w:tcW w:w="3900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24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Czy incydenty naruszenia bezpieczeństwa informacji są bezzwłocznie zgłaszane w określony i z góry ustalony sposób, umożliwiający szybkie podjęcie działań korygujących?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t>par. 20 ust. 2 pkt 13 rozporządzenia KRI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• Regulacje wewnętrzne, w których określono zasady zgłaszania i postępowania z incydentami naruszenia bezpieczeństwa informacji.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 xml:space="preserve">• Sposób zgłaszani i postępowania z incydentami (działania korygujące), rejestr incydentów naruszenia BI, wpływ analizy incydentów na SZBI, ewentualna współpraca z CERT. </w:t>
            </w:r>
          </w:p>
        </w:tc>
        <w:tc>
          <w:tcPr>
            <w:tcW w:w="2154" w:type="dxa"/>
            <w:gridSpan w:val="2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A0232" w:rsidRPr="005608AD" w:rsidTr="003E5AEE">
        <w:trPr>
          <w:trHeight w:val="283"/>
        </w:trPr>
        <w:tc>
          <w:tcPr>
            <w:tcW w:w="637" w:type="dxa"/>
            <w:shd w:val="clear" w:color="auto" w:fill="D9D9D9" w:themeFill="background1" w:themeFillShade="D9"/>
            <w:noWrap/>
            <w:vAlign w:val="center"/>
            <w:hideMark/>
          </w:tcPr>
          <w:p w:rsidR="000A0232" w:rsidRPr="00784D7F" w:rsidRDefault="000A0232" w:rsidP="005608AD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2.9</w:t>
            </w:r>
          </w:p>
        </w:tc>
        <w:tc>
          <w:tcPr>
            <w:tcW w:w="15371" w:type="dxa"/>
            <w:gridSpan w:val="9"/>
            <w:shd w:val="clear" w:color="auto" w:fill="D9D9D9" w:themeFill="background1" w:themeFillShade="D9"/>
            <w:vAlign w:val="center"/>
            <w:hideMark/>
          </w:tcPr>
          <w:p w:rsidR="000A0232" w:rsidRPr="00784D7F" w:rsidRDefault="000A0232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Audyt wewnętrzny z zakresu bezpieczeństwa informacji  </w:t>
            </w:r>
          </w:p>
        </w:tc>
      </w:tr>
      <w:tr w:rsidR="005608AD" w:rsidRPr="005608AD" w:rsidTr="003E5AEE">
        <w:trPr>
          <w:trHeight w:val="283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5608AD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2.9.1</w:t>
            </w:r>
          </w:p>
        </w:tc>
        <w:tc>
          <w:tcPr>
            <w:tcW w:w="3900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Czy przeprowadzany jest audyt wewnętrzny w zakresie BI co najmniej raz w roku?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t>§ 20 ust. 2 pkt 14 rozporządzenia KRI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• Regulacje wewnętrzne, w których określono zasady przeprowadzania audytów wewnętrznych w zakresie BI.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 xml:space="preserve">• Sprawozdania z audytu wewnętrznego w zakresie bezpieczeństwa informacji. 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• Działania podjęte w wyniku zaleceń poaudytowych.</w:t>
            </w:r>
          </w:p>
        </w:tc>
        <w:tc>
          <w:tcPr>
            <w:tcW w:w="2154" w:type="dxa"/>
            <w:gridSpan w:val="2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A0232" w:rsidRPr="005608AD" w:rsidTr="003E5AEE">
        <w:trPr>
          <w:trHeight w:val="283"/>
        </w:trPr>
        <w:tc>
          <w:tcPr>
            <w:tcW w:w="637" w:type="dxa"/>
            <w:shd w:val="clear" w:color="auto" w:fill="D9D9D9" w:themeFill="background1" w:themeFillShade="D9"/>
            <w:noWrap/>
            <w:vAlign w:val="center"/>
          </w:tcPr>
          <w:p w:rsidR="000A0232" w:rsidRPr="00784D7F" w:rsidRDefault="000A0232" w:rsidP="005608AD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2.10</w:t>
            </w:r>
          </w:p>
        </w:tc>
        <w:tc>
          <w:tcPr>
            <w:tcW w:w="15371" w:type="dxa"/>
            <w:gridSpan w:val="9"/>
            <w:shd w:val="clear" w:color="auto" w:fill="D9D9D9" w:themeFill="background1" w:themeFillShade="D9"/>
            <w:vAlign w:val="center"/>
          </w:tcPr>
          <w:p w:rsidR="000A0232" w:rsidRPr="005608AD" w:rsidRDefault="000A0232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Kopie zapasowe </w:t>
            </w:r>
          </w:p>
        </w:tc>
      </w:tr>
      <w:tr w:rsidR="005608AD" w:rsidRPr="005608AD" w:rsidTr="003E5AEE">
        <w:trPr>
          <w:trHeight w:val="283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5608AD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2.10.1</w:t>
            </w:r>
          </w:p>
        </w:tc>
        <w:tc>
          <w:tcPr>
            <w:tcW w:w="3900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Czy zapewniono odpowiedni poziom bezpieczeństwa w systemach teleinformatycznych, polegający w szczególności na minimalizowaniu ryzyka utraty informacji w wyniku awarii.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t xml:space="preserve">§ 20 ust. 2 pkt 12 lit. b rozporządzenia KRI 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71E93" w:rsidRPr="00784D7F" w:rsidRDefault="00771E93" w:rsidP="003E5AE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• Regulacje wewnętrzne, w których określono zasady tworzenia, przechowywania oraz testowania kopii zapasowych danych i systemów podmiotu.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• Działania związane z wykonywaniem, przechowywaniem i testowaniem kopii zapasowych danych i systemów oraz dokumentacja tych działań.</w:t>
            </w:r>
          </w:p>
        </w:tc>
        <w:tc>
          <w:tcPr>
            <w:tcW w:w="2154" w:type="dxa"/>
            <w:gridSpan w:val="2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A0232" w:rsidRPr="005608AD" w:rsidTr="003E5AEE">
        <w:trPr>
          <w:trHeight w:val="283"/>
        </w:trPr>
        <w:tc>
          <w:tcPr>
            <w:tcW w:w="637" w:type="dxa"/>
            <w:shd w:val="clear" w:color="auto" w:fill="D9D9D9" w:themeFill="background1" w:themeFillShade="D9"/>
            <w:noWrap/>
            <w:vAlign w:val="center"/>
          </w:tcPr>
          <w:p w:rsidR="000A0232" w:rsidRPr="00784D7F" w:rsidRDefault="000A0232" w:rsidP="005608AD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2.11</w:t>
            </w:r>
          </w:p>
        </w:tc>
        <w:tc>
          <w:tcPr>
            <w:tcW w:w="15371" w:type="dxa"/>
            <w:gridSpan w:val="9"/>
            <w:shd w:val="clear" w:color="auto" w:fill="D9D9D9" w:themeFill="background1" w:themeFillShade="D9"/>
            <w:vAlign w:val="center"/>
          </w:tcPr>
          <w:p w:rsidR="000A0232" w:rsidRPr="005608AD" w:rsidRDefault="000A0232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Projektowanie, wdrażanie i eksploatacja systemów teleinformatycznych </w:t>
            </w:r>
          </w:p>
        </w:tc>
      </w:tr>
      <w:tr w:rsidR="005608AD" w:rsidRPr="005608AD" w:rsidTr="003E5AEE">
        <w:trPr>
          <w:trHeight w:val="283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5608AD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2.11.1</w:t>
            </w:r>
          </w:p>
        </w:tc>
        <w:tc>
          <w:tcPr>
            <w:tcW w:w="3900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Czy systemy teleinformatyczne zostały zaprojektowane, wdrożone i eksploatowane z uwzględnieniem ich funkcjonalności, niezawodności, używalności, wydajności, przenaszalności i pielęgnowalności, przy zastosowaniu norm oraz uznanych w obrocie profesjonalnym standardów i metodyk.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24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t>§ 15 ust. 1 rozporządzenia KRI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• Zapewnienie warunków dla uzyskania odpowiedniej funkcjonalności, niezawodności, używalności, wydajności, przenaszalności i pielęgnowalności systemów informatycznych w fazie ich projektowania wdrażania i eksploatacji.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 xml:space="preserve">• Regulacje wewnętrzne opisujące wymagania w zakresie projektowania systemów teleinformatycznych w podmiocie w zakresie: architektury systemu, sposobu licencjonowania i wykorzystania praw autorskich, zgodności z obowiązującym prawem m.in. ustawą o informatyzacji podmiotów realizujących zadania publiczne, sposobu i poziomu zabezpieczeń, zastosowania norm i standardów przemysłowych, zastosowania rozwiązań funkcjonalnych odpowiednich dla osiągnięcia założonych celów, prezentacji treści dla osób niepełnosprawnych, wydajności, poziomu niezawodności SLA, mechanizmów kontroli i audytu. 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• Regulacje wewnętrzne opisujące wymagania w zakresie wdrażania systemów teleinformatycznych w urzędzie w zakresie: sposobu dostarczenia i instalacji systemu teleinformatycznego, wymagań sprzętowych i środowiskowych dla systemu, sposobu i zakresu testów odbiorowych oraz rodzaju i zakresu dokumentacji, a także warunków i kryteriów odbioru.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• Regulacje wewnętrzne opisujące sposób przeprowadzania zmian w systemach teleinformatycznych (w trakcie ich eksploatacji), w tym opis: sposobu zgłaszania zmiany, analizy zmiany pod kątem wykonalności, kosztów, ryzyk, a także określenia sposobu wykonania i odbioru zmiany.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• Regulacje wewnętrzne opisujące proces monitorowania systemów teleinformatycznych i środowiska ich pracy pod kątem wydajności i pojemności w celu zapobieżenia ewentualnym problemom z tym związanych wobec wzrostu ilości systemów teleinformatycznych, ilości przetwarzanych danych, ilości użytkowników poprzez podejmowanie działań zapobiegawczych.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 xml:space="preserve">• Działania związane z wdrażaniem nowych systemów teleinformatycznych oraz wprowadzaniem zmian w systemach eksploatowanych. 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• Działania związane z monitorowaniem systemów teleinformatycznych i środowiska ich pracy pod kątem wydajności i pojemności. Działania zapobiegawcze będące wynikiem dostrzeżonych problemów podczas monitorowania ich pracy.</w:t>
            </w:r>
          </w:p>
        </w:tc>
        <w:tc>
          <w:tcPr>
            <w:tcW w:w="2154" w:type="dxa"/>
            <w:gridSpan w:val="2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A0232" w:rsidRPr="005608AD" w:rsidTr="003E5AEE">
        <w:trPr>
          <w:trHeight w:val="283"/>
        </w:trPr>
        <w:tc>
          <w:tcPr>
            <w:tcW w:w="637" w:type="dxa"/>
            <w:shd w:val="clear" w:color="auto" w:fill="D9D9D9" w:themeFill="background1" w:themeFillShade="D9"/>
            <w:noWrap/>
            <w:vAlign w:val="center"/>
            <w:hideMark/>
          </w:tcPr>
          <w:p w:rsidR="000A0232" w:rsidRPr="00784D7F" w:rsidRDefault="000A0232" w:rsidP="005608AD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2.12</w:t>
            </w:r>
          </w:p>
        </w:tc>
        <w:tc>
          <w:tcPr>
            <w:tcW w:w="15371" w:type="dxa"/>
            <w:gridSpan w:val="9"/>
            <w:shd w:val="clear" w:color="auto" w:fill="D9D9D9" w:themeFill="background1" w:themeFillShade="D9"/>
            <w:vAlign w:val="center"/>
            <w:hideMark/>
          </w:tcPr>
          <w:p w:rsidR="000A0232" w:rsidRPr="00784D7F" w:rsidRDefault="000A0232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Zabezpieczenia techniczno-organizacyjne dostępu do informacji </w:t>
            </w:r>
          </w:p>
        </w:tc>
      </w:tr>
      <w:tr w:rsidR="005608AD" w:rsidRPr="005608AD" w:rsidTr="003E5AEE">
        <w:trPr>
          <w:trHeight w:val="283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5608AD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2.12.1</w:t>
            </w:r>
          </w:p>
        </w:tc>
        <w:tc>
          <w:tcPr>
            <w:tcW w:w="3900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Czy zapewniono ochronę przetwarzanych informacji przed ich kradzieżą, nieuprawnionym dostępem, uszkodzeniami lub zakłóceniami, przez: 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a) monitorowanie dostępu do informacji,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 xml:space="preserve">b) czynności zmierzające do wykrycia nieautoryzowanych 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działań związanych z przetwarzaniem informacji,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c) zastosowanie środków uniemożliwiających nieautoryzowany dostęp na poziomie systemów operacyjnych, usług sieciowych i aplikacji.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Czy informacje są zabezpieczone w sposób uniemożliwiający nieuprawnionemu ich ujawnienie, modyfikacje, usunięcie lub zniszczenie?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Czy ustalono zasady postępowania z informacjami, zapewniające minimalizację wystąpienia ryzyka kradzieży informacji i środków przetwarzania informacji, w tym urządzeń mobilnych?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lastRenderedPageBreak/>
              <w:t>§ 20 ust. 2 pkt 7 rozporządzenia KRI</w:t>
            </w: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br/>
            </w: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br/>
              <w:t>§ 20 ust. 2 pkt 9 rozporządzenia KRI</w:t>
            </w: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br/>
            </w: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lastRenderedPageBreak/>
              <w:br/>
              <w:t>§ 20 ust. 2 pkt 11 rozporządzenia KRI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 xml:space="preserve">• Regulacje wewnętrzne w których ustalono zasady postępowania z informacjami zapewniające minimalizację wystąpienia ryzyka kradzieży informacji i środków przetwarzania informacji, oraz urządzeń mobilnych w tym plan postępowania z ryzykiem. 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• Regulacje wewnętrzne dotyczące zapewnienia ochrony przetwarzanych informacji przed ich kradzieżą, nieuprawnionym dostępem, uszkodzeniami lub zakłóceniami poprzez ustalenie zabezpieczeń informacji w sposób uniemożliwiający nieuprawnionemu jej ujawnienie, modyfikacje usunięcie lub zniszczenie.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 xml:space="preserve">• Działania związane z monitorowaniem dostępu do informacji np. w systemie informatycznym odnotowującym w bazie danych wszystkie działania użytkowników i administratorów dotyczące systemów teleinformatycznych podmiotu. 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• Działania związane z monitorowaniem ruchu osobowego w podmiocie.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• Czynności zmierzające do wykrycia nieautoryzowanych działań związanych z przetwarzaniem informacji poprzez kontrolę logów systemów, kontrolę wejść i wyjść do pomieszczeń serwerowni, analizę rejestru zgłoszeń serwisowych, analizę rejestru incydentów naruszenia BI.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• Działania związane z zapewnieniem środków uniemożliwiających nieautoryzowany dostęp na poziomie systemów operacyjnych usług sieciowych i aplikacji poprzez stosowanie systemu kontroli dostępu do pomieszczeń serwerowni, systemu autoryzacji dostępu do systemów operacyjnych, sieci i aplikacji, stosowanie zabezpieczeń kryptograficznych, stosowanie systemów antywirusowych i antyspamowych, stosowanie zapór sieciowych typu firewall zgodnie z wynikami analizy ryzyka i planem postępowania z ryzykiem.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• Działania związane z ochroną fizyczną informacji zapewniające minimalizację wystąpienia ryzyka kradzieży informacji i środków przetwarzania informacji, w tym urządzeń mobilnych zgodne z wynikami analizy ryzyka i planem postępowania z ryzykiem.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 xml:space="preserve">• Działania związane z utylizacją sprzętu informatycznego i nośników danych a także związane z przekazywaniem sprzętu informatycznego do naprawy w sposób gwarantujący zachowanie BI. </w:t>
            </w:r>
          </w:p>
        </w:tc>
        <w:tc>
          <w:tcPr>
            <w:tcW w:w="2154" w:type="dxa"/>
            <w:gridSpan w:val="2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A0232" w:rsidRPr="005608AD" w:rsidTr="003E5AEE">
        <w:trPr>
          <w:trHeight w:val="283"/>
        </w:trPr>
        <w:tc>
          <w:tcPr>
            <w:tcW w:w="637" w:type="dxa"/>
            <w:shd w:val="clear" w:color="auto" w:fill="D9D9D9" w:themeFill="background1" w:themeFillShade="D9"/>
            <w:noWrap/>
            <w:vAlign w:val="center"/>
          </w:tcPr>
          <w:p w:rsidR="000A0232" w:rsidRPr="00784D7F" w:rsidRDefault="000A0232" w:rsidP="005608AD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2.13</w:t>
            </w:r>
          </w:p>
        </w:tc>
        <w:tc>
          <w:tcPr>
            <w:tcW w:w="15371" w:type="dxa"/>
            <w:gridSpan w:val="9"/>
            <w:shd w:val="clear" w:color="auto" w:fill="D9D9D9" w:themeFill="background1" w:themeFillShade="D9"/>
            <w:vAlign w:val="center"/>
          </w:tcPr>
          <w:p w:rsidR="000A0232" w:rsidRPr="005608AD" w:rsidRDefault="000A0232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Zabezpieczenia techniczno-organizacyjne systemów informatycznych </w:t>
            </w:r>
          </w:p>
        </w:tc>
      </w:tr>
      <w:tr w:rsidR="005608AD" w:rsidRPr="005608AD" w:rsidTr="003E5AEE">
        <w:trPr>
          <w:trHeight w:val="283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5608AD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2.13.1</w:t>
            </w:r>
          </w:p>
        </w:tc>
        <w:tc>
          <w:tcPr>
            <w:tcW w:w="3900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Czy zapewniono odpowiedni poziom bezpieczeństwa w systemach teleinformatycznych, polegający w szczególności na: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a) dbałości o aktualizację oprogramowania,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b) minimalizowaniu ryzyka utraty informacji w wyniku awarii,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c) ochronie przed błędami, utratą, nieuprawnioną modyfikacją,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d) stosowaniu mechanizmów kryptograficznych w sposób adekwatny do zagrożeń lub wymogów przepisu prawa,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e) zapewnieniu bezpieczeństwa plików systemowych,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f) redukcji ryzyk wynikających z wykorzystania opublikowanych podatności technicznych systemów teleinformatycznych,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g) niezwłocznym podejmowaniu działań po dostrzeżeniu nieujawnionych podatności systemów teleinformatycznych na możliwość naruszenia bezpieczeństwa,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h) kontroli zgodności systemów teleinformatycznych z odpowiednimi normami i politykami bezpieczeństwa.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lastRenderedPageBreak/>
              <w:t>§ 20 ust. 2 pkt 12 rozporządzenia KRI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71E93" w:rsidRPr="00784D7F" w:rsidRDefault="00771E93" w:rsidP="003E5AE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• Regulacje wewnętrzne, w których ustalono zasady zapewnienia odpowiedniego poziomu bezpieczeństwa systemów teleinformatycznych poprzez opisy stosowania zabezpieczeń, w tym plan postępowania z ryzykiem.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• Działania związane z aktualizacją oprogramowania oraz redukcją ryzyk wynikających z wykorzystywania opublikowanych podatności technicznych systemów teleinformatycznych poprzez wdrażanie nowych wersji oprogramowania systemowego i użytkowego, poprawek i uzupełnień podnoszących ich bezpieczeństwo, aktualizację oprogramowania antywirusowego i antyspamowego, aktualizację oprogramowania zabezpieczającego ruch sieciowy zgodnie z wynikami analizy ryzyka i planem postępowania z ryzykiem.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 xml:space="preserve">• Działania związane z minimalizowaniem ryzyka utraty informacji w wyniku awarii oraz ochroną przed błędami, utratą i nieuprawnioną modyfikacją, a także zapewnienie bezpieczeństwa plików systemowych poprzez zastosowanie bezpiecznych i redundantnych rozwiązań sprzętowych, w tym np.: dwustronnego bezprzerwowego zasilania, redundancji klimatyzacji, zastosowania klastra serwerów wysokiej dostępności, redundancji macierzy dyskowych i urządzeń sieciowych, równoważenie obciążenia (ang. </w:t>
            </w:r>
            <w:proofErr w:type="spellStart"/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load</w:t>
            </w:r>
            <w:proofErr w:type="spellEnd"/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balancing</w:t>
            </w:r>
            <w:proofErr w:type="spellEnd"/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), monitorowania parametrów środowiskowych w serwerowni (temperatura, wilgotność, zadymienie, wyciek wody), zastosowania systemu kopii zapasowych, systemu kontroli dostępu do zasobów informatycznych, systemu monitorowania funkcjonowania systemów teleinformatycznych i sieci zgodnie z wynikami analizy ryzyka i planem postępowania z ryzykiem.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• Działania związane z zastosowaniem mechanizmów kryptograficznych w sposób adekwatny do zagrożeń lub wymogów przepisów prawa poprzez stosowanie zabezpieczeń kryptograficznych, np.: dla transmisji do urządzeń mobilnych, poczty elektronicznej a także podpisów kwalifikowanych do autoryzacji dokumentów zgodnie z wynikami analizy ryzyka i planem postępowania z ryzykiem.</w:t>
            </w:r>
            <w:r w:rsidR="005608AD" w:rsidRPr="005608A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5608AD"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• Działania podejmowane w związku z dostrzeżeniem nieujawnionych podatności systemów teleinformatycznych na możliwość naruszenia bezpieczeństwa. • Działania związane z kontrolą zgodności systemów teleinformatycznych z odpowiednimi normami i politykami bezpieczeństwa.</w:t>
            </w:r>
          </w:p>
        </w:tc>
        <w:tc>
          <w:tcPr>
            <w:tcW w:w="2154" w:type="dxa"/>
            <w:gridSpan w:val="2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608AD" w:rsidRPr="005608AD" w:rsidTr="003E5AEE">
        <w:trPr>
          <w:trHeight w:val="283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5608AD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2.13.2</w:t>
            </w:r>
          </w:p>
        </w:tc>
        <w:tc>
          <w:tcPr>
            <w:tcW w:w="3900" w:type="dxa"/>
            <w:shd w:val="clear" w:color="auto" w:fill="auto"/>
            <w:vAlign w:val="center"/>
            <w:hideMark/>
          </w:tcPr>
          <w:p w:rsidR="00771E93" w:rsidRPr="00784D7F" w:rsidRDefault="00771E93" w:rsidP="003E5AE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Czy niezależnie od zapewnienia działań, o których mowa w § 20 ust. 2 rozporządzenia KRI, w przypadkach uzasadnionych analizą ryzyka w systemach teleinformatycznych podmiotów realizujących zadania publiczne ustanowiono dodatkowe zabezpieczenia?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t>§ 20 ust. 4 rozporządzenia KRI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• Analiza ryzyka, plan postępowania z ryzykiem. Regulacje wewnętrzne stosowania zabezpieczeń dodatkowych.</w:t>
            </w:r>
          </w:p>
        </w:tc>
        <w:tc>
          <w:tcPr>
            <w:tcW w:w="2154" w:type="dxa"/>
            <w:gridSpan w:val="2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A0232" w:rsidRPr="005608AD" w:rsidTr="003E5AEE">
        <w:trPr>
          <w:trHeight w:val="283"/>
        </w:trPr>
        <w:tc>
          <w:tcPr>
            <w:tcW w:w="637" w:type="dxa"/>
            <w:shd w:val="clear" w:color="auto" w:fill="D9D9D9" w:themeFill="background1" w:themeFillShade="D9"/>
            <w:noWrap/>
            <w:vAlign w:val="center"/>
          </w:tcPr>
          <w:p w:rsidR="000A0232" w:rsidRPr="00784D7F" w:rsidRDefault="000A0232" w:rsidP="005608AD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2.14</w:t>
            </w:r>
          </w:p>
        </w:tc>
        <w:tc>
          <w:tcPr>
            <w:tcW w:w="15371" w:type="dxa"/>
            <w:gridSpan w:val="9"/>
            <w:shd w:val="clear" w:color="auto" w:fill="D9D9D9" w:themeFill="background1" w:themeFillShade="D9"/>
            <w:vAlign w:val="center"/>
          </w:tcPr>
          <w:p w:rsidR="000A0232" w:rsidRPr="005608AD" w:rsidRDefault="000A0232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Rozliczalność działań w systemach teleinformatycznych</w:t>
            </w:r>
          </w:p>
        </w:tc>
      </w:tr>
      <w:tr w:rsidR="005608AD" w:rsidRPr="005608AD" w:rsidTr="003E5AEE">
        <w:trPr>
          <w:trHeight w:val="283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5608AD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2.14.1</w:t>
            </w:r>
          </w:p>
        </w:tc>
        <w:tc>
          <w:tcPr>
            <w:tcW w:w="3900" w:type="dxa"/>
            <w:shd w:val="clear" w:color="auto" w:fill="auto"/>
            <w:vAlign w:val="center"/>
            <w:hideMark/>
          </w:tcPr>
          <w:p w:rsidR="00771E93" w:rsidRPr="00784D7F" w:rsidRDefault="00771E93" w:rsidP="003E5AE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Czy w dziennikach systemów odnotowuje się obligatoryjnie działania użytkowników lub obiektów systemowych polegające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na dostępie do: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1) systemu z uprawnieniami administracyjnymi;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2) konfiguracji systemu, w tym konfiguracji zabezpieczeń;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3) przetwarzanych w systemach danych podlegających prawnej ochronie w zakresie wymaganym przepisami prawa?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Czy w zakresie wynikającym z analizy ryzyka poza informacjami wymienionymi w § 21 ust. 2 rozporządzenia KRI są odnotowywane działania użytkowników lub obiektów systemowych, a także inne zdarzenia związane z eksploatacją systemu w postaci: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1) działań użytkowników nieposiadających uprawnień administracyjnych,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2) zdarzeń systemowych nieposiadających krytycznego znaczenia dla funkcjonowania systemu,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3) zdarzeń i parametrów środowiska, w którym eksploatowany jest system teleinformatyczny?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Czy informacje w dziennikach systemów przechowywane są od dnia ich zapisu, przez okres wskazany w przepisach odrębnych,</w:t>
            </w:r>
            <w:r w:rsidR="003E5A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 w przypadku braku przepisów odrębnych przez dwa lata?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lastRenderedPageBreak/>
              <w:t>§ 21 ust. 2 rozporządzenia KRI</w:t>
            </w: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br/>
            </w: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br/>
              <w:t>§ 21 ust. 3 rozporządzenia KRI</w:t>
            </w: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br/>
            </w: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br/>
              <w:t>§ 21 ust. 4 rozporządzenia KRI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• Regulacje wewnętrzne w których ustalono zasady prowadzenia i wykorzystania dzienników systemowych (logów) w których odnotowuje się obligatoryjnie działania użytkowników lub obiektów systemowych.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• Działania związane z zapewnieniem rozliczalności użytkowników z uprawnieniami administracyjnymi, działań związanych z konfiguracją systemu i zabezpieczeń, działań, gdy przetwarzanie danych podlega prawnej ochronie (</w:t>
            </w:r>
            <w:r w:rsidR="00264FA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np.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dane osobowe). 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• Działania związane z zapewnieniem rozliczalności działań użytkowników lub obiektów systemowych a także rejestracji innych zdarzeń systemowych w zakresie wynikającym z analizy ryzyka.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• Działania związane z regularnym przeglądaniem logów i ich analizą w celu identyfikacji działań niepożądanych.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 xml:space="preserve">• Okres i sposób przechowywania dzienników </w:t>
            </w: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systemowych.</w:t>
            </w:r>
          </w:p>
        </w:tc>
        <w:tc>
          <w:tcPr>
            <w:tcW w:w="2154" w:type="dxa"/>
            <w:gridSpan w:val="2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A0232" w:rsidRPr="005608AD" w:rsidTr="003E5AEE">
        <w:trPr>
          <w:trHeight w:val="283"/>
        </w:trPr>
        <w:tc>
          <w:tcPr>
            <w:tcW w:w="637" w:type="dxa"/>
            <w:shd w:val="clear" w:color="auto" w:fill="D9D9D9" w:themeFill="background1" w:themeFillShade="D9"/>
            <w:noWrap/>
            <w:vAlign w:val="center"/>
          </w:tcPr>
          <w:p w:rsidR="000A0232" w:rsidRPr="00784D7F" w:rsidRDefault="000A0232" w:rsidP="005608AD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3</w:t>
            </w:r>
          </w:p>
        </w:tc>
        <w:tc>
          <w:tcPr>
            <w:tcW w:w="15371" w:type="dxa"/>
            <w:gridSpan w:val="9"/>
            <w:shd w:val="clear" w:color="auto" w:fill="D9D9D9" w:themeFill="background1" w:themeFillShade="D9"/>
            <w:vAlign w:val="center"/>
          </w:tcPr>
          <w:p w:rsidR="000A0232" w:rsidRPr="005608AD" w:rsidRDefault="000A0232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Zapewnienie dostępności informacji zawartych na stronach internetowych urzędów dla osób niepełnosprawnych</w:t>
            </w:r>
          </w:p>
        </w:tc>
      </w:tr>
      <w:tr w:rsidR="005608AD" w:rsidRPr="005608AD" w:rsidTr="003E5AEE">
        <w:trPr>
          <w:trHeight w:val="283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5608AD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3.1</w:t>
            </w:r>
          </w:p>
        </w:tc>
        <w:tc>
          <w:tcPr>
            <w:tcW w:w="3900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Czy system teleinformatyczny spełnia wymagania Web Content Accessibility </w:t>
            </w:r>
            <w:proofErr w:type="spellStart"/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Guidelines</w:t>
            </w:r>
            <w:proofErr w:type="spellEnd"/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(WCAG 2.0), z uwzględnieniem poziomu AA, określonym w załączniku nr 4 do rozporządzenia KRI?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pl-PL"/>
              </w:rPr>
              <w:t>§ 19 rozporządzenia KRI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• Sposób prezentacji informacji na stronach internetowych systemów telekomunikacyjnych podmiotu. </w:t>
            </w:r>
          </w:p>
        </w:tc>
        <w:tc>
          <w:tcPr>
            <w:tcW w:w="2154" w:type="dxa"/>
            <w:gridSpan w:val="2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771E93" w:rsidRPr="00784D7F" w:rsidRDefault="00771E93" w:rsidP="00771E9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84D7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</w:tbl>
    <w:p w:rsidR="00FE49CB" w:rsidRPr="005608AD" w:rsidRDefault="00FE49CB">
      <w:pPr>
        <w:rPr>
          <w:sz w:val="16"/>
          <w:szCs w:val="16"/>
        </w:rPr>
      </w:pPr>
    </w:p>
    <w:p w:rsidR="00771E93" w:rsidRPr="00784D7F" w:rsidRDefault="00771E93" w:rsidP="000B20A7">
      <w:pPr>
        <w:tabs>
          <w:tab w:val="left" w:pos="10485"/>
        </w:tabs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pl-PL"/>
        </w:rPr>
      </w:pPr>
      <w:r w:rsidRPr="00784D7F">
        <w:rPr>
          <w:rFonts w:ascii="Calibri" w:eastAsia="Times New Roman" w:hAnsi="Calibri" w:cs="Arial"/>
          <w:b/>
          <w:bCs/>
          <w:color w:val="000000"/>
          <w:sz w:val="20"/>
          <w:szCs w:val="20"/>
          <w:u w:val="single"/>
          <w:lang w:eastAsia="pl-PL"/>
        </w:rPr>
        <w:t>Objaśnienia dotyczące wypełniania kwestionariusza:</w:t>
      </w:r>
    </w:p>
    <w:p w:rsidR="00771E93" w:rsidRPr="00784D7F" w:rsidRDefault="00771E93" w:rsidP="000B20A7">
      <w:pPr>
        <w:tabs>
          <w:tab w:val="left" w:pos="10485"/>
        </w:tabs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pl-PL"/>
        </w:rPr>
      </w:pPr>
      <w:r w:rsidRPr="00784D7F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 xml:space="preserve">Kolumna nr 4 </w:t>
      </w:r>
      <w:r w:rsidR="00790FA0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>–</w:t>
      </w:r>
      <w:r w:rsidRPr="00784D7F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 xml:space="preserve"> proszę podać nazwy i sygnatury dokumentów potwierdzających spełnienie wymagania. </w:t>
      </w:r>
      <w:r w:rsidRPr="00784D7F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ab/>
      </w:r>
    </w:p>
    <w:p w:rsidR="00771E93" w:rsidRPr="00784D7F" w:rsidRDefault="00771E93" w:rsidP="000B20A7">
      <w:pPr>
        <w:tabs>
          <w:tab w:val="left" w:pos="10485"/>
        </w:tabs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pl-PL"/>
        </w:rPr>
      </w:pPr>
      <w:r w:rsidRPr="00784D7F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 xml:space="preserve">Kolumna nr 5 </w:t>
      </w:r>
      <w:r w:rsidR="00790FA0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>–</w:t>
      </w:r>
      <w:r w:rsidRPr="00784D7F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 xml:space="preserve"> proszę podać dodatkowe informacje, np. w przypadku niespełnienia wymagań, w przypadku spełnienia wymagań tylko przez część systemów, w celu opisania przyczyn itp.</w:t>
      </w:r>
    </w:p>
    <w:p w:rsidR="00771E93" w:rsidRPr="00784D7F" w:rsidRDefault="00771E93" w:rsidP="000B20A7">
      <w:pPr>
        <w:tabs>
          <w:tab w:val="left" w:pos="10485"/>
        </w:tabs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pl-PL"/>
        </w:rPr>
      </w:pPr>
      <w:r w:rsidRPr="00784D7F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 xml:space="preserve">Kolumna nr 6 </w:t>
      </w:r>
      <w:r w:rsidR="00790FA0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>–</w:t>
      </w:r>
      <w:r w:rsidRPr="00784D7F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 xml:space="preserve"> proszę dokonać samooceny spełnienia wymagania: </w:t>
      </w:r>
      <w:r w:rsidRPr="00784D7F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ab/>
      </w:r>
    </w:p>
    <w:p w:rsidR="00771E93" w:rsidRPr="00784D7F" w:rsidRDefault="00771E93" w:rsidP="000B20A7">
      <w:pPr>
        <w:tabs>
          <w:tab w:val="left" w:pos="10485"/>
        </w:tabs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pl-PL"/>
        </w:rPr>
      </w:pPr>
      <w:r w:rsidRPr="00784D7F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 xml:space="preserve">S </w:t>
      </w:r>
      <w:r w:rsidR="00790FA0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>–</w:t>
      </w:r>
      <w:r w:rsidRPr="00784D7F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 xml:space="preserve"> wymaganie spełnione,</w:t>
      </w:r>
      <w:r w:rsidRPr="00784D7F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ab/>
      </w:r>
    </w:p>
    <w:p w:rsidR="00771E93" w:rsidRPr="00784D7F" w:rsidRDefault="00771E93" w:rsidP="000B20A7">
      <w:pPr>
        <w:tabs>
          <w:tab w:val="left" w:pos="10485"/>
        </w:tabs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pl-PL"/>
        </w:rPr>
      </w:pPr>
      <w:r w:rsidRPr="00784D7F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 xml:space="preserve">N </w:t>
      </w:r>
      <w:r w:rsidR="00790FA0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>–</w:t>
      </w:r>
      <w:r w:rsidRPr="00784D7F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 xml:space="preserve"> wymaganie niespełnione,</w:t>
      </w:r>
      <w:r w:rsidRPr="00784D7F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ab/>
      </w:r>
    </w:p>
    <w:p w:rsidR="00771E93" w:rsidRPr="00784D7F" w:rsidRDefault="00771E93" w:rsidP="000B20A7">
      <w:pPr>
        <w:tabs>
          <w:tab w:val="left" w:pos="10485"/>
        </w:tabs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pl-PL"/>
        </w:rPr>
      </w:pPr>
      <w:r w:rsidRPr="00784D7F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 xml:space="preserve">CS </w:t>
      </w:r>
      <w:r w:rsidR="00790FA0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>–</w:t>
      </w:r>
      <w:r w:rsidRPr="00784D7F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 xml:space="preserve"> wymaganie częściowo spełnione,</w:t>
      </w:r>
      <w:r w:rsidRPr="00784D7F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ab/>
      </w:r>
    </w:p>
    <w:p w:rsidR="00771E93" w:rsidRPr="00784D7F" w:rsidRDefault="00771E93" w:rsidP="000B20A7">
      <w:pPr>
        <w:tabs>
          <w:tab w:val="left" w:pos="10485"/>
        </w:tabs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pl-PL"/>
        </w:rPr>
      </w:pPr>
      <w:r w:rsidRPr="00784D7F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 xml:space="preserve">ND </w:t>
      </w:r>
      <w:r w:rsidR="00790FA0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>–</w:t>
      </w:r>
      <w:r w:rsidRPr="00784D7F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 xml:space="preserve"> nie dotyczy.</w:t>
      </w:r>
      <w:r w:rsidRPr="00784D7F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ab/>
      </w:r>
    </w:p>
    <w:p w:rsidR="00771E93" w:rsidRDefault="00771E93" w:rsidP="000B20A7">
      <w:pPr>
        <w:tabs>
          <w:tab w:val="left" w:pos="10485"/>
        </w:tabs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pl-PL"/>
        </w:rPr>
      </w:pPr>
      <w:r w:rsidRPr="00784D7F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 xml:space="preserve">Kolumna nr 7, 8 </w:t>
      </w:r>
      <w:r w:rsidR="00790FA0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>–</w:t>
      </w:r>
      <w:r w:rsidRPr="00784D7F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 xml:space="preserve"> proszę wskazać osobę przygotowującą odpowiedź, posiadającą wiedzę źródłową w zakresie danego wymagania.</w:t>
      </w:r>
      <w:r w:rsidRPr="00784D7F"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ab/>
      </w:r>
    </w:p>
    <w:p w:rsidR="00771E93" w:rsidRDefault="00771E93" w:rsidP="000B20A7">
      <w:pPr>
        <w:tabs>
          <w:tab w:val="left" w:pos="10485"/>
        </w:tabs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pl-PL"/>
        </w:rPr>
      </w:pPr>
    </w:p>
    <w:p w:rsidR="00771E93" w:rsidRDefault="00771E93" w:rsidP="000B20A7">
      <w:pPr>
        <w:tabs>
          <w:tab w:val="left" w:pos="10485"/>
        </w:tabs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pl-PL"/>
        </w:rPr>
      </w:pPr>
    </w:p>
    <w:p w:rsidR="00771E93" w:rsidRDefault="00771E93" w:rsidP="000B20A7">
      <w:pPr>
        <w:tabs>
          <w:tab w:val="left" w:pos="10485"/>
        </w:tabs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pl-PL"/>
        </w:rPr>
      </w:pPr>
    </w:p>
    <w:p w:rsidR="00771E93" w:rsidRDefault="00771E93" w:rsidP="000B20A7">
      <w:pPr>
        <w:tabs>
          <w:tab w:val="left" w:pos="10485"/>
        </w:tabs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pl-PL"/>
        </w:rPr>
      </w:pPr>
    </w:p>
    <w:p w:rsidR="00771E93" w:rsidRDefault="00771E93" w:rsidP="00771E93">
      <w:pPr>
        <w:tabs>
          <w:tab w:val="left" w:pos="10485"/>
        </w:tabs>
        <w:spacing w:after="0" w:line="240" w:lineRule="auto"/>
        <w:ind w:left="10490"/>
        <w:rPr>
          <w:rFonts w:ascii="Calibri" w:eastAsia="Times New Roman" w:hAnsi="Calibri" w:cs="Arial"/>
          <w:color w:val="000000"/>
          <w:sz w:val="20"/>
          <w:szCs w:val="20"/>
          <w:lang w:eastAsia="pl-PL"/>
        </w:rPr>
      </w:pPr>
      <w:bookmarkStart w:id="0" w:name="_GoBack"/>
      <w:r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>……………………………………………………………………</w:t>
      </w:r>
    </w:p>
    <w:p w:rsidR="00771E93" w:rsidRPr="00784D7F" w:rsidRDefault="00771E93" w:rsidP="00771E93">
      <w:pPr>
        <w:tabs>
          <w:tab w:val="left" w:pos="10485"/>
        </w:tabs>
        <w:spacing w:after="0" w:line="240" w:lineRule="auto"/>
        <w:ind w:left="10490"/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pl-PL"/>
        </w:rPr>
      </w:pPr>
      <w:r w:rsidRPr="00784D7F"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pl-PL"/>
        </w:rPr>
        <w:t xml:space="preserve">data i podpis </w:t>
      </w:r>
      <w:r w:rsidR="00796408"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pl-PL"/>
        </w:rPr>
        <w:t>kierownika jednostki</w:t>
      </w:r>
      <w:bookmarkEnd w:id="0"/>
    </w:p>
    <w:p w:rsidR="00771E93" w:rsidRDefault="00771E93"/>
    <w:sectPr w:rsidR="00771E93" w:rsidSect="00784D7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D7F"/>
    <w:rsid w:val="000A0232"/>
    <w:rsid w:val="00264FA7"/>
    <w:rsid w:val="00285111"/>
    <w:rsid w:val="003E5AEE"/>
    <w:rsid w:val="005608AD"/>
    <w:rsid w:val="00771E93"/>
    <w:rsid w:val="00784D7F"/>
    <w:rsid w:val="00790FA0"/>
    <w:rsid w:val="00796408"/>
    <w:rsid w:val="00B15390"/>
    <w:rsid w:val="00E425CA"/>
    <w:rsid w:val="00FB5FC0"/>
    <w:rsid w:val="00FE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2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3768</Words>
  <Characters>22608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Radecka</dc:creator>
  <cp:lastModifiedBy>Burza Agnieszka</cp:lastModifiedBy>
  <cp:revision>5</cp:revision>
  <dcterms:created xsi:type="dcterms:W3CDTF">2016-01-13T10:19:00Z</dcterms:created>
  <dcterms:modified xsi:type="dcterms:W3CDTF">2016-04-11T09:38:00Z</dcterms:modified>
</cp:coreProperties>
</file>