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5" w:bottom="482" w:left="513" w:header="163" w:footer="54" w:gutter="0"/>
          <w:pgNumType w:start="1"/>
          <w:cols w:space="720"/>
          <w:noEndnote/>
          <w:rtlGutter w:val="0"/>
          <w:docGrid w:linePitch="360"/>
        </w:sect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098" w:right="0" w:bottom="650" w:left="0"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rStyle w:val="CharStyle7"/>
        </w:rPr>
        <w:t>DGL-WKS.053.1.2026.JM</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4322995.17866988.14500060</w:t>
      </w:r>
    </w:p>
    <w:p>
      <w:pPr>
        <w:pStyle w:val="Style6"/>
        <w:keepNext w:val="0"/>
        <w:keepLines w:val="0"/>
        <w:widowControl w:val="0"/>
        <w:shd w:val="clear" w:color="auto" w:fill="auto"/>
        <w:bidi w:val="0"/>
        <w:spacing w:before="0" w:after="460" w:line="240" w:lineRule="auto"/>
        <w:ind w:left="0" w:right="0" w:firstLine="0"/>
        <w:jc w:val="left"/>
      </w:pPr>
      <w:r>
        <w:rPr>
          <w:rStyle w:val="CharStyle7"/>
        </w:rPr>
        <w:t>Warszawa, 28-05-2026</w:t>
      </w:r>
    </w:p>
    <w:p>
      <w:pPr>
        <w:pStyle w:val="Style6"/>
        <w:keepNext w:val="0"/>
        <w:keepLines w:val="0"/>
        <w:widowControl w:val="0"/>
        <w:shd w:val="clear" w:color="auto" w:fill="auto"/>
        <w:bidi w:val="0"/>
        <w:spacing w:before="0" w:after="1140" w:line="240" w:lineRule="auto"/>
        <w:ind w:left="0" w:right="0" w:firstLine="0"/>
        <w:jc w:val="both"/>
      </w:pPr>
      <w:r>
        <w:rPr>
          <w:rStyle w:val="CharStyle7"/>
          <w:b/>
          <w:bCs/>
        </w:rPr>
        <w:t>Pan</w:t>
      </w:r>
    </w:p>
    <w:p>
      <w:pPr>
        <w:pStyle w:val="Style6"/>
        <w:keepNext w:val="0"/>
        <w:keepLines w:val="0"/>
        <w:widowControl w:val="0"/>
        <w:shd w:val="clear" w:color="auto" w:fill="auto"/>
        <w:bidi w:val="0"/>
        <w:spacing w:before="0"/>
        <w:ind w:left="0" w:right="0" w:firstLine="0"/>
        <w:jc w:val="both"/>
      </w:pPr>
      <w:r>
        <w:rPr>
          <w:rStyle w:val="CharStyle7"/>
        </w:rPr>
        <w:t>W odpowiedzi na Pana petycję z dnia 26.03.2026 r. (przekazaną przez Ministra Infrastruktury w dniu 13.04.2026 r.), w sprawie podjęcia pilnych działań uniemożliwiających przejęcie przez cudzoziemców polskiego przedsiębiorstwa w obszarze objętym koncesją na wydobycie kruszyw z dna Bałtyku informuję, co następuje.</w:t>
      </w:r>
    </w:p>
    <w:p>
      <w:pPr>
        <w:pStyle w:val="Style6"/>
        <w:keepNext w:val="0"/>
        <w:keepLines w:val="0"/>
        <w:widowControl w:val="0"/>
        <w:shd w:val="clear" w:color="auto" w:fill="auto"/>
        <w:bidi w:val="0"/>
        <w:spacing w:before="0"/>
        <w:ind w:left="0" w:right="0" w:firstLine="0"/>
        <w:jc w:val="both"/>
      </w:pPr>
      <w:r>
        <w:rPr>
          <w:rStyle w:val="CharStyle7"/>
        </w:rPr>
        <w:t xml:space="preserve">Minister Klimatu i Środowiska, jako organ administracji rządowej, działa wyłącznie na podstawie i w granicach prawa (art. 7 Konstytucji RP). Kompetencje Ministra Klimatu i Środowiska – jako organu koncesyjnego reguluje ustawa z dnia 9 czerwca 2011 r. </w:t>
      </w:r>
      <w:r>
        <w:rPr>
          <w:rStyle w:val="CharStyle7"/>
          <w:i/>
          <w:iCs/>
        </w:rPr>
        <w:t>Prawo geologiczne i górnicze</w:t>
      </w:r>
      <w:r>
        <w:rPr>
          <w:rStyle w:val="CharStyle7"/>
        </w:rPr>
        <w:t xml:space="preserve"> (Dz. U. z 2026 r. poz. 69). Przepisy te precyzyjnie określają m.in. warunki udzielania, zmiany, przeniesienia oraz cofania koncesji.</w:t>
      </w:r>
    </w:p>
    <w:p>
      <w:pPr>
        <w:pStyle w:val="Style6"/>
        <w:keepNext w:val="0"/>
        <w:keepLines w:val="0"/>
        <w:widowControl w:val="0"/>
        <w:shd w:val="clear" w:color="auto" w:fill="auto"/>
        <w:bidi w:val="0"/>
        <w:spacing w:before="0"/>
        <w:ind w:left="0" w:right="0" w:firstLine="0"/>
        <w:jc w:val="both"/>
      </w:pPr>
      <w:r>
        <w:rPr>
          <w:rStyle w:val="CharStyle7"/>
        </w:rPr>
        <w:t xml:space="preserve">Poruszone w Pana petycji kwestie nie znajdują się w kompetencji Ministra Klimatu i Środowiska, który nie jest właściwym organem do rozpatrywania, kontrolowania ani ingerowania w wewnętrzne działania spółek prawa handlowego, w tym w spory między polskimi a zagranicznymi udziałowcami. Kwestie struktury własnościowej, powoływania członków zarządu, dostępu do dokumentacji spółki, składania sprawozdań do KRS czy pozwów o wyłączenie wspólnika podlegają przepisom ustawy z dnia 15 września 2000 r. </w:t>
      </w:r>
      <w:r>
        <w:rPr>
          <w:rStyle w:val="CharStyle7"/>
          <w:i/>
          <w:iCs/>
        </w:rPr>
        <w:t>Kodeks spółek handlowych</w:t>
      </w:r>
      <w:r>
        <w:rPr>
          <w:rStyle w:val="CharStyle7"/>
        </w:rPr>
        <w:t xml:space="preserve"> (Dz. U. z 2024 r. poz. 18), a rozstrzyganie sporów w tym zakresie leży w kompetencji sądów powszechnych.</w:t>
      </w:r>
    </w:p>
    <w:p>
      <w:pPr>
        <w:pStyle w:val="Style6"/>
        <w:keepNext w:val="0"/>
        <w:keepLines w:val="0"/>
        <w:widowControl w:val="0"/>
        <w:shd w:val="clear" w:color="auto" w:fill="auto"/>
        <w:bidi w:val="0"/>
        <w:spacing w:before="0"/>
        <w:ind w:left="0" w:right="0" w:firstLine="0"/>
        <w:jc w:val="both"/>
      </w:pPr>
      <w:r>
        <w:rPr>
          <w:rStyle w:val="CharStyle7"/>
        </w:rPr>
        <w:t>Ponadto informuję, że organ koncesyjny nie posiada uprawnień do weryfikacji, regulowania ani oceny wysokości stawek i cen wynajmu statków wydobywczych oraz innych urządzeń przez podmioty zewnętrzne. Sprawy te powinny zostać uregulowane w zakresie umów cywilnoprawnych i podlegać ocenie na gruncie prawa cywilnego oraz przepisów o ochronie konkurencji.</w:t>
      </w:r>
    </w:p>
    <w:p>
      <w:pPr>
        <w:pStyle w:val="Style6"/>
        <w:keepNext w:val="0"/>
        <w:keepLines w:val="0"/>
        <w:widowControl w:val="0"/>
        <w:shd w:val="clear" w:color="auto" w:fill="auto"/>
        <w:bidi w:val="0"/>
        <w:spacing w:before="0" w:after="160"/>
        <w:ind w:left="0" w:right="0" w:firstLine="0"/>
        <w:jc w:val="both"/>
      </w:pPr>
      <w:r>
        <w:rPr>
          <w:rStyle w:val="CharStyle7"/>
        </w:rPr>
        <w:t>W przypadku uzasadnionego podejrzenia popełnienia przestępstwa na szkodę spółki lub naruszenia przepisów podatkowych, właściwym działaniem jest niezwłoczne poinformowanie odpowiednich organów ścigania (Prokuratury, Policji oraz Krajowej Administracji Skarbowej), które posiadają ustawowe narzędzia do badania i ścigania tego typu czynów.</w:t>
      </w:r>
    </w:p>
    <w:p>
      <w:pPr>
        <w:pStyle w:val="Style6"/>
        <w:keepNext w:val="0"/>
        <w:keepLines w:val="0"/>
        <w:widowControl w:val="0"/>
        <w:shd w:val="clear" w:color="auto" w:fill="auto"/>
        <w:bidi w:val="0"/>
        <w:spacing w:before="0" w:after="380"/>
        <w:ind w:left="0" w:right="0" w:firstLine="0"/>
        <w:jc w:val="both"/>
      </w:pPr>
      <w:r>
        <w:rPr>
          <w:rStyle w:val="CharStyle7"/>
        </w:rPr>
        <w:t>Z up. Ministra</w:t>
      </w:r>
    </w:p>
    <w:p>
      <w:pPr>
        <w:pStyle w:val="Style6"/>
        <w:keepNext w:val="0"/>
        <w:keepLines w:val="0"/>
        <w:widowControl w:val="0"/>
        <w:shd w:val="clear" w:color="auto" w:fill="auto"/>
        <w:bidi w:val="0"/>
        <w:spacing w:before="0" w:after="0"/>
        <w:ind w:left="0" w:right="0" w:firstLine="0"/>
        <w:jc w:val="both"/>
      </w:pPr>
      <w:r>
        <w:rPr>
          <w:rStyle w:val="CharStyle7"/>
        </w:rPr>
        <w:t>Zastępca Dyrektora</w:t>
      </w:r>
    </w:p>
    <w:p>
      <w:pPr>
        <w:pStyle w:val="Style6"/>
        <w:keepNext w:val="0"/>
        <w:keepLines w:val="0"/>
        <w:widowControl w:val="0"/>
        <w:shd w:val="clear" w:color="auto" w:fill="auto"/>
        <w:bidi w:val="0"/>
        <w:spacing w:before="0" w:after="0"/>
        <w:ind w:left="0" w:right="0" w:firstLine="0"/>
        <w:jc w:val="both"/>
      </w:pPr>
      <w:r>
        <w:rPr>
          <w:rStyle w:val="CharStyle7"/>
        </w:rPr>
        <w:t>Departament Geologii</w:t>
      </w:r>
    </w:p>
    <w:p>
      <w:pPr>
        <w:pStyle w:val="Style6"/>
        <w:keepNext w:val="0"/>
        <w:keepLines w:val="0"/>
        <w:widowControl w:val="0"/>
        <w:shd w:val="clear" w:color="auto" w:fill="auto"/>
        <w:bidi w:val="0"/>
        <w:spacing w:before="0" w:after="0"/>
        <w:ind w:left="0" w:right="0" w:firstLine="0"/>
        <w:jc w:val="both"/>
      </w:pPr>
      <w:r>
        <w:rPr>
          <w:rStyle w:val="CharStyle7"/>
        </w:rPr>
        <w:t>Ministerstwo Klimatu i Środowiska</w:t>
      </w:r>
    </w:p>
    <w:p>
      <w:pPr>
        <w:pStyle w:val="Style6"/>
        <w:keepNext w:val="0"/>
        <w:keepLines w:val="0"/>
        <w:widowControl w:val="0"/>
        <w:shd w:val="clear" w:color="auto" w:fill="auto"/>
        <w:bidi w:val="0"/>
        <w:spacing w:before="0" w:after="1140"/>
        <w:ind w:left="0" w:right="0" w:firstLine="0"/>
        <w:jc w:val="both"/>
      </w:pPr>
      <w:r>
        <w:rPr>
          <w:rStyle w:val="CharStyle7"/>
        </w:rPr>
        <w:t>/ – podpisany cyfrowo/</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95145" cy="271145"/>
                <wp:wrapSquare wrapText="left"/>
                <wp:docPr id="3" name="Shape 3"/>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41.34999999999999pt;height:21.3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v:textbox>
                <w10:wrap type="square" side="left" anchorx="page"/>
              </v:shape>
            </w:pict>
          </mc:Fallback>
        </mc:AlternateContent>
      </w:r>
      <w:r>
        <w:rPr>
          <w:rStyle w:val="CharStyle3"/>
        </w:rPr>
        <w:t>Telefon: (+48) 22 369 29 00</w:t>
      </w:r>
    </w:p>
    <w:p>
      <w:pPr>
        <w:pStyle w:val="Style2"/>
        <w:keepNext w:val="0"/>
        <w:keepLines w:val="0"/>
        <w:widowControl w:val="0"/>
        <w:shd w:val="clear" w:color="auto" w:fill="auto"/>
        <w:bidi w:val="0"/>
        <w:spacing w:before="0" w:after="0" w:line="240" w:lineRule="auto"/>
        <w:ind w:left="0" w:right="0" w:firstLine="0"/>
        <w:jc w:val="both"/>
      </w:pPr>
      <w:r>
        <w:fldChar w:fldCharType="begin"/>
      </w:r>
      <w:r>
        <w:rPr/>
        <w:instrText> HYPERLINK "mailto:info@klimat.gov.pl" </w:instrText>
      </w:r>
      <w:r>
        <w:fldChar w:fldCharType="separate"/>
      </w:r>
      <w:r>
        <w:rPr>
          <w:rStyle w:val="CharStyle3"/>
        </w:rPr>
        <w:t>info@klimat.gov.pl</w:t>
      </w:r>
      <w:r>
        <w:fldChar w:fldCharType="end"/>
      </w:r>
    </w:p>
    <w:p>
      <w:pPr>
        <w:pStyle w:val="Style2"/>
        <w:keepNext w:val="0"/>
        <w:keepLines w:val="0"/>
        <w:widowControl w:val="0"/>
        <w:shd w:val="clear" w:color="auto" w:fill="auto"/>
        <w:bidi w:val="0"/>
        <w:spacing w:before="0" w:after="28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rStyle w:val="CharStyle5"/>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rStyle w:val="CharStyle5"/>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3"/>
        </w:rPr>
        <w:t>www.gov.pl/klimat</w:t>
      </w:r>
      <w:r>
        <w:fldChar w:fldCharType="end"/>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u w:val="single"/>
        </w:rPr>
        <w:t>Do wiadomości:</w:t>
      </w:r>
    </w:p>
    <w:sectPr>
      <w:footnotePr>
        <w:pos w:val="pageBottom"/>
        <w:numFmt w:val="decimal"/>
        <w:numRestart w:val="continuous"/>
      </w:footnotePr>
      <w:type w:val="continuous"/>
      <w:pgSz w:w="11900" w:h="16840"/>
      <w:pgMar w:top="2098" w:right="1955" w:bottom="650" w:left="1948" w:header="1670" w:footer="22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 (2)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Body text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Body text_"/>
    <w:basedOn w:val="DefaultParagraphFont"/>
    <w:link w:val="Style6"/>
    <w:rPr>
      <w:rFonts w:ascii="Arial" w:eastAsia="Arial" w:hAnsi="Arial" w:cs="Arial"/>
      <w:b w:val="0"/>
      <w:bCs w:val="0"/>
      <w:i w:val="0"/>
      <w:iCs w:val="0"/>
      <w:smallCaps w:val="0"/>
      <w:strike w:val="0"/>
      <w:sz w:val="19"/>
      <w:szCs w:val="19"/>
      <w:u w:val="none"/>
    </w:rPr>
  </w:style>
  <w:style w:type="paragraph" w:customStyle="1" w:styleId="Style2">
    <w:name w:val="Body text (2)"/>
    <w:basedOn w:val="Normal"/>
    <w:link w:val="CharStyle3"/>
    <w:pPr>
      <w:widowControl w:val="0"/>
      <w:shd w:val="clear" w:color="auto" w:fill="auto"/>
      <w:ind w:left="150"/>
    </w:pPr>
    <w:rPr>
      <w:rFonts w:ascii="Arial" w:eastAsia="Arial" w:hAnsi="Arial" w:cs="Arial"/>
      <w:b w:val="0"/>
      <w:bCs w:val="0"/>
      <w:i w:val="0"/>
      <w:iCs w:val="0"/>
      <w:smallCaps w:val="0"/>
      <w:strike w:val="0"/>
      <w:sz w:val="16"/>
      <w:szCs w:val="16"/>
      <w:u w:val="none"/>
    </w:rPr>
  </w:style>
  <w:style w:type="paragraph" w:customStyle="1" w:styleId="Style4">
    <w:name w:val="Body text (3)"/>
    <w:basedOn w:val="Normal"/>
    <w:link w:val="CharStyle5"/>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6">
    <w:name w:val="Body text"/>
    <w:basedOn w:val="Normal"/>
    <w:link w:val="CharStyle7"/>
    <w:qFormat/>
    <w:pPr>
      <w:widowControl w:val="0"/>
      <w:shd w:val="clear" w:color="auto" w:fill="auto"/>
      <w:spacing w:after="80" w:line="264"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Z upoważnienia Ministra Klimatu i Środowiska departament_kolor</dc:title>
  <dc:subject/>
  <dc:creator/>
  <cp:keywords>PL, KOLOR</cp:keywords>
</cp:coreProperties>
</file>