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Ex1.xml" ContentType="application/vnd.ms-office.chartex+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Ex2.xml" ContentType="application/vnd.ms-office.chartex+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Ex3.xml" ContentType="application/vnd.ms-office.chartex+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charts/chartEx4.xml" ContentType="application/vnd.ms-office.chartex+xml"/>
  <Override PartName="/word/charts/style24.xml" ContentType="application/vnd.ms-office.chartstyle+xml"/>
  <Override PartName="/word/charts/colors24.xml" ContentType="application/vnd.ms-office.chartcolorstyle+xml"/>
  <Override PartName="/word/theme/themeOverride14.xml" ContentType="application/vnd.openxmlformats-officedocument.themeOverride+xml"/>
  <Override PartName="/word/charts/chartEx5.xml" ContentType="application/vnd.ms-office.chartex+xml"/>
  <Override PartName="/word/charts/style25.xml" ContentType="application/vnd.ms-office.chartstyle+xml"/>
  <Override PartName="/word/charts/colors25.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6.xml" ContentType="application/vnd.openxmlformats-officedocument.themeOverride+xml"/>
  <Override PartName="/word/charts/chart24.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7.xml" ContentType="application/vnd.openxmlformats-officedocument.themeOverride+xml"/>
  <Override PartName="/word/charts/chartEx6.xml" ContentType="application/vnd.ms-office.chartex+xml"/>
  <Override PartName="/word/charts/style28.xml" ContentType="application/vnd.ms-office.chartstyle+xml"/>
  <Override PartName="/word/charts/colors28.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9.xml" ContentType="application/vnd.openxmlformats-officedocument.themeOverride+xml"/>
  <Override PartName="/word/charts/chart26.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20.xml" ContentType="application/vnd.openxmlformats-officedocument.themeOverride+xml"/>
  <Override PartName="/word/charts/chart2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21.xml" ContentType="application/vnd.openxmlformats-officedocument.themeOverride+xml"/>
  <Override PartName="/word/charts/chart2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70" w:type="dxa"/>
          <w:right w:w="70" w:type="dxa"/>
        </w:tblCellMar>
        <w:tblLook w:val="0000" w:firstRow="0" w:lastRow="0" w:firstColumn="0" w:lastColumn="0" w:noHBand="0" w:noVBand="0"/>
      </w:tblPr>
      <w:tblGrid>
        <w:gridCol w:w="4605"/>
        <w:gridCol w:w="4606"/>
      </w:tblGrid>
      <w:tr w:rsidR="00263734" w:rsidRPr="00263734" w14:paraId="7D904A9D" w14:textId="77777777" w:rsidTr="00A77CD6">
        <w:tc>
          <w:tcPr>
            <w:tcW w:w="4605" w:type="dxa"/>
          </w:tcPr>
          <w:p w14:paraId="02BAF1BB" w14:textId="77777777" w:rsidR="00263734" w:rsidRPr="00263734" w:rsidRDefault="00263734" w:rsidP="00263734">
            <w:pPr>
              <w:spacing w:after="0" w:line="240" w:lineRule="auto"/>
              <w:rPr>
                <w:rFonts w:ascii="Candara" w:eastAsia="Times New Roman" w:hAnsi="Candara" w:cs="Times New Roman"/>
                <w:color w:val="375050"/>
                <w:lang w:eastAsia="pl-PL"/>
              </w:rPr>
            </w:pPr>
            <w:bookmarkStart w:id="0" w:name="_Hlk113731731"/>
            <w:bookmarkStart w:id="1" w:name="_Toc218703247"/>
            <w:bookmarkStart w:id="2" w:name="_Toc223140133"/>
            <w:bookmarkStart w:id="3" w:name="_Toc223140134"/>
            <w:bookmarkStart w:id="4" w:name="_GoBack"/>
            <w:bookmarkEnd w:id="4"/>
            <w:r w:rsidRPr="00263734">
              <w:rPr>
                <w:rFonts w:ascii="Candara" w:eastAsia="Times New Roman" w:hAnsi="Candara" w:cs="Times New Roman"/>
                <w:b/>
                <w:color w:val="375050"/>
                <w:sz w:val="28"/>
                <w:szCs w:val="28"/>
                <w:lang w:eastAsia="pl-PL"/>
              </w:rPr>
              <w:t xml:space="preserve">Stowarzyszenie na Rzecz Badania, </w:t>
            </w:r>
            <w:r w:rsidRPr="00263734">
              <w:rPr>
                <w:rFonts w:ascii="Candara" w:eastAsia="Times New Roman" w:hAnsi="Candara" w:cs="Times New Roman"/>
                <w:b/>
                <w:color w:val="375050"/>
                <w:sz w:val="28"/>
                <w:szCs w:val="28"/>
                <w:lang w:eastAsia="pl-PL"/>
              </w:rPr>
              <w:br/>
              <w:t>Rozwoju i Promocji Turystyki</w:t>
            </w:r>
          </w:p>
        </w:tc>
        <w:tc>
          <w:tcPr>
            <w:tcW w:w="4606" w:type="dxa"/>
          </w:tcPr>
          <w:p w14:paraId="58D85060" w14:textId="77777777" w:rsidR="00263734" w:rsidRPr="00263734" w:rsidRDefault="00263734" w:rsidP="00263734">
            <w:pPr>
              <w:spacing w:after="0" w:line="240" w:lineRule="auto"/>
              <w:jc w:val="center"/>
              <w:rPr>
                <w:rFonts w:ascii="Times New Roman" w:eastAsia="Times New Roman" w:hAnsi="Times New Roman" w:cs="Times New Roman"/>
                <w:b/>
                <w:color w:val="002060"/>
                <w:lang w:eastAsia="pl-PL"/>
              </w:rPr>
            </w:pPr>
          </w:p>
        </w:tc>
      </w:tr>
    </w:tbl>
    <w:p w14:paraId="238B74C7" w14:textId="77777777" w:rsidR="00263734" w:rsidRPr="00263734" w:rsidRDefault="00263734" w:rsidP="00263734">
      <w:pPr>
        <w:spacing w:after="0" w:line="240" w:lineRule="auto"/>
        <w:rPr>
          <w:rFonts w:ascii="Times New Roman" w:eastAsia="Times New Roman" w:hAnsi="Times New Roman" w:cs="Times New Roman"/>
          <w:color w:val="002060"/>
          <w:lang w:eastAsia="pl-PL"/>
        </w:rPr>
      </w:pPr>
      <w:r w:rsidRPr="00263734">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60288" behindDoc="1" locked="0" layoutInCell="0" allowOverlap="1" wp14:anchorId="5F266F27" wp14:editId="60830947">
                <wp:simplePos x="0" y="0"/>
                <wp:positionH relativeFrom="page">
                  <wp:posOffset>313055</wp:posOffset>
                </wp:positionH>
                <wp:positionV relativeFrom="page">
                  <wp:posOffset>283845</wp:posOffset>
                </wp:positionV>
                <wp:extent cx="6926580" cy="10105390"/>
                <wp:effectExtent l="19050" t="19050" r="45720" b="29210"/>
                <wp:wrapNone/>
                <wp:docPr id="35"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05390"/>
                        </a:xfrm>
                        <a:prstGeom prst="rect">
                          <a:avLst/>
                        </a:prstGeom>
                        <a:noFill/>
                        <a:ln w="57150">
                          <a:solidFill>
                            <a:srgbClr val="375050"/>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ect w14:anchorId="3936C012" id="Prostokąt 2" o:spid="_x0000_s1026" style="position:absolute;margin-left:24.65pt;margin-top:22.35pt;width:545.4pt;height:795.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" o:allowincell="f" filled="f" fillcolor="#ccecff" strokecolor="#375050" strokeweight="4.5pt">
                <w10:wrap anchorx="page" anchory="page"/>
              </v:rect>
            </w:pict>
          </mc:Fallback>
        </mc:AlternateContent>
      </w:r>
      <w:r w:rsidRPr="00263734">
        <w:rPr>
          <w:rFonts w:ascii="Times New Roman" w:eastAsia="Times New Roman" w:hAnsi="Times New Roman" w:cs="Times New Roman"/>
          <w:noProof/>
          <w:sz w:val="24"/>
          <w:szCs w:val="24"/>
          <w:lang w:eastAsia="pl-PL"/>
        </w:rPr>
        <w:drawing>
          <wp:anchor distT="0" distB="0" distL="114300" distR="114300" simplePos="0" relativeHeight="251659264" behindDoc="0" locked="0" layoutInCell="1" allowOverlap="1" wp14:anchorId="1E07C807" wp14:editId="2B918937">
            <wp:simplePos x="0" y="0"/>
            <wp:positionH relativeFrom="column">
              <wp:posOffset>4800600</wp:posOffset>
            </wp:positionH>
            <wp:positionV relativeFrom="paragraph">
              <wp:posOffset>-618490</wp:posOffset>
            </wp:positionV>
            <wp:extent cx="780415" cy="780415"/>
            <wp:effectExtent l="0" t="0" r="635" b="63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0415" cy="780415"/>
                    </a:xfrm>
                    <a:prstGeom prst="rect">
                      <a:avLst/>
                    </a:prstGeom>
                    <a:noFill/>
                  </pic:spPr>
                </pic:pic>
              </a:graphicData>
            </a:graphic>
          </wp:anchor>
        </w:drawing>
      </w:r>
    </w:p>
    <w:p w14:paraId="380BC6FE"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36DDC9CD"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75939AE8"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3AAAA387"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3F504597"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058A79A4"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2C693C81"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5C42F5FB"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0FE38537"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267A3918" w14:textId="77777777" w:rsidR="00263734" w:rsidRPr="00263734" w:rsidRDefault="00263734" w:rsidP="00263734">
      <w:pPr>
        <w:spacing w:after="0" w:line="240" w:lineRule="auto"/>
        <w:jc w:val="center"/>
        <w:rPr>
          <w:rFonts w:ascii="Candara" w:eastAsia="Times New Roman" w:hAnsi="Candara" w:cs="Times New Roman"/>
          <w:b/>
          <w:color w:val="375050"/>
          <w:sz w:val="56"/>
          <w:szCs w:val="72"/>
          <w:lang w:eastAsia="pl-PL"/>
        </w:rPr>
      </w:pPr>
      <w:r w:rsidRPr="00263734">
        <w:rPr>
          <w:rFonts w:ascii="Candara" w:eastAsia="Times New Roman" w:hAnsi="Candara" w:cs="Times New Roman"/>
          <w:b/>
          <w:color w:val="375050"/>
          <w:sz w:val="56"/>
          <w:szCs w:val="72"/>
          <w:lang w:eastAsia="pl-PL"/>
        </w:rPr>
        <w:t xml:space="preserve">RACHUNEK SATELITARNY </w:t>
      </w:r>
    </w:p>
    <w:p w14:paraId="39ED0458" w14:textId="77777777" w:rsidR="00263734" w:rsidRPr="00263734" w:rsidRDefault="00263734" w:rsidP="00263734">
      <w:pPr>
        <w:spacing w:after="0" w:line="240" w:lineRule="auto"/>
        <w:jc w:val="center"/>
        <w:rPr>
          <w:rFonts w:ascii="Candara" w:eastAsia="Times New Roman" w:hAnsi="Candara" w:cs="Times New Roman"/>
          <w:b/>
          <w:color w:val="375050"/>
          <w:sz w:val="56"/>
          <w:szCs w:val="72"/>
          <w:lang w:eastAsia="pl-PL"/>
        </w:rPr>
      </w:pPr>
      <w:r w:rsidRPr="00263734">
        <w:rPr>
          <w:rFonts w:ascii="Candara" w:eastAsia="Times New Roman" w:hAnsi="Candara" w:cs="Times New Roman"/>
          <w:b/>
          <w:color w:val="375050"/>
          <w:sz w:val="56"/>
          <w:szCs w:val="72"/>
          <w:lang w:eastAsia="pl-PL"/>
        </w:rPr>
        <w:t xml:space="preserve">TURYSTYKI DLA POLSKI </w:t>
      </w:r>
    </w:p>
    <w:p w14:paraId="40A7C68A" w14:textId="2CAB2333" w:rsidR="00263734" w:rsidRPr="00263734" w:rsidRDefault="00263734" w:rsidP="004D1BA8">
      <w:pPr>
        <w:spacing w:after="0" w:line="240" w:lineRule="auto"/>
        <w:jc w:val="center"/>
        <w:rPr>
          <w:rFonts w:ascii="Candara" w:eastAsia="Times New Roman" w:hAnsi="Candara" w:cs="Times New Roman"/>
          <w:b/>
          <w:color w:val="375050"/>
          <w:sz w:val="48"/>
          <w:szCs w:val="72"/>
          <w:lang w:eastAsia="pl-PL"/>
        </w:rPr>
      </w:pPr>
      <w:r w:rsidRPr="00263734">
        <w:rPr>
          <w:rFonts w:ascii="Candara" w:eastAsia="Times New Roman" w:hAnsi="Candara" w:cs="Times New Roman"/>
          <w:b/>
          <w:color w:val="375050"/>
          <w:sz w:val="48"/>
          <w:szCs w:val="72"/>
          <w:lang w:eastAsia="pl-PL"/>
        </w:rPr>
        <w:t xml:space="preserve">za </w:t>
      </w:r>
      <w:r w:rsidR="004D1BA8">
        <w:rPr>
          <w:rFonts w:ascii="Candara" w:eastAsia="Times New Roman" w:hAnsi="Candara" w:cs="Times New Roman"/>
          <w:b/>
          <w:color w:val="375050"/>
          <w:sz w:val="48"/>
          <w:szCs w:val="72"/>
          <w:lang w:eastAsia="pl-PL"/>
        </w:rPr>
        <w:t xml:space="preserve">lata </w:t>
      </w:r>
      <w:r w:rsidRPr="00263734">
        <w:rPr>
          <w:rFonts w:ascii="Candara" w:eastAsia="Times New Roman" w:hAnsi="Candara" w:cs="Times New Roman"/>
          <w:b/>
          <w:color w:val="375050"/>
          <w:sz w:val="48"/>
          <w:szCs w:val="72"/>
          <w:lang w:eastAsia="pl-PL"/>
        </w:rPr>
        <w:t>201</w:t>
      </w:r>
      <w:r w:rsidR="004D1BA8">
        <w:rPr>
          <w:rFonts w:ascii="Candara" w:eastAsia="Times New Roman" w:hAnsi="Candara" w:cs="Times New Roman"/>
          <w:b/>
          <w:color w:val="375050"/>
          <w:sz w:val="48"/>
          <w:szCs w:val="72"/>
          <w:lang w:eastAsia="pl-PL"/>
        </w:rPr>
        <w:t xml:space="preserve">8 i </w:t>
      </w:r>
      <w:r w:rsidRPr="00263734">
        <w:rPr>
          <w:rFonts w:ascii="Candara" w:eastAsia="Times New Roman" w:hAnsi="Candara" w:cs="Times New Roman"/>
          <w:b/>
          <w:color w:val="375050"/>
          <w:sz w:val="48"/>
          <w:szCs w:val="72"/>
          <w:lang w:eastAsia="pl-PL"/>
        </w:rPr>
        <w:t>201</w:t>
      </w:r>
      <w:r w:rsidR="004D1BA8">
        <w:rPr>
          <w:rFonts w:ascii="Candara" w:eastAsia="Times New Roman" w:hAnsi="Candara" w:cs="Times New Roman"/>
          <w:b/>
          <w:color w:val="375050"/>
          <w:sz w:val="48"/>
          <w:szCs w:val="72"/>
          <w:lang w:eastAsia="pl-PL"/>
        </w:rPr>
        <w:t>9</w:t>
      </w:r>
    </w:p>
    <w:p w14:paraId="7F787A17" w14:textId="77777777" w:rsidR="00263734" w:rsidRPr="00263734" w:rsidRDefault="00263734" w:rsidP="00263734">
      <w:pPr>
        <w:spacing w:after="0" w:line="240" w:lineRule="auto"/>
        <w:jc w:val="center"/>
        <w:rPr>
          <w:rFonts w:ascii="Candara" w:eastAsia="Times New Roman" w:hAnsi="Candara" w:cs="Times New Roman"/>
          <w:b/>
          <w:i/>
          <w:color w:val="375050"/>
          <w:sz w:val="48"/>
          <w:szCs w:val="72"/>
          <w:lang w:eastAsia="pl-PL"/>
        </w:rPr>
      </w:pPr>
    </w:p>
    <w:p w14:paraId="4BF0BC04" w14:textId="77777777" w:rsidR="00263734" w:rsidRPr="00263734" w:rsidRDefault="00263734" w:rsidP="00263734">
      <w:pPr>
        <w:spacing w:after="0" w:line="240" w:lineRule="auto"/>
        <w:jc w:val="center"/>
        <w:rPr>
          <w:rFonts w:ascii="Candara" w:eastAsia="Times New Roman" w:hAnsi="Candara" w:cs="Times New Roman"/>
          <w:b/>
          <w:color w:val="002060"/>
          <w:sz w:val="56"/>
          <w:szCs w:val="56"/>
          <w:lang w:eastAsia="pl-PL"/>
        </w:rPr>
      </w:pPr>
    </w:p>
    <w:p w14:paraId="6D69C270" w14:textId="77777777" w:rsidR="00263734" w:rsidRPr="00263734" w:rsidRDefault="00263734" w:rsidP="00263734">
      <w:pPr>
        <w:spacing w:after="0" w:line="240" w:lineRule="auto"/>
        <w:rPr>
          <w:rFonts w:ascii="Times New Roman" w:eastAsia="Times New Roman" w:hAnsi="Times New Roman" w:cs="Times New Roman"/>
          <w:sz w:val="24"/>
          <w:szCs w:val="24"/>
          <w:lang w:eastAsia="pl-PL"/>
        </w:rPr>
      </w:pPr>
    </w:p>
    <w:p w14:paraId="0D552C7D" w14:textId="77777777" w:rsidR="00263734" w:rsidRPr="00263734" w:rsidRDefault="00263734" w:rsidP="00263734">
      <w:pPr>
        <w:spacing w:after="0" w:line="240" w:lineRule="auto"/>
        <w:ind w:left="4000" w:firstLine="800"/>
        <w:jc w:val="right"/>
        <w:rPr>
          <w:rFonts w:ascii="Times New Roman" w:eastAsia="Times New Roman" w:hAnsi="Times New Roman" w:cs="Times New Roman"/>
          <w:i/>
          <w:iCs/>
          <w:sz w:val="28"/>
          <w:szCs w:val="28"/>
          <w:lang w:eastAsia="pl-PL"/>
        </w:rPr>
      </w:pPr>
    </w:p>
    <w:p w14:paraId="17987D2C"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5006B895" w14:textId="77777777" w:rsidR="00263734" w:rsidRPr="00263734" w:rsidRDefault="00263734" w:rsidP="00263734">
      <w:pPr>
        <w:spacing w:after="0" w:line="240" w:lineRule="auto"/>
        <w:rPr>
          <w:rFonts w:ascii="Times New Roman" w:eastAsia="Times New Roman" w:hAnsi="Times New Roman" w:cs="Times New Roman"/>
          <w:iCs/>
          <w:sz w:val="28"/>
          <w:szCs w:val="28"/>
          <w:lang w:eastAsia="pl-PL"/>
        </w:rPr>
      </w:pPr>
    </w:p>
    <w:p w14:paraId="2CE3FD6D"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417E1B82"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1DF22D0F"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6EB76253"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0C440E1B"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29DDD057"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3D8E6BBA"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1BC79B69" w14:textId="77777777" w:rsidR="00263734" w:rsidRPr="00263734" w:rsidRDefault="00263734" w:rsidP="00263734">
      <w:pPr>
        <w:spacing w:after="0" w:line="240" w:lineRule="auto"/>
        <w:ind w:left="4000" w:firstLine="800"/>
        <w:jc w:val="right"/>
        <w:rPr>
          <w:rFonts w:ascii="Times New Roman" w:eastAsia="Times New Roman" w:hAnsi="Times New Roman" w:cs="Times New Roman"/>
          <w:iCs/>
          <w:sz w:val="28"/>
          <w:szCs w:val="28"/>
          <w:lang w:eastAsia="pl-PL"/>
        </w:rPr>
      </w:pPr>
    </w:p>
    <w:p w14:paraId="53A1C0A4" w14:textId="77777777" w:rsidR="00263734" w:rsidRPr="00263734" w:rsidRDefault="00263734" w:rsidP="00263734">
      <w:pPr>
        <w:spacing w:after="0" w:line="240" w:lineRule="auto"/>
        <w:ind w:left="4000" w:firstLine="800"/>
        <w:jc w:val="right"/>
        <w:rPr>
          <w:rFonts w:ascii="Times New Roman" w:eastAsia="Times New Roman" w:hAnsi="Times New Roman" w:cs="Times New Roman"/>
          <w:i/>
          <w:iCs/>
          <w:sz w:val="28"/>
          <w:szCs w:val="28"/>
          <w:lang w:eastAsia="pl-PL"/>
        </w:rPr>
      </w:pPr>
    </w:p>
    <w:p w14:paraId="7F6847F0" w14:textId="77777777" w:rsidR="00263734" w:rsidRPr="00263734" w:rsidRDefault="00263734" w:rsidP="00263734">
      <w:pPr>
        <w:spacing w:after="0" w:line="240" w:lineRule="auto"/>
        <w:ind w:left="4000" w:firstLine="800"/>
        <w:jc w:val="right"/>
        <w:rPr>
          <w:rFonts w:ascii="Times New Roman" w:eastAsia="Times New Roman" w:hAnsi="Times New Roman" w:cs="Times New Roman"/>
          <w:i/>
          <w:iCs/>
          <w:sz w:val="28"/>
          <w:szCs w:val="28"/>
          <w:lang w:eastAsia="pl-PL"/>
        </w:rPr>
      </w:pPr>
    </w:p>
    <w:p w14:paraId="5E9CC5C3" w14:textId="77777777" w:rsidR="00263734" w:rsidRPr="00263734" w:rsidRDefault="00263734" w:rsidP="00263734">
      <w:pPr>
        <w:spacing w:after="0" w:line="240" w:lineRule="auto"/>
        <w:ind w:left="4000" w:firstLine="800"/>
        <w:jc w:val="right"/>
        <w:rPr>
          <w:rFonts w:ascii="Times New Roman" w:eastAsia="Times New Roman" w:hAnsi="Times New Roman" w:cs="Times New Roman"/>
          <w:i/>
          <w:iCs/>
          <w:sz w:val="28"/>
          <w:szCs w:val="28"/>
          <w:lang w:eastAsia="pl-PL"/>
        </w:rPr>
      </w:pPr>
    </w:p>
    <w:p w14:paraId="3F5BA22E" w14:textId="77777777" w:rsidR="00263734" w:rsidRPr="00263734" w:rsidRDefault="00263734" w:rsidP="00263734">
      <w:pPr>
        <w:spacing w:after="0" w:line="240" w:lineRule="auto"/>
        <w:jc w:val="right"/>
        <w:rPr>
          <w:rFonts w:ascii="Candara" w:eastAsia="Times New Roman" w:hAnsi="Candara" w:cs="Times New Roman"/>
          <w:b/>
          <w:color w:val="375050"/>
          <w:sz w:val="28"/>
          <w:szCs w:val="28"/>
          <w:lang w:eastAsia="pl-PL"/>
        </w:rPr>
      </w:pPr>
    </w:p>
    <w:p w14:paraId="39699E78" w14:textId="077A672F" w:rsidR="00263734" w:rsidRPr="00263734" w:rsidRDefault="00263734" w:rsidP="00263734">
      <w:pPr>
        <w:spacing w:after="0" w:line="240" w:lineRule="auto"/>
        <w:jc w:val="center"/>
        <w:rPr>
          <w:rFonts w:ascii="Candara" w:eastAsia="Times New Roman" w:hAnsi="Candara" w:cs="Times New Roman"/>
          <w:b/>
          <w:color w:val="002060"/>
          <w:sz w:val="28"/>
          <w:szCs w:val="28"/>
          <w:lang w:eastAsia="pl-PL"/>
        </w:rPr>
      </w:pPr>
      <w:r w:rsidRPr="00263734">
        <w:rPr>
          <w:rFonts w:ascii="Candara" w:eastAsia="Times New Roman" w:hAnsi="Candara" w:cs="Times New Roman"/>
          <w:b/>
          <w:color w:val="375050"/>
          <w:sz w:val="28"/>
          <w:szCs w:val="28"/>
          <w:lang w:eastAsia="pl-PL"/>
        </w:rPr>
        <w:t>Warszawa, 20</w:t>
      </w:r>
      <w:r w:rsidR="00AC74D2">
        <w:rPr>
          <w:rFonts w:ascii="Candara" w:eastAsia="Times New Roman" w:hAnsi="Candara" w:cs="Times New Roman"/>
          <w:b/>
          <w:color w:val="375050"/>
          <w:sz w:val="28"/>
          <w:szCs w:val="28"/>
          <w:lang w:eastAsia="pl-PL"/>
        </w:rPr>
        <w:t>22</w:t>
      </w:r>
    </w:p>
    <w:p w14:paraId="23F140AE" w14:textId="77777777" w:rsidR="00263734" w:rsidRPr="00263734" w:rsidRDefault="00263734" w:rsidP="00263734">
      <w:pPr>
        <w:spacing w:after="0" w:line="216" w:lineRule="auto"/>
        <w:jc w:val="right"/>
        <w:rPr>
          <w:rFonts w:ascii="Times New Roman" w:eastAsia="Times New Roman" w:hAnsi="Times New Roman" w:cs="Times New Roman"/>
          <w:b/>
          <w:bCs/>
          <w:sz w:val="40"/>
          <w:szCs w:val="24"/>
          <w:lang w:eastAsia="pl-PL"/>
        </w:rPr>
      </w:pPr>
    </w:p>
    <w:p w14:paraId="794B19F1" w14:textId="7D3ECE81" w:rsidR="00263734" w:rsidRPr="00263734" w:rsidRDefault="009B3416" w:rsidP="00263734">
      <w:pPr>
        <w:spacing w:after="0" w:line="288"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 xml:space="preserve"> </w:t>
      </w:r>
    </w:p>
    <w:p w14:paraId="512F1E5F"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17AD0B0A" w14:textId="7DD52F2B" w:rsidR="00263734" w:rsidRDefault="00263734" w:rsidP="00263734">
      <w:pPr>
        <w:spacing w:after="0" w:line="288" w:lineRule="auto"/>
        <w:jc w:val="both"/>
        <w:rPr>
          <w:rFonts w:ascii="Times New Roman" w:eastAsia="Times New Roman" w:hAnsi="Times New Roman" w:cs="Times New Roman"/>
          <w:sz w:val="24"/>
          <w:szCs w:val="20"/>
          <w:lang w:eastAsia="pl-PL"/>
        </w:rPr>
      </w:pPr>
    </w:p>
    <w:p w14:paraId="767F6E31" w14:textId="77777777" w:rsidR="00AC74D2" w:rsidRPr="00263734" w:rsidRDefault="00AC74D2" w:rsidP="00263734">
      <w:pPr>
        <w:spacing w:after="0" w:line="288" w:lineRule="auto"/>
        <w:jc w:val="both"/>
        <w:rPr>
          <w:rFonts w:ascii="Times New Roman" w:eastAsia="Times New Roman" w:hAnsi="Times New Roman" w:cs="Times New Roman"/>
          <w:sz w:val="24"/>
          <w:szCs w:val="20"/>
          <w:lang w:eastAsia="pl-PL"/>
        </w:rPr>
      </w:pPr>
    </w:p>
    <w:p w14:paraId="648D4104"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bookmarkStart w:id="5" w:name="_Hlk113731764"/>
      <w:bookmarkEnd w:id="0"/>
      <w:r w:rsidRPr="00263734">
        <w:rPr>
          <w:rFonts w:ascii="Times New Roman" w:eastAsia="Times New Roman" w:hAnsi="Times New Roman" w:cs="Times New Roman"/>
          <w:sz w:val="24"/>
          <w:szCs w:val="20"/>
          <w:lang w:eastAsia="pl-PL"/>
        </w:rPr>
        <w:lastRenderedPageBreak/>
        <w:t>Redaktor naukowy:</w:t>
      </w:r>
    </w:p>
    <w:p w14:paraId="1A04341C"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r w:rsidRPr="00263734">
        <w:rPr>
          <w:rFonts w:ascii="Times New Roman" w:eastAsia="Times New Roman" w:hAnsi="Times New Roman" w:cs="Times New Roman"/>
          <w:sz w:val="24"/>
          <w:szCs w:val="20"/>
          <w:lang w:val="de-DE" w:eastAsia="pl-PL"/>
        </w:rPr>
        <w:t xml:space="preserve">prof. </w:t>
      </w:r>
      <w:proofErr w:type="spellStart"/>
      <w:r w:rsidRPr="00263734">
        <w:rPr>
          <w:rFonts w:ascii="Times New Roman" w:eastAsia="Times New Roman" w:hAnsi="Times New Roman" w:cs="Times New Roman"/>
          <w:sz w:val="24"/>
          <w:szCs w:val="20"/>
          <w:lang w:val="de-DE" w:eastAsia="pl-PL"/>
        </w:rPr>
        <w:t>dr</w:t>
      </w:r>
      <w:proofErr w:type="spellEnd"/>
      <w:r w:rsidRPr="00263734">
        <w:rPr>
          <w:rFonts w:ascii="Times New Roman" w:eastAsia="Times New Roman" w:hAnsi="Times New Roman" w:cs="Times New Roman"/>
          <w:sz w:val="24"/>
          <w:szCs w:val="20"/>
          <w:lang w:val="de-DE" w:eastAsia="pl-PL"/>
        </w:rPr>
        <w:t xml:space="preserve"> hab. </w:t>
      </w:r>
      <w:r w:rsidRPr="00263734">
        <w:rPr>
          <w:rFonts w:ascii="Times New Roman" w:eastAsia="Times New Roman" w:hAnsi="Times New Roman" w:cs="Times New Roman"/>
          <w:sz w:val="24"/>
          <w:szCs w:val="20"/>
          <w:lang w:eastAsia="pl-PL"/>
        </w:rPr>
        <w:t>Ewa Dziedzic</w:t>
      </w:r>
    </w:p>
    <w:p w14:paraId="2E4FE11A"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497B6E7F"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1F4AE5FD"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r w:rsidRPr="00263734">
        <w:rPr>
          <w:rFonts w:ascii="Times New Roman" w:eastAsia="Times New Roman" w:hAnsi="Times New Roman" w:cs="Times New Roman"/>
          <w:sz w:val="24"/>
          <w:szCs w:val="20"/>
          <w:lang w:eastAsia="pl-PL"/>
        </w:rPr>
        <w:t>Autorzy tekstu:</w:t>
      </w:r>
    </w:p>
    <w:p w14:paraId="1765EB50"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roofErr w:type="spellStart"/>
      <w:r w:rsidRPr="00263734">
        <w:rPr>
          <w:rFonts w:ascii="Times New Roman" w:eastAsia="Times New Roman" w:hAnsi="Times New Roman" w:cs="Times New Roman"/>
          <w:sz w:val="24"/>
          <w:szCs w:val="20"/>
          <w:lang w:val="de-DE" w:eastAsia="pl-PL"/>
        </w:rPr>
        <w:t>dr</w:t>
      </w:r>
      <w:proofErr w:type="spellEnd"/>
      <w:r w:rsidRPr="00263734">
        <w:rPr>
          <w:rFonts w:ascii="Times New Roman" w:eastAsia="Times New Roman" w:hAnsi="Times New Roman" w:cs="Times New Roman"/>
          <w:sz w:val="24"/>
          <w:szCs w:val="20"/>
          <w:lang w:val="de-DE" w:eastAsia="pl-PL"/>
        </w:rPr>
        <w:t xml:space="preserve"> hab. </w:t>
      </w:r>
      <w:r w:rsidRPr="00263734">
        <w:rPr>
          <w:rFonts w:ascii="Times New Roman" w:eastAsia="Times New Roman" w:hAnsi="Times New Roman" w:cs="Times New Roman"/>
          <w:sz w:val="24"/>
          <w:szCs w:val="20"/>
          <w:lang w:eastAsia="pl-PL"/>
        </w:rPr>
        <w:t>Ewa Dziedzic, prof. SGH</w:t>
      </w:r>
    </w:p>
    <w:p w14:paraId="0D1189CE" w14:textId="2E9B5840" w:rsidR="00263734" w:rsidRDefault="00263734" w:rsidP="00263734">
      <w:pPr>
        <w:spacing w:after="0" w:line="288" w:lineRule="auto"/>
        <w:jc w:val="both"/>
        <w:rPr>
          <w:rFonts w:ascii="Times New Roman" w:eastAsia="Times New Roman" w:hAnsi="Times New Roman" w:cs="Times New Roman"/>
          <w:sz w:val="24"/>
          <w:szCs w:val="20"/>
          <w:lang w:eastAsia="pl-PL"/>
        </w:rPr>
      </w:pPr>
      <w:r w:rsidRPr="00263734">
        <w:rPr>
          <w:rFonts w:ascii="Times New Roman" w:eastAsia="Times New Roman" w:hAnsi="Times New Roman" w:cs="Times New Roman"/>
          <w:sz w:val="24"/>
          <w:szCs w:val="20"/>
          <w:lang w:eastAsia="pl-PL"/>
        </w:rPr>
        <w:t>dr hab. Teresa Skalska, prof. SGTi</w:t>
      </w:r>
      <w:r w:rsidR="00AC74D2">
        <w:rPr>
          <w:rFonts w:ascii="Times New Roman" w:eastAsia="Times New Roman" w:hAnsi="Times New Roman" w:cs="Times New Roman"/>
          <w:sz w:val="24"/>
          <w:szCs w:val="20"/>
          <w:lang w:eastAsia="pl-PL"/>
        </w:rPr>
        <w:t>H</w:t>
      </w:r>
    </w:p>
    <w:p w14:paraId="18954C9E" w14:textId="6F14A654" w:rsidR="00AC74D2" w:rsidRPr="00263734" w:rsidRDefault="00AC74D2" w:rsidP="00263734">
      <w:pPr>
        <w:spacing w:after="0" w:line="288" w:lineRule="auto"/>
        <w:jc w:val="both"/>
        <w:rPr>
          <w:rFonts w:ascii="Times New Roman" w:eastAsia="Times New Roman" w:hAnsi="Times New Roman" w:cs="Times New Roman"/>
          <w:sz w:val="24"/>
          <w:szCs w:val="20"/>
          <w:lang w:eastAsia="pl-PL"/>
        </w:rPr>
      </w:pPr>
      <w:r>
        <w:rPr>
          <w:rFonts w:ascii="Times New Roman" w:eastAsia="Times New Roman" w:hAnsi="Times New Roman" w:cs="Times New Roman"/>
          <w:sz w:val="24"/>
          <w:szCs w:val="20"/>
          <w:lang w:eastAsia="pl-PL"/>
        </w:rPr>
        <w:t>dr Maciej Dębski, prof. SAN</w:t>
      </w:r>
    </w:p>
    <w:bookmarkEnd w:id="5"/>
    <w:p w14:paraId="74E05EF4"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5EA79C8B"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5F2D5B88" w14:textId="2631BEAF" w:rsidR="00263734" w:rsidRPr="00263734" w:rsidRDefault="00161B0B" w:rsidP="00263734">
      <w:pPr>
        <w:spacing w:after="0" w:line="288" w:lineRule="auto"/>
        <w:jc w:val="both"/>
        <w:rPr>
          <w:rFonts w:ascii="Times New Roman" w:eastAsia="Times New Roman" w:hAnsi="Times New Roman" w:cs="Times New Roman"/>
          <w:szCs w:val="20"/>
          <w:lang w:eastAsia="pl-PL"/>
        </w:rPr>
      </w:pPr>
      <w:r>
        <w:rPr>
          <w:rFonts w:ascii="Times New Roman" w:eastAsia="Times New Roman" w:hAnsi="Times New Roman" w:cs="Times New Roman"/>
          <w:szCs w:val="20"/>
          <w:lang w:eastAsia="pl-PL"/>
        </w:rPr>
        <w:t>O</w:t>
      </w:r>
      <w:r w:rsidR="00C77A61">
        <w:rPr>
          <w:rFonts w:ascii="Times New Roman" w:eastAsia="Times New Roman" w:hAnsi="Times New Roman" w:cs="Times New Roman"/>
          <w:szCs w:val="20"/>
          <w:lang w:eastAsia="pl-PL"/>
        </w:rPr>
        <w:t>pracowanie edytorskie: Witold Bartoszewicz</w:t>
      </w:r>
    </w:p>
    <w:p w14:paraId="6A1D64D8"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04B296A7"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524A3286"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03811ED1"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0B87ED21"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78A0BD1D"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4983EF3B"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657D8146"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1AD54847" w14:textId="77777777" w:rsidR="00263734" w:rsidRPr="00263734" w:rsidRDefault="00263734" w:rsidP="00263734">
      <w:pPr>
        <w:spacing w:after="0" w:line="276" w:lineRule="auto"/>
        <w:ind w:firstLine="357"/>
        <w:jc w:val="both"/>
        <w:rPr>
          <w:rFonts w:ascii="Times New Roman" w:eastAsia="Times New Roman" w:hAnsi="Times New Roman" w:cs="Times New Roman"/>
          <w:sz w:val="24"/>
          <w:szCs w:val="24"/>
          <w:lang w:eastAsia="pl-PL"/>
        </w:rPr>
      </w:pPr>
    </w:p>
    <w:p w14:paraId="03428A36"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2ABCF8DC"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2EA3CF17"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5D4C748E" w14:textId="77777777" w:rsidR="00263734" w:rsidRPr="00263734" w:rsidRDefault="00263734" w:rsidP="00263734">
      <w:pPr>
        <w:spacing w:after="0" w:line="288" w:lineRule="auto"/>
        <w:jc w:val="both"/>
        <w:rPr>
          <w:rFonts w:ascii="Times New Roman" w:eastAsia="Times New Roman" w:hAnsi="Times New Roman" w:cs="Times New Roman"/>
          <w:szCs w:val="20"/>
          <w:lang w:eastAsia="pl-PL"/>
        </w:rPr>
      </w:pPr>
    </w:p>
    <w:p w14:paraId="59204533" w14:textId="77777777" w:rsidR="00263734" w:rsidRPr="00263734" w:rsidRDefault="00263734" w:rsidP="00263734">
      <w:pPr>
        <w:spacing w:after="0" w:line="288" w:lineRule="auto"/>
        <w:rPr>
          <w:rFonts w:ascii="Times New Roman" w:eastAsia="Times New Roman" w:hAnsi="Times New Roman" w:cs="Times New Roman"/>
          <w:sz w:val="24"/>
          <w:szCs w:val="20"/>
          <w:lang w:eastAsia="pl-PL"/>
        </w:rPr>
      </w:pPr>
      <w:bookmarkStart w:id="6" w:name="_Hlk113731784"/>
      <w:r w:rsidRPr="00263734">
        <w:rPr>
          <w:rFonts w:ascii="Times New Roman" w:eastAsia="Times New Roman" w:hAnsi="Times New Roman" w:cs="Times New Roman"/>
          <w:sz w:val="24"/>
          <w:szCs w:val="20"/>
          <w:lang w:eastAsia="pl-PL"/>
        </w:rPr>
        <w:t>Praca wykonana na zlecenie Ministerstwa Sportu i Turystyki.</w:t>
      </w:r>
      <w:r w:rsidRPr="00263734">
        <w:rPr>
          <w:rFonts w:ascii="Times New Roman" w:eastAsia="Times New Roman" w:hAnsi="Times New Roman" w:cs="Times New Roman"/>
          <w:sz w:val="24"/>
          <w:szCs w:val="20"/>
          <w:lang w:eastAsia="pl-PL"/>
        </w:rPr>
        <w:br/>
      </w:r>
    </w:p>
    <w:p w14:paraId="460B98A8"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45EC4AC9"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14FDCE20"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67D95194" w14:textId="77777777" w:rsidR="00263734" w:rsidRPr="00263734" w:rsidRDefault="00263734" w:rsidP="00263734">
      <w:pPr>
        <w:spacing w:after="0" w:line="288" w:lineRule="auto"/>
        <w:jc w:val="both"/>
        <w:rPr>
          <w:rFonts w:ascii="Times New Roman" w:eastAsia="Times New Roman" w:hAnsi="Times New Roman" w:cs="Times New Roman"/>
          <w:sz w:val="24"/>
          <w:szCs w:val="20"/>
          <w:lang w:eastAsia="pl-PL"/>
        </w:rPr>
      </w:pPr>
    </w:p>
    <w:p w14:paraId="171B7E33" w14:textId="77777777" w:rsidR="00263734" w:rsidRPr="00263734" w:rsidRDefault="00263734" w:rsidP="00263734">
      <w:pPr>
        <w:spacing w:after="0" w:line="300" w:lineRule="exact"/>
        <w:rPr>
          <w:rFonts w:ascii="Times New Roman" w:eastAsia="Times New Roman" w:hAnsi="Times New Roman" w:cs="Times New Roman"/>
          <w:sz w:val="21"/>
          <w:szCs w:val="24"/>
          <w:lang w:eastAsia="ko-KR"/>
        </w:rPr>
      </w:pPr>
      <w:r w:rsidRPr="00263734">
        <w:rPr>
          <w:rFonts w:ascii="Times New Roman" w:eastAsia="Times New Roman" w:hAnsi="Times New Roman" w:cs="Times New Roman"/>
          <w:sz w:val="21"/>
          <w:szCs w:val="24"/>
          <w:lang w:eastAsia="ko-KR"/>
        </w:rPr>
        <w:t>Stowarzyszenie na Rzecz Badania, Rozwoju i Promocji Turystyki</w:t>
      </w:r>
    </w:p>
    <w:p w14:paraId="14C51F6E" w14:textId="6A5448C1" w:rsidR="00263734" w:rsidRPr="00263734" w:rsidRDefault="00263734" w:rsidP="00263734">
      <w:pPr>
        <w:spacing w:after="0" w:line="300" w:lineRule="exact"/>
        <w:rPr>
          <w:rFonts w:ascii="Times New Roman" w:eastAsia="Times New Roman" w:hAnsi="Times New Roman" w:cs="Times New Roman"/>
          <w:sz w:val="21"/>
          <w:szCs w:val="24"/>
          <w:lang w:eastAsia="ko-KR"/>
        </w:rPr>
      </w:pPr>
      <w:r w:rsidRPr="00263734">
        <w:rPr>
          <w:rFonts w:ascii="Times New Roman" w:eastAsia="Times New Roman" w:hAnsi="Times New Roman" w:cs="Times New Roman"/>
          <w:sz w:val="21"/>
          <w:szCs w:val="24"/>
          <w:lang w:eastAsia="ko-KR"/>
        </w:rPr>
        <w:t xml:space="preserve">ul. </w:t>
      </w:r>
      <w:r w:rsidR="00AC74D2">
        <w:rPr>
          <w:rFonts w:ascii="Times New Roman" w:eastAsia="Times New Roman" w:hAnsi="Times New Roman" w:cs="Times New Roman"/>
          <w:sz w:val="21"/>
          <w:szCs w:val="24"/>
          <w:lang w:eastAsia="ko-KR"/>
        </w:rPr>
        <w:t>Filmowa 78, 04-929</w:t>
      </w:r>
      <w:r w:rsidRPr="00263734">
        <w:rPr>
          <w:rFonts w:ascii="Times New Roman" w:eastAsia="Times New Roman" w:hAnsi="Times New Roman" w:cs="Times New Roman"/>
          <w:sz w:val="21"/>
          <w:szCs w:val="24"/>
          <w:lang w:eastAsia="ko-KR"/>
        </w:rPr>
        <w:t xml:space="preserve"> Warszawa</w:t>
      </w:r>
    </w:p>
    <w:p w14:paraId="69537B93" w14:textId="0E0852DC" w:rsidR="00263734" w:rsidRPr="009B3416" w:rsidRDefault="00263734" w:rsidP="00263734">
      <w:pPr>
        <w:spacing w:after="0" w:line="300" w:lineRule="exact"/>
        <w:rPr>
          <w:rFonts w:ascii="Times New Roman" w:eastAsia="Times New Roman" w:hAnsi="Times New Roman" w:cs="Times New Roman"/>
          <w:sz w:val="21"/>
          <w:szCs w:val="24"/>
          <w:lang w:val="en-US" w:eastAsia="ko-KR"/>
        </w:rPr>
      </w:pPr>
      <w:r w:rsidRPr="009B3416">
        <w:rPr>
          <w:rFonts w:ascii="Times New Roman" w:eastAsia="Times New Roman" w:hAnsi="Times New Roman" w:cs="Times New Roman"/>
          <w:sz w:val="21"/>
          <w:szCs w:val="24"/>
          <w:lang w:val="en-US" w:eastAsia="ko-KR"/>
        </w:rPr>
        <w:t>tel.</w:t>
      </w:r>
      <w:r w:rsidR="009B3416" w:rsidRPr="009B3416">
        <w:rPr>
          <w:rFonts w:ascii="Times New Roman" w:eastAsia="Times New Roman" w:hAnsi="Times New Roman" w:cs="Times New Roman"/>
          <w:sz w:val="21"/>
          <w:szCs w:val="24"/>
          <w:lang w:val="en-US" w:eastAsia="ko-KR"/>
        </w:rPr>
        <w:t xml:space="preserve"> </w:t>
      </w:r>
      <w:r w:rsidRPr="009B3416">
        <w:rPr>
          <w:rFonts w:ascii="Times New Roman" w:eastAsia="Times New Roman" w:hAnsi="Times New Roman" w:cs="Times New Roman"/>
          <w:sz w:val="21"/>
          <w:szCs w:val="24"/>
          <w:lang w:val="en-US" w:eastAsia="ko-KR"/>
        </w:rPr>
        <w:t>+48 606 913 259</w:t>
      </w:r>
    </w:p>
    <w:p w14:paraId="42B8B495" w14:textId="1733723B" w:rsidR="00263734" w:rsidRPr="009B3416" w:rsidRDefault="00263734" w:rsidP="00263734">
      <w:pPr>
        <w:spacing w:after="0" w:line="300" w:lineRule="exact"/>
        <w:rPr>
          <w:rFonts w:ascii="Times New Roman" w:eastAsia="Times New Roman" w:hAnsi="Times New Roman" w:cs="Times New Roman"/>
          <w:sz w:val="21"/>
          <w:szCs w:val="24"/>
          <w:lang w:val="en-US" w:eastAsia="ko-KR"/>
        </w:rPr>
      </w:pPr>
      <w:r w:rsidRPr="009B3416">
        <w:rPr>
          <w:rFonts w:ascii="Times New Roman" w:eastAsia="Times New Roman" w:hAnsi="Times New Roman" w:cs="Times New Roman"/>
          <w:sz w:val="21"/>
          <w:szCs w:val="24"/>
          <w:lang w:val="en-US" w:eastAsia="ko-KR"/>
        </w:rPr>
        <w:t>e-mail:</w:t>
      </w:r>
      <w:r w:rsidR="009B3416" w:rsidRPr="009B3416">
        <w:rPr>
          <w:rFonts w:ascii="Times New Roman" w:eastAsia="Times New Roman" w:hAnsi="Times New Roman" w:cs="Times New Roman"/>
          <w:sz w:val="21"/>
          <w:szCs w:val="24"/>
          <w:lang w:val="en-US" w:eastAsia="ko-KR"/>
        </w:rPr>
        <w:t xml:space="preserve"> </w:t>
      </w:r>
      <w:r w:rsidRPr="009B3416">
        <w:rPr>
          <w:rFonts w:ascii="Times New Roman" w:eastAsia="Times New Roman" w:hAnsi="Times New Roman" w:cs="Times New Roman"/>
          <w:sz w:val="21"/>
          <w:szCs w:val="24"/>
          <w:lang w:val="en-US" w:eastAsia="ko-KR"/>
        </w:rPr>
        <w:t>mariusz.ciechomski99@wp.pl / t.skalska@gmail.com</w:t>
      </w:r>
    </w:p>
    <w:p w14:paraId="42F48D79" w14:textId="77777777" w:rsidR="00263734" w:rsidRPr="009B3416" w:rsidRDefault="00263734" w:rsidP="00263734">
      <w:pPr>
        <w:keepNext/>
        <w:tabs>
          <w:tab w:val="left" w:pos="357"/>
        </w:tabs>
        <w:suppressAutoHyphens/>
        <w:spacing w:before="120" w:after="120" w:line="276" w:lineRule="auto"/>
        <w:outlineLvl w:val="0"/>
        <w:rPr>
          <w:rFonts w:ascii="Calibri" w:eastAsia="Times New Roman" w:hAnsi="Calibri" w:cs="Times New Roman"/>
          <w:b/>
          <w:color w:val="595959"/>
          <w:sz w:val="32"/>
          <w:szCs w:val="24"/>
          <w:lang w:val="en-US" w:eastAsia="pl-PL"/>
        </w:rPr>
      </w:pPr>
    </w:p>
    <w:bookmarkEnd w:id="6"/>
    <w:p w14:paraId="3AE43087" w14:textId="77777777" w:rsidR="00263734" w:rsidRPr="009B3416" w:rsidRDefault="00263734" w:rsidP="00263734">
      <w:pPr>
        <w:tabs>
          <w:tab w:val="left" w:pos="5688"/>
        </w:tabs>
        <w:spacing w:after="0" w:line="276" w:lineRule="auto"/>
        <w:ind w:firstLine="357"/>
        <w:jc w:val="both"/>
        <w:rPr>
          <w:rFonts w:ascii="Times New Roman" w:eastAsia="Times New Roman" w:hAnsi="Times New Roman" w:cs="Times New Roman"/>
          <w:sz w:val="24"/>
          <w:szCs w:val="24"/>
          <w:lang w:val="en-US" w:eastAsia="pl-PL"/>
        </w:rPr>
        <w:sectPr w:rsidR="00263734" w:rsidRPr="009B3416" w:rsidSect="007D4976">
          <w:pgSz w:w="11906" w:h="16838" w:code="9"/>
          <w:pgMar w:top="1418" w:right="1418" w:bottom="1418" w:left="1418" w:header="567" w:footer="567" w:gutter="0"/>
          <w:cols w:space="708"/>
        </w:sectPr>
      </w:pPr>
      <w:r w:rsidRPr="009B3416">
        <w:rPr>
          <w:rFonts w:ascii="Times New Roman" w:eastAsia="Times New Roman" w:hAnsi="Times New Roman" w:cs="Times New Roman"/>
          <w:sz w:val="24"/>
          <w:szCs w:val="24"/>
          <w:lang w:val="en-US" w:eastAsia="pl-PL"/>
        </w:rPr>
        <w:tab/>
      </w:r>
      <w:r w:rsidRPr="009B3416">
        <w:rPr>
          <w:rFonts w:ascii="Times New Roman" w:eastAsia="Times New Roman" w:hAnsi="Times New Roman" w:cs="Times New Roman"/>
          <w:sz w:val="24"/>
          <w:szCs w:val="24"/>
          <w:lang w:val="en-US" w:eastAsia="pl-PL"/>
        </w:rPr>
        <w:tab/>
      </w:r>
    </w:p>
    <w:p w14:paraId="1C2FFB8C" w14:textId="77777777" w:rsidR="00263734" w:rsidRPr="00263734" w:rsidRDefault="00263734" w:rsidP="00263734">
      <w:pPr>
        <w:tabs>
          <w:tab w:val="left" w:pos="1474"/>
          <w:tab w:val="right" w:leader="dot" w:pos="9072"/>
        </w:tabs>
        <w:spacing w:after="60" w:line="240" w:lineRule="auto"/>
        <w:ind w:left="397" w:right="567" w:hanging="397"/>
        <w:rPr>
          <w:rFonts w:ascii="Times New Roman" w:eastAsia="Times New Roman" w:hAnsi="Times New Roman" w:cs="Times New Roman"/>
          <w:b/>
          <w:bCs/>
          <w:sz w:val="30"/>
          <w:szCs w:val="30"/>
          <w:lang w:eastAsia="pl-PL"/>
        </w:rPr>
      </w:pPr>
      <w:r w:rsidRPr="00263734">
        <w:rPr>
          <w:rFonts w:ascii="Times New Roman" w:eastAsia="Times New Roman" w:hAnsi="Times New Roman" w:cs="Times New Roman"/>
          <w:b/>
          <w:bCs/>
          <w:sz w:val="30"/>
          <w:szCs w:val="30"/>
          <w:lang w:eastAsia="pl-PL"/>
        </w:rPr>
        <w:lastRenderedPageBreak/>
        <w:t>Wykaz skrótów</w:t>
      </w:r>
      <w:bookmarkEnd w:id="1"/>
      <w:bookmarkEnd w:id="2"/>
      <w:bookmarkEnd w:id="3"/>
    </w:p>
    <w:p w14:paraId="77D1E427" w14:textId="77777777" w:rsidR="00263734" w:rsidRPr="00263734" w:rsidRDefault="00263734" w:rsidP="00263734">
      <w:pPr>
        <w:spacing w:after="0" w:line="240" w:lineRule="auto"/>
        <w:jc w:val="center"/>
        <w:outlineLvl w:val="0"/>
        <w:rPr>
          <w:rFonts w:ascii="Times New Roman" w:eastAsia="Times New Roman" w:hAnsi="Times New Roman" w:cs="Times New Roman"/>
          <w:b/>
          <w:sz w:val="36"/>
          <w:szCs w:val="20"/>
          <w:lang w:eastAsia="pl-PL"/>
        </w:rPr>
      </w:pPr>
    </w:p>
    <w:p w14:paraId="7619B8E9" w14:textId="77777777" w:rsidR="001054CD" w:rsidRPr="00663112" w:rsidRDefault="001054CD" w:rsidP="001054CD">
      <w:pPr>
        <w:pStyle w:val="Tekstpodstawowy"/>
        <w:rPr>
          <w:sz w:val="24"/>
          <w:szCs w:val="24"/>
        </w:rPr>
      </w:pPr>
      <w:r w:rsidRPr="00663112">
        <w:rPr>
          <w:sz w:val="24"/>
          <w:szCs w:val="24"/>
        </w:rPr>
        <w:t>Wykaz skrótów</w:t>
      </w:r>
    </w:p>
    <w:tbl>
      <w:tblPr>
        <w:tblStyle w:val="Tabela-Siatka11"/>
        <w:tblW w:w="52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236"/>
        <w:gridCol w:w="7427"/>
      </w:tblGrid>
      <w:tr w:rsidR="001054CD" w:rsidRPr="00B4091B" w14:paraId="706A5D19" w14:textId="77777777" w:rsidTr="0076732D">
        <w:tc>
          <w:tcPr>
            <w:tcW w:w="1843" w:type="dxa"/>
          </w:tcPr>
          <w:p w14:paraId="53D7A972"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CPT</w:t>
            </w:r>
          </w:p>
        </w:tc>
        <w:tc>
          <w:tcPr>
            <w:tcW w:w="236" w:type="dxa"/>
          </w:tcPr>
          <w:p w14:paraId="138C5C59"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0ABF8552"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charakterystyczne produkty turystyczne</w:t>
            </w:r>
          </w:p>
        </w:tc>
      </w:tr>
      <w:tr w:rsidR="001054CD" w:rsidRPr="00B4091B" w14:paraId="17822347" w14:textId="77777777" w:rsidTr="0076732D">
        <w:tc>
          <w:tcPr>
            <w:tcW w:w="1843" w:type="dxa"/>
          </w:tcPr>
          <w:p w14:paraId="3B827EC5"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CRDT</w:t>
            </w:r>
          </w:p>
        </w:tc>
        <w:tc>
          <w:tcPr>
            <w:tcW w:w="236" w:type="dxa"/>
          </w:tcPr>
          <w:p w14:paraId="18461A9E"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5477EB13"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charakterystyczne rodzaje działalności turystycznej</w:t>
            </w:r>
          </w:p>
        </w:tc>
      </w:tr>
      <w:tr w:rsidR="001054CD" w:rsidRPr="00B4091B" w14:paraId="1C6FF908" w14:textId="77777777" w:rsidTr="0076732D">
        <w:tc>
          <w:tcPr>
            <w:tcW w:w="1843" w:type="dxa"/>
          </w:tcPr>
          <w:p w14:paraId="7690196E"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FTE</w:t>
            </w:r>
          </w:p>
        </w:tc>
        <w:tc>
          <w:tcPr>
            <w:tcW w:w="236" w:type="dxa"/>
          </w:tcPr>
          <w:p w14:paraId="112C8B79"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74EF53D5"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ekwiwalent pełnego czasu pracy</w:t>
            </w:r>
          </w:p>
        </w:tc>
      </w:tr>
      <w:tr w:rsidR="001054CD" w:rsidRPr="00B4091B" w14:paraId="36C72CEC" w14:textId="77777777" w:rsidTr="0076732D">
        <w:tc>
          <w:tcPr>
            <w:tcW w:w="1843" w:type="dxa"/>
          </w:tcPr>
          <w:p w14:paraId="0EB17C0E"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MF</w:t>
            </w:r>
          </w:p>
        </w:tc>
        <w:tc>
          <w:tcPr>
            <w:tcW w:w="236" w:type="dxa"/>
          </w:tcPr>
          <w:p w14:paraId="49F0D7E3"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3796FF26"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Ministerstwo Finansów</w:t>
            </w:r>
          </w:p>
        </w:tc>
      </w:tr>
      <w:tr w:rsidR="001054CD" w:rsidRPr="00B4091B" w14:paraId="03626CEC" w14:textId="77777777" w:rsidTr="0076732D">
        <w:tc>
          <w:tcPr>
            <w:tcW w:w="1843" w:type="dxa"/>
          </w:tcPr>
          <w:p w14:paraId="12132497"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MFW</w:t>
            </w:r>
          </w:p>
        </w:tc>
        <w:tc>
          <w:tcPr>
            <w:tcW w:w="236" w:type="dxa"/>
          </w:tcPr>
          <w:p w14:paraId="036F79F2"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66A5D828"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Międzynarodowy Fundusz Walutowy</w:t>
            </w:r>
          </w:p>
        </w:tc>
      </w:tr>
      <w:tr w:rsidR="001054CD" w:rsidRPr="00B4091B" w14:paraId="72B46C95" w14:textId="77777777" w:rsidTr="0076732D">
        <w:tc>
          <w:tcPr>
            <w:tcW w:w="1843" w:type="dxa"/>
          </w:tcPr>
          <w:p w14:paraId="71F94CE8"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 xml:space="preserve">NACE </w:t>
            </w:r>
            <w:proofErr w:type="spellStart"/>
            <w:r w:rsidRPr="00C32F92">
              <w:rPr>
                <w:rFonts w:asciiTheme="minorHAnsi" w:hAnsiTheme="minorHAnsi" w:cstheme="minorHAnsi"/>
                <w:sz w:val="18"/>
                <w:szCs w:val="18"/>
              </w:rPr>
              <w:t>Rev</w:t>
            </w:r>
            <w:proofErr w:type="spellEnd"/>
            <w:r w:rsidRPr="00C32F92">
              <w:rPr>
                <w:rFonts w:asciiTheme="minorHAnsi" w:hAnsiTheme="minorHAnsi" w:cstheme="minorHAnsi"/>
                <w:sz w:val="18"/>
                <w:szCs w:val="18"/>
              </w:rPr>
              <w:t>. 1</w:t>
            </w:r>
          </w:p>
        </w:tc>
        <w:tc>
          <w:tcPr>
            <w:tcW w:w="236" w:type="dxa"/>
          </w:tcPr>
          <w:p w14:paraId="040862CF"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50C362DC"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Europejska Klasyfikacja Działalności</w:t>
            </w:r>
          </w:p>
        </w:tc>
      </w:tr>
      <w:tr w:rsidR="001054CD" w:rsidRPr="00B4091B" w14:paraId="360B68D9" w14:textId="77777777" w:rsidTr="0076732D">
        <w:tc>
          <w:tcPr>
            <w:tcW w:w="1843" w:type="dxa"/>
          </w:tcPr>
          <w:p w14:paraId="0EB68818"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OECD</w:t>
            </w:r>
          </w:p>
        </w:tc>
        <w:tc>
          <w:tcPr>
            <w:tcW w:w="236" w:type="dxa"/>
          </w:tcPr>
          <w:p w14:paraId="0B8FACDB"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21E70083"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Organizacja Europejskiej Współpracy Gospodarczej</w:t>
            </w:r>
          </w:p>
        </w:tc>
      </w:tr>
      <w:tr w:rsidR="001054CD" w:rsidRPr="00B4091B" w14:paraId="674F91DC" w14:textId="77777777" w:rsidTr="0076732D">
        <w:tc>
          <w:tcPr>
            <w:tcW w:w="1843" w:type="dxa"/>
          </w:tcPr>
          <w:p w14:paraId="6EC21CB4"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PKD</w:t>
            </w:r>
          </w:p>
        </w:tc>
        <w:tc>
          <w:tcPr>
            <w:tcW w:w="236" w:type="dxa"/>
          </w:tcPr>
          <w:p w14:paraId="27D4175C"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0E90E28A"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Polska Klasyfikacja Działalności</w:t>
            </w:r>
          </w:p>
        </w:tc>
      </w:tr>
      <w:tr w:rsidR="001054CD" w:rsidRPr="00B4091B" w14:paraId="05139965" w14:textId="77777777" w:rsidTr="0076732D">
        <w:tc>
          <w:tcPr>
            <w:tcW w:w="1843" w:type="dxa"/>
          </w:tcPr>
          <w:p w14:paraId="729B9AEE"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PKWiU</w:t>
            </w:r>
          </w:p>
        </w:tc>
        <w:tc>
          <w:tcPr>
            <w:tcW w:w="236" w:type="dxa"/>
          </w:tcPr>
          <w:p w14:paraId="56939FE2"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78699204"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Polska Klasyfikacja Wyrobów i Usług</w:t>
            </w:r>
          </w:p>
        </w:tc>
      </w:tr>
      <w:tr w:rsidR="001054CD" w:rsidRPr="00B4091B" w14:paraId="2FBAE1B5" w14:textId="77777777" w:rsidTr="0076732D">
        <w:tc>
          <w:tcPr>
            <w:tcW w:w="1843" w:type="dxa"/>
          </w:tcPr>
          <w:p w14:paraId="5BF06792"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RDZT</w:t>
            </w:r>
          </w:p>
        </w:tc>
        <w:tc>
          <w:tcPr>
            <w:tcW w:w="236" w:type="dxa"/>
          </w:tcPr>
          <w:p w14:paraId="30C22880"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239895E3"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rodzaje działalności związane z turystyką</w:t>
            </w:r>
          </w:p>
        </w:tc>
      </w:tr>
      <w:tr w:rsidR="001054CD" w:rsidRPr="004F463E" w14:paraId="7B4AD09F" w14:textId="77777777" w:rsidTr="0076732D">
        <w:tc>
          <w:tcPr>
            <w:tcW w:w="1843" w:type="dxa"/>
          </w:tcPr>
          <w:p w14:paraId="2F71B818"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RMF</w:t>
            </w:r>
          </w:p>
        </w:tc>
        <w:tc>
          <w:tcPr>
            <w:tcW w:w="236" w:type="dxa"/>
          </w:tcPr>
          <w:p w14:paraId="38B0344E" w14:textId="77777777" w:rsidR="001054CD" w:rsidRPr="00C32F92" w:rsidRDefault="001054CD" w:rsidP="0076732D">
            <w:pPr>
              <w:spacing w:line="288" w:lineRule="auto"/>
              <w:jc w:val="right"/>
              <w:rPr>
                <w:rFonts w:asciiTheme="minorHAnsi" w:hAnsiTheme="minorHAnsi" w:cstheme="minorHAnsi"/>
                <w:sz w:val="18"/>
                <w:szCs w:val="18"/>
                <w:lang w:val="en-US"/>
              </w:rPr>
            </w:pPr>
            <w:r w:rsidRPr="00C32F92">
              <w:rPr>
                <w:rFonts w:asciiTheme="minorHAnsi" w:hAnsiTheme="minorHAnsi" w:cstheme="minorHAnsi"/>
                <w:sz w:val="18"/>
                <w:szCs w:val="18"/>
              </w:rPr>
              <w:t>–</w:t>
            </w:r>
          </w:p>
        </w:tc>
        <w:tc>
          <w:tcPr>
            <w:tcW w:w="7427" w:type="dxa"/>
          </w:tcPr>
          <w:p w14:paraId="5AD36808" w14:textId="77777777" w:rsidR="001054CD" w:rsidRPr="00C32F92" w:rsidRDefault="001054CD" w:rsidP="0076732D">
            <w:pPr>
              <w:ind w:firstLine="397"/>
              <w:jc w:val="both"/>
              <w:rPr>
                <w:rFonts w:asciiTheme="minorHAnsi" w:hAnsiTheme="minorHAnsi" w:cstheme="minorHAnsi"/>
                <w:sz w:val="18"/>
                <w:szCs w:val="18"/>
                <w:lang w:val="en-US"/>
              </w:rPr>
            </w:pPr>
            <w:r w:rsidRPr="00C32F92">
              <w:rPr>
                <w:rFonts w:asciiTheme="minorHAnsi" w:hAnsiTheme="minorHAnsi" w:cstheme="minorHAnsi"/>
                <w:sz w:val="18"/>
                <w:szCs w:val="18"/>
                <w:lang w:val="en-US"/>
              </w:rPr>
              <w:t>Recommended Methodological Framework (</w:t>
            </w:r>
            <w:proofErr w:type="spellStart"/>
            <w:r w:rsidRPr="00C32F92">
              <w:rPr>
                <w:rFonts w:asciiTheme="minorHAnsi" w:hAnsiTheme="minorHAnsi" w:cstheme="minorHAnsi"/>
                <w:sz w:val="18"/>
                <w:szCs w:val="18"/>
                <w:lang w:val="en-US"/>
              </w:rPr>
              <w:t>Zalecana</w:t>
            </w:r>
            <w:proofErr w:type="spellEnd"/>
            <w:r w:rsidRPr="00C32F92">
              <w:rPr>
                <w:rFonts w:asciiTheme="minorHAnsi" w:hAnsiTheme="minorHAnsi" w:cstheme="minorHAnsi"/>
                <w:sz w:val="18"/>
                <w:szCs w:val="18"/>
                <w:lang w:val="en-US"/>
              </w:rPr>
              <w:t xml:space="preserve"> </w:t>
            </w:r>
            <w:proofErr w:type="spellStart"/>
            <w:r w:rsidRPr="00C32F92">
              <w:rPr>
                <w:rFonts w:asciiTheme="minorHAnsi" w:hAnsiTheme="minorHAnsi" w:cstheme="minorHAnsi"/>
                <w:sz w:val="18"/>
                <w:szCs w:val="18"/>
                <w:lang w:val="en-US"/>
              </w:rPr>
              <w:t>Metodologia</w:t>
            </w:r>
            <w:proofErr w:type="spellEnd"/>
            <w:r w:rsidRPr="00C32F92">
              <w:rPr>
                <w:rFonts w:asciiTheme="minorHAnsi" w:hAnsiTheme="minorHAnsi" w:cstheme="minorHAnsi"/>
                <w:sz w:val="18"/>
                <w:szCs w:val="18"/>
                <w:lang w:val="en-US"/>
              </w:rPr>
              <w:t xml:space="preserve"> RST)</w:t>
            </w:r>
          </w:p>
        </w:tc>
      </w:tr>
      <w:tr w:rsidR="001054CD" w:rsidRPr="00B4091B" w14:paraId="451D0A9D" w14:textId="77777777" w:rsidTr="0076732D">
        <w:tc>
          <w:tcPr>
            <w:tcW w:w="1843" w:type="dxa"/>
          </w:tcPr>
          <w:p w14:paraId="00325C2D"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RST</w:t>
            </w:r>
          </w:p>
        </w:tc>
        <w:tc>
          <w:tcPr>
            <w:tcW w:w="236" w:type="dxa"/>
          </w:tcPr>
          <w:p w14:paraId="2706D9EE"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4CE3400D"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rachunek satelitarny turystyki</w:t>
            </w:r>
          </w:p>
        </w:tc>
      </w:tr>
      <w:tr w:rsidR="001054CD" w:rsidRPr="00B4091B" w14:paraId="349B154B" w14:textId="77777777" w:rsidTr="0076732D">
        <w:tc>
          <w:tcPr>
            <w:tcW w:w="1843" w:type="dxa"/>
          </w:tcPr>
          <w:p w14:paraId="062D055A"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SNA</w:t>
            </w:r>
          </w:p>
          <w:p w14:paraId="0832F8C8"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SRN</w:t>
            </w:r>
          </w:p>
        </w:tc>
        <w:tc>
          <w:tcPr>
            <w:tcW w:w="236" w:type="dxa"/>
          </w:tcPr>
          <w:p w14:paraId="267ED525"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p w14:paraId="6AC3A0AA"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6DF78ABF" w14:textId="77777777" w:rsidR="001054CD" w:rsidRPr="00C32F92" w:rsidRDefault="001054CD" w:rsidP="0076732D">
            <w:pPr>
              <w:ind w:left="365" w:firstLine="32"/>
              <w:jc w:val="both"/>
              <w:rPr>
                <w:rFonts w:asciiTheme="minorHAnsi" w:hAnsiTheme="minorHAnsi" w:cstheme="minorHAnsi"/>
                <w:sz w:val="18"/>
                <w:szCs w:val="18"/>
              </w:rPr>
            </w:pPr>
            <w:r w:rsidRPr="00C32F92">
              <w:rPr>
                <w:rFonts w:asciiTheme="minorHAnsi" w:hAnsiTheme="minorHAnsi" w:cstheme="minorHAnsi"/>
                <w:sz w:val="18"/>
                <w:szCs w:val="18"/>
              </w:rPr>
              <w:t xml:space="preserve">System of </w:t>
            </w:r>
            <w:proofErr w:type="spellStart"/>
            <w:r w:rsidRPr="00C32F92">
              <w:rPr>
                <w:rFonts w:asciiTheme="minorHAnsi" w:hAnsiTheme="minorHAnsi" w:cstheme="minorHAnsi"/>
                <w:sz w:val="18"/>
                <w:szCs w:val="18"/>
              </w:rPr>
              <w:t>National</w:t>
            </w:r>
            <w:proofErr w:type="spellEnd"/>
            <w:r w:rsidRPr="00C32F92">
              <w:rPr>
                <w:rFonts w:asciiTheme="minorHAnsi" w:hAnsiTheme="minorHAnsi" w:cstheme="minorHAnsi"/>
                <w:sz w:val="18"/>
                <w:szCs w:val="18"/>
              </w:rPr>
              <w:t xml:space="preserve"> </w:t>
            </w:r>
            <w:proofErr w:type="spellStart"/>
            <w:r w:rsidRPr="00C32F92">
              <w:rPr>
                <w:rFonts w:asciiTheme="minorHAnsi" w:hAnsiTheme="minorHAnsi" w:cstheme="minorHAnsi"/>
                <w:sz w:val="18"/>
                <w:szCs w:val="18"/>
              </w:rPr>
              <w:t>Accounts</w:t>
            </w:r>
            <w:proofErr w:type="spellEnd"/>
            <w:r w:rsidRPr="00C32F92">
              <w:rPr>
                <w:rFonts w:asciiTheme="minorHAnsi" w:hAnsiTheme="minorHAnsi" w:cstheme="minorHAnsi"/>
                <w:sz w:val="18"/>
                <w:szCs w:val="18"/>
              </w:rPr>
              <w:t xml:space="preserve"> </w:t>
            </w:r>
          </w:p>
          <w:p w14:paraId="4C92BE4B" w14:textId="77777777" w:rsidR="001054CD" w:rsidRPr="00C32F92" w:rsidRDefault="001054CD" w:rsidP="0076732D">
            <w:pPr>
              <w:ind w:left="365" w:firstLine="32"/>
              <w:jc w:val="both"/>
              <w:rPr>
                <w:rFonts w:asciiTheme="minorHAnsi" w:hAnsiTheme="minorHAnsi" w:cstheme="minorHAnsi"/>
                <w:sz w:val="18"/>
                <w:szCs w:val="18"/>
              </w:rPr>
            </w:pPr>
            <w:r w:rsidRPr="00C32F92">
              <w:rPr>
                <w:rFonts w:asciiTheme="minorHAnsi" w:hAnsiTheme="minorHAnsi" w:cstheme="minorHAnsi"/>
                <w:sz w:val="18"/>
                <w:szCs w:val="18"/>
              </w:rPr>
              <w:t>system rachunków narodowych</w:t>
            </w:r>
          </w:p>
        </w:tc>
      </w:tr>
      <w:tr w:rsidR="001054CD" w:rsidRPr="00B4091B" w14:paraId="08136949" w14:textId="77777777" w:rsidTr="0076732D">
        <w:tc>
          <w:tcPr>
            <w:tcW w:w="1843" w:type="dxa"/>
          </w:tcPr>
          <w:p w14:paraId="3C8CB41D"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ESA</w:t>
            </w:r>
          </w:p>
        </w:tc>
        <w:tc>
          <w:tcPr>
            <w:tcW w:w="236" w:type="dxa"/>
          </w:tcPr>
          <w:p w14:paraId="7CE69C84"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360F67F1" w14:textId="77777777" w:rsidR="001054CD" w:rsidRPr="00C32F92" w:rsidRDefault="001054CD" w:rsidP="0076732D">
            <w:pPr>
              <w:ind w:left="365" w:firstLine="32"/>
              <w:jc w:val="both"/>
              <w:rPr>
                <w:rFonts w:asciiTheme="minorHAnsi" w:hAnsiTheme="minorHAnsi" w:cstheme="minorHAnsi"/>
                <w:sz w:val="18"/>
                <w:szCs w:val="18"/>
              </w:rPr>
            </w:pPr>
            <w:r w:rsidRPr="00C32F92">
              <w:rPr>
                <w:rFonts w:asciiTheme="minorHAnsi" w:hAnsiTheme="minorHAnsi" w:cstheme="minorHAnsi"/>
                <w:sz w:val="18"/>
                <w:szCs w:val="18"/>
              </w:rPr>
              <w:t>Europejski System Rachunków Narodowych i Regionalnych (ESA, wersja z 2010 r.)</w:t>
            </w:r>
          </w:p>
        </w:tc>
      </w:tr>
      <w:tr w:rsidR="001054CD" w:rsidRPr="00B4091B" w14:paraId="30A4AC51" w14:textId="77777777" w:rsidTr="0076732D">
        <w:tc>
          <w:tcPr>
            <w:tcW w:w="1843" w:type="dxa"/>
          </w:tcPr>
          <w:p w14:paraId="6BBADC1A"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TWD</w:t>
            </w:r>
          </w:p>
          <w:p w14:paraId="7A9AAF54" w14:textId="111D87AF"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TPKB</w:t>
            </w:r>
            <w:r w:rsidR="009B3416">
              <w:rPr>
                <w:rFonts w:asciiTheme="minorHAnsi" w:hAnsiTheme="minorHAnsi" w:cstheme="minorHAnsi"/>
                <w:sz w:val="18"/>
                <w:szCs w:val="18"/>
              </w:rPr>
              <w:t xml:space="preserve">    </w:t>
            </w:r>
            <w:r w:rsidRPr="00C32F92">
              <w:rPr>
                <w:rFonts w:asciiTheme="minorHAnsi" w:hAnsiTheme="minorHAnsi" w:cstheme="minorHAnsi"/>
                <w:sz w:val="18"/>
                <w:szCs w:val="18"/>
              </w:rPr>
              <w:t xml:space="preserve"> </w:t>
            </w:r>
          </w:p>
        </w:tc>
        <w:tc>
          <w:tcPr>
            <w:tcW w:w="236" w:type="dxa"/>
          </w:tcPr>
          <w:p w14:paraId="1B451A49"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450E243B"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turystyczna wartość dodana</w:t>
            </w:r>
          </w:p>
          <w:p w14:paraId="4A90D0BC"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 xml:space="preserve">turystyczny produkt krajowy brutto </w:t>
            </w:r>
          </w:p>
        </w:tc>
      </w:tr>
      <w:tr w:rsidR="001054CD" w:rsidRPr="00B4091B" w14:paraId="56F3FB7E" w14:textId="77777777" w:rsidTr="0076732D">
        <w:tc>
          <w:tcPr>
            <w:tcW w:w="1843" w:type="dxa"/>
          </w:tcPr>
          <w:p w14:paraId="3873681B"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UNWTO</w:t>
            </w:r>
          </w:p>
        </w:tc>
        <w:tc>
          <w:tcPr>
            <w:tcW w:w="236" w:type="dxa"/>
          </w:tcPr>
          <w:p w14:paraId="3E6DB4FE"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11C53E4E"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Światowa Organizacja Turystyki</w:t>
            </w:r>
          </w:p>
        </w:tc>
      </w:tr>
      <w:tr w:rsidR="001054CD" w:rsidRPr="00B4091B" w14:paraId="7ECF6C97" w14:textId="77777777" w:rsidTr="0076732D">
        <w:tc>
          <w:tcPr>
            <w:tcW w:w="1843" w:type="dxa"/>
          </w:tcPr>
          <w:p w14:paraId="690403B6"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WTTC</w:t>
            </w:r>
          </w:p>
        </w:tc>
        <w:tc>
          <w:tcPr>
            <w:tcW w:w="236" w:type="dxa"/>
          </w:tcPr>
          <w:p w14:paraId="5A0F4F62" w14:textId="77777777" w:rsidR="001054CD" w:rsidRPr="00C32F92" w:rsidRDefault="001054CD" w:rsidP="0076732D">
            <w:pPr>
              <w:spacing w:line="288" w:lineRule="auto"/>
              <w:jc w:val="right"/>
              <w:rPr>
                <w:rFonts w:asciiTheme="minorHAnsi" w:hAnsiTheme="minorHAnsi" w:cstheme="minorHAnsi"/>
                <w:sz w:val="18"/>
                <w:szCs w:val="18"/>
              </w:rPr>
            </w:pPr>
            <w:r w:rsidRPr="00C32F92">
              <w:rPr>
                <w:rFonts w:asciiTheme="minorHAnsi" w:hAnsiTheme="minorHAnsi" w:cstheme="minorHAnsi"/>
                <w:sz w:val="18"/>
                <w:szCs w:val="18"/>
              </w:rPr>
              <w:t>–</w:t>
            </w:r>
          </w:p>
        </w:tc>
        <w:tc>
          <w:tcPr>
            <w:tcW w:w="7427" w:type="dxa"/>
          </w:tcPr>
          <w:p w14:paraId="18653C85" w14:textId="77777777" w:rsidR="001054CD" w:rsidRPr="00C32F92" w:rsidRDefault="001054CD" w:rsidP="0076732D">
            <w:pPr>
              <w:ind w:firstLine="397"/>
              <w:jc w:val="both"/>
              <w:rPr>
                <w:rFonts w:asciiTheme="minorHAnsi" w:hAnsiTheme="minorHAnsi" w:cstheme="minorHAnsi"/>
                <w:sz w:val="18"/>
                <w:szCs w:val="18"/>
              </w:rPr>
            </w:pPr>
            <w:r w:rsidRPr="00C32F92">
              <w:rPr>
                <w:rFonts w:asciiTheme="minorHAnsi" w:hAnsiTheme="minorHAnsi" w:cstheme="minorHAnsi"/>
                <w:sz w:val="18"/>
                <w:szCs w:val="18"/>
              </w:rPr>
              <w:t>Światowa Rada Podróży i Turystyki</w:t>
            </w:r>
          </w:p>
        </w:tc>
      </w:tr>
    </w:tbl>
    <w:p w14:paraId="7685D87C" w14:textId="77777777" w:rsidR="001054CD" w:rsidRPr="00B4091B" w:rsidRDefault="001054CD" w:rsidP="001054CD">
      <w:pPr>
        <w:tabs>
          <w:tab w:val="left" w:pos="2400"/>
        </w:tabs>
        <w:spacing w:after="0" w:line="288" w:lineRule="auto"/>
        <w:ind w:firstLine="284"/>
        <w:rPr>
          <w:rFonts w:ascii="Times New Roman" w:hAnsi="Times New Roman"/>
          <w:sz w:val="24"/>
          <w:szCs w:val="24"/>
        </w:rPr>
      </w:pPr>
    </w:p>
    <w:p w14:paraId="07CF022A" w14:textId="77777777" w:rsidR="001054CD" w:rsidRPr="00B4091B" w:rsidRDefault="001054CD" w:rsidP="001054CD">
      <w:pPr>
        <w:tabs>
          <w:tab w:val="left" w:pos="2400"/>
        </w:tabs>
        <w:spacing w:after="0" w:line="288" w:lineRule="auto"/>
        <w:ind w:firstLine="284"/>
        <w:rPr>
          <w:rFonts w:ascii="Times New Roman" w:hAnsi="Times New Roman"/>
          <w:sz w:val="24"/>
          <w:szCs w:val="24"/>
        </w:rPr>
      </w:pPr>
    </w:p>
    <w:p w14:paraId="2B92B523" w14:textId="77777777" w:rsidR="001054CD" w:rsidRPr="00663112" w:rsidRDefault="001054CD" w:rsidP="001054CD">
      <w:pPr>
        <w:pStyle w:val="Tekstpodstawowy"/>
        <w:rPr>
          <w:sz w:val="24"/>
          <w:szCs w:val="24"/>
        </w:rPr>
      </w:pPr>
      <w:bookmarkStart w:id="7" w:name="_Toc223140135"/>
      <w:r w:rsidRPr="00663112">
        <w:rPr>
          <w:sz w:val="24"/>
          <w:szCs w:val="24"/>
        </w:rPr>
        <w:t>Objaśnienia znaków umownych</w:t>
      </w:r>
      <w:bookmarkEnd w:id="7"/>
    </w:p>
    <w:p w14:paraId="363BDC2D" w14:textId="77777777" w:rsidR="001054CD" w:rsidRPr="00E731F0" w:rsidRDefault="001054CD" w:rsidP="001054CD">
      <w:pPr>
        <w:tabs>
          <w:tab w:val="left" w:pos="2400"/>
        </w:tabs>
        <w:spacing w:after="0" w:line="288" w:lineRule="auto"/>
        <w:ind w:firstLine="284"/>
        <w:rPr>
          <w:rFonts w:cstheme="minorHAnsi"/>
          <w:sz w:val="18"/>
          <w:szCs w:val="18"/>
        </w:rPr>
      </w:pPr>
      <w:r w:rsidRPr="00E731F0">
        <w:rPr>
          <w:rFonts w:cstheme="minorHAnsi"/>
          <w:sz w:val="18"/>
          <w:szCs w:val="18"/>
        </w:rPr>
        <w:t>(-)</w:t>
      </w:r>
      <w:r w:rsidRPr="00E731F0">
        <w:rPr>
          <w:rFonts w:cstheme="minorHAnsi"/>
          <w:sz w:val="18"/>
          <w:szCs w:val="18"/>
        </w:rPr>
        <w:tab/>
      </w:r>
      <w:r w:rsidRPr="00E731F0">
        <w:rPr>
          <w:rFonts w:cstheme="minorHAnsi"/>
          <w:sz w:val="18"/>
          <w:szCs w:val="18"/>
        </w:rPr>
        <w:tab/>
        <w:t>– zjawisko nie wystąpiło</w:t>
      </w:r>
    </w:p>
    <w:p w14:paraId="317A89BC" w14:textId="77777777" w:rsidR="001054CD" w:rsidRPr="00E731F0" w:rsidRDefault="001054CD" w:rsidP="001054CD">
      <w:pPr>
        <w:tabs>
          <w:tab w:val="left" w:pos="2400"/>
        </w:tabs>
        <w:spacing w:after="0" w:line="288" w:lineRule="auto"/>
        <w:ind w:firstLine="284"/>
        <w:rPr>
          <w:rFonts w:cstheme="minorHAnsi"/>
          <w:sz w:val="18"/>
          <w:szCs w:val="18"/>
        </w:rPr>
      </w:pPr>
      <w:r w:rsidRPr="00E731F0">
        <w:rPr>
          <w:rFonts w:cstheme="minorHAnsi"/>
          <w:sz w:val="18"/>
          <w:szCs w:val="18"/>
        </w:rPr>
        <w:t>(0)</w:t>
      </w:r>
      <w:r w:rsidRPr="00E731F0">
        <w:rPr>
          <w:rFonts w:cstheme="minorHAnsi"/>
          <w:sz w:val="18"/>
          <w:szCs w:val="18"/>
        </w:rPr>
        <w:tab/>
      </w:r>
      <w:r w:rsidRPr="00E731F0">
        <w:rPr>
          <w:rFonts w:cstheme="minorHAnsi"/>
          <w:sz w:val="18"/>
          <w:szCs w:val="18"/>
        </w:rPr>
        <w:tab/>
        <w:t>– zjawisko istniało w wielkości mniejszej niż 0,5</w:t>
      </w:r>
    </w:p>
    <w:p w14:paraId="4502AD8A" w14:textId="77777777" w:rsidR="001054CD" w:rsidRPr="00E731F0" w:rsidRDefault="001054CD" w:rsidP="001054CD">
      <w:pPr>
        <w:tabs>
          <w:tab w:val="left" w:pos="2400"/>
        </w:tabs>
        <w:spacing w:after="0" w:line="288" w:lineRule="auto"/>
        <w:ind w:firstLine="284"/>
        <w:rPr>
          <w:rFonts w:cstheme="minorHAnsi"/>
          <w:sz w:val="18"/>
          <w:szCs w:val="18"/>
        </w:rPr>
      </w:pPr>
      <w:r w:rsidRPr="00E731F0">
        <w:rPr>
          <w:rFonts w:cstheme="minorHAnsi"/>
          <w:sz w:val="18"/>
          <w:szCs w:val="18"/>
        </w:rPr>
        <w:t>(.)</w:t>
      </w:r>
      <w:r w:rsidRPr="00E731F0">
        <w:rPr>
          <w:rFonts w:cstheme="minorHAnsi"/>
          <w:sz w:val="18"/>
          <w:szCs w:val="18"/>
        </w:rPr>
        <w:tab/>
      </w:r>
      <w:r w:rsidRPr="00E731F0">
        <w:rPr>
          <w:rFonts w:cstheme="minorHAnsi"/>
          <w:sz w:val="18"/>
          <w:szCs w:val="18"/>
        </w:rPr>
        <w:tab/>
        <w:t>– zupełny brak informacji lub brak informacji wiarygodnych</w:t>
      </w:r>
    </w:p>
    <w:p w14:paraId="12C86279" w14:textId="77777777" w:rsidR="001054CD" w:rsidRPr="00E731F0" w:rsidRDefault="001054CD" w:rsidP="001054CD">
      <w:pPr>
        <w:tabs>
          <w:tab w:val="left" w:pos="2400"/>
        </w:tabs>
        <w:spacing w:after="0" w:line="288" w:lineRule="auto"/>
        <w:ind w:firstLine="284"/>
        <w:rPr>
          <w:rFonts w:cstheme="minorHAnsi"/>
          <w:sz w:val="18"/>
          <w:szCs w:val="18"/>
        </w:rPr>
      </w:pPr>
      <w:r w:rsidRPr="00E731F0">
        <w:rPr>
          <w:rFonts w:cstheme="minorHAnsi"/>
          <w:sz w:val="18"/>
          <w:szCs w:val="18"/>
        </w:rPr>
        <w:t>(x)</w:t>
      </w:r>
      <w:r w:rsidRPr="00E731F0">
        <w:rPr>
          <w:rFonts w:cstheme="minorHAnsi"/>
          <w:sz w:val="18"/>
          <w:szCs w:val="18"/>
        </w:rPr>
        <w:tab/>
      </w:r>
      <w:r w:rsidRPr="00E731F0">
        <w:rPr>
          <w:rFonts w:cstheme="minorHAnsi"/>
          <w:sz w:val="18"/>
          <w:szCs w:val="18"/>
        </w:rPr>
        <w:tab/>
        <w:t>– wypełnienie pozycji jest niemożliwe lub niecelowe</w:t>
      </w:r>
    </w:p>
    <w:p w14:paraId="2C767F8B" w14:textId="77777777" w:rsidR="001054CD" w:rsidRPr="00E731F0" w:rsidRDefault="001054CD" w:rsidP="001054CD">
      <w:pPr>
        <w:spacing w:after="0" w:line="288" w:lineRule="auto"/>
        <w:ind w:firstLine="284"/>
        <w:rPr>
          <w:rFonts w:cstheme="minorHAnsi"/>
          <w:color w:val="FF0000"/>
          <w:sz w:val="18"/>
          <w:szCs w:val="18"/>
        </w:rPr>
      </w:pPr>
    </w:p>
    <w:p w14:paraId="1C9A2933"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pacing w:val="-2"/>
          <w:sz w:val="24"/>
          <w:szCs w:val="24"/>
          <w:lang w:eastAsia="pl-PL"/>
        </w:rPr>
      </w:pPr>
    </w:p>
    <w:p w14:paraId="612B391B"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pacing w:val="-2"/>
          <w:sz w:val="24"/>
          <w:szCs w:val="24"/>
          <w:lang w:eastAsia="pl-PL"/>
        </w:rPr>
      </w:pPr>
    </w:p>
    <w:p w14:paraId="523AA7C2"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pacing w:val="-2"/>
          <w:sz w:val="24"/>
          <w:szCs w:val="24"/>
          <w:lang w:eastAsia="pl-PL"/>
        </w:rPr>
      </w:pPr>
    </w:p>
    <w:p w14:paraId="2F42AD59"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pacing w:val="-2"/>
          <w:sz w:val="24"/>
          <w:szCs w:val="24"/>
          <w:lang w:eastAsia="pl-PL"/>
        </w:rPr>
      </w:pPr>
    </w:p>
    <w:p w14:paraId="7BAD3794" w14:textId="77777777" w:rsidR="00263734" w:rsidRDefault="00263734" w:rsidP="00263734">
      <w:pPr>
        <w:keepNext/>
        <w:keepLines/>
        <w:tabs>
          <w:tab w:val="left" w:pos="1474"/>
          <w:tab w:val="right" w:leader="dot" w:pos="9072"/>
        </w:tabs>
        <w:suppressAutoHyphens/>
        <w:spacing w:after="240" w:line="240" w:lineRule="auto"/>
        <w:ind w:left="1474" w:hanging="1474"/>
        <w:rPr>
          <w:rFonts w:ascii="Times New Roman" w:eastAsia="Times New Roman" w:hAnsi="Times New Roman" w:cs="Times New Roman"/>
          <w:b/>
          <w:bCs/>
          <w:sz w:val="30"/>
          <w:szCs w:val="30"/>
          <w:lang w:eastAsia="pl-PL"/>
        </w:rPr>
      </w:pPr>
      <w:bookmarkStart w:id="8" w:name="_Toc218703244"/>
      <w:bookmarkStart w:id="9" w:name="_Toc223140131"/>
    </w:p>
    <w:p w14:paraId="33C714EA" w14:textId="77777777" w:rsidR="00263734" w:rsidRDefault="00263734" w:rsidP="00263734">
      <w:pPr>
        <w:keepNext/>
        <w:keepLines/>
        <w:tabs>
          <w:tab w:val="left" w:pos="1474"/>
          <w:tab w:val="right" w:leader="dot" w:pos="9072"/>
        </w:tabs>
        <w:suppressAutoHyphens/>
        <w:spacing w:after="240" w:line="240" w:lineRule="auto"/>
        <w:ind w:left="1474" w:hanging="1474"/>
        <w:rPr>
          <w:rFonts w:ascii="Times New Roman" w:eastAsia="Times New Roman" w:hAnsi="Times New Roman" w:cs="Times New Roman"/>
          <w:b/>
          <w:bCs/>
          <w:sz w:val="30"/>
          <w:szCs w:val="30"/>
          <w:lang w:eastAsia="pl-PL"/>
        </w:rPr>
      </w:pPr>
    </w:p>
    <w:p w14:paraId="247DFB62" w14:textId="424EC97A" w:rsidR="00C41072" w:rsidRDefault="00C41072">
      <w:pPr>
        <w:rPr>
          <w:rFonts w:ascii="Times New Roman" w:eastAsia="Times New Roman" w:hAnsi="Times New Roman" w:cs="Times New Roman"/>
          <w:b/>
          <w:bCs/>
          <w:sz w:val="30"/>
          <w:szCs w:val="30"/>
          <w:lang w:eastAsia="pl-PL"/>
        </w:rPr>
      </w:pPr>
      <w:bookmarkStart w:id="10" w:name="_Hlk113731849"/>
      <w:r>
        <w:rPr>
          <w:rFonts w:ascii="Times New Roman" w:eastAsia="Times New Roman" w:hAnsi="Times New Roman" w:cs="Times New Roman"/>
          <w:b/>
          <w:bCs/>
          <w:sz w:val="30"/>
          <w:szCs w:val="30"/>
          <w:lang w:eastAsia="pl-PL"/>
        </w:rPr>
        <w:br w:type="page"/>
      </w:r>
    </w:p>
    <w:bookmarkEnd w:id="9" w:displacedByCustomXml="next"/>
    <w:bookmarkEnd w:id="8" w:displacedByCustomXml="next"/>
    <w:sdt>
      <w:sdtPr>
        <w:rPr>
          <w:rFonts w:asciiTheme="minorHAnsi" w:eastAsiaTheme="minorHAnsi" w:hAnsiTheme="minorHAnsi" w:cstheme="minorBidi"/>
          <w:color w:val="auto"/>
          <w:sz w:val="22"/>
          <w:szCs w:val="22"/>
          <w:lang w:eastAsia="en-US"/>
        </w:rPr>
        <w:id w:val="2105984807"/>
        <w:docPartObj>
          <w:docPartGallery w:val="Table of Contents"/>
          <w:docPartUnique/>
        </w:docPartObj>
      </w:sdtPr>
      <w:sdtEndPr>
        <w:rPr>
          <w:b/>
          <w:bCs/>
        </w:rPr>
      </w:sdtEndPr>
      <w:sdtContent>
        <w:p w14:paraId="7D054763" w14:textId="6881D6D7" w:rsidR="00FB40ED" w:rsidRPr="00D429BE" w:rsidRDefault="00FB40ED" w:rsidP="00F8216E">
          <w:pPr>
            <w:pStyle w:val="Nagwekspisutreci"/>
            <w:tabs>
              <w:tab w:val="left" w:pos="1134"/>
            </w:tabs>
            <w:rPr>
              <w:color w:val="auto"/>
            </w:rPr>
          </w:pPr>
          <w:r w:rsidRPr="00D429BE">
            <w:rPr>
              <w:color w:val="auto"/>
            </w:rPr>
            <w:t>Spis treści</w:t>
          </w:r>
        </w:p>
        <w:p w14:paraId="375DBDEA" w14:textId="3933C7A5" w:rsidR="009B3416" w:rsidRDefault="00FB40ED">
          <w:pPr>
            <w:pStyle w:val="Spistreci1"/>
            <w:tabs>
              <w:tab w:val="right" w:leader="dot" w:pos="9062"/>
            </w:tabs>
            <w:rPr>
              <w:rFonts w:eastAsiaTheme="minorEastAsia"/>
              <w:noProof/>
              <w:lang w:eastAsia="pl-PL"/>
            </w:rPr>
          </w:pPr>
          <w:r>
            <w:fldChar w:fldCharType="begin"/>
          </w:r>
          <w:r>
            <w:instrText xml:space="preserve"> TOC \o "1-3" \h \z \u </w:instrText>
          </w:r>
          <w:r>
            <w:fldChar w:fldCharType="separate"/>
          </w:r>
          <w:hyperlink w:anchor="_Toc115441438" w:history="1">
            <w:r w:rsidR="009B3416" w:rsidRPr="00160088">
              <w:rPr>
                <w:rStyle w:val="Hipercze"/>
                <w:noProof/>
              </w:rPr>
              <w:t>Wstęp</w:t>
            </w:r>
            <w:r w:rsidR="009B3416">
              <w:rPr>
                <w:noProof/>
                <w:webHidden/>
              </w:rPr>
              <w:tab/>
            </w:r>
            <w:r w:rsidR="009B3416">
              <w:rPr>
                <w:noProof/>
                <w:webHidden/>
              </w:rPr>
              <w:fldChar w:fldCharType="begin"/>
            </w:r>
            <w:r w:rsidR="009B3416">
              <w:rPr>
                <w:noProof/>
                <w:webHidden/>
              </w:rPr>
              <w:instrText xml:space="preserve"> PAGEREF _Toc115441438 \h </w:instrText>
            </w:r>
            <w:r w:rsidR="009B3416">
              <w:rPr>
                <w:noProof/>
                <w:webHidden/>
              </w:rPr>
            </w:r>
            <w:r w:rsidR="009B3416">
              <w:rPr>
                <w:noProof/>
                <w:webHidden/>
              </w:rPr>
              <w:fldChar w:fldCharType="separate"/>
            </w:r>
            <w:r w:rsidR="003A145C">
              <w:rPr>
                <w:noProof/>
                <w:webHidden/>
              </w:rPr>
              <w:t>7</w:t>
            </w:r>
            <w:r w:rsidR="009B3416">
              <w:rPr>
                <w:noProof/>
                <w:webHidden/>
              </w:rPr>
              <w:fldChar w:fldCharType="end"/>
            </w:r>
          </w:hyperlink>
        </w:p>
        <w:p w14:paraId="224B957F" w14:textId="0E04C304" w:rsidR="009B3416" w:rsidRDefault="00AB086E">
          <w:pPr>
            <w:pStyle w:val="Spistreci1"/>
            <w:tabs>
              <w:tab w:val="right" w:leader="dot" w:pos="9062"/>
            </w:tabs>
            <w:rPr>
              <w:rFonts w:eastAsiaTheme="minorEastAsia"/>
              <w:noProof/>
              <w:lang w:eastAsia="pl-PL"/>
            </w:rPr>
          </w:pPr>
          <w:hyperlink w:anchor="_Toc115441439" w:history="1">
            <w:r w:rsidR="009B3416" w:rsidRPr="00160088">
              <w:rPr>
                <w:rStyle w:val="Hipercze"/>
                <w:rFonts w:eastAsia="Times New Roman"/>
                <w:noProof/>
                <w:lang w:eastAsia="pl-PL"/>
              </w:rPr>
              <w:t>Część I Rachunek satelitarny turystyki dla Polski  za lata 2018 -2019</w:t>
            </w:r>
            <w:r w:rsidR="009B3416">
              <w:rPr>
                <w:noProof/>
                <w:webHidden/>
              </w:rPr>
              <w:tab/>
            </w:r>
            <w:r w:rsidR="009B3416">
              <w:rPr>
                <w:noProof/>
                <w:webHidden/>
              </w:rPr>
              <w:fldChar w:fldCharType="begin"/>
            </w:r>
            <w:r w:rsidR="009B3416">
              <w:rPr>
                <w:noProof/>
                <w:webHidden/>
              </w:rPr>
              <w:instrText xml:space="preserve"> PAGEREF _Toc115441439 \h </w:instrText>
            </w:r>
            <w:r w:rsidR="009B3416">
              <w:rPr>
                <w:noProof/>
                <w:webHidden/>
              </w:rPr>
            </w:r>
            <w:r w:rsidR="009B3416">
              <w:rPr>
                <w:noProof/>
                <w:webHidden/>
              </w:rPr>
              <w:fldChar w:fldCharType="separate"/>
            </w:r>
            <w:r w:rsidR="003A145C">
              <w:rPr>
                <w:noProof/>
                <w:webHidden/>
              </w:rPr>
              <w:t>8</w:t>
            </w:r>
            <w:r w:rsidR="009B3416">
              <w:rPr>
                <w:noProof/>
                <w:webHidden/>
              </w:rPr>
              <w:fldChar w:fldCharType="end"/>
            </w:r>
          </w:hyperlink>
        </w:p>
        <w:p w14:paraId="48B2FAA9" w14:textId="6DFDD0BB" w:rsidR="009B3416" w:rsidRDefault="00AB086E">
          <w:pPr>
            <w:pStyle w:val="Spistreci1"/>
            <w:tabs>
              <w:tab w:val="right" w:leader="dot" w:pos="9062"/>
            </w:tabs>
            <w:rPr>
              <w:rFonts w:eastAsiaTheme="minorEastAsia"/>
              <w:noProof/>
              <w:lang w:eastAsia="pl-PL"/>
            </w:rPr>
          </w:pPr>
          <w:hyperlink w:anchor="_Toc115441440" w:history="1">
            <w:r w:rsidR="009B3416" w:rsidRPr="00160088">
              <w:rPr>
                <w:rStyle w:val="Hipercze"/>
                <w:noProof/>
              </w:rPr>
              <w:t>1. Koncepcja RST, źródła i zakres informacji statystycznej</w:t>
            </w:r>
            <w:r w:rsidR="009B3416">
              <w:rPr>
                <w:noProof/>
                <w:webHidden/>
              </w:rPr>
              <w:tab/>
            </w:r>
            <w:r w:rsidR="009B3416">
              <w:rPr>
                <w:noProof/>
                <w:webHidden/>
              </w:rPr>
              <w:fldChar w:fldCharType="begin"/>
            </w:r>
            <w:r w:rsidR="009B3416">
              <w:rPr>
                <w:noProof/>
                <w:webHidden/>
              </w:rPr>
              <w:instrText xml:space="preserve"> PAGEREF _Toc115441440 \h </w:instrText>
            </w:r>
            <w:r w:rsidR="009B3416">
              <w:rPr>
                <w:noProof/>
                <w:webHidden/>
              </w:rPr>
            </w:r>
            <w:r w:rsidR="009B3416">
              <w:rPr>
                <w:noProof/>
                <w:webHidden/>
              </w:rPr>
              <w:fldChar w:fldCharType="separate"/>
            </w:r>
            <w:r w:rsidR="003A145C">
              <w:rPr>
                <w:noProof/>
                <w:webHidden/>
              </w:rPr>
              <w:t>9</w:t>
            </w:r>
            <w:r w:rsidR="009B3416">
              <w:rPr>
                <w:noProof/>
                <w:webHidden/>
              </w:rPr>
              <w:fldChar w:fldCharType="end"/>
            </w:r>
          </w:hyperlink>
        </w:p>
        <w:p w14:paraId="1546F0DA" w14:textId="7B573542" w:rsidR="009B3416" w:rsidRDefault="00AB086E">
          <w:pPr>
            <w:pStyle w:val="Spistreci2"/>
            <w:tabs>
              <w:tab w:val="right" w:leader="dot" w:pos="9062"/>
            </w:tabs>
            <w:rPr>
              <w:rFonts w:eastAsiaTheme="minorEastAsia"/>
              <w:noProof/>
              <w:lang w:eastAsia="pl-PL"/>
            </w:rPr>
          </w:pPr>
          <w:hyperlink w:anchor="_Toc115441441" w:history="1">
            <w:r w:rsidR="009B3416" w:rsidRPr="00160088">
              <w:rPr>
                <w:rStyle w:val="Hipercze"/>
                <w:noProof/>
              </w:rPr>
              <w:t>1.1. Podstawowe założenia metodologiczne</w:t>
            </w:r>
            <w:r w:rsidR="009B3416">
              <w:rPr>
                <w:noProof/>
                <w:webHidden/>
              </w:rPr>
              <w:tab/>
            </w:r>
            <w:r w:rsidR="009B3416">
              <w:rPr>
                <w:noProof/>
                <w:webHidden/>
              </w:rPr>
              <w:fldChar w:fldCharType="begin"/>
            </w:r>
            <w:r w:rsidR="009B3416">
              <w:rPr>
                <w:noProof/>
                <w:webHidden/>
              </w:rPr>
              <w:instrText xml:space="preserve"> PAGEREF _Toc115441441 \h </w:instrText>
            </w:r>
            <w:r w:rsidR="009B3416">
              <w:rPr>
                <w:noProof/>
                <w:webHidden/>
              </w:rPr>
            </w:r>
            <w:r w:rsidR="009B3416">
              <w:rPr>
                <w:noProof/>
                <w:webHidden/>
              </w:rPr>
              <w:fldChar w:fldCharType="separate"/>
            </w:r>
            <w:r w:rsidR="003A145C">
              <w:rPr>
                <w:noProof/>
                <w:webHidden/>
              </w:rPr>
              <w:t>9</w:t>
            </w:r>
            <w:r w:rsidR="009B3416">
              <w:rPr>
                <w:noProof/>
                <w:webHidden/>
              </w:rPr>
              <w:fldChar w:fldCharType="end"/>
            </w:r>
          </w:hyperlink>
        </w:p>
        <w:p w14:paraId="5D928B4C" w14:textId="195DEF7F" w:rsidR="009B3416" w:rsidRDefault="00AB086E">
          <w:pPr>
            <w:pStyle w:val="Spistreci2"/>
            <w:tabs>
              <w:tab w:val="right" w:leader="dot" w:pos="9062"/>
            </w:tabs>
            <w:rPr>
              <w:rFonts w:eastAsiaTheme="minorEastAsia"/>
              <w:noProof/>
              <w:lang w:eastAsia="pl-PL"/>
            </w:rPr>
          </w:pPr>
          <w:hyperlink w:anchor="_Toc115441442" w:history="1">
            <w:r w:rsidR="009B3416" w:rsidRPr="00160088">
              <w:rPr>
                <w:rStyle w:val="Hipercze"/>
                <w:noProof/>
              </w:rPr>
              <w:t>1.2. Źródła informacji, metody szacowania</w:t>
            </w:r>
            <w:r w:rsidR="009B3416">
              <w:rPr>
                <w:noProof/>
                <w:webHidden/>
              </w:rPr>
              <w:tab/>
            </w:r>
            <w:r w:rsidR="009B3416">
              <w:rPr>
                <w:noProof/>
                <w:webHidden/>
              </w:rPr>
              <w:fldChar w:fldCharType="begin"/>
            </w:r>
            <w:r w:rsidR="009B3416">
              <w:rPr>
                <w:noProof/>
                <w:webHidden/>
              </w:rPr>
              <w:instrText xml:space="preserve"> PAGEREF _Toc115441442 \h </w:instrText>
            </w:r>
            <w:r w:rsidR="009B3416">
              <w:rPr>
                <w:noProof/>
                <w:webHidden/>
              </w:rPr>
            </w:r>
            <w:r w:rsidR="009B3416">
              <w:rPr>
                <w:noProof/>
                <w:webHidden/>
              </w:rPr>
              <w:fldChar w:fldCharType="separate"/>
            </w:r>
            <w:r w:rsidR="003A145C">
              <w:rPr>
                <w:noProof/>
                <w:webHidden/>
              </w:rPr>
              <w:t>10</w:t>
            </w:r>
            <w:r w:rsidR="009B3416">
              <w:rPr>
                <w:noProof/>
                <w:webHidden/>
              </w:rPr>
              <w:fldChar w:fldCharType="end"/>
            </w:r>
          </w:hyperlink>
        </w:p>
        <w:p w14:paraId="59F6D3FA" w14:textId="43C2EAA0" w:rsidR="009B3416" w:rsidRDefault="00AB086E">
          <w:pPr>
            <w:pStyle w:val="Spistreci3"/>
            <w:tabs>
              <w:tab w:val="right" w:leader="dot" w:pos="9062"/>
            </w:tabs>
            <w:rPr>
              <w:rFonts w:eastAsiaTheme="minorEastAsia"/>
              <w:noProof/>
              <w:lang w:eastAsia="pl-PL"/>
            </w:rPr>
          </w:pPr>
          <w:hyperlink w:anchor="_Toc115441443" w:history="1">
            <w:r w:rsidR="009B3416" w:rsidRPr="00160088">
              <w:rPr>
                <w:rStyle w:val="Hipercze"/>
                <w:noProof/>
              </w:rPr>
              <w:t>1.2.1. Spożycie turystyczne rezydentów</w:t>
            </w:r>
            <w:r w:rsidR="009B3416">
              <w:rPr>
                <w:noProof/>
                <w:webHidden/>
              </w:rPr>
              <w:tab/>
            </w:r>
            <w:r w:rsidR="009B3416">
              <w:rPr>
                <w:noProof/>
                <w:webHidden/>
              </w:rPr>
              <w:fldChar w:fldCharType="begin"/>
            </w:r>
            <w:r w:rsidR="009B3416">
              <w:rPr>
                <w:noProof/>
                <w:webHidden/>
              </w:rPr>
              <w:instrText xml:space="preserve"> PAGEREF _Toc115441443 \h </w:instrText>
            </w:r>
            <w:r w:rsidR="009B3416">
              <w:rPr>
                <w:noProof/>
                <w:webHidden/>
              </w:rPr>
            </w:r>
            <w:r w:rsidR="009B3416">
              <w:rPr>
                <w:noProof/>
                <w:webHidden/>
              </w:rPr>
              <w:fldChar w:fldCharType="separate"/>
            </w:r>
            <w:r w:rsidR="003A145C">
              <w:rPr>
                <w:noProof/>
                <w:webHidden/>
              </w:rPr>
              <w:t>10</w:t>
            </w:r>
            <w:r w:rsidR="009B3416">
              <w:rPr>
                <w:noProof/>
                <w:webHidden/>
              </w:rPr>
              <w:fldChar w:fldCharType="end"/>
            </w:r>
          </w:hyperlink>
        </w:p>
        <w:p w14:paraId="6D2EF0D7" w14:textId="1FCA153E" w:rsidR="009B3416" w:rsidRDefault="00AB086E">
          <w:pPr>
            <w:pStyle w:val="Spistreci3"/>
            <w:tabs>
              <w:tab w:val="right" w:leader="dot" w:pos="9062"/>
            </w:tabs>
            <w:rPr>
              <w:rFonts w:eastAsiaTheme="minorEastAsia"/>
              <w:noProof/>
              <w:lang w:eastAsia="pl-PL"/>
            </w:rPr>
          </w:pPr>
          <w:hyperlink w:anchor="_Toc115441444" w:history="1">
            <w:r w:rsidR="009B3416" w:rsidRPr="00160088">
              <w:rPr>
                <w:rStyle w:val="Hipercze"/>
                <w:noProof/>
              </w:rPr>
              <w:t>Spożycie turystyczne nierezydentów</w:t>
            </w:r>
            <w:r w:rsidR="009B3416">
              <w:rPr>
                <w:noProof/>
                <w:webHidden/>
              </w:rPr>
              <w:tab/>
            </w:r>
            <w:r w:rsidR="009B3416">
              <w:rPr>
                <w:noProof/>
                <w:webHidden/>
              </w:rPr>
              <w:fldChar w:fldCharType="begin"/>
            </w:r>
            <w:r w:rsidR="009B3416">
              <w:rPr>
                <w:noProof/>
                <w:webHidden/>
              </w:rPr>
              <w:instrText xml:space="preserve"> PAGEREF _Toc115441444 \h </w:instrText>
            </w:r>
            <w:r w:rsidR="009B3416">
              <w:rPr>
                <w:noProof/>
                <w:webHidden/>
              </w:rPr>
            </w:r>
            <w:r w:rsidR="009B3416">
              <w:rPr>
                <w:noProof/>
                <w:webHidden/>
              </w:rPr>
              <w:fldChar w:fldCharType="separate"/>
            </w:r>
            <w:r w:rsidR="003A145C">
              <w:rPr>
                <w:noProof/>
                <w:webHidden/>
              </w:rPr>
              <w:t>13</w:t>
            </w:r>
            <w:r w:rsidR="009B3416">
              <w:rPr>
                <w:noProof/>
                <w:webHidden/>
              </w:rPr>
              <w:fldChar w:fldCharType="end"/>
            </w:r>
          </w:hyperlink>
        </w:p>
        <w:p w14:paraId="3CDA4BD6" w14:textId="08093341" w:rsidR="009B3416" w:rsidRDefault="00AB086E">
          <w:pPr>
            <w:pStyle w:val="Spistreci2"/>
            <w:tabs>
              <w:tab w:val="right" w:leader="dot" w:pos="9062"/>
            </w:tabs>
            <w:rPr>
              <w:rFonts w:eastAsiaTheme="minorEastAsia"/>
              <w:noProof/>
              <w:lang w:eastAsia="pl-PL"/>
            </w:rPr>
          </w:pPr>
          <w:hyperlink w:anchor="_Toc115441445" w:history="1">
            <w:r w:rsidR="009B3416" w:rsidRPr="00160088">
              <w:rPr>
                <w:rStyle w:val="Hipercze"/>
                <w:noProof/>
              </w:rPr>
              <w:t>1.3. Podaż turystyczna i pracujący</w:t>
            </w:r>
            <w:r w:rsidR="009B3416">
              <w:rPr>
                <w:noProof/>
                <w:webHidden/>
              </w:rPr>
              <w:tab/>
            </w:r>
            <w:r w:rsidR="009B3416">
              <w:rPr>
                <w:noProof/>
                <w:webHidden/>
              </w:rPr>
              <w:fldChar w:fldCharType="begin"/>
            </w:r>
            <w:r w:rsidR="009B3416">
              <w:rPr>
                <w:noProof/>
                <w:webHidden/>
              </w:rPr>
              <w:instrText xml:space="preserve"> PAGEREF _Toc115441445 \h </w:instrText>
            </w:r>
            <w:r w:rsidR="009B3416">
              <w:rPr>
                <w:noProof/>
                <w:webHidden/>
              </w:rPr>
            </w:r>
            <w:r w:rsidR="009B3416">
              <w:rPr>
                <w:noProof/>
                <w:webHidden/>
              </w:rPr>
              <w:fldChar w:fldCharType="separate"/>
            </w:r>
            <w:r w:rsidR="003A145C">
              <w:rPr>
                <w:noProof/>
                <w:webHidden/>
              </w:rPr>
              <w:t>15</w:t>
            </w:r>
            <w:r w:rsidR="009B3416">
              <w:rPr>
                <w:noProof/>
                <w:webHidden/>
              </w:rPr>
              <w:fldChar w:fldCharType="end"/>
            </w:r>
          </w:hyperlink>
        </w:p>
        <w:p w14:paraId="1D9C2198" w14:textId="6CC0C8D4" w:rsidR="009B3416" w:rsidRDefault="00AB086E">
          <w:pPr>
            <w:pStyle w:val="Spistreci2"/>
            <w:tabs>
              <w:tab w:val="right" w:leader="dot" w:pos="9062"/>
            </w:tabs>
            <w:rPr>
              <w:rFonts w:eastAsiaTheme="minorEastAsia"/>
              <w:noProof/>
              <w:lang w:eastAsia="pl-PL"/>
            </w:rPr>
          </w:pPr>
          <w:hyperlink w:anchor="_Toc115441446" w:history="1">
            <w:r w:rsidR="009B3416" w:rsidRPr="00160088">
              <w:rPr>
                <w:rStyle w:val="Hipercze"/>
                <w:noProof/>
              </w:rPr>
              <w:t>1.4. Inwestycje i środki trwałe</w:t>
            </w:r>
            <w:r w:rsidR="009B3416">
              <w:rPr>
                <w:noProof/>
                <w:webHidden/>
              </w:rPr>
              <w:tab/>
            </w:r>
            <w:r w:rsidR="009B3416">
              <w:rPr>
                <w:noProof/>
                <w:webHidden/>
              </w:rPr>
              <w:fldChar w:fldCharType="begin"/>
            </w:r>
            <w:r w:rsidR="009B3416">
              <w:rPr>
                <w:noProof/>
                <w:webHidden/>
              </w:rPr>
              <w:instrText xml:space="preserve"> PAGEREF _Toc115441446 \h </w:instrText>
            </w:r>
            <w:r w:rsidR="009B3416">
              <w:rPr>
                <w:noProof/>
                <w:webHidden/>
              </w:rPr>
            </w:r>
            <w:r w:rsidR="009B3416">
              <w:rPr>
                <w:noProof/>
                <w:webHidden/>
              </w:rPr>
              <w:fldChar w:fldCharType="separate"/>
            </w:r>
            <w:r w:rsidR="003A145C">
              <w:rPr>
                <w:noProof/>
                <w:webHidden/>
              </w:rPr>
              <w:t>17</w:t>
            </w:r>
            <w:r w:rsidR="009B3416">
              <w:rPr>
                <w:noProof/>
                <w:webHidden/>
              </w:rPr>
              <w:fldChar w:fldCharType="end"/>
            </w:r>
          </w:hyperlink>
        </w:p>
        <w:p w14:paraId="09C17753" w14:textId="0C710821" w:rsidR="009B3416" w:rsidRDefault="00AB086E">
          <w:pPr>
            <w:pStyle w:val="Spistreci1"/>
            <w:tabs>
              <w:tab w:val="right" w:leader="dot" w:pos="9062"/>
            </w:tabs>
            <w:rPr>
              <w:rFonts w:eastAsiaTheme="minorEastAsia"/>
              <w:noProof/>
              <w:lang w:eastAsia="pl-PL"/>
            </w:rPr>
          </w:pPr>
          <w:hyperlink w:anchor="_Toc115441447" w:history="1">
            <w:r w:rsidR="009B3416" w:rsidRPr="00160088">
              <w:rPr>
                <w:rStyle w:val="Hipercze"/>
                <w:noProof/>
              </w:rPr>
              <w:t>2. Spożycie turystyczne</w:t>
            </w:r>
            <w:r w:rsidR="009B3416">
              <w:rPr>
                <w:noProof/>
                <w:webHidden/>
              </w:rPr>
              <w:tab/>
            </w:r>
            <w:r w:rsidR="009B3416">
              <w:rPr>
                <w:noProof/>
                <w:webHidden/>
              </w:rPr>
              <w:fldChar w:fldCharType="begin"/>
            </w:r>
            <w:r w:rsidR="009B3416">
              <w:rPr>
                <w:noProof/>
                <w:webHidden/>
              </w:rPr>
              <w:instrText xml:space="preserve"> PAGEREF _Toc115441447 \h </w:instrText>
            </w:r>
            <w:r w:rsidR="009B3416">
              <w:rPr>
                <w:noProof/>
                <w:webHidden/>
              </w:rPr>
            </w:r>
            <w:r w:rsidR="009B3416">
              <w:rPr>
                <w:noProof/>
                <w:webHidden/>
              </w:rPr>
              <w:fldChar w:fldCharType="separate"/>
            </w:r>
            <w:r w:rsidR="003A145C">
              <w:rPr>
                <w:noProof/>
                <w:webHidden/>
              </w:rPr>
              <w:t>20</w:t>
            </w:r>
            <w:r w:rsidR="009B3416">
              <w:rPr>
                <w:noProof/>
                <w:webHidden/>
              </w:rPr>
              <w:fldChar w:fldCharType="end"/>
            </w:r>
          </w:hyperlink>
        </w:p>
        <w:p w14:paraId="5E0B59FB" w14:textId="3F287A57" w:rsidR="009B3416" w:rsidRDefault="00AB086E">
          <w:pPr>
            <w:pStyle w:val="Spistreci2"/>
            <w:tabs>
              <w:tab w:val="right" w:leader="dot" w:pos="9062"/>
            </w:tabs>
            <w:rPr>
              <w:rFonts w:eastAsiaTheme="minorEastAsia"/>
              <w:noProof/>
              <w:lang w:eastAsia="pl-PL"/>
            </w:rPr>
          </w:pPr>
          <w:hyperlink w:anchor="_Toc115441448" w:history="1">
            <w:r w:rsidR="009B3416" w:rsidRPr="00160088">
              <w:rPr>
                <w:rStyle w:val="Hipercze"/>
                <w:noProof/>
              </w:rPr>
              <w:t>2.1. Charakterystyka spożycia turystycznego w latach 2018 i 2019</w:t>
            </w:r>
            <w:r w:rsidR="009B3416">
              <w:rPr>
                <w:noProof/>
                <w:webHidden/>
              </w:rPr>
              <w:tab/>
            </w:r>
            <w:r w:rsidR="009B3416">
              <w:rPr>
                <w:noProof/>
                <w:webHidden/>
              </w:rPr>
              <w:fldChar w:fldCharType="begin"/>
            </w:r>
            <w:r w:rsidR="009B3416">
              <w:rPr>
                <w:noProof/>
                <w:webHidden/>
              </w:rPr>
              <w:instrText xml:space="preserve"> PAGEREF _Toc115441448 \h </w:instrText>
            </w:r>
            <w:r w:rsidR="009B3416">
              <w:rPr>
                <w:noProof/>
                <w:webHidden/>
              </w:rPr>
            </w:r>
            <w:r w:rsidR="009B3416">
              <w:rPr>
                <w:noProof/>
                <w:webHidden/>
              </w:rPr>
              <w:fldChar w:fldCharType="separate"/>
            </w:r>
            <w:r w:rsidR="003A145C">
              <w:rPr>
                <w:noProof/>
                <w:webHidden/>
              </w:rPr>
              <w:t>20</w:t>
            </w:r>
            <w:r w:rsidR="009B3416">
              <w:rPr>
                <w:noProof/>
                <w:webHidden/>
              </w:rPr>
              <w:fldChar w:fldCharType="end"/>
            </w:r>
          </w:hyperlink>
        </w:p>
        <w:p w14:paraId="7487E02D" w14:textId="4C306FA5" w:rsidR="009B3416" w:rsidRDefault="00AB086E">
          <w:pPr>
            <w:pStyle w:val="Spistreci3"/>
            <w:tabs>
              <w:tab w:val="right" w:leader="dot" w:pos="9062"/>
            </w:tabs>
            <w:rPr>
              <w:rFonts w:eastAsiaTheme="minorEastAsia"/>
              <w:noProof/>
              <w:lang w:eastAsia="pl-PL"/>
            </w:rPr>
          </w:pPr>
          <w:hyperlink w:anchor="_Toc115441449" w:history="1">
            <w:r w:rsidR="009B3416" w:rsidRPr="00160088">
              <w:rPr>
                <w:rStyle w:val="Hipercze"/>
                <w:noProof/>
              </w:rPr>
              <w:t>2.1.1. Krajowe spożycie turystyczne łącznie</w:t>
            </w:r>
            <w:r w:rsidR="009B3416">
              <w:rPr>
                <w:noProof/>
                <w:webHidden/>
              </w:rPr>
              <w:tab/>
            </w:r>
            <w:r w:rsidR="009B3416">
              <w:rPr>
                <w:noProof/>
                <w:webHidden/>
              </w:rPr>
              <w:fldChar w:fldCharType="begin"/>
            </w:r>
            <w:r w:rsidR="009B3416">
              <w:rPr>
                <w:noProof/>
                <w:webHidden/>
              </w:rPr>
              <w:instrText xml:space="preserve"> PAGEREF _Toc115441449 \h </w:instrText>
            </w:r>
            <w:r w:rsidR="009B3416">
              <w:rPr>
                <w:noProof/>
                <w:webHidden/>
              </w:rPr>
            </w:r>
            <w:r w:rsidR="009B3416">
              <w:rPr>
                <w:noProof/>
                <w:webHidden/>
              </w:rPr>
              <w:fldChar w:fldCharType="separate"/>
            </w:r>
            <w:r w:rsidR="003A145C">
              <w:rPr>
                <w:noProof/>
                <w:webHidden/>
              </w:rPr>
              <w:t>20</w:t>
            </w:r>
            <w:r w:rsidR="009B3416">
              <w:rPr>
                <w:noProof/>
                <w:webHidden/>
              </w:rPr>
              <w:fldChar w:fldCharType="end"/>
            </w:r>
          </w:hyperlink>
        </w:p>
        <w:p w14:paraId="1BB01111" w14:textId="6ECE8D26" w:rsidR="009B3416" w:rsidRDefault="00AB086E">
          <w:pPr>
            <w:pStyle w:val="Spistreci3"/>
            <w:tabs>
              <w:tab w:val="right" w:leader="dot" w:pos="9062"/>
            </w:tabs>
            <w:rPr>
              <w:rFonts w:eastAsiaTheme="minorEastAsia"/>
              <w:noProof/>
              <w:lang w:eastAsia="pl-PL"/>
            </w:rPr>
          </w:pPr>
          <w:hyperlink w:anchor="_Toc115441450" w:history="1">
            <w:r w:rsidR="009B3416" w:rsidRPr="00160088">
              <w:rPr>
                <w:rStyle w:val="Hipercze"/>
                <w:noProof/>
              </w:rPr>
              <w:t>2.2.2. Spożycie turystyczne nierezydentów</w:t>
            </w:r>
            <w:r w:rsidR="009B3416">
              <w:rPr>
                <w:noProof/>
                <w:webHidden/>
              </w:rPr>
              <w:tab/>
            </w:r>
            <w:r w:rsidR="009B3416">
              <w:rPr>
                <w:noProof/>
                <w:webHidden/>
              </w:rPr>
              <w:fldChar w:fldCharType="begin"/>
            </w:r>
            <w:r w:rsidR="009B3416">
              <w:rPr>
                <w:noProof/>
                <w:webHidden/>
              </w:rPr>
              <w:instrText xml:space="preserve"> PAGEREF _Toc115441450 \h </w:instrText>
            </w:r>
            <w:r w:rsidR="009B3416">
              <w:rPr>
                <w:noProof/>
                <w:webHidden/>
              </w:rPr>
            </w:r>
            <w:r w:rsidR="009B3416">
              <w:rPr>
                <w:noProof/>
                <w:webHidden/>
              </w:rPr>
              <w:fldChar w:fldCharType="separate"/>
            </w:r>
            <w:r w:rsidR="003A145C">
              <w:rPr>
                <w:noProof/>
                <w:webHidden/>
              </w:rPr>
              <w:t>24</w:t>
            </w:r>
            <w:r w:rsidR="009B3416">
              <w:rPr>
                <w:noProof/>
                <w:webHidden/>
              </w:rPr>
              <w:fldChar w:fldCharType="end"/>
            </w:r>
          </w:hyperlink>
        </w:p>
        <w:p w14:paraId="4C8B703F" w14:textId="646D6CCE" w:rsidR="009B3416" w:rsidRDefault="00AB086E">
          <w:pPr>
            <w:pStyle w:val="Spistreci3"/>
            <w:tabs>
              <w:tab w:val="right" w:leader="dot" w:pos="9062"/>
            </w:tabs>
            <w:rPr>
              <w:rFonts w:eastAsiaTheme="minorEastAsia"/>
              <w:noProof/>
              <w:lang w:eastAsia="pl-PL"/>
            </w:rPr>
          </w:pPr>
          <w:hyperlink w:anchor="_Toc115441451" w:history="1">
            <w:r w:rsidR="009B3416" w:rsidRPr="00160088">
              <w:rPr>
                <w:rStyle w:val="Hipercze"/>
                <w:noProof/>
              </w:rPr>
              <w:t>2.2.2. Spożycie turystyczne rezydentów</w:t>
            </w:r>
            <w:r w:rsidR="009B3416">
              <w:rPr>
                <w:noProof/>
                <w:webHidden/>
              </w:rPr>
              <w:tab/>
            </w:r>
            <w:r w:rsidR="009B3416">
              <w:rPr>
                <w:noProof/>
                <w:webHidden/>
              </w:rPr>
              <w:fldChar w:fldCharType="begin"/>
            </w:r>
            <w:r w:rsidR="009B3416">
              <w:rPr>
                <w:noProof/>
                <w:webHidden/>
              </w:rPr>
              <w:instrText xml:space="preserve"> PAGEREF _Toc115441451 \h </w:instrText>
            </w:r>
            <w:r w:rsidR="009B3416">
              <w:rPr>
                <w:noProof/>
                <w:webHidden/>
              </w:rPr>
            </w:r>
            <w:r w:rsidR="009B3416">
              <w:rPr>
                <w:noProof/>
                <w:webHidden/>
              </w:rPr>
              <w:fldChar w:fldCharType="separate"/>
            </w:r>
            <w:r w:rsidR="003A145C">
              <w:rPr>
                <w:noProof/>
                <w:webHidden/>
              </w:rPr>
              <w:t>27</w:t>
            </w:r>
            <w:r w:rsidR="009B3416">
              <w:rPr>
                <w:noProof/>
                <w:webHidden/>
              </w:rPr>
              <w:fldChar w:fldCharType="end"/>
            </w:r>
          </w:hyperlink>
        </w:p>
        <w:p w14:paraId="1C5E0E22" w14:textId="30CA2252" w:rsidR="009B3416" w:rsidRDefault="00AB086E">
          <w:pPr>
            <w:pStyle w:val="Spistreci2"/>
            <w:tabs>
              <w:tab w:val="right" w:leader="dot" w:pos="9062"/>
            </w:tabs>
            <w:rPr>
              <w:rFonts w:eastAsiaTheme="minorEastAsia"/>
              <w:noProof/>
              <w:lang w:eastAsia="pl-PL"/>
            </w:rPr>
          </w:pPr>
          <w:hyperlink w:anchor="_Toc115441452" w:history="1">
            <w:r w:rsidR="009B3416" w:rsidRPr="00160088">
              <w:rPr>
                <w:rStyle w:val="Hipercze"/>
                <w:noProof/>
              </w:rPr>
              <w:t>2.2. Tempo i kierunek zmian</w:t>
            </w:r>
            <w:r w:rsidR="009B3416">
              <w:rPr>
                <w:noProof/>
                <w:webHidden/>
              </w:rPr>
              <w:tab/>
            </w:r>
            <w:r w:rsidR="009B3416">
              <w:rPr>
                <w:noProof/>
                <w:webHidden/>
              </w:rPr>
              <w:fldChar w:fldCharType="begin"/>
            </w:r>
            <w:r w:rsidR="009B3416">
              <w:rPr>
                <w:noProof/>
                <w:webHidden/>
              </w:rPr>
              <w:instrText xml:space="preserve"> PAGEREF _Toc115441452 \h </w:instrText>
            </w:r>
            <w:r w:rsidR="009B3416">
              <w:rPr>
                <w:noProof/>
                <w:webHidden/>
              </w:rPr>
            </w:r>
            <w:r w:rsidR="009B3416">
              <w:rPr>
                <w:noProof/>
                <w:webHidden/>
              </w:rPr>
              <w:fldChar w:fldCharType="separate"/>
            </w:r>
            <w:r w:rsidR="003A145C">
              <w:rPr>
                <w:noProof/>
                <w:webHidden/>
              </w:rPr>
              <w:t>30</w:t>
            </w:r>
            <w:r w:rsidR="009B3416">
              <w:rPr>
                <w:noProof/>
                <w:webHidden/>
              </w:rPr>
              <w:fldChar w:fldCharType="end"/>
            </w:r>
          </w:hyperlink>
        </w:p>
        <w:p w14:paraId="5F5101BF" w14:textId="11E92D79" w:rsidR="009B3416" w:rsidRDefault="00AB086E">
          <w:pPr>
            <w:pStyle w:val="Spistreci1"/>
            <w:tabs>
              <w:tab w:val="right" w:leader="dot" w:pos="9062"/>
            </w:tabs>
            <w:rPr>
              <w:rFonts w:eastAsiaTheme="minorEastAsia"/>
              <w:noProof/>
              <w:lang w:eastAsia="pl-PL"/>
            </w:rPr>
          </w:pPr>
          <w:hyperlink w:anchor="_Toc115441453" w:history="1">
            <w:r w:rsidR="009B3416" w:rsidRPr="00160088">
              <w:rPr>
                <w:rStyle w:val="Hipercze"/>
                <w:noProof/>
              </w:rPr>
              <w:t>3. Turystyczna produkcja globalna, wartość dodana i udział turystyki w tworzeniu PKB</w:t>
            </w:r>
            <w:r w:rsidR="009B3416">
              <w:rPr>
                <w:noProof/>
                <w:webHidden/>
              </w:rPr>
              <w:tab/>
            </w:r>
            <w:r w:rsidR="009B3416">
              <w:rPr>
                <w:noProof/>
                <w:webHidden/>
              </w:rPr>
              <w:fldChar w:fldCharType="begin"/>
            </w:r>
            <w:r w:rsidR="009B3416">
              <w:rPr>
                <w:noProof/>
                <w:webHidden/>
              </w:rPr>
              <w:instrText xml:space="preserve"> PAGEREF _Toc115441453 \h </w:instrText>
            </w:r>
            <w:r w:rsidR="009B3416">
              <w:rPr>
                <w:noProof/>
                <w:webHidden/>
              </w:rPr>
            </w:r>
            <w:r w:rsidR="009B3416">
              <w:rPr>
                <w:noProof/>
                <w:webHidden/>
              </w:rPr>
              <w:fldChar w:fldCharType="separate"/>
            </w:r>
            <w:r w:rsidR="003A145C">
              <w:rPr>
                <w:noProof/>
                <w:webHidden/>
              </w:rPr>
              <w:t>32</w:t>
            </w:r>
            <w:r w:rsidR="009B3416">
              <w:rPr>
                <w:noProof/>
                <w:webHidden/>
              </w:rPr>
              <w:fldChar w:fldCharType="end"/>
            </w:r>
          </w:hyperlink>
        </w:p>
        <w:p w14:paraId="41BCDC98" w14:textId="50F198DE" w:rsidR="009B3416" w:rsidRDefault="00AB086E">
          <w:pPr>
            <w:pStyle w:val="Spistreci2"/>
            <w:tabs>
              <w:tab w:val="right" w:leader="dot" w:pos="9062"/>
            </w:tabs>
            <w:rPr>
              <w:rFonts w:eastAsiaTheme="minorEastAsia"/>
              <w:noProof/>
              <w:lang w:eastAsia="pl-PL"/>
            </w:rPr>
          </w:pPr>
          <w:hyperlink w:anchor="_Toc115441454" w:history="1">
            <w:r w:rsidR="009B3416" w:rsidRPr="00160088">
              <w:rPr>
                <w:rStyle w:val="Hipercze"/>
                <w:rFonts w:ascii="Times New Roman" w:hAnsi="Times New Roman"/>
                <w:noProof/>
              </w:rPr>
              <w:t xml:space="preserve">3.1. </w:t>
            </w:r>
            <w:r w:rsidR="009B3416" w:rsidRPr="00160088">
              <w:rPr>
                <w:rStyle w:val="Hipercze"/>
                <w:noProof/>
              </w:rPr>
              <w:t>Charakterystyka produkcji globalnej i podaży produktów turystycznych</w:t>
            </w:r>
            <w:r w:rsidR="009B3416">
              <w:rPr>
                <w:noProof/>
                <w:webHidden/>
              </w:rPr>
              <w:tab/>
            </w:r>
            <w:r w:rsidR="009B3416">
              <w:rPr>
                <w:noProof/>
                <w:webHidden/>
              </w:rPr>
              <w:fldChar w:fldCharType="begin"/>
            </w:r>
            <w:r w:rsidR="009B3416">
              <w:rPr>
                <w:noProof/>
                <w:webHidden/>
              </w:rPr>
              <w:instrText xml:space="preserve"> PAGEREF _Toc115441454 \h </w:instrText>
            </w:r>
            <w:r w:rsidR="009B3416">
              <w:rPr>
                <w:noProof/>
                <w:webHidden/>
              </w:rPr>
            </w:r>
            <w:r w:rsidR="009B3416">
              <w:rPr>
                <w:noProof/>
                <w:webHidden/>
              </w:rPr>
              <w:fldChar w:fldCharType="separate"/>
            </w:r>
            <w:r w:rsidR="003A145C">
              <w:rPr>
                <w:noProof/>
                <w:webHidden/>
              </w:rPr>
              <w:t>32</w:t>
            </w:r>
            <w:r w:rsidR="009B3416">
              <w:rPr>
                <w:noProof/>
                <w:webHidden/>
              </w:rPr>
              <w:fldChar w:fldCharType="end"/>
            </w:r>
          </w:hyperlink>
        </w:p>
        <w:p w14:paraId="056795C1" w14:textId="2833D474" w:rsidR="009B3416" w:rsidRDefault="00AB086E">
          <w:pPr>
            <w:pStyle w:val="Spistreci2"/>
            <w:tabs>
              <w:tab w:val="right" w:leader="dot" w:pos="9062"/>
            </w:tabs>
            <w:rPr>
              <w:rFonts w:eastAsiaTheme="minorEastAsia"/>
              <w:noProof/>
              <w:lang w:eastAsia="pl-PL"/>
            </w:rPr>
          </w:pPr>
          <w:hyperlink w:anchor="_Toc115441455" w:history="1">
            <w:r w:rsidR="009B3416" w:rsidRPr="00160088">
              <w:rPr>
                <w:rStyle w:val="Hipercze"/>
                <w:rFonts w:ascii="Times New Roman" w:hAnsi="Times New Roman"/>
                <w:noProof/>
              </w:rPr>
              <w:t xml:space="preserve">3.2. </w:t>
            </w:r>
            <w:r w:rsidR="009B3416" w:rsidRPr="00160088">
              <w:rPr>
                <w:rStyle w:val="Hipercze"/>
                <w:noProof/>
              </w:rPr>
              <w:t>Wkład turystyki w gospodarkę kraju</w:t>
            </w:r>
            <w:r w:rsidR="009B3416">
              <w:rPr>
                <w:noProof/>
                <w:webHidden/>
              </w:rPr>
              <w:tab/>
            </w:r>
            <w:r w:rsidR="009B3416">
              <w:rPr>
                <w:noProof/>
                <w:webHidden/>
              </w:rPr>
              <w:fldChar w:fldCharType="begin"/>
            </w:r>
            <w:r w:rsidR="009B3416">
              <w:rPr>
                <w:noProof/>
                <w:webHidden/>
              </w:rPr>
              <w:instrText xml:space="preserve"> PAGEREF _Toc115441455 \h </w:instrText>
            </w:r>
            <w:r w:rsidR="009B3416">
              <w:rPr>
                <w:noProof/>
                <w:webHidden/>
              </w:rPr>
            </w:r>
            <w:r w:rsidR="009B3416">
              <w:rPr>
                <w:noProof/>
                <w:webHidden/>
              </w:rPr>
              <w:fldChar w:fldCharType="separate"/>
            </w:r>
            <w:r w:rsidR="003A145C">
              <w:rPr>
                <w:noProof/>
                <w:webHidden/>
              </w:rPr>
              <w:t>36</w:t>
            </w:r>
            <w:r w:rsidR="009B3416">
              <w:rPr>
                <w:noProof/>
                <w:webHidden/>
              </w:rPr>
              <w:fldChar w:fldCharType="end"/>
            </w:r>
          </w:hyperlink>
        </w:p>
        <w:p w14:paraId="71E8BB1E" w14:textId="6D7C6786" w:rsidR="009B3416" w:rsidRDefault="00AB086E">
          <w:pPr>
            <w:pStyle w:val="Spistreci2"/>
            <w:tabs>
              <w:tab w:val="right" w:leader="dot" w:pos="9062"/>
            </w:tabs>
            <w:rPr>
              <w:rFonts w:eastAsiaTheme="minorEastAsia"/>
              <w:noProof/>
              <w:lang w:eastAsia="pl-PL"/>
            </w:rPr>
          </w:pPr>
          <w:hyperlink w:anchor="_Toc115441456" w:history="1">
            <w:r w:rsidR="009B3416" w:rsidRPr="00160088">
              <w:rPr>
                <w:rStyle w:val="Hipercze"/>
                <w:rFonts w:ascii="Times New Roman" w:hAnsi="Times New Roman"/>
                <w:noProof/>
              </w:rPr>
              <w:t xml:space="preserve">3.3. </w:t>
            </w:r>
            <w:r w:rsidR="009B3416" w:rsidRPr="00160088">
              <w:rPr>
                <w:rStyle w:val="Hipercze"/>
                <w:noProof/>
              </w:rPr>
              <w:t>Kierunki zmian</w:t>
            </w:r>
            <w:r w:rsidR="009B3416">
              <w:rPr>
                <w:noProof/>
                <w:webHidden/>
              </w:rPr>
              <w:tab/>
            </w:r>
            <w:r w:rsidR="009B3416">
              <w:rPr>
                <w:noProof/>
                <w:webHidden/>
              </w:rPr>
              <w:fldChar w:fldCharType="begin"/>
            </w:r>
            <w:r w:rsidR="009B3416">
              <w:rPr>
                <w:noProof/>
                <w:webHidden/>
              </w:rPr>
              <w:instrText xml:space="preserve"> PAGEREF _Toc115441456 \h </w:instrText>
            </w:r>
            <w:r w:rsidR="009B3416">
              <w:rPr>
                <w:noProof/>
                <w:webHidden/>
              </w:rPr>
            </w:r>
            <w:r w:rsidR="009B3416">
              <w:rPr>
                <w:noProof/>
                <w:webHidden/>
              </w:rPr>
              <w:fldChar w:fldCharType="separate"/>
            </w:r>
            <w:r w:rsidR="003A145C">
              <w:rPr>
                <w:noProof/>
                <w:webHidden/>
              </w:rPr>
              <w:t>39</w:t>
            </w:r>
            <w:r w:rsidR="009B3416">
              <w:rPr>
                <w:noProof/>
                <w:webHidden/>
              </w:rPr>
              <w:fldChar w:fldCharType="end"/>
            </w:r>
          </w:hyperlink>
        </w:p>
        <w:p w14:paraId="085F5BF9" w14:textId="04678F82" w:rsidR="009B3416" w:rsidRDefault="00AB086E">
          <w:pPr>
            <w:pStyle w:val="Spistreci1"/>
            <w:tabs>
              <w:tab w:val="right" w:leader="dot" w:pos="9062"/>
            </w:tabs>
            <w:rPr>
              <w:rFonts w:eastAsiaTheme="minorEastAsia"/>
              <w:noProof/>
              <w:lang w:eastAsia="pl-PL"/>
            </w:rPr>
          </w:pPr>
          <w:hyperlink w:anchor="_Toc115441457" w:history="1">
            <w:r w:rsidR="009B3416" w:rsidRPr="00160088">
              <w:rPr>
                <w:rStyle w:val="Hipercze"/>
                <w:noProof/>
              </w:rPr>
              <w:t>4. Charakterystyka siły roboczej w CRDT</w:t>
            </w:r>
            <w:r w:rsidR="009B3416">
              <w:rPr>
                <w:noProof/>
                <w:webHidden/>
              </w:rPr>
              <w:tab/>
            </w:r>
            <w:r w:rsidR="009B3416">
              <w:rPr>
                <w:noProof/>
                <w:webHidden/>
              </w:rPr>
              <w:fldChar w:fldCharType="begin"/>
            </w:r>
            <w:r w:rsidR="009B3416">
              <w:rPr>
                <w:noProof/>
                <w:webHidden/>
              </w:rPr>
              <w:instrText xml:space="preserve"> PAGEREF _Toc115441457 \h </w:instrText>
            </w:r>
            <w:r w:rsidR="009B3416">
              <w:rPr>
                <w:noProof/>
                <w:webHidden/>
              </w:rPr>
            </w:r>
            <w:r w:rsidR="009B3416">
              <w:rPr>
                <w:noProof/>
                <w:webHidden/>
              </w:rPr>
              <w:fldChar w:fldCharType="separate"/>
            </w:r>
            <w:r w:rsidR="003A145C">
              <w:rPr>
                <w:noProof/>
                <w:webHidden/>
              </w:rPr>
              <w:t>41</w:t>
            </w:r>
            <w:r w:rsidR="009B3416">
              <w:rPr>
                <w:noProof/>
                <w:webHidden/>
              </w:rPr>
              <w:fldChar w:fldCharType="end"/>
            </w:r>
          </w:hyperlink>
        </w:p>
        <w:p w14:paraId="4D580C7D" w14:textId="5815E1FC" w:rsidR="009B3416" w:rsidRDefault="00AB086E">
          <w:pPr>
            <w:pStyle w:val="Spistreci1"/>
            <w:tabs>
              <w:tab w:val="right" w:leader="dot" w:pos="9062"/>
            </w:tabs>
            <w:rPr>
              <w:rFonts w:eastAsiaTheme="minorEastAsia"/>
              <w:noProof/>
              <w:lang w:eastAsia="pl-PL"/>
            </w:rPr>
          </w:pPr>
          <w:hyperlink w:anchor="_Toc115441458" w:history="1">
            <w:r w:rsidR="009B3416" w:rsidRPr="00160088">
              <w:rPr>
                <w:rStyle w:val="Hipercze"/>
                <w:noProof/>
              </w:rPr>
              <w:t>5. Nakłady i inwestycje</w:t>
            </w:r>
            <w:r w:rsidR="009B3416">
              <w:rPr>
                <w:noProof/>
                <w:webHidden/>
              </w:rPr>
              <w:tab/>
            </w:r>
            <w:r w:rsidR="009B3416">
              <w:rPr>
                <w:noProof/>
                <w:webHidden/>
              </w:rPr>
              <w:fldChar w:fldCharType="begin"/>
            </w:r>
            <w:r w:rsidR="009B3416">
              <w:rPr>
                <w:noProof/>
                <w:webHidden/>
              </w:rPr>
              <w:instrText xml:space="preserve"> PAGEREF _Toc115441458 \h </w:instrText>
            </w:r>
            <w:r w:rsidR="009B3416">
              <w:rPr>
                <w:noProof/>
                <w:webHidden/>
              </w:rPr>
            </w:r>
            <w:r w:rsidR="009B3416">
              <w:rPr>
                <w:noProof/>
                <w:webHidden/>
              </w:rPr>
              <w:fldChar w:fldCharType="separate"/>
            </w:r>
            <w:r w:rsidR="003A145C">
              <w:rPr>
                <w:noProof/>
                <w:webHidden/>
              </w:rPr>
              <w:t>46</w:t>
            </w:r>
            <w:r w:rsidR="009B3416">
              <w:rPr>
                <w:noProof/>
                <w:webHidden/>
              </w:rPr>
              <w:fldChar w:fldCharType="end"/>
            </w:r>
          </w:hyperlink>
        </w:p>
        <w:p w14:paraId="45E3F79E" w14:textId="2EBE3DA6" w:rsidR="009B3416" w:rsidRDefault="00AB086E">
          <w:pPr>
            <w:pStyle w:val="Spistreci1"/>
            <w:tabs>
              <w:tab w:val="right" w:leader="dot" w:pos="9062"/>
            </w:tabs>
            <w:rPr>
              <w:rFonts w:eastAsiaTheme="minorEastAsia"/>
              <w:noProof/>
              <w:lang w:eastAsia="pl-PL"/>
            </w:rPr>
          </w:pPr>
          <w:hyperlink w:anchor="_Toc115441459" w:history="1">
            <w:r w:rsidR="009B3416" w:rsidRPr="00160088">
              <w:rPr>
                <w:rStyle w:val="Hipercze"/>
                <w:noProof/>
              </w:rPr>
              <w:t>6. Uwagi końcowe</w:t>
            </w:r>
            <w:r w:rsidR="009B3416">
              <w:rPr>
                <w:noProof/>
                <w:webHidden/>
              </w:rPr>
              <w:tab/>
            </w:r>
            <w:r w:rsidR="009B3416">
              <w:rPr>
                <w:noProof/>
                <w:webHidden/>
              </w:rPr>
              <w:fldChar w:fldCharType="begin"/>
            </w:r>
            <w:r w:rsidR="009B3416">
              <w:rPr>
                <w:noProof/>
                <w:webHidden/>
              </w:rPr>
              <w:instrText xml:space="preserve"> PAGEREF _Toc115441459 \h </w:instrText>
            </w:r>
            <w:r w:rsidR="009B3416">
              <w:rPr>
                <w:noProof/>
                <w:webHidden/>
              </w:rPr>
            </w:r>
            <w:r w:rsidR="009B3416">
              <w:rPr>
                <w:noProof/>
                <w:webHidden/>
              </w:rPr>
              <w:fldChar w:fldCharType="separate"/>
            </w:r>
            <w:r w:rsidR="003A145C">
              <w:rPr>
                <w:noProof/>
                <w:webHidden/>
              </w:rPr>
              <w:t>55</w:t>
            </w:r>
            <w:r w:rsidR="009B3416">
              <w:rPr>
                <w:noProof/>
                <w:webHidden/>
              </w:rPr>
              <w:fldChar w:fldCharType="end"/>
            </w:r>
          </w:hyperlink>
        </w:p>
        <w:p w14:paraId="559F4AEE" w14:textId="36DEA140" w:rsidR="009B3416" w:rsidRDefault="00AB086E">
          <w:pPr>
            <w:pStyle w:val="Spistreci2"/>
            <w:tabs>
              <w:tab w:val="right" w:leader="dot" w:pos="9062"/>
            </w:tabs>
            <w:rPr>
              <w:rFonts w:eastAsiaTheme="minorEastAsia"/>
              <w:noProof/>
              <w:lang w:eastAsia="pl-PL"/>
            </w:rPr>
          </w:pPr>
          <w:hyperlink w:anchor="_Toc115441460" w:history="1">
            <w:r w:rsidR="009B3416" w:rsidRPr="00160088">
              <w:rPr>
                <w:rStyle w:val="Hipercze"/>
                <w:noProof/>
                <w:lang w:val="en-US"/>
              </w:rPr>
              <w:t>Bibliografia i źródła danych</w:t>
            </w:r>
            <w:r w:rsidR="009B3416">
              <w:rPr>
                <w:noProof/>
                <w:webHidden/>
              </w:rPr>
              <w:tab/>
            </w:r>
            <w:r w:rsidR="009B3416">
              <w:rPr>
                <w:noProof/>
                <w:webHidden/>
              </w:rPr>
              <w:fldChar w:fldCharType="begin"/>
            </w:r>
            <w:r w:rsidR="009B3416">
              <w:rPr>
                <w:noProof/>
                <w:webHidden/>
              </w:rPr>
              <w:instrText xml:space="preserve"> PAGEREF _Toc115441460 \h </w:instrText>
            </w:r>
            <w:r w:rsidR="009B3416">
              <w:rPr>
                <w:noProof/>
                <w:webHidden/>
              </w:rPr>
            </w:r>
            <w:r w:rsidR="009B3416">
              <w:rPr>
                <w:noProof/>
                <w:webHidden/>
              </w:rPr>
              <w:fldChar w:fldCharType="separate"/>
            </w:r>
            <w:r w:rsidR="003A145C">
              <w:rPr>
                <w:noProof/>
                <w:webHidden/>
              </w:rPr>
              <w:t>57</w:t>
            </w:r>
            <w:r w:rsidR="009B3416">
              <w:rPr>
                <w:noProof/>
                <w:webHidden/>
              </w:rPr>
              <w:fldChar w:fldCharType="end"/>
            </w:r>
          </w:hyperlink>
        </w:p>
        <w:p w14:paraId="4E90A80F" w14:textId="5B0A60D4" w:rsidR="00FB40ED" w:rsidRDefault="00FB40ED">
          <w:r>
            <w:rPr>
              <w:b/>
              <w:bCs/>
            </w:rPr>
            <w:fldChar w:fldCharType="end"/>
          </w:r>
        </w:p>
      </w:sdtContent>
    </w:sdt>
    <w:p w14:paraId="2C00EA14"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pacing w:val="-2"/>
          <w:sz w:val="24"/>
          <w:szCs w:val="24"/>
          <w:lang w:eastAsia="pl-PL"/>
        </w:rPr>
      </w:pPr>
    </w:p>
    <w:p w14:paraId="3A20C454"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z w:val="24"/>
          <w:szCs w:val="24"/>
          <w:lang w:eastAsia="pl-PL"/>
        </w:rPr>
      </w:pPr>
      <w:bookmarkStart w:id="11" w:name="_Toc156099294"/>
    </w:p>
    <w:p w14:paraId="161893CC" w14:textId="77777777" w:rsidR="00263734" w:rsidRPr="00263734" w:rsidRDefault="00263734" w:rsidP="00263734">
      <w:pPr>
        <w:spacing w:after="0" w:line="288" w:lineRule="auto"/>
        <w:ind w:firstLine="284"/>
        <w:jc w:val="both"/>
        <w:rPr>
          <w:rFonts w:ascii="Times New Roman" w:eastAsia="Times New Roman" w:hAnsi="Times New Roman" w:cs="Times New Roman"/>
          <w:color w:val="FF0000"/>
          <w:sz w:val="24"/>
          <w:szCs w:val="24"/>
          <w:lang w:eastAsia="pl-PL"/>
        </w:rPr>
      </w:pPr>
      <w:r w:rsidRPr="00263734">
        <w:rPr>
          <w:rFonts w:ascii="Times New Roman" w:eastAsia="Times New Roman" w:hAnsi="Times New Roman" w:cs="Times New Roman"/>
          <w:color w:val="FF0000"/>
          <w:sz w:val="24"/>
          <w:szCs w:val="24"/>
          <w:lang w:eastAsia="pl-PL"/>
        </w:rPr>
        <w:br w:type="page"/>
      </w:r>
    </w:p>
    <w:p w14:paraId="20FBBB6E" w14:textId="62275D9C" w:rsidR="002A1B1C" w:rsidRDefault="002A1B1C" w:rsidP="00C0658B">
      <w:pPr>
        <w:pStyle w:val="Nagwek4"/>
        <w:spacing w:after="240"/>
        <w:rPr>
          <w:sz w:val="24"/>
          <w:szCs w:val="24"/>
        </w:rPr>
      </w:pPr>
      <w:bookmarkStart w:id="12" w:name="_Toc218703249"/>
      <w:bookmarkStart w:id="13" w:name="_Toc486565760"/>
      <w:bookmarkEnd w:id="11"/>
      <w:r w:rsidRPr="00FF1FE1">
        <w:rPr>
          <w:sz w:val="24"/>
          <w:szCs w:val="24"/>
        </w:rPr>
        <w:lastRenderedPageBreak/>
        <w:t xml:space="preserve">Spis </w:t>
      </w:r>
      <w:r w:rsidR="00C0658B">
        <w:rPr>
          <w:sz w:val="24"/>
          <w:szCs w:val="24"/>
        </w:rPr>
        <w:t>t</w:t>
      </w:r>
      <w:r w:rsidR="00FD49D9">
        <w:rPr>
          <w:sz w:val="24"/>
          <w:szCs w:val="24"/>
        </w:rPr>
        <w:t xml:space="preserve">ablic i </w:t>
      </w:r>
      <w:r w:rsidR="00B828FE">
        <w:rPr>
          <w:sz w:val="24"/>
          <w:szCs w:val="24"/>
        </w:rPr>
        <w:t>wykresów</w:t>
      </w:r>
      <w:r w:rsidRPr="00FF1FE1">
        <w:rPr>
          <w:sz w:val="24"/>
          <w:szCs w:val="24"/>
        </w:rPr>
        <w:t xml:space="preserve"> </w:t>
      </w:r>
    </w:p>
    <w:p w14:paraId="7236012B" w14:textId="43AF73D4"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fldChar w:fldCharType="begin"/>
      </w:r>
      <w:r w:rsidRPr="00C0658B">
        <w:rPr>
          <w:noProof/>
          <w:sz w:val="20"/>
          <w:szCs w:val="20"/>
        </w:rPr>
        <w:instrText xml:space="preserve"> TOC \t "nazwa" \c </w:instrText>
      </w:r>
      <w:r w:rsidRPr="00C0658B">
        <w:rPr>
          <w:noProof/>
          <w:sz w:val="20"/>
          <w:szCs w:val="20"/>
        </w:rPr>
        <w:fldChar w:fldCharType="separate"/>
      </w:r>
      <w:r w:rsidRPr="00C0658B">
        <w:rPr>
          <w:noProof/>
          <w:sz w:val="20"/>
          <w:szCs w:val="20"/>
        </w:rPr>
        <w:t>Wykre</w:t>
      </w:r>
      <w:r w:rsidRPr="009B3416">
        <w:rPr>
          <w:i/>
          <w:iCs/>
          <w:noProof/>
          <w:sz w:val="20"/>
          <w:szCs w:val="20"/>
        </w:rPr>
        <w:t>s</w:t>
      </w:r>
      <w:r w:rsidRPr="00C0658B">
        <w:rPr>
          <w:noProof/>
          <w:sz w:val="20"/>
          <w:szCs w:val="20"/>
        </w:rPr>
        <w:t xml:space="preserve"> 2.1. Struktura spożycia turystycznego w latach 2018 i 2019 według grup konsumentów</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_Toc115437470 \h </w:instrText>
      </w:r>
      <w:r w:rsidRPr="00C0658B">
        <w:rPr>
          <w:noProof/>
          <w:sz w:val="20"/>
          <w:szCs w:val="20"/>
        </w:rPr>
      </w:r>
      <w:r w:rsidRPr="00C0658B">
        <w:rPr>
          <w:noProof/>
          <w:sz w:val="20"/>
          <w:szCs w:val="20"/>
        </w:rPr>
        <w:fldChar w:fldCharType="separate"/>
      </w:r>
      <w:r w:rsidR="003A145C">
        <w:rPr>
          <w:noProof/>
          <w:sz w:val="20"/>
          <w:szCs w:val="20"/>
        </w:rPr>
        <w:t>20</w:t>
      </w:r>
      <w:r w:rsidRPr="00C0658B">
        <w:rPr>
          <w:noProof/>
          <w:sz w:val="20"/>
          <w:szCs w:val="20"/>
        </w:rPr>
        <w:fldChar w:fldCharType="end"/>
      </w:r>
    </w:p>
    <w:p w14:paraId="1CD7BFFD" w14:textId="10CD7346"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2.2. Struktura spożycia turystycznego ogółem w latach 2018 – 2019 według produktów</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_Toc115437471 \h </w:instrText>
      </w:r>
      <w:r w:rsidRPr="00C0658B">
        <w:rPr>
          <w:noProof/>
          <w:sz w:val="20"/>
          <w:szCs w:val="20"/>
        </w:rPr>
      </w:r>
      <w:r w:rsidRPr="00C0658B">
        <w:rPr>
          <w:noProof/>
          <w:sz w:val="20"/>
          <w:szCs w:val="20"/>
        </w:rPr>
        <w:fldChar w:fldCharType="separate"/>
      </w:r>
      <w:r w:rsidR="003A145C">
        <w:rPr>
          <w:noProof/>
          <w:sz w:val="20"/>
          <w:szCs w:val="20"/>
        </w:rPr>
        <w:t>21</w:t>
      </w:r>
      <w:r w:rsidRPr="00C0658B">
        <w:rPr>
          <w:noProof/>
          <w:sz w:val="20"/>
          <w:szCs w:val="20"/>
        </w:rPr>
        <w:fldChar w:fldCharType="end"/>
      </w:r>
    </w:p>
    <w:p w14:paraId="1BED2002" w14:textId="0E9F2038"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2.3. Krajowe spożycie turystyczne (pieniężne i w naturze) w latach 2018 - 2019 </w:t>
      </w:r>
      <w:r w:rsidR="00C0658B">
        <w:rPr>
          <w:noProof/>
          <w:sz w:val="20"/>
          <w:szCs w:val="20"/>
        </w:rPr>
        <w:br/>
      </w:r>
      <w:r w:rsidRPr="00C0658B">
        <w:rPr>
          <w:noProof/>
          <w:sz w:val="20"/>
          <w:szCs w:val="20"/>
        </w:rPr>
        <w:t>według produktów i grup nabywców</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_Toc115437472 \h </w:instrText>
      </w:r>
      <w:r w:rsidRPr="00C0658B">
        <w:rPr>
          <w:noProof/>
          <w:sz w:val="20"/>
          <w:szCs w:val="20"/>
        </w:rPr>
      </w:r>
      <w:r w:rsidRPr="00C0658B">
        <w:rPr>
          <w:noProof/>
          <w:sz w:val="20"/>
          <w:szCs w:val="20"/>
        </w:rPr>
        <w:fldChar w:fldCharType="separate"/>
      </w:r>
      <w:r w:rsidR="003A145C">
        <w:rPr>
          <w:noProof/>
          <w:sz w:val="20"/>
          <w:szCs w:val="20"/>
        </w:rPr>
        <w:t>23</w:t>
      </w:r>
      <w:r w:rsidRPr="00C0658B">
        <w:rPr>
          <w:noProof/>
          <w:sz w:val="20"/>
          <w:szCs w:val="20"/>
        </w:rPr>
        <w:fldChar w:fldCharType="end"/>
      </w:r>
    </w:p>
    <w:p w14:paraId="72F1B10F" w14:textId="66E15B34"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2.4. Wydatki nierezydentów w latach 2018 – 2019 według produktów</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_Toc115437473 \h </w:instrText>
      </w:r>
      <w:r w:rsidRPr="00C0658B">
        <w:rPr>
          <w:noProof/>
          <w:sz w:val="20"/>
          <w:szCs w:val="20"/>
        </w:rPr>
      </w:r>
      <w:r w:rsidRPr="00C0658B">
        <w:rPr>
          <w:noProof/>
          <w:sz w:val="20"/>
          <w:szCs w:val="20"/>
        </w:rPr>
        <w:fldChar w:fldCharType="separate"/>
      </w:r>
      <w:r w:rsidR="003A145C">
        <w:rPr>
          <w:noProof/>
          <w:sz w:val="20"/>
          <w:szCs w:val="20"/>
        </w:rPr>
        <w:t>24</w:t>
      </w:r>
      <w:r w:rsidRPr="00C0658B">
        <w:rPr>
          <w:noProof/>
          <w:sz w:val="20"/>
          <w:szCs w:val="20"/>
        </w:rPr>
        <w:fldChar w:fldCharType="end"/>
      </w:r>
    </w:p>
    <w:p w14:paraId="3D227F77" w14:textId="10CBFFD4"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2.5. Struktura spożycia turystycznego nierezydentów w latach 2018 i 2019</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_Toc115437474 \h </w:instrText>
      </w:r>
      <w:r w:rsidRPr="00C0658B">
        <w:rPr>
          <w:noProof/>
          <w:sz w:val="20"/>
          <w:szCs w:val="20"/>
        </w:rPr>
      </w:r>
      <w:r w:rsidRPr="00C0658B">
        <w:rPr>
          <w:noProof/>
          <w:sz w:val="20"/>
          <w:szCs w:val="20"/>
        </w:rPr>
        <w:fldChar w:fldCharType="separate"/>
      </w:r>
      <w:r w:rsidR="003A145C">
        <w:rPr>
          <w:noProof/>
          <w:sz w:val="20"/>
          <w:szCs w:val="20"/>
        </w:rPr>
        <w:t>26</w:t>
      </w:r>
      <w:r w:rsidRPr="00C0658B">
        <w:rPr>
          <w:noProof/>
          <w:sz w:val="20"/>
          <w:szCs w:val="20"/>
        </w:rPr>
        <w:fldChar w:fldCharType="end"/>
      </w:r>
    </w:p>
    <w:p w14:paraId="6F80CB2C" w14:textId="22F26683"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2.6. Wydatki w turystyce krajowej według produktów w latach 2018 i 2019</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_Toc115437475 \h </w:instrText>
      </w:r>
      <w:r w:rsidRPr="00C0658B">
        <w:rPr>
          <w:noProof/>
          <w:sz w:val="20"/>
          <w:szCs w:val="20"/>
        </w:rPr>
      </w:r>
      <w:r w:rsidRPr="00C0658B">
        <w:rPr>
          <w:noProof/>
          <w:sz w:val="20"/>
          <w:szCs w:val="20"/>
        </w:rPr>
        <w:fldChar w:fldCharType="separate"/>
      </w:r>
      <w:r w:rsidR="003A145C">
        <w:rPr>
          <w:noProof/>
          <w:sz w:val="20"/>
          <w:szCs w:val="20"/>
        </w:rPr>
        <w:t>28</w:t>
      </w:r>
      <w:r w:rsidRPr="00C0658B">
        <w:rPr>
          <w:noProof/>
          <w:sz w:val="20"/>
          <w:szCs w:val="20"/>
        </w:rPr>
        <w:fldChar w:fldCharType="end"/>
      </w:r>
    </w:p>
    <w:p w14:paraId="3AFF5A1C" w14:textId="4695A09A"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2.7. Struktura wydatków w turystyce krajowej w latach 2018-2019 </w:t>
      </w:r>
      <w:r w:rsidR="00C0658B">
        <w:rPr>
          <w:noProof/>
          <w:sz w:val="20"/>
          <w:szCs w:val="20"/>
        </w:rPr>
        <w:br/>
      </w:r>
      <w:r w:rsidRPr="00C0658B">
        <w:rPr>
          <w:noProof/>
          <w:sz w:val="20"/>
          <w:szCs w:val="20"/>
        </w:rPr>
        <w:t>według produktów i typów podróży (w %)</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_Toc115437476 \h </w:instrText>
      </w:r>
      <w:r w:rsidRPr="00C0658B">
        <w:rPr>
          <w:noProof/>
          <w:sz w:val="20"/>
          <w:szCs w:val="20"/>
        </w:rPr>
      </w:r>
      <w:r w:rsidRPr="00C0658B">
        <w:rPr>
          <w:noProof/>
          <w:sz w:val="20"/>
          <w:szCs w:val="20"/>
        </w:rPr>
        <w:fldChar w:fldCharType="separate"/>
      </w:r>
      <w:r w:rsidR="003A145C">
        <w:rPr>
          <w:noProof/>
          <w:sz w:val="20"/>
          <w:szCs w:val="20"/>
        </w:rPr>
        <w:t>29</w:t>
      </w:r>
      <w:r w:rsidRPr="00C0658B">
        <w:rPr>
          <w:noProof/>
          <w:sz w:val="20"/>
          <w:szCs w:val="20"/>
        </w:rPr>
        <w:fldChar w:fldCharType="end"/>
      </w:r>
    </w:p>
    <w:p w14:paraId="7130B936" w14:textId="0CA504DA"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2.8.</w:t>
      </w:r>
      <w:r w:rsidR="009B3416">
        <w:rPr>
          <w:noProof/>
          <w:sz w:val="20"/>
          <w:szCs w:val="20"/>
        </w:rPr>
        <w:t xml:space="preserve"> </w:t>
      </w:r>
      <w:r w:rsidRPr="00C0658B">
        <w:rPr>
          <w:noProof/>
          <w:sz w:val="20"/>
          <w:szCs w:val="20"/>
        </w:rPr>
        <w:t>Struktura wydatków rezydentów poniesionych za granicą w latach 2018 i 2019</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_Toc115437477 \h </w:instrText>
      </w:r>
      <w:r w:rsidRPr="00C0658B">
        <w:rPr>
          <w:noProof/>
          <w:sz w:val="20"/>
          <w:szCs w:val="20"/>
        </w:rPr>
      </w:r>
      <w:r w:rsidRPr="00C0658B">
        <w:rPr>
          <w:noProof/>
          <w:sz w:val="20"/>
          <w:szCs w:val="20"/>
        </w:rPr>
        <w:fldChar w:fldCharType="separate"/>
      </w:r>
      <w:r w:rsidR="003A145C">
        <w:rPr>
          <w:noProof/>
          <w:sz w:val="20"/>
          <w:szCs w:val="20"/>
        </w:rPr>
        <w:t>30</w:t>
      </w:r>
      <w:r w:rsidRPr="00C0658B">
        <w:rPr>
          <w:noProof/>
          <w:sz w:val="20"/>
          <w:szCs w:val="20"/>
        </w:rPr>
        <w:fldChar w:fldCharType="end"/>
      </w:r>
    </w:p>
    <w:p w14:paraId="753E5309" w14:textId="773EBDF1"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2.9. Zmiany w spożyciu wybranych produktów turystycznych w latach 2018-2019 </w:t>
      </w:r>
      <w:r w:rsidR="00C0658B">
        <w:rPr>
          <w:noProof/>
          <w:sz w:val="20"/>
          <w:szCs w:val="20"/>
        </w:rPr>
        <w:br/>
      </w:r>
      <w:r w:rsidRPr="00C0658B">
        <w:rPr>
          <w:noProof/>
          <w:sz w:val="20"/>
          <w:szCs w:val="20"/>
        </w:rPr>
        <w:t>(2019:2018)</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_Toc115437478 \h </w:instrText>
      </w:r>
      <w:r w:rsidRPr="00C0658B">
        <w:rPr>
          <w:noProof/>
          <w:sz w:val="20"/>
          <w:szCs w:val="20"/>
        </w:rPr>
      </w:r>
      <w:r w:rsidRPr="00C0658B">
        <w:rPr>
          <w:noProof/>
          <w:sz w:val="20"/>
          <w:szCs w:val="20"/>
        </w:rPr>
        <w:fldChar w:fldCharType="separate"/>
      </w:r>
      <w:r w:rsidR="003A145C">
        <w:rPr>
          <w:noProof/>
          <w:sz w:val="20"/>
          <w:szCs w:val="20"/>
        </w:rPr>
        <w:t>31</w:t>
      </w:r>
      <w:r w:rsidRPr="00C0658B">
        <w:rPr>
          <w:noProof/>
          <w:sz w:val="20"/>
          <w:szCs w:val="20"/>
        </w:rPr>
        <w:fldChar w:fldCharType="end"/>
      </w:r>
    </w:p>
    <w:p w14:paraId="73047B60" w14:textId="3A9671CF"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2.10. Wielkość i struktura krajowego spożycia turystycznego w latach 2008-2019</w:t>
      </w:r>
      <w:r w:rsidR="009B3416">
        <w:rPr>
          <w:noProof/>
          <w:sz w:val="20"/>
          <w:szCs w:val="20"/>
        </w:rPr>
        <w:t xml:space="preserve"> </w:t>
      </w:r>
      <w:r w:rsidR="00C0658B">
        <w:rPr>
          <w:noProof/>
          <w:sz w:val="20"/>
          <w:szCs w:val="20"/>
        </w:rPr>
        <w:br/>
      </w:r>
      <w:r w:rsidRPr="00C0658B">
        <w:rPr>
          <w:noProof/>
          <w:sz w:val="20"/>
          <w:szCs w:val="20"/>
        </w:rPr>
        <w:t>(w mld PLN)</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_Toc115437479 \h </w:instrText>
      </w:r>
      <w:r w:rsidRPr="00C0658B">
        <w:rPr>
          <w:noProof/>
          <w:sz w:val="20"/>
          <w:szCs w:val="20"/>
        </w:rPr>
      </w:r>
      <w:r w:rsidRPr="00C0658B">
        <w:rPr>
          <w:noProof/>
          <w:sz w:val="20"/>
          <w:szCs w:val="20"/>
        </w:rPr>
        <w:fldChar w:fldCharType="separate"/>
      </w:r>
      <w:r w:rsidR="003A145C">
        <w:rPr>
          <w:noProof/>
          <w:sz w:val="20"/>
          <w:szCs w:val="20"/>
        </w:rPr>
        <w:t>31</w:t>
      </w:r>
      <w:r w:rsidRPr="00C0658B">
        <w:rPr>
          <w:noProof/>
          <w:sz w:val="20"/>
          <w:szCs w:val="20"/>
        </w:rPr>
        <w:fldChar w:fldCharType="end"/>
      </w:r>
    </w:p>
    <w:p w14:paraId="0DFDFC80" w14:textId="5E47E5EE"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3.1. Struktura produkcji globalnej podstawowych CRDT w 2018 r.</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_Toc115437480 \h </w:instrText>
      </w:r>
      <w:r w:rsidRPr="00C0658B">
        <w:rPr>
          <w:noProof/>
          <w:sz w:val="20"/>
          <w:szCs w:val="20"/>
        </w:rPr>
      </w:r>
      <w:r w:rsidRPr="00C0658B">
        <w:rPr>
          <w:noProof/>
          <w:sz w:val="20"/>
          <w:szCs w:val="20"/>
        </w:rPr>
        <w:fldChar w:fldCharType="separate"/>
      </w:r>
      <w:r w:rsidR="003A145C">
        <w:rPr>
          <w:noProof/>
          <w:sz w:val="20"/>
          <w:szCs w:val="20"/>
        </w:rPr>
        <w:t>32</w:t>
      </w:r>
      <w:r w:rsidRPr="00C0658B">
        <w:rPr>
          <w:noProof/>
          <w:sz w:val="20"/>
          <w:szCs w:val="20"/>
        </w:rPr>
        <w:fldChar w:fldCharType="end"/>
      </w:r>
    </w:p>
    <w:p w14:paraId="63CC8042" w14:textId="29CD835B"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Tabela 3.1. </w:t>
      </w:r>
      <w:r w:rsidR="00284294">
        <w:rPr>
          <w:noProof/>
          <w:sz w:val="20"/>
          <w:szCs w:val="20"/>
        </w:rPr>
        <w:tab/>
      </w:r>
      <w:r w:rsidRPr="00C0658B">
        <w:rPr>
          <w:noProof/>
          <w:sz w:val="20"/>
          <w:szCs w:val="20"/>
        </w:rPr>
        <w:t xml:space="preserve">Wielkość i dynamika zmian produkcji globalnej podstawowych CRDT </w:t>
      </w:r>
      <w:r w:rsidR="00C0658B">
        <w:rPr>
          <w:noProof/>
          <w:sz w:val="20"/>
          <w:szCs w:val="20"/>
        </w:rPr>
        <w:br/>
      </w:r>
      <w:r w:rsidRPr="00C0658B">
        <w:rPr>
          <w:noProof/>
          <w:sz w:val="20"/>
          <w:szCs w:val="20"/>
        </w:rPr>
        <w:t>w latach 2018-2019 (ceny bieżące bazowe (producenta), mln PLN)</w:t>
      </w:r>
      <w:r w:rsidRPr="003D7E42">
        <w:rPr>
          <w:noProof/>
          <w:sz w:val="20"/>
          <w:szCs w:val="20"/>
        </w:rPr>
        <w:t>a</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_Toc115437481 \h </w:instrText>
      </w:r>
      <w:r w:rsidRPr="00C0658B">
        <w:rPr>
          <w:noProof/>
          <w:sz w:val="20"/>
          <w:szCs w:val="20"/>
        </w:rPr>
      </w:r>
      <w:r w:rsidRPr="00C0658B">
        <w:rPr>
          <w:noProof/>
          <w:sz w:val="20"/>
          <w:szCs w:val="20"/>
        </w:rPr>
        <w:fldChar w:fldCharType="separate"/>
      </w:r>
      <w:r w:rsidR="003A145C">
        <w:rPr>
          <w:noProof/>
          <w:sz w:val="20"/>
          <w:szCs w:val="20"/>
        </w:rPr>
        <w:t>33</w:t>
      </w:r>
      <w:r w:rsidRPr="00C0658B">
        <w:rPr>
          <w:noProof/>
          <w:sz w:val="20"/>
          <w:szCs w:val="20"/>
        </w:rPr>
        <w:fldChar w:fldCharType="end"/>
      </w:r>
    </w:p>
    <w:p w14:paraId="376141F0" w14:textId="27D6B7EE"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3.2. Udział produktów podstawowych w produkcji globalnej CRDT w 2018 i 2019 r.</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_Toc115437482 \h </w:instrText>
      </w:r>
      <w:r w:rsidRPr="00C0658B">
        <w:rPr>
          <w:noProof/>
          <w:sz w:val="20"/>
          <w:szCs w:val="20"/>
        </w:rPr>
      </w:r>
      <w:r w:rsidRPr="00C0658B">
        <w:rPr>
          <w:noProof/>
          <w:sz w:val="20"/>
          <w:szCs w:val="20"/>
        </w:rPr>
        <w:fldChar w:fldCharType="separate"/>
      </w:r>
      <w:r w:rsidR="003A145C">
        <w:rPr>
          <w:noProof/>
          <w:sz w:val="20"/>
          <w:szCs w:val="20"/>
        </w:rPr>
        <w:t>34</w:t>
      </w:r>
      <w:r w:rsidRPr="00C0658B">
        <w:rPr>
          <w:noProof/>
          <w:sz w:val="20"/>
          <w:szCs w:val="20"/>
        </w:rPr>
        <w:fldChar w:fldCharType="end"/>
      </w:r>
    </w:p>
    <w:p w14:paraId="292B657D" w14:textId="04D020D9"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3.3. Wielkość i tempo zmian produkcji globalnej CRDT i podaży CPT </w:t>
      </w:r>
      <w:r w:rsidR="00C0658B">
        <w:rPr>
          <w:noProof/>
          <w:sz w:val="20"/>
          <w:szCs w:val="20"/>
        </w:rPr>
        <w:br/>
      </w:r>
      <w:r w:rsidRPr="00C0658B">
        <w:rPr>
          <w:noProof/>
          <w:sz w:val="20"/>
          <w:szCs w:val="20"/>
        </w:rPr>
        <w:t>w latach 2018 i 2019, mln PLN ceny bieżące bazowe (producenta)</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_Toc115437483 \h </w:instrText>
      </w:r>
      <w:r w:rsidRPr="00C0658B">
        <w:rPr>
          <w:noProof/>
          <w:sz w:val="20"/>
          <w:szCs w:val="20"/>
        </w:rPr>
      </w:r>
      <w:r w:rsidRPr="00C0658B">
        <w:rPr>
          <w:noProof/>
          <w:sz w:val="20"/>
          <w:szCs w:val="20"/>
        </w:rPr>
        <w:fldChar w:fldCharType="separate"/>
      </w:r>
      <w:r w:rsidR="003A145C">
        <w:rPr>
          <w:noProof/>
          <w:sz w:val="20"/>
          <w:szCs w:val="20"/>
        </w:rPr>
        <w:t>35</w:t>
      </w:r>
      <w:r w:rsidRPr="00C0658B">
        <w:rPr>
          <w:noProof/>
          <w:sz w:val="20"/>
          <w:szCs w:val="20"/>
        </w:rPr>
        <w:fldChar w:fldCharType="end"/>
      </w:r>
    </w:p>
    <w:p w14:paraId="00E122F6" w14:textId="7ED0EC86"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3.4. Współczynnik spożycia turystycznego dla CPT w latach 2018-2019</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_Toc115437484 \h </w:instrText>
      </w:r>
      <w:r w:rsidRPr="00C0658B">
        <w:rPr>
          <w:noProof/>
          <w:sz w:val="20"/>
          <w:szCs w:val="20"/>
        </w:rPr>
      </w:r>
      <w:r w:rsidRPr="00C0658B">
        <w:rPr>
          <w:noProof/>
          <w:sz w:val="20"/>
          <w:szCs w:val="20"/>
        </w:rPr>
        <w:fldChar w:fldCharType="separate"/>
      </w:r>
      <w:r w:rsidR="003A145C">
        <w:rPr>
          <w:noProof/>
          <w:sz w:val="20"/>
          <w:szCs w:val="20"/>
        </w:rPr>
        <w:t>36</w:t>
      </w:r>
      <w:r w:rsidRPr="00C0658B">
        <w:rPr>
          <w:noProof/>
          <w:sz w:val="20"/>
          <w:szCs w:val="20"/>
        </w:rPr>
        <w:fldChar w:fldCharType="end"/>
      </w:r>
    </w:p>
    <w:p w14:paraId="5806F3D5" w14:textId="43EEBA28"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3.5. Udział wartości dodanej w produkcji globalnej podstawowych</w:t>
      </w:r>
      <w:r w:rsidR="00C0658B">
        <w:rPr>
          <w:noProof/>
          <w:sz w:val="20"/>
          <w:szCs w:val="20"/>
        </w:rPr>
        <w:br/>
      </w:r>
      <w:r w:rsidRPr="00C0658B">
        <w:rPr>
          <w:noProof/>
          <w:sz w:val="20"/>
          <w:szCs w:val="20"/>
        </w:rPr>
        <w:t xml:space="preserve"> i krajowych CRDT oraz handlu detalicznym w latach 2018-2019</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_Toc115437485 \h </w:instrText>
      </w:r>
      <w:r w:rsidRPr="00C0658B">
        <w:rPr>
          <w:noProof/>
          <w:sz w:val="20"/>
          <w:szCs w:val="20"/>
        </w:rPr>
      </w:r>
      <w:r w:rsidRPr="00C0658B">
        <w:rPr>
          <w:noProof/>
          <w:sz w:val="20"/>
          <w:szCs w:val="20"/>
        </w:rPr>
        <w:fldChar w:fldCharType="separate"/>
      </w:r>
      <w:r w:rsidR="003A145C">
        <w:rPr>
          <w:noProof/>
          <w:sz w:val="20"/>
          <w:szCs w:val="20"/>
        </w:rPr>
        <w:t>37</w:t>
      </w:r>
      <w:r w:rsidRPr="00C0658B">
        <w:rPr>
          <w:noProof/>
          <w:sz w:val="20"/>
          <w:szCs w:val="20"/>
        </w:rPr>
        <w:fldChar w:fldCharType="end"/>
      </w:r>
    </w:p>
    <w:p w14:paraId="1DC522A0" w14:textId="1B5212D4"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3.6. Bezpośrednia turystyczna wartość dodana brutto według rodzaju </w:t>
      </w:r>
      <w:r w:rsidR="00C0658B">
        <w:rPr>
          <w:noProof/>
          <w:sz w:val="20"/>
          <w:szCs w:val="20"/>
        </w:rPr>
        <w:br/>
      </w:r>
      <w:r w:rsidRPr="00C0658B">
        <w:rPr>
          <w:noProof/>
          <w:sz w:val="20"/>
          <w:szCs w:val="20"/>
        </w:rPr>
        <w:t>działalności i produktów w latach 2018-2019 mln PLN ceny bieżące</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_Toc115437486 \h </w:instrText>
      </w:r>
      <w:r w:rsidRPr="00C0658B">
        <w:rPr>
          <w:noProof/>
          <w:sz w:val="20"/>
          <w:szCs w:val="20"/>
        </w:rPr>
      </w:r>
      <w:r w:rsidRPr="00C0658B">
        <w:rPr>
          <w:noProof/>
          <w:sz w:val="20"/>
          <w:szCs w:val="20"/>
        </w:rPr>
        <w:fldChar w:fldCharType="separate"/>
      </w:r>
      <w:r w:rsidR="003A145C">
        <w:rPr>
          <w:noProof/>
          <w:sz w:val="20"/>
          <w:szCs w:val="20"/>
        </w:rPr>
        <w:t>38</w:t>
      </w:r>
      <w:r w:rsidRPr="00C0658B">
        <w:rPr>
          <w:noProof/>
          <w:sz w:val="20"/>
          <w:szCs w:val="20"/>
        </w:rPr>
        <w:fldChar w:fldCharType="end"/>
      </w:r>
    </w:p>
    <w:p w14:paraId="2ECE16D0" w14:textId="1049A57D"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3.7. Wielkość i struktura turystycznego PKB, ceny bieżące mln PLN</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_Toc115437487 \h </w:instrText>
      </w:r>
      <w:r w:rsidRPr="00C0658B">
        <w:rPr>
          <w:noProof/>
          <w:sz w:val="20"/>
          <w:szCs w:val="20"/>
        </w:rPr>
      </w:r>
      <w:r w:rsidRPr="00C0658B">
        <w:rPr>
          <w:noProof/>
          <w:sz w:val="20"/>
          <w:szCs w:val="20"/>
        </w:rPr>
        <w:fldChar w:fldCharType="separate"/>
      </w:r>
      <w:r w:rsidR="003A145C">
        <w:rPr>
          <w:noProof/>
          <w:sz w:val="20"/>
          <w:szCs w:val="20"/>
        </w:rPr>
        <w:t>39</w:t>
      </w:r>
      <w:r w:rsidRPr="00C0658B">
        <w:rPr>
          <w:noProof/>
          <w:sz w:val="20"/>
          <w:szCs w:val="20"/>
        </w:rPr>
        <w:fldChar w:fldCharType="end"/>
      </w:r>
    </w:p>
    <w:p w14:paraId="334DF65D" w14:textId="626386B7"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3.8. Udział turystycznego PKB w PKB kraju</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_Toc115437488 \h </w:instrText>
      </w:r>
      <w:r w:rsidRPr="00C0658B">
        <w:rPr>
          <w:noProof/>
          <w:sz w:val="20"/>
          <w:szCs w:val="20"/>
        </w:rPr>
      </w:r>
      <w:r w:rsidRPr="00C0658B">
        <w:rPr>
          <w:noProof/>
          <w:sz w:val="20"/>
          <w:szCs w:val="20"/>
        </w:rPr>
        <w:fldChar w:fldCharType="separate"/>
      </w:r>
      <w:r w:rsidR="003A145C">
        <w:rPr>
          <w:noProof/>
          <w:sz w:val="20"/>
          <w:szCs w:val="20"/>
        </w:rPr>
        <w:t>40</w:t>
      </w:r>
      <w:r w:rsidRPr="00C0658B">
        <w:rPr>
          <w:noProof/>
          <w:sz w:val="20"/>
          <w:szCs w:val="20"/>
        </w:rPr>
        <w:fldChar w:fldCharType="end"/>
      </w:r>
    </w:p>
    <w:p w14:paraId="50F12E98" w14:textId="28BD6D9E"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4.1. Udział pracujących w mikroprzedsiębiorstwach w 2018 r, </w:t>
      </w:r>
      <w:r w:rsidR="00C0658B">
        <w:rPr>
          <w:noProof/>
          <w:sz w:val="20"/>
          <w:szCs w:val="20"/>
        </w:rPr>
        <w:br/>
      </w:r>
      <w:r w:rsidRPr="00C0658B">
        <w:rPr>
          <w:noProof/>
          <w:sz w:val="20"/>
          <w:szCs w:val="20"/>
        </w:rPr>
        <w:t>wg rodzaju działalności</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_Toc115437489 \h </w:instrText>
      </w:r>
      <w:r w:rsidRPr="00C0658B">
        <w:rPr>
          <w:noProof/>
          <w:sz w:val="20"/>
          <w:szCs w:val="20"/>
        </w:rPr>
      </w:r>
      <w:r w:rsidRPr="00C0658B">
        <w:rPr>
          <w:noProof/>
          <w:sz w:val="20"/>
          <w:szCs w:val="20"/>
        </w:rPr>
        <w:fldChar w:fldCharType="separate"/>
      </w:r>
      <w:r w:rsidR="003A145C">
        <w:rPr>
          <w:noProof/>
          <w:sz w:val="20"/>
          <w:szCs w:val="20"/>
        </w:rPr>
        <w:t>41</w:t>
      </w:r>
      <w:r w:rsidRPr="00C0658B">
        <w:rPr>
          <w:noProof/>
          <w:sz w:val="20"/>
          <w:szCs w:val="20"/>
        </w:rPr>
        <w:fldChar w:fldCharType="end"/>
      </w:r>
    </w:p>
    <w:p w14:paraId="4F954AC5" w14:textId="07CA4D30"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4.2. Udział poszczególnych CRDT w tworzeniu miejsc pracy dla kobiet </w:t>
      </w:r>
      <w:r w:rsidR="00C0658B">
        <w:rPr>
          <w:noProof/>
          <w:sz w:val="20"/>
          <w:szCs w:val="20"/>
        </w:rPr>
        <w:br/>
      </w:r>
      <w:r w:rsidRPr="00C0658B">
        <w:rPr>
          <w:noProof/>
          <w:sz w:val="20"/>
          <w:szCs w:val="20"/>
        </w:rPr>
        <w:t>w 2018 i 2019 r.</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_Toc115437490 \h </w:instrText>
      </w:r>
      <w:r w:rsidRPr="00C0658B">
        <w:rPr>
          <w:noProof/>
          <w:sz w:val="20"/>
          <w:szCs w:val="20"/>
        </w:rPr>
      </w:r>
      <w:r w:rsidRPr="00C0658B">
        <w:rPr>
          <w:noProof/>
          <w:sz w:val="20"/>
          <w:szCs w:val="20"/>
        </w:rPr>
        <w:fldChar w:fldCharType="separate"/>
      </w:r>
      <w:r w:rsidR="003A145C">
        <w:rPr>
          <w:noProof/>
          <w:sz w:val="20"/>
          <w:szCs w:val="20"/>
        </w:rPr>
        <w:t>42</w:t>
      </w:r>
      <w:r w:rsidRPr="00C0658B">
        <w:rPr>
          <w:noProof/>
          <w:sz w:val="20"/>
          <w:szCs w:val="20"/>
        </w:rPr>
        <w:fldChar w:fldCharType="end"/>
      </w:r>
    </w:p>
    <w:p w14:paraId="2D624155" w14:textId="50BD6E02"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4.3. Przeciętne miesięczne wynagrodzenia w CRDT w podmiotach</w:t>
      </w:r>
      <w:r w:rsidR="00C0658B">
        <w:rPr>
          <w:noProof/>
          <w:sz w:val="20"/>
          <w:szCs w:val="20"/>
        </w:rPr>
        <w:br/>
      </w:r>
      <w:r w:rsidRPr="00C0658B">
        <w:rPr>
          <w:noProof/>
          <w:sz w:val="20"/>
          <w:szCs w:val="20"/>
        </w:rPr>
        <w:t xml:space="preserve"> z co najmniej 10 pracującymi w 2018 r.</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_Toc115437491 \h </w:instrText>
      </w:r>
      <w:r w:rsidRPr="00C0658B">
        <w:rPr>
          <w:noProof/>
          <w:sz w:val="20"/>
          <w:szCs w:val="20"/>
        </w:rPr>
      </w:r>
      <w:r w:rsidRPr="00C0658B">
        <w:rPr>
          <w:noProof/>
          <w:sz w:val="20"/>
          <w:szCs w:val="20"/>
        </w:rPr>
        <w:fldChar w:fldCharType="separate"/>
      </w:r>
      <w:r w:rsidR="003A145C">
        <w:rPr>
          <w:noProof/>
          <w:sz w:val="20"/>
          <w:szCs w:val="20"/>
        </w:rPr>
        <w:t>44</w:t>
      </w:r>
      <w:r w:rsidRPr="00C0658B">
        <w:rPr>
          <w:noProof/>
          <w:sz w:val="20"/>
          <w:szCs w:val="20"/>
        </w:rPr>
        <w:fldChar w:fldCharType="end"/>
      </w:r>
    </w:p>
    <w:p w14:paraId="2D712495" w14:textId="330BBD86"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Wykres 4.4. Bezpośrednie turystyczne miejsca pracy w latach 2018 i 2019 </w:t>
      </w:r>
      <w:r w:rsidR="00C0658B">
        <w:rPr>
          <w:noProof/>
          <w:sz w:val="20"/>
          <w:szCs w:val="20"/>
        </w:rPr>
        <w:br/>
      </w:r>
      <w:r w:rsidRPr="00C0658B">
        <w:rPr>
          <w:noProof/>
          <w:sz w:val="20"/>
          <w:szCs w:val="20"/>
        </w:rPr>
        <w:t>według rodzaju CRDT</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_Toc115437492 \h </w:instrText>
      </w:r>
      <w:r w:rsidRPr="00C0658B">
        <w:rPr>
          <w:noProof/>
          <w:sz w:val="20"/>
          <w:szCs w:val="20"/>
        </w:rPr>
      </w:r>
      <w:r w:rsidRPr="00C0658B">
        <w:rPr>
          <w:noProof/>
          <w:sz w:val="20"/>
          <w:szCs w:val="20"/>
        </w:rPr>
        <w:fldChar w:fldCharType="separate"/>
      </w:r>
      <w:r w:rsidR="003A145C">
        <w:rPr>
          <w:noProof/>
          <w:sz w:val="20"/>
          <w:szCs w:val="20"/>
        </w:rPr>
        <w:t>44</w:t>
      </w:r>
      <w:r w:rsidRPr="00C0658B">
        <w:rPr>
          <w:noProof/>
          <w:sz w:val="20"/>
          <w:szCs w:val="20"/>
        </w:rPr>
        <w:fldChar w:fldCharType="end"/>
      </w:r>
    </w:p>
    <w:p w14:paraId="689545A3" w14:textId="170F8A53"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Tabela 5.1.</w:t>
      </w:r>
      <w:r w:rsidR="00284294">
        <w:rPr>
          <w:noProof/>
          <w:sz w:val="20"/>
          <w:szCs w:val="20"/>
        </w:rPr>
        <w:tab/>
      </w:r>
      <w:r w:rsidRPr="00C0658B">
        <w:rPr>
          <w:noProof/>
          <w:sz w:val="20"/>
          <w:szCs w:val="20"/>
        </w:rPr>
        <w:t>Baza noclegowa turystyki – Polska</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_Toc115437493 \h </w:instrText>
      </w:r>
      <w:r w:rsidRPr="00C0658B">
        <w:rPr>
          <w:noProof/>
          <w:sz w:val="20"/>
          <w:szCs w:val="20"/>
        </w:rPr>
      </w:r>
      <w:r w:rsidRPr="00C0658B">
        <w:rPr>
          <w:noProof/>
          <w:sz w:val="20"/>
          <w:szCs w:val="20"/>
        </w:rPr>
        <w:fldChar w:fldCharType="separate"/>
      </w:r>
      <w:r w:rsidR="003A145C">
        <w:rPr>
          <w:noProof/>
          <w:sz w:val="20"/>
          <w:szCs w:val="20"/>
        </w:rPr>
        <w:t>47</w:t>
      </w:r>
      <w:r w:rsidRPr="00C0658B">
        <w:rPr>
          <w:noProof/>
          <w:sz w:val="20"/>
          <w:szCs w:val="20"/>
        </w:rPr>
        <w:fldChar w:fldCharType="end"/>
      </w:r>
    </w:p>
    <w:p w14:paraId="419D726E" w14:textId="3A4E6EFC"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Tabela 5.2 </w:t>
      </w:r>
      <w:r w:rsidR="00284294">
        <w:rPr>
          <w:noProof/>
          <w:sz w:val="20"/>
          <w:szCs w:val="20"/>
        </w:rPr>
        <w:tab/>
      </w:r>
      <w:r w:rsidRPr="00C0658B">
        <w:rPr>
          <w:noProof/>
          <w:sz w:val="20"/>
          <w:szCs w:val="20"/>
        </w:rPr>
        <w:t xml:space="preserve">Porównanie liczby hoteli i miejsc noclegowych w nich w latach 2018-2019 </w:t>
      </w:r>
      <w:r w:rsidR="00C0658B">
        <w:rPr>
          <w:noProof/>
          <w:sz w:val="20"/>
          <w:szCs w:val="20"/>
        </w:rPr>
        <w:br/>
      </w:r>
      <w:r w:rsidRPr="00C0658B">
        <w:rPr>
          <w:noProof/>
          <w:sz w:val="20"/>
          <w:szCs w:val="20"/>
        </w:rPr>
        <w:t>wg województw</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_Toc115437494 \h </w:instrText>
      </w:r>
      <w:r w:rsidRPr="00C0658B">
        <w:rPr>
          <w:noProof/>
          <w:sz w:val="20"/>
          <w:szCs w:val="20"/>
        </w:rPr>
      </w:r>
      <w:r w:rsidRPr="00C0658B">
        <w:rPr>
          <w:noProof/>
          <w:sz w:val="20"/>
          <w:szCs w:val="20"/>
        </w:rPr>
        <w:fldChar w:fldCharType="separate"/>
      </w:r>
      <w:r w:rsidR="003A145C">
        <w:rPr>
          <w:noProof/>
          <w:sz w:val="20"/>
          <w:szCs w:val="20"/>
        </w:rPr>
        <w:t>48</w:t>
      </w:r>
      <w:r w:rsidRPr="00C0658B">
        <w:rPr>
          <w:noProof/>
          <w:sz w:val="20"/>
          <w:szCs w:val="20"/>
        </w:rPr>
        <w:fldChar w:fldCharType="end"/>
      </w:r>
    </w:p>
    <w:p w14:paraId="503BB53C" w14:textId="41EA3F60"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lastRenderedPageBreak/>
        <w:t>Tabela 5.3</w:t>
      </w:r>
      <w:r w:rsidR="00F8216E">
        <w:rPr>
          <w:noProof/>
          <w:sz w:val="20"/>
          <w:szCs w:val="20"/>
        </w:rPr>
        <w:t>.</w:t>
      </w:r>
      <w:r w:rsidRPr="00C0658B">
        <w:rPr>
          <w:noProof/>
          <w:sz w:val="20"/>
          <w:szCs w:val="20"/>
        </w:rPr>
        <w:t xml:space="preserve"> </w:t>
      </w:r>
      <w:r w:rsidR="00284294">
        <w:rPr>
          <w:noProof/>
          <w:sz w:val="20"/>
          <w:szCs w:val="20"/>
        </w:rPr>
        <w:tab/>
      </w:r>
      <w:r w:rsidRPr="00C0658B">
        <w:rPr>
          <w:noProof/>
          <w:sz w:val="20"/>
          <w:szCs w:val="20"/>
        </w:rPr>
        <w:t xml:space="preserve">Budynki jednorodzinne nieprzystosowane do stałego zamieszkania </w:t>
      </w:r>
      <w:r w:rsidR="00C0658B">
        <w:rPr>
          <w:noProof/>
          <w:sz w:val="20"/>
          <w:szCs w:val="20"/>
        </w:rPr>
        <w:br/>
      </w:r>
      <w:r w:rsidRPr="00C0658B">
        <w:rPr>
          <w:noProof/>
          <w:sz w:val="20"/>
          <w:szCs w:val="20"/>
        </w:rPr>
        <w:t>(domy letnie, domki wypoczynkowe oraz rezydencje wiejskie) (PKOB 1110)*</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_Toc115437495 \h </w:instrText>
      </w:r>
      <w:r w:rsidRPr="00C0658B">
        <w:rPr>
          <w:noProof/>
          <w:sz w:val="20"/>
          <w:szCs w:val="20"/>
        </w:rPr>
      </w:r>
      <w:r w:rsidRPr="00C0658B">
        <w:rPr>
          <w:noProof/>
          <w:sz w:val="20"/>
          <w:szCs w:val="20"/>
        </w:rPr>
        <w:fldChar w:fldCharType="separate"/>
      </w:r>
      <w:r w:rsidR="003A145C">
        <w:rPr>
          <w:noProof/>
          <w:sz w:val="20"/>
          <w:szCs w:val="20"/>
        </w:rPr>
        <w:t>49</w:t>
      </w:r>
      <w:r w:rsidRPr="00C0658B">
        <w:rPr>
          <w:noProof/>
          <w:sz w:val="20"/>
          <w:szCs w:val="20"/>
        </w:rPr>
        <w:fldChar w:fldCharType="end"/>
      </w:r>
    </w:p>
    <w:p w14:paraId="1DA49F62" w14:textId="332F6C76"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5.1. Nakłady inwestycyjne</w:t>
      </w:r>
      <w:r w:rsidR="009B3416">
        <w:rPr>
          <w:noProof/>
          <w:sz w:val="20"/>
          <w:szCs w:val="20"/>
        </w:rPr>
        <w:t xml:space="preserve"> </w:t>
      </w:r>
      <w:r w:rsidRPr="00C0658B">
        <w:rPr>
          <w:noProof/>
          <w:sz w:val="20"/>
          <w:szCs w:val="20"/>
        </w:rPr>
        <w:t>w charakterystycznych</w:t>
      </w:r>
      <w:r w:rsidR="009B3416">
        <w:rPr>
          <w:noProof/>
          <w:sz w:val="20"/>
          <w:szCs w:val="20"/>
        </w:rPr>
        <w:t xml:space="preserve"> </w:t>
      </w:r>
      <w:r w:rsidRPr="00C0658B">
        <w:rPr>
          <w:noProof/>
          <w:sz w:val="20"/>
          <w:szCs w:val="20"/>
        </w:rPr>
        <w:t xml:space="preserve">rodzajach działalności </w:t>
      </w:r>
      <w:r w:rsidR="00C0658B">
        <w:rPr>
          <w:noProof/>
          <w:sz w:val="20"/>
          <w:szCs w:val="20"/>
        </w:rPr>
        <w:br/>
      </w:r>
      <w:r w:rsidRPr="00C0658B">
        <w:rPr>
          <w:noProof/>
          <w:sz w:val="20"/>
          <w:szCs w:val="20"/>
        </w:rPr>
        <w:t>turystycznej w 2018 po modyfikacji wskaźnikiem WST, ceny bieżące w tysiącach zł</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_Toc115437496 \h </w:instrText>
      </w:r>
      <w:r w:rsidRPr="00C0658B">
        <w:rPr>
          <w:noProof/>
          <w:sz w:val="20"/>
          <w:szCs w:val="20"/>
        </w:rPr>
      </w:r>
      <w:r w:rsidRPr="00C0658B">
        <w:rPr>
          <w:noProof/>
          <w:sz w:val="20"/>
          <w:szCs w:val="20"/>
        </w:rPr>
        <w:fldChar w:fldCharType="separate"/>
      </w:r>
      <w:r w:rsidR="003A145C">
        <w:rPr>
          <w:noProof/>
          <w:sz w:val="20"/>
          <w:szCs w:val="20"/>
        </w:rPr>
        <w:t>50</w:t>
      </w:r>
      <w:r w:rsidRPr="00C0658B">
        <w:rPr>
          <w:noProof/>
          <w:sz w:val="20"/>
          <w:szCs w:val="20"/>
        </w:rPr>
        <w:fldChar w:fldCharType="end"/>
      </w:r>
    </w:p>
    <w:p w14:paraId="4F832B3F" w14:textId="4341F29E"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5.2. Nakłady inwestycyjne</w:t>
      </w:r>
      <w:r w:rsidR="009B3416">
        <w:rPr>
          <w:noProof/>
          <w:sz w:val="20"/>
          <w:szCs w:val="20"/>
        </w:rPr>
        <w:t xml:space="preserve"> </w:t>
      </w:r>
      <w:r w:rsidRPr="00C0658B">
        <w:rPr>
          <w:noProof/>
          <w:sz w:val="20"/>
          <w:szCs w:val="20"/>
        </w:rPr>
        <w:t>w charakterystycznych</w:t>
      </w:r>
      <w:r w:rsidR="009B3416">
        <w:rPr>
          <w:noProof/>
          <w:sz w:val="20"/>
          <w:szCs w:val="20"/>
        </w:rPr>
        <w:t xml:space="preserve"> </w:t>
      </w:r>
      <w:r w:rsidRPr="00C0658B">
        <w:rPr>
          <w:noProof/>
          <w:sz w:val="20"/>
          <w:szCs w:val="20"/>
        </w:rPr>
        <w:t xml:space="preserve">rodzajach działalności turystycznej </w:t>
      </w:r>
      <w:r w:rsidR="00C0658B">
        <w:rPr>
          <w:noProof/>
          <w:sz w:val="20"/>
          <w:szCs w:val="20"/>
        </w:rPr>
        <w:br/>
      </w:r>
      <w:r w:rsidRPr="00C0658B">
        <w:rPr>
          <w:noProof/>
          <w:sz w:val="20"/>
          <w:szCs w:val="20"/>
        </w:rPr>
        <w:t>w 2019 po zmodyfikowaniu wskaźnikiem WST, ceny bieżące w tysiącach zł.</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_Toc115437497 \h </w:instrText>
      </w:r>
      <w:r w:rsidRPr="00C0658B">
        <w:rPr>
          <w:noProof/>
          <w:sz w:val="20"/>
          <w:szCs w:val="20"/>
        </w:rPr>
      </w:r>
      <w:r w:rsidRPr="00C0658B">
        <w:rPr>
          <w:noProof/>
          <w:sz w:val="20"/>
          <w:szCs w:val="20"/>
        </w:rPr>
        <w:fldChar w:fldCharType="separate"/>
      </w:r>
      <w:r w:rsidR="003A145C">
        <w:rPr>
          <w:noProof/>
          <w:sz w:val="20"/>
          <w:szCs w:val="20"/>
        </w:rPr>
        <w:t>51</w:t>
      </w:r>
      <w:r w:rsidRPr="00C0658B">
        <w:rPr>
          <w:noProof/>
          <w:sz w:val="20"/>
          <w:szCs w:val="20"/>
        </w:rPr>
        <w:fldChar w:fldCharType="end"/>
      </w:r>
    </w:p>
    <w:p w14:paraId="761EF603" w14:textId="6F858673"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Wykres 5.3. Porównanie wartości netto środków trwałych</w:t>
      </w:r>
      <w:r w:rsidR="009B3416">
        <w:rPr>
          <w:noProof/>
          <w:sz w:val="20"/>
          <w:szCs w:val="20"/>
        </w:rPr>
        <w:t xml:space="preserve"> </w:t>
      </w:r>
      <w:r w:rsidRPr="00C0658B">
        <w:rPr>
          <w:noProof/>
          <w:sz w:val="20"/>
          <w:szCs w:val="20"/>
        </w:rPr>
        <w:t xml:space="preserve">w charakterystycznych </w:t>
      </w:r>
      <w:r w:rsidR="00C0658B">
        <w:rPr>
          <w:noProof/>
          <w:sz w:val="20"/>
          <w:szCs w:val="20"/>
        </w:rPr>
        <w:br/>
      </w:r>
      <w:r w:rsidRPr="00C0658B">
        <w:rPr>
          <w:noProof/>
          <w:sz w:val="20"/>
          <w:szCs w:val="20"/>
        </w:rPr>
        <w:t>rodzajach działalności turystycznej w 2018</w:t>
      </w:r>
      <w:r w:rsidR="009B3416">
        <w:rPr>
          <w:noProof/>
          <w:sz w:val="20"/>
          <w:szCs w:val="20"/>
        </w:rPr>
        <w:t xml:space="preserve"> </w:t>
      </w:r>
      <w:r w:rsidRPr="00C0658B">
        <w:rPr>
          <w:noProof/>
          <w:sz w:val="20"/>
          <w:szCs w:val="20"/>
        </w:rPr>
        <w:t>i 2019 r., ceny bieżące, w tys. zł.</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_Toc115437498 \h </w:instrText>
      </w:r>
      <w:r w:rsidRPr="00C0658B">
        <w:rPr>
          <w:noProof/>
          <w:sz w:val="20"/>
          <w:szCs w:val="20"/>
        </w:rPr>
      </w:r>
      <w:r w:rsidRPr="00C0658B">
        <w:rPr>
          <w:noProof/>
          <w:sz w:val="20"/>
          <w:szCs w:val="20"/>
        </w:rPr>
        <w:fldChar w:fldCharType="separate"/>
      </w:r>
      <w:r w:rsidR="003A145C">
        <w:rPr>
          <w:noProof/>
          <w:sz w:val="20"/>
          <w:szCs w:val="20"/>
        </w:rPr>
        <w:t>52</w:t>
      </w:r>
      <w:r w:rsidRPr="00C0658B">
        <w:rPr>
          <w:noProof/>
          <w:sz w:val="20"/>
          <w:szCs w:val="20"/>
        </w:rPr>
        <w:fldChar w:fldCharType="end"/>
      </w:r>
    </w:p>
    <w:p w14:paraId="1CD0C109" w14:textId="0FAE5431" w:rsidR="00FD49D9" w:rsidRPr="003D7E42" w:rsidRDefault="00FD49D9" w:rsidP="003D7E42">
      <w:pPr>
        <w:pStyle w:val="Spisilustracji"/>
        <w:tabs>
          <w:tab w:val="right" w:leader="dot" w:pos="9062"/>
        </w:tabs>
        <w:spacing w:after="120"/>
        <w:ind w:left="964" w:hanging="964"/>
        <w:rPr>
          <w:noProof/>
          <w:sz w:val="20"/>
          <w:szCs w:val="20"/>
        </w:rPr>
      </w:pPr>
      <w:r w:rsidRPr="00C0658B">
        <w:rPr>
          <w:noProof/>
          <w:sz w:val="20"/>
          <w:szCs w:val="20"/>
        </w:rPr>
        <w:t xml:space="preserve">Tabela 5.4. Wartość brutto - oprogramowanie komputerowe w 2018 i 2019 roku, </w:t>
      </w:r>
      <w:r w:rsidR="00C0658B">
        <w:rPr>
          <w:noProof/>
          <w:sz w:val="20"/>
          <w:szCs w:val="20"/>
        </w:rPr>
        <w:br/>
      </w:r>
      <w:r w:rsidRPr="00C0658B">
        <w:rPr>
          <w:noProof/>
          <w:sz w:val="20"/>
          <w:szCs w:val="20"/>
        </w:rPr>
        <w:t>ceny bieżące w tys. zł</w:t>
      </w:r>
      <w:r w:rsidRPr="00C0658B">
        <w:rPr>
          <w:noProof/>
          <w:sz w:val="20"/>
          <w:szCs w:val="20"/>
        </w:rPr>
        <w:tab/>
      </w:r>
      <w:r w:rsidRPr="00C0658B">
        <w:rPr>
          <w:noProof/>
          <w:sz w:val="20"/>
          <w:szCs w:val="20"/>
        </w:rPr>
        <w:fldChar w:fldCharType="begin"/>
      </w:r>
      <w:r w:rsidRPr="00C0658B">
        <w:rPr>
          <w:noProof/>
          <w:sz w:val="20"/>
          <w:szCs w:val="20"/>
        </w:rPr>
        <w:instrText xml:space="preserve"> PAGEREF _Toc115437499 \h </w:instrText>
      </w:r>
      <w:r w:rsidRPr="00C0658B">
        <w:rPr>
          <w:noProof/>
          <w:sz w:val="20"/>
          <w:szCs w:val="20"/>
        </w:rPr>
      </w:r>
      <w:r w:rsidRPr="00C0658B">
        <w:rPr>
          <w:noProof/>
          <w:sz w:val="20"/>
          <w:szCs w:val="20"/>
        </w:rPr>
        <w:fldChar w:fldCharType="separate"/>
      </w:r>
      <w:r w:rsidR="003A145C">
        <w:rPr>
          <w:noProof/>
          <w:sz w:val="20"/>
          <w:szCs w:val="20"/>
        </w:rPr>
        <w:t>53</w:t>
      </w:r>
      <w:r w:rsidRPr="00C0658B">
        <w:rPr>
          <w:noProof/>
          <w:sz w:val="20"/>
          <w:szCs w:val="20"/>
        </w:rPr>
        <w:fldChar w:fldCharType="end"/>
      </w:r>
    </w:p>
    <w:p w14:paraId="4D84CEC9" w14:textId="0F8A3823" w:rsidR="00FD49D9" w:rsidRPr="002F0841" w:rsidRDefault="00FD49D9" w:rsidP="003D7E42">
      <w:pPr>
        <w:pStyle w:val="Spisilustracji"/>
        <w:tabs>
          <w:tab w:val="right" w:leader="dot" w:pos="9062"/>
        </w:tabs>
        <w:spacing w:after="120"/>
        <w:ind w:left="964" w:hanging="964"/>
        <w:rPr>
          <w:lang w:eastAsia="pl-PL"/>
        </w:rPr>
      </w:pPr>
      <w:r w:rsidRPr="00C0658B">
        <w:rPr>
          <w:noProof/>
          <w:sz w:val="20"/>
          <w:szCs w:val="20"/>
        </w:rPr>
        <w:fldChar w:fldCharType="end"/>
      </w:r>
    </w:p>
    <w:p w14:paraId="4D4BF04E" w14:textId="2F6AD48F" w:rsidR="002A1B1C" w:rsidRDefault="002A1B1C">
      <w:pPr>
        <w:rPr>
          <w:rFonts w:ascii="Calibri" w:eastAsia="Times New Roman" w:hAnsi="Calibri" w:cs="Times New Roman"/>
          <w:b/>
          <w:color w:val="595959"/>
          <w:sz w:val="32"/>
          <w:szCs w:val="24"/>
          <w:lang w:eastAsia="pl-PL"/>
        </w:rPr>
      </w:pPr>
      <w:r>
        <w:br w:type="page"/>
      </w:r>
    </w:p>
    <w:p w14:paraId="47EAC550" w14:textId="48CD90D9" w:rsidR="00263734" w:rsidRPr="00BE392B" w:rsidRDefault="00263734" w:rsidP="00BE392B">
      <w:pPr>
        <w:pStyle w:val="Nagwek1"/>
      </w:pPr>
      <w:bookmarkStart w:id="14" w:name="_Toc115441438"/>
      <w:r w:rsidRPr="00BE392B">
        <w:lastRenderedPageBreak/>
        <w:t>Wstęp</w:t>
      </w:r>
      <w:bookmarkEnd w:id="12"/>
      <w:bookmarkEnd w:id="13"/>
      <w:bookmarkEnd w:id="14"/>
    </w:p>
    <w:bookmarkEnd w:id="10"/>
    <w:p w14:paraId="24E47BA8" w14:textId="77777777" w:rsidR="00762A3B" w:rsidRPr="00762A3B" w:rsidRDefault="00762A3B" w:rsidP="00BE392B">
      <w:pPr>
        <w:pStyle w:val="tekst"/>
      </w:pPr>
      <w:r w:rsidRPr="00762A3B">
        <w:t>Prezentowany raport zawiera Rachunek satelitarny turystyki (RST) dla Polski za lata 2018 i 2019 w wersji pełnej. Stanowi on kontynuację prac nad rachunkiem prowadzonych w latach 2000 - 2012 oraz uproszczonych jego wersji, przygotowywanych w latach pomiędzy okresami, dla których przygotowywano wersję pełną. Podstawą zestawienia obydwu prezentowanych w raporcie wersji była uaktualniona propozycja metodologiczna przedstawiona Ministerstwu Sportu i Turystyki w styczniu 2014 roku. Jest ona zgodna ze wspólną metodologią opracowaną przez UNWTO, OECD i Eurostat</w:t>
      </w:r>
      <w:r w:rsidRPr="00762A3B">
        <w:rPr>
          <w:vertAlign w:val="superscript"/>
        </w:rPr>
        <w:footnoteReference w:id="1"/>
      </w:r>
      <w:r w:rsidRPr="00762A3B">
        <w:t>, zalecaną przez Komisję Europejską do stosowania w krajach człon</w:t>
      </w:r>
      <w:r w:rsidRPr="00762A3B">
        <w:softHyphen/>
      </w:r>
      <w:r w:rsidRPr="00762A3B">
        <w:softHyphen/>
        <w:t xml:space="preserve">kowskich. </w:t>
      </w:r>
    </w:p>
    <w:p w14:paraId="672F4C90" w14:textId="26F3DB23" w:rsidR="00263734" w:rsidRPr="00263734" w:rsidRDefault="00263734" w:rsidP="00BE392B">
      <w:pPr>
        <w:pStyle w:val="tekst"/>
        <w:rPr>
          <w:color w:val="FF0000"/>
        </w:rPr>
      </w:pPr>
      <w:r w:rsidRPr="00CE4A2D">
        <w:t xml:space="preserve">Niniejsze opracowanie składa się z dwóch części: </w:t>
      </w:r>
      <w:r w:rsidR="002260B3">
        <w:t xml:space="preserve">1) </w:t>
      </w:r>
      <w:r w:rsidRPr="00CE4A2D">
        <w:t xml:space="preserve">Rachunku satelitarnego turystyki dla Polski za </w:t>
      </w:r>
      <w:r w:rsidR="00CE4A2D" w:rsidRPr="00CE4A2D">
        <w:t>lata</w:t>
      </w:r>
      <w:r w:rsidRPr="00CE4A2D">
        <w:t xml:space="preserve"> 201</w:t>
      </w:r>
      <w:r w:rsidR="00CE4A2D" w:rsidRPr="00CE4A2D">
        <w:t>8-2019</w:t>
      </w:r>
      <w:r w:rsidRPr="00CE4A2D">
        <w:t xml:space="preserve"> w wersji pełnej </w:t>
      </w:r>
      <w:r w:rsidR="00CE4A2D" w:rsidRPr="00CE4A2D">
        <w:t xml:space="preserve">wraz z opisem metodologii oraz </w:t>
      </w:r>
      <w:r w:rsidR="002260B3">
        <w:t xml:space="preserve">2) </w:t>
      </w:r>
      <w:r w:rsidR="00CE4A2D" w:rsidRPr="00CE4A2D">
        <w:t xml:space="preserve">zestawu </w:t>
      </w:r>
      <w:r w:rsidRPr="00CE4A2D">
        <w:t>tablic statystycznych</w:t>
      </w:r>
      <w:r w:rsidR="00CE4A2D" w:rsidRPr="00CE4A2D">
        <w:t xml:space="preserve"> dla obydwu lat</w:t>
      </w:r>
      <w:r w:rsidRPr="00CE4A2D">
        <w:t xml:space="preserve">. </w:t>
      </w:r>
      <w:r w:rsidR="00CE4A2D" w:rsidRPr="00CE4A2D">
        <w:t xml:space="preserve">W </w:t>
      </w:r>
      <w:r w:rsidRPr="00CE4A2D">
        <w:t>częś</w:t>
      </w:r>
      <w:r w:rsidR="00CE4A2D" w:rsidRPr="00CE4A2D">
        <w:t>ci</w:t>
      </w:r>
      <w:r w:rsidRPr="00CE4A2D">
        <w:t xml:space="preserve"> tekstow</w:t>
      </w:r>
      <w:r w:rsidR="00CE4A2D" w:rsidRPr="00CE4A2D">
        <w:t>ej</w:t>
      </w:r>
      <w:r w:rsidRPr="00CE4A2D">
        <w:t xml:space="preserve"> przedstawiono analizę naj</w:t>
      </w:r>
      <w:r w:rsidRPr="00CE4A2D">
        <w:softHyphen/>
        <w:t>ważniejszych wyników RST</w:t>
      </w:r>
      <w:r w:rsidR="00CE4A2D" w:rsidRPr="00CE4A2D">
        <w:t xml:space="preserve"> 2018 i 2019 oraz </w:t>
      </w:r>
      <w:r w:rsidR="002260B3">
        <w:t>wskazano</w:t>
      </w:r>
      <w:r w:rsidR="00CE4A2D" w:rsidRPr="00CE4A2D">
        <w:t xml:space="preserve"> zmiany, jakie zaszły w tym okresie.</w:t>
      </w:r>
      <w:r w:rsidRPr="00CE4A2D">
        <w:t xml:space="preserve"> </w:t>
      </w:r>
      <w:r w:rsidR="00CE4A2D" w:rsidRPr="00CE4A2D">
        <w:t>P</w:t>
      </w:r>
      <w:r w:rsidRPr="00CE4A2D">
        <w:t xml:space="preserve">odzielono </w:t>
      </w:r>
      <w:r w:rsidR="00CE4A2D" w:rsidRPr="00CE4A2D">
        <w:t xml:space="preserve">ją </w:t>
      </w:r>
      <w:r w:rsidRPr="00CE4A2D">
        <w:t>na sześć rozdziałów. Pierwszy rozdział poś</w:t>
      </w:r>
      <w:r w:rsidRPr="00CE4A2D">
        <w:softHyphen/>
        <w:t>wię</w:t>
      </w:r>
      <w:r w:rsidRPr="00CE4A2D">
        <w:softHyphen/>
        <w:t>co</w:t>
      </w:r>
      <w:r w:rsidRPr="00CE4A2D">
        <w:softHyphen/>
      </w:r>
      <w:r w:rsidRPr="00CE4A2D">
        <w:softHyphen/>
        <w:t>no prezentacji podstawowych źródeł informacji wykorzystanych do przygotowania RST. Po</w:t>
      </w:r>
      <w:r w:rsidRPr="00CE4A2D">
        <w:softHyphen/>
        <w:t>zos</w:t>
      </w:r>
      <w:r w:rsidRPr="00CE4A2D">
        <w:softHyphen/>
        <w:t>tałe rozdziały omawiają następujące zagadnienia: spożycie turystyczne, produkcję i wkład turystyki w tworzenie PKB, wykorzystanie siły roboczej oraz nakłady na środki trwałe. Każdy z wymienionych rozdziałów zawiera krótkie wyjaśnienia metodologiczne oraz prezentację wy</w:t>
      </w:r>
      <w:r w:rsidRPr="00CE4A2D">
        <w:softHyphen/>
        <w:t>ni</w:t>
      </w:r>
      <w:r w:rsidRPr="00CE4A2D">
        <w:softHyphen/>
        <w:t xml:space="preserve">ków z komentarzem. </w:t>
      </w:r>
      <w:r w:rsidR="00CE4A2D" w:rsidRPr="00CE4A2D">
        <w:t>Część tekstowa zawiera również</w:t>
      </w:r>
      <w:r w:rsidRPr="00CE4A2D">
        <w:t xml:space="preserve"> uwagi i propozycje dotyczące dalszego dos</w:t>
      </w:r>
      <w:r w:rsidRPr="00CE4A2D">
        <w:softHyphen/>
        <w:t>ko</w:t>
      </w:r>
      <w:r w:rsidRPr="00CE4A2D">
        <w:softHyphen/>
      </w:r>
      <w:r w:rsidRPr="00CE4A2D">
        <w:softHyphen/>
        <w:t>nalenia metodologii rachunku satelitarnego turystyki dla Polski</w:t>
      </w:r>
      <w:r w:rsidR="00CE4A2D">
        <w:t xml:space="preserve">. W części tabelarycznej przedstawiono szczegółowe wyniki oszacowań zawarte w tabelach przewidzianych w RST w wersji pełnej. </w:t>
      </w:r>
    </w:p>
    <w:p w14:paraId="1C992D72" w14:textId="7EFCD48C" w:rsidR="00263734" w:rsidRPr="00263734" w:rsidRDefault="005765E5" w:rsidP="00BE392B">
      <w:pPr>
        <w:pStyle w:val="tekst"/>
      </w:pPr>
      <w:r w:rsidRPr="005765E5">
        <w:t>Przygotowywany od wielu lat r</w:t>
      </w:r>
      <w:r w:rsidR="00263734" w:rsidRPr="00263734">
        <w:t>achunek satelitarny turystyki prezentuje wszechstronny obraz polskiej gospodarki turys</w:t>
      </w:r>
      <w:r w:rsidR="00263734" w:rsidRPr="00263734">
        <w:softHyphen/>
        <w:t>tycz</w:t>
      </w:r>
      <w:r w:rsidR="00263734" w:rsidRPr="00263734">
        <w:softHyphen/>
        <w:t xml:space="preserve">nej w ujęciu statystycznym </w:t>
      </w:r>
      <w:r w:rsidRPr="005765E5">
        <w:t xml:space="preserve">oparty na spójnej, porównywalnej metodologii </w:t>
      </w:r>
      <w:r w:rsidR="00263734" w:rsidRPr="00263734">
        <w:t>i </w:t>
      </w:r>
      <w:r w:rsidRPr="005765E5">
        <w:t xml:space="preserve">jako taki </w:t>
      </w:r>
      <w:r w:rsidR="00263734" w:rsidRPr="00263734">
        <w:t>powinien być przydatny do monitorowania jej wyników oraz wy</w:t>
      </w:r>
      <w:r w:rsidR="00263734" w:rsidRPr="00263734">
        <w:softHyphen/>
        <w:t>tyczania kierunków rozwoju. Jego zaletą jest prezentacja podstawowych agregatów ma</w:t>
      </w:r>
      <w:r w:rsidR="00263734" w:rsidRPr="00263734">
        <w:softHyphen/>
        <w:t>kro</w:t>
      </w:r>
      <w:r w:rsidR="00263734" w:rsidRPr="00263734">
        <w:softHyphen/>
        <w:t>eko</w:t>
      </w:r>
      <w:r w:rsidR="00263734" w:rsidRPr="00263734">
        <w:softHyphen/>
        <w:t xml:space="preserve">nomicznych: spożycia turystycznego, turystycznej produkcji globalnej, wartości dodanej, udziału turystyki w tworzeniu PKB, zatrudnienia i wartości środków trwałych; pozwala to na ocenę turystyki na tle innych dziedzin gospodarki. Opracowanie zostało przygotowane przez pracowników Szkoły Głównej Handlowej, </w:t>
      </w:r>
      <w:r w:rsidRPr="00E73070">
        <w:t>Społecznej Akademii Nauk,</w:t>
      </w:r>
      <w:r w:rsidR="009B3416">
        <w:t xml:space="preserve"> </w:t>
      </w:r>
      <w:r w:rsidR="00263734" w:rsidRPr="00263734">
        <w:t xml:space="preserve">Szkoły Głównej Turystyki i </w:t>
      </w:r>
      <w:r w:rsidRPr="00E73070">
        <w:t>Hotelarstwa</w:t>
      </w:r>
      <w:r w:rsidR="00263734" w:rsidRPr="00263734">
        <w:t xml:space="preserve"> w Warszawie oraz członków Stowarzyszenia na Rzecz Badania, Rozwoju i Promocji Turystyki w składzie:</w:t>
      </w:r>
    </w:p>
    <w:p w14:paraId="3B712EEE" w14:textId="29F58BCE" w:rsidR="00263734" w:rsidRPr="00263734" w:rsidRDefault="00263734" w:rsidP="00BE392B">
      <w:pPr>
        <w:pStyle w:val="tekst"/>
        <w:rPr>
          <w:rFonts w:eastAsia="Calibri"/>
        </w:rPr>
      </w:pPr>
      <w:r w:rsidRPr="00263734">
        <w:rPr>
          <w:rFonts w:eastAsia="Calibri"/>
        </w:rPr>
        <w:t>dr hab. Ewa Dziedzic, prof. SGH – spożycie turystyczne rezydentów, produkcja, wartość dodana</w:t>
      </w:r>
      <w:r w:rsidR="005765E5" w:rsidRPr="00E73070">
        <w:rPr>
          <w:rFonts w:eastAsia="Calibri"/>
        </w:rPr>
        <w:t>, moduł zatrudnienia</w:t>
      </w:r>
      <w:r w:rsidRPr="00263734">
        <w:rPr>
          <w:rFonts w:eastAsia="Calibri"/>
        </w:rPr>
        <w:t xml:space="preserve"> i kierownictwo naukowe,</w:t>
      </w:r>
    </w:p>
    <w:p w14:paraId="00222300" w14:textId="4F355AD2" w:rsidR="00263734" w:rsidRPr="00263734" w:rsidRDefault="00263734" w:rsidP="00BE392B">
      <w:pPr>
        <w:pStyle w:val="tekst"/>
        <w:rPr>
          <w:rFonts w:eastAsia="Calibri"/>
        </w:rPr>
      </w:pPr>
      <w:r w:rsidRPr="00263734">
        <w:rPr>
          <w:rFonts w:eastAsia="Calibri"/>
        </w:rPr>
        <w:t xml:space="preserve">dr </w:t>
      </w:r>
      <w:r w:rsidR="005765E5" w:rsidRPr="00E73070">
        <w:rPr>
          <w:rFonts w:eastAsia="Calibri"/>
        </w:rPr>
        <w:t>Maciej Dębski, prof. SAN</w:t>
      </w:r>
      <w:r w:rsidRPr="00263734">
        <w:rPr>
          <w:rFonts w:eastAsia="Calibri"/>
        </w:rPr>
        <w:t xml:space="preserve"> – </w:t>
      </w:r>
      <w:r w:rsidR="005765E5" w:rsidRPr="00263734">
        <w:rPr>
          <w:rFonts w:eastAsia="Calibri"/>
        </w:rPr>
        <w:t>zagadnienia nakładów inwestycyjnych i środków trwałych</w:t>
      </w:r>
      <w:r w:rsidRPr="00263734">
        <w:rPr>
          <w:rFonts w:eastAsia="Calibri"/>
        </w:rPr>
        <w:t>,</w:t>
      </w:r>
    </w:p>
    <w:p w14:paraId="3EA78856" w14:textId="7405BDC2" w:rsidR="00263734" w:rsidRPr="00263734" w:rsidRDefault="00263734" w:rsidP="00BE392B">
      <w:pPr>
        <w:pStyle w:val="tekst"/>
        <w:rPr>
          <w:rFonts w:eastAsia="Calibri"/>
        </w:rPr>
      </w:pPr>
      <w:r w:rsidRPr="00263734">
        <w:rPr>
          <w:rFonts w:eastAsia="Calibri"/>
        </w:rPr>
        <w:t>dr hab. Teresa Skalska, prof. SGTi</w:t>
      </w:r>
      <w:r w:rsidR="005765E5" w:rsidRPr="00E73070">
        <w:rPr>
          <w:rFonts w:eastAsia="Calibri"/>
        </w:rPr>
        <w:t>H</w:t>
      </w:r>
      <w:r w:rsidRPr="00263734">
        <w:rPr>
          <w:rFonts w:eastAsia="Calibri"/>
        </w:rPr>
        <w:t xml:space="preserve"> – </w:t>
      </w:r>
      <w:r w:rsidR="005765E5" w:rsidRPr="00E73070">
        <w:rPr>
          <w:rFonts w:eastAsia="Calibri"/>
        </w:rPr>
        <w:t xml:space="preserve">zagadnienia metodologiczne, źródła danych, </w:t>
      </w:r>
      <w:r w:rsidRPr="00263734">
        <w:rPr>
          <w:rFonts w:eastAsia="Calibri"/>
        </w:rPr>
        <w:t>spożycie turystyczne.</w:t>
      </w:r>
    </w:p>
    <w:p w14:paraId="3C26266E" w14:textId="77777777" w:rsidR="00263734" w:rsidRPr="00263734" w:rsidRDefault="00263734" w:rsidP="00BE392B">
      <w:pPr>
        <w:pStyle w:val="tekst"/>
        <w:rPr>
          <w:color w:val="FF0000"/>
        </w:rPr>
      </w:pPr>
    </w:p>
    <w:p w14:paraId="1E4D741D" w14:textId="77777777" w:rsidR="00164C6E" w:rsidRDefault="00263734" w:rsidP="00BE392B">
      <w:pPr>
        <w:pStyle w:val="tekst"/>
      </w:pPr>
      <w:r w:rsidRPr="00263734">
        <w:t>Po</w:t>
      </w:r>
      <w:r w:rsidR="00164C6E">
        <w:t>dobnie jak w poprzednich latach, po</w:t>
      </w:r>
      <w:r w:rsidRPr="00263734">
        <w:t xml:space="preserve">djęcie prac nad rachunkiem było możliwe dzięki </w:t>
      </w:r>
      <w:r w:rsidR="00E73070" w:rsidRPr="00E73070">
        <w:t xml:space="preserve">zaangażowaniu, udostępnieniu danych oraz merytorycznej konsultacji z </w:t>
      </w:r>
      <w:r w:rsidR="00164C6E">
        <w:t>licznymi instytucjami:</w:t>
      </w:r>
    </w:p>
    <w:p w14:paraId="01BC23C0" w14:textId="08097915" w:rsidR="00164C6E" w:rsidRPr="00164C6E" w:rsidRDefault="00E73070" w:rsidP="00571929">
      <w:pPr>
        <w:pStyle w:val="bombki"/>
      </w:pPr>
      <w:r w:rsidRPr="00164C6E">
        <w:t>Urzędem Statystycznym w Rzeszowie,</w:t>
      </w:r>
      <w:r w:rsidR="009B3416">
        <w:t xml:space="preserve"> </w:t>
      </w:r>
    </w:p>
    <w:p w14:paraId="02404083" w14:textId="6C8D9C77" w:rsidR="00164C6E" w:rsidRPr="00164C6E" w:rsidRDefault="00263734" w:rsidP="00571929">
      <w:pPr>
        <w:pStyle w:val="bombki"/>
      </w:pPr>
      <w:r w:rsidRPr="00164C6E">
        <w:t>G</w:t>
      </w:r>
      <w:r w:rsidR="00164C6E">
        <w:t xml:space="preserve">łównym </w:t>
      </w:r>
      <w:r w:rsidRPr="00164C6E">
        <w:t>U</w:t>
      </w:r>
      <w:r w:rsidR="00164C6E">
        <w:t xml:space="preserve">rzędem </w:t>
      </w:r>
      <w:r w:rsidRPr="00164C6E">
        <w:t>S</w:t>
      </w:r>
      <w:r w:rsidR="00164C6E">
        <w:t>tatystycznym,</w:t>
      </w:r>
      <w:r w:rsidRPr="00164C6E">
        <w:t xml:space="preserve"> </w:t>
      </w:r>
    </w:p>
    <w:p w14:paraId="531C0557" w14:textId="77777777" w:rsidR="001054CD" w:rsidRDefault="001054CD" w:rsidP="00571929">
      <w:pPr>
        <w:pStyle w:val="bombki"/>
      </w:pPr>
      <w:r>
        <w:t>Narodowym Bankiem Polskim</w:t>
      </w:r>
    </w:p>
    <w:p w14:paraId="6D670ED0" w14:textId="77777777" w:rsidR="001054CD" w:rsidRDefault="001054CD" w:rsidP="00571929">
      <w:pPr>
        <w:pStyle w:val="bombki"/>
      </w:pPr>
      <w:r>
        <w:t>Eurostatem</w:t>
      </w:r>
    </w:p>
    <w:p w14:paraId="1E9D25FA" w14:textId="17031C72" w:rsidR="00263734" w:rsidRPr="00164C6E" w:rsidRDefault="00263734" w:rsidP="00571929">
      <w:pPr>
        <w:pStyle w:val="bombki"/>
      </w:pPr>
      <w:r w:rsidRPr="00164C6E">
        <w:t>oraz dzięki środkom finansowym i zaangażowaniu Departamentu Turystyki w Ministerstwie Sportu i Turystyki.</w:t>
      </w:r>
    </w:p>
    <w:p w14:paraId="0DC69D66" w14:textId="77777777" w:rsidR="00263734" w:rsidRPr="00263734" w:rsidRDefault="00263734" w:rsidP="00263734">
      <w:pPr>
        <w:spacing w:after="0" w:line="240" w:lineRule="auto"/>
        <w:rPr>
          <w:rFonts w:ascii="Calibri" w:eastAsia="Times New Roman" w:hAnsi="Calibri" w:cs="Calibri"/>
          <w:b/>
          <w:color w:val="FF0000"/>
          <w:sz w:val="44"/>
          <w:szCs w:val="24"/>
          <w:lang w:eastAsia="pl-PL"/>
        </w:rPr>
      </w:pPr>
      <w:r w:rsidRPr="00263734">
        <w:rPr>
          <w:rFonts w:ascii="Times New Roman" w:eastAsia="Times New Roman" w:hAnsi="Times New Roman" w:cs="Times New Roman"/>
          <w:color w:val="FF0000"/>
          <w:sz w:val="24"/>
          <w:szCs w:val="24"/>
          <w:lang w:eastAsia="pl-PL"/>
        </w:rPr>
        <w:br w:type="page"/>
      </w:r>
    </w:p>
    <w:p w14:paraId="179100AA" w14:textId="64305AC5" w:rsidR="00263734" w:rsidRPr="004678FD" w:rsidRDefault="00263734" w:rsidP="00FB40ED">
      <w:pPr>
        <w:pStyle w:val="Tytu"/>
        <w:rPr>
          <w:rFonts w:ascii="Times New Roman" w:eastAsia="Times New Roman" w:hAnsi="Times New Roman"/>
          <w:lang w:eastAsia="pl-PL"/>
        </w:rPr>
      </w:pPr>
      <w:bookmarkStart w:id="15" w:name="_Toc486565761"/>
      <w:bookmarkStart w:id="16" w:name="_Toc115441439"/>
      <w:bookmarkStart w:id="17" w:name="_Hlk115430606"/>
      <w:r w:rsidRPr="004678FD">
        <w:rPr>
          <w:rFonts w:eastAsia="Times New Roman"/>
          <w:lang w:eastAsia="pl-PL"/>
        </w:rPr>
        <w:lastRenderedPageBreak/>
        <w:t>Część I</w:t>
      </w:r>
      <w:r w:rsidRPr="004678FD">
        <w:rPr>
          <w:rFonts w:eastAsia="Times New Roman"/>
          <w:lang w:eastAsia="pl-PL"/>
        </w:rPr>
        <w:br/>
        <w:t xml:space="preserve">Rachunek satelitarny turystyki dla Polski </w:t>
      </w:r>
      <w:r w:rsidRPr="004678FD">
        <w:rPr>
          <w:rFonts w:eastAsia="Times New Roman"/>
          <w:lang w:eastAsia="pl-PL"/>
        </w:rPr>
        <w:br/>
        <w:t xml:space="preserve">za </w:t>
      </w:r>
      <w:r w:rsidR="00CE4A2D" w:rsidRPr="004678FD">
        <w:rPr>
          <w:rFonts w:eastAsia="Times New Roman"/>
          <w:lang w:eastAsia="pl-PL"/>
        </w:rPr>
        <w:t>lata</w:t>
      </w:r>
      <w:r w:rsidRPr="004678FD">
        <w:rPr>
          <w:rFonts w:eastAsia="Times New Roman"/>
          <w:lang w:eastAsia="pl-PL"/>
        </w:rPr>
        <w:t xml:space="preserve"> 201</w:t>
      </w:r>
      <w:bookmarkEnd w:id="15"/>
      <w:r w:rsidR="00CE4A2D" w:rsidRPr="004678FD">
        <w:rPr>
          <w:rFonts w:eastAsia="Times New Roman"/>
          <w:lang w:eastAsia="pl-PL"/>
        </w:rPr>
        <w:t>8</w:t>
      </w:r>
      <w:r w:rsidR="004F463E">
        <w:rPr>
          <w:rFonts w:eastAsia="Times New Roman"/>
          <w:lang w:eastAsia="pl-PL"/>
        </w:rPr>
        <w:t xml:space="preserve"> </w:t>
      </w:r>
      <w:r w:rsidR="00CE4A2D" w:rsidRPr="004678FD">
        <w:rPr>
          <w:rFonts w:eastAsia="Times New Roman"/>
          <w:lang w:eastAsia="pl-PL"/>
        </w:rPr>
        <w:t>-2019</w:t>
      </w:r>
      <w:bookmarkEnd w:id="16"/>
    </w:p>
    <w:p w14:paraId="30D32C7C" w14:textId="691B4F2E" w:rsidR="00263734" w:rsidRPr="002260B3" w:rsidRDefault="00263734" w:rsidP="00744CC0">
      <w:pPr>
        <w:pStyle w:val="Nagwek1"/>
        <w:spacing w:after="240"/>
      </w:pPr>
      <w:bookmarkStart w:id="18" w:name="_Toc115441440"/>
      <w:bookmarkStart w:id="19" w:name="_Toc36052357"/>
      <w:bookmarkStart w:id="20" w:name="_Toc156099295"/>
      <w:bookmarkStart w:id="21" w:name="_Toc223140137"/>
      <w:bookmarkStart w:id="22" w:name="_Toc486565762"/>
      <w:bookmarkEnd w:id="17"/>
      <w:r w:rsidRPr="002260B3">
        <w:lastRenderedPageBreak/>
        <w:t>1.</w:t>
      </w:r>
      <w:r w:rsidR="00F8216E">
        <w:t xml:space="preserve"> </w:t>
      </w:r>
      <w:r w:rsidR="002260B3" w:rsidRPr="002260B3">
        <w:t>Koncepcja RST, ź</w:t>
      </w:r>
      <w:r w:rsidRPr="002260B3">
        <w:t>ródła i zakres informacji statystycznej</w:t>
      </w:r>
      <w:bookmarkEnd w:id="18"/>
      <w:r w:rsidRPr="002260B3">
        <w:t xml:space="preserve"> </w:t>
      </w:r>
      <w:bookmarkStart w:id="23" w:name="_Toc218703251"/>
      <w:bookmarkStart w:id="24" w:name="_Toc36052358"/>
      <w:bookmarkStart w:id="25" w:name="_Toc156099297"/>
      <w:bookmarkStart w:id="26" w:name="_Toc223140139"/>
      <w:bookmarkEnd w:id="19"/>
      <w:bookmarkEnd w:id="20"/>
      <w:bookmarkEnd w:id="21"/>
      <w:bookmarkEnd w:id="22"/>
    </w:p>
    <w:p w14:paraId="305E69C3" w14:textId="6B19A061" w:rsidR="00263734" w:rsidRPr="00BE392B" w:rsidRDefault="00263734" w:rsidP="00BE392B">
      <w:pPr>
        <w:pStyle w:val="Nagwek2"/>
      </w:pPr>
      <w:bookmarkStart w:id="27" w:name="_Toc486565763"/>
      <w:bookmarkStart w:id="28" w:name="_Toc115441441"/>
      <w:r w:rsidRPr="00BE392B">
        <w:t>1.1.</w:t>
      </w:r>
      <w:r w:rsidR="00F8216E">
        <w:t xml:space="preserve"> </w:t>
      </w:r>
      <w:r w:rsidRPr="00BE392B">
        <w:t>Podstawowe założenia metodologiczne</w:t>
      </w:r>
      <w:bookmarkEnd w:id="23"/>
      <w:bookmarkEnd w:id="27"/>
      <w:bookmarkEnd w:id="28"/>
    </w:p>
    <w:p w14:paraId="42AF5D77" w14:textId="77777777" w:rsidR="00E0486F" w:rsidRPr="00E0486F" w:rsidRDefault="00E0486F" w:rsidP="00744CC0">
      <w:pPr>
        <w:pStyle w:val="tekst"/>
        <w:ind w:firstLine="0"/>
      </w:pPr>
      <w:r w:rsidRPr="00E0486F">
        <w:t>Ze względu na znaczenie turystyki jako dziedziny gospodarki w skali światowej i w skali poszczególnych krajów oraz brak możliwości jej analizy w ramach standardowego systemu rachunków narodowych, dość wcześnie zrodziła się inicjatywa opracowania dla niej rachunku satelitarnego. OECD i Światowa Or</w:t>
      </w:r>
      <w:r w:rsidRPr="00E0486F">
        <w:softHyphen/>
        <w:t>ga</w:t>
      </w:r>
      <w:r w:rsidRPr="00E0486F">
        <w:softHyphen/>
        <w:t>nizacja Turystyki postanowiły skoordynować swoje wysiłki i zaproponowały wspól</w:t>
      </w:r>
      <w:r w:rsidRPr="00E0486F">
        <w:softHyphen/>
        <w:t>ną metodologię, która została przyjęta i opublikowana w 2001 roku przez Świa</w:t>
      </w:r>
      <w:r w:rsidRPr="00E0486F">
        <w:softHyphen/>
        <w:t>tową Organizację Turystyki, OECD i Eurostat</w:t>
      </w:r>
      <w:r w:rsidRPr="00E0486F">
        <w:rPr>
          <w:vertAlign w:val="superscript"/>
        </w:rPr>
        <w:footnoteReference w:id="2"/>
      </w:r>
      <w:r w:rsidRPr="00E0486F">
        <w:t xml:space="preserve"> i jest zalecana przez UE jako instrument mie</w:t>
      </w:r>
      <w:r w:rsidRPr="00E0486F">
        <w:softHyphen/>
        <w:t>rzenia efektów ekonomicznych turystyki w krajach członkowskich. W obecnej edycji RST do</w:t>
      </w:r>
      <w:r w:rsidRPr="00E0486F">
        <w:softHyphen/>
        <w:t>konano istotnych korekt uwzględniających zalecenia dotyczące metodologii, które zostały opub</w:t>
      </w:r>
      <w:r w:rsidRPr="00E0486F">
        <w:softHyphen/>
        <w:t>likowane w 2008 r.</w:t>
      </w:r>
      <w:r w:rsidRPr="00E0486F">
        <w:rPr>
          <w:vertAlign w:val="superscript"/>
        </w:rPr>
        <w:footnoteReference w:id="3"/>
      </w:r>
      <w:r w:rsidRPr="00E0486F">
        <w:t xml:space="preserve"> Nie zmieniają one zasadniczo treści i układu RST, natomiast przy</w:t>
      </w:r>
      <w:r w:rsidRPr="00E0486F">
        <w:softHyphen/>
        <w:t>czyniają się do zwiększenia jego przejrzystości i porównywalności w skali międzynarodowej. Dokonano również dostosowania klasyfikacji działalności gospodarczej oraz wyrobów i usług do obowiązujących obecnie klasyfikacji PKD 2007 i PKWiU 2015.</w:t>
      </w:r>
    </w:p>
    <w:p w14:paraId="5CA16B41" w14:textId="77777777" w:rsidR="00E0486F" w:rsidRPr="00E0486F" w:rsidRDefault="00E0486F" w:rsidP="00BE392B">
      <w:pPr>
        <w:pStyle w:val="tekst"/>
      </w:pPr>
      <w:r w:rsidRPr="00E0486F">
        <w:t>Istotnym elementem metodologii RST jest określenie jego zakresu od strony popytowej i po</w:t>
      </w:r>
      <w:r w:rsidRPr="00E0486F">
        <w:softHyphen/>
        <w:t>da</w:t>
      </w:r>
      <w:r w:rsidRPr="00E0486F">
        <w:softHyphen/>
        <w:t>żowej. Jeśli chodzi o stronę popytową, przyjęto, że tworzą ją wydatki konsumpcyjne uczestników ruchu turystycznego. Po stronie podaży w RST uwzględniane są cztery rodzaje produktów i odpowiadających im rodzajów działalności gos</w:t>
      </w:r>
      <w:r w:rsidRPr="00E0486F">
        <w:softHyphen/>
        <w:t>po</w:t>
      </w:r>
      <w:r w:rsidRPr="00E0486F">
        <w:softHyphen/>
        <w:t>darczej:</w:t>
      </w:r>
    </w:p>
    <w:p w14:paraId="379C9254" w14:textId="77777777" w:rsidR="00E0486F" w:rsidRPr="00E0486F" w:rsidRDefault="00E0486F" w:rsidP="00571929">
      <w:pPr>
        <w:pStyle w:val="tekst"/>
        <w:numPr>
          <w:ilvl w:val="0"/>
          <w:numId w:val="30"/>
        </w:numPr>
      </w:pPr>
      <w:r w:rsidRPr="00E0486F">
        <w:t>charakterystyczne,</w:t>
      </w:r>
    </w:p>
    <w:p w14:paraId="0CA661B5" w14:textId="77777777" w:rsidR="00E0486F" w:rsidRPr="00E0486F" w:rsidRDefault="00E0486F" w:rsidP="00571929">
      <w:pPr>
        <w:pStyle w:val="tekst"/>
        <w:numPr>
          <w:ilvl w:val="0"/>
          <w:numId w:val="30"/>
        </w:numPr>
      </w:pPr>
      <w:r w:rsidRPr="00E0486F">
        <w:t xml:space="preserve">krajowe charakterystyczne, </w:t>
      </w:r>
    </w:p>
    <w:p w14:paraId="65FF1147" w14:textId="77777777" w:rsidR="00E0486F" w:rsidRPr="00E0486F" w:rsidRDefault="00E0486F" w:rsidP="00571929">
      <w:pPr>
        <w:pStyle w:val="tekst"/>
        <w:numPr>
          <w:ilvl w:val="0"/>
          <w:numId w:val="30"/>
        </w:numPr>
      </w:pPr>
      <w:r w:rsidRPr="00E0486F">
        <w:t>związane z turystyką,</w:t>
      </w:r>
    </w:p>
    <w:p w14:paraId="0546B74C" w14:textId="77777777" w:rsidR="00E0486F" w:rsidRPr="00E0486F" w:rsidRDefault="00E0486F" w:rsidP="00571929">
      <w:pPr>
        <w:pStyle w:val="tekst"/>
        <w:numPr>
          <w:ilvl w:val="0"/>
          <w:numId w:val="30"/>
        </w:numPr>
      </w:pPr>
      <w:r w:rsidRPr="00E0486F">
        <w:t>pozostałe.</w:t>
      </w:r>
    </w:p>
    <w:p w14:paraId="04F2A4AC" w14:textId="77777777" w:rsidR="00E0486F" w:rsidRPr="00E0486F" w:rsidRDefault="00E0486F" w:rsidP="00571929">
      <w:pPr>
        <w:pStyle w:val="tekst"/>
      </w:pPr>
      <w:r w:rsidRPr="00E0486F">
        <w:t>Przedmiotem analizy jest wyłącznie działalność producentów bę</w:t>
      </w:r>
      <w:r w:rsidRPr="00E0486F">
        <w:softHyphen/>
        <w:t>dą</w:t>
      </w:r>
      <w:r w:rsidRPr="00E0486F">
        <w:softHyphen/>
        <w:t>cych rezydentami danej gospodarki. Pozycje związane z importem, zwłaszcza cha</w:t>
      </w:r>
      <w:r w:rsidRPr="00E0486F">
        <w:softHyphen/>
        <w:t>rak</w:t>
      </w:r>
      <w:r w:rsidRPr="00E0486F">
        <w:softHyphen/>
        <w:t>te</w:t>
      </w:r>
      <w:r w:rsidRPr="00E0486F">
        <w:softHyphen/>
        <w:t>rys</w:t>
      </w:r>
      <w:r w:rsidRPr="00E0486F">
        <w:softHyphen/>
        <w:t>tycz</w:t>
      </w:r>
      <w:r w:rsidRPr="00E0486F">
        <w:softHyphen/>
      </w:r>
      <w:r w:rsidRPr="00E0486F">
        <w:softHyphen/>
        <w:t>nych produktów turystycznych, znajdują się poza zakresem zainteresowania RST. W prak</w:t>
      </w:r>
      <w:r w:rsidRPr="00E0486F">
        <w:softHyphen/>
        <w:t>ty</w:t>
      </w:r>
      <w:r w:rsidRPr="00E0486F">
        <w:softHyphen/>
        <w:t>ce oznacza to, że spożycie turystyczne będące efektem zagranicznej turystyki wyjaz</w:t>
      </w:r>
      <w:r w:rsidRPr="00E0486F">
        <w:softHyphen/>
        <w:t>dowej znaj</w:t>
      </w:r>
      <w:r w:rsidRPr="00E0486F">
        <w:softHyphen/>
        <w:t>duje odzwierciedlenie po stronie podażowej i popytowej RST tylko w takim zakre</w:t>
      </w:r>
      <w:r w:rsidRPr="00E0486F">
        <w:softHyphen/>
        <w:t>sie, w jakim jest zaspokajane przez producentów będących rezydentami gospodarki danego kraju (np. marże organizatorskie biur podróży zajmujących się turystyką wyjazdową, loty czarterowe realizowane przez polskich przewoźników).</w:t>
      </w:r>
    </w:p>
    <w:p w14:paraId="0EC41309" w14:textId="77777777" w:rsidR="00E0486F" w:rsidRPr="00E0486F" w:rsidRDefault="00E0486F" w:rsidP="00571929">
      <w:pPr>
        <w:pStyle w:val="tekst"/>
      </w:pPr>
      <w:r w:rsidRPr="00E0486F">
        <w:t>Zgodnie z zaleceniami odnowionej metodologii obecna wersja RST składa się z modułu porównywalnego w skali międzynarodowej i krajowego. Do pierwszego należy gru</w:t>
      </w:r>
      <w:r w:rsidRPr="00E0486F">
        <w:softHyphen/>
        <w:t>pa produktów i odpowiadających im rodzajów działalności, które z samej natury można uznać za charakterystyczne dla turystyki: są to usługi noclegowe, gastronomiczne, transportu pasa</w:t>
      </w:r>
      <w:r w:rsidRPr="00E0486F">
        <w:softHyphen/>
        <w:t xml:space="preserve">żerskiego, biur podróży i kulturalno-rekreacyjne. W module krajowym uwzględniono usługi wspomagające transport lotniczy i usługi medyczne pod nadzorem lekarzy. Uwzględnienie pierwszej z nich narusza w pewnym stopniu zasady przyjęte w metodologii RST, zakładające, że uwzględniane są jedynie bezpośrednie wydatki odwiedzających. Zasada ta jednak naruszona została w przypadku organizatorów turystyki, w odniesieniu do których dokonywane jest </w:t>
      </w:r>
      <w:proofErr w:type="spellStart"/>
      <w:r w:rsidRPr="00E0486F">
        <w:t>rozszacowywanie</w:t>
      </w:r>
      <w:proofErr w:type="spellEnd"/>
      <w:r w:rsidRPr="00E0486F">
        <w:t xml:space="preserve"> wydatków odwiedzających na usługi składowe imprez turystycznych. W przypadku usług wspomagających transport lotniczy uznano, że usługi lotnisk i nawigacji są niezbędne i wchodzą w skład pakietu oferowanego przez bilet lotniczy. W celu uniknięcia podwójnego uwzględniania tych usług wyodrębniono ich wartość jedynie w odniesieniu do pasażerów korzystających z usług zagranicznych przewoźników (w przypadku przewoźników krajowych wartość tych usług uwzględniona jest w cenie biletów).</w:t>
      </w:r>
    </w:p>
    <w:p w14:paraId="429863DA" w14:textId="77F49984" w:rsidR="00263734" w:rsidRPr="000F15EC" w:rsidRDefault="00E0486F" w:rsidP="00571929">
      <w:pPr>
        <w:pStyle w:val="tekst"/>
      </w:pPr>
      <w:r w:rsidRPr="00E0486F">
        <w:lastRenderedPageBreak/>
        <w:t>RST obejmuje zestaw 6 podstawowych tablic ilustrujących spożycie turystyczne (tablice 1-4), rachunek produkcji związany z turystyką (tab</w:t>
      </w:r>
      <w:r>
        <w:t>lice</w:t>
      </w:r>
      <w:r w:rsidRPr="00E0486F">
        <w:t xml:space="preserve"> 5), rachunek podaży i wykorzystania produktów turystycznych i pozostałych (tablica 6)</w:t>
      </w:r>
      <w:r w:rsidRPr="00E0486F">
        <w:rPr>
          <w:vertAlign w:val="superscript"/>
        </w:rPr>
        <w:footnoteReference w:id="4"/>
      </w:r>
      <w:r w:rsidRPr="00E0486F">
        <w:t>. Uzupełnieniem rachunku są tablice pokazujące nakłady na środki trwałe w charakterystycznych rodzajach działalności turystycznej, tablice dotyczące pracujących w tych rodzajach działalności, spożycia zbiorowego w turystyce oraz niektórych wskaźników rzeczowych. Tablice w polskiej wersji RST zasadniczo odpowiadają zaleceniom, najpoważniejsza różnica dotyczy tablicy 6, w której zrezygnowano z powtarzania danych zawartych w tablicy 5. Było to podyktowane względami edytorskimi, ponieważ bardzo rozbudowana wersja oryginalna utrudnia percepcję zawartości tej tablicy.</w:t>
      </w:r>
      <w:r w:rsidR="00FA280E">
        <w:t xml:space="preserve"> </w:t>
      </w:r>
      <w:r w:rsidR="00263734" w:rsidRPr="000F15EC">
        <w:t>Poniżej przedstawiono rodzaje działalności oraz rodzaje produktów ujęte w RST</w:t>
      </w:r>
      <w:r w:rsidR="000F15EC" w:rsidRPr="000F15EC">
        <w:t>, zgodnie z klasyfikacją PKD 2007</w:t>
      </w:r>
      <w:r w:rsidR="00263734" w:rsidRPr="000F15EC">
        <w:t>.</w:t>
      </w:r>
    </w:p>
    <w:p w14:paraId="619413A6" w14:textId="53198B2E" w:rsidR="00263734" w:rsidRPr="00571929" w:rsidRDefault="00263734" w:rsidP="00421044">
      <w:pPr>
        <w:pStyle w:val="Nagwek4"/>
      </w:pPr>
      <w:r w:rsidRPr="00571929">
        <w:t>Charakterystyczne turystyczne rodzaje działalności:</w:t>
      </w:r>
    </w:p>
    <w:p w14:paraId="08C2C137" w14:textId="77777777" w:rsidR="00263734" w:rsidRPr="004B6730" w:rsidRDefault="00263734" w:rsidP="00571929">
      <w:pPr>
        <w:pStyle w:val="tekst"/>
        <w:rPr>
          <w:rFonts w:eastAsia="Calibri"/>
        </w:rPr>
      </w:pPr>
      <w:r w:rsidRPr="004B6730">
        <w:rPr>
          <w:rFonts w:eastAsia="Calibri"/>
        </w:rPr>
        <w:t>55. Zakwaterowanie</w:t>
      </w:r>
    </w:p>
    <w:p w14:paraId="327B22C3" w14:textId="77777777" w:rsidR="00263734" w:rsidRPr="004B6730" w:rsidRDefault="00263734" w:rsidP="00571929">
      <w:pPr>
        <w:pStyle w:val="tekst"/>
        <w:rPr>
          <w:rFonts w:eastAsia="Calibri"/>
        </w:rPr>
      </w:pPr>
      <w:r w:rsidRPr="004B6730">
        <w:rPr>
          <w:rFonts w:eastAsia="Calibri"/>
        </w:rPr>
        <w:t>56. Działalność usługowa związana z wyżywieniem</w:t>
      </w:r>
    </w:p>
    <w:p w14:paraId="38F16D21" w14:textId="77777777" w:rsidR="00263734" w:rsidRPr="004B6730" w:rsidRDefault="00263734" w:rsidP="00571929">
      <w:pPr>
        <w:pStyle w:val="tekst"/>
        <w:rPr>
          <w:rFonts w:eastAsia="Calibri"/>
        </w:rPr>
      </w:pPr>
      <w:r w:rsidRPr="004B6730">
        <w:rPr>
          <w:rFonts w:eastAsia="Calibri"/>
        </w:rPr>
        <w:t>49.1 Transport kolejowy pasażerski międzymiastowy</w:t>
      </w:r>
    </w:p>
    <w:p w14:paraId="20F4601C" w14:textId="77777777" w:rsidR="00263734" w:rsidRPr="004B6730" w:rsidRDefault="00263734" w:rsidP="00571929">
      <w:pPr>
        <w:pStyle w:val="tekst"/>
        <w:rPr>
          <w:rFonts w:eastAsia="Calibri"/>
        </w:rPr>
      </w:pPr>
      <w:r w:rsidRPr="004B6730">
        <w:rPr>
          <w:rFonts w:eastAsia="Calibri"/>
        </w:rPr>
        <w:t>49.3 Pozostały transport lądowy pasażerski</w:t>
      </w:r>
    </w:p>
    <w:p w14:paraId="5A17D2D5" w14:textId="77777777" w:rsidR="00263734" w:rsidRPr="004B6730" w:rsidRDefault="00263734" w:rsidP="00571929">
      <w:pPr>
        <w:pStyle w:val="tekst"/>
        <w:rPr>
          <w:rFonts w:eastAsia="Calibri"/>
        </w:rPr>
      </w:pPr>
      <w:r w:rsidRPr="004B6730">
        <w:rPr>
          <w:rFonts w:eastAsia="Calibri"/>
        </w:rPr>
        <w:t>50.1 Transport morski i przybrzeżny pasażerski</w:t>
      </w:r>
    </w:p>
    <w:p w14:paraId="5F002C37" w14:textId="77777777" w:rsidR="00263734" w:rsidRPr="004B6730" w:rsidRDefault="00263734" w:rsidP="00571929">
      <w:pPr>
        <w:pStyle w:val="tekst"/>
        <w:rPr>
          <w:rFonts w:eastAsia="Calibri"/>
        </w:rPr>
      </w:pPr>
      <w:r w:rsidRPr="004B6730">
        <w:rPr>
          <w:rFonts w:eastAsia="Calibri"/>
        </w:rPr>
        <w:t>50.3 Transport wodny śródlądowy pasażerski</w:t>
      </w:r>
    </w:p>
    <w:p w14:paraId="24AD16F8" w14:textId="77777777" w:rsidR="00263734" w:rsidRPr="004B6730" w:rsidRDefault="00263734" w:rsidP="00571929">
      <w:pPr>
        <w:pStyle w:val="tekst"/>
        <w:rPr>
          <w:rFonts w:eastAsia="Calibri"/>
        </w:rPr>
      </w:pPr>
      <w:r w:rsidRPr="004B6730">
        <w:rPr>
          <w:rFonts w:eastAsia="Calibri"/>
        </w:rPr>
        <w:t>51.1 Transport lotniczy pasażerski</w:t>
      </w:r>
    </w:p>
    <w:p w14:paraId="1F56EB88" w14:textId="77777777" w:rsidR="00263734" w:rsidRPr="004B6730" w:rsidRDefault="00263734" w:rsidP="00571929">
      <w:pPr>
        <w:pStyle w:val="tekst"/>
        <w:rPr>
          <w:rFonts w:eastAsia="Calibri"/>
        </w:rPr>
      </w:pPr>
      <w:r w:rsidRPr="004B6730">
        <w:rPr>
          <w:rFonts w:eastAsia="Calibri"/>
        </w:rPr>
        <w:t>77.11 Wynajem i dzierżawa samochodów osobowych i furgonetek</w:t>
      </w:r>
    </w:p>
    <w:p w14:paraId="6496862A" w14:textId="063902F1" w:rsidR="00263734" w:rsidRPr="004B6730" w:rsidRDefault="00263734" w:rsidP="00571929">
      <w:pPr>
        <w:pStyle w:val="tekst"/>
        <w:rPr>
          <w:rFonts w:eastAsia="Calibri"/>
        </w:rPr>
      </w:pPr>
      <w:r w:rsidRPr="004B6730">
        <w:rPr>
          <w:rFonts w:eastAsia="Calibri"/>
        </w:rPr>
        <w:t>79 Działalność związana z turystyką</w:t>
      </w:r>
    </w:p>
    <w:p w14:paraId="3EC1F347" w14:textId="68C55B5E" w:rsidR="000307B2" w:rsidRPr="004B6730" w:rsidRDefault="000307B2" w:rsidP="00571929">
      <w:pPr>
        <w:pStyle w:val="tekst"/>
        <w:rPr>
          <w:rFonts w:eastAsia="Calibri"/>
        </w:rPr>
      </w:pPr>
      <w:r w:rsidRPr="004B6730">
        <w:rPr>
          <w:rFonts w:eastAsia="Calibri"/>
        </w:rPr>
        <w:t>79.1</w:t>
      </w:r>
      <w:r w:rsidR="004B6730" w:rsidRPr="004B6730">
        <w:rPr>
          <w:rFonts w:eastAsia="Calibri"/>
        </w:rPr>
        <w:t xml:space="preserve"> </w:t>
      </w:r>
      <w:r w:rsidRPr="004B6730">
        <w:rPr>
          <w:rFonts w:eastAsia="Calibri"/>
        </w:rPr>
        <w:t>Działalność agentów i pośredników turystycznych oraz organizatorów turystyki</w:t>
      </w:r>
    </w:p>
    <w:p w14:paraId="54327991" w14:textId="53B23261" w:rsidR="000307B2" w:rsidRPr="004B6730" w:rsidRDefault="000307B2" w:rsidP="00571929">
      <w:pPr>
        <w:pStyle w:val="tekst"/>
        <w:rPr>
          <w:rFonts w:eastAsia="Calibri"/>
        </w:rPr>
      </w:pPr>
      <w:r w:rsidRPr="004B6730">
        <w:rPr>
          <w:rFonts w:eastAsia="Calibri"/>
        </w:rPr>
        <w:t>79.9</w:t>
      </w:r>
      <w:r w:rsidR="004B6730" w:rsidRPr="004B6730">
        <w:rPr>
          <w:rFonts w:eastAsia="Calibri"/>
        </w:rPr>
        <w:t xml:space="preserve"> </w:t>
      </w:r>
      <w:r w:rsidRPr="004B6730">
        <w:rPr>
          <w:rFonts w:eastAsia="Calibri"/>
        </w:rPr>
        <w:t>Pozostała działalność usługowa w zakresie rezerwacji i działalności z nią związane</w:t>
      </w:r>
    </w:p>
    <w:p w14:paraId="7DA5D737" w14:textId="77777777" w:rsidR="00263734" w:rsidRPr="004B6730" w:rsidRDefault="00263734" w:rsidP="00571929">
      <w:pPr>
        <w:pStyle w:val="tekst"/>
        <w:rPr>
          <w:rFonts w:eastAsia="Calibri"/>
        </w:rPr>
      </w:pPr>
      <w:r w:rsidRPr="004B6730">
        <w:rPr>
          <w:rFonts w:eastAsia="Calibri"/>
        </w:rPr>
        <w:t xml:space="preserve">91 Działalność bibliotek, archiwów, muzeów oraz pozostała działalność związana z kulturą </w:t>
      </w:r>
    </w:p>
    <w:p w14:paraId="5E3E50A4" w14:textId="77777777" w:rsidR="00263734" w:rsidRPr="004B6730" w:rsidRDefault="00263734" w:rsidP="00571929">
      <w:pPr>
        <w:pStyle w:val="tekst"/>
        <w:rPr>
          <w:rFonts w:eastAsia="Calibri"/>
        </w:rPr>
      </w:pPr>
      <w:r w:rsidRPr="004B6730">
        <w:rPr>
          <w:rFonts w:eastAsia="Calibri"/>
        </w:rPr>
        <w:t xml:space="preserve">93 Działalność sportowa, rozrywkowa i rekreacyjna </w:t>
      </w:r>
    </w:p>
    <w:p w14:paraId="17A88091" w14:textId="77777777" w:rsidR="00263734" w:rsidRPr="004B6730" w:rsidRDefault="00263734" w:rsidP="00571929">
      <w:pPr>
        <w:pStyle w:val="tekst"/>
        <w:rPr>
          <w:rFonts w:eastAsia="Calibri"/>
        </w:rPr>
      </w:pPr>
      <w:r w:rsidRPr="004B6730">
        <w:rPr>
          <w:rFonts w:eastAsia="Calibri"/>
        </w:rPr>
        <w:t>68 Obsługa rynku nieruchomości</w:t>
      </w:r>
    </w:p>
    <w:p w14:paraId="0F19644C" w14:textId="77777777" w:rsidR="00263734" w:rsidRPr="004B6730" w:rsidRDefault="00263734" w:rsidP="00571929">
      <w:pPr>
        <w:pStyle w:val="Nagwek4"/>
      </w:pPr>
      <w:r w:rsidRPr="004B6730">
        <w:t>Krajowa charakterystyczna działalność turystyczna:</w:t>
      </w:r>
    </w:p>
    <w:p w14:paraId="5C296F34" w14:textId="77777777" w:rsidR="00263734" w:rsidRPr="004B6730" w:rsidRDefault="00263734" w:rsidP="00571929">
      <w:pPr>
        <w:pStyle w:val="tekst"/>
        <w:rPr>
          <w:rFonts w:eastAsia="Calibri"/>
        </w:rPr>
      </w:pPr>
      <w:r w:rsidRPr="004B6730">
        <w:rPr>
          <w:rFonts w:eastAsia="Calibri"/>
        </w:rPr>
        <w:t>52.23 Działalność usługowa wspomagająca transport lotniczy</w:t>
      </w:r>
    </w:p>
    <w:p w14:paraId="3C9C158D" w14:textId="47EE62B2" w:rsidR="00263734" w:rsidRPr="004B6730" w:rsidRDefault="00263734" w:rsidP="00571929">
      <w:pPr>
        <w:pStyle w:val="tekst"/>
        <w:rPr>
          <w:rFonts w:eastAsia="Calibri"/>
        </w:rPr>
      </w:pPr>
      <w:r w:rsidRPr="004B6730">
        <w:rPr>
          <w:rFonts w:eastAsia="Calibri"/>
        </w:rPr>
        <w:t>86 Opieka zdrowotna</w:t>
      </w:r>
    </w:p>
    <w:p w14:paraId="1F4D26B9" w14:textId="10A73806" w:rsidR="004B6730" w:rsidRPr="004B6730" w:rsidRDefault="004B6730" w:rsidP="00571929">
      <w:pPr>
        <w:pStyle w:val="tekst"/>
        <w:rPr>
          <w:rFonts w:eastAsia="Calibri"/>
        </w:rPr>
      </w:pPr>
      <w:r w:rsidRPr="004B6730">
        <w:rPr>
          <w:rFonts w:eastAsia="Calibri"/>
        </w:rPr>
        <w:t>82.3 Działalność związana z organizacją targów, wystaw i kongresów</w:t>
      </w:r>
    </w:p>
    <w:p w14:paraId="4AF39F22" w14:textId="77777777" w:rsidR="00263734" w:rsidRPr="004B6730" w:rsidRDefault="00263734" w:rsidP="00571929">
      <w:pPr>
        <w:pStyle w:val="Nagwek4"/>
      </w:pPr>
      <w:r w:rsidRPr="004B6730">
        <w:t>Pozostała działalność związana z turystyką:</w:t>
      </w:r>
    </w:p>
    <w:p w14:paraId="0787C585" w14:textId="77777777" w:rsidR="00E0486F" w:rsidRPr="00E0486F" w:rsidRDefault="00E0486F" w:rsidP="00207469">
      <w:pPr>
        <w:pStyle w:val="tekst"/>
        <w:rPr>
          <w:rFonts w:eastAsia="Calibri"/>
        </w:rPr>
      </w:pPr>
      <w:r w:rsidRPr="00E0486F">
        <w:rPr>
          <w:rFonts w:eastAsia="Calibri"/>
        </w:rPr>
        <w:t>47 Handel detaliczny (handel detaliczny artykułami żywnościowymi, paliwami, wyrobami alkoholowymi, tytoniem oraz odzieżą i obuwiem).</w:t>
      </w:r>
    </w:p>
    <w:p w14:paraId="3464AC06" w14:textId="46DE31B4" w:rsidR="00A52BA0" w:rsidRPr="004B6730" w:rsidRDefault="00E0486F" w:rsidP="00207469">
      <w:pPr>
        <w:pStyle w:val="tekst"/>
        <w:rPr>
          <w:rFonts w:eastAsia="Calibri"/>
        </w:rPr>
      </w:pPr>
      <w:r w:rsidRPr="00E0486F">
        <w:rPr>
          <w:rFonts w:eastAsia="Calibri"/>
        </w:rPr>
        <w:t>Dane dotyczące spożycia turystycznego gospodarstw domowych obejmują wydatki finansowane z dochodów osobistych. W odniesieniu do wyjazdów do rodzin uwzględniono tylko wydatki faktycznie poniesione przez odwiedzających, tzn. nie szacowano wartości usług udzielonych bezpłatnie, np. noclegów. Jeśli chodzi o spożycie turystyczne rezydentów Polski poza jej terytorium ekonomicznym, stanowiące import usług turystycznych, to zgodnie z metodologią RST, zostało ono ujęte w sposób ogólny i służy przede wszystkim celom informacyjnym (tablica 3).</w:t>
      </w:r>
    </w:p>
    <w:p w14:paraId="7DCAA278" w14:textId="48341DF2" w:rsidR="002260B3" w:rsidRPr="002260B3" w:rsidRDefault="00263734" w:rsidP="00207469">
      <w:pPr>
        <w:pStyle w:val="Nagwek2"/>
      </w:pPr>
      <w:bookmarkStart w:id="29" w:name="_Toc115441442"/>
      <w:bookmarkStart w:id="30" w:name="_Toc486565764"/>
      <w:r w:rsidRPr="002260B3">
        <w:t xml:space="preserve">1.2. </w:t>
      </w:r>
      <w:r w:rsidR="002260B3" w:rsidRPr="002260B3">
        <w:t>Źródła informacji, metody szacowania</w:t>
      </w:r>
      <w:bookmarkEnd w:id="29"/>
    </w:p>
    <w:p w14:paraId="75ACCAF7" w14:textId="5BE4C850" w:rsidR="00263734" w:rsidRPr="00207469" w:rsidRDefault="00F8216E" w:rsidP="00207469">
      <w:pPr>
        <w:pStyle w:val="Nagwek3"/>
      </w:pPr>
      <w:bookmarkStart w:id="31" w:name="_Toc115441443"/>
      <w:bookmarkStart w:id="32" w:name="_Hlk107002273"/>
      <w:r>
        <w:t xml:space="preserve">1.2.1. </w:t>
      </w:r>
      <w:r w:rsidR="00263734" w:rsidRPr="00207469">
        <w:t>Spożycie turystyczne</w:t>
      </w:r>
      <w:bookmarkEnd w:id="30"/>
      <w:r w:rsidR="002260B3" w:rsidRPr="00207469">
        <w:t xml:space="preserve"> rezydentów</w:t>
      </w:r>
      <w:bookmarkEnd w:id="31"/>
    </w:p>
    <w:bookmarkEnd w:id="32"/>
    <w:p w14:paraId="6A50E2ED" w14:textId="77777777" w:rsidR="002938C6" w:rsidRPr="002938C6" w:rsidRDefault="002938C6" w:rsidP="00207469">
      <w:pPr>
        <w:pStyle w:val="tekst"/>
      </w:pPr>
      <w:r w:rsidRPr="002938C6">
        <w:t>Omawiając źródła informacji i metody szacowania spożycia turystycznego rezydentów należy odrębnie odnieść się do trzech jego składowych obejmujących podróże turystyczne i jednodniowe:</w:t>
      </w:r>
    </w:p>
    <w:p w14:paraId="3C1E9981" w14:textId="77777777" w:rsidR="002938C6" w:rsidRPr="00207469" w:rsidRDefault="002938C6" w:rsidP="00207469">
      <w:pPr>
        <w:pStyle w:val="numeracja2"/>
      </w:pPr>
      <w:r w:rsidRPr="00207469">
        <w:lastRenderedPageBreak/>
        <w:t>spożycia turystycznego gospodarstw domowych w związku z prywatnymi podróżami krajowymi,</w:t>
      </w:r>
    </w:p>
    <w:p w14:paraId="7CF3C9EB" w14:textId="77777777" w:rsidR="002938C6" w:rsidRPr="00207469" w:rsidRDefault="002938C6" w:rsidP="00207469">
      <w:pPr>
        <w:pStyle w:val="numeracja2"/>
      </w:pPr>
      <w:r w:rsidRPr="00207469">
        <w:t>spożycia w ramach krajowych podróży służbowych</w:t>
      </w:r>
    </w:p>
    <w:p w14:paraId="2F963754" w14:textId="61CD30F3" w:rsidR="002938C6" w:rsidRPr="00207469" w:rsidRDefault="002938C6" w:rsidP="00207469">
      <w:pPr>
        <w:pStyle w:val="numeracja2"/>
      </w:pPr>
      <w:r w:rsidRPr="00207469">
        <w:t>krajowej części wydatków na zagraniczne podróże w celach prywatnych i służbowych.</w:t>
      </w:r>
      <w:r w:rsidR="009B3416">
        <w:t xml:space="preserve"> </w:t>
      </w:r>
    </w:p>
    <w:p w14:paraId="30D56E34" w14:textId="77777777" w:rsidR="002938C6" w:rsidRPr="002938C6" w:rsidRDefault="002938C6" w:rsidP="00207469">
      <w:pPr>
        <w:pStyle w:val="tekst"/>
      </w:pPr>
      <w:r w:rsidRPr="002938C6">
        <w:t xml:space="preserve">I tak, szacując spożycie turystyczne </w:t>
      </w:r>
      <w:bookmarkStart w:id="33" w:name="_Hlk107256401"/>
      <w:r w:rsidRPr="007D3ECC">
        <w:rPr>
          <w:rStyle w:val="Pogrubienie"/>
        </w:rPr>
        <w:t>gospodarstw domowych rezydentów w zakresie podróży krajowych</w:t>
      </w:r>
      <w:bookmarkEnd w:id="33"/>
      <w:r w:rsidRPr="002938C6">
        <w:t xml:space="preserve"> wykorzystano następujące źródła informacji:</w:t>
      </w:r>
    </w:p>
    <w:p w14:paraId="06F18ED2" w14:textId="645FE023" w:rsidR="002938C6" w:rsidRPr="002938C6" w:rsidRDefault="002938C6" w:rsidP="00207469">
      <w:pPr>
        <w:pStyle w:val="bombki"/>
      </w:pPr>
      <w:r w:rsidRPr="002938C6">
        <w:t xml:space="preserve">dane uzyskane w Urzędzie Statystycznym w Rzeszowie w ramach kwartalnego badania uczestnictwa mieszkańców Polski (rezydentów) w podróżach krajowych/zagranicznych (badanie </w:t>
      </w:r>
      <w:r w:rsidRPr="002938C6">
        <w:rPr>
          <w:i/>
          <w:iCs/>
        </w:rPr>
        <w:t>Uczestnictwo mieszkańców Polski rezydentów w podróżach</w:t>
      </w:r>
      <w:r w:rsidRPr="002938C6">
        <w:t>);</w:t>
      </w:r>
      <w:r w:rsidR="009B3416">
        <w:t xml:space="preserve"> </w:t>
      </w:r>
    </w:p>
    <w:p w14:paraId="7C00BE2A" w14:textId="77777777" w:rsidR="002938C6" w:rsidRPr="002938C6" w:rsidRDefault="002938C6" w:rsidP="00207469">
      <w:pPr>
        <w:pStyle w:val="bombki"/>
      </w:pPr>
      <w:r w:rsidRPr="002938C6">
        <w:t>dane z bazy EUROSTAT wykorzystane do oszacowania imputowanego czynszu związanego z posiadaniem tzw. drugich domów (dane o czynszach umownych własnych i wynajmowanych mieszkań w przeliczeniu na 1 gospodarstwo domowe);</w:t>
      </w:r>
    </w:p>
    <w:p w14:paraId="438C5415" w14:textId="77777777" w:rsidR="002938C6" w:rsidRPr="002938C6" w:rsidRDefault="002938C6" w:rsidP="00207469">
      <w:pPr>
        <w:pStyle w:val="bombki"/>
      </w:pPr>
      <w:r w:rsidRPr="002938C6">
        <w:t>dane dotyczące marży detalicznej pochodzące z rachunku podaży i wykorzystania wyrobów i usług w 2018 r. oraz z bazy EUROSTAT;</w:t>
      </w:r>
    </w:p>
    <w:p w14:paraId="79828929" w14:textId="77777777" w:rsidR="002938C6" w:rsidRPr="002938C6" w:rsidRDefault="002938C6" w:rsidP="00207469">
      <w:pPr>
        <w:pStyle w:val="bombki"/>
      </w:pPr>
      <w:r w:rsidRPr="002938C6">
        <w:t>dane z budżetów gospodarstw domowych z lat 2018 i 2019 w zakresie wydatków na usługi kulturalne i rekreacyjne i własności drugich domów;</w:t>
      </w:r>
    </w:p>
    <w:p w14:paraId="1FD4DA70" w14:textId="77777777" w:rsidR="002938C6" w:rsidRPr="002938C6" w:rsidRDefault="002938C6" w:rsidP="00207469">
      <w:pPr>
        <w:pStyle w:val="bombki"/>
      </w:pPr>
      <w:r w:rsidRPr="002938C6">
        <w:t>dane z bilansu płatniczego w zakresie handlu usługami, pochodzące z baz danych NBP (w szczególności dotyczące importu i eksportu pasażerskich usług transportowych wg rodzajów);</w:t>
      </w:r>
    </w:p>
    <w:p w14:paraId="43CCCDEF" w14:textId="77777777" w:rsidR="002938C6" w:rsidRPr="002938C6" w:rsidRDefault="002938C6" w:rsidP="00207469">
      <w:pPr>
        <w:pStyle w:val="bombki"/>
      </w:pPr>
      <w:r w:rsidRPr="002938C6">
        <w:t>Analizy Rynku Lotniczego w Polsce oraz publikowane przez GUS wyniki działalności transportowej</w:t>
      </w:r>
      <w:r w:rsidRPr="002938C6">
        <w:rPr>
          <w:vertAlign w:val="superscript"/>
        </w:rPr>
        <w:footnoteReference w:id="5"/>
      </w:r>
      <w:r w:rsidRPr="002938C6">
        <w:t>;</w:t>
      </w:r>
    </w:p>
    <w:p w14:paraId="23051C19" w14:textId="77777777" w:rsidR="002938C6" w:rsidRPr="002938C6" w:rsidRDefault="002938C6" w:rsidP="00207469">
      <w:pPr>
        <w:pStyle w:val="bombki"/>
      </w:pPr>
      <w:r w:rsidRPr="002938C6">
        <w:t>raporty dotyczące działalności touroperatorów publikowane przez „Wiadomości Turystyczne”.</w:t>
      </w:r>
    </w:p>
    <w:p w14:paraId="1613AF7F" w14:textId="77777777" w:rsidR="002938C6" w:rsidRPr="002938C6" w:rsidRDefault="002938C6" w:rsidP="00207469">
      <w:pPr>
        <w:pStyle w:val="tekst"/>
      </w:pPr>
      <w:r w:rsidRPr="002938C6">
        <w:t xml:space="preserve">Z powodu braku danych o podróżach jednodniowych w 2019 r. wartość spożycia dotyczącą tych podróży oszacowano przyjmując założenie, że struktura wydatków nie uległa zmianie, a tempo wzrostu ich liczby było analogiczne jak tempo wzrostu liczby podróży krótkotrwałych, podane w raporcie </w:t>
      </w:r>
      <w:r w:rsidRPr="002938C6">
        <w:rPr>
          <w:i/>
          <w:iCs/>
        </w:rPr>
        <w:t>Turystyka w 2019 r.</w:t>
      </w:r>
    </w:p>
    <w:p w14:paraId="19261972" w14:textId="77777777" w:rsidR="002938C6" w:rsidRPr="002938C6" w:rsidRDefault="002938C6" w:rsidP="00207469">
      <w:pPr>
        <w:pStyle w:val="tekst"/>
      </w:pPr>
      <w:r w:rsidRPr="002938C6">
        <w:t xml:space="preserve">W celu uniknięcia podwójnego liczenia niektórych wydatków metodologia RST zakłada „unettowienie” wydatków na imprezy turystyczne, tj. wyodrębnienie wartości ich elementów składowych. Jednym z najważniejszych problemów przy </w:t>
      </w:r>
      <w:proofErr w:type="spellStart"/>
      <w:r w:rsidRPr="002938C6">
        <w:t>rozszacowaniu</w:t>
      </w:r>
      <w:proofErr w:type="spellEnd"/>
      <w:r w:rsidRPr="002938C6">
        <w:t xml:space="preserve"> wartości imprez turystycznych (pakietów turystycznych) jest ustalenie wysokości marży. Dokonano tego poprzez powiększenie wartości dodanej uzyskanej przez organizatorów i agentów o nakłady zidentyfikowane jako koszty prowadzenia działalności, których wysokość ustalono na podstawie rachunku podaży i wykorzystania wyrobów i usług w 2018 r. (o koszty m.in. o koszty biurowe, reklamy itp.). Na tej podstawie dla 2018 r. oszacowano marżę dla touroperatorów na poziomie 16%, a dla agentów 12% (liczone od kwoty brutto, tzn. wartości imprezy z VAT). Dla 2019 r. dla touroperatorów marżę oszacowano na poziomie 20%, dla agentów 12% (tj. jak w 2018 r.). Marże agentów związaną ze sprzedażą biletów transportowych oszacowano na poziomie10% (całość przyjęto jako transport lotniczy), marże na usługi noclegowe u agentów – na poziomie 15%. Jeśli chodzi o wydatki na poszczególne usługi wchodzące w skład imprez, to wykorzystano dane dotyczące struktury wydatków ponoszonych w związku z podróżami organizowanymi samodzielnie.</w:t>
      </w:r>
    </w:p>
    <w:p w14:paraId="66826BD6" w14:textId="5802B039" w:rsidR="002938C6" w:rsidRPr="00C501D7" w:rsidRDefault="002938C6" w:rsidP="00207469">
      <w:pPr>
        <w:pStyle w:val="tekst"/>
      </w:pPr>
      <w:r w:rsidRPr="00C501D7">
        <w:t xml:space="preserve">Ze względu na nieuwzględnianie w badaniach prowadzonych przez US W Rzeszowie wydatków na usługi kulturalne i rekreacyjne ich wysokość w związku z podróżami krajowymi oszacowano na podstawie danych kwartalnych i miesięcznych, pozyskanych z budżetów gospodarstw domowych, rozliczonych następnie na wydatki turystów i odwiedzających jednodniowych. Z kolei wydatki na usługi uzdrowiskowe oszacowano posługując się liczbą pobytów pełnopłatnych, przyjmując równocześnie, że trwają one przeciętnie 10 dni, a cena zabiegów wynosi 100 zł dziennie. Do pozycji </w:t>
      </w:r>
      <w:r w:rsidRPr="00C501D7">
        <w:rPr>
          <w:i/>
          <w:iCs/>
        </w:rPr>
        <w:t>pozostałe</w:t>
      </w:r>
      <w:r w:rsidRPr="00C501D7">
        <w:t xml:space="preserve"> włączono niezidentyfikowane kategorie wydatków z badania</w:t>
      </w:r>
      <w:r w:rsidR="009B3416">
        <w:t xml:space="preserve"> </w:t>
      </w:r>
      <w:r w:rsidRPr="00C501D7">
        <w:t xml:space="preserve">US Rzeszów pomniejszone o oszacowane wydatki na kulturę, rekreację i usługi uzdrowiskowe. Ze względu na brak </w:t>
      </w:r>
      <w:r w:rsidRPr="00C501D7">
        <w:lastRenderedPageBreak/>
        <w:t xml:space="preserve">danych o strukturze wydatków transportowych poniesionych przez odwiedzających jednodniowych wydatki na poszczególne rodzaje transportu oszacowano wykorzystując strukturę z badania podróży turystów. </w:t>
      </w:r>
    </w:p>
    <w:p w14:paraId="412E571E" w14:textId="05890800" w:rsidR="002938C6" w:rsidRPr="00C501D7" w:rsidRDefault="002938C6" w:rsidP="00207469">
      <w:pPr>
        <w:pStyle w:val="tekst"/>
      </w:pPr>
      <w:r w:rsidRPr="00C501D7">
        <w:t xml:space="preserve">Do oszacowania spożycia turystycznego w ramach </w:t>
      </w:r>
      <w:r w:rsidRPr="00923D11">
        <w:rPr>
          <w:rStyle w:val="Pogrubienie"/>
        </w:rPr>
        <w:t>podróży służbowych rezydentów</w:t>
      </w:r>
      <w:r w:rsidR="009B3416">
        <w:t xml:space="preserve"> </w:t>
      </w:r>
      <w:r w:rsidRPr="00C501D7">
        <w:t>wykorzystano dwa źródła informacji:</w:t>
      </w:r>
    </w:p>
    <w:p w14:paraId="29D0F8C2" w14:textId="4C37EFB7" w:rsidR="002938C6" w:rsidRPr="002938C6" w:rsidRDefault="002938C6" w:rsidP="00207469">
      <w:pPr>
        <w:pStyle w:val="bombki"/>
      </w:pPr>
      <w:r w:rsidRPr="002938C6">
        <w:t>dane uzyskane w Urzędzie Statystycznym w Rzeszowie pochodzące z kwartalnego badania uczestnictwa mieszkańców Polski (rezydentów) w podróżach krajowych/zagranicznych (PKZ);</w:t>
      </w:r>
      <w:r w:rsidR="009B3416">
        <w:t xml:space="preserve"> </w:t>
      </w:r>
    </w:p>
    <w:p w14:paraId="50E402AB" w14:textId="6ACF0A2E" w:rsidR="002938C6" w:rsidRPr="002938C6" w:rsidRDefault="002938C6" w:rsidP="00207469">
      <w:pPr>
        <w:pStyle w:val="bombki"/>
      </w:pPr>
      <w:r w:rsidRPr="002938C6">
        <w:t xml:space="preserve">dane uzyskane z GUS ze </w:t>
      </w:r>
      <w:r w:rsidRPr="002938C6">
        <w:rPr>
          <w:i/>
          <w:iCs/>
        </w:rPr>
        <w:t>sprawozdania G-05 o kosztach zużycia materiałów, energii i usług obcych oraz wartości zapasów materiałów</w:t>
      </w:r>
      <w:r w:rsidRPr="002938C6">
        <w:t xml:space="preserve"> dla lat 2015 i 2020</w:t>
      </w:r>
      <w:r w:rsidRPr="002938C6">
        <w:rPr>
          <w:vertAlign w:val="superscript"/>
        </w:rPr>
        <w:footnoteReference w:id="6"/>
      </w:r>
      <w:r w:rsidRPr="002938C6">
        <w:t>.</w:t>
      </w:r>
      <w:r w:rsidR="009B3416">
        <w:t xml:space="preserve"> </w:t>
      </w:r>
    </w:p>
    <w:p w14:paraId="56472BF1" w14:textId="662F641D" w:rsidR="002938C6" w:rsidRPr="00C501D7" w:rsidRDefault="002938C6" w:rsidP="00207469">
      <w:pPr>
        <w:pStyle w:val="tekst"/>
      </w:pPr>
      <w:r w:rsidRPr="00C501D7">
        <w:t>Między danymi z obu tych źródeł występują znaczne rozbieżności, w związku konieczne było ich powiązanie. Przemawiały za tym dwie przesłanki: nie jest do końca jasne, czy wszystkie koszty podróży uwzględnione w G-05 dotyczą podróży spełniających kryteria</w:t>
      </w:r>
      <w:r w:rsidR="009B3416">
        <w:t xml:space="preserve"> </w:t>
      </w:r>
      <w:r w:rsidRPr="00C501D7">
        <w:t>podróży turystycznych, ponadto dane z badania US Rzeszów zawierają więcej informacji charakteryzujących wydatki. Uznano, że dobrym punktem wyjścia do określenia wartości tego elementu spożycia turystycznego będą</w:t>
      </w:r>
      <w:r w:rsidR="009B3416">
        <w:t xml:space="preserve"> </w:t>
      </w:r>
      <w:r w:rsidRPr="00C501D7">
        <w:t xml:space="preserve">wydatki na noclegi ze sprawozdania G-05, których wysokość w 2018 i 2019 r. oszacowano mnożąc dane pochodzące z 2015 r. przez stopę wzrostu liczby podróży, obliczoną na podstawie danych z corocznych wydawnictw </w:t>
      </w:r>
      <w:r w:rsidRPr="00C501D7">
        <w:rPr>
          <w:i/>
          <w:iCs/>
        </w:rPr>
        <w:t>Turystyka w … roku</w:t>
      </w:r>
      <w:r w:rsidRPr="00C501D7">
        <w:t>. Podane przez US wydatki na transport w trakcie krajowych służbowych zostały dostosowane do skali wydatków na noclegi. W tym celu wykorzystano relację wydatków na noclegi i transport z badania US Rzeszów, a następnie uzyskaną kwotę podzielono na poszczególne środki transportu zgodnie ze strukturą wynikającą z danych US. Należy zaznaczyć, że zgodnie z metodologią RST wszystkie wydatki zidentyfikowane jako prywatne oraz wydatki w ramach diety zostały włączone do spożycia gospodarstw domowych.</w:t>
      </w:r>
    </w:p>
    <w:p w14:paraId="2034B4B9" w14:textId="77777777" w:rsidR="002938C6" w:rsidRPr="00C501D7" w:rsidRDefault="002938C6" w:rsidP="00207469">
      <w:pPr>
        <w:pStyle w:val="tekst"/>
      </w:pPr>
      <w:r w:rsidRPr="00C501D7">
        <w:t xml:space="preserve">Jeśli chodzi o </w:t>
      </w:r>
      <w:r w:rsidRPr="00923D11">
        <w:rPr>
          <w:rStyle w:val="Pogrubienie"/>
        </w:rPr>
        <w:t>spożycie turystyczne rezydentów odnoszące się do krajowej części podróży zagranicznych</w:t>
      </w:r>
      <w:r w:rsidRPr="00C501D7">
        <w:t xml:space="preserve">, jako dodatkowe źródło informacji wykorzystano – oprócz badań US Rzeszów – </w:t>
      </w:r>
      <w:r w:rsidRPr="00C501D7">
        <w:rPr>
          <w:i/>
          <w:iCs/>
        </w:rPr>
        <w:t>Raport „Wiadomości Turystycznych” Touroperatorzy</w:t>
      </w:r>
      <w:r w:rsidRPr="00C501D7">
        <w:t xml:space="preserve"> z 2019 i 2020 roku oraz </w:t>
      </w:r>
      <w:r w:rsidRPr="00C501D7">
        <w:rPr>
          <w:i/>
          <w:iCs/>
        </w:rPr>
        <w:t>Raport dotyczący Turystycznego Funduszu Gwarancyjnego za 2018 r.</w:t>
      </w:r>
      <w:r w:rsidRPr="00C501D7">
        <w:t xml:space="preserve"> oraz </w:t>
      </w:r>
      <w:r w:rsidRPr="00C501D7">
        <w:rPr>
          <w:i/>
          <w:iCs/>
        </w:rPr>
        <w:t>Transport – wyniki działalności</w:t>
      </w:r>
      <w:r w:rsidRPr="00C501D7">
        <w:t xml:space="preserve">, GUS 2019 i 2020. Wielkość wydatków prywatnych obejmuje wydatki gospodarstw domowych oraz prywatne wydatki turystów i jednodniowych odwiedzających, poniesione w czasie wyjazdów służbowych, włącznie z wydatkami na imprezy i inne usługi zakupione u pośredników, które zostały wykazane przez US w Rzeszowie jako zakupione za granicą. Do krajowej części wydatków na podróże zagraniczne rezydentów zaliczono wszystkie wydatki na podróże prywatne zidentyfikowane przez US Rzeszów jako poniesione w kraju. Wyjątkiem były wydatki na połączenia transportowe, w przypadku których konieczne było wyeliminowanie usług przewoźników, którzy nie są rezydentami polskiej gospodarki. W tym celu wykorzystano dane udostępnione przez NBP oraz dane dotyczące przewozów pasażerów, szczególnie dotyczące transportu lotniczego. </w:t>
      </w:r>
    </w:p>
    <w:p w14:paraId="7AE3B00C" w14:textId="77777777" w:rsidR="002938C6" w:rsidRPr="00C501D7" w:rsidRDefault="002938C6" w:rsidP="00207469">
      <w:pPr>
        <w:pStyle w:val="tekst"/>
      </w:pPr>
      <w:r w:rsidRPr="00C501D7">
        <w:t xml:space="preserve">Podobnie jak w przypadku spożycia turystycznego gospodarstw domowych rezydentów w zakresie podróży krajowych, ważnym i równocześnie trudnym zadaniem było </w:t>
      </w:r>
      <w:proofErr w:type="spellStart"/>
      <w:r w:rsidRPr="00C501D7">
        <w:t>rozszacowanie</w:t>
      </w:r>
      <w:proofErr w:type="spellEnd"/>
      <w:r w:rsidRPr="00C501D7">
        <w:t xml:space="preserve"> wydatków w ramach imprez turystycznych. Punktem wyjścia było określenie struktury wyjazdów wg środków transportu, następnie przyjęto, że zarówno w 2018, jak i 2019 r. 90% podróży lotniczych zrealizowano z wykorzystaniem samolotów czarterowych</w:t>
      </w:r>
      <w:r w:rsidRPr="002938C6">
        <w:rPr>
          <w:vertAlign w:val="superscript"/>
        </w:rPr>
        <w:footnoteReference w:id="7"/>
      </w:r>
      <w:r w:rsidRPr="00C501D7">
        <w:t xml:space="preserve">. Jeśli chodzi o pozostałe usługi wchodzące w skład imprez (noclegowe, gastronomiczne itp.), to założono, że w całości były oferowane przez przedsiębiorstwa-nierezydentów polskiej gospodarki. Pozostałą część krajowego spożycia turystycznego związanego z podróżami zagranicznymi obliczono na podstawie danych o wydatkach w kraju i zagranicą pochodzących z badania US Rzeszów. Wszystkie marże dla krajowych agentów, touroperatorów zostały oszacowane w taki sam sposób, jak to miało miejsce w odniesieniu do spożycia turystycznego gospodarstw domowych w zakresie podróży krajowych. Wszystkie pozostałe wydatki na wyjazdy zagraniczne, których </w:t>
      </w:r>
      <w:r w:rsidRPr="00C501D7">
        <w:lastRenderedPageBreak/>
        <w:t xml:space="preserve">nie zaliczono do spożycia krajowego zostały wykazane jako spożycie turystyczne zagranicą. W odróżnieniu od wydatków na usługi organizatorów rezydentów polskiej gospodarki wydatki na usługi pośredników nierezydentów zostały podane w wersji „brutto”, tj. bez rozbicia na elementy składowe. </w:t>
      </w:r>
    </w:p>
    <w:p w14:paraId="6402866B" w14:textId="312AE3D2" w:rsidR="002260B3" w:rsidRPr="002260B3" w:rsidRDefault="002260B3" w:rsidP="00E118C5">
      <w:pPr>
        <w:pStyle w:val="Nagwek3"/>
      </w:pPr>
      <w:bookmarkStart w:id="34" w:name="_Toc115441444"/>
      <w:bookmarkEnd w:id="24"/>
      <w:bookmarkEnd w:id="25"/>
      <w:bookmarkEnd w:id="26"/>
      <w:r w:rsidRPr="002260B3">
        <w:t xml:space="preserve">Spożycie turystyczne </w:t>
      </w:r>
      <w:r>
        <w:t>nie</w:t>
      </w:r>
      <w:r w:rsidRPr="002260B3">
        <w:t>rezydentów</w:t>
      </w:r>
      <w:bookmarkEnd w:id="34"/>
    </w:p>
    <w:p w14:paraId="5B3BC98C" w14:textId="6916D71B" w:rsidR="003E1C9F" w:rsidRPr="003E1C9F" w:rsidRDefault="003E1C9F" w:rsidP="00E118C5">
      <w:pPr>
        <w:pStyle w:val="tekst"/>
      </w:pPr>
      <w:r w:rsidRPr="003E1C9F">
        <w:t>Analiz</w:t>
      </w:r>
      <w:r w:rsidR="00070017">
        <w:t>a</w:t>
      </w:r>
      <w:r w:rsidRPr="003E1C9F">
        <w:t xml:space="preserve"> </w:t>
      </w:r>
      <w:r w:rsidR="00070017">
        <w:t>spożycia turystycznego związanego z zagraniczną turystyką przyjazdową nierezydentów wymaga wyraźnego podkreślenia</w:t>
      </w:r>
      <w:r w:rsidRPr="003E1C9F">
        <w:t>, że w rachunku uwzględniane są tylko te wydatki, które zostały poniesione na terytorium ekonomiczny</w:t>
      </w:r>
      <w:r w:rsidR="00070017">
        <w:t xml:space="preserve"> </w:t>
      </w:r>
      <w:r w:rsidRPr="003E1C9F">
        <w:t xml:space="preserve">Polski, tzn. zasiliły działające na tym terytorium jednostki gospodarcze. </w:t>
      </w:r>
      <w:r w:rsidR="00070017">
        <w:t>W bilansie płatniczym są one elementem eksportu</w:t>
      </w:r>
      <w:r w:rsidRPr="003E1C9F">
        <w:t xml:space="preserve">. </w:t>
      </w:r>
    </w:p>
    <w:p w14:paraId="03ED4AA2" w14:textId="06E7013C" w:rsidR="008D3914" w:rsidRPr="006B7AF2" w:rsidRDefault="0076340C" w:rsidP="00E118C5">
      <w:pPr>
        <w:pStyle w:val="tekst"/>
      </w:pPr>
      <w:r w:rsidRPr="001077DD">
        <w:t>W</w:t>
      </w:r>
      <w:r w:rsidR="00263734" w:rsidRPr="001077DD">
        <w:t xml:space="preserve"> celu oszacowania </w:t>
      </w:r>
      <w:r w:rsidR="003E1C9F" w:rsidRPr="00923D11">
        <w:rPr>
          <w:rStyle w:val="Pogrubienie"/>
        </w:rPr>
        <w:t>spożycia</w:t>
      </w:r>
      <w:r w:rsidR="00263734" w:rsidRPr="00923D11">
        <w:rPr>
          <w:rStyle w:val="Pogrubienie"/>
        </w:rPr>
        <w:t xml:space="preserve"> turystycznego nierezydentów</w:t>
      </w:r>
      <w:r w:rsidR="00263734" w:rsidRPr="001077DD">
        <w:rPr>
          <w:b/>
        </w:rPr>
        <w:t xml:space="preserve"> </w:t>
      </w:r>
      <w:r w:rsidRPr="001077DD">
        <w:rPr>
          <w:bCs/>
        </w:rPr>
        <w:t>posłużono się</w:t>
      </w:r>
      <w:r w:rsidRPr="001077DD">
        <w:rPr>
          <w:b/>
        </w:rPr>
        <w:t xml:space="preserve"> </w:t>
      </w:r>
      <w:r w:rsidRPr="001077DD">
        <w:t xml:space="preserve">nieco odmiennymi </w:t>
      </w:r>
      <w:r w:rsidR="001077DD" w:rsidRPr="001077DD">
        <w:t xml:space="preserve">źródłami informacji </w:t>
      </w:r>
      <w:r w:rsidRPr="001077DD">
        <w:t>w stosunku do</w:t>
      </w:r>
      <w:r w:rsidR="001077DD" w:rsidRPr="001077DD">
        <w:t xml:space="preserve"> </w:t>
      </w:r>
      <w:r w:rsidR="00263734" w:rsidRPr="001077DD">
        <w:t xml:space="preserve">tych, które wykorzystano w poprzednich edycjach </w:t>
      </w:r>
      <w:r w:rsidR="00263734" w:rsidRPr="008D3914">
        <w:t>RST. W pierwszym rzędzie uwzględniono wyniki badań ankietowych dotyczących przyjazdów i wydatków nierezydentów (turystów i odwiedzających jednodniowych), przeprowadzonych w </w:t>
      </w:r>
      <w:r w:rsidR="008D3914" w:rsidRPr="008D3914">
        <w:t>latach 2018 i 2019</w:t>
      </w:r>
      <w:r w:rsidR="00263734" w:rsidRPr="008D3914">
        <w:t xml:space="preserve"> przez </w:t>
      </w:r>
      <w:r w:rsidR="008D3914" w:rsidRPr="008D3914">
        <w:t>US w Rzeszowie</w:t>
      </w:r>
      <w:r w:rsidR="00263734" w:rsidRPr="008D3914">
        <w:t xml:space="preserve"> na granicach Polski</w:t>
      </w:r>
      <w:r w:rsidR="008D3914" w:rsidRPr="008D3914">
        <w:t xml:space="preserve"> (</w:t>
      </w:r>
      <w:r w:rsidR="00411538">
        <w:t xml:space="preserve">kwartalne </w:t>
      </w:r>
      <w:r w:rsidR="006677E4">
        <w:t xml:space="preserve">badanie </w:t>
      </w:r>
      <w:r w:rsidR="006677E4" w:rsidRPr="006677E4">
        <w:rPr>
          <w:i/>
          <w:iCs/>
        </w:rPr>
        <w:t>Podróże nierezydentów do Polski. Ruch pojazdów i osób na granicy Polski z krajami</w:t>
      </w:r>
      <w:r w:rsidR="006677E4">
        <w:rPr>
          <w:i/>
          <w:iCs/>
        </w:rPr>
        <w:t xml:space="preserve"> </w:t>
      </w:r>
      <w:r w:rsidR="006677E4" w:rsidRPr="006677E4">
        <w:rPr>
          <w:i/>
          <w:iCs/>
        </w:rPr>
        <w:t>Unii Europejskiej</w:t>
      </w:r>
      <w:r w:rsidR="008D3914" w:rsidRPr="008D3914">
        <w:t xml:space="preserve">). </w:t>
      </w:r>
      <w:r w:rsidR="00411538">
        <w:t xml:space="preserve">Badanie prowadzone jest we współpracy z NBP i ministerstwem właściwym ds. turystyki. </w:t>
      </w:r>
      <w:r w:rsidR="008D3914" w:rsidRPr="008D3914">
        <w:t xml:space="preserve">Zgodnie z przyjętymi założeniami co do celu i koncepcji badań, są one prowadzone nie tylko na potrzeby statystyki turystyki, ale także rachunków narodowych, bilansu płatniczego Polski oraz statystyki obszarów przygranicznych. </w:t>
      </w:r>
      <w:r w:rsidR="0001761B">
        <w:t xml:space="preserve">Jest to badanie prowadzone równolegle do wspomnianego wyżej </w:t>
      </w:r>
      <w:r w:rsidR="0001761B" w:rsidRPr="0001761B">
        <w:t>badania uczestnictwa mieszkańców Polski (rezydentów) w podróżach krajowych/</w:t>
      </w:r>
      <w:r w:rsidR="0001761B" w:rsidRPr="006B7AF2">
        <w:t xml:space="preserve">zagranicznych. </w:t>
      </w:r>
      <w:r w:rsidR="008D3914" w:rsidRPr="006B7AF2">
        <w:t>Intencją autorów badania prowadzonego wśród rezydentów i nierezydentów jest to, aby stanowiły wzajemnie uzupełniające się źródło informacji o podróżach turystycznych i wydatkach ponoszonych przez odwiedzających</w:t>
      </w:r>
      <w:r w:rsidR="006B7AF2" w:rsidRPr="006B7AF2">
        <w:t>, oparte na uzgodnionych metodologicznie założeniach</w:t>
      </w:r>
      <w:r w:rsidR="008D3914" w:rsidRPr="006B7AF2">
        <w:t>. Jeśli chodzi o nierezydentów, w zakresie projektu jest badanie ruchu granicznego pojazdów i osób oraz badanie ankietowe dotyczące podróży cudzoziemców obejmujące:</w:t>
      </w:r>
    </w:p>
    <w:p w14:paraId="4154D6C8" w14:textId="5CA262D5" w:rsidR="008D3914" w:rsidRPr="006B7AF2" w:rsidRDefault="008D3914" w:rsidP="00E118C5">
      <w:pPr>
        <w:pStyle w:val="bombki"/>
      </w:pPr>
      <w:r w:rsidRPr="006B7AF2">
        <w:t>turystów,</w:t>
      </w:r>
    </w:p>
    <w:p w14:paraId="6EC09DC1" w14:textId="5DC2BE3E" w:rsidR="008D3914" w:rsidRPr="006B7AF2" w:rsidRDefault="008D3914" w:rsidP="00E118C5">
      <w:pPr>
        <w:pStyle w:val="bombki"/>
      </w:pPr>
      <w:r w:rsidRPr="006B7AF2">
        <w:t>odwiedzających jednodniowych,</w:t>
      </w:r>
    </w:p>
    <w:p w14:paraId="6E70F2EA" w14:textId="65FDB1AA" w:rsidR="008D3914" w:rsidRPr="006B7AF2" w:rsidRDefault="008D3914" w:rsidP="00E118C5">
      <w:pPr>
        <w:pStyle w:val="bombki"/>
      </w:pPr>
      <w:r w:rsidRPr="006B7AF2">
        <w:t>pracowników sezonowych i przygranicznych,</w:t>
      </w:r>
    </w:p>
    <w:p w14:paraId="7E23FA4F" w14:textId="1ADF557C" w:rsidR="008D3914" w:rsidRPr="006B7AF2" w:rsidRDefault="008D3914" w:rsidP="00E118C5">
      <w:pPr>
        <w:pStyle w:val="bombki"/>
      </w:pPr>
      <w:r w:rsidRPr="006B7AF2">
        <w:t xml:space="preserve">osób podróżujących służbowo w charakterze członka załogi środka transportu (statek, samolot, samochód ciężarowy. </w:t>
      </w:r>
    </w:p>
    <w:p w14:paraId="4426368C" w14:textId="77777777" w:rsidR="00312836" w:rsidRDefault="008D3914" w:rsidP="00E118C5">
      <w:pPr>
        <w:pStyle w:val="tekst"/>
      </w:pPr>
      <w:r w:rsidRPr="006B7AF2">
        <w:t>Dodatkowym źródłem danych do RST za lata 2018 i 2019 są informacje publikowane przez</w:t>
      </w:r>
      <w:r w:rsidR="00312836">
        <w:t>:</w:t>
      </w:r>
    </w:p>
    <w:p w14:paraId="4096A95F" w14:textId="630087BD" w:rsidR="00312836" w:rsidRPr="00312836" w:rsidRDefault="008D3914" w:rsidP="00E118C5">
      <w:pPr>
        <w:pStyle w:val="bombki"/>
      </w:pPr>
      <w:r w:rsidRPr="00312836">
        <w:t>Straż Graniczną (w zakresie liczby i struktury przekroczeń granic)</w:t>
      </w:r>
      <w:r w:rsidR="00312836" w:rsidRPr="00312836">
        <w:t>;</w:t>
      </w:r>
    </w:p>
    <w:p w14:paraId="4D7F5915" w14:textId="4CC5955A" w:rsidR="00312836" w:rsidRDefault="008D3914" w:rsidP="00E118C5">
      <w:pPr>
        <w:pStyle w:val="bombki"/>
      </w:pPr>
      <w:r w:rsidRPr="00312836">
        <w:t>Narodowy Bank Polski, zawarte w bilansie płatniczym</w:t>
      </w:r>
      <w:r w:rsidR="003E1C9F">
        <w:t xml:space="preserve"> po stronie eksportu</w:t>
      </w:r>
      <w:r w:rsidR="00312836" w:rsidRPr="00312836">
        <w:t>;</w:t>
      </w:r>
    </w:p>
    <w:p w14:paraId="254210C7" w14:textId="1DB71EE1" w:rsidR="00D22D9A" w:rsidRPr="00B1660A" w:rsidRDefault="00312836" w:rsidP="00E118C5">
      <w:pPr>
        <w:pStyle w:val="bombki"/>
      </w:pPr>
      <w:r w:rsidRPr="00312836">
        <w:t>GUS (w zakresie liczb</w:t>
      </w:r>
      <w:r w:rsidR="00D22D9A">
        <w:t>y</w:t>
      </w:r>
      <w:r w:rsidRPr="00312836">
        <w:t xml:space="preserve"> cudzoziemców korzystających z bazy noclegowej na terenie Polski, liczb</w:t>
      </w:r>
      <w:r w:rsidR="00D22D9A">
        <w:t>y</w:t>
      </w:r>
      <w:r w:rsidRPr="00312836">
        <w:t xml:space="preserve"> udzielonych noclegów cudzoziemcom na terenie Polski</w:t>
      </w:r>
      <w:r w:rsidR="00D22D9A">
        <w:t xml:space="preserve">; </w:t>
      </w:r>
      <w:r w:rsidR="00D22D9A" w:rsidRPr="00D22D9A">
        <w:rPr>
          <w:i/>
          <w:iCs/>
        </w:rPr>
        <w:t>Turystyka w 2018 i 2019 roku</w:t>
      </w:r>
      <w:r w:rsidRPr="00312836">
        <w:t>)</w:t>
      </w:r>
      <w:r w:rsidR="00D22D9A">
        <w:t>;</w:t>
      </w:r>
    </w:p>
    <w:p w14:paraId="454699EA" w14:textId="75308F90" w:rsidR="008D3914" w:rsidRPr="006B7AF2" w:rsidRDefault="008D3914" w:rsidP="00E118C5">
      <w:pPr>
        <w:pStyle w:val="tekst"/>
      </w:pPr>
      <w:r w:rsidRPr="006B7AF2">
        <w:t xml:space="preserve">Korzystanie </w:t>
      </w:r>
      <w:r w:rsidR="00312836">
        <w:t>z danych NBP</w:t>
      </w:r>
      <w:r w:rsidRPr="006B7AF2">
        <w:t xml:space="preserve"> </w:t>
      </w:r>
      <w:r w:rsidR="006B7AF2" w:rsidRPr="006B7AF2">
        <w:t xml:space="preserve">pozwoliło na zweryfikowanie </w:t>
      </w:r>
      <w:r w:rsidR="00312836">
        <w:t>informacji uzyskanych</w:t>
      </w:r>
      <w:r w:rsidR="006B7AF2" w:rsidRPr="006B7AF2">
        <w:t xml:space="preserve"> na podstawie badania US w Rzeszowie z pozycjami</w:t>
      </w:r>
      <w:r w:rsidRPr="006B7AF2">
        <w:t xml:space="preserve"> </w:t>
      </w:r>
      <w:r w:rsidR="006B7AF2" w:rsidRPr="006B7AF2">
        <w:t>z</w:t>
      </w:r>
      <w:r w:rsidRPr="006B7AF2">
        <w:t xml:space="preserve"> bilans</w:t>
      </w:r>
      <w:r w:rsidR="006B7AF2" w:rsidRPr="006B7AF2">
        <w:t>u</w:t>
      </w:r>
      <w:r w:rsidRPr="006B7AF2">
        <w:t xml:space="preserve"> płatnicz</w:t>
      </w:r>
      <w:r w:rsidR="006B7AF2" w:rsidRPr="006B7AF2">
        <w:t>ego odnoszącymi się do poziomu</w:t>
      </w:r>
      <w:r w:rsidRPr="006B7AF2">
        <w:t xml:space="preserve"> obrotów z tytułu podróży </w:t>
      </w:r>
      <w:r w:rsidR="006B7AF2" w:rsidRPr="006B7AF2">
        <w:t>oraz importu i eksport pasażerskich usług transportowych wg rodzajów (dane pozyskane bezpośrednio z NBP).</w:t>
      </w:r>
    </w:p>
    <w:p w14:paraId="34ACCAC3" w14:textId="7CEEC46F" w:rsidR="00D61F21" w:rsidRPr="00D61F21" w:rsidRDefault="0082648D" w:rsidP="00E118C5">
      <w:pPr>
        <w:pStyle w:val="tekst"/>
      </w:pPr>
      <w:r w:rsidRPr="00D61F21">
        <w:t xml:space="preserve">Szacując </w:t>
      </w:r>
      <w:r w:rsidR="00D61F21" w:rsidRPr="00D61F21">
        <w:t xml:space="preserve">na potrzeby RST </w:t>
      </w:r>
      <w:r w:rsidR="008D3914" w:rsidRPr="00D61F21">
        <w:t>liczb</w:t>
      </w:r>
      <w:r w:rsidRPr="00D61F21">
        <w:t>ę</w:t>
      </w:r>
      <w:r w:rsidR="008D3914" w:rsidRPr="00D61F21">
        <w:t xml:space="preserve"> i struktur</w:t>
      </w:r>
      <w:r w:rsidRPr="00D61F21">
        <w:t>ę</w:t>
      </w:r>
      <w:r w:rsidR="008D3914" w:rsidRPr="00D61F21">
        <w:t xml:space="preserve"> przyjazdów </w:t>
      </w:r>
      <w:r w:rsidR="00D61F21" w:rsidRPr="00D61F21">
        <w:t xml:space="preserve">zarówno </w:t>
      </w:r>
      <w:r w:rsidR="008D3914" w:rsidRPr="00D61F21">
        <w:t>turystów-nierezydentów</w:t>
      </w:r>
      <w:r w:rsidR="00D61F21" w:rsidRPr="00D61F21">
        <w:t>, jak i odwiedzających jednodniowych</w:t>
      </w:r>
      <w:r w:rsidR="008D3914" w:rsidRPr="00D61F21">
        <w:t xml:space="preserve"> </w:t>
      </w:r>
      <w:r w:rsidR="00D61F21" w:rsidRPr="00D61F21">
        <w:t xml:space="preserve">wykorzystano dane z badania US Rzeszów, natomiast </w:t>
      </w:r>
      <w:r w:rsidR="008D3914" w:rsidRPr="00D61F21">
        <w:t>pominię</w:t>
      </w:r>
      <w:r w:rsidR="00D61F21" w:rsidRPr="00D61F21">
        <w:t>to:</w:t>
      </w:r>
    </w:p>
    <w:p w14:paraId="330E4A23" w14:textId="77777777" w:rsidR="00D61F21" w:rsidRPr="00D61F21" w:rsidRDefault="008D3914" w:rsidP="00E118C5">
      <w:pPr>
        <w:pStyle w:val="bombki"/>
      </w:pPr>
      <w:r w:rsidRPr="00D61F21">
        <w:t>os</w:t>
      </w:r>
      <w:r w:rsidR="00D61F21" w:rsidRPr="00D61F21">
        <w:t>oby</w:t>
      </w:r>
      <w:r w:rsidRPr="00D61F21">
        <w:t xml:space="preserve"> deklarując</w:t>
      </w:r>
      <w:r w:rsidR="00D61F21" w:rsidRPr="00D61F21">
        <w:t>e</w:t>
      </w:r>
      <w:r w:rsidRPr="00D61F21">
        <w:t xml:space="preserve"> jako cel przyjazdu podjęcie dorywczej pracy</w:t>
      </w:r>
    </w:p>
    <w:p w14:paraId="71BD679D" w14:textId="77777777" w:rsidR="00D61F21" w:rsidRPr="00D61F21" w:rsidRDefault="00D61F21" w:rsidP="00E118C5">
      <w:pPr>
        <w:pStyle w:val="bombki"/>
      </w:pPr>
      <w:r w:rsidRPr="00D61F21">
        <w:t>osoby deklarujące</w:t>
      </w:r>
      <w:r w:rsidR="008D3914" w:rsidRPr="00D61F21">
        <w:t xml:space="preserve"> zakupy w celach handlowych. </w:t>
      </w:r>
    </w:p>
    <w:p w14:paraId="408B9188" w14:textId="0AFDF81A" w:rsidR="008D3914" w:rsidRPr="00A567AC" w:rsidRDefault="008D3914" w:rsidP="00E118C5">
      <w:pPr>
        <w:pStyle w:val="tekst"/>
      </w:pPr>
      <w:r w:rsidRPr="00B1660A">
        <w:t xml:space="preserve">Jeśli chodzi o podróże odwiedzających jednodniowych, ich liczbę i strukturę wg celu podróży, a także poziom wydatków jednostkowych (na 1 osobę) w podziale na produkty </w:t>
      </w:r>
      <w:r w:rsidRPr="00A567AC">
        <w:t>turystyczne, dane dla obydwu lat zosta</w:t>
      </w:r>
      <w:r w:rsidR="00B1660A" w:rsidRPr="00A567AC">
        <w:t>ły</w:t>
      </w:r>
      <w:r w:rsidRPr="00A567AC">
        <w:t xml:space="preserve"> pozyskane z badania US w Rzeszowie. Pojawia się tu problem regularnych wizyt nierezydentów na terenie obszarów przygranicznych w celu dokonywania zakupów. Na podstawie przeprowadzonych badań nie sposób </w:t>
      </w:r>
      <w:r w:rsidRPr="00A567AC">
        <w:lastRenderedPageBreak/>
        <w:t xml:space="preserve">jednoznacznie wyodrębnić te osoby ze zbiorowości nierezydentów – odwiedzających jednodniowych. Problem ten powtarzał się we wszystkich edycjach RST i dotychczas nie został rozwiązany; osoby przyjeżdżające </w:t>
      </w:r>
      <w:r w:rsidR="00E118C5">
        <w:t>„</w:t>
      </w:r>
      <w:r w:rsidRPr="00A567AC">
        <w:t>na handel</w:t>
      </w:r>
      <w:r w:rsidR="00E118C5">
        <w:t>”</w:t>
      </w:r>
      <w:r w:rsidRPr="00A567AC">
        <w:t xml:space="preserve"> odfiltrowywano w sposób pośredni, odejmując od ogólnej sumy wydatków te, które przeznaczono na zakupy w celu odsprzedania.</w:t>
      </w:r>
    </w:p>
    <w:p w14:paraId="455ADAFC" w14:textId="789300DC" w:rsidR="008D3914" w:rsidRPr="00A567AC" w:rsidRDefault="008D3914" w:rsidP="00E118C5">
      <w:pPr>
        <w:pStyle w:val="tekst"/>
      </w:pPr>
      <w:r w:rsidRPr="00A567AC">
        <w:t xml:space="preserve">Wykorzystując dostępne badania do oszacowania </w:t>
      </w:r>
      <w:r w:rsidR="00A567AC" w:rsidRPr="00A567AC">
        <w:t>w RST spożycia turystycznego nierezydentów</w:t>
      </w:r>
      <w:r w:rsidRPr="00A567AC">
        <w:t xml:space="preserve"> za lata 2018 i 2019 oraz dostosowując źródła danych do </w:t>
      </w:r>
      <w:r w:rsidR="00A567AC" w:rsidRPr="00A567AC">
        <w:t xml:space="preserve">przyjętej </w:t>
      </w:r>
      <w:r w:rsidRPr="00A567AC">
        <w:t>metodologii wyłącz</w:t>
      </w:r>
      <w:r w:rsidR="00A567AC" w:rsidRPr="00A567AC">
        <w:t>ono</w:t>
      </w:r>
      <w:r w:rsidRPr="00A567AC">
        <w:t xml:space="preserve"> z grupy wydatków na turystykę:</w:t>
      </w:r>
    </w:p>
    <w:p w14:paraId="72FEE6AF" w14:textId="77777777" w:rsidR="0016275A" w:rsidRPr="0016275A" w:rsidRDefault="0016275A" w:rsidP="00E118C5">
      <w:pPr>
        <w:pStyle w:val="bombki"/>
      </w:pPr>
      <w:r w:rsidRPr="0016275A">
        <w:t xml:space="preserve">wydatki na zakupy w celach handlowych, tj. w celu odsprzedania, niezależnie od ich wartości jednostkowej oraz niezależnie od kategorii odwiedzających, wydatki na zakupy w celach handlowych dokonywane w imieniu i na rzecz innych osób, a także wydatki na zakupy dokonywane przez osoby będące w podróży służbowej, czynione w imieniu i na rzecz pracodawców (np. zakupy zaopatrzeniowe dla firmy, inne zakupy dokonywane na zlecenie pracodawcy); </w:t>
      </w:r>
    </w:p>
    <w:p w14:paraId="37E4C41C" w14:textId="77777777" w:rsidR="0016275A" w:rsidRPr="0016275A" w:rsidRDefault="0016275A" w:rsidP="00E118C5">
      <w:pPr>
        <w:pStyle w:val="bombki"/>
      </w:pPr>
      <w:r w:rsidRPr="0016275A">
        <w:t>inwestycje i transakcje kapitałowe zawarte przez odwiedzających, takie jak zakup papierów wartościowych, ziemi, mieszkań, innych nieruchomości, nawet jeśli miałyby służyć celom turystycznym (np. mieszkania wakacyjne); wydatki związane z remontami domów wakacyjnych;</w:t>
      </w:r>
    </w:p>
    <w:p w14:paraId="5E442C61" w14:textId="77777777" w:rsidR="0016275A" w:rsidRPr="0016275A" w:rsidRDefault="0016275A" w:rsidP="00E118C5">
      <w:pPr>
        <w:pStyle w:val="bombki"/>
      </w:pPr>
      <w:r w:rsidRPr="0016275A">
        <w:t>pieniądze przekazywane krewnym lub znajomym w czasie podróży, nie będące opłatą za dobra lub usługi turystyczne, darowizny dla instytucji, wpłaty o charakterze dobroczynnym dla organizacji charytatywnych;</w:t>
      </w:r>
    </w:p>
    <w:p w14:paraId="786766A4" w14:textId="77777777" w:rsidR="0016275A" w:rsidRPr="0016275A" w:rsidRDefault="0016275A" w:rsidP="00E118C5">
      <w:pPr>
        <w:pStyle w:val="bombki"/>
      </w:pPr>
      <w:r w:rsidRPr="0016275A">
        <w:t>różnego rodzaju opłaty specjalne, cła oraz podatki, jeśli nie są częścią ceny płaconej za nabywane dobra i usługi; wypłaty odsetek, dywidend.</w:t>
      </w:r>
    </w:p>
    <w:p w14:paraId="2030F8E4" w14:textId="3A1E6CB9" w:rsidR="008D3914" w:rsidRPr="002F3FB1" w:rsidRDefault="002F3FB1" w:rsidP="00E118C5">
      <w:pPr>
        <w:pStyle w:val="tekst"/>
      </w:pPr>
      <w:r w:rsidRPr="002F3FB1">
        <w:t>Wykorzystując</w:t>
      </w:r>
      <w:r w:rsidR="008D3914" w:rsidRPr="002F3FB1">
        <w:t xml:space="preserve"> badania prowadzon</w:t>
      </w:r>
      <w:r w:rsidRPr="002F3FB1">
        <w:t>e</w:t>
      </w:r>
      <w:r w:rsidR="008D3914" w:rsidRPr="002F3FB1">
        <w:t xml:space="preserve"> wśród nierezydentów t</w:t>
      </w:r>
      <w:r w:rsidRPr="002F3FB1">
        <w:t>ę</w:t>
      </w:r>
      <w:r w:rsidR="008D3914" w:rsidRPr="002F3FB1">
        <w:t xml:space="preserve"> pierwsz</w:t>
      </w:r>
      <w:r w:rsidRPr="002F3FB1">
        <w:t>ą</w:t>
      </w:r>
      <w:r w:rsidR="008D3914" w:rsidRPr="002F3FB1">
        <w:t xml:space="preserve"> grup</w:t>
      </w:r>
      <w:r w:rsidRPr="002F3FB1">
        <w:t>ę</w:t>
      </w:r>
      <w:r w:rsidR="008D3914" w:rsidRPr="002F3FB1">
        <w:t xml:space="preserve"> wydatków wyłącz</w:t>
      </w:r>
      <w:r w:rsidRPr="002F3FB1">
        <w:t>ono</w:t>
      </w:r>
      <w:r w:rsidR="008D3914" w:rsidRPr="002F3FB1">
        <w:t xml:space="preserve"> zarówno za pomocą pytania o główne cele przyjazdu do Polski (odrzuc</w:t>
      </w:r>
      <w:r w:rsidRPr="002F3FB1">
        <w:t>ono</w:t>
      </w:r>
      <w:r w:rsidR="008D3914" w:rsidRPr="002F3FB1">
        <w:t xml:space="preserve"> cele handlowe), jak i o rodzajową strukturę wydatków (</w:t>
      </w:r>
      <w:r w:rsidRPr="002F3FB1">
        <w:t>pominięto</w:t>
      </w:r>
      <w:r w:rsidR="008D3914" w:rsidRPr="002F3FB1">
        <w:t xml:space="preserve"> zakupy na sprzedaż). </w:t>
      </w:r>
    </w:p>
    <w:p w14:paraId="7960C801" w14:textId="179BBFB7" w:rsidR="002F3FB1" w:rsidRPr="002F3FB1" w:rsidRDefault="002F3FB1" w:rsidP="00E118C5">
      <w:pPr>
        <w:pStyle w:val="tekst"/>
      </w:pPr>
      <w:r>
        <w:t>Począwszy od 2008 roku w</w:t>
      </w:r>
      <w:r w:rsidRPr="002F3FB1">
        <w:t xml:space="preserve"> metodologii RST oczekuje się odrębnego oszacowania wydatków na zakupy przedmiotów o dużej wartości i związanej z tym marży. Biorąc pod uwagę obecny stan badań źródłowych jest to zadanie bardzo trudne, wymagające odrębnego ujęcia w kwestionariuszu badawczym. Próba oszacowania tej pozycji spożycia turystycznego nierezydentów nie została podjęta. Nie jest też możliwe oszacowanie umownych czynszów związanych z korzystaniem z własnych domów</w:t>
      </w:r>
      <w:r>
        <w:t xml:space="preserve"> lub </w:t>
      </w:r>
      <w:r w:rsidRPr="002F3FB1">
        <w:t>mieszkań wakacyjnych przez nierezydentów ponieważ nie jest znana skala zjawiska posiadania przez nich tego typu nieruchomości.</w:t>
      </w:r>
    </w:p>
    <w:p w14:paraId="11C90B10" w14:textId="07EA44F3" w:rsidR="008D3914" w:rsidRPr="00843975" w:rsidRDefault="008D3914" w:rsidP="00E118C5">
      <w:pPr>
        <w:pStyle w:val="tekst"/>
      </w:pPr>
      <w:r w:rsidRPr="00843975">
        <w:t>Oszacowanie spożycia turystycznego nierezydentów</w:t>
      </w:r>
      <w:r w:rsidR="00843975" w:rsidRPr="00843975">
        <w:t xml:space="preserve"> w latach 2018 i 2019</w:t>
      </w:r>
      <w:r w:rsidRPr="00843975">
        <w:t xml:space="preserve"> pozwoli</w:t>
      </w:r>
      <w:r w:rsidR="00843975" w:rsidRPr="00843975">
        <w:t>ło</w:t>
      </w:r>
      <w:r w:rsidRPr="00843975">
        <w:t xml:space="preserve"> nie tylko na ustalenie poziomu spożycia ogółem, ale także na charakterystykę jego struktury według grup konsumentów, typów podróży i produktów (z wyodrębnieniem charakterystycznych produktów turystycznych, krajowych charakterystycznych produktów turystycznych, produktów związanych z turystyką i pozostałych). Jednym z elementów RST dla Polski w pełnej wersji jest również pokazanie struktury spożycia turystycznego nierezydentów wg krajów pochodzenia odwiedzających. </w:t>
      </w:r>
      <w:r w:rsidR="00843975" w:rsidRPr="00843975">
        <w:t>Warto podkreślić zachowanie podstawowych zasad metodologicznych, stosowanych w</w:t>
      </w:r>
      <w:r w:rsidRPr="00843975">
        <w:t xml:space="preserve">e wszystkich </w:t>
      </w:r>
      <w:r w:rsidR="00843975" w:rsidRPr="00843975">
        <w:t xml:space="preserve">dotychczasowych </w:t>
      </w:r>
      <w:r w:rsidRPr="00843975">
        <w:t>edycjach RST dla Polski</w:t>
      </w:r>
      <w:r w:rsidR="00843975" w:rsidRPr="00843975">
        <w:t xml:space="preserve">: </w:t>
      </w:r>
      <w:r w:rsidRPr="00843975">
        <w:t xml:space="preserve">przychody z tytułu przyjazdów turystów z danego kraju obliczane </w:t>
      </w:r>
      <w:r w:rsidR="00843975" w:rsidRPr="00843975">
        <w:t>są</w:t>
      </w:r>
      <w:r w:rsidRPr="00843975">
        <w:t xml:space="preserve"> przez pomnożenie przeciętnych wydatków na jedną osobę dla danego kraju przez liczbę przyjazdów z tego kraju uznanych za turystyczne</w:t>
      </w:r>
      <w:r w:rsidR="00843975" w:rsidRPr="00843975">
        <w:t xml:space="preserve"> i spełniających warunki przyjęte w metodologii (np. pominięcie wydatków na zakupy w celu odsprzedania, darowizn itp.)</w:t>
      </w:r>
      <w:r w:rsidRPr="00843975">
        <w:t xml:space="preserve">. Z kolei przychody z tytułu </w:t>
      </w:r>
      <w:r w:rsidR="00843975" w:rsidRPr="00843975">
        <w:t>podróży</w:t>
      </w:r>
      <w:r w:rsidRPr="00843975">
        <w:t xml:space="preserve"> </w:t>
      </w:r>
      <w:r w:rsidR="00843975" w:rsidRPr="00843975">
        <w:t xml:space="preserve">nierezydentów - </w:t>
      </w:r>
      <w:r w:rsidRPr="00843975">
        <w:t xml:space="preserve">odwiedzających jednodniowych z danego kraju obliczane są przez przemnożenie przeciętnych wydatków uznanych za turystyczne na jedną osobę dla danego kraju przez liczbę przyjazdów odwiedzających jednodniowych z tego kraju, uznane za turystyczne. Łączne wydatki podróżnych są obliczone oddzielnie dla każdego kraju, a następnie zsumowane. </w:t>
      </w:r>
    </w:p>
    <w:p w14:paraId="68BA1C2F" w14:textId="07352270" w:rsidR="008D3914" w:rsidRPr="00C3179E" w:rsidRDefault="008D3914" w:rsidP="00E118C5">
      <w:pPr>
        <w:pStyle w:val="tekst"/>
      </w:pPr>
      <w:r w:rsidRPr="00C3179E">
        <w:t xml:space="preserve">Jeśli chodzi o drugie główne źródło </w:t>
      </w:r>
      <w:r w:rsidR="00C3179E" w:rsidRPr="00C3179E">
        <w:t xml:space="preserve">szacowania spożycia turystycznego nierezydentów, a więc </w:t>
      </w:r>
      <w:r w:rsidRPr="00C3179E">
        <w:t>dan</w:t>
      </w:r>
      <w:r w:rsidR="00C3179E">
        <w:t>e</w:t>
      </w:r>
      <w:r w:rsidRPr="00C3179E">
        <w:t xml:space="preserve"> </w:t>
      </w:r>
      <w:r w:rsidR="00C3179E">
        <w:t>szacowane</w:t>
      </w:r>
      <w:r w:rsidR="00C3179E" w:rsidRPr="00C3179E">
        <w:t xml:space="preserve"> </w:t>
      </w:r>
      <w:r w:rsidR="00C3179E">
        <w:t>dla wypełnienia</w:t>
      </w:r>
      <w:r w:rsidRPr="00C3179E">
        <w:t xml:space="preserve"> tablicy 1 (a pośrednio także tablicy 4) – bilans płatniczy NBP – wykorzystywane są </w:t>
      </w:r>
      <w:r w:rsidR="00C3179E" w:rsidRPr="00C3179E">
        <w:t xml:space="preserve">zarówno </w:t>
      </w:r>
      <w:r w:rsidRPr="00C3179E">
        <w:lastRenderedPageBreak/>
        <w:t xml:space="preserve">informacje dotyczące </w:t>
      </w:r>
      <w:r w:rsidR="00C3179E" w:rsidRPr="00C3179E">
        <w:t>pozycji</w:t>
      </w:r>
      <w:r w:rsidR="00C3179E" w:rsidRPr="00C3179E">
        <w:rPr>
          <w:i/>
          <w:iCs/>
        </w:rPr>
        <w:t xml:space="preserve"> podróże</w:t>
      </w:r>
      <w:r w:rsidR="00C3179E" w:rsidRPr="00C3179E">
        <w:t xml:space="preserve">, jak i pozycji </w:t>
      </w:r>
      <w:r w:rsidR="00C3179E" w:rsidRPr="00C3179E">
        <w:rPr>
          <w:i/>
          <w:iCs/>
        </w:rPr>
        <w:t>usługi transportowe pasażerskie</w:t>
      </w:r>
      <w:r w:rsidRPr="00C3179E">
        <w:t xml:space="preserve">, a szczególnie </w:t>
      </w:r>
      <w:r w:rsidR="00C3179E" w:rsidRPr="00C3179E">
        <w:t xml:space="preserve">struktura w podziale na rodzaje transportu (transport lotniczy, morski, kolejowy i samochodowy) i </w:t>
      </w:r>
      <w:r w:rsidRPr="00C3179E">
        <w:t>dynamik</w:t>
      </w:r>
      <w:r w:rsidR="00C3179E" w:rsidRPr="00C3179E">
        <w:t>a</w:t>
      </w:r>
      <w:r w:rsidRPr="00C3179E">
        <w:t xml:space="preserve"> zmian.</w:t>
      </w:r>
    </w:p>
    <w:p w14:paraId="2011D8D2" w14:textId="3165C427" w:rsidR="00E85307" w:rsidRPr="006B7B0E" w:rsidRDefault="008D3914" w:rsidP="00E118C5">
      <w:pPr>
        <w:pStyle w:val="tekst"/>
      </w:pPr>
      <w:r w:rsidRPr="00C3179E">
        <w:t>Zgodnie z przyjętą metodologią, dane dotyczące strony popytowej RST</w:t>
      </w:r>
      <w:r w:rsidR="00F86F22">
        <w:t>, odnoszące się zarówno do spożycia turystycznego rezydentów, jak i ni</w:t>
      </w:r>
      <w:r w:rsidR="00AD68F7">
        <w:t>e</w:t>
      </w:r>
      <w:r w:rsidR="00F86F22">
        <w:t>rezydentów</w:t>
      </w:r>
      <w:r w:rsidRPr="00C3179E">
        <w:t xml:space="preserve"> powinny być opracowywane w wersji netto, tzn. po </w:t>
      </w:r>
      <w:proofErr w:type="spellStart"/>
      <w:r w:rsidRPr="00C3179E">
        <w:t>rozszacowaniu</w:t>
      </w:r>
      <w:proofErr w:type="spellEnd"/>
      <w:r w:rsidRPr="00C3179E">
        <w:t xml:space="preserve"> wartości usług cząstkowych zakupionych przez turystów w formie imprez. Źródłem informacji wykorzystanym do oszacowania struktury pakietów turystycznych, z których korzystali nierezydenci, </w:t>
      </w:r>
      <w:r w:rsidR="00C3179E" w:rsidRPr="00C3179E">
        <w:t>była</w:t>
      </w:r>
      <w:r w:rsidRPr="00C3179E">
        <w:t xml:space="preserve"> analiza cen, analiza badań </w:t>
      </w:r>
      <w:r w:rsidRPr="006B7B0E">
        <w:t>międzynarodowych, informacje z prasy branżowej, dane z rachunku podaży i wykorzystania produktów oraz sondaż przeprowadzony w biurach podróży świadczących usługi w zakresie zorganizowanej turystyki przyjazdowej nierezydentów. Celem sondaż</w:t>
      </w:r>
      <w:r w:rsidR="006B7B0E" w:rsidRPr="006B7B0E">
        <w:t>u</w:t>
      </w:r>
      <w:r w:rsidRPr="006B7B0E">
        <w:t xml:space="preserve"> b</w:t>
      </w:r>
      <w:r w:rsidR="006B7B0E" w:rsidRPr="006B7B0E">
        <w:t>yło</w:t>
      </w:r>
      <w:r w:rsidRPr="006B7B0E">
        <w:t xml:space="preserve"> ustalenie struktury przychodów biur podróży w podziale na uzyskaną marżę oraz koszty zakupu usług noclegowych, gastronomicznych, transportowych, usług rekreacyjnych i pozostałych (np. usługi pilotów i przewodników, ubezpieczenia).</w:t>
      </w:r>
      <w:r w:rsidR="00E85307" w:rsidRPr="006B7B0E">
        <w:t xml:space="preserve"> </w:t>
      </w:r>
    </w:p>
    <w:p w14:paraId="0404E585" w14:textId="05D12BE1" w:rsidR="00263734" w:rsidRPr="00263734" w:rsidRDefault="00E85307" w:rsidP="00E118C5">
      <w:pPr>
        <w:pStyle w:val="tekst"/>
        <w:rPr>
          <w:color w:val="FF0000"/>
        </w:rPr>
      </w:pPr>
      <w:r>
        <w:t>Szacując spożycie turystyczne nierezydentów trzeba p</w:t>
      </w:r>
      <w:r w:rsidRPr="00E85307">
        <w:t>amięta</w:t>
      </w:r>
      <w:r>
        <w:t xml:space="preserve">ć również </w:t>
      </w:r>
      <w:r w:rsidRPr="00E85307">
        <w:t>o tym, że w pojęciu</w:t>
      </w:r>
      <w:r w:rsidR="00C3179E" w:rsidRPr="00E85307">
        <w:t xml:space="preserve"> </w:t>
      </w:r>
      <w:r w:rsidRPr="00E85307">
        <w:rPr>
          <w:iCs/>
        </w:rPr>
        <w:t xml:space="preserve">tym </w:t>
      </w:r>
      <w:r w:rsidRPr="00E85307">
        <w:t>zawarte są nie tylko wydatki pieniężne na dobra i usługi nabywane w związku z podróżą turystyczną, ponoszone przez turystów i odwiedzających jednodniowych</w:t>
      </w:r>
      <w:r>
        <w:t xml:space="preserve"> (lub w ich imieniu)</w:t>
      </w:r>
      <w:r w:rsidRPr="00E85307">
        <w:t xml:space="preserve">, szczegółowo wyspecyfikowane w pojęciu wydatku turystycznego, ale także szereg innych pozycji, np. wartość spożycia związanego z korzystaniem z własnych domów/mieszkań wakacyjnych oraz różnorodne świadczenia w naturze, </w:t>
      </w:r>
      <w:r>
        <w:t>dostępne</w:t>
      </w:r>
      <w:r w:rsidRPr="00E85307">
        <w:t xml:space="preserve"> również </w:t>
      </w:r>
      <w:r>
        <w:t xml:space="preserve">dla </w:t>
      </w:r>
      <w:r w:rsidRPr="00E85307">
        <w:t>nierezyden</w:t>
      </w:r>
      <w:r>
        <w:t>tów</w:t>
      </w:r>
      <w:r w:rsidRPr="00E85307">
        <w:t xml:space="preserve"> (np. usługi informacji turystycznej, różne usługi świadczone bezpłatnie, z których korzystają również cudzoziemcy, np. publiczne koncerty).</w:t>
      </w:r>
      <w:r>
        <w:t xml:space="preserve"> Pozycje te nie zostały oszacowane.</w:t>
      </w:r>
      <w:r w:rsidRPr="00E85307">
        <w:t xml:space="preserve"> </w:t>
      </w:r>
    </w:p>
    <w:p w14:paraId="28575897" w14:textId="558757BD" w:rsidR="00C501D7" w:rsidRPr="00C501D7" w:rsidRDefault="00C501D7" w:rsidP="00E118C5">
      <w:pPr>
        <w:pStyle w:val="tekst"/>
      </w:pPr>
      <w:bookmarkStart w:id="35" w:name="_Toc486565765"/>
      <w:r w:rsidRPr="00C501D7">
        <w:t>Reasumując, mimo luk w dostępnych materiałach dołożono wszelkich starań, aby wy</w:t>
      </w:r>
      <w:r w:rsidRPr="00C501D7">
        <w:softHyphen/>
        <w:t>ko</w:t>
      </w:r>
      <w:r w:rsidRPr="00C501D7">
        <w:softHyphen/>
        <w:t>rzys</w:t>
      </w:r>
      <w:r w:rsidRPr="00C501D7">
        <w:softHyphen/>
        <w:t>tane dane do oszacowania RST dla lat 2018 i 2019</w:t>
      </w:r>
      <w:r w:rsidR="009B3416">
        <w:t xml:space="preserve"> </w:t>
      </w:r>
      <w:r w:rsidRPr="00C501D7">
        <w:t>były zgodne z zaleceniami metodo</w:t>
      </w:r>
      <w:r w:rsidRPr="00C501D7">
        <w:softHyphen/>
        <w:t>logicznymi. Dostępne dane w zakresie spożycia turystycznego nie pozwoliły jednak na osią</w:t>
      </w:r>
      <w:r w:rsidRPr="00C501D7">
        <w:softHyphen/>
        <w:t>gnięcie pożądanego stopnia szczegółowości w zakresie struktury spożycia. Z tego po</w:t>
      </w:r>
      <w:r w:rsidRPr="00C501D7">
        <w:softHyphen/>
        <w:t>wo</w:t>
      </w:r>
      <w:r w:rsidRPr="00C501D7">
        <w:softHyphen/>
      </w:r>
      <w:r w:rsidRPr="00C501D7">
        <w:softHyphen/>
        <w:t>du konieczna była agregacja niektórych pozycji – dotyczy to m.in. usług gastronomicznych, kul</w:t>
      </w:r>
      <w:r w:rsidRPr="00C501D7">
        <w:softHyphen/>
        <w:t>tu</w:t>
      </w:r>
      <w:r w:rsidRPr="00C501D7">
        <w:softHyphen/>
        <w:t>ral</w:t>
      </w:r>
      <w:r w:rsidRPr="00C501D7">
        <w:softHyphen/>
      </w:r>
      <w:r w:rsidRPr="00C501D7">
        <w:softHyphen/>
        <w:t>no-rekreacyjnych oraz niektórych usług transportowych. Dostępne źródła informacji nie po</w:t>
      </w:r>
      <w:r w:rsidRPr="00C501D7">
        <w:softHyphen/>
        <w:t>z</w:t>
      </w:r>
      <w:r w:rsidRPr="00C501D7">
        <w:softHyphen/>
      </w:r>
      <w:r w:rsidRPr="00C501D7">
        <w:softHyphen/>
        <w:t>woliły ponadto na określenie pełnych rozmiarów spożycia związanego z usługami uzdrowiskowymi świadczonymi nierezydentom: wielkość podana w RST dotyczy wyłącznie usług zakupionych z dochodów oso</w:t>
      </w:r>
      <w:r w:rsidRPr="00C501D7">
        <w:softHyphen/>
        <w:t>bi</w:t>
      </w:r>
      <w:r w:rsidRPr="00C501D7">
        <w:softHyphen/>
        <w:t>s</w:t>
      </w:r>
      <w:r w:rsidRPr="00C501D7">
        <w:softHyphen/>
      </w:r>
      <w:r w:rsidRPr="00C501D7">
        <w:softHyphen/>
        <w:t xml:space="preserve">tych turystów, a więc bez usług opłaconych przez kasy chorych. Niemożliwe okazało się też ustalenie pełnych rozmiarów zjawiska wynajmowania samochodów osobowych bez kierowcy przez odwiedzających nierezydentów, podobnie jak w przypadku rezydentów. </w:t>
      </w:r>
    </w:p>
    <w:p w14:paraId="1878D440" w14:textId="5AAD9922" w:rsidR="00263734" w:rsidRPr="0000091C" w:rsidRDefault="00263734" w:rsidP="00E118C5">
      <w:pPr>
        <w:pStyle w:val="Nagwek2"/>
      </w:pPr>
      <w:bookmarkStart w:id="36" w:name="_Toc115441445"/>
      <w:r w:rsidRPr="0000091C">
        <w:t>1.3. Podaż turystyczna i pracujący</w:t>
      </w:r>
      <w:bookmarkEnd w:id="35"/>
      <w:bookmarkEnd w:id="36"/>
    </w:p>
    <w:p w14:paraId="5541DC21" w14:textId="77777777" w:rsidR="00C501D7" w:rsidRPr="00C501D7" w:rsidRDefault="00C501D7" w:rsidP="00E118C5">
      <w:pPr>
        <w:pStyle w:val="tekst"/>
      </w:pPr>
      <w:bookmarkStart w:id="37" w:name="_Toc486565766"/>
      <w:r w:rsidRPr="00C501D7">
        <w:t>Dane dotyczące produkcji i podaży wykorzystane w RST za 2018 i 2019 r. pochodzą z różnych źródeł i częściowo opierają się na szacunkach. Najważniejsze z tych źródeł to:</w:t>
      </w:r>
    </w:p>
    <w:p w14:paraId="5AA6BBCC" w14:textId="77777777" w:rsidR="00C501D7" w:rsidRPr="00C501D7" w:rsidRDefault="00C501D7" w:rsidP="004840F9">
      <w:pPr>
        <w:pStyle w:val="bombki"/>
        <w:numPr>
          <w:ilvl w:val="0"/>
          <w:numId w:val="31"/>
        </w:numPr>
      </w:pPr>
      <w:r w:rsidRPr="00C501D7">
        <w:t>rachunki narodowe; dane wykorzystane w RST są częściowo publikowane bezpośrednio przez GUS, a częściowo dostępne w anglojęzycznej wersji bazy danych EUROSTAT;</w:t>
      </w:r>
    </w:p>
    <w:p w14:paraId="497F6AD5" w14:textId="77777777" w:rsidR="00C501D7" w:rsidRPr="00C501D7" w:rsidRDefault="00C501D7" w:rsidP="004840F9">
      <w:pPr>
        <w:pStyle w:val="bombki"/>
        <w:numPr>
          <w:ilvl w:val="0"/>
          <w:numId w:val="31"/>
        </w:numPr>
      </w:pPr>
      <w:r w:rsidRPr="00C501D7">
        <w:t>strukturalna statystyka przedsiębiorstw w części dotyczącej usług i handlu dostępna w anglojęzycznej wersji bazy danych EUROSTAT;</w:t>
      </w:r>
    </w:p>
    <w:p w14:paraId="38325288" w14:textId="77777777" w:rsidR="00C501D7" w:rsidRPr="00C501D7" w:rsidRDefault="00C501D7" w:rsidP="004840F9">
      <w:pPr>
        <w:pStyle w:val="bombki"/>
        <w:numPr>
          <w:ilvl w:val="0"/>
          <w:numId w:val="31"/>
        </w:numPr>
      </w:pPr>
      <w:r w:rsidRPr="00C501D7">
        <w:t>raporty GUS dotyczące działalności transportowej oraz publikacje prasowe na temat wyników przedsiębiorstwa PLL LOT.</w:t>
      </w:r>
    </w:p>
    <w:p w14:paraId="7D950D7C" w14:textId="77777777" w:rsidR="00C501D7" w:rsidRPr="00C501D7" w:rsidRDefault="00C501D7" w:rsidP="004840F9">
      <w:pPr>
        <w:pStyle w:val="tekst"/>
      </w:pPr>
      <w:r w:rsidRPr="00C501D7">
        <w:t xml:space="preserve">Podstawowym założeniem metodologii RST jest wpisanie turystyki w system rachunków narodowych, w związku z czym wszędzie, gdzie było to możliwe wykorzystano dane pochodzące z tych rachunków. W odniesieniu do 2018 r. podstawowym źródłem był rachunek podaży i wykorzystania wyrobów i usług w 2018 r., a w odniesieniu do 2019 r. dane z bazy EUROSTAT. Dane dla 2018 r. obejmują wszystkie agregaty makroekonomiczne dla Polski oraz rozmieszczenie produkcji poszczególnych produktów, wielkość ich podaży oraz wyniki ekonomiczne przedsiębiorstw wg dominującego rodzaju działalności. Zakres danych dostępnych w tym rachunku nie jest jednak w pełni zharmonizowany z zakresem RST. Po pierwsze, rachunek podaży i wykorzystania sporządzany jest dla </w:t>
      </w:r>
      <w:r w:rsidRPr="00C501D7">
        <w:lastRenderedPageBreak/>
        <w:t>rodzajów działalności zagregowanych na poziomie działów (2-cyfrowe oznaczenia rodzaju działalności), podczas gdy niektóre rodzaje działalności turystycznej klasyfikowane są na poziomie grup (3-cyfrowe oznaczenia) lub klas (oznaczenia 4-cyfrowe). W związku z tym w odniesieniu do tych rodzajów działalności wykorzystano dane ze strukturalnej statystyki przedsiębiorstw, dostępnej w bazie EUROSTAT. Po drugie, ze względu na tajemnicę statystyczną wyniki niektórych rodzajów działalności nie są ujawniane. Dotyczy to m.in. transportu lotniczego, który jest jednym z najważniejszych składników podaży turystycznej. W rachunku podaży i wykorzystania wyniki transportu lotniczego podawane są łącznie z wynikami transportu wodnego, nie są też dostępne w bazie EUROSTAT. Ze względu na znaczenie usług transportowych w RST zamieszczono szacunkowe wyniki pasażerskiego transportu lotniczego i wodnego. Podstawą szacunku były opublikowane dane na temat wielkości produkcji globalnej poszczególnych rodzajów transportu pasażerskiego, wspomniane połączone dane na temat transportu lotniczego i wodnego, które powiązano z danymi na temat tego ostatniego dostępnymi w bazie EUROSTAT oraz relacje medialne dotyczące wyników PLL LOT będącego podmiotem dominującym na polskim rynku.</w:t>
      </w:r>
    </w:p>
    <w:p w14:paraId="7BF7AE4F" w14:textId="77777777" w:rsidR="00C501D7" w:rsidRPr="00C501D7" w:rsidRDefault="00C501D7" w:rsidP="004840F9">
      <w:pPr>
        <w:pStyle w:val="tekst"/>
      </w:pPr>
      <w:r w:rsidRPr="00C501D7">
        <w:t xml:space="preserve">W odniesieniu do 2019 r. dostępność danych z rachunków narodowych była bardziej ograniczona niż w przypadku 2018 r. Niemniej wszystkie wykorzystane w RST agregaty makroekonomiczne pochodzą z odpowiedniej bazy danych EUROSTAT. Jeśli chodzi o wyniki poszczególnych rodzajów działalności, to poziom agregacji danych dla 2019 r. w tej bazie jest większy niż w rachunku podaży i wykorzystania wyrobów i usług. W zakresie turystycznych rodzajów działalności dostępne były zagregowane wyniki dla sekcji I obejmującej zakwaterowanie i gastronomię oraz dla działu 93. Pozostałe dane dotyczące produkcji i wyników poszczególnych rodzajów działalności pochodzą ze strukturalnej statystyki przedsiębiorstw w bazie EUROSTAT. Wyjątkiem jest dział 93, który nie jest objęty tą statystyką, i którego wyniki w związku z tym oszacowano na podstawie udostępnionych przez GUS wyników obejmujących podmioty o liczbie pracujących większej niż 9 osób. Wymienione źródła danych nie zawierają informacji o wielkości podaży poszczególnych usług, dlatego oszacowano ją przyjmując jako podstawę dane o podaży z rachunku podaży i wykorzystania wyrobów i usług w 2018 r. skorygowane o stopę zmian wielkości produkcji w rodzajach działalności podstawowych dla danego rodzaju usług. </w:t>
      </w:r>
    </w:p>
    <w:p w14:paraId="67E70422" w14:textId="13968E98" w:rsidR="00C501D7" w:rsidRPr="00C501D7" w:rsidRDefault="00C501D7" w:rsidP="004840F9">
      <w:pPr>
        <w:pStyle w:val="tekst"/>
      </w:pPr>
      <w:r w:rsidRPr="00C501D7">
        <w:t>W RST wielkość podaży podawana jest w dwóch ujęciach: w cenach bazowych (producenta) i cenach nabywcy czyli w przypadku usług z uwzględnieniem podatków pośrednich netto. Ich efektywna stopa dla poszczególnych usług w</w:t>
      </w:r>
      <w:r w:rsidR="009B3416">
        <w:t xml:space="preserve"> </w:t>
      </w:r>
      <w:r w:rsidRPr="00C501D7">
        <w:t>2018 i 2019 r. została ustalona w oparciu o odpowiednie dane z rachunku podaży i wykorzystania wyrobów i usług oraz przepisy podatkowe.</w:t>
      </w:r>
    </w:p>
    <w:p w14:paraId="24967ADF" w14:textId="369F5DEA" w:rsidR="00C501D7" w:rsidRPr="00C501D7" w:rsidRDefault="00C501D7" w:rsidP="004840F9">
      <w:pPr>
        <w:pStyle w:val="tekst"/>
      </w:pPr>
      <w:r w:rsidRPr="00C501D7">
        <w:t>Analiza danych pochodzących z przedstawionych źródeł wykazała, że niekiedy</w:t>
      </w:r>
      <w:r w:rsidR="009B3416">
        <w:t xml:space="preserve"> </w:t>
      </w:r>
      <w:r w:rsidRPr="00C501D7">
        <w:t xml:space="preserve">występują między nimi znaczne rozbieżności. W związku z tym, w tablicach 5 i 6 zaznaczono, które dane pochodzą z rachunków narodowych, a które oszacowano na podstawie danych ze strukturalnej statystyki przedsiębiorstw lub innych źródeł. </w:t>
      </w:r>
    </w:p>
    <w:p w14:paraId="30D6202C" w14:textId="77777777" w:rsidR="00C501D7" w:rsidRPr="00C501D7" w:rsidRDefault="00C501D7" w:rsidP="004840F9">
      <w:pPr>
        <w:pStyle w:val="tekst"/>
      </w:pPr>
      <w:r w:rsidRPr="00C501D7">
        <w:t>Źródłem trudności przy zestawianiu danych o stronie podażowej RST jest pewna niespójność między zaleceniami metodologii a rozwiązaniami przyjętymi w klasyfikacji działalności i produktów w UE, w tym także w Polsce. Dotyczy to tzw. drugich domów, wynajmu samochodów bez kierowcy, czy usług uzdrowiskowych, które nie są odrębnymi jednostkami klasyfikacyjnymi, a stanowią część działalności nie związanej z turystyką. Zgodnie z założeniami rachunków narodowych w odniesieniu do własnych mieszkań, domów produkcja w dziale dotyczącym nieruchomości naliczana jest jako szacunkowy czynsz. Podobna praktyka powinna być zastosowana w RST w odniesieniu do drugich domów, jednak w porównaniu z całą pulą nieruchomości wspomniane drugie domy stanowią niewielki ułamek i nie są wyodrębnione jako odrębna klasa. Włączenie do RST całej kwoty czynszów umownych poważnie zniekształciłoby obraz produkcji branż turystycznych, zatem zastosowano podejście popytowe, tj. do rachunku produkcji włączono wielkość produkcji (czynszów umownych) związanych ze zidentyfikowanymi zasobami tego rodzaju nieruchomości w Polsce. Osobnym zagadnieniem jest brak satysfakcjonujących danych na temat skali tego zjawiska, szczególnie w odniesieniu do obiektów w posiadaniu nierezydentów oraz niemożność uwzględnienia częściowej własności nieruchomości, również ze względu na brak danych.</w:t>
      </w:r>
    </w:p>
    <w:p w14:paraId="1E43A58C" w14:textId="025768D5" w:rsidR="00C501D7" w:rsidRPr="00C501D7" w:rsidRDefault="00C501D7" w:rsidP="004840F9">
      <w:pPr>
        <w:pStyle w:val="tekst"/>
      </w:pPr>
      <w:r w:rsidRPr="00C501D7">
        <w:t xml:space="preserve">Podobne podejście (tj. włączenie do RST jako produkcji zidentyfikowanego spożycia), z tych samych przyczyn, zastosowano w odniesieniu do usług uzdrowiskowych, które również nie stanowią odrębnej klasy i mogą być </w:t>
      </w:r>
      <w:r w:rsidRPr="00C501D7">
        <w:lastRenderedPageBreak/>
        <w:t>częścią produkcji szpitali, praktyki lekarzy lub fizjoterapeutów.</w:t>
      </w:r>
      <w:r w:rsidR="009B3416">
        <w:t xml:space="preserve"> </w:t>
      </w:r>
      <w:r w:rsidRPr="00C501D7">
        <w:t>Problematyczne jest także pełne uwzględnianie po stronie produkcji turystycznej (77.11) usług wynajmu samochodów osobowych i furgonetek, który obecnie zdominowany jest przez wynajem długoterminowy, nieturystyczny, brak natomiast informacji zarówno podażowej, jak i popytowej o skali wynajmu turystycznego, o którym wiadomo, że jest w Polsce coraz popularniejszy.</w:t>
      </w:r>
    </w:p>
    <w:p w14:paraId="475EFDA9" w14:textId="77777777" w:rsidR="00C501D7" w:rsidRPr="00C501D7" w:rsidRDefault="00C501D7" w:rsidP="004840F9">
      <w:pPr>
        <w:pStyle w:val="tekst"/>
      </w:pPr>
      <w:r w:rsidRPr="00C501D7">
        <w:t>Administracyjne źródła danych zostały wykorzystano do oszacowania wartości usług lotniskowych związanych z przewozami pasażerskimi. W tym celu skorzystano z danych publikowanych przez Urząd Lotnictwa Cywilnego o ruchu pasażerskim na lotniskach i wysokości opłat lotniskowych.</w:t>
      </w:r>
    </w:p>
    <w:p w14:paraId="110B2172" w14:textId="77777777" w:rsidR="00C501D7" w:rsidRPr="00C501D7" w:rsidRDefault="00C501D7" w:rsidP="004840F9">
      <w:pPr>
        <w:pStyle w:val="tekst"/>
      </w:pPr>
      <w:r w:rsidRPr="00C501D7">
        <w:t xml:space="preserve">Ze względu na zalecany w metodologii RST sposób ujmowania produkcji globalnej organizatorów i pośredników turystycznych w wersji netto konieczna była modyfikacja wielkości produkcji globalnej i zużycia pośredniego w odniesieniu do tego rodzaju działalności, a w konsekwencji także odpowiednich wielkości dla całej gospodarki. </w:t>
      </w:r>
    </w:p>
    <w:p w14:paraId="18C7ADA2" w14:textId="77777777" w:rsidR="00C501D7" w:rsidRPr="00C501D7" w:rsidRDefault="00C501D7" w:rsidP="004840F9">
      <w:pPr>
        <w:pStyle w:val="tekst"/>
      </w:pPr>
      <w:r w:rsidRPr="00C501D7">
        <w:t xml:space="preserve">Uwzględnione w RST informacje dotyczące pracujących odnoszą się tylko do charakterystycznych rodzajów działalności turystycznej. Wykorzystane dane pochodzą zasadniczo ze sprawozdań dotyczących działalności gospodarczej jednostek należących do poszczególnych sektorów instytucjonalnych; zostały one pozyskane z GUS na podstawie rocznego sprawozdania o pracujących, wynagrodzeniach i czasie pracy (formularz Z-06), składanego przez podmioty o liczbie pracujących 10 i więcej osób oraz jednostki sfery budżetowej niezależnie od liczby pracujących. Uzupełnieniem tych danych były informacje z bazy statystyki strukturalnej przedsiębiorstw EUROSTAT, co w większości przypadków pozwoliło uzyskać informacje o pracujących w mikroprzedsiębiorstwach. W odniesieniu do rodzajów działalności nie uwzględnionych w wymienionej bazie (działy 91 i 93) w RST zamieszczono szacunkowe informacje pochodzące z rejestru REGON. </w:t>
      </w:r>
    </w:p>
    <w:p w14:paraId="3F5CD713" w14:textId="77777777" w:rsidR="00C501D7" w:rsidRPr="00C501D7" w:rsidRDefault="00C501D7" w:rsidP="004840F9">
      <w:pPr>
        <w:pStyle w:val="tekst"/>
      </w:pPr>
      <w:r w:rsidRPr="00C501D7">
        <w:t xml:space="preserve">W przypadku Polski problemem jest nieuwzględnianie sezonowości zatrudnienia, niestety GUS nie dostarcza danych sezonowych do bazy RUROSTAT. </w:t>
      </w:r>
    </w:p>
    <w:p w14:paraId="67B3C8B8" w14:textId="77777777" w:rsidR="00C501D7" w:rsidRPr="00C501D7" w:rsidRDefault="00C501D7" w:rsidP="004840F9">
      <w:pPr>
        <w:pStyle w:val="tekst"/>
      </w:pPr>
      <w:r w:rsidRPr="00C501D7">
        <w:t>W RST za lata 2018 i 2019 zamieszczono dane dotyczące liczby pracujących w podziale na samozatrudnionych i zatrudnionych oraz w przeliczeniu na pełne etaty. Uzupełnieniem tych informacji są dane o miesięcznych wynagrodzeniach zatrudnionych w charakterystycznych rodzajach działalności turystycznej. Obejmują one charakterystyczne turystyczne rodzaje działalności objęte strukturalną statystyką przedsiębiorstw. W odniesieniu do pozostałych rodzajów działalności i podziału na kobiety i mężczyzn wykorzystano dane zakupione w GUS. Brak danych na temat liczby przepracowanych godzin, ponieważ nie są dostępne. Agregat dotyczący zatrudnienia w turystyce podano w dwóch wersjach: jako sumę pełnej liczby pracujących w charakterystycznych turystycznych rodzajach działalności i po skorygowaniu tej liczby w odniesieniu do tych rodzajów działalności, w których udział produkcji na rzecz odwiedzających jest najmniejszy. Dodatkowo część analityczną RST uzupełniono o informacje dotyczące produktywności i wynagrodzeń w wybranych rodzajach działalności.</w:t>
      </w:r>
    </w:p>
    <w:p w14:paraId="353A50A8" w14:textId="3A0A82FC" w:rsidR="00263734" w:rsidRPr="004678FD" w:rsidRDefault="00263734" w:rsidP="004840F9">
      <w:pPr>
        <w:pStyle w:val="Nagwek2"/>
      </w:pPr>
      <w:bookmarkStart w:id="38" w:name="_Toc115441446"/>
      <w:r w:rsidRPr="004678FD">
        <w:t>1.4. Inwestycje i środki trwałe</w:t>
      </w:r>
      <w:bookmarkEnd w:id="37"/>
      <w:bookmarkEnd w:id="38"/>
      <w:r w:rsidRPr="004678FD">
        <w:t xml:space="preserve"> </w:t>
      </w:r>
    </w:p>
    <w:p w14:paraId="718CD3DB" w14:textId="371AE6CC" w:rsidR="004678FD" w:rsidRPr="004678FD" w:rsidRDefault="004678FD" w:rsidP="004840F9">
      <w:pPr>
        <w:pStyle w:val="tekst"/>
      </w:pPr>
      <w:r w:rsidRPr="004678FD">
        <w:t xml:space="preserve">Nakłady inwestycyjne i wartość netto środków trwałych opracowano według zasad metodologicznych stosowanych na potrzeby rachunków narodowych, zgodnych z zaleceniami Eurostatu. P. </w:t>
      </w:r>
      <w:proofErr w:type="spellStart"/>
      <w:r w:rsidRPr="004678FD">
        <w:t>Figini</w:t>
      </w:r>
      <w:proofErr w:type="spellEnd"/>
      <w:r w:rsidRPr="004678FD">
        <w:t xml:space="preserve"> i R. </w:t>
      </w:r>
      <w:proofErr w:type="spellStart"/>
      <w:r w:rsidRPr="004678FD">
        <w:t>Patuelli</w:t>
      </w:r>
      <w:proofErr w:type="spellEnd"/>
      <w:r w:rsidRPr="004678FD">
        <w:t xml:space="preserve"> wskazują na m.in. następujące produkty, które są raportowane w Rachunku Satelitarnym Turystyki: zakwaterowanie, transport pasażerski (kolejowy, wodny, czy powietrzny), gastronomia, usługi wspierające transport, utrzymanie infrastruktury transportowej, biura podróży, usługi kulturalne, czy też usługi związane z rekreacją i rozrywką.</w:t>
      </w:r>
      <w:r w:rsidR="009B3416">
        <w:t xml:space="preserve"> </w:t>
      </w:r>
      <w:r w:rsidRPr="004678FD">
        <w:t>W sposób szczególny uwagę należy zwrócić na składowe związane z infrastrukturą, bez niej nawet destynacja charakteryzująca się wysok</w:t>
      </w:r>
      <w:r w:rsidR="00896DCB">
        <w:t>ą</w:t>
      </w:r>
      <w:r w:rsidRPr="004678FD">
        <w:t xml:space="preserve"> atrakcyjnością nie będzie miała szans na masowy rozwój turystyki. Lista powyższa w sposób jednoznaczny nawiązuje do szeroko rozumianego produktu turystycznego. Jest on rozumiany jako swoista całość złożona z wielu elementów determinujących atrakcyjność miejsca dla turysty/konsumenta oraz infrastrukturę przez niego wykorzystywaną. </w:t>
      </w:r>
    </w:p>
    <w:p w14:paraId="42A87C5C" w14:textId="77777777" w:rsidR="004678FD" w:rsidRPr="004678FD" w:rsidRDefault="004678FD" w:rsidP="004840F9">
      <w:pPr>
        <w:pStyle w:val="tekst"/>
      </w:pPr>
      <w:r w:rsidRPr="004678FD">
        <w:t xml:space="preserve">Zgodnie z omawianą klasyfikacją ofertę uzupełniającą tworzą: m.in. komunikacja, sieć noclegowa czy gastronomiczna oraz inne usługi wykorzystywane przez turystów (część z nich jest też czasami wykorzystywana przez mieszkańców). Są to te wszystkie usługi, które muszą być świadczone, aby udostępnić turyście elementy oferty </w:t>
      </w:r>
      <w:r w:rsidRPr="004678FD">
        <w:lastRenderedPageBreak/>
        <w:t>podstawowej. To właśnie ta sfera w znacznej mierze decyduje o kosztach pobytu, zadowoleniu i satysfakcji turysty , a przede wszystkim o jakości produktu danej destynacji, a jej zróżnicowanie wskazuje jak złożony i wewnętrznie rozdrobniony jest to produkt. Właśnie ten fakt stanowi najsilniejszą specyfikę produktu turystycznego regionu. W sposób znamienny przekłada się on na możliwości skutecznego zarządzania produktem destynacji, działalność ta w sytuacji optymalnej powinna być prowadzona zgodnie przez podmioty współtworzące dany produkt. Jeśli destynację stanowi kraj liczba tych podmiotów jest szczególnie duża.</w:t>
      </w:r>
    </w:p>
    <w:p w14:paraId="54B79C61" w14:textId="77777777" w:rsidR="004678FD" w:rsidRPr="004678FD" w:rsidRDefault="004678FD" w:rsidP="004840F9">
      <w:pPr>
        <w:pStyle w:val="tekst"/>
      </w:pPr>
      <w:r w:rsidRPr="004678FD">
        <w:t>Na produkt turystyczny składają się nie tylko produkty indywidualne, które są konsumowane przez turystów w trakcie ich wyjazdu. Podejście powyższe ma swoje konsekwencje dla analizy inwestycji turystycznych, ułatwiając ich zdefiniowanie. Wskazuje, że należy do nich zaliczyć szeroko rozumiane inwestycje w rozwój atrakcji turystycznych, jak również szeregu pojedynczych produktów, składających się na produkt destynacji turystycznej, w tym również kraju. Otwartym jednak zostaje pytanie, które nakłady zaliczać do inwestycji turystycznych. O ile wątpliwości nie wzbudza budowa hotelu to już dyskusyjna może być budowa nowej restauracji w dużym mieście, dedykowanej jego mieszkańcom, czy też drogi dojazdowej do destynacji, która jest wykorzystywana również przez mieszkańców danej miejscowości</w:t>
      </w:r>
    </w:p>
    <w:p w14:paraId="22F70F9B" w14:textId="6C89CA37" w:rsidR="004678FD" w:rsidRPr="004678FD" w:rsidRDefault="004678FD" w:rsidP="004840F9">
      <w:pPr>
        <w:pStyle w:val="tekst"/>
      </w:pPr>
      <w:r w:rsidRPr="004678FD">
        <w:t>Pojęcie inwestycji w stosunkowo prosty sposób można zdefiniować jako wszelki nakład poniesiony na podtrzymanie, stworzenie lub zwiększenie posiadanego majątku.</w:t>
      </w:r>
      <w:r w:rsidR="009B3416">
        <w:t xml:space="preserve"> </w:t>
      </w:r>
      <w:r w:rsidRPr="004678FD">
        <w:t>W bardzo podobny sposób pojęcie to określa encyklopedia PWN wskazując, że jest to „nakład dokonywany w celu stworzenia lub zwiększenia środków trwałych, które przyczyniają się do wytworzenia dla przyszłego spożycia strumienia dóbr i usług”.</w:t>
      </w:r>
      <w:r w:rsidR="009B3416">
        <w:t xml:space="preserve"> </w:t>
      </w:r>
      <w:r w:rsidRPr="004678FD">
        <w:t>Zgodnie z powyższym inwestycje wiążą się ze zmianą wartości środków trwałych.</w:t>
      </w:r>
    </w:p>
    <w:p w14:paraId="7B1E6307" w14:textId="3DADA6B9" w:rsidR="004678FD" w:rsidRPr="004678FD" w:rsidRDefault="004678FD" w:rsidP="004840F9">
      <w:pPr>
        <w:pStyle w:val="tekst"/>
      </w:pPr>
      <w:r w:rsidRPr="004678FD">
        <w:t>Z kolei rekomendacjach metodologicznych dla tworzenia rachunku satelitarnego turystyki</w:t>
      </w:r>
      <w:r w:rsidR="009B3416">
        <w:t xml:space="preserve"> </w:t>
      </w:r>
      <w:r w:rsidRPr="004678FD">
        <w:t xml:space="preserve">wyróżniono następujące składowe inwestycji turystycznych: </w:t>
      </w:r>
    </w:p>
    <w:p w14:paraId="57CA0CCF" w14:textId="7960DC94" w:rsidR="004678FD" w:rsidRPr="004678FD" w:rsidRDefault="004678FD" w:rsidP="004840F9">
      <w:pPr>
        <w:pStyle w:val="bombki"/>
        <w:numPr>
          <w:ilvl w:val="0"/>
          <w:numId w:val="32"/>
        </w:numPr>
      </w:pPr>
      <w:r w:rsidRPr="004678FD">
        <w:t>nakłady inwestycyjne na środki trwałe w charakterystycznych</w:t>
      </w:r>
      <w:r w:rsidR="009B3416">
        <w:t xml:space="preserve"> </w:t>
      </w:r>
      <w:r w:rsidRPr="004678FD">
        <w:t>rodzajach działalności turystycznej;</w:t>
      </w:r>
    </w:p>
    <w:p w14:paraId="7D5A5868" w14:textId="38AD4C45" w:rsidR="004678FD" w:rsidRPr="004678FD" w:rsidRDefault="004678FD" w:rsidP="004840F9">
      <w:pPr>
        <w:pStyle w:val="bombki"/>
        <w:numPr>
          <w:ilvl w:val="0"/>
          <w:numId w:val="32"/>
        </w:numPr>
      </w:pPr>
      <w:r w:rsidRPr="004678FD">
        <w:t>inwestycje branży turystycznej w środki trwałe niezwiązane z turystyką;</w:t>
      </w:r>
    </w:p>
    <w:p w14:paraId="0DFE8D9D" w14:textId="08A694EE" w:rsidR="004678FD" w:rsidRPr="004678FD" w:rsidRDefault="004678FD" w:rsidP="004840F9">
      <w:pPr>
        <w:pStyle w:val="bombki"/>
        <w:numPr>
          <w:ilvl w:val="0"/>
          <w:numId w:val="32"/>
        </w:numPr>
      </w:pPr>
      <w:r w:rsidRPr="004678FD">
        <w:t>inwestycje w infrastrukturę związaną z turystyką.</w:t>
      </w:r>
    </w:p>
    <w:p w14:paraId="798B6F03" w14:textId="24B83E7A" w:rsidR="004678FD" w:rsidRPr="004678FD" w:rsidRDefault="004678FD" w:rsidP="004840F9">
      <w:pPr>
        <w:pStyle w:val="tekst"/>
      </w:pPr>
      <w:r w:rsidRPr="004678FD">
        <w:t>Poprzez środki trwałe w charakterystycznych rodzajach działalności turystycznej rozumie się, aktywa, które są wykorzystywane wyłącznie lub prawie wyłącznie dla konsumpcji turystycznej. Są to np. hotele, statki pasażerskie czy wyciągi narciarskie. Z kolei poprzez inwestycje branży turystycznej w środki trwałe niezwiązane z turystyką rozumie się rozwój elementów, które nie są bezpośrednio wykorzystywane przez turystów, ale są niezbędne dla funkcjonowania branży np. systemy komputerowe w hotelach czy też pralnie hotelowe. Natomiast inwestycje w infrastrukturę związaną z turystyką są to inwestycje w zasoby np. realizowane ze środków publicznych, które</w:t>
      </w:r>
      <w:r w:rsidR="009B3416">
        <w:t xml:space="preserve"> </w:t>
      </w:r>
      <w:r w:rsidRPr="004678FD">
        <w:t xml:space="preserve">ułatwiają konsumpcje turystyczną. Na rozwój turystyki składa się wiele składowych, pewne wątpliwości budzi jednak zaliczanie ich wszystkich do inwestycji typowo turystycznych. Główną determinantą rozwoju infrastruktury, jest często zaspokojenie potrzeb mieszkańców, a przy okazji korzystają z niej osoby przyjeżdżające do danej destynacji. </w:t>
      </w:r>
    </w:p>
    <w:p w14:paraId="752EC205" w14:textId="11CF13AF" w:rsidR="004678FD" w:rsidRPr="004678FD" w:rsidRDefault="004678FD" w:rsidP="004840F9">
      <w:pPr>
        <w:pStyle w:val="tekst"/>
      </w:pPr>
      <w:r w:rsidRPr="004678FD">
        <w:t>Istotną</w:t>
      </w:r>
      <w:r w:rsidR="009B3416">
        <w:t xml:space="preserve"> </w:t>
      </w:r>
      <w:r w:rsidRPr="004678FD">
        <w:t>kwestią z perspektywy prowadzonych rozważań jest możliwość pozyskania właściwych informacji, które umożliwiłyby właściwe i obiektywne określenie wielkości inwestycji w rozwój produktu turystycznego. Dla Rachunku Satelitarnego Turystyki rekomenduje się koncentrację na nakładach inwestycyjnych na środki trwałe specyficzne dla turystyki</w:t>
      </w:r>
      <w:r w:rsidR="009B3416">
        <w:t xml:space="preserve"> </w:t>
      </w:r>
      <w:r w:rsidRPr="004678FD">
        <w:t>oraz na inwestycjach branży turystycznej w środki trwałe niezwiązane z turystyką.</w:t>
      </w:r>
    </w:p>
    <w:p w14:paraId="1DD62471" w14:textId="77777777" w:rsidR="004678FD" w:rsidRPr="004678FD" w:rsidRDefault="004678FD" w:rsidP="004840F9">
      <w:pPr>
        <w:pStyle w:val="tekst"/>
      </w:pPr>
      <w:r w:rsidRPr="004678FD">
        <w:t xml:space="preserve">W konsekwencji skoncentrowano się na wybranych działach i grupach sekcji H, I, N, R, S, klasyfikacji PKD 2007, które w sposób szczegółowy zostały zaprezentowane w dalszej części opracowania. Zestawienia zawierają podmioty odpowiedzialne za kreowanie charakterystycznych rodzajów działalności turystycznej, są to zwłaszcza obiekty świadczące usługi noclegowe, obiekty świadczące usługi gastronomiczne, podmioty świadczące usługi transportowe, podmioty koncentrujące się na pośrednictwie lub organizacji wyjazdów oraz podmioty zajmujące się działalnością sportową. W ramach prowadzonych rozważań analizowano działalność inwestycyjna tych organizacji. </w:t>
      </w:r>
    </w:p>
    <w:p w14:paraId="3B40C8CF" w14:textId="77777777" w:rsidR="004678FD" w:rsidRPr="004678FD" w:rsidRDefault="004678FD" w:rsidP="004840F9">
      <w:pPr>
        <w:pStyle w:val="tekst"/>
      </w:pPr>
      <w:r w:rsidRPr="004678FD">
        <w:lastRenderedPageBreak/>
        <w:t>W sposób szczególny analizowana była działalność inwestycyjna następujących podmiotów, których działalność jest ukierunkowana przede wszystkim na obsługę turystów:</w:t>
      </w:r>
    </w:p>
    <w:p w14:paraId="3F648B29" w14:textId="2C999079" w:rsidR="004678FD" w:rsidRPr="004678FD" w:rsidRDefault="004678FD" w:rsidP="004840F9">
      <w:pPr>
        <w:pStyle w:val="bombki"/>
        <w:numPr>
          <w:ilvl w:val="0"/>
          <w:numId w:val="33"/>
        </w:numPr>
      </w:pPr>
      <w:r w:rsidRPr="004678FD">
        <w:t>obiekty świadczące usługi noclegowe, a zwłaszcza „hotele i podobne obiekty zakwaterowania” – sekcja I, dział 55. PKD 2007;</w:t>
      </w:r>
    </w:p>
    <w:p w14:paraId="0F3B7532" w14:textId="60B6581E" w:rsidR="004678FD" w:rsidRPr="004678FD" w:rsidRDefault="004678FD" w:rsidP="004840F9">
      <w:pPr>
        <w:pStyle w:val="bombki"/>
        <w:numPr>
          <w:ilvl w:val="0"/>
          <w:numId w:val="33"/>
        </w:numPr>
      </w:pPr>
      <w:r w:rsidRPr="004678FD">
        <w:t>obiekty świadczące usługi gastronomiczne, a zwłaszcza „restauracje i pozostałe placówki gastronomiczne” – sekcja I, dział 56 PKD 2007;</w:t>
      </w:r>
    </w:p>
    <w:p w14:paraId="770BB5B5" w14:textId="3DC26521" w:rsidR="004678FD" w:rsidRPr="004678FD" w:rsidRDefault="004678FD" w:rsidP="004840F9">
      <w:pPr>
        <w:pStyle w:val="bombki"/>
        <w:numPr>
          <w:ilvl w:val="0"/>
          <w:numId w:val="33"/>
        </w:numPr>
      </w:pPr>
      <w:r w:rsidRPr="004678FD">
        <w:t xml:space="preserve">podmioty świadczące usługi transportowe, w tym transport wodny, lotniczy i lądowy – sekcja H, działy 49, 50 i 51, PKD 2007, </w:t>
      </w:r>
    </w:p>
    <w:p w14:paraId="1746E9F3" w14:textId="70B2D14C" w:rsidR="004678FD" w:rsidRPr="004678FD" w:rsidRDefault="004678FD" w:rsidP="004840F9">
      <w:pPr>
        <w:pStyle w:val="bombki"/>
        <w:numPr>
          <w:ilvl w:val="0"/>
          <w:numId w:val="33"/>
        </w:numPr>
      </w:pPr>
      <w:r w:rsidRPr="004678FD">
        <w:t>organizatorzy turystyki, pośrednicy i agenci turystyczni – sekcja N, dział 79, PKD 2007;</w:t>
      </w:r>
    </w:p>
    <w:p w14:paraId="1689D93C" w14:textId="0227E4D5" w:rsidR="004678FD" w:rsidRPr="004678FD" w:rsidRDefault="004678FD" w:rsidP="004840F9">
      <w:pPr>
        <w:pStyle w:val="bombki"/>
        <w:numPr>
          <w:ilvl w:val="0"/>
          <w:numId w:val="33"/>
        </w:numPr>
      </w:pPr>
      <w:r w:rsidRPr="004678FD">
        <w:t xml:space="preserve">biblioteki, muzea i inne podmioty kultury – sekcja R, dział 91, PKD 2007, </w:t>
      </w:r>
    </w:p>
    <w:p w14:paraId="415F90FD" w14:textId="5A85ACD8" w:rsidR="004678FD" w:rsidRPr="004678FD" w:rsidRDefault="004678FD" w:rsidP="004840F9">
      <w:pPr>
        <w:pStyle w:val="bombki"/>
        <w:numPr>
          <w:ilvl w:val="0"/>
          <w:numId w:val="33"/>
        </w:numPr>
      </w:pPr>
      <w:r w:rsidRPr="004678FD">
        <w:t>podmioty zajmujące się sportem, rekreacją i poprawą kondycji fizycznej, sekcja R, dział 93, sekcja S, dział 96, PKD 2007</w:t>
      </w:r>
      <w:r w:rsidR="004840F9">
        <w:t>.</w:t>
      </w:r>
    </w:p>
    <w:p w14:paraId="0A4A0A9D" w14:textId="53159413" w:rsidR="004678FD" w:rsidRPr="004678FD" w:rsidRDefault="004678FD" w:rsidP="004840F9">
      <w:pPr>
        <w:pStyle w:val="tekst"/>
      </w:pPr>
      <w:r w:rsidRPr="004678FD">
        <w:t>W prezentacji wielkości zarówno nakładów inwestycyjnych jak i wartości środków trwałych bazowano na Klasyfikacji Środków Trwałych</w:t>
      </w:r>
      <w:r w:rsidR="009B3416">
        <w:t xml:space="preserve"> </w:t>
      </w:r>
      <w:r w:rsidRPr="004678FD">
        <w:t>(KŚT), która jest „usystematyzowanym zbiorem obiektów majątku trwałego służącym m.in. do celów ewidencyjnych, ustalania stawek odpisów amortyzacyjnych oraz badań statystycznych”.</w:t>
      </w:r>
      <w:r w:rsidR="009B3416">
        <w:t xml:space="preserve"> </w:t>
      </w:r>
      <w:r w:rsidRPr="004678FD">
        <w:t>W konsekwencji udało się zebrać dane statystyczne w podziale na następujące kategorie:</w:t>
      </w:r>
    </w:p>
    <w:p w14:paraId="5585CE33" w14:textId="08621821" w:rsidR="004678FD" w:rsidRPr="004840F9" w:rsidRDefault="004678FD" w:rsidP="004840F9">
      <w:pPr>
        <w:pStyle w:val="bombki"/>
        <w:numPr>
          <w:ilvl w:val="0"/>
          <w:numId w:val="33"/>
        </w:numPr>
      </w:pPr>
      <w:r w:rsidRPr="004840F9">
        <w:t>budynki i lokale</w:t>
      </w:r>
    </w:p>
    <w:p w14:paraId="094457F7" w14:textId="7A6BB140" w:rsidR="004678FD" w:rsidRPr="004840F9" w:rsidRDefault="004678FD" w:rsidP="004840F9">
      <w:pPr>
        <w:pStyle w:val="bombki"/>
        <w:numPr>
          <w:ilvl w:val="0"/>
          <w:numId w:val="33"/>
        </w:numPr>
      </w:pPr>
      <w:r w:rsidRPr="004840F9">
        <w:t>środki transportu</w:t>
      </w:r>
    </w:p>
    <w:p w14:paraId="1DEF659D" w14:textId="79434720" w:rsidR="004678FD" w:rsidRPr="004840F9" w:rsidRDefault="004678FD" w:rsidP="004840F9">
      <w:pPr>
        <w:pStyle w:val="bombki"/>
        <w:numPr>
          <w:ilvl w:val="0"/>
          <w:numId w:val="33"/>
        </w:numPr>
      </w:pPr>
      <w:r w:rsidRPr="004840F9">
        <w:t>pozostałe środki trwałe</w:t>
      </w:r>
    </w:p>
    <w:p w14:paraId="041A0B6F" w14:textId="77777777" w:rsidR="004678FD" w:rsidRPr="004678FD" w:rsidRDefault="004678FD" w:rsidP="004840F9">
      <w:pPr>
        <w:pStyle w:val="tekst"/>
      </w:pPr>
      <w:r w:rsidRPr="004678FD">
        <w:t xml:space="preserve">Możliwość pozyskania danych była realnym problemem, niektóre były niedostępne, w tym pojawiła się grupa danych objętych tajemnica statystyczną. W efekcie rekomendacje dotyczące metodologii rachunku satelitarnego turystyki musiały być modyfikowane. </w:t>
      </w:r>
    </w:p>
    <w:p w14:paraId="76355B2A" w14:textId="2D73206D" w:rsidR="004678FD" w:rsidRPr="004678FD" w:rsidRDefault="004678FD" w:rsidP="004840F9">
      <w:pPr>
        <w:pStyle w:val="tekst"/>
      </w:pPr>
      <w:r w:rsidRPr="004678FD">
        <w:t>Podstawowym źródłem danych, będących bazą przygotowania RST w zakresie nakładów inwestycyjnych był Główny Urząd Statystyczny i jego zasoby, opracowane, m.in. na podstawie następujących sprawozdań SP - roczna ankieta przedsiębiorstwa (cz. III Środki trwałe i inwestycje) sporządzana przez podmioty, w</w:t>
      </w:r>
      <w:r w:rsidR="009B3416">
        <w:t xml:space="preserve"> </w:t>
      </w:r>
      <w:r w:rsidRPr="004678FD">
        <w:t>których</w:t>
      </w:r>
      <w:r w:rsidR="009B3416">
        <w:t xml:space="preserve"> </w:t>
      </w:r>
      <w:r w:rsidRPr="004678FD">
        <w:t>liczba</w:t>
      </w:r>
      <w:r w:rsidR="009B3416">
        <w:t xml:space="preserve"> </w:t>
      </w:r>
      <w:r w:rsidRPr="004678FD">
        <w:t xml:space="preserve">pracujących przekracza 9 osób. </w:t>
      </w:r>
    </w:p>
    <w:p w14:paraId="494EB8DD" w14:textId="53CD7A5D" w:rsidR="00C501D7" w:rsidRPr="00C501D7" w:rsidRDefault="00C501D7" w:rsidP="004840F9">
      <w:pPr>
        <w:pStyle w:val="tekst"/>
      </w:pPr>
      <w:r w:rsidRPr="00C501D7">
        <w:t xml:space="preserve">Niezbędne dane zostały udostępnione autorom RST w wyniku indywidualnego zamówienia, ponadto wykorzystane zostały dane publikowane w Banku Danych Lokalnych, w bazie EUROSTAT oraz w rocznikach statystycznych oraz raportach branżowych np. </w:t>
      </w:r>
      <w:r w:rsidRPr="00C501D7">
        <w:rPr>
          <w:lang w:val="en-US"/>
        </w:rPr>
        <w:t>Market Report, Poland Hotel Market, Horwath HTL, Hotel, Tourism and Leisure, Market Insights</w:t>
      </w:r>
      <w:r w:rsidRPr="00C501D7">
        <w:rPr>
          <w:noProof/>
          <w:lang w:val="en-US"/>
        </w:rPr>
        <w:t>. Raport roczny 2020, Colliers International, czy</w:t>
      </w:r>
      <w:r w:rsidRPr="00C501D7">
        <w:rPr>
          <w:lang w:val="en-US"/>
        </w:rPr>
        <w:t xml:space="preserve"> Research CEE Investment Market, 2021 Summary, John Lang LaSalle 2022. </w:t>
      </w:r>
      <w:r w:rsidRPr="00C501D7">
        <w:t>Wielkości pozyskane ze źródeł europejskich pierwotnie prezentowane były w euro w wartościach bieżących. Zostaną przeliczone na PLN wg średniego rocznego kursu. Należy pamiętać, że dane zawarte w bazie EUROSTAT pochodzą z krajowego (polskiego) systemu sprawozdawczości, a zatem ich źródłem było m.in. również wskazane wcześniej sprawozdanie. Wykorzystanie jednak wyżej wymienionej bazy pozwala na prowadzenie porównań międzynarodowych, które pozwolą na pełniejszą ocenę inwestycji, prowadzonych w Polsce.</w:t>
      </w:r>
      <w:r w:rsidR="009B3416">
        <w:t xml:space="preserve"> </w:t>
      </w:r>
    </w:p>
    <w:p w14:paraId="4B63C1F3" w14:textId="566CB336" w:rsidR="00FF7F4F" w:rsidRPr="00536E88" w:rsidRDefault="00FF7F4F" w:rsidP="004840F9">
      <w:pPr>
        <w:pStyle w:val="Nagwek1"/>
      </w:pPr>
      <w:bookmarkStart w:id="39" w:name="_Toc184892432"/>
      <w:bookmarkStart w:id="40" w:name="_Toc207977576"/>
      <w:bookmarkStart w:id="41" w:name="_Toc223140141"/>
      <w:bookmarkStart w:id="42" w:name="_Toc486565767"/>
      <w:bookmarkStart w:id="43" w:name="_Toc115441447"/>
      <w:r w:rsidRPr="00536E88">
        <w:lastRenderedPageBreak/>
        <w:t>2. Spożycie turystyczne</w:t>
      </w:r>
      <w:bookmarkEnd w:id="39"/>
      <w:bookmarkEnd w:id="40"/>
      <w:bookmarkEnd w:id="41"/>
      <w:bookmarkEnd w:id="42"/>
      <w:bookmarkEnd w:id="43"/>
    </w:p>
    <w:p w14:paraId="4D145D25" w14:textId="110ABE22" w:rsidR="00FF7F4F" w:rsidRPr="00FF7F4F" w:rsidRDefault="00FF7F4F" w:rsidP="004840F9">
      <w:pPr>
        <w:pStyle w:val="Nagwek2"/>
      </w:pPr>
      <w:bookmarkStart w:id="44" w:name="_Toc486565768"/>
      <w:bookmarkStart w:id="45" w:name="_Toc115441448"/>
      <w:r w:rsidRPr="00FF7F4F">
        <w:t xml:space="preserve">2.1. Charakterystyka spożycia turystycznego w </w:t>
      </w:r>
      <w:r w:rsidR="00AD48C9" w:rsidRPr="00AD48C9">
        <w:t>latach 2018 i 2019</w:t>
      </w:r>
      <w:bookmarkEnd w:id="44"/>
      <w:bookmarkEnd w:id="45"/>
    </w:p>
    <w:p w14:paraId="697DE25D" w14:textId="67101A1B" w:rsidR="001D504F" w:rsidRPr="001D504F" w:rsidRDefault="00F8216E" w:rsidP="004840F9">
      <w:pPr>
        <w:pStyle w:val="Nagwek3"/>
      </w:pPr>
      <w:bookmarkStart w:id="46" w:name="_Toc115441449"/>
      <w:r>
        <w:t xml:space="preserve">2.1.1. </w:t>
      </w:r>
      <w:r w:rsidR="001D504F" w:rsidRPr="001D504F">
        <w:t>Krajowe spożycie turystyczne łącznie</w:t>
      </w:r>
      <w:bookmarkStart w:id="47" w:name="_Hlk113731955"/>
      <w:bookmarkEnd w:id="46"/>
    </w:p>
    <w:bookmarkEnd w:id="47"/>
    <w:p w14:paraId="2146346D" w14:textId="372249DC" w:rsidR="00FF7F4F" w:rsidRPr="00F763B9" w:rsidRDefault="00FF7F4F" w:rsidP="004840F9">
      <w:pPr>
        <w:pStyle w:val="tekst"/>
      </w:pPr>
      <w:r w:rsidRPr="00F9123B">
        <w:t xml:space="preserve">W </w:t>
      </w:r>
      <w:r w:rsidR="00854864" w:rsidRPr="00F9123B">
        <w:t xml:space="preserve">latach 2018 i 2019 </w:t>
      </w:r>
      <w:r w:rsidRPr="00F9123B">
        <w:t>łączne spożycie turystyczne na terytorium ekonomicznym Polski</w:t>
      </w:r>
      <w:r w:rsidR="00854864" w:rsidRPr="00F9123B">
        <w:t>, rozumiane jako spożycie turystyczne gospodarstw domowych w zakresie podróży krajowych i krajowej części podróży zagranicznych, podróże służbowe rezydentów oraz spożycie turystyczne nierezydentów</w:t>
      </w:r>
      <w:r w:rsidR="00F9123B">
        <w:t>,</w:t>
      </w:r>
      <w:r w:rsidR="00854864" w:rsidRPr="00F9123B">
        <w:t xml:space="preserve"> </w:t>
      </w:r>
      <w:r w:rsidRPr="00F9123B">
        <w:t>oszacowano</w:t>
      </w:r>
      <w:r w:rsidR="00854864" w:rsidRPr="00F9123B">
        <w:t xml:space="preserve"> </w:t>
      </w:r>
      <w:r w:rsidRPr="00F9123B">
        <w:t xml:space="preserve">na poziomie </w:t>
      </w:r>
      <w:r w:rsidR="00854864" w:rsidRPr="00F9123B">
        <w:t xml:space="preserve">odpowiednio 107 342 </w:t>
      </w:r>
      <w:r w:rsidRPr="00F9123B">
        <w:t>mln PLN (</w:t>
      </w:r>
      <w:r w:rsidR="00854864" w:rsidRPr="00F9123B">
        <w:t xml:space="preserve">2018) i </w:t>
      </w:r>
      <w:r w:rsidR="00536E88" w:rsidRPr="00536E88">
        <w:t xml:space="preserve">116 333 </w:t>
      </w:r>
      <w:r w:rsidR="00536E88">
        <w:t xml:space="preserve">mln </w:t>
      </w:r>
      <w:r w:rsidR="00854864" w:rsidRPr="00F9123B">
        <w:t>PLN (2019</w:t>
      </w:r>
      <w:r w:rsidR="00F9123B" w:rsidRPr="00F9123B">
        <w:t>; o 8,</w:t>
      </w:r>
      <w:r w:rsidR="00536E88">
        <w:t>4</w:t>
      </w:r>
      <w:r w:rsidR="00F9123B" w:rsidRPr="00F9123B">
        <w:t>% więcej niż w roku poprzednim</w:t>
      </w:r>
      <w:r w:rsidR="00854864" w:rsidRPr="00F9123B">
        <w:t xml:space="preserve">). </w:t>
      </w:r>
      <w:r w:rsidR="00F9123B" w:rsidRPr="00F9123B">
        <w:t>N</w:t>
      </w:r>
      <w:r w:rsidRPr="00F9123B">
        <w:t xml:space="preserve">a krajowe spożycie turystyczne rezydentów </w:t>
      </w:r>
      <w:r w:rsidR="00F9123B" w:rsidRPr="00F9123B">
        <w:t xml:space="preserve">przypadło 53,7% (2018) i </w:t>
      </w:r>
      <w:r w:rsidR="00536E88">
        <w:t>56,3</w:t>
      </w:r>
      <w:r w:rsidR="00F9123B" w:rsidRPr="00F9123B">
        <w:t>% (2019) łącznej sumy, tj. odpowiednio ok. 57 685 mln PLN i 6</w:t>
      </w:r>
      <w:r w:rsidR="00536E88">
        <w:t>5</w:t>
      </w:r>
      <w:r w:rsidR="00F9123B" w:rsidRPr="00F9123B">
        <w:t xml:space="preserve"> </w:t>
      </w:r>
      <w:r w:rsidR="00536E88">
        <w:t>49</w:t>
      </w:r>
      <w:r w:rsidR="00F9123B" w:rsidRPr="00F9123B">
        <w:t xml:space="preserve">4 mln PLN. </w:t>
      </w:r>
      <w:r w:rsidRPr="00F9123B">
        <w:t>W 201</w:t>
      </w:r>
      <w:r w:rsidR="00F9123B" w:rsidRPr="00F9123B">
        <w:t>8</w:t>
      </w:r>
      <w:r w:rsidRPr="00F9123B">
        <w:t xml:space="preserve"> roku spożycie turystyczne </w:t>
      </w:r>
      <w:r w:rsidR="00F763B9" w:rsidRPr="00F763B9">
        <w:t xml:space="preserve">gospodarstw domowych w zakresie podróży krajowych i krajowej części podróży zagranicznych </w:t>
      </w:r>
      <w:r w:rsidRPr="00F763B9">
        <w:t xml:space="preserve">stanowiło </w:t>
      </w:r>
      <w:r w:rsidR="00F763B9" w:rsidRPr="00F763B9">
        <w:t>3,7</w:t>
      </w:r>
      <w:r w:rsidRPr="00F763B9">
        <w:t xml:space="preserve">% </w:t>
      </w:r>
      <w:r w:rsidR="00F763B9" w:rsidRPr="00F763B9">
        <w:t xml:space="preserve">krajowego spożycia w sektorze gospodarstw domowych, </w:t>
      </w:r>
      <w:r w:rsidR="00F9123B" w:rsidRPr="00F763B9">
        <w:t xml:space="preserve">w 2019 roku – </w:t>
      </w:r>
      <w:r w:rsidR="00F763B9" w:rsidRPr="00F763B9">
        <w:t>4,6</w:t>
      </w:r>
      <w:r w:rsidR="00F9123B" w:rsidRPr="00F763B9">
        <w:t>%</w:t>
      </w:r>
      <w:r w:rsidRPr="00F763B9">
        <w:t>. Strukturę spożycia według grup nabywców przedstawia wykres 2.1.</w:t>
      </w:r>
    </w:p>
    <w:p w14:paraId="1D56073A" w14:textId="2ECD3675" w:rsidR="00FF7F4F" w:rsidRDefault="00FF7F4F" w:rsidP="00095D44">
      <w:pPr>
        <w:pStyle w:val="nazwa"/>
      </w:pPr>
      <w:bookmarkStart w:id="48" w:name="_Toc156099338"/>
      <w:bookmarkStart w:id="49" w:name="_Toc184881528"/>
      <w:bookmarkStart w:id="50" w:name="_Toc184881602"/>
      <w:bookmarkStart w:id="51" w:name="_Toc184882602"/>
      <w:bookmarkStart w:id="52" w:name="_Toc207891444"/>
      <w:bookmarkStart w:id="53" w:name="_Toc223141256"/>
      <w:bookmarkStart w:id="54" w:name="_Toc486561680"/>
      <w:bookmarkStart w:id="55" w:name="_Toc486566126"/>
      <w:bookmarkStart w:id="56" w:name="_Toc486566330"/>
      <w:bookmarkStart w:id="57" w:name="_Toc115437470"/>
      <w:bookmarkStart w:id="58" w:name="_Hlk113732016"/>
      <w:r w:rsidRPr="00FF7F4F">
        <w:t>Wykres 2.1. Struktura spożycia turystycznego w </w:t>
      </w:r>
      <w:r w:rsidR="00AD48C9" w:rsidRPr="00AD48C9">
        <w:t xml:space="preserve">latach 2018 i 2019 </w:t>
      </w:r>
      <w:r w:rsidRPr="00FF7F4F">
        <w:t>według grup konsumentów</w:t>
      </w:r>
      <w:bookmarkEnd w:id="48"/>
      <w:bookmarkEnd w:id="49"/>
      <w:bookmarkEnd w:id="50"/>
      <w:bookmarkEnd w:id="51"/>
      <w:bookmarkEnd w:id="52"/>
      <w:bookmarkEnd w:id="53"/>
      <w:bookmarkEnd w:id="54"/>
      <w:bookmarkEnd w:id="55"/>
      <w:bookmarkEnd w:id="56"/>
      <w:bookmarkEnd w:id="57"/>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4531"/>
      </w:tblGrid>
      <w:tr w:rsidR="00F763B9" w14:paraId="401BD039" w14:textId="77777777" w:rsidTr="00DC5070">
        <w:tc>
          <w:tcPr>
            <w:tcW w:w="4531" w:type="dxa"/>
          </w:tcPr>
          <w:p w14:paraId="2AA438AE" w14:textId="562A91F9" w:rsidR="00F763B9" w:rsidRPr="00923D11" w:rsidRDefault="00F763B9" w:rsidP="00DC5070">
            <w:pPr>
              <w:jc w:val="center"/>
              <w:rPr>
                <w:rStyle w:val="Pogrubienie"/>
              </w:rPr>
            </w:pPr>
            <w:r w:rsidRPr="00923D11">
              <w:rPr>
                <w:rStyle w:val="Pogrubienie"/>
              </w:rPr>
              <w:t>2018</w:t>
            </w:r>
          </w:p>
        </w:tc>
        <w:tc>
          <w:tcPr>
            <w:tcW w:w="4531" w:type="dxa"/>
          </w:tcPr>
          <w:p w14:paraId="791F480B" w14:textId="16EFD3D8" w:rsidR="00F763B9" w:rsidRPr="00923D11" w:rsidRDefault="00F763B9" w:rsidP="00DC5070">
            <w:pPr>
              <w:jc w:val="center"/>
              <w:rPr>
                <w:rStyle w:val="Pogrubienie"/>
              </w:rPr>
            </w:pPr>
            <w:r w:rsidRPr="00923D11">
              <w:rPr>
                <w:rStyle w:val="Pogrubienie"/>
              </w:rPr>
              <w:t>2019</w:t>
            </w:r>
          </w:p>
        </w:tc>
      </w:tr>
      <w:tr w:rsidR="00F763B9" w14:paraId="5D7263DA" w14:textId="77777777" w:rsidTr="00A63176">
        <w:tblPrEx>
          <w:tblCellMar>
            <w:left w:w="70" w:type="dxa"/>
            <w:right w:w="70" w:type="dxa"/>
          </w:tblCellMar>
        </w:tblPrEx>
        <w:trPr>
          <w:trHeight w:val="3118"/>
        </w:trPr>
        <w:tc>
          <w:tcPr>
            <w:tcW w:w="4531" w:type="dxa"/>
          </w:tcPr>
          <w:p w14:paraId="060FE8DC" w14:textId="47A7FE4F" w:rsidR="00F763B9" w:rsidRDefault="00F763B9" w:rsidP="00FF7F4F">
            <w:pPr>
              <w:jc w:val="both"/>
              <w:rPr>
                <w:rFonts w:ascii="Times New Roman" w:eastAsia="Times New Roman" w:hAnsi="Times New Roman" w:cs="Times New Roman"/>
                <w:b/>
                <w:iCs/>
                <w:sz w:val="24"/>
                <w:szCs w:val="24"/>
                <w:lang w:eastAsia="pl-PL"/>
              </w:rPr>
            </w:pPr>
            <w:r>
              <w:rPr>
                <w:noProof/>
              </w:rPr>
              <w:drawing>
                <wp:inline distT="0" distB="0" distL="0" distR="0" wp14:anchorId="12D3F6EA" wp14:editId="71DB2C22">
                  <wp:extent cx="2806700" cy="1980000"/>
                  <wp:effectExtent l="0" t="0" r="0" b="1270"/>
                  <wp:docPr id="2" name="Wykres 2">
                    <a:extLst xmlns:a="http://schemas.openxmlformats.org/drawingml/2006/main">
                      <a:ext uri="{FF2B5EF4-FFF2-40B4-BE49-F238E27FC236}">
                        <a16:creationId xmlns:a16="http://schemas.microsoft.com/office/drawing/2014/main" id="{B5F112E0-5300-4F6E-8CDE-73C4F0505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4531" w:type="dxa"/>
          </w:tcPr>
          <w:p w14:paraId="2B6504B5" w14:textId="301DB0E6" w:rsidR="00F763B9" w:rsidRDefault="00536E88" w:rsidP="00FF7F4F">
            <w:pPr>
              <w:jc w:val="both"/>
              <w:rPr>
                <w:rFonts w:ascii="Times New Roman" w:eastAsia="Times New Roman" w:hAnsi="Times New Roman" w:cs="Times New Roman"/>
                <w:b/>
                <w:iCs/>
                <w:sz w:val="24"/>
                <w:szCs w:val="24"/>
                <w:lang w:eastAsia="pl-PL"/>
              </w:rPr>
            </w:pPr>
            <w:r>
              <w:rPr>
                <w:noProof/>
              </w:rPr>
              <w:drawing>
                <wp:inline distT="0" distB="0" distL="0" distR="0" wp14:anchorId="7E1832EE" wp14:editId="19C1CA48">
                  <wp:extent cx="2808000" cy="1980000"/>
                  <wp:effectExtent l="0" t="0" r="0" b="1270"/>
                  <wp:docPr id="6" name="Wykres 6">
                    <a:extLst xmlns:a="http://schemas.openxmlformats.org/drawingml/2006/main">
                      <a:ext uri="{FF2B5EF4-FFF2-40B4-BE49-F238E27FC236}">
                        <a16:creationId xmlns:a16="http://schemas.microsoft.com/office/drawing/2014/main" id="{C3C87283-2CE4-4FD6-954D-1AA646093B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11AEE5E5" w14:textId="304A7D29" w:rsidR="00F763B9" w:rsidRPr="00095D44" w:rsidRDefault="00854D6A" w:rsidP="00095D44">
      <w:pPr>
        <w:pStyle w:val="rdo"/>
      </w:pPr>
      <w:r w:rsidRPr="00095D44">
        <w:t>Źródło: oszacowania własne</w:t>
      </w:r>
    </w:p>
    <w:bookmarkEnd w:id="58"/>
    <w:p w14:paraId="647E13A2" w14:textId="753EC239" w:rsidR="00FF7F4F" w:rsidRPr="00B864B2" w:rsidRDefault="00590C8C" w:rsidP="009E3693">
      <w:pPr>
        <w:pStyle w:val="tekst"/>
      </w:pPr>
      <w:r w:rsidRPr="00590C8C">
        <w:t>Analiza struktury rodzajowej spożycia wskazuje, że z</w:t>
      </w:r>
      <w:r w:rsidR="0003256E" w:rsidRPr="00590C8C">
        <w:t>arówno w roku 2018, jak i 2019</w:t>
      </w:r>
      <w:r w:rsidR="00FF7F4F" w:rsidRPr="00590C8C">
        <w:t xml:space="preserve"> </w:t>
      </w:r>
      <w:r w:rsidRPr="00590C8C">
        <w:t xml:space="preserve">przeważały </w:t>
      </w:r>
      <w:r w:rsidR="00FF7F4F" w:rsidRPr="00590C8C">
        <w:t>wydatk</w:t>
      </w:r>
      <w:r w:rsidRPr="00590C8C">
        <w:t>i</w:t>
      </w:r>
      <w:r w:rsidR="00FF7F4F" w:rsidRPr="00590C8C">
        <w:t xml:space="preserve"> na </w:t>
      </w:r>
      <w:r w:rsidR="00FF7F4F" w:rsidRPr="00590C8C">
        <w:rPr>
          <w:bCs/>
        </w:rPr>
        <w:t>charakterystyczne produkty turystyczne</w:t>
      </w:r>
      <w:r w:rsidR="0003256E" w:rsidRPr="00590C8C">
        <w:rPr>
          <w:bCs/>
        </w:rPr>
        <w:t xml:space="preserve"> (</w:t>
      </w:r>
      <w:r w:rsidRPr="00590C8C">
        <w:rPr>
          <w:bCs/>
        </w:rPr>
        <w:t>łącznie z</w:t>
      </w:r>
      <w:r w:rsidR="0003256E" w:rsidRPr="00590C8C">
        <w:rPr>
          <w:bCs/>
        </w:rPr>
        <w:t xml:space="preserve"> </w:t>
      </w:r>
      <w:r w:rsidR="007908D6">
        <w:rPr>
          <w:bCs/>
        </w:rPr>
        <w:t xml:space="preserve">produktami </w:t>
      </w:r>
      <w:r w:rsidR="0003256E" w:rsidRPr="00590C8C">
        <w:rPr>
          <w:bCs/>
        </w:rPr>
        <w:t>krajow</w:t>
      </w:r>
      <w:r w:rsidRPr="00590C8C">
        <w:rPr>
          <w:bCs/>
        </w:rPr>
        <w:t>ymi</w:t>
      </w:r>
      <w:r w:rsidR="0003256E" w:rsidRPr="00590C8C">
        <w:rPr>
          <w:bCs/>
        </w:rPr>
        <w:t xml:space="preserve"> charakterystyczn</w:t>
      </w:r>
      <w:r w:rsidRPr="00590C8C">
        <w:rPr>
          <w:bCs/>
        </w:rPr>
        <w:t>ymi</w:t>
      </w:r>
      <w:r w:rsidR="0003256E" w:rsidRPr="00590C8C">
        <w:rPr>
          <w:bCs/>
        </w:rPr>
        <w:t>). W 2018 roku stanowiły one</w:t>
      </w:r>
      <w:r w:rsidR="0003256E" w:rsidRPr="00590C8C">
        <w:rPr>
          <w:b/>
        </w:rPr>
        <w:t xml:space="preserve"> </w:t>
      </w:r>
      <w:r>
        <w:t>53</w:t>
      </w:r>
      <w:r w:rsidRPr="00590C8C">
        <w:t xml:space="preserve">%, w 2019 – </w:t>
      </w:r>
      <w:r w:rsidR="00854D6A">
        <w:t>54,5</w:t>
      </w:r>
      <w:r w:rsidRPr="00590C8C">
        <w:t>% ogółu spożycia turystycznego</w:t>
      </w:r>
      <w:r w:rsidRPr="007908D6">
        <w:t>. P</w:t>
      </w:r>
      <w:r w:rsidR="00FF7F4F" w:rsidRPr="007908D6">
        <w:t xml:space="preserve">rodukty związane z turystyką </w:t>
      </w:r>
      <w:r w:rsidRPr="007908D6">
        <w:t>to odpowiednio 2</w:t>
      </w:r>
      <w:r w:rsidR="007908D6" w:rsidRPr="007908D6">
        <w:t>8,7</w:t>
      </w:r>
      <w:r w:rsidR="00FF7F4F" w:rsidRPr="007908D6">
        <w:t>%</w:t>
      </w:r>
      <w:r w:rsidR="007908D6" w:rsidRPr="007908D6">
        <w:t xml:space="preserve"> i 2</w:t>
      </w:r>
      <w:r w:rsidR="00854D6A">
        <w:t>9</w:t>
      </w:r>
      <w:r w:rsidR="007908D6" w:rsidRPr="007908D6">
        <w:t>,</w:t>
      </w:r>
      <w:r w:rsidR="00854D6A">
        <w:t>4</w:t>
      </w:r>
      <w:r w:rsidR="007908D6" w:rsidRPr="007908D6">
        <w:t>%</w:t>
      </w:r>
      <w:r w:rsidR="00FF7F4F" w:rsidRPr="007908D6">
        <w:t>,</w:t>
      </w:r>
      <w:r w:rsidR="009B3416">
        <w:t xml:space="preserve"> </w:t>
      </w:r>
      <w:r w:rsidR="00FF7F4F" w:rsidRPr="007908D6">
        <w:t>pozostałe zaś – 1</w:t>
      </w:r>
      <w:r w:rsidR="007908D6" w:rsidRPr="007908D6">
        <w:t>8</w:t>
      </w:r>
      <w:r w:rsidR="00FF7F4F" w:rsidRPr="007908D6">
        <w:t>,3%</w:t>
      </w:r>
      <w:r w:rsidR="007908D6" w:rsidRPr="007908D6">
        <w:t xml:space="preserve"> oraz 16,</w:t>
      </w:r>
      <w:r w:rsidR="00854D6A">
        <w:t>1</w:t>
      </w:r>
      <w:r w:rsidR="007908D6" w:rsidRPr="007908D6">
        <w:t>%</w:t>
      </w:r>
      <w:r w:rsidR="00FF7F4F" w:rsidRPr="007908D6">
        <w:t xml:space="preserve"> krajowego spożycia turystycznego (pieniężnego i w naturze łącznie). </w:t>
      </w:r>
      <w:r w:rsidR="002558EE" w:rsidRPr="002558EE">
        <w:t>W</w:t>
      </w:r>
      <w:r w:rsidR="00FF7F4F" w:rsidRPr="002558EE">
        <w:t xml:space="preserve"> grupie charakterystycznych produktów turystycznych nabywanych przez odwiedzających (rezydentów i nierezydentów łącznie) największą pozycję stanowiły wydatki na usługi związane z zakwaterowaniem (zarówno w hotelach, pozostałych </w:t>
      </w:r>
      <w:r w:rsidR="00FF7F4F" w:rsidRPr="00B864B2">
        <w:t xml:space="preserve">obiektach zakwaterowania zbiorowego, jak i we własnych mieszkaniach/domach wakacyjnych); </w:t>
      </w:r>
      <w:r w:rsidR="00854D6A">
        <w:t xml:space="preserve">zarówno </w:t>
      </w:r>
      <w:r w:rsidR="00B864B2" w:rsidRPr="00B864B2">
        <w:t>w 2018</w:t>
      </w:r>
      <w:r w:rsidR="00854D6A">
        <w:t>, jak i 2019 roku</w:t>
      </w:r>
      <w:r w:rsidR="00B864B2" w:rsidRPr="00B864B2">
        <w:t xml:space="preserve"> </w:t>
      </w:r>
      <w:r w:rsidR="00FF7F4F" w:rsidRPr="00B864B2">
        <w:t xml:space="preserve">stanowiły one </w:t>
      </w:r>
      <w:r w:rsidR="00B864B2" w:rsidRPr="00B864B2">
        <w:t>29,4%</w:t>
      </w:r>
      <w:r w:rsidR="00FF7F4F" w:rsidRPr="00B864B2">
        <w:t xml:space="preserve"> wartości charakterystycznych produktów turystycznych ogółem. Z kolei na usługi transportowe przypadło </w:t>
      </w:r>
      <w:r w:rsidR="00B864B2" w:rsidRPr="00B864B2">
        <w:t xml:space="preserve">odpowiednio </w:t>
      </w:r>
      <w:r w:rsidR="00B864B2" w:rsidRPr="008B6CD2">
        <w:t>24,5</w:t>
      </w:r>
      <w:r w:rsidR="00FF7F4F" w:rsidRPr="008B6CD2">
        <w:t xml:space="preserve">% </w:t>
      </w:r>
      <w:r w:rsidR="00B864B2" w:rsidRPr="00B864B2">
        <w:t xml:space="preserve">i </w:t>
      </w:r>
      <w:r w:rsidR="008B6CD2">
        <w:t>25,5</w:t>
      </w:r>
      <w:r w:rsidR="00B864B2" w:rsidRPr="00B864B2">
        <w:t xml:space="preserve">% </w:t>
      </w:r>
      <w:r w:rsidR="00FF7F4F" w:rsidRPr="00B864B2">
        <w:t xml:space="preserve">spożycia CPT, a na usługi w zakresie wyżywienia </w:t>
      </w:r>
      <w:r w:rsidR="00B864B2" w:rsidRPr="00B864B2">
        <w:t>29,1% i 2</w:t>
      </w:r>
      <w:r w:rsidR="00932BBA">
        <w:t>7,6</w:t>
      </w:r>
      <w:r w:rsidR="00B864B2" w:rsidRPr="00B864B2">
        <w:t>%</w:t>
      </w:r>
      <w:r w:rsidR="00FF7F4F" w:rsidRPr="00B864B2">
        <w:t xml:space="preserve"> (</w:t>
      </w:r>
      <w:r w:rsidR="00B864B2" w:rsidRPr="00B864B2">
        <w:t>w 2019 nieco mniej</w:t>
      </w:r>
      <w:r w:rsidR="00095D44">
        <w:t>,</w:t>
      </w:r>
      <w:r w:rsidR="00B864B2" w:rsidRPr="00B864B2">
        <w:t xml:space="preserve"> niż oszacowano w poprzednich edycjach RST</w:t>
      </w:r>
      <w:r w:rsidR="00FF7F4F" w:rsidRPr="00B864B2">
        <w:t xml:space="preserve">). </w:t>
      </w:r>
    </w:p>
    <w:p w14:paraId="53C40BBC" w14:textId="00C8004B" w:rsidR="00FF7F4F" w:rsidRPr="00477E32" w:rsidRDefault="00FF7F4F" w:rsidP="009E3693">
      <w:pPr>
        <w:pStyle w:val="tekst"/>
      </w:pPr>
      <w:r w:rsidRPr="007908D6">
        <w:t xml:space="preserve">Wśród wydatków na </w:t>
      </w:r>
      <w:r w:rsidRPr="00923D11">
        <w:rPr>
          <w:rStyle w:val="Pogrubienie"/>
        </w:rPr>
        <w:t xml:space="preserve">produkty związane z turystyką </w:t>
      </w:r>
      <w:r w:rsidRPr="007908D6">
        <w:t xml:space="preserve">szczególnie znaczącą pozycję stanowią wydatki na produkty </w:t>
      </w:r>
      <w:r w:rsidRPr="00FF2BE8">
        <w:t>rafinacji ropy naftowej, na które w 201</w:t>
      </w:r>
      <w:r w:rsidR="007908D6" w:rsidRPr="00FF2BE8">
        <w:t>8</w:t>
      </w:r>
      <w:r w:rsidRPr="00FF2BE8">
        <w:t> roku przeznaczono łącznie</w:t>
      </w:r>
      <w:r w:rsidR="009B3416">
        <w:t xml:space="preserve"> </w:t>
      </w:r>
      <w:r w:rsidR="00932BBA" w:rsidRPr="00FF2BE8">
        <w:t>12 937,6</w:t>
      </w:r>
      <w:r w:rsidR="009B3416">
        <w:t xml:space="preserve"> </w:t>
      </w:r>
      <w:r w:rsidRPr="001E0EB6">
        <w:t xml:space="preserve">mln PLN (w tym: </w:t>
      </w:r>
      <w:r w:rsidR="001E0EB6" w:rsidRPr="001E0EB6">
        <w:t xml:space="preserve">2 238,7 </w:t>
      </w:r>
      <w:r w:rsidRPr="001E0EB6">
        <w:t>mln PLN marża detaliczna</w:t>
      </w:r>
      <w:r w:rsidRPr="00FF2BE8">
        <w:t>)</w:t>
      </w:r>
      <w:r w:rsidR="00FF2BE8">
        <w:t xml:space="preserve">, a w 2019 roku - </w:t>
      </w:r>
      <w:r w:rsidR="00FF2BE8" w:rsidRPr="00FF2BE8">
        <w:t>13 910,3</w:t>
      </w:r>
      <w:r w:rsidR="00FF2BE8">
        <w:t xml:space="preserve"> mln PLN (</w:t>
      </w:r>
      <w:r w:rsidR="00FF2BE8" w:rsidRPr="001E0EB6">
        <w:t xml:space="preserve">w tym: </w:t>
      </w:r>
      <w:r w:rsidR="001E0EB6" w:rsidRPr="001E0EB6">
        <w:t xml:space="preserve">2 518,7 </w:t>
      </w:r>
      <w:r w:rsidR="00FF2BE8" w:rsidRPr="001E0EB6">
        <w:t xml:space="preserve">mln PLN </w:t>
      </w:r>
      <w:r w:rsidR="00FF2BE8">
        <w:t xml:space="preserve">marża </w:t>
      </w:r>
      <w:r w:rsidR="00FF2BE8" w:rsidRPr="005C0A2F">
        <w:t>detaliczna)</w:t>
      </w:r>
      <w:r w:rsidRPr="005C0A2F">
        <w:t xml:space="preserve">. Wydatki na paliwa stanowiły </w:t>
      </w:r>
      <w:r w:rsidR="00FF2BE8" w:rsidRPr="005C0A2F">
        <w:t>odpowiednio</w:t>
      </w:r>
      <w:r w:rsidR="005C0A2F" w:rsidRPr="005C0A2F">
        <w:t xml:space="preserve"> 42% (2018)</w:t>
      </w:r>
      <w:r w:rsidR="00FF2BE8" w:rsidRPr="005C0A2F">
        <w:t xml:space="preserve"> </w:t>
      </w:r>
      <w:r w:rsidR="005C0A2F" w:rsidRPr="005C0A2F">
        <w:t xml:space="preserve">i 42,1% (2019) </w:t>
      </w:r>
      <w:r w:rsidRPr="005C0A2F">
        <w:t xml:space="preserve">spożycia produktów związanych z turystyką i </w:t>
      </w:r>
      <w:r w:rsidR="005C0A2F" w:rsidRPr="005C0A2F">
        <w:t xml:space="preserve">odpowiednio </w:t>
      </w:r>
      <w:r w:rsidRPr="005C0A2F">
        <w:t xml:space="preserve">ok. </w:t>
      </w:r>
      <w:r w:rsidR="005C0A2F" w:rsidRPr="005C0A2F">
        <w:t>12,1% i 12%</w:t>
      </w:r>
      <w:r w:rsidRPr="005C0A2F">
        <w:t xml:space="preserve"> spożycia turystycznego ogółem. W</w:t>
      </w:r>
      <w:r w:rsidR="005C0A2F" w:rsidRPr="005C0A2F">
        <w:t xml:space="preserve">śród wydatków związanych z turystyką </w:t>
      </w:r>
      <w:r w:rsidRPr="005C0A2F">
        <w:t xml:space="preserve">istotny udział mają również wydatki na zakupy żywności, napojów i wyrobów tytoniowych oraz odzieży: </w:t>
      </w:r>
      <w:r w:rsidR="005C0A2F">
        <w:t xml:space="preserve">w 2018 roku </w:t>
      </w:r>
      <w:r w:rsidRPr="005C0A2F">
        <w:t>wyniosły one</w:t>
      </w:r>
      <w:r w:rsidR="009B3416">
        <w:t xml:space="preserve"> </w:t>
      </w:r>
      <w:r w:rsidR="005C0A2F" w:rsidRPr="005C0A2F">
        <w:t xml:space="preserve">17 880,1 </w:t>
      </w:r>
      <w:r w:rsidRPr="005C0A2F">
        <w:t xml:space="preserve">mln PLN </w:t>
      </w:r>
      <w:r w:rsidRPr="001E0EB6">
        <w:t xml:space="preserve">(w tym marża detaliczna w wysokości </w:t>
      </w:r>
      <w:r w:rsidR="001E0EB6" w:rsidRPr="001E0EB6">
        <w:t>4 470,0</w:t>
      </w:r>
      <w:r w:rsidRPr="001E0EB6">
        <w:t xml:space="preserve"> mln)</w:t>
      </w:r>
      <w:r w:rsidR="005C0A2F" w:rsidRPr="001E0EB6">
        <w:t xml:space="preserve">, </w:t>
      </w:r>
      <w:r w:rsidR="005C0A2F" w:rsidRPr="00477E32">
        <w:t xml:space="preserve">w 2019 roku zaś - 19 123,1 mln </w:t>
      </w:r>
      <w:r w:rsidR="005C0A2F" w:rsidRPr="001E0EB6">
        <w:t xml:space="preserve">PLN (marża </w:t>
      </w:r>
      <w:r w:rsidR="001E0EB6" w:rsidRPr="001E0EB6">
        <w:t xml:space="preserve">4 780,8 </w:t>
      </w:r>
      <w:r w:rsidR="005C0A2F" w:rsidRPr="001E0EB6">
        <w:t>mln)</w:t>
      </w:r>
      <w:r w:rsidRPr="001E0EB6">
        <w:t xml:space="preserve">. </w:t>
      </w:r>
      <w:r w:rsidR="005C0A2F" w:rsidRPr="001E0EB6">
        <w:t xml:space="preserve">Wydatki </w:t>
      </w:r>
      <w:r w:rsidR="005C0A2F" w:rsidRPr="00477E32">
        <w:t xml:space="preserve">w tej grupie stanowiły odpowiednio 16,7% </w:t>
      </w:r>
      <w:r w:rsidR="00477E32" w:rsidRPr="00477E32">
        <w:t xml:space="preserve">(2018) </w:t>
      </w:r>
      <w:r w:rsidR="005C0A2F" w:rsidRPr="00477E32">
        <w:t>i 16,4%</w:t>
      </w:r>
      <w:r w:rsidR="00477E32" w:rsidRPr="00477E32">
        <w:t xml:space="preserve"> (2019)</w:t>
      </w:r>
      <w:r w:rsidR="005C0A2F" w:rsidRPr="00477E32">
        <w:t xml:space="preserve"> spożycia ogółem.</w:t>
      </w:r>
      <w:r w:rsidRPr="00477E32">
        <w:t xml:space="preserve"> Strukturę spożycia turystycznego ogółem według grup produktów ilustruje wykres 2.2.</w:t>
      </w:r>
      <w:bookmarkStart w:id="59" w:name="_Toc223141257"/>
    </w:p>
    <w:p w14:paraId="23031BFE" w14:textId="3B937942" w:rsidR="00FF7F4F" w:rsidRDefault="00FF7F4F" w:rsidP="009E3693">
      <w:pPr>
        <w:pStyle w:val="nazwa"/>
      </w:pPr>
      <w:bookmarkStart w:id="60" w:name="_Toc486561681"/>
      <w:bookmarkStart w:id="61" w:name="_Toc486566127"/>
      <w:bookmarkStart w:id="62" w:name="_Toc486566331"/>
      <w:bookmarkStart w:id="63" w:name="_Toc115437471"/>
      <w:r w:rsidRPr="007B354E">
        <w:lastRenderedPageBreak/>
        <w:t xml:space="preserve">Wykres 2.2. Struktura spożycia turystycznego ogółem w </w:t>
      </w:r>
      <w:r w:rsidR="007B354E" w:rsidRPr="007B354E">
        <w:t>latach 2018 – 2019</w:t>
      </w:r>
      <w:r w:rsidRPr="007B354E">
        <w:t xml:space="preserve"> według produktów</w:t>
      </w:r>
      <w:bookmarkEnd w:id="59"/>
      <w:bookmarkEnd w:id="60"/>
      <w:bookmarkEnd w:id="61"/>
      <w:bookmarkEnd w:id="62"/>
      <w:bookmarkEnd w:id="63"/>
    </w:p>
    <w:p w14:paraId="239FA82E" w14:textId="3FE38C86" w:rsidR="002A1E18" w:rsidRDefault="00904FFF" w:rsidP="002F0841">
      <w:r>
        <w:rPr>
          <w:noProof/>
        </w:rPr>
        <w:drawing>
          <wp:inline distT="0" distB="0" distL="0" distR="0" wp14:anchorId="1792D4DD" wp14:editId="56D4780F">
            <wp:extent cx="5760000" cy="3960000"/>
            <wp:effectExtent l="0" t="0" r="12700" b="254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BC49DE5" w14:textId="47F1F737" w:rsidR="007B354E" w:rsidRDefault="00505EF4" w:rsidP="002F0841">
      <w:pPr>
        <w:rPr>
          <w:rFonts w:ascii="Times New Roman" w:eastAsia="Times New Roman" w:hAnsi="Times New Roman" w:cs="Times New Roman"/>
          <w:b/>
          <w:iCs/>
          <w:sz w:val="24"/>
          <w:szCs w:val="24"/>
          <w:lang w:eastAsia="pl-PL"/>
        </w:rPr>
      </w:pPr>
      <w:r>
        <w:rPr>
          <w:noProof/>
        </w:rPr>
        <w:drawing>
          <wp:inline distT="0" distB="0" distL="0" distR="0" wp14:anchorId="28A5E45B" wp14:editId="6F716664">
            <wp:extent cx="5760000" cy="3960000"/>
            <wp:effectExtent l="0" t="0" r="12700" b="254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FF9501" w14:textId="4DE2B8C1" w:rsidR="00FF7F4F" w:rsidRPr="00477E32" w:rsidRDefault="00477E32" w:rsidP="00B82876">
      <w:pPr>
        <w:pStyle w:val="gwiazdki"/>
      </w:pPr>
      <w:r w:rsidRPr="00477E32">
        <w:t>*</w:t>
      </w:r>
      <w:bookmarkStart w:id="64" w:name="_Hlk109332206"/>
      <w:r w:rsidR="00B82876">
        <w:tab/>
      </w:r>
      <w:r w:rsidRPr="00477E32">
        <w:t>łącznie z korzystaniem z własnych drugich domów</w:t>
      </w:r>
    </w:p>
    <w:p w14:paraId="626AC4D0" w14:textId="5873EE0F" w:rsidR="00477E32" w:rsidRPr="00477E32" w:rsidRDefault="00477E32" w:rsidP="00B82876">
      <w:pPr>
        <w:pStyle w:val="gwiazdki"/>
      </w:pPr>
      <w:r w:rsidRPr="00477E32">
        <w:t>**</w:t>
      </w:r>
      <w:r w:rsidR="00B82876">
        <w:tab/>
      </w:r>
      <w:r w:rsidRPr="00477E32">
        <w:t>łącznie z marżą detaliczną</w:t>
      </w:r>
    </w:p>
    <w:bookmarkEnd w:id="64"/>
    <w:p w14:paraId="0247EAE5" w14:textId="5F9273E5" w:rsidR="008C0351" w:rsidRPr="008C0351" w:rsidRDefault="008C0351" w:rsidP="009E3693">
      <w:pPr>
        <w:pStyle w:val="rdo"/>
      </w:pPr>
      <w:r w:rsidRPr="008C0351">
        <w:t>Źródło: oszacowania własne</w:t>
      </w:r>
      <w:r w:rsidR="00F12DF7">
        <w:t xml:space="preserve"> autorów</w:t>
      </w:r>
    </w:p>
    <w:p w14:paraId="2F043B21" w14:textId="53A024E9" w:rsidR="00FF7F4F" w:rsidRPr="008266AE" w:rsidRDefault="008266AE" w:rsidP="009E3693">
      <w:pPr>
        <w:pStyle w:val="tekst"/>
      </w:pPr>
      <w:r w:rsidRPr="008266AE">
        <w:lastRenderedPageBreak/>
        <w:t xml:space="preserve">Mimo usilnych starań </w:t>
      </w:r>
      <w:r w:rsidR="002D7F29">
        <w:t xml:space="preserve">autorów, </w:t>
      </w:r>
      <w:r w:rsidRPr="008266AE">
        <w:t>w</w:t>
      </w:r>
      <w:r w:rsidR="00FF7F4F" w:rsidRPr="008266AE">
        <w:t xml:space="preserve"> RST </w:t>
      </w:r>
      <w:r w:rsidRPr="008266AE">
        <w:t xml:space="preserve">2018 i 2019 nie znaleziono podstaw do </w:t>
      </w:r>
      <w:r w:rsidR="00FF7F4F" w:rsidRPr="008266AE">
        <w:t>oszacowan</w:t>
      </w:r>
      <w:r w:rsidRPr="008266AE">
        <w:t>ia</w:t>
      </w:r>
      <w:r w:rsidR="00FF7F4F" w:rsidRPr="008266AE">
        <w:t xml:space="preserve"> poziom</w:t>
      </w:r>
      <w:r w:rsidRPr="008266AE">
        <w:t>u</w:t>
      </w:r>
      <w:r w:rsidR="00FF7F4F" w:rsidRPr="008266AE">
        <w:t xml:space="preserve"> wydatków rezydentów </w:t>
      </w:r>
      <w:r w:rsidRPr="008266AE">
        <w:t xml:space="preserve">i nierezydentów </w:t>
      </w:r>
      <w:r w:rsidR="00FF7F4F" w:rsidRPr="008266AE">
        <w:t>na zakup przedmiotów wartościowych</w:t>
      </w:r>
      <w:r w:rsidRPr="008266AE">
        <w:t>.</w:t>
      </w:r>
    </w:p>
    <w:p w14:paraId="505D2CE4" w14:textId="46183428" w:rsidR="00FF7F4F" w:rsidRDefault="00FF7F4F" w:rsidP="009E3693">
      <w:pPr>
        <w:pStyle w:val="tekst"/>
      </w:pPr>
      <w:r w:rsidRPr="004B4315">
        <w:t xml:space="preserve">Podobnie jak w poprzednich latach, </w:t>
      </w:r>
      <w:r w:rsidR="00757B9A">
        <w:t>produkty ujęte</w:t>
      </w:r>
      <w:r w:rsidR="009B3416">
        <w:t xml:space="preserve"> </w:t>
      </w:r>
      <w:r w:rsidR="00757B9A">
        <w:t xml:space="preserve">grupie </w:t>
      </w:r>
      <w:r w:rsidR="00757B9A" w:rsidRPr="00757B9A">
        <w:rPr>
          <w:i/>
          <w:iCs/>
        </w:rPr>
        <w:t>pozostałe produkty związane z turystyką</w:t>
      </w:r>
      <w:r w:rsidR="00757B9A">
        <w:t>, a więc</w:t>
      </w:r>
      <w:r w:rsidR="00757B9A" w:rsidRPr="004B4315">
        <w:t xml:space="preserve"> zarówno</w:t>
      </w:r>
      <w:r w:rsidRPr="004B4315">
        <w:t xml:space="preserve"> zakupy paliw</w:t>
      </w:r>
      <w:r w:rsidR="004B4315">
        <w:t xml:space="preserve"> przez odwiedzających</w:t>
      </w:r>
      <w:r w:rsidRPr="004B4315">
        <w:t xml:space="preserve">, jak i artykułów spożywczych są w pewnym stopniu substytucyjne wobec usług transportowych i gastronomicznych, a ich skala od wielu lat </w:t>
      </w:r>
      <w:r w:rsidR="00FC5437">
        <w:t>dowodzi</w:t>
      </w:r>
      <w:r w:rsidRPr="004B4315">
        <w:t xml:space="preserve">, że znaczna część ruchu turystycznego na terenie Polski bazuje na samodzielnym zaspokajaniu potrzeb związanych z transportem i wyżywieniem w trakcie podróży turystycznych. </w:t>
      </w:r>
      <w:r w:rsidR="004B4315" w:rsidRPr="004B4315">
        <w:t xml:space="preserve">Porównanie struktury spożycia oszacowanej dla lat 2018 i 2019 z poprzednimi edycjami RST dla Polski pokazuje, </w:t>
      </w:r>
      <w:r w:rsidRPr="004B4315">
        <w:t>że zdecydowanie rośnie udział wydatków na usługi gastronomiczne, co jest związane z obserwowanymi</w:t>
      </w:r>
      <w:r w:rsidR="004B4315" w:rsidRPr="004B4315">
        <w:t xml:space="preserve"> wieloletnimi trendami</w:t>
      </w:r>
      <w:r w:rsidRPr="004B4315">
        <w:t xml:space="preserve"> w zakresie zachowań konsumentów</w:t>
      </w:r>
      <w:r w:rsidR="004B4315" w:rsidRPr="004B4315">
        <w:t xml:space="preserve"> i zdecydowanie częstszym korzystaniu z usług gastronomii</w:t>
      </w:r>
      <w:r w:rsidRPr="004B4315">
        <w:t xml:space="preserve">. </w:t>
      </w:r>
    </w:p>
    <w:p w14:paraId="47B34262" w14:textId="77777777" w:rsidR="00757B9A" w:rsidRDefault="00102BA0" w:rsidP="009E3693">
      <w:pPr>
        <w:pStyle w:val="tekst"/>
      </w:pPr>
      <w:r w:rsidRPr="00102BA0">
        <w:t xml:space="preserve">Analizując strukturę spożycia turystycznego warto ocenić, która z głównych grup nabywców </w:t>
      </w:r>
      <w:r w:rsidRPr="00256A67">
        <w:t>odgrywa</w:t>
      </w:r>
      <w:r w:rsidR="00256A67">
        <w:t>ła w badanych latach</w:t>
      </w:r>
      <w:r w:rsidRPr="00256A67">
        <w:t xml:space="preserve"> szczególnie ważną rolę dla producentów poszczególnych usług turystycznych. Takie zestawienie w odniesieniu do podróży nierezydentów, gospodarstw domowych rezydentów i pozostałych elementów spożycia turystycznego zawiera wykres 2.</w:t>
      </w:r>
      <w:r w:rsidR="00256A67" w:rsidRPr="00256A67">
        <w:t>3</w:t>
      </w:r>
      <w:r w:rsidRPr="00256A67">
        <w:t xml:space="preserve">. </w:t>
      </w:r>
    </w:p>
    <w:p w14:paraId="3D3C2C70" w14:textId="4115A824" w:rsidR="00102BA0" w:rsidRDefault="00757B9A" w:rsidP="009E3693">
      <w:pPr>
        <w:pStyle w:val="tekst"/>
      </w:pPr>
      <w:bookmarkStart w:id="65" w:name="_Hlk113726669"/>
      <w:r w:rsidRPr="007E34F2">
        <w:t xml:space="preserve">Zarówno w </w:t>
      </w:r>
      <w:r w:rsidR="00102BA0" w:rsidRPr="007E34F2">
        <w:t>201</w:t>
      </w:r>
      <w:r w:rsidR="00256A67" w:rsidRPr="007E34F2">
        <w:t>8</w:t>
      </w:r>
      <w:r w:rsidRPr="007E34F2">
        <w:t>, jak i 2019</w:t>
      </w:r>
      <w:r w:rsidR="00102BA0" w:rsidRPr="007E34F2">
        <w:t xml:space="preserve"> roku </w:t>
      </w:r>
      <w:r w:rsidRPr="007E34F2">
        <w:t>głównymi klientami</w:t>
      </w:r>
      <w:r w:rsidR="00102BA0" w:rsidRPr="007E34F2">
        <w:t xml:space="preserve"> </w:t>
      </w:r>
      <w:r w:rsidRPr="007E34F2">
        <w:t xml:space="preserve">obiektów noclegowych były </w:t>
      </w:r>
      <w:r w:rsidR="00102BA0" w:rsidRPr="007E34F2">
        <w:t>gospodarstw</w:t>
      </w:r>
      <w:r w:rsidRPr="007E34F2">
        <w:t>a</w:t>
      </w:r>
      <w:r w:rsidR="00102BA0" w:rsidRPr="007E34F2">
        <w:t xml:space="preserve"> domow</w:t>
      </w:r>
      <w:r w:rsidRPr="007E34F2">
        <w:t>e</w:t>
      </w:r>
      <w:r w:rsidR="00102BA0" w:rsidRPr="007E34F2">
        <w:t xml:space="preserve"> rezydentów; przypadło na ni</w:t>
      </w:r>
      <w:r w:rsidRPr="007E34F2">
        <w:t xml:space="preserve">e odpowiednio 58,3% i </w:t>
      </w:r>
      <w:r w:rsidR="007E34F2" w:rsidRPr="007E34F2">
        <w:t>57,6</w:t>
      </w:r>
      <w:r w:rsidR="00102BA0" w:rsidRPr="007E34F2">
        <w:t xml:space="preserve">% spożycia tego typu usług. </w:t>
      </w:r>
      <w:r w:rsidR="007E34F2">
        <w:t>Odmiennie niż w poprzednich edycja</w:t>
      </w:r>
      <w:r w:rsidR="00B8442A">
        <w:t>ch</w:t>
      </w:r>
      <w:r w:rsidR="007E34F2">
        <w:t xml:space="preserve"> RST </w:t>
      </w:r>
      <w:r w:rsidR="007E34F2" w:rsidRPr="007E34F2">
        <w:t>dominacja</w:t>
      </w:r>
      <w:r w:rsidR="00102BA0" w:rsidRPr="007E34F2">
        <w:t xml:space="preserve"> popytu ze strony rezydentów jest </w:t>
      </w:r>
      <w:r w:rsidR="007E34F2" w:rsidRPr="007E34F2">
        <w:t>również bardzo</w:t>
      </w:r>
      <w:r w:rsidR="00102BA0" w:rsidRPr="007E34F2">
        <w:t xml:space="preserve"> wyraźna w odniesieniu do usług gastronomicznych, </w:t>
      </w:r>
      <w:r w:rsidR="007E34F2" w:rsidRPr="007E34F2">
        <w:t>ponadto rosnąca</w:t>
      </w:r>
      <w:r w:rsidR="00102BA0" w:rsidRPr="007E34F2">
        <w:t xml:space="preserve">: ok. </w:t>
      </w:r>
      <w:r w:rsidR="007E34F2" w:rsidRPr="007E34F2">
        <w:t>71,1</w:t>
      </w:r>
      <w:r w:rsidR="00102BA0" w:rsidRPr="00AD4FD0">
        <w:t>%</w:t>
      </w:r>
      <w:r w:rsidR="007E34F2" w:rsidRPr="00AD4FD0">
        <w:t xml:space="preserve"> (2018)</w:t>
      </w:r>
      <w:r w:rsidR="00102BA0" w:rsidRPr="00AD4FD0">
        <w:t xml:space="preserve"> </w:t>
      </w:r>
      <w:r w:rsidR="007E34F2" w:rsidRPr="00AD4FD0">
        <w:t xml:space="preserve">i 73,1% </w:t>
      </w:r>
      <w:r w:rsidR="00102BA0" w:rsidRPr="00AD4FD0">
        <w:t>(</w:t>
      </w:r>
      <w:r w:rsidR="007E34F2" w:rsidRPr="00AD4FD0">
        <w:t>2019)</w:t>
      </w:r>
      <w:r w:rsidR="00102BA0" w:rsidRPr="00AD4FD0">
        <w:t xml:space="preserve"> wydatków na usługi gastronomiczne przypada</w:t>
      </w:r>
      <w:r w:rsidR="007E34F2" w:rsidRPr="00AD4FD0">
        <w:t>ło</w:t>
      </w:r>
      <w:r w:rsidR="00102BA0" w:rsidRPr="00AD4FD0">
        <w:t xml:space="preserve"> na </w:t>
      </w:r>
      <w:r w:rsidR="007E34F2" w:rsidRPr="00AD4FD0">
        <w:t>spożycie tej grupy odwiedzających</w:t>
      </w:r>
      <w:r w:rsidR="00102BA0" w:rsidRPr="00AD4FD0">
        <w:t xml:space="preserve">. Jeśli chodzi o usługi transportu kolejowego, podstawową rolę odgrywają </w:t>
      </w:r>
      <w:r w:rsidR="00102BA0" w:rsidRPr="00AD4FD0">
        <w:rPr>
          <w:i/>
        </w:rPr>
        <w:t>inne składowe spożycia turystycznego</w:t>
      </w:r>
      <w:r w:rsidR="00102BA0" w:rsidRPr="00AD4FD0">
        <w:t xml:space="preserve"> (głównie podróże służbowe)</w:t>
      </w:r>
      <w:r w:rsidR="00AD4FD0" w:rsidRPr="00AD4FD0">
        <w:t>; w obydwu latach ok. 55%</w:t>
      </w:r>
      <w:r w:rsidR="00032E53">
        <w:t xml:space="preserve">, z kolei w </w:t>
      </w:r>
      <w:r w:rsidR="00032E53" w:rsidRPr="00032E53">
        <w:t>transporcie lotniczym wydatki nierezydentów (2018 - 63,9%, 2019 – 58,5%).</w:t>
      </w:r>
      <w:r w:rsidR="00102BA0" w:rsidRPr="00032E53">
        <w:t xml:space="preserve"> Usługi świadczone przez organizatorów turystyki i agencje turystyczne nabywane były w </w:t>
      </w:r>
      <w:r w:rsidR="00AD4FD0" w:rsidRPr="00032E53">
        <w:t xml:space="preserve">latach </w:t>
      </w:r>
      <w:r w:rsidR="00102BA0" w:rsidRPr="00032E53">
        <w:t>201</w:t>
      </w:r>
      <w:r w:rsidR="00AD4FD0" w:rsidRPr="00032E53">
        <w:t>8-2019</w:t>
      </w:r>
      <w:r w:rsidR="00102BA0" w:rsidRPr="00032E53">
        <w:t xml:space="preserve"> w </w:t>
      </w:r>
      <w:r w:rsidR="00032E53" w:rsidRPr="00032E53">
        <w:t>ok. 67%</w:t>
      </w:r>
      <w:r w:rsidR="00102BA0" w:rsidRPr="00032E53">
        <w:t xml:space="preserve"> przez gospodarstwa domowe rezydentów</w:t>
      </w:r>
      <w:r w:rsidR="00032E53" w:rsidRPr="00032E53">
        <w:t>.</w:t>
      </w:r>
    </w:p>
    <w:p w14:paraId="50E91CDD" w14:textId="77777777" w:rsidR="00CC4E5D" w:rsidRPr="00757B9A" w:rsidRDefault="00CC4E5D" w:rsidP="00CC4E5D">
      <w:pPr>
        <w:pStyle w:val="tekst"/>
      </w:pPr>
      <w:r w:rsidRPr="00757B9A">
        <w:t xml:space="preserve">Biorąc pod uwagę </w:t>
      </w:r>
      <w:r>
        <w:t xml:space="preserve">dane zawarte na wykresie 2.3. </w:t>
      </w:r>
      <w:r w:rsidRPr="00757B9A">
        <w:t xml:space="preserve">interesujące jest porównanie struktury spożycia głównych grup nabywców usług turystycznych, tzn. nierezydentów oraz rezydentów. </w:t>
      </w:r>
    </w:p>
    <w:p w14:paraId="76E0554D" w14:textId="77777777" w:rsidR="00CC4E5D" w:rsidRDefault="00CC4E5D" w:rsidP="009E3693">
      <w:pPr>
        <w:pStyle w:val="tekst"/>
      </w:pPr>
    </w:p>
    <w:p w14:paraId="0B027338" w14:textId="713BCA27" w:rsidR="002E29F3" w:rsidRDefault="002E29F3" w:rsidP="002E29F3">
      <w:pPr>
        <w:pStyle w:val="nazwa"/>
      </w:pPr>
      <w:bookmarkStart w:id="66" w:name="_Toc115437472"/>
      <w:r w:rsidRPr="00256A67">
        <w:lastRenderedPageBreak/>
        <w:t>Wykres 2.3. Krajowe spożycie turystyczne (pieniężne i w naturze) w </w:t>
      </w:r>
      <w:r>
        <w:t xml:space="preserve">latach </w:t>
      </w:r>
      <w:r w:rsidRPr="00256A67">
        <w:t>201</w:t>
      </w:r>
      <w:r>
        <w:t>8 - 2019</w:t>
      </w:r>
      <w:r w:rsidRPr="00256A67">
        <w:t xml:space="preserve"> według produktów i grup nabywców</w:t>
      </w:r>
      <w:bookmarkEnd w:id="66"/>
    </w:p>
    <w:p w14:paraId="2D764CEF" w14:textId="77777777" w:rsidR="001E6CAD" w:rsidRDefault="002E29F3" w:rsidP="00592D3F">
      <w:bookmarkStart w:id="67" w:name="_Hlk113726713"/>
      <w:bookmarkEnd w:id="65"/>
      <w:r w:rsidRPr="002D0180">
        <w:rPr>
          <w:rStyle w:val="Pogrubienie"/>
          <w:noProof/>
        </w:rPr>
        <w:drawing>
          <wp:inline distT="0" distB="0" distL="0" distR="0" wp14:anchorId="6C84E1EE" wp14:editId="7F6C673D">
            <wp:extent cx="6012000" cy="3780000"/>
            <wp:effectExtent l="0" t="0" r="8255" b="11430"/>
            <wp:docPr id="22" name="Wykres 22">
              <a:extLst xmlns:a="http://schemas.openxmlformats.org/drawingml/2006/main">
                <a:ext uri="{FF2B5EF4-FFF2-40B4-BE49-F238E27FC236}">
                  <a16:creationId xmlns:a16="http://schemas.microsoft.com/office/drawing/2014/main" id="{5A71ECD0-DB99-42FB-AA37-64AED4A98E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9A1423" w14:textId="15832796" w:rsidR="002E29F3" w:rsidRDefault="002E29F3" w:rsidP="00592D3F">
      <w:r w:rsidRPr="00592D3F">
        <w:rPr>
          <w:rStyle w:val="Pogrubienie"/>
          <w:noProof/>
        </w:rPr>
        <w:drawing>
          <wp:inline distT="0" distB="0" distL="0" distR="0" wp14:anchorId="6392663A" wp14:editId="01FE6269">
            <wp:extent cx="6012000" cy="3780000"/>
            <wp:effectExtent l="0" t="0" r="8255" b="11430"/>
            <wp:docPr id="21" name="Wykres 21">
              <a:extLst xmlns:a="http://schemas.openxmlformats.org/drawingml/2006/main">
                <a:ext uri="{FF2B5EF4-FFF2-40B4-BE49-F238E27FC236}">
                  <a16:creationId xmlns:a16="http://schemas.microsoft.com/office/drawing/2014/main" id="{225EDFC0-75D5-4703-A126-38C747007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C568B8" w14:textId="48090425" w:rsidR="00B23C8D" w:rsidRPr="00477E32" w:rsidRDefault="00B23C8D" w:rsidP="00B82876">
      <w:pPr>
        <w:pStyle w:val="gwiazdki"/>
      </w:pPr>
      <w:r w:rsidRPr="00477E32">
        <w:t>*</w:t>
      </w:r>
      <w:r w:rsidR="00B82876">
        <w:tab/>
      </w:r>
      <w:r w:rsidRPr="00477E32">
        <w:t>łącznie z korzystaniem z własnych drugich domów</w:t>
      </w:r>
    </w:p>
    <w:p w14:paraId="234F05B4" w14:textId="2C669E1F" w:rsidR="00B23C8D" w:rsidRPr="00477E32" w:rsidRDefault="00B23C8D" w:rsidP="00B82876">
      <w:pPr>
        <w:pStyle w:val="gwiazdki"/>
      </w:pPr>
      <w:r w:rsidRPr="00477E32">
        <w:t>**</w:t>
      </w:r>
      <w:r w:rsidR="00B82876">
        <w:tab/>
      </w:r>
      <w:r w:rsidRPr="00477E32">
        <w:t>łącznie z marżą detaliczną</w:t>
      </w:r>
    </w:p>
    <w:p w14:paraId="2C05C3D5" w14:textId="2A4D3139" w:rsidR="00B23C8D" w:rsidRPr="008C0351" w:rsidRDefault="00B23C8D" w:rsidP="009E3693">
      <w:pPr>
        <w:pStyle w:val="rdo"/>
      </w:pPr>
      <w:r w:rsidRPr="008C0351">
        <w:t>Źródło: oszacowania własne</w:t>
      </w:r>
      <w:bookmarkEnd w:id="67"/>
    </w:p>
    <w:p w14:paraId="4AE8B8A4" w14:textId="0DAD1708" w:rsidR="001D504F" w:rsidRPr="001D504F" w:rsidRDefault="00F8216E" w:rsidP="009E3693">
      <w:pPr>
        <w:pStyle w:val="Nagwek3"/>
      </w:pPr>
      <w:bookmarkStart w:id="68" w:name="_Toc115441450"/>
      <w:r>
        <w:lastRenderedPageBreak/>
        <w:t xml:space="preserve">2.2.2. </w:t>
      </w:r>
      <w:r w:rsidR="001D504F" w:rsidRPr="001D504F">
        <w:t>Spożycie turystyczne nierezydentów</w:t>
      </w:r>
      <w:bookmarkStart w:id="69" w:name="_Hlk113732209"/>
      <w:bookmarkEnd w:id="68"/>
    </w:p>
    <w:p w14:paraId="1A2568C2" w14:textId="77777777" w:rsidR="00E30C18" w:rsidRDefault="00FF7F4F" w:rsidP="00E30C18">
      <w:pPr>
        <w:pStyle w:val="tekst"/>
      </w:pPr>
      <w:bookmarkStart w:id="70" w:name="_Hlk113726761"/>
      <w:bookmarkEnd w:id="69"/>
      <w:r w:rsidRPr="00C534F9">
        <w:t xml:space="preserve">W </w:t>
      </w:r>
      <w:r w:rsidR="00A2081F" w:rsidRPr="00C534F9">
        <w:t xml:space="preserve">latach 2018 i 2019 </w:t>
      </w:r>
      <w:r w:rsidRPr="00C534F9">
        <w:t xml:space="preserve">łączne </w:t>
      </w:r>
      <w:r w:rsidRPr="001E6CAD">
        <w:rPr>
          <w:rStyle w:val="Pogrubienie"/>
        </w:rPr>
        <w:t>wydatki nierezydentów</w:t>
      </w:r>
      <w:r w:rsidRPr="00C534F9">
        <w:t xml:space="preserve"> poniesione na rzecz polskich podmiotów gospodarczych (na terenie Polski i za granicą</w:t>
      </w:r>
      <w:r w:rsidR="00A2081F" w:rsidRPr="00C534F9">
        <w:t>, przed podróżą</w:t>
      </w:r>
      <w:r w:rsidRPr="00C534F9">
        <w:t xml:space="preserve">) oszacowano na poziomie </w:t>
      </w:r>
      <w:r w:rsidR="00C534F9" w:rsidRPr="00C534F9">
        <w:t xml:space="preserve">odpowiednio </w:t>
      </w:r>
      <w:r w:rsidR="00C534F9" w:rsidRPr="001E6CAD">
        <w:rPr>
          <w:rStyle w:val="Pogrubienie"/>
        </w:rPr>
        <w:t>49</w:t>
      </w:r>
      <w:r w:rsidR="00C07CC4" w:rsidRPr="001E6CAD">
        <w:rPr>
          <w:rStyle w:val="Pogrubienie"/>
        </w:rPr>
        <w:t xml:space="preserve"> </w:t>
      </w:r>
      <w:r w:rsidR="00C534F9" w:rsidRPr="001E6CAD">
        <w:rPr>
          <w:rStyle w:val="Pogrubienie"/>
        </w:rPr>
        <w:t xml:space="preserve">657,3 </w:t>
      </w:r>
      <w:r w:rsidRPr="001E6CAD">
        <w:rPr>
          <w:rStyle w:val="Pogrubienie"/>
        </w:rPr>
        <w:t>mln PLN</w:t>
      </w:r>
      <w:r w:rsidR="00C534F9" w:rsidRPr="001E6CAD">
        <w:rPr>
          <w:rStyle w:val="Pogrubienie"/>
        </w:rPr>
        <w:t xml:space="preserve"> i 50 839,6 mln PLN</w:t>
      </w:r>
      <w:r w:rsidR="00FE02D0" w:rsidRPr="001E6CAD">
        <w:rPr>
          <w:rStyle w:val="Pogrubienie"/>
        </w:rPr>
        <w:t xml:space="preserve"> </w:t>
      </w:r>
      <w:r w:rsidR="00FE02D0" w:rsidRPr="00FE02D0">
        <w:rPr>
          <w:bCs/>
        </w:rPr>
        <w:t>(wzrost o 2</w:t>
      </w:r>
      <w:r w:rsidR="00FE02D0" w:rsidRPr="00C07CC4">
        <w:rPr>
          <w:bCs/>
        </w:rPr>
        <w:t>,4%)</w:t>
      </w:r>
      <w:r w:rsidRPr="00C07CC4">
        <w:rPr>
          <w:bCs/>
        </w:rPr>
        <w:t>.</w:t>
      </w:r>
      <w:r w:rsidRPr="00C07CC4">
        <w:t xml:space="preserve"> </w:t>
      </w:r>
      <w:r w:rsidR="00C07CC4" w:rsidRPr="00C07CC4">
        <w:t>Wartość z</w:t>
      </w:r>
      <w:r w:rsidRPr="00C07CC4">
        <w:t>akup</w:t>
      </w:r>
      <w:r w:rsidR="00C07CC4" w:rsidRPr="00C07CC4">
        <w:t>ów</w:t>
      </w:r>
      <w:r w:rsidRPr="00C07CC4">
        <w:t xml:space="preserve"> </w:t>
      </w:r>
      <w:r w:rsidRPr="00C07CC4">
        <w:rPr>
          <w:i/>
        </w:rPr>
        <w:t xml:space="preserve">charakterystycznych produktów turystycznych </w:t>
      </w:r>
      <w:r w:rsidR="00C07CC4" w:rsidRPr="00C07CC4">
        <w:rPr>
          <w:iCs/>
        </w:rPr>
        <w:t xml:space="preserve">(łącznie z krajowymi charakterystycznymi) </w:t>
      </w:r>
      <w:r w:rsidRPr="00C07CC4">
        <w:t xml:space="preserve">oszacowano </w:t>
      </w:r>
      <w:r w:rsidR="00C07CC4" w:rsidRPr="00C07CC4">
        <w:t xml:space="preserve">odpowiednio </w:t>
      </w:r>
      <w:r w:rsidRPr="00C07CC4">
        <w:t xml:space="preserve">na </w:t>
      </w:r>
      <w:r w:rsidR="00C07CC4" w:rsidRPr="00C07CC4">
        <w:t>19 625</w:t>
      </w:r>
      <w:r w:rsidRPr="00C07CC4">
        <w:t xml:space="preserve"> mln </w:t>
      </w:r>
      <w:r w:rsidR="00C07CC4" w:rsidRPr="00C07CC4">
        <w:t>i 21 758 mln PLN</w:t>
      </w:r>
      <w:r w:rsidRPr="00C07CC4">
        <w:t xml:space="preserve"> (tj. </w:t>
      </w:r>
      <w:r w:rsidR="00C07CC4" w:rsidRPr="00C07CC4">
        <w:t>39,5</w:t>
      </w:r>
      <w:r w:rsidRPr="00C07CC4">
        <w:t>%</w:t>
      </w:r>
      <w:r w:rsidR="00C07CC4" w:rsidRPr="00C07CC4">
        <w:t xml:space="preserve"> i 42,8%</w:t>
      </w:r>
      <w:r w:rsidRPr="00C07CC4">
        <w:t>), a </w:t>
      </w:r>
      <w:r w:rsidRPr="00C07CC4">
        <w:rPr>
          <w:i/>
        </w:rPr>
        <w:t>związanych z turystyką i pozostałych produktów i usług</w:t>
      </w:r>
      <w:r w:rsidRPr="00C07CC4">
        <w:t xml:space="preserve"> – na sumę </w:t>
      </w:r>
      <w:r w:rsidR="00C07CC4" w:rsidRPr="00C07CC4">
        <w:t>30 032</w:t>
      </w:r>
      <w:r w:rsidRPr="00C07CC4">
        <w:t xml:space="preserve"> mln PLN </w:t>
      </w:r>
      <w:r w:rsidR="00C07CC4" w:rsidRPr="00C07CC4">
        <w:t xml:space="preserve">w 2018 roku i 29 082 mln PLN w 2019 </w:t>
      </w:r>
      <w:r w:rsidR="00C07CC4" w:rsidRPr="00EB7847">
        <w:t xml:space="preserve">roku </w:t>
      </w:r>
      <w:r w:rsidRPr="00EB7847">
        <w:t>(tj. pozostałe 60</w:t>
      </w:r>
      <w:r w:rsidR="00C07CC4" w:rsidRPr="00EB7847">
        <w:t>,5</w:t>
      </w:r>
      <w:r w:rsidRPr="00EB7847">
        <w:t>%</w:t>
      </w:r>
      <w:r w:rsidR="00C07CC4" w:rsidRPr="00EB7847">
        <w:t xml:space="preserve"> i 57,2% ogółu wydatków nierezydentów</w:t>
      </w:r>
      <w:r w:rsidRPr="00EB7847">
        <w:t xml:space="preserve">). </w:t>
      </w:r>
      <w:bookmarkEnd w:id="70"/>
      <w:r w:rsidR="00EB7847" w:rsidRPr="00EB7847">
        <w:t xml:space="preserve">Należy podkreślić, że </w:t>
      </w:r>
      <w:r w:rsidRPr="00EB7847">
        <w:t xml:space="preserve">udział tej drugiej kategorii jest </w:t>
      </w:r>
      <w:r w:rsidR="00EB7847" w:rsidRPr="00EB7847">
        <w:t xml:space="preserve">we wszystkich badanych latach </w:t>
      </w:r>
      <w:r w:rsidRPr="00EB7847">
        <w:t xml:space="preserve">bardzo </w:t>
      </w:r>
      <w:r w:rsidR="00EB7847" w:rsidRPr="00EB7847">
        <w:t>duży</w:t>
      </w:r>
      <w:r w:rsidRPr="00EB7847">
        <w:t xml:space="preserve">, a </w:t>
      </w:r>
      <w:r w:rsidR="00EB7847" w:rsidRPr="00EB7847">
        <w:t xml:space="preserve">w 2018 roku był szczególnie istotny. </w:t>
      </w:r>
      <w:r w:rsidRPr="00EB7847">
        <w:t xml:space="preserve">Znaczenie </w:t>
      </w:r>
      <w:r w:rsidR="00EB7847" w:rsidRPr="00EB7847">
        <w:t xml:space="preserve">spożycia </w:t>
      </w:r>
      <w:r w:rsidRPr="00EB7847">
        <w:t>produkt</w:t>
      </w:r>
      <w:r w:rsidR="00EB7847" w:rsidRPr="00EB7847">
        <w:t>ów</w:t>
      </w:r>
      <w:r w:rsidRPr="00EB7847">
        <w:t xml:space="preserve"> </w:t>
      </w:r>
      <w:r w:rsidRPr="00EB7847">
        <w:rPr>
          <w:i/>
        </w:rPr>
        <w:t>związan</w:t>
      </w:r>
      <w:r w:rsidR="00EB7847" w:rsidRPr="00EB7847">
        <w:rPr>
          <w:i/>
        </w:rPr>
        <w:t>ych</w:t>
      </w:r>
      <w:r w:rsidRPr="00EB7847">
        <w:rPr>
          <w:i/>
        </w:rPr>
        <w:t xml:space="preserve"> z turystyką i pozostał</w:t>
      </w:r>
      <w:r w:rsidR="00EB7847" w:rsidRPr="00EB7847">
        <w:rPr>
          <w:i/>
        </w:rPr>
        <w:t>ych</w:t>
      </w:r>
      <w:r w:rsidRPr="00EB7847">
        <w:t xml:space="preserve"> wynika z wysokiego poziomu wydatków nierezydentów ponoszonych w związku z zakupami na własne potrzeby, wliczanymi</w:t>
      </w:r>
      <w:r w:rsidR="00EB7847" w:rsidRPr="00EB7847">
        <w:t xml:space="preserve"> </w:t>
      </w:r>
      <w:r w:rsidRPr="00EB7847">
        <w:t>– zgodnie z metodologią RST – do wydatku turystycznego.</w:t>
      </w:r>
      <w:r w:rsidR="00EB7847" w:rsidRPr="00EB7847">
        <w:t xml:space="preserve"> Odnosi się to w szczególności do przyjazdów z Ukrainy.</w:t>
      </w:r>
      <w:bookmarkStart w:id="71" w:name="_Toc223141258"/>
      <w:bookmarkStart w:id="72" w:name="_Toc486561682"/>
      <w:bookmarkStart w:id="73" w:name="_Toc486566128"/>
      <w:bookmarkStart w:id="74" w:name="_Toc486566332"/>
    </w:p>
    <w:p w14:paraId="0371B0E5" w14:textId="77777777" w:rsidR="003D7E17" w:rsidRDefault="003D7E17" w:rsidP="00E30C18">
      <w:pPr>
        <w:pStyle w:val="tekst"/>
      </w:pPr>
    </w:p>
    <w:p w14:paraId="2C7951AA" w14:textId="19923C71" w:rsidR="00FF7F4F" w:rsidRDefault="00FF7F4F" w:rsidP="00156637">
      <w:pPr>
        <w:pStyle w:val="nazwa"/>
      </w:pPr>
      <w:bookmarkStart w:id="75" w:name="_Toc115437473"/>
      <w:r w:rsidRPr="00EB7847">
        <w:t>Wykres 2.</w:t>
      </w:r>
      <w:r w:rsidR="00B8442A">
        <w:t>4</w:t>
      </w:r>
      <w:r w:rsidRPr="00EB7847">
        <w:t>. Wydatki nierezydentów w </w:t>
      </w:r>
      <w:r w:rsidR="00EB7847" w:rsidRPr="00EB7847">
        <w:t xml:space="preserve">latach 2018 – 2019 </w:t>
      </w:r>
      <w:r w:rsidRPr="00EB7847">
        <w:t>według produktów</w:t>
      </w:r>
      <w:bookmarkEnd w:id="71"/>
      <w:bookmarkEnd w:id="72"/>
      <w:bookmarkEnd w:id="73"/>
      <w:bookmarkEnd w:id="74"/>
      <w:bookmarkEnd w:id="75"/>
    </w:p>
    <w:p w14:paraId="4000FAD9" w14:textId="420F3B1D" w:rsidR="002D0180" w:rsidRPr="00EB7847" w:rsidRDefault="00230D5D" w:rsidP="00FF7F4F">
      <w:pPr>
        <w:jc w:val="both"/>
        <w:rPr>
          <w:rFonts w:ascii="Times New Roman" w:eastAsia="Times New Roman" w:hAnsi="Times New Roman" w:cs="Times New Roman"/>
          <w:b/>
          <w:iCs/>
          <w:sz w:val="24"/>
          <w:szCs w:val="24"/>
          <w:lang w:eastAsia="pl-PL"/>
        </w:rPr>
      </w:pPr>
      <w:r>
        <w:rPr>
          <w:noProof/>
        </w:rPr>
        <w:drawing>
          <wp:inline distT="0" distB="0" distL="0" distR="0" wp14:anchorId="5D5BADBC" wp14:editId="4918015C">
            <wp:extent cx="5760000" cy="5040000"/>
            <wp:effectExtent l="0" t="0" r="12700" b="8255"/>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8F6F63E" w14:textId="19BCB12B" w:rsidR="00230D5D" w:rsidRDefault="001421AD" w:rsidP="00A662EC">
      <w:pPr>
        <w:pStyle w:val="gwiazdki"/>
      </w:pPr>
      <w:bookmarkStart w:id="76" w:name="_Hlk109338187"/>
      <w:r>
        <w:rPr>
          <w:noProof/>
        </w:rPr>
        <w:lastRenderedPageBreak/>
        <w:drawing>
          <wp:inline distT="0" distB="0" distL="0" distR="0" wp14:anchorId="76E5759E" wp14:editId="2D952387">
            <wp:extent cx="5760000" cy="5040000"/>
            <wp:effectExtent l="0" t="0" r="12700" b="8255"/>
            <wp:docPr id="43" name="Wykres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0C3074" w14:textId="3293537F" w:rsidR="008C0351" w:rsidRPr="00F12DF7" w:rsidRDefault="00F12DF7" w:rsidP="00A662EC">
      <w:pPr>
        <w:pStyle w:val="gwiazdki"/>
      </w:pPr>
      <w:r>
        <w:t>*</w:t>
      </w:r>
      <w:r w:rsidR="00A662EC">
        <w:tab/>
      </w:r>
      <w:r w:rsidR="008C0351" w:rsidRPr="00F12DF7">
        <w:t>łącznie z korzystaniem z własnych drugich domów</w:t>
      </w:r>
    </w:p>
    <w:p w14:paraId="64ABD710" w14:textId="79D09D96" w:rsidR="008C0351" w:rsidRPr="00477E32" w:rsidRDefault="008C0351" w:rsidP="00A662EC">
      <w:pPr>
        <w:pStyle w:val="gwiazdki"/>
      </w:pPr>
      <w:r w:rsidRPr="00477E32">
        <w:t>**</w:t>
      </w:r>
      <w:r w:rsidR="00A662EC">
        <w:tab/>
      </w:r>
      <w:r w:rsidRPr="00477E32">
        <w:t>łącznie z marżą detaliczną</w:t>
      </w:r>
    </w:p>
    <w:p w14:paraId="5B16FA8E" w14:textId="1680BA9C" w:rsidR="00F12DF7" w:rsidRPr="00F12DF7" w:rsidRDefault="00F12DF7" w:rsidP="009E3693">
      <w:pPr>
        <w:pStyle w:val="rdo"/>
      </w:pPr>
      <w:r w:rsidRPr="00F12DF7">
        <w:t>Źródło: oszacowania własne</w:t>
      </w:r>
    </w:p>
    <w:p w14:paraId="12C02725" w14:textId="4412AB7A" w:rsidR="00FF7F4F" w:rsidRPr="00A96E22" w:rsidRDefault="00FF7F4F" w:rsidP="000D1C90">
      <w:pPr>
        <w:pStyle w:val="tekst"/>
      </w:pPr>
      <w:bookmarkStart w:id="77" w:name="_Hlk113726800"/>
      <w:bookmarkEnd w:id="76"/>
      <w:r w:rsidRPr="00C81421">
        <w:t>W</w:t>
      </w:r>
      <w:r w:rsidR="00F42442" w:rsidRPr="00C81421">
        <w:t>śród</w:t>
      </w:r>
      <w:r w:rsidRPr="00C81421">
        <w:t xml:space="preserve"> </w:t>
      </w:r>
      <w:r w:rsidRPr="00C81421">
        <w:rPr>
          <w:i/>
        </w:rPr>
        <w:t>charakterystycznych produktów turystycznych</w:t>
      </w:r>
      <w:r w:rsidR="00F42442" w:rsidRPr="00C81421">
        <w:rPr>
          <w:i/>
        </w:rPr>
        <w:t xml:space="preserve"> </w:t>
      </w:r>
      <w:r w:rsidR="00F42442" w:rsidRPr="00C81421">
        <w:rPr>
          <w:iCs/>
        </w:rPr>
        <w:t>(łącznie z krajowymi charakterystycznymi)</w:t>
      </w:r>
      <w:r w:rsidRPr="00C81421">
        <w:rPr>
          <w:i/>
        </w:rPr>
        <w:t xml:space="preserve"> </w:t>
      </w:r>
      <w:r w:rsidRPr="00C81421">
        <w:t>najważniejszą pozycję spożycia tu</w:t>
      </w:r>
      <w:r w:rsidRPr="00C81421">
        <w:softHyphen/>
        <w:t>rystycznego nierezydentów stanowiły</w:t>
      </w:r>
      <w:r w:rsidR="00F42442" w:rsidRPr="00C81421">
        <w:t xml:space="preserve"> w obydwu badanych latach </w:t>
      </w:r>
      <w:r w:rsidRPr="00C81421">
        <w:t xml:space="preserve">usługi związane z </w:t>
      </w:r>
      <w:r w:rsidR="00F42442" w:rsidRPr="00C81421">
        <w:t>zakwaterowaniem</w:t>
      </w:r>
      <w:r w:rsidRPr="00C81421">
        <w:t xml:space="preserve"> (</w:t>
      </w:r>
      <w:r w:rsidR="00F42442" w:rsidRPr="00C81421">
        <w:t>w 2018 roku 26,7</w:t>
      </w:r>
      <w:r w:rsidRPr="00C81421">
        <w:t>% CPT</w:t>
      </w:r>
      <w:r w:rsidR="00F42442" w:rsidRPr="00C81421">
        <w:t>, w 2019 – 28,1%)</w:t>
      </w:r>
      <w:r w:rsidR="003552B2">
        <w:t>, a następnie z żywieniem (odpowiednio 24,4% i 22,1%)</w:t>
      </w:r>
      <w:r w:rsidR="00F42442" w:rsidRPr="00C81421">
        <w:t xml:space="preserve">. </w:t>
      </w:r>
      <w:r w:rsidR="00A96E22">
        <w:t>W 2018 roku koszty zakwaterowania pochłonęły 10,6% wydatków ogółem, koszty wyżywienia – 9,6%. W 2019 roku odpowiednio 12,1% i 9,5%. Zgodnie z metodologią RST oraz podobnie jak w poprzednich latach, s</w:t>
      </w:r>
      <w:r w:rsidRPr="00A96E22">
        <w:t>pożycie turystyczne w zakresie zakwaterowania obejmuje zarówno korzystanie z hoteli, jak i pozostałych obiektów zakwaterowania oraz oszacowane czynsze umowne za korzystanie z własnych domów i mieszkań wakacyjnych.</w:t>
      </w:r>
    </w:p>
    <w:p w14:paraId="70AA7EAB" w14:textId="6EB1FDF1" w:rsidR="00FF7F4F" w:rsidRPr="00C230C8" w:rsidRDefault="008B7D49" w:rsidP="000D1C90">
      <w:pPr>
        <w:pStyle w:val="tekst"/>
      </w:pPr>
      <w:r w:rsidRPr="008B7D49">
        <w:t>Większy niż w poprzednich latach, dla których przygotowano RST</w:t>
      </w:r>
      <w:r>
        <w:t>,</w:t>
      </w:r>
      <w:r w:rsidRPr="008B7D49">
        <w:t xml:space="preserve"> był </w:t>
      </w:r>
      <w:r w:rsidR="00FF7F4F" w:rsidRPr="008B7D49">
        <w:t>udział wydatków na usługi tran</w:t>
      </w:r>
      <w:r w:rsidR="00FF7F4F" w:rsidRPr="008B7D49">
        <w:softHyphen/>
        <w:t>spor</w:t>
      </w:r>
      <w:r w:rsidR="00FF7F4F" w:rsidRPr="008B7D49">
        <w:softHyphen/>
        <w:t xml:space="preserve">tu pasażerskiego świadczone przez polskich </w:t>
      </w:r>
      <w:r w:rsidR="00FF7F4F" w:rsidRPr="00CF4AB5">
        <w:t>przewoźników (wszystkie rodzaje transportu łącz</w:t>
      </w:r>
      <w:r w:rsidR="00FF7F4F" w:rsidRPr="00CF4AB5">
        <w:softHyphen/>
        <w:t>nie, bez zakup</w:t>
      </w:r>
      <w:r w:rsidR="00C230C8">
        <w:t>u</w:t>
      </w:r>
      <w:r w:rsidR="00FF7F4F" w:rsidRPr="00CF4AB5">
        <w:t xml:space="preserve"> paliw: </w:t>
      </w:r>
      <w:r w:rsidRPr="00CF4AB5">
        <w:t xml:space="preserve">w 2018 11,4%, w 2019 12,1% spożycia ogółem). </w:t>
      </w:r>
      <w:r w:rsidR="00FF7F4F" w:rsidRPr="00CF4AB5">
        <w:t>Udział wydatków na transport jest konsekwencją struktury przyjazdów cudzoziemców do Polski według środków tran</w:t>
      </w:r>
      <w:r w:rsidR="00FF7F4F" w:rsidRPr="00CF4AB5">
        <w:softHyphen/>
        <w:t>sportu</w:t>
      </w:r>
      <w:r w:rsidRPr="00CF4AB5">
        <w:t>, w tym</w:t>
      </w:r>
      <w:r w:rsidR="00FF7F4F" w:rsidRPr="00CF4AB5">
        <w:t xml:space="preserve"> dynamicznego rozwoju </w:t>
      </w:r>
      <w:r w:rsidR="00CF4AB5">
        <w:t xml:space="preserve">w badanych latach </w:t>
      </w:r>
      <w:r w:rsidR="00FF7F4F" w:rsidRPr="00CF4AB5">
        <w:t>pasażerskiego ruchu lotniczego</w:t>
      </w:r>
      <w:r w:rsidRPr="00CF4AB5">
        <w:t>.</w:t>
      </w:r>
      <w:bookmarkEnd w:id="77"/>
      <w:r w:rsidRPr="00CF4AB5">
        <w:t xml:space="preserve"> </w:t>
      </w:r>
      <w:r w:rsidR="00CF4AB5" w:rsidRPr="00CF4AB5">
        <w:t>Z poprzednich oszacowań RST (do 2015 włącznie) wynikało, że</w:t>
      </w:r>
      <w:r w:rsidR="00FF7F4F" w:rsidRPr="00CF4AB5">
        <w:t xml:space="preserve"> zdecydowana większość niere</w:t>
      </w:r>
      <w:r w:rsidR="00FF7F4F" w:rsidRPr="00CF4AB5">
        <w:softHyphen/>
        <w:t>zydentów korzysta</w:t>
      </w:r>
      <w:r w:rsidR="00CF4AB5" w:rsidRPr="00CF4AB5">
        <w:t>ła</w:t>
      </w:r>
      <w:r w:rsidR="00FF7F4F" w:rsidRPr="00CF4AB5">
        <w:t xml:space="preserve"> z własnych samochodów osobowych, co powod</w:t>
      </w:r>
      <w:r w:rsidR="00CF4AB5" w:rsidRPr="00CF4AB5">
        <w:t>owało</w:t>
      </w:r>
      <w:r w:rsidR="00FF7F4F" w:rsidRPr="00CF4AB5">
        <w:t>, że wydatki na zakup paliw</w:t>
      </w:r>
      <w:r w:rsidR="00CF4AB5" w:rsidRPr="00CF4AB5">
        <w:t xml:space="preserve"> przewyższały wydatki na zakup usług polskich przewoźników. W latach 2018 i 2019 sytuacja uległa zmianie: wydatki na zakup paliw stanowiły odpowiednio </w:t>
      </w:r>
      <w:r w:rsidRPr="00CF4AB5">
        <w:t>7,4% (2018) i 7,3% (2019)</w:t>
      </w:r>
      <w:r w:rsidR="00CF4AB5" w:rsidRPr="00CF4AB5">
        <w:t xml:space="preserve"> </w:t>
      </w:r>
      <w:r w:rsidR="00FF7F4F" w:rsidRPr="00CF4AB5">
        <w:t>łącznego spożycia nierezydentów odwiedzających Polskę</w:t>
      </w:r>
      <w:r w:rsidR="00CF4AB5" w:rsidRPr="00CF4AB5">
        <w:t xml:space="preserve"> i były </w:t>
      </w:r>
      <w:r w:rsidR="00CF4AB5">
        <w:t xml:space="preserve">istotnie </w:t>
      </w:r>
      <w:r w:rsidR="00CF4AB5" w:rsidRPr="00CF4AB5">
        <w:t>niższe od wydatków na usługi</w:t>
      </w:r>
      <w:r w:rsidR="00FF7F4F" w:rsidRPr="00CF4AB5">
        <w:t xml:space="preserve"> polskich przewoźników z tytułu przewozu </w:t>
      </w:r>
      <w:r w:rsidR="00FF7F4F" w:rsidRPr="00C230C8">
        <w:t>turystów. Należy odnotować</w:t>
      </w:r>
      <w:r w:rsidR="00C230C8" w:rsidRPr="00C230C8">
        <w:t xml:space="preserve"> również</w:t>
      </w:r>
      <w:r w:rsidR="00FF7F4F" w:rsidRPr="00C230C8">
        <w:t xml:space="preserve">, że w usługach transportowych największy udział miał pasażerski transport </w:t>
      </w:r>
      <w:r w:rsidR="00FF7F4F" w:rsidRPr="00C230C8">
        <w:lastRenderedPageBreak/>
        <w:t>lotniczy (</w:t>
      </w:r>
      <w:r w:rsidR="00C230C8" w:rsidRPr="00C230C8">
        <w:t>w 2018 roku 74,9</w:t>
      </w:r>
      <w:r w:rsidR="00FF7F4F" w:rsidRPr="00C230C8">
        <w:t>%</w:t>
      </w:r>
      <w:r w:rsidR="00C230C8" w:rsidRPr="00C230C8">
        <w:t>, w 2019</w:t>
      </w:r>
      <w:r w:rsidR="009B3416">
        <w:t xml:space="preserve"> </w:t>
      </w:r>
      <w:r w:rsidR="00FF7F4F" w:rsidRPr="00C230C8">
        <w:t xml:space="preserve">– </w:t>
      </w:r>
      <w:r w:rsidR="00C230C8" w:rsidRPr="00C230C8">
        <w:t>74,0</w:t>
      </w:r>
      <w:r w:rsidR="00FF7F4F" w:rsidRPr="00C230C8">
        <w:t>%), a następnie usługi pasażerskiego transportu lądowego (</w:t>
      </w:r>
      <w:r w:rsidR="00C230C8" w:rsidRPr="00C230C8">
        <w:t>odpowiednio 8,3</w:t>
      </w:r>
      <w:r w:rsidR="00FF7F4F" w:rsidRPr="00C230C8">
        <w:t xml:space="preserve">% </w:t>
      </w:r>
      <w:r w:rsidR="00C230C8" w:rsidRPr="00C230C8">
        <w:t>i 7,1%</w:t>
      </w:r>
      <w:r w:rsidR="00FF7F4F" w:rsidRPr="00C230C8">
        <w:t xml:space="preserve">). Struktura wydatków na zakup usług najczęściej wykorzystywanych środków transportu jest dość stabilna. </w:t>
      </w:r>
      <w:r w:rsidR="00C230C8" w:rsidRPr="00C230C8">
        <w:t>Z</w:t>
      </w:r>
      <w:r w:rsidR="00FF7F4F" w:rsidRPr="00C230C8">
        <w:t xml:space="preserve">wraca uwagę fakt, że znaczenie transportu lotniczego wynika przede wszystkim ze wzrostu liczby obsłużonych pasażerów; poziom łącznego spożycia utrzymuje się pomimo spadku cen biletów, wymuszonego przez konkurencję ze strony przewoźników </w:t>
      </w:r>
      <w:proofErr w:type="spellStart"/>
      <w:r w:rsidR="00FF7F4F" w:rsidRPr="00C230C8">
        <w:t>niskokosztowych</w:t>
      </w:r>
      <w:proofErr w:type="spellEnd"/>
      <w:r w:rsidR="00FF7F4F" w:rsidRPr="00C230C8">
        <w:t>.</w:t>
      </w:r>
    </w:p>
    <w:p w14:paraId="53954CD9" w14:textId="17754B05" w:rsidR="00FF7F4F" w:rsidRDefault="00FF7F4F" w:rsidP="000D1C90">
      <w:pPr>
        <w:pStyle w:val="nazwa"/>
      </w:pPr>
      <w:bookmarkStart w:id="78" w:name="_Toc223141259"/>
      <w:bookmarkStart w:id="79" w:name="_Toc486561683"/>
      <w:bookmarkStart w:id="80" w:name="_Toc486566129"/>
      <w:bookmarkStart w:id="81" w:name="_Toc486566333"/>
      <w:bookmarkStart w:id="82" w:name="_Toc115437474"/>
      <w:r w:rsidRPr="000C2F13">
        <w:t>Wykres 2.</w:t>
      </w:r>
      <w:r w:rsidR="00B8442A">
        <w:t>5</w:t>
      </w:r>
      <w:r w:rsidRPr="000C2F13">
        <w:t>. Struktura spożycia turystycznego nierezydentów w </w:t>
      </w:r>
      <w:r w:rsidR="000C2F13" w:rsidRPr="000C2F13">
        <w:t>latach 2018 i 2019</w:t>
      </w:r>
      <w:bookmarkEnd w:id="78"/>
      <w:bookmarkEnd w:id="79"/>
      <w:bookmarkEnd w:id="80"/>
      <w:bookmarkEnd w:id="81"/>
      <w:bookmarkEnd w:id="82"/>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2"/>
        <w:gridCol w:w="5580"/>
      </w:tblGrid>
      <w:tr w:rsidR="000C2F13" w14:paraId="5ED2D6B3" w14:textId="77777777" w:rsidTr="00B97E8C">
        <w:trPr>
          <w:cantSplit/>
        </w:trPr>
        <w:tc>
          <w:tcPr>
            <w:tcW w:w="3492" w:type="dxa"/>
          </w:tcPr>
          <w:p w14:paraId="25908F8B" w14:textId="7B4894FD" w:rsidR="000C2F13" w:rsidRPr="005F7D71" w:rsidRDefault="000C2F13" w:rsidP="00D15CC7">
            <w:pPr>
              <w:ind w:left="284"/>
              <w:rPr>
                <w:rFonts w:eastAsia="Times New Roman" w:cstheme="minorHAnsi"/>
                <w:b/>
                <w:iCs/>
                <w:lang w:eastAsia="pl-PL"/>
              </w:rPr>
            </w:pPr>
            <w:r w:rsidRPr="005F7D71">
              <w:rPr>
                <w:rFonts w:eastAsia="Times New Roman" w:cstheme="minorHAnsi"/>
                <w:b/>
                <w:iCs/>
                <w:color w:val="7F7F7F" w:themeColor="text1" w:themeTint="80"/>
                <w:lang w:eastAsia="pl-PL"/>
              </w:rPr>
              <w:t>2018</w:t>
            </w:r>
          </w:p>
        </w:tc>
        <w:tc>
          <w:tcPr>
            <w:tcW w:w="5580" w:type="dxa"/>
          </w:tcPr>
          <w:p w14:paraId="35DF9E90" w14:textId="7D41A8A9" w:rsidR="000C2F13" w:rsidRPr="005F7D71" w:rsidRDefault="000C2F13" w:rsidP="00D15CC7">
            <w:pPr>
              <w:ind w:right="284"/>
              <w:jc w:val="right"/>
              <w:rPr>
                <w:rFonts w:eastAsia="Times New Roman" w:cstheme="minorHAnsi"/>
                <w:b/>
                <w:iCs/>
                <w:lang w:eastAsia="pl-PL"/>
              </w:rPr>
            </w:pPr>
            <w:r w:rsidRPr="005F7D71">
              <w:rPr>
                <w:rFonts w:eastAsia="Times New Roman" w:cstheme="minorHAnsi"/>
                <w:b/>
                <w:iCs/>
                <w:color w:val="7F7F7F" w:themeColor="text1" w:themeTint="80"/>
                <w:lang w:eastAsia="pl-PL"/>
              </w:rPr>
              <w:t>2019</w:t>
            </w:r>
          </w:p>
        </w:tc>
      </w:tr>
      <w:tr w:rsidR="000C2F13" w14:paraId="06517F42" w14:textId="77777777" w:rsidTr="00B97E8C">
        <w:tblPrEx>
          <w:tblCellMar>
            <w:left w:w="70" w:type="dxa"/>
            <w:right w:w="70" w:type="dxa"/>
          </w:tblCellMar>
        </w:tblPrEx>
        <w:tc>
          <w:tcPr>
            <w:tcW w:w="3492" w:type="dxa"/>
          </w:tcPr>
          <w:p w14:paraId="59836971" w14:textId="6394CA39" w:rsidR="000C2F13" w:rsidRDefault="000C2F13" w:rsidP="00FF7F4F">
            <w:pPr>
              <w:jc w:val="both"/>
              <w:rPr>
                <w:rFonts w:ascii="Times New Roman" w:eastAsia="Times New Roman" w:hAnsi="Times New Roman" w:cs="Times New Roman"/>
                <w:b/>
                <w:iCs/>
                <w:sz w:val="24"/>
                <w:szCs w:val="24"/>
                <w:lang w:eastAsia="pl-PL"/>
              </w:rPr>
            </w:pPr>
            <w:r>
              <w:rPr>
                <w:noProof/>
              </w:rPr>
              <w:drawing>
                <wp:inline distT="0" distB="0" distL="0" distR="0" wp14:anchorId="5E1ECB6A" wp14:editId="60ED20E9">
                  <wp:extent cx="2095500" cy="4284000"/>
                  <wp:effectExtent l="0" t="0" r="0" b="2540"/>
                  <wp:docPr id="11" name="Wykres 11">
                    <a:extLst xmlns:a="http://schemas.openxmlformats.org/drawingml/2006/main">
                      <a:ext uri="{FF2B5EF4-FFF2-40B4-BE49-F238E27FC236}">
                        <a16:creationId xmlns:a16="http://schemas.microsoft.com/office/drawing/2014/main" id="{10A61C59-8016-4AEB-A0D0-FCEBC7C972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580" w:type="dxa"/>
          </w:tcPr>
          <w:p w14:paraId="2170FAC8" w14:textId="6A51FFA8" w:rsidR="000C2F13" w:rsidRDefault="000C2F13" w:rsidP="00FF7F4F">
            <w:pPr>
              <w:jc w:val="both"/>
              <w:rPr>
                <w:rFonts w:ascii="Times New Roman" w:eastAsia="Times New Roman" w:hAnsi="Times New Roman" w:cs="Times New Roman"/>
                <w:b/>
                <w:iCs/>
                <w:sz w:val="24"/>
                <w:szCs w:val="24"/>
                <w:lang w:eastAsia="pl-PL"/>
              </w:rPr>
            </w:pPr>
            <w:r>
              <w:rPr>
                <w:noProof/>
              </w:rPr>
              <w:drawing>
                <wp:inline distT="0" distB="0" distL="0" distR="0" wp14:anchorId="66C9B4CF" wp14:editId="6DDCCE57">
                  <wp:extent cx="3505200" cy="4320000"/>
                  <wp:effectExtent l="0" t="0" r="0" b="4445"/>
                  <wp:docPr id="10" name="Wykres 10">
                    <a:extLst xmlns:a="http://schemas.openxmlformats.org/drawingml/2006/main">
                      <a:ext uri="{FF2B5EF4-FFF2-40B4-BE49-F238E27FC236}">
                        <a16:creationId xmlns:a16="http://schemas.microsoft.com/office/drawing/2014/main" id="{B1C1E080-04CF-43E3-92AA-B0A722C645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81BB40F" w14:textId="748D27DA" w:rsidR="00F12DF7" w:rsidRPr="00F12DF7" w:rsidRDefault="00F12DF7" w:rsidP="00A662EC">
      <w:pPr>
        <w:pStyle w:val="gwiazdki"/>
      </w:pPr>
      <w:r>
        <w:t>*</w:t>
      </w:r>
      <w:r w:rsidR="00A662EC">
        <w:tab/>
      </w:r>
      <w:r w:rsidRPr="00F12DF7">
        <w:t>łącznie z korzystaniem z własnych drugich domów</w:t>
      </w:r>
    </w:p>
    <w:p w14:paraId="189DF7DE" w14:textId="029CAB40" w:rsidR="000C2F13" w:rsidRDefault="00BC6FF7" w:rsidP="000D1C90">
      <w:pPr>
        <w:pStyle w:val="rdo"/>
      </w:pPr>
      <w:r>
        <w:t>Źródło: opracowanie własne</w:t>
      </w:r>
    </w:p>
    <w:p w14:paraId="3B460DA5" w14:textId="57BE8F8E" w:rsidR="005F7D71" w:rsidRPr="004B64A1" w:rsidRDefault="005F7D71" w:rsidP="005F7D71">
      <w:pPr>
        <w:pStyle w:val="tekst"/>
      </w:pPr>
      <w:bookmarkStart w:id="83" w:name="_Hlk113726847"/>
      <w:r w:rsidRPr="00FF680C">
        <w:t xml:space="preserve">Udział wydatków nierezydentów na </w:t>
      </w:r>
      <w:r w:rsidRPr="00FF680C">
        <w:rPr>
          <w:i/>
        </w:rPr>
        <w:t>usługi rekreacyjne, rozrywkowe, zwią</w:t>
      </w:r>
      <w:r w:rsidRPr="00FF680C">
        <w:rPr>
          <w:i/>
        </w:rPr>
        <w:softHyphen/>
        <w:t>zane ze sportem oraz usługi muzeów</w:t>
      </w:r>
      <w:r w:rsidRPr="00FF680C">
        <w:t xml:space="preserve"> wyniósł w latach 2018 – 2019 odpowiednio </w:t>
      </w:r>
      <w:r>
        <w:t>8,2% i 8,1</w:t>
      </w:r>
      <w:r w:rsidRPr="00FF680C">
        <w:t xml:space="preserve">% </w:t>
      </w:r>
      <w:bookmarkStart w:id="84" w:name="_Hlk109418967"/>
      <w:r w:rsidRPr="00FF680C">
        <w:t xml:space="preserve">CPT (łącznie z krajowymi charakterystycznymi) </w:t>
      </w:r>
      <w:bookmarkEnd w:id="84"/>
      <w:r w:rsidRPr="00FF680C">
        <w:t>i 3,2% (2018) i 3,5% (2019)</w:t>
      </w:r>
      <w:r w:rsidR="009B3416">
        <w:t xml:space="preserve"> </w:t>
      </w:r>
      <w:r w:rsidRPr="00FF680C">
        <w:t xml:space="preserve">w stosunku do całego spożycia turystycznego nierezydentów. </w:t>
      </w:r>
      <w:r>
        <w:t xml:space="preserve">To mniej, niż oszacowano dla lat 2013 i </w:t>
      </w:r>
      <w:r w:rsidRPr="00575AB4">
        <w:t xml:space="preserve">2015. Jeśli chodzi o udział </w:t>
      </w:r>
      <w:r w:rsidRPr="00575AB4">
        <w:rPr>
          <w:i/>
        </w:rPr>
        <w:t>usług agencji turystycznych</w:t>
      </w:r>
      <w:r w:rsidRPr="00575AB4">
        <w:t>, ro</w:t>
      </w:r>
      <w:r w:rsidRPr="00575AB4">
        <w:softHyphen/>
        <w:t xml:space="preserve">zumianych jako marża biur podróży organizujących turystykę przyjazdową do Polski, w latach 2018 i 2019 oszacowano go odpowiednio na poziomie 6% i 6,6% CPT (łącznie </w:t>
      </w:r>
      <w:r w:rsidRPr="004B64A1">
        <w:t>z krajowymi charakterystycznymi). W stosunku do całego spożycia turystycznego nierezydentów wyniósł on 2,4% (2018) i 2,8% (2019)</w:t>
      </w:r>
      <w:bookmarkEnd w:id="83"/>
      <w:r w:rsidRPr="004B64A1">
        <w:t xml:space="preserve">. W strukturze wydatków nierezydentów zwraca także uwagę wciąż bardzo wysoki (i utrzymujący się) udział pozycji </w:t>
      </w:r>
      <w:r w:rsidRPr="004B64A1">
        <w:rPr>
          <w:i/>
        </w:rPr>
        <w:t xml:space="preserve">pozostałe produkty i usługi nabywane przez odwiedzających </w:t>
      </w:r>
      <w:r w:rsidRPr="004B64A1">
        <w:t>(36,1% w 2018 i 33,2% w 2019 r.). Należy podkreślić, że znaczenie zakupów dokonywanych za</w:t>
      </w:r>
      <w:r w:rsidRPr="004B64A1">
        <w:softHyphen/>
        <w:t>równo przez turystów, jak i odwiedzających jednodniowych (poza wyodrębnionymi w RST pro</w:t>
      </w:r>
      <w:r w:rsidRPr="004B64A1">
        <w:softHyphen/>
        <w:t>duk</w:t>
      </w:r>
      <w:r w:rsidRPr="004B64A1">
        <w:softHyphen/>
        <w:t>ta</w:t>
      </w:r>
      <w:r w:rsidRPr="004B64A1">
        <w:softHyphen/>
        <w:t>mi spożywczymi, odzieżą i obuwiem) jest wciąż istotne i dotyczył w badanym okresie przede wszystkim sąsiedzkich krajów wschodnich. Atrakcyjność i skala tych zakupów waha się w zależności od sytuacji gospodarczej krajów ościennych oraz zróżnicowania cen rynkowych w Polsce i na rynkach emisyjnych. W badanych latach odnosiło się to w szczególności do wydatków odwiedzających jednodniowych z Ukrainy i Białorusi.</w:t>
      </w:r>
    </w:p>
    <w:p w14:paraId="09863E8C" w14:textId="77777777" w:rsidR="005F7D71" w:rsidRPr="004B64A1" w:rsidRDefault="005F7D71" w:rsidP="005F7D71">
      <w:pPr>
        <w:pStyle w:val="tekst"/>
      </w:pPr>
      <w:r w:rsidRPr="004B64A1">
        <w:lastRenderedPageBreak/>
        <w:t>W badanych latach łączne wydatki nierezydentów, poniesione na rzecz polskich podmiotów gos</w:t>
      </w:r>
      <w:r w:rsidRPr="004B64A1">
        <w:softHyphen/>
        <w:t>po</w:t>
      </w:r>
      <w:r w:rsidRPr="004B64A1">
        <w:softHyphen/>
        <w:t>dar</w:t>
      </w:r>
      <w:r w:rsidRPr="004B64A1">
        <w:softHyphen/>
        <w:t>czych (na terenie Polski bądź za granicą, najczęściej przed przyjazdem do Polski) w około 59% (2018) i 58,2% (2019) należy wiązać z przyjazdami turystów, pozostałą zaś część – z wizytami jednodniowymi. Strukturę spożycia turystycznego w odniesieniu do nierezydentów w podziale na turystów i odwiedzających jednodniowych ilustruje wykres 2.</w:t>
      </w:r>
      <w:r>
        <w:t>5</w:t>
      </w:r>
      <w:r w:rsidRPr="004B64A1">
        <w:t xml:space="preserve">. </w:t>
      </w:r>
    </w:p>
    <w:p w14:paraId="033CB840" w14:textId="260D8DB8" w:rsidR="005F7D71" w:rsidRPr="008B7D49" w:rsidRDefault="005F7D71" w:rsidP="0077251B">
      <w:pPr>
        <w:pStyle w:val="tekst"/>
      </w:pPr>
      <w:r w:rsidRPr="009835F4">
        <w:t xml:space="preserve">Analizując strukturę konsumpcji </w:t>
      </w:r>
      <w:r w:rsidRPr="006C7E8A">
        <w:t>turystów i odwiedzających jednodniowych warto zwrócić uwagę na duże znaczenie wydatków tej drugiej grupy na zakupy produktów spożywczych i odzieżowych, paliw i pozostałych produktów. W obydwu latach również wydatki na transport kolejowy w ok. 1/3 należy wiązać z podróżami odwiedzających jednodniowych.</w:t>
      </w:r>
      <w:r w:rsidR="009B3416">
        <w:t xml:space="preserve"> </w:t>
      </w:r>
    </w:p>
    <w:p w14:paraId="484811DD" w14:textId="48801E72" w:rsidR="001D504F" w:rsidRPr="001D504F" w:rsidRDefault="00F8216E" w:rsidP="000D1C90">
      <w:pPr>
        <w:pStyle w:val="Nagwek3"/>
      </w:pPr>
      <w:bookmarkStart w:id="85" w:name="_Toc115441451"/>
      <w:r>
        <w:t xml:space="preserve">2.2.2. </w:t>
      </w:r>
      <w:r w:rsidR="001D504F" w:rsidRPr="001D504F">
        <w:t>Spożycie turystyczne rezydentów</w:t>
      </w:r>
      <w:bookmarkStart w:id="86" w:name="_Hlk113726901"/>
      <w:bookmarkEnd w:id="85"/>
    </w:p>
    <w:p w14:paraId="6F5A8811" w14:textId="77777777" w:rsidR="00B7561F" w:rsidRDefault="00FF7F4F" w:rsidP="000D1C90">
      <w:pPr>
        <w:pStyle w:val="tekst"/>
      </w:pPr>
      <w:r w:rsidRPr="001D504F">
        <w:t xml:space="preserve">Krajowe spożycie </w:t>
      </w:r>
      <w:r w:rsidRPr="008007B6">
        <w:rPr>
          <w:rStyle w:val="Pogrubienie"/>
        </w:rPr>
        <w:t>rezydentów</w:t>
      </w:r>
      <w:r w:rsidRPr="001D504F">
        <w:t xml:space="preserve"> oszaco</w:t>
      </w:r>
      <w:r w:rsidRPr="008F2E64">
        <w:t xml:space="preserve">wano w </w:t>
      </w:r>
      <w:r w:rsidR="00C73444" w:rsidRPr="008F2E64">
        <w:t xml:space="preserve">latach 2018 i 2019 </w:t>
      </w:r>
      <w:r w:rsidRPr="008F2E64">
        <w:t xml:space="preserve">na poziomie </w:t>
      </w:r>
      <w:r w:rsidR="00C73444" w:rsidRPr="008F2E64">
        <w:t xml:space="preserve">odpowiednio </w:t>
      </w:r>
      <w:r w:rsidR="008F2E64" w:rsidRPr="008F2E64">
        <w:t>52455,0</w:t>
      </w:r>
      <w:r w:rsidRPr="008F2E64">
        <w:t xml:space="preserve"> mln PLN</w:t>
      </w:r>
      <w:r w:rsidR="008F2E64" w:rsidRPr="008F2E64">
        <w:t xml:space="preserve"> i 59701,1 mln PLN</w:t>
      </w:r>
      <w:r w:rsidR="002461D5">
        <w:t xml:space="preserve"> (wzrost </w:t>
      </w:r>
      <w:r w:rsidR="007C1462">
        <w:t xml:space="preserve">w 2019 roku w stosunku do 2018 </w:t>
      </w:r>
      <w:r w:rsidR="002461D5">
        <w:t>o 13,5%)</w:t>
      </w:r>
      <w:r w:rsidRPr="008F2E64">
        <w:t>. Zgodnie z przyjętymi założeniami metodologicznymi RST na spożycie rezydentów składają się zarówno wydatki związane z podróżami odbywanymi wewnątrz kraju, jak i ta część wydatków na podróże zagraniczne rezydentów, która zasiliła krajowe jednostki gospodarcze (głównie marża organizatorów oraz opłaty na rzecz krajowych jednostek transportu p</w:t>
      </w:r>
      <w:r w:rsidRPr="002461D5">
        <w:t xml:space="preserve">asażerskiego). </w:t>
      </w:r>
    </w:p>
    <w:p w14:paraId="54AADA56" w14:textId="2C2EA6E0" w:rsidR="007C4DF5" w:rsidRDefault="007C4DF5" w:rsidP="007C4DF5">
      <w:pPr>
        <w:pStyle w:val="tekst"/>
      </w:pPr>
      <w:r w:rsidRPr="002461D5">
        <w:t xml:space="preserve">Spożycie rezydentów </w:t>
      </w:r>
      <w:r>
        <w:t xml:space="preserve">w badanych latach </w:t>
      </w:r>
      <w:r w:rsidRPr="002461D5">
        <w:t>w podziale na rodzaje produktów ilustruje wykres 2.</w:t>
      </w:r>
      <w:r>
        <w:t>6</w:t>
      </w:r>
      <w:r w:rsidRPr="002461D5">
        <w:t xml:space="preserve">. </w:t>
      </w:r>
      <w:r>
        <w:t xml:space="preserve">Zarówno w 2018, jak i </w:t>
      </w:r>
      <w:r w:rsidRPr="002F25E6">
        <w:t xml:space="preserve">2019 roku dominowały wydatki na charakterystyczne produkty turystyczne (odpowiednio </w:t>
      </w:r>
      <w:r>
        <w:t xml:space="preserve">63,2% i </w:t>
      </w:r>
      <w:r w:rsidRPr="002F25E6">
        <w:t>63,</w:t>
      </w:r>
      <w:r>
        <w:t>7</w:t>
      </w:r>
      <w:r w:rsidRPr="002F25E6">
        <w:t>%</w:t>
      </w:r>
      <w:r>
        <w:t>)</w:t>
      </w:r>
      <w:r w:rsidRPr="002F25E6">
        <w:t>, na produkty związane z turystyką przypadło natomiast 33,5% (2018) i 33</w:t>
      </w:r>
      <w:r>
        <w:t>,1</w:t>
      </w:r>
      <w:r w:rsidRPr="002F25E6">
        <w:t>% (2019). Podobnie jak w poprzednich edycjach RST na pozostałe wydatki przypada niewielka ich część – odpowiednio 3,3% i 3,2% krajowego spożycia turystycznego rezydentów</w:t>
      </w:r>
      <w:r w:rsidRPr="00A8704A">
        <w:t>. Biorąc pod uwagę wskazane w metodologii RST grupy produktów turystycznych (wykres 2.5), największą część wydatków rezydentów należy w 2018 roku wiązać z wyżywieniem (22,4%), następnie z zakwaterowaniem (18,5%; łącznie z wykorzystaniem własnych domów wakacyjnych), zakupami produktów spożywczych i odzieży (18%) oraz zakupami paliw (15,5%).</w:t>
      </w:r>
      <w:r w:rsidR="009B3416">
        <w:t xml:space="preserve"> </w:t>
      </w:r>
      <w:r w:rsidRPr="00A8704A">
        <w:t xml:space="preserve">W 2019 udziały te wyniosły odpowiednio: </w:t>
      </w:r>
      <w:r>
        <w:t>21%, 18,3%, 17,8% i 15,2%.</w:t>
      </w:r>
    </w:p>
    <w:p w14:paraId="4A12DADA" w14:textId="77777777" w:rsidR="007C4DF5" w:rsidRPr="00BF62E8" w:rsidRDefault="007C4DF5" w:rsidP="007C4DF5">
      <w:pPr>
        <w:pStyle w:val="tekst"/>
      </w:pPr>
      <w:r w:rsidRPr="007C1462">
        <w:t>Porównanie uzyskanych wyników z danymi oszacowanymi dla wcześniej przygotowywanych RST (2012 pełny i 2015 uproszczony) dowodzi przede wszystkim bardzo dynamicznemu rozwojowi konsumpcji turystycznej rezydentów</w:t>
      </w:r>
      <w:r>
        <w:t xml:space="preserve">, realizowanej na terenie kraju (znaczący wzrost wartości wydatków w liczbach </w:t>
      </w:r>
      <w:r w:rsidRPr="00BF62E8">
        <w:t xml:space="preserve">bezwzględnych). Zwraca jednak uwagę pewna zmiana struktury konsumpcji: spadek udziału CPT na rzecz produktów związanych z turystyką (zwłaszcza wzrost udziału wydatków na zakupy artykułów spożywczych i odzieży oraz produktów rafinacji ropy naftowej), w tym spadek udziału wydatków na usługi noclegowe, zakupy usług organizatorów i pośredników oraz usług transportu lotniczego. Ograniczenie udziału wydatków na zakup usług organizatorów i pośredników jest z pewnością skutkiem rozwoju platform internetowych pośredniczących w sprzedaży imprez turystycznych, spadek udziału wydatków na transport lotniczy to z kolei skutek rozwoju linii </w:t>
      </w:r>
      <w:proofErr w:type="spellStart"/>
      <w:r w:rsidRPr="00BF62E8">
        <w:t>niskokosztowych</w:t>
      </w:r>
      <w:proofErr w:type="spellEnd"/>
      <w:r w:rsidRPr="00BF62E8">
        <w:t xml:space="preserve"> i spadku cen biletów lotniczych. W oszacowaniach RST dla 2018 i 2019 nie znalazły się wydatki na przedmioty wartościowe zakupione przez odwiedzających, a zatem nie wyodrębniono związanej z nimi marży detalicznej. Przyczyną pominięcia tej pozycji jest brak podstaw do jej oszacowania. </w:t>
      </w:r>
    </w:p>
    <w:p w14:paraId="5062B277" w14:textId="77777777" w:rsidR="007C4DF5" w:rsidRPr="00C73444" w:rsidRDefault="007C4DF5" w:rsidP="007C4DF5">
      <w:pPr>
        <w:pStyle w:val="tekst"/>
      </w:pPr>
      <w:r w:rsidRPr="00BF62E8">
        <w:t xml:space="preserve">Na spożycie turystyczne rezydentów składają się wydatki związane z różnymi typami podróży i różnymi rodzajami odwiedzających. Poznanie, a następnie monitowanie modeli konsumpcji związanych z poszczególnymi typami podróży to jeden z warunków prowadzenie polityki turystycznej i przewidywania wpływu ruchu turystycznego na gospodarkę. W latach 2018 i 2019, podobnie jak w poprzednich RST, dominowało spożycie związane z turystycznymi podróżami </w:t>
      </w:r>
      <w:r w:rsidRPr="00903B05">
        <w:t xml:space="preserve">krajowymi: w 2018 roku stanowiły one 74% krajowych wydatków rezydentów ogółem, w 2019 – 74%. </w:t>
      </w:r>
      <w:r>
        <w:t xml:space="preserve">Krajowa część wydatków na zagraniczne podróże wyjazdowe stanowiła odpowiednio 29,6% i 26%. </w:t>
      </w:r>
      <w:r w:rsidRPr="00C73444">
        <w:t>Strukturę spożycia wybranych usług przez turystów i odwiedzających jednodniowych przedstawia wykres 2.</w:t>
      </w:r>
      <w:r>
        <w:t>7</w:t>
      </w:r>
      <w:r w:rsidRPr="00C73444">
        <w:t xml:space="preserve">. </w:t>
      </w:r>
    </w:p>
    <w:p w14:paraId="68A3450E" w14:textId="77777777" w:rsidR="00D46C34" w:rsidRDefault="00D46C34" w:rsidP="00D46C34">
      <w:pPr>
        <w:pStyle w:val="nazwa"/>
      </w:pPr>
      <w:bookmarkStart w:id="87" w:name="_Toc486561684"/>
      <w:bookmarkStart w:id="88" w:name="_Toc486566130"/>
      <w:bookmarkStart w:id="89" w:name="_Toc486566334"/>
      <w:bookmarkStart w:id="90" w:name="_Toc115437475"/>
      <w:bookmarkStart w:id="91" w:name="_Toc223141263"/>
      <w:r w:rsidRPr="00DE6434">
        <w:lastRenderedPageBreak/>
        <w:t>Wykres 2.</w:t>
      </w:r>
      <w:r>
        <w:t>6</w:t>
      </w:r>
      <w:r w:rsidRPr="00DE6434">
        <w:t>. Wydatki w turystyce krajowej według produktów w latach 2018 i 2019</w:t>
      </w:r>
      <w:bookmarkEnd w:id="87"/>
      <w:bookmarkEnd w:id="88"/>
      <w:bookmarkEnd w:id="89"/>
      <w:bookmarkEnd w:id="90"/>
      <w:r w:rsidRPr="00DE6434">
        <w:t xml:space="preserve"> </w:t>
      </w:r>
      <w:bookmarkEnd w:id="91"/>
    </w:p>
    <w:p w14:paraId="5A9D159B" w14:textId="781495EA" w:rsidR="00D46C34" w:rsidRDefault="00D46C34" w:rsidP="00814921">
      <w:r>
        <w:rPr>
          <w:noProof/>
        </w:rPr>
        <w:drawing>
          <wp:inline distT="0" distB="0" distL="0" distR="0" wp14:anchorId="48C81882" wp14:editId="3EB2C84B">
            <wp:extent cx="5760000" cy="3960000"/>
            <wp:effectExtent l="0" t="0" r="12700" b="254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52CE3F" w14:textId="0BDB7A28" w:rsidR="00D46C34" w:rsidRDefault="009964E8" w:rsidP="00814921">
      <w:r>
        <w:rPr>
          <w:noProof/>
        </w:rPr>
        <w:drawing>
          <wp:inline distT="0" distB="0" distL="0" distR="0" wp14:anchorId="7DEA1829" wp14:editId="7A1AE970">
            <wp:extent cx="5760000" cy="3960000"/>
            <wp:effectExtent l="0" t="0" r="12700" b="254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BF3928" w14:textId="77777777" w:rsidR="00D46C34" w:rsidRPr="00F12DF7" w:rsidRDefault="00D46C34" w:rsidP="00D46C34">
      <w:pPr>
        <w:pStyle w:val="gwiazdki"/>
      </w:pPr>
      <w:bookmarkStart w:id="92" w:name="_Hlk109420538"/>
      <w:r>
        <w:t>*</w:t>
      </w:r>
      <w:r>
        <w:tab/>
      </w:r>
      <w:r w:rsidRPr="00F12DF7">
        <w:t>łącznie z korzystaniem z własnych drugich domów</w:t>
      </w:r>
    </w:p>
    <w:p w14:paraId="29006715" w14:textId="77777777" w:rsidR="00D46C34" w:rsidRPr="00477E32" w:rsidRDefault="00D46C34" w:rsidP="00D46C34">
      <w:pPr>
        <w:pStyle w:val="gwiazdki"/>
      </w:pPr>
      <w:r w:rsidRPr="00477E32">
        <w:t>**</w:t>
      </w:r>
      <w:r>
        <w:tab/>
      </w:r>
      <w:r w:rsidRPr="00477E32">
        <w:t>łącznie z marżą detaliczną</w:t>
      </w:r>
    </w:p>
    <w:bookmarkEnd w:id="92"/>
    <w:p w14:paraId="0F7F6946" w14:textId="76ED77E7" w:rsidR="00D46C34" w:rsidRPr="00F12DF7" w:rsidRDefault="00D46C34" w:rsidP="00D46C34">
      <w:pPr>
        <w:pStyle w:val="rdo"/>
      </w:pPr>
      <w:r w:rsidRPr="00F12DF7">
        <w:t>Źródło: oszacowania własne</w:t>
      </w:r>
    </w:p>
    <w:p w14:paraId="0FF7708A" w14:textId="4ED2A5AB" w:rsidR="00FF7F4F" w:rsidRDefault="00FF7F4F" w:rsidP="000D1C90">
      <w:pPr>
        <w:pStyle w:val="nazwa"/>
      </w:pPr>
      <w:bookmarkStart w:id="93" w:name="_Toc223141265"/>
      <w:bookmarkStart w:id="94" w:name="_Toc486561685"/>
      <w:bookmarkStart w:id="95" w:name="_Toc486566131"/>
      <w:bookmarkStart w:id="96" w:name="_Toc486566335"/>
      <w:bookmarkStart w:id="97" w:name="_Toc115437476"/>
      <w:bookmarkStart w:id="98" w:name="_Hlk113726948"/>
      <w:bookmarkEnd w:id="86"/>
      <w:r w:rsidRPr="00C73444">
        <w:lastRenderedPageBreak/>
        <w:t>Wykres 2.</w:t>
      </w:r>
      <w:r w:rsidR="00B8442A">
        <w:t>7</w:t>
      </w:r>
      <w:r w:rsidRPr="00C73444">
        <w:t xml:space="preserve">. Struktura wydatków w turystyce krajowej </w:t>
      </w:r>
      <w:r w:rsidR="00C73444" w:rsidRPr="00C73444">
        <w:t xml:space="preserve">w latach 2018-2019 </w:t>
      </w:r>
      <w:r w:rsidRPr="00C73444">
        <w:t>według produktów i typów podróży</w:t>
      </w:r>
      <w:r w:rsidR="00AD48C9" w:rsidRPr="00C73444">
        <w:t xml:space="preserve"> </w:t>
      </w:r>
      <w:r w:rsidRPr="00C73444">
        <w:t>(w %)</w:t>
      </w:r>
      <w:bookmarkEnd w:id="93"/>
      <w:bookmarkEnd w:id="94"/>
      <w:bookmarkEnd w:id="95"/>
      <w:bookmarkEnd w:id="96"/>
      <w:bookmarkEnd w:id="97"/>
      <w:r w:rsidRPr="00C73444">
        <w:t xml:space="preserve"> </w:t>
      </w:r>
    </w:p>
    <w:tbl>
      <w:tblPr>
        <w:tblStyle w:val="Tabela-Siatka"/>
        <w:tblW w:w="0" w:type="auto"/>
        <w:tblLayout w:type="fixed"/>
        <w:tblLook w:val="04A0" w:firstRow="1" w:lastRow="0" w:firstColumn="1" w:lastColumn="0" w:noHBand="0" w:noVBand="1"/>
      </w:tblPr>
      <w:tblGrid>
        <w:gridCol w:w="3397"/>
        <w:gridCol w:w="5665"/>
      </w:tblGrid>
      <w:tr w:rsidR="00C73444" w14:paraId="315EB901" w14:textId="77777777" w:rsidTr="009929AA">
        <w:tc>
          <w:tcPr>
            <w:tcW w:w="3397" w:type="dxa"/>
            <w:shd w:val="clear" w:color="auto" w:fill="auto"/>
          </w:tcPr>
          <w:p w14:paraId="66C8B1F1" w14:textId="5575B53A" w:rsidR="00C73444" w:rsidRPr="00BE3E60" w:rsidRDefault="00C73444" w:rsidP="00D60C21">
            <w:pPr>
              <w:ind w:left="284"/>
              <w:rPr>
                <w:rFonts w:eastAsia="Times New Roman" w:cstheme="minorHAnsi"/>
                <w:b/>
                <w:iCs/>
                <w:lang w:eastAsia="pl-PL"/>
              </w:rPr>
            </w:pPr>
            <w:r w:rsidRPr="00BE3E60">
              <w:rPr>
                <w:rFonts w:eastAsia="Times New Roman" w:cstheme="minorHAnsi"/>
                <w:b/>
                <w:iCs/>
                <w:color w:val="7F7F7F" w:themeColor="text1" w:themeTint="80"/>
                <w:lang w:eastAsia="pl-PL"/>
              </w:rPr>
              <w:t>2018</w:t>
            </w:r>
          </w:p>
        </w:tc>
        <w:tc>
          <w:tcPr>
            <w:tcW w:w="5665" w:type="dxa"/>
          </w:tcPr>
          <w:p w14:paraId="3C5F5C25" w14:textId="6A46FFF6" w:rsidR="00C73444" w:rsidRPr="00BE3E60" w:rsidRDefault="00C73444" w:rsidP="00D60C21">
            <w:pPr>
              <w:ind w:right="284"/>
              <w:jc w:val="right"/>
              <w:rPr>
                <w:rFonts w:eastAsia="Times New Roman" w:cstheme="minorHAnsi"/>
                <w:b/>
                <w:iCs/>
                <w:lang w:eastAsia="pl-PL"/>
              </w:rPr>
            </w:pPr>
            <w:r w:rsidRPr="00BE3E60">
              <w:rPr>
                <w:rFonts w:eastAsia="Times New Roman" w:cstheme="minorHAnsi"/>
                <w:b/>
                <w:iCs/>
                <w:color w:val="7F7F7F" w:themeColor="text1" w:themeTint="80"/>
                <w:lang w:eastAsia="pl-PL"/>
              </w:rPr>
              <w:t>2019</w:t>
            </w:r>
          </w:p>
        </w:tc>
      </w:tr>
      <w:tr w:rsidR="00C73444" w14:paraId="124A1050" w14:textId="77777777" w:rsidTr="004C3FF5">
        <w:tblPrEx>
          <w:tblCellMar>
            <w:left w:w="70" w:type="dxa"/>
            <w:right w:w="70" w:type="dxa"/>
          </w:tblCellMar>
        </w:tblPrEx>
        <w:trPr>
          <w:trHeight w:val="6803"/>
        </w:trPr>
        <w:tc>
          <w:tcPr>
            <w:tcW w:w="3397" w:type="dxa"/>
          </w:tcPr>
          <w:p w14:paraId="19EC32BB" w14:textId="0327FDE2" w:rsidR="00C73444" w:rsidRDefault="00961795" w:rsidP="00FF7F4F">
            <w:pPr>
              <w:jc w:val="both"/>
              <w:rPr>
                <w:rFonts w:ascii="Times New Roman" w:eastAsia="Times New Roman" w:hAnsi="Times New Roman" w:cs="Times New Roman"/>
                <w:b/>
                <w:iCs/>
                <w:sz w:val="24"/>
                <w:szCs w:val="24"/>
                <w:lang w:eastAsia="pl-PL"/>
              </w:rPr>
            </w:pPr>
            <w:r>
              <w:rPr>
                <w:noProof/>
              </w:rPr>
              <w:drawing>
                <wp:inline distT="0" distB="0" distL="0" distR="0" wp14:anchorId="48A589EA" wp14:editId="6889B4A2">
                  <wp:extent cx="2065020" cy="4320000"/>
                  <wp:effectExtent l="0" t="0" r="0" b="4445"/>
                  <wp:docPr id="8" name="Wykres 8">
                    <a:extLst xmlns:a="http://schemas.openxmlformats.org/drawingml/2006/main">
                      <a:ext uri="{FF2B5EF4-FFF2-40B4-BE49-F238E27FC236}">
                        <a16:creationId xmlns:a16="http://schemas.microsoft.com/office/drawing/2014/main" id="{2D9C15F9-D562-4E96-917F-A8F9B238D9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5665" w:type="dxa"/>
          </w:tcPr>
          <w:p w14:paraId="156301D5" w14:textId="110ED609" w:rsidR="00C73444" w:rsidRDefault="00961795" w:rsidP="00FF7F4F">
            <w:pPr>
              <w:jc w:val="both"/>
              <w:rPr>
                <w:rFonts w:ascii="Times New Roman" w:eastAsia="Times New Roman" w:hAnsi="Times New Roman" w:cs="Times New Roman"/>
                <w:b/>
                <w:iCs/>
                <w:sz w:val="24"/>
                <w:szCs w:val="24"/>
                <w:lang w:eastAsia="pl-PL"/>
              </w:rPr>
            </w:pPr>
            <w:r>
              <w:rPr>
                <w:noProof/>
              </w:rPr>
              <w:drawing>
                <wp:inline distT="0" distB="0" distL="0" distR="0" wp14:anchorId="0135D564" wp14:editId="671D8E82">
                  <wp:extent cx="3657600" cy="4320000"/>
                  <wp:effectExtent l="0" t="0" r="0" b="4445"/>
                  <wp:docPr id="9" name="Wykres 9">
                    <a:extLst xmlns:a="http://schemas.openxmlformats.org/drawingml/2006/main">
                      <a:ext uri="{FF2B5EF4-FFF2-40B4-BE49-F238E27FC236}">
                        <a16:creationId xmlns:a16="http://schemas.microsoft.com/office/drawing/2014/main" id="{64495485-EA80-4F3E-92D7-9CC4AAE02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032AFA7E" w14:textId="74564753" w:rsidR="000D1C90" w:rsidRPr="00F12DF7" w:rsidRDefault="000D1C90" w:rsidP="000D1C90">
      <w:pPr>
        <w:pStyle w:val="rdo"/>
      </w:pPr>
      <w:r w:rsidRPr="00F12DF7">
        <w:t>Źródło: oszacowania własne</w:t>
      </w:r>
    </w:p>
    <w:p w14:paraId="33508BF2" w14:textId="7F3FB3BC" w:rsidR="00FF7F4F" w:rsidRPr="00B8442A" w:rsidRDefault="00FF7F4F" w:rsidP="000D1C90">
      <w:pPr>
        <w:pStyle w:val="tekst"/>
      </w:pPr>
      <w:r w:rsidRPr="00B8442A">
        <w:t xml:space="preserve">Analiza struktury spożycia rezydentów w podziale na turystów i odwiedzających jednodniowych pokazuje, że klientami jednostek gastronomicznych są coraz częściej krajowi odwiedzający jednodniowi (wzrost wydatków na ten cel z ok. </w:t>
      </w:r>
      <w:r w:rsidR="00B8442A" w:rsidRPr="00B8442A">
        <w:t>11</w:t>
      </w:r>
      <w:r w:rsidRPr="00B8442A">
        <w:t>% w 201</w:t>
      </w:r>
      <w:r w:rsidR="00B8442A" w:rsidRPr="00B8442A">
        <w:t>8</w:t>
      </w:r>
      <w:r w:rsidRPr="00B8442A">
        <w:t xml:space="preserve"> roku do 1</w:t>
      </w:r>
      <w:r w:rsidR="00B8442A" w:rsidRPr="00B8442A">
        <w:t>1,5</w:t>
      </w:r>
      <w:r w:rsidRPr="00B8442A">
        <w:t>% w 201</w:t>
      </w:r>
      <w:r w:rsidR="00B8442A" w:rsidRPr="00B8442A">
        <w:t>9</w:t>
      </w:r>
      <w:r w:rsidRPr="00B8442A">
        <w:t xml:space="preserve">). </w:t>
      </w:r>
      <w:r w:rsidR="00B8442A">
        <w:t xml:space="preserve">W podobnym </w:t>
      </w:r>
      <w:r w:rsidR="00B8442A" w:rsidRPr="00B8442A">
        <w:t xml:space="preserve">stopniu </w:t>
      </w:r>
      <w:r w:rsidRPr="00B8442A">
        <w:t xml:space="preserve">z krajowymi podróżami jednodniowymi </w:t>
      </w:r>
      <w:r w:rsidR="00B8442A" w:rsidRPr="00B8442A">
        <w:t>związane są usługi transportowe</w:t>
      </w:r>
      <w:r w:rsidRPr="00B8442A">
        <w:t xml:space="preserve">. </w:t>
      </w:r>
    </w:p>
    <w:p w14:paraId="5B0901B3" w14:textId="7092E3F6" w:rsidR="00010A7B" w:rsidRDefault="00B8442A" w:rsidP="000D1C90">
      <w:pPr>
        <w:pStyle w:val="tekst"/>
      </w:pPr>
      <w:bookmarkStart w:id="99" w:name="_Hlk113726975"/>
      <w:bookmarkEnd w:id="98"/>
      <w:r w:rsidRPr="00E17D0E">
        <w:t xml:space="preserve">Zgodnie z przyjętą metodologią w rachunku satelitarnym turystyki nie uwzględnia się </w:t>
      </w:r>
      <w:r w:rsidR="00010A7B" w:rsidRPr="00E17D0E">
        <w:t>wydatków rezydentów poniesionych za granicą</w:t>
      </w:r>
      <w:r w:rsidR="00F47AAA">
        <w:t>,</w:t>
      </w:r>
      <w:r w:rsidR="007608AC">
        <w:t xml:space="preserve"> o ile nie zasilają one krajowych podmiotów gospodarczych.</w:t>
      </w:r>
      <w:r w:rsidR="00010A7B" w:rsidRPr="00E17D0E">
        <w:t xml:space="preserve"> </w:t>
      </w:r>
      <w:r w:rsidR="007608AC">
        <w:t>M</w:t>
      </w:r>
      <w:r w:rsidR="00010A7B" w:rsidRPr="00E17D0E">
        <w:t xml:space="preserve">imo to warto omówić </w:t>
      </w:r>
      <w:r w:rsidR="007608AC">
        <w:t>wartości spożycia turystycznego</w:t>
      </w:r>
      <w:r w:rsidR="00010A7B" w:rsidRPr="00E17D0E">
        <w:t xml:space="preserve"> oszacowan</w:t>
      </w:r>
      <w:r w:rsidR="007608AC">
        <w:t>e w odniesieniu do rezydentów.</w:t>
      </w:r>
      <w:r w:rsidR="00010A7B" w:rsidRPr="00E17D0E">
        <w:t xml:space="preserve"> </w:t>
      </w:r>
      <w:r w:rsidR="00235236" w:rsidRPr="00E17D0E">
        <w:t xml:space="preserve">Dla roku 2018 </w:t>
      </w:r>
      <w:r w:rsidR="00E17D0E" w:rsidRPr="00E17D0E">
        <w:t xml:space="preserve">wydatki </w:t>
      </w:r>
      <w:r w:rsidR="007608AC">
        <w:t>turystyczne poniesione za granicą</w:t>
      </w:r>
      <w:r w:rsidR="00E17D0E" w:rsidRPr="00E17D0E">
        <w:t xml:space="preserve"> </w:t>
      </w:r>
      <w:r w:rsidR="00235236" w:rsidRPr="00E17D0E">
        <w:t>oszacowano na poziomie ok. 33</w:t>
      </w:r>
      <w:r w:rsidR="00E17D0E" w:rsidRPr="00E17D0E">
        <w:t xml:space="preserve"> </w:t>
      </w:r>
      <w:r w:rsidR="00235236" w:rsidRPr="00E17D0E">
        <w:t>970 mln PLN, w 2019 zaś – 36</w:t>
      </w:r>
      <w:r w:rsidR="00E17D0E" w:rsidRPr="00E17D0E">
        <w:t xml:space="preserve"> </w:t>
      </w:r>
      <w:r w:rsidR="00235236" w:rsidRPr="00E17D0E">
        <w:t>051 mln PLN (wzrost o ok. 6,1%)</w:t>
      </w:r>
      <w:r w:rsidR="00E17D0E" w:rsidRPr="00E17D0E">
        <w:t>, z czego CPT stanowiły odpowiednio 70,7% i 72%.</w:t>
      </w:r>
      <w:r w:rsidR="00E17D0E">
        <w:t xml:space="preserve"> W 2018 roku 27,1% wydatków związanych było z wizytami jednodniowymi, w 2019 – 26,9%</w:t>
      </w:r>
      <w:r w:rsidR="00F47AAA">
        <w:t>.</w:t>
      </w:r>
    </w:p>
    <w:p w14:paraId="3FA1F96F" w14:textId="77777777" w:rsidR="00F47AAA" w:rsidRPr="00D02242" w:rsidRDefault="00F47AAA" w:rsidP="00F47AAA">
      <w:pPr>
        <w:pStyle w:val="tekst"/>
      </w:pPr>
      <w:r w:rsidRPr="00D02242">
        <w:t>Analiza danych wskazuje, że wydatki turystyczne rezydentów poniesione za granicą stanowiły w 2018 roku 64,8% wydatków poniesionych w kraju, a w 2019 – 60,4%. Polska jest ponadto krajem o wyraźnie dodatnim saldzie bilansu w turystyce: eksport turystyczny przewyższył import odpowiednio o 46,2% (2018) i 41,0% (2019).</w:t>
      </w:r>
    </w:p>
    <w:p w14:paraId="1518D571" w14:textId="77777777" w:rsidR="00F47AAA" w:rsidRPr="00E17D0E" w:rsidRDefault="00F47AAA" w:rsidP="000D1C90">
      <w:pPr>
        <w:pStyle w:val="tekst"/>
      </w:pPr>
    </w:p>
    <w:p w14:paraId="269D359D" w14:textId="553C9B9D" w:rsidR="001D504F" w:rsidRDefault="00010A7B" w:rsidP="000D1C90">
      <w:pPr>
        <w:pStyle w:val="nazwa"/>
      </w:pPr>
      <w:bookmarkStart w:id="100" w:name="_Toc115437477"/>
      <w:r w:rsidRPr="00235236">
        <w:lastRenderedPageBreak/>
        <w:t>Wykres 2.8.</w:t>
      </w:r>
      <w:r w:rsidR="009B3416">
        <w:t xml:space="preserve"> </w:t>
      </w:r>
      <w:r w:rsidR="00E17D0E">
        <w:t>Struktura w</w:t>
      </w:r>
      <w:r w:rsidR="00235236" w:rsidRPr="00235236">
        <w:t>ydatk</w:t>
      </w:r>
      <w:r w:rsidR="00E17D0E">
        <w:t>ów</w:t>
      </w:r>
      <w:r w:rsidR="00235236" w:rsidRPr="00235236">
        <w:t xml:space="preserve"> rezydentów poniesion</w:t>
      </w:r>
      <w:r w:rsidR="00E17D0E">
        <w:t>ych</w:t>
      </w:r>
      <w:r w:rsidR="00235236" w:rsidRPr="00235236">
        <w:t xml:space="preserve"> za granicą w latach 2018 i 2019</w:t>
      </w:r>
      <w:bookmarkEnd w:id="100"/>
    </w:p>
    <w:p w14:paraId="5843CED4" w14:textId="408FD65A" w:rsidR="00A654E2" w:rsidRDefault="00EC1ACC" w:rsidP="00FF7F4F">
      <w:pPr>
        <w:jc w:val="both"/>
        <w:rPr>
          <w:rFonts w:ascii="Times New Roman" w:eastAsia="Times New Roman" w:hAnsi="Times New Roman" w:cs="Times New Roman"/>
          <w:b/>
          <w:bCs/>
          <w:sz w:val="24"/>
          <w:szCs w:val="24"/>
          <w:lang w:eastAsia="pl-PL"/>
        </w:rPr>
      </w:pPr>
      <w:r>
        <w:rPr>
          <w:rFonts w:ascii="Times New Roman" w:eastAsia="Times New Roman" w:hAnsi="Times New Roman" w:cs="Times New Roman"/>
          <w:b/>
          <w:bCs/>
          <w:noProof/>
          <w:sz w:val="24"/>
          <w:szCs w:val="24"/>
          <w:lang w:eastAsia="pl-PL"/>
        </w:rPr>
        <w:drawing>
          <wp:inline distT="0" distB="0" distL="0" distR="0" wp14:anchorId="691F0865" wp14:editId="2AD4F599">
            <wp:extent cx="5760000" cy="4680000"/>
            <wp:effectExtent l="0" t="0" r="12700" b="635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5BE1BC" w14:textId="2932C88E" w:rsidR="00F47AAA" w:rsidRPr="00F12DF7" w:rsidRDefault="00F47AAA" w:rsidP="00F47AAA">
      <w:pPr>
        <w:pStyle w:val="rdo"/>
      </w:pPr>
      <w:r w:rsidRPr="00F12DF7">
        <w:t>Źródło: oszacowania własne</w:t>
      </w:r>
    </w:p>
    <w:p w14:paraId="44B5770C" w14:textId="56EE3176" w:rsidR="001D504F" w:rsidRPr="001F20FA" w:rsidRDefault="001D504F" w:rsidP="000D1C90">
      <w:pPr>
        <w:pStyle w:val="Nagwek2"/>
      </w:pPr>
      <w:bookmarkStart w:id="101" w:name="_Toc115441452"/>
      <w:bookmarkEnd w:id="99"/>
      <w:r w:rsidRPr="001F20FA">
        <w:t>2.</w:t>
      </w:r>
      <w:r w:rsidR="00D429BE">
        <w:t>2</w:t>
      </w:r>
      <w:r w:rsidRPr="001F20FA">
        <w:t>. Tempo i kierunek zmian</w:t>
      </w:r>
      <w:bookmarkEnd w:id="101"/>
    </w:p>
    <w:p w14:paraId="5C6A6A8D" w14:textId="6E4B9805" w:rsidR="001F20FA" w:rsidRDefault="00FF7F4F" w:rsidP="000D1C90">
      <w:pPr>
        <w:pStyle w:val="tekst"/>
      </w:pPr>
      <w:r w:rsidRPr="00AD0815">
        <w:t xml:space="preserve">Prezentując spożycie turystyczne i jego strukturę dla </w:t>
      </w:r>
      <w:r w:rsidR="00AD0815" w:rsidRPr="00AD0815">
        <w:t xml:space="preserve">lat 2018 i 2019 </w:t>
      </w:r>
      <w:r w:rsidRPr="00AD0815">
        <w:t xml:space="preserve">warto przyjrzeć się zmianom, jakie zaszły </w:t>
      </w:r>
      <w:r w:rsidR="00AD0815" w:rsidRPr="00AD0815">
        <w:t xml:space="preserve">zarówno w badanym okresie, jak i w </w:t>
      </w:r>
      <w:r w:rsidRPr="00AD0815">
        <w:t xml:space="preserve">ostatnich </w:t>
      </w:r>
      <w:r w:rsidR="00D714B8">
        <w:t xml:space="preserve">11 </w:t>
      </w:r>
      <w:r w:rsidRPr="00AD0815">
        <w:t>latach</w:t>
      </w:r>
      <w:r w:rsidR="00AD0815" w:rsidRPr="00AD0815">
        <w:t xml:space="preserve"> objętych </w:t>
      </w:r>
      <w:r w:rsidR="001F20FA">
        <w:t xml:space="preserve">oszacowaniami </w:t>
      </w:r>
      <w:r w:rsidR="00AD0815" w:rsidRPr="00AD0815">
        <w:t>RST</w:t>
      </w:r>
      <w:r w:rsidRPr="00AD0815">
        <w:t xml:space="preserve">. </w:t>
      </w:r>
      <w:bookmarkStart w:id="102" w:name="_Hlk113727027"/>
      <w:r w:rsidR="001F20FA">
        <w:t xml:space="preserve">Z analiz wynika, że </w:t>
      </w:r>
      <w:r w:rsidR="00C3017E">
        <w:t xml:space="preserve">w 2018-2019 </w:t>
      </w:r>
      <w:r w:rsidR="001F20FA">
        <w:t xml:space="preserve">spożycie turystyczne wzrosło o ok. 8%, głównie dzięki znaczącemu wzrostowi spożycia rezydentów (o blisko 14% rok do roku). </w:t>
      </w:r>
      <w:r w:rsidR="00C3017E">
        <w:t>Zwiększeniu uległy wydatki na wiele charakterystycznych produktów turystycznych: działalność organizatorów turystyki, usługi transportowe (w tym zarówno transport lądowy, jak i lotniczy), usługi noclegowe, gastronomiczne, kulturalno-rekreacyjne, ale także krajowe charakterystyczne: związane z organizacją turystyki biznesowej i turystyką zdrowotną.</w:t>
      </w:r>
      <w:r w:rsidR="000C063C">
        <w:t xml:space="preserve"> Zmniejszeniu uległo natomiast spożycie usług wspomagających transport lotniczy oraz wydatki na produkty ujęte w grupie produkty pozostałe (czyli głównie zakupy). </w:t>
      </w:r>
      <w:bookmarkEnd w:id="102"/>
      <w:r w:rsidR="000C063C">
        <w:t>Poziom zmian ilustruje wykres 2.</w:t>
      </w:r>
      <w:r w:rsidR="00010A7B">
        <w:t>9</w:t>
      </w:r>
      <w:r w:rsidR="000C063C">
        <w:t>.</w:t>
      </w:r>
    </w:p>
    <w:p w14:paraId="3C00698A" w14:textId="315BAB80" w:rsidR="00FA5E54" w:rsidRPr="00FF7F4F" w:rsidRDefault="00FA5E54" w:rsidP="00FA5E54">
      <w:pPr>
        <w:pStyle w:val="tekst"/>
        <w:rPr>
          <w:color w:val="FF0000"/>
        </w:rPr>
      </w:pPr>
      <w:bookmarkStart w:id="103" w:name="_Hlk113727077"/>
      <w:r>
        <w:t>Jeśli chodzi o zmiany długookresowe, n</w:t>
      </w:r>
      <w:r w:rsidRPr="00AD0815">
        <w:t xml:space="preserve">ależy przede wszystkim podkreślić fakt wzrostu poziomu spożycia ogółem (gospodarstw domowych rezydentów, nierezydentów i pozostałych składowych spożycia </w:t>
      </w:r>
      <w:r w:rsidRPr="000B087D">
        <w:t>turystycznego łącznie); odnosi się to zwłaszcza do okresu pomiędzy latami 2015 i 2018.</w:t>
      </w:r>
      <w:r w:rsidR="009B3416">
        <w:t xml:space="preserve"> </w:t>
      </w:r>
      <w:r w:rsidRPr="000B087D">
        <w:t xml:space="preserve">Obserwacja ta dotyczy w sposób szczególny rezydentów. Zmiany obserwowane na podstawie trzech ostatnich RST (2015, 2018 i 2019) wiążą się przede wszystkim ze wzrostem spożycia indywidualnego we wszystkich badanych grupach konsumentów, przy czym warto podkreślić, że wzrost spożycia gospodarstw domowych był najbardziej znaczący. </w:t>
      </w:r>
      <w:bookmarkEnd w:id="103"/>
      <w:r w:rsidRPr="000B087D">
        <w:t xml:space="preserve">Spożycie turystyczne w ramach </w:t>
      </w:r>
      <w:r>
        <w:t xml:space="preserve">pozycji inne składowe spożycia turystycznego (tzn. </w:t>
      </w:r>
      <w:r w:rsidRPr="000B087D">
        <w:t>krajowych podróży służbowych i spożycia zbiorowego</w:t>
      </w:r>
      <w:r>
        <w:t>)</w:t>
      </w:r>
      <w:r w:rsidRPr="000B087D">
        <w:t xml:space="preserve"> w okresie, kiedy nie był przygotowywany rachunek satelitarny turystyki (tzn. 2015-2018) nieznacznie spadło. </w:t>
      </w:r>
      <w:r w:rsidRPr="000B087D">
        <w:lastRenderedPageBreak/>
        <w:t>Należy również wskazać na zmiany strukturalne w sektorze turystyki, które można obserwować na wykresie 2.</w:t>
      </w:r>
      <w:r>
        <w:t>10</w:t>
      </w:r>
      <w:r w:rsidRPr="000B087D">
        <w:t xml:space="preserve">: wzrost znaczenia usług organizatorów turystyki i pośredników (zmiana trendu), noclegowych, transportu lotniczego oraz gastronomicznych, a także spadek w zakresie konsumpcji usług świadczonych przez transport wodny. </w:t>
      </w:r>
    </w:p>
    <w:p w14:paraId="1739FFC5" w14:textId="77777777" w:rsidR="00FA5E54" w:rsidRDefault="00FA5E54" w:rsidP="000D1C90">
      <w:pPr>
        <w:pStyle w:val="tekst"/>
      </w:pPr>
    </w:p>
    <w:p w14:paraId="308C45F1" w14:textId="4A21895C" w:rsidR="001F20FA" w:rsidRPr="001F20FA" w:rsidRDefault="001F20FA" w:rsidP="000D1C90">
      <w:pPr>
        <w:pStyle w:val="nazwa"/>
      </w:pPr>
      <w:bookmarkStart w:id="104" w:name="_Toc115437478"/>
      <w:r w:rsidRPr="001F20FA">
        <w:t>Wykres 2.</w:t>
      </w:r>
      <w:r w:rsidR="00010A7B">
        <w:t>9</w:t>
      </w:r>
      <w:r w:rsidRPr="001F20FA">
        <w:t xml:space="preserve">. </w:t>
      </w:r>
      <w:r>
        <w:t>Zmiany w spożyciu wybranych produktów turystycznych w latach 2018-2019</w:t>
      </w:r>
      <w:r w:rsidR="006E0FB6">
        <w:t xml:space="preserve"> (2019:2018)</w:t>
      </w:r>
      <w:bookmarkEnd w:id="104"/>
    </w:p>
    <w:p w14:paraId="73240D5C" w14:textId="4D16227D" w:rsidR="001F20FA" w:rsidRDefault="001F20FA" w:rsidP="00FF7F4F">
      <w:pPr>
        <w:jc w:val="both"/>
        <w:rPr>
          <w:rFonts w:ascii="Times New Roman" w:eastAsia="Times New Roman" w:hAnsi="Times New Roman" w:cs="Times New Roman"/>
          <w:sz w:val="24"/>
          <w:szCs w:val="24"/>
          <w:lang w:eastAsia="pl-PL"/>
        </w:rPr>
      </w:pPr>
      <w:r>
        <w:rPr>
          <w:noProof/>
        </w:rPr>
        <mc:AlternateContent>
          <mc:Choice Requires="cx2">
            <w:drawing>
              <wp:inline distT="0" distB="0" distL="0" distR="0" wp14:anchorId="6535F9E3" wp14:editId="2307B414">
                <wp:extent cx="5760000" cy="3420000"/>
                <wp:effectExtent l="0" t="0" r="12700" b="9525"/>
                <wp:docPr id="7" name="Wykres 7">
                  <a:extLst xmlns:a="http://schemas.openxmlformats.org/drawingml/2006/main">
                    <a:ext uri="{FF2B5EF4-FFF2-40B4-BE49-F238E27FC236}">
                      <a16:creationId xmlns:a16="http://schemas.microsoft.com/office/drawing/2014/main" id="{BAE5FBDC-35F7-46C6-B6DA-C107879C5811}"/>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drawing>
              <wp:inline distT="0" distB="0" distL="0" distR="0" wp14:anchorId="6535F9E3" wp14:editId="2307B414">
                <wp:extent cx="5760000" cy="3420000"/>
                <wp:effectExtent l="0" t="0" r="12700" b="9525"/>
                <wp:docPr id="7" name="Wykres 7">
                  <a:extLst xmlns:a="http://schemas.openxmlformats.org/drawingml/2006/main">
                    <a:ext uri="{FF2B5EF4-FFF2-40B4-BE49-F238E27FC236}">
                      <a16:creationId xmlns:a16="http://schemas.microsoft.com/office/drawing/2014/main" id="{BAE5FBDC-35F7-46C6-B6DA-C107879C5811}"/>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Wykres 7">
                          <a:extLst>
                            <a:ext uri="{FF2B5EF4-FFF2-40B4-BE49-F238E27FC236}">
                              <a16:creationId xmlns:a16="http://schemas.microsoft.com/office/drawing/2014/main" id="{BAE5FBDC-35F7-46C6-B6DA-C107879C5811}"/>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5759450" cy="3419475"/>
                        </a:xfrm>
                        <a:prstGeom prst="rect">
                          <a:avLst/>
                        </a:prstGeom>
                      </pic:spPr>
                    </pic:pic>
                  </a:graphicData>
                </a:graphic>
              </wp:inline>
            </w:drawing>
          </mc:Fallback>
        </mc:AlternateContent>
      </w:r>
    </w:p>
    <w:p w14:paraId="2453C50B" w14:textId="19D9C279" w:rsidR="00C3017E" w:rsidRPr="00F12DF7" w:rsidRDefault="00C3017E" w:rsidP="00BB32C0">
      <w:pPr>
        <w:pStyle w:val="gwiazdki"/>
      </w:pPr>
      <w:r>
        <w:t>*</w:t>
      </w:r>
      <w:r w:rsidR="00BB32C0">
        <w:tab/>
      </w:r>
      <w:r w:rsidRPr="00F12DF7">
        <w:t>łącznie z korzystaniem z własnych drugich domów</w:t>
      </w:r>
    </w:p>
    <w:p w14:paraId="3CBAF7E2" w14:textId="3C201F4F" w:rsidR="00C3017E" w:rsidRPr="00477E32" w:rsidRDefault="00C3017E" w:rsidP="00BB32C0">
      <w:pPr>
        <w:pStyle w:val="gwiazdki"/>
      </w:pPr>
      <w:r w:rsidRPr="00477E32">
        <w:t>**</w:t>
      </w:r>
      <w:r w:rsidR="00BB32C0">
        <w:tab/>
      </w:r>
      <w:r w:rsidRPr="00477E32">
        <w:t>łącznie z marżą detaliczną</w:t>
      </w:r>
    </w:p>
    <w:p w14:paraId="3A304130" w14:textId="0D95D537" w:rsidR="001F20FA" w:rsidRPr="00C3017E" w:rsidRDefault="00BC6FF7" w:rsidP="00BC3827">
      <w:pPr>
        <w:pStyle w:val="rdo"/>
      </w:pPr>
      <w:r>
        <w:t>Źródło: opracowanie własne</w:t>
      </w:r>
    </w:p>
    <w:p w14:paraId="358E2970" w14:textId="77777777" w:rsidR="00247068" w:rsidRDefault="00247068" w:rsidP="00247068">
      <w:pPr>
        <w:pStyle w:val="tekst"/>
      </w:pPr>
      <w:bookmarkStart w:id="105" w:name="_Toc486561687"/>
      <w:bookmarkStart w:id="106" w:name="_Toc486566133"/>
      <w:bookmarkStart w:id="107" w:name="_Toc486566337"/>
      <w:bookmarkStart w:id="108" w:name="_Hlk113727092"/>
    </w:p>
    <w:p w14:paraId="671915AB" w14:textId="0FF1426E" w:rsidR="00FF7F4F" w:rsidRPr="00FF7F4F" w:rsidRDefault="00FF7F4F" w:rsidP="00BC3827">
      <w:pPr>
        <w:pStyle w:val="nazwa"/>
      </w:pPr>
      <w:bookmarkStart w:id="109" w:name="_Toc115437479"/>
      <w:r w:rsidRPr="00FF7F4F">
        <w:t>Wykres 2.</w:t>
      </w:r>
      <w:r w:rsidR="00010A7B">
        <w:t>10</w:t>
      </w:r>
      <w:r w:rsidRPr="00FF7F4F">
        <w:t xml:space="preserve">. Wielkość i struktura krajowego spożycia turystycznego w latach 2008-2019 </w:t>
      </w:r>
      <w:r w:rsidR="003469C8">
        <w:br/>
      </w:r>
      <w:r w:rsidRPr="00FF7F4F">
        <w:t>(w mld PLN)</w:t>
      </w:r>
      <w:bookmarkEnd w:id="105"/>
      <w:bookmarkEnd w:id="106"/>
      <w:bookmarkEnd w:id="107"/>
      <w:bookmarkEnd w:id="109"/>
    </w:p>
    <w:p w14:paraId="68A3A39C" w14:textId="31EAFDFC" w:rsidR="004678FD" w:rsidRDefault="001D504F" w:rsidP="004678FD">
      <w:pPr>
        <w:jc w:val="both"/>
        <w:rPr>
          <w:rFonts w:ascii="Times New Roman" w:eastAsia="Times New Roman" w:hAnsi="Times New Roman" w:cs="Times New Roman"/>
          <w:color w:val="FF0000"/>
          <w:sz w:val="24"/>
          <w:szCs w:val="24"/>
          <w:lang w:eastAsia="pl-PL"/>
        </w:rPr>
      </w:pPr>
      <w:r>
        <w:rPr>
          <w:noProof/>
        </w:rPr>
        <w:drawing>
          <wp:inline distT="0" distB="0" distL="0" distR="0" wp14:anchorId="1F1E74EE" wp14:editId="3AD16F74">
            <wp:extent cx="5760000" cy="2628000"/>
            <wp:effectExtent l="0" t="0" r="12700" b="1270"/>
            <wp:docPr id="4" name="Wykres 4">
              <a:extLst xmlns:a="http://schemas.openxmlformats.org/drawingml/2006/main">
                <a:ext uri="{FF2B5EF4-FFF2-40B4-BE49-F238E27FC236}">
                  <a16:creationId xmlns:a16="http://schemas.microsoft.com/office/drawing/2014/main" id="{DB65C252-98E3-4B56-893B-B27C67A24B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99ADBD0" w14:textId="3FD59627" w:rsidR="009612C7" w:rsidRPr="00FF7F4F" w:rsidRDefault="00BC6FF7" w:rsidP="009612C7">
      <w:pPr>
        <w:pStyle w:val="rdo"/>
        <w:rPr>
          <w:rFonts w:ascii="Times New Roman" w:hAnsi="Times New Roman" w:cs="Times New Roman"/>
          <w:color w:val="FF0000"/>
          <w:sz w:val="24"/>
          <w:szCs w:val="24"/>
        </w:rPr>
      </w:pPr>
      <w:r>
        <w:t>Źródło: opracowanie własne</w:t>
      </w:r>
    </w:p>
    <w:p w14:paraId="5480B9DD" w14:textId="7633F47D" w:rsidR="00BB6A2A" w:rsidRDefault="00BB6A2A" w:rsidP="00BC3827">
      <w:pPr>
        <w:pStyle w:val="Nagwek1"/>
      </w:pPr>
      <w:bookmarkStart w:id="110" w:name="_Toc115441453"/>
      <w:bookmarkEnd w:id="108"/>
      <w:r>
        <w:lastRenderedPageBreak/>
        <w:t>3. Turystyczna produkcja globalna, wartość dodana i udział turystyki w tworzeniu PKB</w:t>
      </w:r>
      <w:bookmarkEnd w:id="110"/>
      <w:r>
        <w:t xml:space="preserve"> </w:t>
      </w:r>
    </w:p>
    <w:p w14:paraId="36E1AECC" w14:textId="1D5EBA83" w:rsidR="00BB6A2A" w:rsidRPr="00FF7F4F" w:rsidRDefault="00BB6A2A" w:rsidP="00BC3827">
      <w:pPr>
        <w:pStyle w:val="Nagwek2"/>
        <w:rPr>
          <w:rFonts w:ascii="Times New Roman" w:hAnsi="Times New Roman"/>
          <w:color w:val="FF0000"/>
          <w:sz w:val="24"/>
          <w:szCs w:val="24"/>
        </w:rPr>
      </w:pPr>
      <w:bookmarkStart w:id="111" w:name="_Hlk114004908"/>
      <w:bookmarkStart w:id="112" w:name="_Toc115441454"/>
      <w:r>
        <w:rPr>
          <w:rFonts w:ascii="Times New Roman" w:hAnsi="Times New Roman"/>
        </w:rPr>
        <w:t xml:space="preserve">3.1. </w:t>
      </w:r>
      <w:r>
        <w:t>Charakterystyka produkcji globalnej</w:t>
      </w:r>
      <w:bookmarkEnd w:id="111"/>
      <w:r>
        <w:t xml:space="preserve"> i podaży produktów turystycznych</w:t>
      </w:r>
      <w:bookmarkEnd w:id="112"/>
    </w:p>
    <w:p w14:paraId="0AFB98A9" w14:textId="77777777" w:rsidR="00BB6A2A" w:rsidRPr="002D23EF" w:rsidRDefault="00BB6A2A" w:rsidP="00BC3827">
      <w:pPr>
        <w:pStyle w:val="tekst"/>
      </w:pPr>
      <w:r>
        <w:t xml:space="preserve">Turystyka jest zasadniczo zjawiskiem kształtowanym przez popyt (spożycie), niemniej to produkcja będąca odpowiedzią na ten popyt decyduje o tym, w jaki sposób i w jakim zakresie zjawisko turystyki przyczynia się do wzrostu gospodarki. </w:t>
      </w:r>
      <w:r w:rsidRPr="002D23EF">
        <w:t xml:space="preserve">Zagadnienie wkładu turystyki w wielkość produkcji globalnej w gospodarce można rozpatrywać w trzech ujęciach: </w:t>
      </w:r>
    </w:p>
    <w:p w14:paraId="711C48FC" w14:textId="77777777" w:rsidR="00BB6A2A" w:rsidRPr="00625D2F" w:rsidRDefault="00BB6A2A" w:rsidP="00BC3827">
      <w:pPr>
        <w:pStyle w:val="bombki"/>
        <w:numPr>
          <w:ilvl w:val="0"/>
          <w:numId w:val="35"/>
        </w:numPr>
      </w:pPr>
      <w:r w:rsidRPr="00625D2F">
        <w:t xml:space="preserve">jako produkcję globalną rodzajów działalności obsługujących odwiedzających, szczególnie tych, które zaliczane są do CRDT; </w:t>
      </w:r>
    </w:p>
    <w:p w14:paraId="6528D139" w14:textId="77777777" w:rsidR="00BB6A2A" w:rsidRPr="00625D2F" w:rsidRDefault="00BB6A2A" w:rsidP="00BC3827">
      <w:pPr>
        <w:pStyle w:val="bombki"/>
        <w:numPr>
          <w:ilvl w:val="0"/>
          <w:numId w:val="35"/>
        </w:numPr>
      </w:pPr>
      <w:r w:rsidRPr="00625D2F">
        <w:t>jako produkcję charakterystycznych produktów turystycznych</w:t>
      </w:r>
      <w:r>
        <w:t xml:space="preserve"> CPT</w:t>
      </w:r>
      <w:r w:rsidRPr="00625D2F">
        <w:t xml:space="preserve">, czyli produkcję podstawową CRDT i produkcję drugorzędną pozostałych rodzajów działalności; produkcja charakterystycznych produktów turystycznych odpowiada za podaż produktów turystycznych; </w:t>
      </w:r>
    </w:p>
    <w:p w14:paraId="69EF6447" w14:textId="77777777" w:rsidR="00BB6A2A" w:rsidRPr="00625D2F" w:rsidRDefault="00BB6A2A" w:rsidP="00BC3827">
      <w:pPr>
        <w:pStyle w:val="bombki"/>
        <w:numPr>
          <w:ilvl w:val="0"/>
          <w:numId w:val="35"/>
        </w:numPr>
      </w:pPr>
      <w:r w:rsidRPr="00625D2F">
        <w:t xml:space="preserve">jako bezpośredni udział turystyki w wykorzystaniu podaży wyrobów i usług. </w:t>
      </w:r>
    </w:p>
    <w:p w14:paraId="76275875" w14:textId="7C48A4F1" w:rsidR="00BB6A2A" w:rsidRDefault="00BB6A2A" w:rsidP="009612C7">
      <w:pPr>
        <w:pStyle w:val="tekst"/>
      </w:pPr>
      <w:r w:rsidRPr="002D23EF">
        <w:t xml:space="preserve">Pierwsze ujęcie </w:t>
      </w:r>
      <w:r>
        <w:t xml:space="preserve">jest szczególnie istotne, ponieważ pokazuje wkład w gospodarkę rodzajów działalności, które są najsilniej powiązane z rozwojem turystyki. Co więcej, analiza wyników w układzie rodzajów działalności umożliwia ocenę efektywności ekonomicznej produkcji stymulowanej przez turystykę, tzn. pokazuje produktywność wykorzystania zasobów w porównaniu z innymi rodzajami działalności gospodarczej. </w:t>
      </w:r>
    </w:p>
    <w:p w14:paraId="5E798606" w14:textId="77777777" w:rsidR="00BB6A2A" w:rsidRPr="00FF7F4F" w:rsidRDefault="00BB6A2A" w:rsidP="00BC3827">
      <w:pPr>
        <w:pStyle w:val="nazwa"/>
      </w:pPr>
      <w:bookmarkStart w:id="113" w:name="_Toc115437480"/>
      <w:r w:rsidRPr="00FF7F4F">
        <w:t xml:space="preserve">Wykres </w:t>
      </w:r>
      <w:r>
        <w:t>3.1</w:t>
      </w:r>
      <w:r w:rsidRPr="00FF7F4F">
        <w:t xml:space="preserve">. </w:t>
      </w:r>
      <w:r>
        <w:t>S</w:t>
      </w:r>
      <w:r w:rsidRPr="00FF7F4F">
        <w:t xml:space="preserve">truktura </w:t>
      </w:r>
      <w:r>
        <w:t xml:space="preserve">produkcji globalnej podstawowych </w:t>
      </w:r>
      <w:r w:rsidRPr="00CD3DA2">
        <w:rPr>
          <w:bCs/>
        </w:rPr>
        <w:t xml:space="preserve">CRDT </w:t>
      </w:r>
      <w:r>
        <w:rPr>
          <w:bCs/>
        </w:rPr>
        <w:t>w 2018 r.</w:t>
      </w:r>
      <w:bookmarkEnd w:id="113"/>
    </w:p>
    <w:p w14:paraId="77178864" w14:textId="77777777" w:rsidR="00BB6A2A" w:rsidRDefault="00BB6A2A" w:rsidP="00BB6A2A">
      <w:pPr>
        <w:jc w:val="both"/>
        <w:rPr>
          <w:rFonts w:ascii="Times New Roman" w:eastAsia="Times New Roman" w:hAnsi="Times New Roman" w:cs="Times New Roman"/>
          <w:sz w:val="24"/>
          <w:szCs w:val="24"/>
          <w:lang w:eastAsia="pl-PL"/>
        </w:rPr>
      </w:pPr>
      <w:r>
        <w:rPr>
          <w:noProof/>
        </w:rPr>
        <w:drawing>
          <wp:inline distT="0" distB="0" distL="0" distR="0" wp14:anchorId="28377357" wp14:editId="5F33522A">
            <wp:extent cx="5760000" cy="4320000"/>
            <wp:effectExtent l="0" t="0" r="12700" b="4445"/>
            <wp:docPr id="29" name="Wykres 29">
              <a:extLst xmlns:a="http://schemas.openxmlformats.org/drawingml/2006/main">
                <a:ext uri="{FF2B5EF4-FFF2-40B4-BE49-F238E27FC236}">
                  <a16:creationId xmlns:a16="http://schemas.microsoft.com/office/drawing/2014/main" id="{5FCA3BA0-8708-0E71-953A-FB61E329A5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6CC1CC" w14:textId="6F3EB3B3" w:rsidR="00BC3827" w:rsidRDefault="00BC6FF7" w:rsidP="0088626C">
      <w:pPr>
        <w:pStyle w:val="rdo"/>
      </w:pPr>
      <w:r>
        <w:t>Źródło: opracowanie własne</w:t>
      </w:r>
    </w:p>
    <w:p w14:paraId="2F74CEA7" w14:textId="77777777" w:rsidR="002E53B2" w:rsidRDefault="002E53B2" w:rsidP="002E53B2">
      <w:pPr>
        <w:pStyle w:val="tekst"/>
      </w:pPr>
      <w:r>
        <w:lastRenderedPageBreak/>
        <w:t xml:space="preserve">Tak </w:t>
      </w:r>
      <w:r w:rsidRPr="00502117">
        <w:rPr>
          <w:rStyle w:val="Pogrubienie"/>
        </w:rPr>
        <w:t xml:space="preserve">zdefiniowana globalna produkcja turystyczna, obejmująca wyniki podstawowych i krajowych CRDT, wyniosła 128 511,3 mln PLN w 2018 r. i 142 184,0 mln PLN w 2019 r. Stanowiło to odpowiednio 3% i 3,1% produkcji globalnej w całej gospodarce. </w:t>
      </w:r>
      <w:r>
        <w:t xml:space="preserve">Zdecydowanie przeważały podstawowe CRDT, na krajowe przypadało tylko </w:t>
      </w:r>
      <w:r w:rsidRPr="00973596">
        <w:t>7 118,6</w:t>
      </w:r>
      <w:r>
        <w:t xml:space="preserve"> mln PLN w 2018 r. i </w:t>
      </w:r>
      <w:r w:rsidRPr="00973596">
        <w:t>7497,4</w:t>
      </w:r>
      <w:r>
        <w:t xml:space="preserve"> mln w 2019 r. Szczegółowe dane na ten temat zawiera tablica 5 RST. Udział poszczególnych rodzajów działalności w turystycznej produkcji globalnej podstawowych CRDT był silnie zróżnicowany i wahał się od ponad 31% w odniesieniu do gastronomii do 0,2% w przypadku transportu śródlądowego. Strukturę globalnej produkcji turystycznej w 2018 r. przedstawia wykres 3.1. </w:t>
      </w:r>
    </w:p>
    <w:p w14:paraId="5CD859F7" w14:textId="5951BB69" w:rsidR="00BB6A2A" w:rsidRPr="00973596" w:rsidRDefault="00BB6A2A" w:rsidP="00BC3827">
      <w:pPr>
        <w:pStyle w:val="tekst"/>
      </w:pPr>
      <w:r>
        <w:t>Odnotowany w 2019 r. wzrost udziału produkcji CRDT w produkcji globalnej gospodarki sugeruje, że rozwijały się one w szybszym tempie niż przeciętne dla kraju. Dane ilustrujące skalę i kierunek zmian w produkcji globalnej poszczególnych charakterystycznych rodzajów działalności turystycznej zawiera tabela 3.1. Przedstawiono w niej także informacje charakteryzujące wewnętrzną strukturę wybranych rodzajów działalności, co daje wgląd w ich dynamikę rozwoju. Kolorowe oznaczenia pokazują, które rodzaje działalności osiągnęły szybsze tempo wzrostu niż przeciętne dla Polski, a strzałki dodatkowo pozwalają ocenić różnice między dynamiką danej działalności a wspomnianym przeciętnym tempem wzrostu produkcji globalnej w kraju.</w:t>
      </w:r>
    </w:p>
    <w:p w14:paraId="73003976" w14:textId="77777777" w:rsidR="00BB6A2A" w:rsidRPr="00156801" w:rsidRDefault="00BB6A2A" w:rsidP="00BC3827">
      <w:pPr>
        <w:pStyle w:val="nazwa"/>
        <w:rPr>
          <w:vertAlign w:val="superscript"/>
        </w:rPr>
      </w:pPr>
      <w:bookmarkStart w:id="114" w:name="_Toc115437481"/>
      <w:r>
        <w:t>Tabela 3.1. Wielkość i dynamika zmian produkcji globalnej podstawowych CRDT w latach 2018-2019 (ceny bieżące bazowe (producenta), mln PLN)</w:t>
      </w:r>
      <w:r w:rsidRPr="00156801">
        <w:rPr>
          <w:vertAlign w:val="superscript"/>
        </w:rPr>
        <w:t>a</w:t>
      </w:r>
      <w:bookmarkEnd w:id="114"/>
    </w:p>
    <w:p w14:paraId="6AA950D0" w14:textId="77777777" w:rsidR="00BB6A2A" w:rsidRDefault="00BB6A2A" w:rsidP="007D235C">
      <w:pPr>
        <w:spacing w:after="0"/>
      </w:pPr>
      <w:r w:rsidRPr="00D77CB2">
        <w:rPr>
          <w:noProof/>
          <w:sz w:val="20"/>
          <w:szCs w:val="20"/>
        </w:rPr>
        <w:drawing>
          <wp:inline distT="0" distB="0" distL="0" distR="0" wp14:anchorId="17E1D48B" wp14:editId="1E6E9BFE">
            <wp:extent cx="4968000" cy="5437847"/>
            <wp:effectExtent l="0" t="0" r="444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000" cy="5437847"/>
                    </a:xfrm>
                    <a:prstGeom prst="rect">
                      <a:avLst/>
                    </a:prstGeom>
                    <a:noFill/>
                    <a:ln>
                      <a:noFill/>
                    </a:ln>
                  </pic:spPr>
                </pic:pic>
              </a:graphicData>
            </a:graphic>
          </wp:inline>
        </w:drawing>
      </w:r>
    </w:p>
    <w:p w14:paraId="7C8E1998" w14:textId="393C277C" w:rsidR="00BB6A2A" w:rsidRPr="0088626C" w:rsidRDefault="00BB6A2A" w:rsidP="0048681A">
      <w:pPr>
        <w:pStyle w:val="rdo"/>
        <w:numPr>
          <w:ilvl w:val="0"/>
          <w:numId w:val="36"/>
        </w:numPr>
      </w:pPr>
      <w:r w:rsidRPr="0088626C">
        <w:t>dane dotyczące grup i klas rodzajów działalności pochodzą ze strukturalnej statystyki przedsiębiorstw w bazie EUROSTAT, co może być źródłem niespójności z danymi dla całego działu</w:t>
      </w:r>
    </w:p>
    <w:p w14:paraId="21708FC6" w14:textId="77777777" w:rsidR="00BB6A2A" w:rsidRDefault="00BB6A2A" w:rsidP="00BC3827">
      <w:pPr>
        <w:pStyle w:val="tekst"/>
      </w:pPr>
      <w:r>
        <w:lastRenderedPageBreak/>
        <w:t xml:space="preserve">Z danych zamieszczonych w tabeli 3.1. wynika, że większość CRDT cechowało szybsze lub równe krajowemu tempo wzrostu produkcji globalnej. Liderami były usługi gastronomiczne, transport kolejowy międzymiastowy i transport lotniczy, usługi biur podróży, usługi hoteli i podobnych obiektów oraz mające mniejszy wkład w turystykę – wynajem i dzierżawa samochodów. Słabsze tempo rozwoju wykazała działalność kulturalna i rekreacyjna, a transport lądowy pozostały, który obejmuje m.in. taksówki i transport miejski, a także transport wodny śródlądowy odnotowały niewielki spadek produkcji w stosunku do poprzedniego roku. Dane zawarte w tabeli 3.1. pokazują ponadto, że usługi zakwaterowania zdominowane są przez hotele i podobne obiekty, natomiast w przypadku gastronomii zdecydowanie dominują restauracje, choć najszybciej rozwijała się działalność </w:t>
      </w:r>
      <w:proofErr w:type="spellStart"/>
      <w:r>
        <w:t>kateringowa</w:t>
      </w:r>
      <w:proofErr w:type="spellEnd"/>
      <w:r>
        <w:t>.</w:t>
      </w:r>
    </w:p>
    <w:p w14:paraId="764869C8" w14:textId="77777777" w:rsidR="00BB6A2A" w:rsidRDefault="00BB6A2A" w:rsidP="00BC3827">
      <w:pPr>
        <w:pStyle w:val="tekst"/>
      </w:pPr>
      <w:r>
        <w:t>Przedstawione dane ilustrują wielkość produkcji w przedsiębiorstwach zaliczanych do CRDT, ale należy pamiętać, że obowiązuje zasada dominującego rodzaju produkcji, co oznacza, że obok produktów typowych dla danego rodzaju działalności przedsiębiorstwa mogą wytwarzać także inne produkty jako produkcję drugorzędną. Analiza dostępnych danych pokazuje, że w przypadku omawianej grupy przedsiębiorstw można mówić o modelach biznesowych skoncentrowanych na podstawowej działalności. Wyjątkiem jest morski transport pasażerski, który w Polsce opiera się na promach. Stosunkowo mały udział produkcji podstawowej występuje także w zakwaterowaniu, ale tutaj naturalnym dopełnieniem produkcji podstawowej jest przede wszystkim gastronomia. Dane za 2019 r. mogą sugerować pewien odwrót od tej jednorodności, ale trzeba pamiętać, że to tylko perspektywa 1 roku, więc trudno o jednoznaczne wnioski. Zakres koncentracji produkcji globalnej CRDT na produktach podstawowych w 2018 i 2019 r. ilustruje wykres 3.2.</w:t>
      </w:r>
    </w:p>
    <w:p w14:paraId="530F091A" w14:textId="77777777" w:rsidR="00BB6A2A" w:rsidRDefault="00BB6A2A" w:rsidP="00BC3827">
      <w:pPr>
        <w:pStyle w:val="nazwa"/>
      </w:pPr>
      <w:bookmarkStart w:id="115" w:name="_Toc115437482"/>
      <w:r w:rsidRPr="0073531A">
        <w:t>Wykres 3.2. Udział produktów podstawowych w produkcji globalnej CRDT w 2018</w:t>
      </w:r>
      <w:r>
        <w:t xml:space="preserve"> i 2019</w:t>
      </w:r>
      <w:r w:rsidRPr="0073531A">
        <w:t xml:space="preserve"> r.</w:t>
      </w:r>
      <w:bookmarkEnd w:id="115"/>
    </w:p>
    <w:p w14:paraId="02DD1692" w14:textId="77777777" w:rsidR="00BB6A2A" w:rsidRDefault="00BB6A2A" w:rsidP="00BB6A2A">
      <w:pPr>
        <w:tabs>
          <w:tab w:val="left" w:pos="1608"/>
        </w:tabs>
        <w:jc w:val="both"/>
        <w:rPr>
          <w:noProof/>
        </w:rPr>
      </w:pPr>
      <w:r>
        <w:rPr>
          <w:noProof/>
        </w:rPr>
        <mc:AlternateContent>
          <mc:Choice Requires="cx2">
            <w:drawing>
              <wp:inline distT="0" distB="0" distL="0" distR="0" wp14:anchorId="16BC1B71" wp14:editId="4AB183CF">
                <wp:extent cx="5760000" cy="2376000"/>
                <wp:effectExtent l="0" t="0" r="12700" b="5715"/>
                <wp:docPr id="32" name="Wykres 32">
                  <a:extLst xmlns:a="http://schemas.openxmlformats.org/drawingml/2006/main">
                    <a:ext uri="{FF2B5EF4-FFF2-40B4-BE49-F238E27FC236}">
                      <a16:creationId xmlns:a16="http://schemas.microsoft.com/office/drawing/2014/main" id="{5583913B-4D9B-CC46-3D45-EA51405B72D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drawing>
              <wp:inline distT="0" distB="0" distL="0" distR="0" wp14:anchorId="16BC1B71" wp14:editId="4AB183CF">
                <wp:extent cx="5760000" cy="2376000"/>
                <wp:effectExtent l="0" t="0" r="12700" b="5715"/>
                <wp:docPr id="32" name="Wykres 32">
                  <a:extLst xmlns:a="http://schemas.openxmlformats.org/drawingml/2006/main">
                    <a:ext uri="{FF2B5EF4-FFF2-40B4-BE49-F238E27FC236}">
                      <a16:creationId xmlns:a16="http://schemas.microsoft.com/office/drawing/2014/main" id="{5583913B-4D9B-CC46-3D45-EA51405B72D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2" name="Wykres 32">
                          <a:extLst>
                            <a:ext uri="{FF2B5EF4-FFF2-40B4-BE49-F238E27FC236}">
                              <a16:creationId xmlns:a16="http://schemas.microsoft.com/office/drawing/2014/main" id="{5583913B-4D9B-CC46-3D45-EA51405B72D9}"/>
                            </a:ext>
                          </a:extLst>
                        </pic:cNvPr>
                        <pic:cNvPicPr>
                          <a:picLocks noGrp="1" noRot="1" noChangeAspect="1" noMove="1" noResize="1" noEditPoints="1" noAdjustHandles="1" noChangeArrowheads="1" noChangeShapeType="1"/>
                        </pic:cNvPicPr>
                      </pic:nvPicPr>
                      <pic:blipFill>
                        <a:blip r:embed="rId30"/>
                        <a:stretch>
                          <a:fillRect/>
                        </a:stretch>
                      </pic:blipFill>
                      <pic:spPr>
                        <a:xfrm>
                          <a:off x="0" y="0"/>
                          <a:ext cx="5759450" cy="2375535"/>
                        </a:xfrm>
                        <a:prstGeom prst="rect">
                          <a:avLst/>
                        </a:prstGeom>
                      </pic:spPr>
                    </pic:pic>
                  </a:graphicData>
                </a:graphic>
              </wp:inline>
            </w:drawing>
          </mc:Fallback>
        </mc:AlternateContent>
      </w:r>
    </w:p>
    <w:p w14:paraId="7C1ABC83" w14:textId="77777777" w:rsidR="00BB6A2A" w:rsidRDefault="00BB6A2A" w:rsidP="00BB6A2A">
      <w:pPr>
        <w:rPr>
          <w:noProof/>
        </w:rPr>
      </w:pPr>
      <w:r>
        <w:rPr>
          <w:noProof/>
        </w:rPr>
        <mc:AlternateContent>
          <mc:Choice Requires="cx2">
            <w:drawing>
              <wp:inline distT="0" distB="0" distL="0" distR="0" wp14:anchorId="3B124863" wp14:editId="6D96AE2D">
                <wp:extent cx="5760000" cy="2376000"/>
                <wp:effectExtent l="0" t="0" r="12700" b="5715"/>
                <wp:docPr id="20" name="Wykres 20">
                  <a:extLst xmlns:a="http://schemas.openxmlformats.org/drawingml/2006/main">
                    <a:ext uri="{FF2B5EF4-FFF2-40B4-BE49-F238E27FC236}">
                      <a16:creationId xmlns:a16="http://schemas.microsoft.com/office/drawing/2014/main" id="{2C1FB7B0-4C7B-310F-D5A6-CD9A56F4054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1"/>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drawing>
              <wp:inline distT="0" distB="0" distL="0" distR="0" wp14:anchorId="3B124863" wp14:editId="6D96AE2D">
                <wp:extent cx="5760000" cy="2376000"/>
                <wp:effectExtent l="0" t="0" r="12700" b="5715"/>
                <wp:docPr id="20" name="Wykres 20">
                  <a:extLst xmlns:a="http://schemas.openxmlformats.org/drawingml/2006/main">
                    <a:ext uri="{FF2B5EF4-FFF2-40B4-BE49-F238E27FC236}">
                      <a16:creationId xmlns:a16="http://schemas.microsoft.com/office/drawing/2014/main" id="{2C1FB7B0-4C7B-310F-D5A6-CD9A56F4054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0" name="Wykres 20">
                          <a:extLst>
                            <a:ext uri="{FF2B5EF4-FFF2-40B4-BE49-F238E27FC236}">
                              <a16:creationId xmlns:a16="http://schemas.microsoft.com/office/drawing/2014/main" id="{2C1FB7B0-4C7B-310F-D5A6-CD9A56F40547}"/>
                            </a:ext>
                          </a:extLst>
                        </pic:cNvPr>
                        <pic:cNvPicPr>
                          <a:picLocks noGrp="1" noRot="1" noChangeAspect="1" noMove="1" noResize="1" noEditPoints="1" noAdjustHandles="1" noChangeArrowheads="1" noChangeShapeType="1"/>
                        </pic:cNvPicPr>
                      </pic:nvPicPr>
                      <pic:blipFill>
                        <a:blip r:embed="rId32"/>
                        <a:stretch>
                          <a:fillRect/>
                        </a:stretch>
                      </pic:blipFill>
                      <pic:spPr>
                        <a:xfrm>
                          <a:off x="0" y="0"/>
                          <a:ext cx="5759450" cy="2375535"/>
                        </a:xfrm>
                        <a:prstGeom prst="rect">
                          <a:avLst/>
                        </a:prstGeom>
                      </pic:spPr>
                    </pic:pic>
                  </a:graphicData>
                </a:graphic>
              </wp:inline>
            </w:drawing>
          </mc:Fallback>
        </mc:AlternateContent>
      </w:r>
    </w:p>
    <w:p w14:paraId="28BEE181" w14:textId="0DC5C346" w:rsidR="00BB6A2A" w:rsidRDefault="00BC6FF7" w:rsidP="0038256A">
      <w:pPr>
        <w:pStyle w:val="rdo"/>
        <w:rPr>
          <w:rFonts w:ascii="Times New Roman" w:hAnsi="Times New Roman" w:cs="Times New Roman"/>
          <w:sz w:val="24"/>
          <w:szCs w:val="24"/>
        </w:rPr>
      </w:pPr>
      <w:r>
        <w:t>Źródło: opracowanie własne</w:t>
      </w:r>
    </w:p>
    <w:p w14:paraId="3DDDEBB4" w14:textId="77777777" w:rsidR="00BB6A2A" w:rsidRPr="007818C6" w:rsidRDefault="00BB6A2A" w:rsidP="00BC3827">
      <w:pPr>
        <w:pStyle w:val="tekst"/>
      </w:pPr>
      <w:r>
        <w:lastRenderedPageBreak/>
        <w:t xml:space="preserve">Ogółem podaż charakterystycznych produktów turystycznych wytworzonych we właściwych </w:t>
      </w:r>
      <w:r w:rsidRPr="00076137">
        <w:t xml:space="preserve">dla danego produktu rodzajach działalności wyniosła w 2018 r. 114 768,3 mln PLN, a w 2019 r. </w:t>
      </w:r>
      <w:r w:rsidRPr="001C47F9">
        <w:t>120 643,0</w:t>
      </w:r>
      <w:r>
        <w:t xml:space="preserve"> mln PLN. Stanowiło to odpowiednio 94,5% i 89,6% produkcji globalnej analizowanych rodzajów działalności.</w:t>
      </w:r>
    </w:p>
    <w:p w14:paraId="05A82A11" w14:textId="77777777" w:rsidR="00BB6A2A" w:rsidRDefault="00BB6A2A" w:rsidP="00BC3827">
      <w:pPr>
        <w:pStyle w:val="tekst"/>
      </w:pPr>
      <w:r>
        <w:t xml:space="preserve">Podobnie jak w CRDT, również w innych rodzajach działalności występuje produkcja drugorzędna, której przedmiotem mogą być m.in. charakterystyczne produkty turystyczne. Oznacza to, że podaż tych produktów w całej gospodarce jest większa niż przytoczone wyżej wielkości. W 2018 r. podaż CPT w cenach bazowych (producenta) wyniosła </w:t>
      </w:r>
      <w:r w:rsidRPr="00367FD7">
        <w:t>125</w:t>
      </w:r>
      <w:r>
        <w:t xml:space="preserve"> </w:t>
      </w:r>
      <w:r w:rsidRPr="00367FD7">
        <w:t>022,7</w:t>
      </w:r>
      <w:r>
        <w:t xml:space="preserve"> mln PLN, a w 2019 r. </w:t>
      </w:r>
      <w:r w:rsidRPr="00367FD7">
        <w:t>137 406,6</w:t>
      </w:r>
      <w:r>
        <w:t xml:space="preserve"> mln PLN. W 2018 r. stanowiło to 2,91% podaży krajowej w cenach producenta i 2,95% w 2019 r. </w:t>
      </w:r>
    </w:p>
    <w:p w14:paraId="1F628134" w14:textId="77777777" w:rsidR="00BB6A2A" w:rsidRDefault="00BB6A2A" w:rsidP="00BC3827">
      <w:pPr>
        <w:pStyle w:val="tekst"/>
      </w:pPr>
      <w:r>
        <w:t>Szczegółowe dane na temat produkcji globalnej i podaży poszczególnych produktów zawiera tablica 6 RST, natomiast na wykresie 3.3 przedstawiono zbiorczo zmiany rozmiarów produkcji globalnej w CRDT i podaży CPT. Z zamieszczonych tam danych wynika, że najszybciej rosła produkcja globalna CRDT (o 11%), nieco wolniej krajowa podaż CPT (o 9,9%), a najwolniej produkcja globalna podstawowych produktów w odpowiadających im CRDT (o 5,1%).</w:t>
      </w:r>
    </w:p>
    <w:p w14:paraId="2103761E" w14:textId="77777777" w:rsidR="00BB6A2A" w:rsidRPr="00840B7F" w:rsidRDefault="00BB6A2A" w:rsidP="00BC3827">
      <w:pPr>
        <w:pStyle w:val="nazwa"/>
      </w:pPr>
      <w:bookmarkStart w:id="116" w:name="_Toc115437483"/>
      <w:r w:rsidRPr="00840B7F">
        <w:t xml:space="preserve">Wykres 3.3. </w:t>
      </w:r>
      <w:r>
        <w:t>Wielkość i tempo zmian produkcji globalnej CRDT i podaży CPT w latach 2018 i 2019, mln PLN ceny bieżące bazowe (producenta)</w:t>
      </w:r>
      <w:bookmarkEnd w:id="116"/>
    </w:p>
    <w:p w14:paraId="1CD728A7" w14:textId="77777777" w:rsidR="00BB6A2A" w:rsidRPr="00367FD7" w:rsidRDefault="00BB6A2A" w:rsidP="00BB6A2A">
      <w:pPr>
        <w:jc w:val="both"/>
        <w:rPr>
          <w:rFonts w:ascii="Times New Roman" w:eastAsia="Times New Roman" w:hAnsi="Times New Roman" w:cs="Times New Roman"/>
          <w:sz w:val="24"/>
          <w:szCs w:val="24"/>
          <w:lang w:eastAsia="pl-PL"/>
        </w:rPr>
      </w:pPr>
      <w:r>
        <w:rPr>
          <w:noProof/>
        </w:rPr>
        <w:drawing>
          <wp:inline distT="0" distB="0" distL="0" distR="0" wp14:anchorId="2660E669" wp14:editId="60D0F453">
            <wp:extent cx="5798820" cy="2743200"/>
            <wp:effectExtent l="0" t="0" r="11430" b="0"/>
            <wp:docPr id="23" name="Wykres 23">
              <a:extLst xmlns:a="http://schemas.openxmlformats.org/drawingml/2006/main">
                <a:ext uri="{FF2B5EF4-FFF2-40B4-BE49-F238E27FC236}">
                  <a16:creationId xmlns:a16="http://schemas.microsoft.com/office/drawing/2014/main" id="{558C6ADE-4289-67FE-A701-BF81A638D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53F5AA6" w14:textId="34ADE1C9" w:rsidR="00BB6A2A" w:rsidRPr="00367FD7" w:rsidRDefault="00BC6FF7" w:rsidP="0038256A">
      <w:pPr>
        <w:pStyle w:val="rdo"/>
        <w:rPr>
          <w:rFonts w:ascii="Times New Roman" w:hAnsi="Times New Roman" w:cs="Times New Roman"/>
          <w:sz w:val="24"/>
          <w:szCs w:val="24"/>
        </w:rPr>
      </w:pPr>
      <w:r>
        <w:t>Źródło: opracowanie własne</w:t>
      </w:r>
    </w:p>
    <w:p w14:paraId="6A854CD2" w14:textId="77777777" w:rsidR="00BB6A2A" w:rsidRDefault="00BB6A2A" w:rsidP="00BC3827">
      <w:pPr>
        <w:pStyle w:val="tekst"/>
      </w:pPr>
      <w:r>
        <w:t xml:space="preserve">Wartość rynkowa podaży produktów turystycznych obok ceny producenta obejmuje także wartość podatków pośrednich netto czyli podatku VAT i akcyzowego pomniejszonych ewentualnie o wartość dotacji do produktów. </w:t>
      </w:r>
      <w:r w:rsidRPr="00BC6FF7">
        <w:rPr>
          <w:rStyle w:val="Pogrubienie"/>
        </w:rPr>
        <w:t>W 2018 r. wartość podaży CPT w cenach nabywcy wyniosła 123 967,3 mln PLN, a w 2019 r. 138 611,7 mln PLN.</w:t>
      </w:r>
      <w:r>
        <w:t xml:space="preserve"> Stanowiło to odpowiednio 2,77% i 2,81% krajowej podaży dóbr i usług w cenach nabywcy. Jest to udział nieco niższy niż udział w produkcji globalnej, ale trzeba pamiętać, że usługi turystyczne w większości opodatkowane są obniżoną stawką VAT.</w:t>
      </w:r>
    </w:p>
    <w:p w14:paraId="16E10F2D" w14:textId="77777777" w:rsidR="00BB6A2A" w:rsidRPr="00717AA0" w:rsidRDefault="00BB6A2A" w:rsidP="00BC3827">
      <w:pPr>
        <w:pStyle w:val="tekst"/>
      </w:pPr>
      <w:r>
        <w:t xml:space="preserve">Analizując wielkość produkcji i podaży usług turystycznych i perspektywy ich rozwoju trzeba uwzględnić fakt, że są one ściśle uzależnione od popytu, ponieważ usług nie można magazynować. Równocześnie w wielu przypadkach usługi nabywane przez odwiedzających mogą być kupowane także przez inne grupy nabywców. Ustalenie relacji między spożyciem turystycznym a podażą poszczególnych usług dostarcza informacji, na ile rozwój ich produkcji uzależniony </w:t>
      </w:r>
      <w:r w:rsidRPr="005525D2">
        <w:t xml:space="preserve">jest </w:t>
      </w:r>
      <w:r>
        <w:t>od popytu turystycznego, umożliwia też oszacowanie wkładu turystyki w gospodarkę kraju. Wspomniana relacja to współczynnik spożycia turystycznego, a szczegółowe dane na ten temat zawiera tablica 6 RST. Na wykresie 3.4 przedstawiono wartość i zmiany tego współczynnika w odniesieniu do CPT.</w:t>
      </w:r>
    </w:p>
    <w:p w14:paraId="530FE0A0" w14:textId="77777777" w:rsidR="00BB6A2A" w:rsidRPr="006447FF" w:rsidRDefault="00BB6A2A" w:rsidP="00BC3827">
      <w:pPr>
        <w:pStyle w:val="nazwa"/>
      </w:pPr>
      <w:bookmarkStart w:id="117" w:name="_Toc115437484"/>
      <w:r w:rsidRPr="006447FF">
        <w:lastRenderedPageBreak/>
        <w:t>Wykres 3.4. Współczynnik spożycia turystycznego dla CPT w latach 2018-2019</w:t>
      </w:r>
      <w:bookmarkEnd w:id="117"/>
    </w:p>
    <w:p w14:paraId="23294B92" w14:textId="77777777" w:rsidR="00BB6A2A" w:rsidRDefault="00BB6A2A" w:rsidP="00BB6A2A">
      <w:pPr>
        <w:jc w:val="both"/>
        <w:rPr>
          <w:noProof/>
        </w:rPr>
      </w:pPr>
      <w:r>
        <w:rPr>
          <w:noProof/>
        </w:rPr>
        <w:drawing>
          <wp:inline distT="0" distB="0" distL="0" distR="0" wp14:anchorId="74BE3872" wp14:editId="51A6D12E">
            <wp:extent cx="5760720" cy="3771900"/>
            <wp:effectExtent l="0" t="0" r="11430" b="0"/>
            <wp:docPr id="24" name="Wykres 24">
              <a:extLst xmlns:a="http://schemas.openxmlformats.org/drawingml/2006/main">
                <a:ext uri="{FF2B5EF4-FFF2-40B4-BE49-F238E27FC236}">
                  <a16:creationId xmlns:a16="http://schemas.microsoft.com/office/drawing/2014/main" id="{DBB81369-52E8-F4AF-C079-86809106F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44D3AB" w14:textId="75D203DE" w:rsidR="00BB6A2A" w:rsidRDefault="00BC6FF7" w:rsidP="0038256A">
      <w:pPr>
        <w:pStyle w:val="rdo"/>
        <w:rPr>
          <w:noProof/>
        </w:rPr>
      </w:pPr>
      <w:r>
        <w:t>Źródło: opracowanie własne</w:t>
      </w:r>
    </w:p>
    <w:p w14:paraId="2579005E" w14:textId="381CBDB0" w:rsidR="00BB6A2A" w:rsidRDefault="00BB6A2A" w:rsidP="00BC3827">
      <w:pPr>
        <w:pStyle w:val="tekst"/>
      </w:pPr>
      <w:r>
        <w:t xml:space="preserve">Do grupy usług, których produkcja jest najsilniej uzależniona od spożycia turystycznego należą usługi noclegowe oraz </w:t>
      </w:r>
      <w:r w:rsidRPr="00DF3040">
        <w:t>usługi transportu lotniczego</w:t>
      </w:r>
      <w:r>
        <w:t>,</w:t>
      </w:r>
      <w:r w:rsidRPr="00DF3040">
        <w:t xml:space="preserve"> morskiego </w:t>
      </w:r>
      <w:r>
        <w:t>i kolejowego międzymiastowego. W badanym okresie wartość tego współczynnika ulegała zmianom, ale dla wymienionych usług oscylowała ok. 90%, co pokazuje że produkcja tych usług jest ściśle uzależniona od popyty ze strony odwiedzających. Na drugim biegunie znalazły się usługi kulturalno-rekreacyjne i usługi transportu lądowego pozostałe. Jest to częściowo efekt obowiązującej klasyfikacji, ponieważ do wymienionych rodzajów usług obok usług kluczowych dla rozwoju turystyki należą także usługi z założenia rzadko wykorzystywane przez odwiedzających, jak usługi bibliotek lub klubów sportowych. Jeśli chodzi o usługi gastronomiczne, to udział odwiedzających w ich spożyciu jest znaczący, w 2018 r. wyniósł 36%, a w 2019</w:t>
      </w:r>
      <w:r w:rsidR="00D9061E">
        <w:t> </w:t>
      </w:r>
      <w:r>
        <w:t>r.</w:t>
      </w:r>
      <w:r w:rsidR="009B3416">
        <w:t xml:space="preserve"> </w:t>
      </w:r>
      <w:r>
        <w:t xml:space="preserve">33,5%. </w:t>
      </w:r>
    </w:p>
    <w:p w14:paraId="2E0FE74D" w14:textId="518A9796" w:rsidR="00BB6A2A" w:rsidRDefault="00BB6A2A" w:rsidP="00BC3827">
      <w:pPr>
        <w:pStyle w:val="Nagwek2"/>
      </w:pPr>
      <w:bookmarkStart w:id="118" w:name="_Toc115441455"/>
      <w:r>
        <w:rPr>
          <w:rFonts w:ascii="Times New Roman" w:hAnsi="Times New Roman"/>
        </w:rPr>
        <w:t xml:space="preserve">3.2. </w:t>
      </w:r>
      <w:r>
        <w:t>Wkład turystyki w gospodarkę kraju</w:t>
      </w:r>
      <w:bookmarkEnd w:id="118"/>
      <w:r>
        <w:t xml:space="preserve"> </w:t>
      </w:r>
    </w:p>
    <w:p w14:paraId="33293496" w14:textId="77777777" w:rsidR="00BB6A2A" w:rsidRDefault="00BB6A2A" w:rsidP="00BC3827">
      <w:pPr>
        <w:pStyle w:val="tekst"/>
      </w:pPr>
      <w:r w:rsidRPr="005D3A7D">
        <w:t>Po</w:t>
      </w:r>
      <w:r>
        <w:t>dstawą rozwoju gospodarki jest tworzenie wartości dodanej, czyli nadawanie nowej wartości wykorzystanym w produkcji surowcom. W ujęciu rachunków narodowych wartość dodana jest różnicą między wartością produkcji globalnej w cenach bazowych (producenta) a wartością wykorzystanych w produkcji dóbr i usług. Wspomniana różnica wykorzystywana jest do pokrycia kosztów związanych z zatrudnieniem pracowników oraz stanowi tzw. nadwyżkę operacyjną brutto i dochód mieszany. W niektórych przypadkach pozycją bilansującą są pozostałe podatki pomniejszone o dotacje związane z produkcją. W odróżnieniu od podatków i dotacji pośrednich ten rodzaj podatków i dotacji nie jest uzależniony od wielkości produkcji i stanowi koszt lub dochód producenta (koszt podatków pośrednich jest finalnie ponoszony przez nabywcę). Wkład poszczególnych rodzajów aktywności gospodarczej w gospodarkę kraju jest funkcją wielkości wytworzonej w nim produkcji globalnej oraz udziału wartości dodanej w tej produkcji. Wartość tego ostatniego wskaźnika dla podstawowych i krajowych CRDT ilustruje wykres 3.5.</w:t>
      </w:r>
    </w:p>
    <w:p w14:paraId="4ED3407F" w14:textId="77777777" w:rsidR="00BB6A2A" w:rsidRPr="003C5F1D" w:rsidRDefault="00BB6A2A" w:rsidP="00BC3827">
      <w:pPr>
        <w:pStyle w:val="nazwa"/>
      </w:pPr>
      <w:bookmarkStart w:id="119" w:name="_Toc115437485"/>
      <w:r w:rsidRPr="003C5F1D">
        <w:lastRenderedPageBreak/>
        <w:t xml:space="preserve">Wykres 3.5. Udział wartości dodanej w produkcji globalnej podstawowych i krajowych CRDT </w:t>
      </w:r>
      <w:r>
        <w:t xml:space="preserve">oraz handlu detalicznym </w:t>
      </w:r>
      <w:r w:rsidRPr="003C5F1D">
        <w:t>w latach 2018-2019</w:t>
      </w:r>
      <w:bookmarkEnd w:id="119"/>
    </w:p>
    <w:p w14:paraId="195E3875" w14:textId="77777777" w:rsidR="00BB6A2A" w:rsidRDefault="00BB6A2A" w:rsidP="00BB6A2A">
      <w:pPr>
        <w:jc w:val="both"/>
        <w:rPr>
          <w:noProof/>
        </w:rPr>
      </w:pPr>
      <w:r>
        <w:rPr>
          <w:noProof/>
        </w:rPr>
        <w:drawing>
          <wp:inline distT="0" distB="0" distL="0" distR="0" wp14:anchorId="4B4FAA40" wp14:editId="25F499CC">
            <wp:extent cx="5760000" cy="4320000"/>
            <wp:effectExtent l="0" t="0" r="12700" b="4445"/>
            <wp:docPr id="25" name="Wykres 25">
              <a:extLst xmlns:a="http://schemas.openxmlformats.org/drawingml/2006/main">
                <a:ext uri="{FF2B5EF4-FFF2-40B4-BE49-F238E27FC236}">
                  <a16:creationId xmlns:a16="http://schemas.microsoft.com/office/drawing/2014/main" id="{45B4C7DE-8549-41FA-E6E1-FEA496D20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1080D2E" w14:textId="20BFF385" w:rsidR="003E73C1" w:rsidRDefault="00BC6FF7" w:rsidP="003E73C1">
      <w:pPr>
        <w:pStyle w:val="rdo"/>
        <w:rPr>
          <w:noProof/>
        </w:rPr>
      </w:pPr>
      <w:r>
        <w:t>Źródło: opracowanie własne</w:t>
      </w:r>
    </w:p>
    <w:p w14:paraId="35DCE35D" w14:textId="40E2186D" w:rsidR="00BB6A2A" w:rsidRPr="003316FF" w:rsidRDefault="00BB6A2A" w:rsidP="00BC3827">
      <w:pPr>
        <w:pStyle w:val="tekst"/>
      </w:pPr>
      <w:r>
        <w:t xml:space="preserve">Z danych na wykresie 3.5 wynika, że największy udział wartości dodanej w produkcji globalnej ma miejsce w odniesieniu do drugich domów. Wysokimi wartościami tego wskaźnika charakteryzowało się także zakwaterowanie i opieka medyczna. Podstawowym wnioskiem, który można sformułować analizując dane z wykresu 3.5 jest stwierdzenie, że zdecydowaną większość CRDT cechuje większy udział wartości dodanej w produkcji globalnej niż przeciętny w gospodarce (na wykresie pozycja „Produkcja globalna w cenach bazowych”). Oznacza to, że ich udział w tworzeniu wartości dodanej w gospodarce jest większy niż udział w produkcji. Zdecydowanie najsłabiej wypadły transportowe rodzaje działalności, które charakteryzowały się ponadto dużą zmiennością analizowanego wskaźnika w badanym okresie. Zwraca także uwagę stosunkowo słaby wynik gastronomii, pogłębiony spadkiem z 0,40 w 2018 r. do 0,36 w 2019 r., co ze względu na rozmiary produkcji tego rodzaju działalności wpłynęło na wyniki całego sektora CRDT. </w:t>
      </w:r>
      <w:r w:rsidRPr="00E07422">
        <w:rPr>
          <w:rStyle w:val="Pogrubienie"/>
        </w:rPr>
        <w:t>Wartość dodana brutto w CRDT</w:t>
      </w:r>
      <w:r>
        <w:t xml:space="preserve"> jest jednym z najważniejszych agregatów obliczanych w RST. </w:t>
      </w:r>
      <w:r w:rsidRPr="00E07422">
        <w:rPr>
          <w:rStyle w:val="Pogrubienie"/>
        </w:rPr>
        <w:t>W 2018 r. jego wartość dla podstawowych CRDT wyniosła 49 186,0 mln PLN, a z uwzględnieniem krajowych CRDT 52 875,8 mln PLN. Stanowiło to odpowiednio 2,8% i 3,0% wartości dodanej wytworzonej w gospodarce. W 2019 r. wspomniany agregat osiągnął wartość 56 229,4 mln PLN dla podstawowych CRDT i 59 369,0 mln PLN łącznie z krajowymi. Było to odpowiednio 2,8% i 2,9% wartości dodanej wytworzonej w tym roku w całej gospodarce.</w:t>
      </w:r>
      <w:r>
        <w:rPr>
          <w:b/>
          <w:bCs/>
        </w:rPr>
        <w:t xml:space="preserve"> </w:t>
      </w:r>
      <w:r w:rsidRPr="003316FF">
        <w:t>Szczegó</w:t>
      </w:r>
      <w:r>
        <w:t>łowe dane na ten temat zawiera tablica 6 RST.</w:t>
      </w:r>
    </w:p>
    <w:p w14:paraId="760B324F" w14:textId="77777777" w:rsidR="00BB6A2A" w:rsidRDefault="00BB6A2A" w:rsidP="00BC3827">
      <w:pPr>
        <w:pStyle w:val="tekst"/>
      </w:pPr>
      <w:r>
        <w:t>Wielkość w</w:t>
      </w:r>
      <w:r w:rsidRPr="00C53DD6">
        <w:t>artoś</w:t>
      </w:r>
      <w:r>
        <w:t>ci</w:t>
      </w:r>
      <w:r w:rsidRPr="00C53DD6">
        <w:t xml:space="preserve"> </w:t>
      </w:r>
      <w:r>
        <w:t xml:space="preserve">dodanej w CRDT daje ogólne wyobrażenie o wkładzie podaży turystycznej w gospodarkę kraju, ale jest to tylko obraz przybliżony, ponieważ obejmuje produkcję przeznaczoną nie tylko dla uczestników ruchu turystycznego, nie pokazuje zatem bezpośredniego związku między spożyciem turystycznym a tworzeniem wartości dodanej. Informacji na ten temat dostarcza drugi agregat obliczany w RST czyli </w:t>
      </w:r>
      <w:r w:rsidRPr="00E07422">
        <w:rPr>
          <w:rStyle w:val="Pogrubienie"/>
        </w:rPr>
        <w:t>bezpośrednia turystyczna wartość dodana brutto</w:t>
      </w:r>
      <w:r>
        <w:rPr>
          <w:b/>
          <w:bCs/>
        </w:rPr>
        <w:t xml:space="preserve"> </w:t>
      </w:r>
      <w:r w:rsidRPr="0078186C">
        <w:t>obl</w:t>
      </w:r>
      <w:r>
        <w:t xml:space="preserve">iczana jako suma iloczynów wartości dodanej wytworzonej w poszczególnych </w:t>
      </w:r>
      <w:r>
        <w:lastRenderedPageBreak/>
        <w:t xml:space="preserve">rodzajów działalności i współczynników spożycia turystycznego ich podstawowych produktów, stanowiącą jedną z pozycji w tablicy 6 RST. </w:t>
      </w:r>
      <w:r w:rsidRPr="00E07422">
        <w:rPr>
          <w:rStyle w:val="Pogrubienie"/>
        </w:rPr>
        <w:t>W 2018 r. jej wysokość osiągnęła 32 289,2 mln PLN, a po uwzględnieniu drugorzędnej produkcji charakterystycznych produktów turystycznych 33 405,1 mln PLN i stanowiła 1,92% wartości dodanej wypracowanej w Polsce. W 2019 r. wyniosła 36 478,9 mln PLN, a po uwzględnieniu produkcji drugorzędnej 38 393,0 mln PLN czyli 1,90% wartości dodanej ogółem.</w:t>
      </w:r>
      <w:r>
        <w:rPr>
          <w:b/>
          <w:bCs/>
        </w:rPr>
        <w:t xml:space="preserve"> </w:t>
      </w:r>
      <w:r>
        <w:t>Wkład poszczególnych rodzajów działalności w bezpośrednią turystyczną wartość dodana brutto był silnie zróżnicowany, co ilustruje wykres 3.6.</w:t>
      </w:r>
    </w:p>
    <w:p w14:paraId="26960480" w14:textId="74AA439A" w:rsidR="00BB6A2A" w:rsidRPr="00BE583C" w:rsidRDefault="00BB6A2A" w:rsidP="00BC3827">
      <w:pPr>
        <w:pStyle w:val="nazwa"/>
      </w:pPr>
      <w:bookmarkStart w:id="120" w:name="_Toc115437486"/>
      <w:r w:rsidRPr="00BE583C">
        <w:t>Wykres 3.6. Bezpośrednia turystyczna wartość dodana brutto według rodzaju działalności</w:t>
      </w:r>
      <w:r w:rsidR="00DA333C">
        <w:br/>
      </w:r>
      <w:r>
        <w:t xml:space="preserve">i produktów </w:t>
      </w:r>
      <w:r w:rsidRPr="00BE583C">
        <w:t>w latach 2018-2019 mln PLN ceny bieżące</w:t>
      </w:r>
      <w:bookmarkEnd w:id="120"/>
    </w:p>
    <w:p w14:paraId="64376975" w14:textId="77777777" w:rsidR="00BB6A2A" w:rsidRPr="00C7350F" w:rsidRDefault="00BB6A2A" w:rsidP="00BB6A2A">
      <w:pPr>
        <w:jc w:val="both"/>
        <w:rPr>
          <w:rFonts w:ascii="Times New Roman" w:eastAsia="Times New Roman" w:hAnsi="Times New Roman" w:cs="Times New Roman"/>
          <w:sz w:val="24"/>
          <w:szCs w:val="24"/>
          <w:lang w:eastAsia="pl-PL"/>
        </w:rPr>
      </w:pPr>
      <w:r>
        <w:rPr>
          <w:noProof/>
        </w:rPr>
        <w:drawing>
          <wp:inline distT="0" distB="0" distL="0" distR="0" wp14:anchorId="103F5D31" wp14:editId="63A2CCC4">
            <wp:extent cx="5760720" cy="4320000"/>
            <wp:effectExtent l="0" t="0" r="11430" b="4445"/>
            <wp:docPr id="26" name="Wykres 26">
              <a:extLst xmlns:a="http://schemas.openxmlformats.org/drawingml/2006/main">
                <a:ext uri="{FF2B5EF4-FFF2-40B4-BE49-F238E27FC236}">
                  <a16:creationId xmlns:a16="http://schemas.microsoft.com/office/drawing/2014/main" id="{8ED7412B-E219-0D71-8E91-753F9EA2A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8A13710" w14:textId="0844E2B5" w:rsidR="003E73C1" w:rsidRDefault="00BC6FF7" w:rsidP="003E73C1">
      <w:pPr>
        <w:pStyle w:val="rdo"/>
        <w:rPr>
          <w:noProof/>
        </w:rPr>
      </w:pPr>
      <w:r>
        <w:t>Źródło: opracowanie własne</w:t>
      </w:r>
    </w:p>
    <w:p w14:paraId="66CA2BBC" w14:textId="77777777" w:rsidR="00BB6A2A" w:rsidRPr="00BE583C" w:rsidRDefault="00BB6A2A" w:rsidP="00BC3827">
      <w:pPr>
        <w:pStyle w:val="tekst"/>
      </w:pPr>
      <w:r>
        <w:t xml:space="preserve">Z danych przedstawionych na wykresie 5.6 wynika, że zdecydowanie największy wkład miało zakwaterowanie </w:t>
      </w:r>
      <w:r>
        <w:sym w:font="Symbol" w:char="F02D"/>
      </w:r>
      <w:r>
        <w:t xml:space="preserve"> w 2018 r. odpowiadało za 24%, a w 2019 r. za 27% bezpośredniej turystycznej wartości dodanej brutto. Istotny wkład wniosły także usługi związane z wyżywieniem, usługi transportu lądowego oraz usługi organizatorów turystyki i pozostałe usługi turystyczne. Usługi handlu detalicznego odpowiadały łącznie za 3,6% tej wartości w 2018 r. i 3,3% w 2019 r. Wniosek o malejącym wkładzie handlu detalicznego w wyniki turystyki może być jednak nie w pełni uzasadniony, ponieważ w omawianych latach nie udało się szczegółowo określić struktury rodzajowej znacznej części wydatków odwiedzających, które w związku z tym zostały uwzględnione w RST jako „pozostałe”.</w:t>
      </w:r>
    </w:p>
    <w:p w14:paraId="74FCAE33" w14:textId="77777777" w:rsidR="00BB6A2A" w:rsidRDefault="00BB6A2A" w:rsidP="00BC3827">
      <w:pPr>
        <w:pStyle w:val="tekst"/>
        <w:rPr>
          <w:b/>
          <w:bCs/>
        </w:rPr>
      </w:pPr>
      <w:r w:rsidRPr="0020614B">
        <w:t xml:space="preserve">Szczególnie </w:t>
      </w:r>
      <w:r>
        <w:t xml:space="preserve">istotnym agregatem opisującym wkład turystyki w gospodarkę jest </w:t>
      </w:r>
      <w:r w:rsidRPr="00E07422">
        <w:rPr>
          <w:rStyle w:val="Pogrubienie"/>
        </w:rPr>
        <w:t>bezpośredni turystyczny PKB,</w:t>
      </w:r>
      <w:r>
        <w:t xml:space="preserve"> który obejmuje bezpośrednią turystyczną wartość dodaną brutto powiększoną o wartość podatków pośrednich netto opłaconych przez nabywców usług turystycznych. Tak obliczony </w:t>
      </w:r>
      <w:r w:rsidRPr="00E07422">
        <w:rPr>
          <w:rStyle w:val="Pogrubienie"/>
        </w:rPr>
        <w:t>bezpośredni turystyczny PKB</w:t>
      </w:r>
      <w:r>
        <w:t xml:space="preserve"> wyniósł </w:t>
      </w:r>
      <w:r w:rsidRPr="00E07422">
        <w:rPr>
          <w:rStyle w:val="Pogrubienie"/>
        </w:rPr>
        <w:t>w 2018 r. 42 491,9 mln PLN, co stanowiło 2,1% PKB dla Polski. W 2019 r. było to 49 422,2 mln PLN, co odpowiadało 2,2% PKB dla kraju.</w:t>
      </w:r>
    </w:p>
    <w:p w14:paraId="1CB3D1BE" w14:textId="35DBF67C" w:rsidR="00BB6A2A" w:rsidRPr="00863374" w:rsidRDefault="00BB6A2A" w:rsidP="00BC3827">
      <w:pPr>
        <w:pStyle w:val="tekst"/>
      </w:pPr>
      <w:r w:rsidRPr="00863374">
        <w:lastRenderedPageBreak/>
        <w:t>M</w:t>
      </w:r>
      <w:r>
        <w:t xml:space="preserve">etodologia RST opisuje procesy określane w rachunkach narodowych mianem tworzenia dochodów, nie pokazuje zatem w pełni obciążeń fiskalnych związanych z produkcja i nabywaniem usług turystycznych, ponieważ nie obejmuje podatków dochodowych, a podatki od produkcji i produktów uwzględnia w wersji netto, tj. po odjęciu ewentualnych dotacji. Niemniej oceniając wkład turystyki w gospodarkę warto przeanalizować, jak kształtowały się wymienione kwoty (odpowiednie dane zawarte są w tablicy 6 RST). Jeśli chodzi o </w:t>
      </w:r>
      <w:r w:rsidRPr="00E07422">
        <w:rPr>
          <w:rStyle w:val="Pogrubienie"/>
        </w:rPr>
        <w:t>podatki pośrednie od produktów netto</w:t>
      </w:r>
      <w:r>
        <w:t xml:space="preserve">, to ich wartość zapłacona w związku ze spożyciem turystycznym wyniosła </w:t>
      </w:r>
      <w:r w:rsidRPr="00E07422">
        <w:rPr>
          <w:rStyle w:val="Pogrubienie"/>
        </w:rPr>
        <w:t>w 2018 r.</w:t>
      </w:r>
      <w:r w:rsidR="009B3416">
        <w:rPr>
          <w:rStyle w:val="Pogrubienie"/>
        </w:rPr>
        <w:t xml:space="preserve"> </w:t>
      </w:r>
      <w:r w:rsidRPr="00E07422">
        <w:rPr>
          <w:rStyle w:val="Pogrubienie"/>
        </w:rPr>
        <w:t>9 086,7 mln PLN i odpowiadała 3,4% analizowanej kwoty w całej gospodarce. W 2019 r. było to 11 029,2</w:t>
      </w:r>
      <w:r w:rsidR="009B3416">
        <w:rPr>
          <w:rStyle w:val="Pogrubienie"/>
        </w:rPr>
        <w:t xml:space="preserve"> </w:t>
      </w:r>
      <w:r w:rsidRPr="00E07422">
        <w:rPr>
          <w:rStyle w:val="Pogrubienie"/>
        </w:rPr>
        <w:t>mln PLN czyli niemal 4% kwoty dla całej Polski.</w:t>
      </w:r>
      <w:r>
        <w:rPr>
          <w:b/>
          <w:bCs/>
        </w:rPr>
        <w:t xml:space="preserve"> </w:t>
      </w:r>
      <w:r>
        <w:t xml:space="preserve">Relatywnie wysoka kwota omawianych podatków wynika z faktu, że w skład spożycia turystycznego wchodzą produkty objęte podatkiem akcyzowym, przede wszystkim paliwa, ale także wyroby alkoholowe i tytoniowe. </w:t>
      </w:r>
    </w:p>
    <w:p w14:paraId="39821933" w14:textId="547CFD76" w:rsidR="00BB6A2A" w:rsidRDefault="00BB6A2A" w:rsidP="00BC3827">
      <w:pPr>
        <w:pStyle w:val="tekst"/>
      </w:pPr>
      <w:r w:rsidRPr="00A11F2A">
        <w:t xml:space="preserve">Jeśli chodzi </w:t>
      </w:r>
      <w:r>
        <w:t>o pozostałe podatki związane z produkcją pomniejszone o dotacje, to informacje</w:t>
      </w:r>
      <w:r w:rsidR="009B3416">
        <w:t xml:space="preserve"> </w:t>
      </w:r>
      <w:r>
        <w:t xml:space="preserve">na temat wielkości tych podatków w turystycznych rodzajach działalności i w całej gospodarce znajdują się w tablicy 5 RST. Jest to kwota znacznie niższa niż w przypadku podatków pośrednich od produktów, ponieważ w 2018 r. dla całej gospodarki wyniosła 11932 mln PLN, a w 2019 r. 14 920 mln PLN. Wynika to z faktu, że dla wielu rodzajów działalności przybiera wartości ujemne, tzn. dotacje przeważają nad podatkami. W przypadku turystyki dotyczyło to przede wszystkim transportu lądowego, który obejmuje transport kolejowy i transport miejski. Ogólnie w skali kraju obciążenie produkcji globalnej tego typu podatkami wynosiło ok. 0,03%. Wyjątkiem jest zakwaterowanie, dla którego wartość tego wskaźnika wynosiła ok. 1%. </w:t>
      </w:r>
    </w:p>
    <w:p w14:paraId="57346ACF" w14:textId="579A711A" w:rsidR="00BB6A2A" w:rsidRDefault="00BB6A2A" w:rsidP="00BC3827">
      <w:pPr>
        <w:pStyle w:val="Nagwek2"/>
      </w:pPr>
      <w:bookmarkStart w:id="121" w:name="_Toc115441456"/>
      <w:r>
        <w:rPr>
          <w:rFonts w:ascii="Times New Roman" w:hAnsi="Times New Roman"/>
        </w:rPr>
        <w:t xml:space="preserve">3.3. </w:t>
      </w:r>
      <w:r>
        <w:t>Kierunki zmian</w:t>
      </w:r>
      <w:bookmarkEnd w:id="121"/>
    </w:p>
    <w:p w14:paraId="414A42B9" w14:textId="77777777" w:rsidR="00BB6A2A" w:rsidRPr="00AD324D" w:rsidRDefault="00BB6A2A" w:rsidP="00BC3827">
      <w:pPr>
        <w:pStyle w:val="nazwa"/>
      </w:pPr>
      <w:bookmarkStart w:id="122" w:name="_Toc115437487"/>
      <w:r w:rsidRPr="00AD324D">
        <w:t>Wykres 3.7. Wielkość i struktura turystycznego PKB, ceny bieżące mln PLN</w:t>
      </w:r>
      <w:bookmarkEnd w:id="122"/>
    </w:p>
    <w:p w14:paraId="58EE84E1" w14:textId="77777777" w:rsidR="00BB6A2A" w:rsidRDefault="00BB6A2A" w:rsidP="00BB6A2A">
      <w:pPr>
        <w:rPr>
          <w:rFonts w:ascii="Times New Roman" w:eastAsia="Times New Roman" w:hAnsi="Times New Roman" w:cs="Times New Roman"/>
          <w:b/>
          <w:bCs/>
          <w:sz w:val="24"/>
          <w:szCs w:val="24"/>
          <w:lang w:eastAsia="pl-PL"/>
        </w:rPr>
      </w:pPr>
      <w:r>
        <w:rPr>
          <w:noProof/>
        </w:rPr>
        <w:drawing>
          <wp:inline distT="0" distB="0" distL="0" distR="0" wp14:anchorId="5A41B8BE" wp14:editId="2522D33D">
            <wp:extent cx="5760720" cy="3420000"/>
            <wp:effectExtent l="0" t="0" r="11430" b="9525"/>
            <wp:docPr id="27" name="Wykres 27">
              <a:extLst xmlns:a="http://schemas.openxmlformats.org/drawingml/2006/main">
                <a:ext uri="{FF2B5EF4-FFF2-40B4-BE49-F238E27FC236}">
                  <a16:creationId xmlns:a16="http://schemas.microsoft.com/office/drawing/2014/main" id="{2F5DFEDD-0F2B-B83E-DAB6-3EBBAC77C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F17E010" w14:textId="5747D3B1" w:rsidR="003E73C1" w:rsidRDefault="00BC6FF7" w:rsidP="003E73C1">
      <w:pPr>
        <w:pStyle w:val="rdo"/>
        <w:rPr>
          <w:noProof/>
        </w:rPr>
      </w:pPr>
      <w:r>
        <w:t>Źródło: opracowanie własne</w:t>
      </w:r>
    </w:p>
    <w:p w14:paraId="0F5DD981" w14:textId="77777777" w:rsidR="00512A3A" w:rsidRDefault="00512A3A" w:rsidP="00512A3A">
      <w:pPr>
        <w:pStyle w:val="tekst"/>
      </w:pPr>
      <w:r>
        <w:t>Wykres 3.7. ilustruje wielkość i zmiany struktury bezpośredniej turystycznej wartości dodanej brutto w okresie 2011-2019 dla lat, dla których sporządzano RST. Zawarte tam dane zostały przedstawione w cenach bieżących, co do pewnego stopnia zniekształca skalę zmian, ale porównanie tych wielkości ze wzrostem PKB kraju, przedstawione na wykresie 3.8., pozwala przedstawić zachodzące zmiany w odpowiedniej perspektywie.</w:t>
      </w:r>
    </w:p>
    <w:p w14:paraId="4B3C1137" w14:textId="714848D0" w:rsidR="00BB6A2A" w:rsidRPr="00AD324D" w:rsidRDefault="00BB6A2A" w:rsidP="00BC3827">
      <w:pPr>
        <w:pStyle w:val="tekst"/>
      </w:pPr>
      <w:r w:rsidRPr="00AD324D">
        <w:lastRenderedPageBreak/>
        <w:t xml:space="preserve">Analiza </w:t>
      </w:r>
      <w:r>
        <w:t xml:space="preserve">danych z wykresu 3.7 pokazuje, dynamiczny wzrost turystycznej wartości dodanej po 2015 r., związany w z jej zwiększeniem we wszystkich elementach, które się na nią składają. Niewątpliwie najważniejszy był jednak wzrost turystycznej wartości dodanej w CRDT, który z jednej strony odzwierciedlał istotny wzrost spożycia turystycznego, a z drugiej poprawę lub utrzymywanie się korzystnych relacji efektywnościowych w tych rodzajach działalności. Siłą napędową tych zmian było zakwaterowanie, Silne spożycie usług noclegowych, gastronomicznych przełożyło się to na wyraźny wzrost udziału turystycznego PKB w PKB kraju (wykres 3.8). Nie można jednak nie zauważać, że związane z transportem rodzaje działalności gospodarczej wykazywały w latach 2018-2019 pewną niestabilność, jeśli chodzi o tworzenie wartości dodanej. Słabe wyniki turystyki w 2015 r. były m.in. spowodowane załamaniem polskich przewozów lotniczych i nie można zapominać, że taka sytuacja może się powtarzać. Oceniając wkład turystyki w gospodarkę trzeba też pamiętać, że z powodu braku danych nie w pełni odzwierciedlono dynamiczny wzrost liczby apartamentów na wyłączną własność lub w ramach własności dzielonej. Podobnie brak danych na temat wynajmu samochodów turystycznych, a oba wymienione rodzaje działalności charakteryzują się wysokim wskaźnikiem udziału wartości dodanej w produkcji globalnej. </w:t>
      </w:r>
    </w:p>
    <w:p w14:paraId="5A6D36BB" w14:textId="77777777" w:rsidR="00BB6A2A" w:rsidRPr="00A86B5F" w:rsidRDefault="00BB6A2A" w:rsidP="00BC3827">
      <w:pPr>
        <w:pStyle w:val="nazwa"/>
      </w:pPr>
      <w:bookmarkStart w:id="123" w:name="_Toc115437488"/>
      <w:r>
        <w:t>Wykres 3.8. Udział turystycznego PKB w PKB kraju</w:t>
      </w:r>
      <w:bookmarkEnd w:id="123"/>
    </w:p>
    <w:p w14:paraId="2AD99647" w14:textId="77777777" w:rsidR="00BB6A2A" w:rsidRDefault="00BB6A2A" w:rsidP="00BB6A2A">
      <w:pPr>
        <w:jc w:val="both"/>
        <w:rPr>
          <w:rFonts w:ascii="Times New Roman" w:eastAsia="Times New Roman" w:hAnsi="Times New Roman" w:cs="Times New Roman"/>
          <w:sz w:val="24"/>
          <w:szCs w:val="24"/>
          <w:lang w:eastAsia="pl-PL"/>
        </w:rPr>
      </w:pPr>
      <w:r>
        <w:rPr>
          <w:noProof/>
        </w:rPr>
        <mc:AlternateContent>
          <mc:Choice Requires="cx2">
            <w:drawing>
              <wp:inline distT="0" distB="0" distL="0" distR="0" wp14:anchorId="4A771C49" wp14:editId="050B4B41">
                <wp:extent cx="5759450" cy="2818436"/>
                <wp:effectExtent l="0" t="0" r="12700" b="1270"/>
                <wp:docPr id="28" name="Wykres 28">
                  <a:extLst xmlns:a="http://schemas.openxmlformats.org/drawingml/2006/main">
                    <a:ext uri="{FF2B5EF4-FFF2-40B4-BE49-F238E27FC236}">
                      <a16:creationId xmlns:a16="http://schemas.microsoft.com/office/drawing/2014/main" id="{35028D16-F1DB-2AA3-86DF-C539066144E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drawing>
              <wp:inline distT="0" distB="0" distL="0" distR="0" wp14:anchorId="4A771C49" wp14:editId="050B4B41">
                <wp:extent cx="5759450" cy="2818436"/>
                <wp:effectExtent l="0" t="0" r="12700" b="1270"/>
                <wp:docPr id="28" name="Wykres 28">
                  <a:extLst xmlns:a="http://schemas.openxmlformats.org/drawingml/2006/main">
                    <a:ext uri="{FF2B5EF4-FFF2-40B4-BE49-F238E27FC236}">
                      <a16:creationId xmlns:a16="http://schemas.microsoft.com/office/drawing/2014/main" id="{35028D16-F1DB-2AA3-86DF-C539066144E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8" name="Wykres 28">
                          <a:extLst>
                            <a:ext uri="{FF2B5EF4-FFF2-40B4-BE49-F238E27FC236}">
                              <a16:creationId xmlns:a16="http://schemas.microsoft.com/office/drawing/2014/main" id="{35028D16-F1DB-2AA3-86DF-C539066144E0}"/>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5759450" cy="2818130"/>
                        </a:xfrm>
                        <a:prstGeom prst="rect">
                          <a:avLst/>
                        </a:prstGeom>
                      </pic:spPr>
                    </pic:pic>
                  </a:graphicData>
                </a:graphic>
              </wp:inline>
            </w:drawing>
          </mc:Fallback>
        </mc:AlternateContent>
      </w:r>
    </w:p>
    <w:p w14:paraId="0E590905" w14:textId="4F3B5A2D" w:rsidR="003E73C1" w:rsidRDefault="00BC6FF7" w:rsidP="003E73C1">
      <w:pPr>
        <w:pStyle w:val="rdo"/>
        <w:rPr>
          <w:noProof/>
        </w:rPr>
      </w:pPr>
      <w:r>
        <w:t>Źródło: opracowanie własne</w:t>
      </w:r>
    </w:p>
    <w:p w14:paraId="3F5BD2C6" w14:textId="01878EAB" w:rsidR="00BB6A2A" w:rsidRDefault="00BB6A2A" w:rsidP="00BC3827">
      <w:pPr>
        <w:pStyle w:val="Nagwek1"/>
      </w:pPr>
      <w:bookmarkStart w:id="124" w:name="_Toc115441457"/>
      <w:r>
        <w:lastRenderedPageBreak/>
        <w:t>4. Charakterystyka siły roboczej w CRDT</w:t>
      </w:r>
      <w:bookmarkEnd w:id="124"/>
    </w:p>
    <w:p w14:paraId="7E4643B6" w14:textId="77777777" w:rsidR="00BB6A2A" w:rsidRPr="008A04F6" w:rsidRDefault="00BB6A2A" w:rsidP="00BC3827">
      <w:pPr>
        <w:pStyle w:val="tekst"/>
        <w:rPr>
          <w:b/>
          <w:bCs/>
        </w:rPr>
      </w:pPr>
      <w:r>
        <w:t xml:space="preserve">Ze względu na znaczenie siły roboczej jednym z elementów RST jest zestawienie danych na temat jej wykorzystania w charakterystycznych rodzajach działalności turystycznej. Dane te są zamieszczone w tablicy 7 RST i zawierają informacje o liczbie pracujących, tj. właścicielach, współwłaścicielach i pomagających członkach rodzin („samozatrudnieni”) i zatrudnionych, tj. osobach pobierających wynagrodzenie za pracę. W obecnej edycji RST dane zawarte w tablicy 7 obejmują dane o strukturze wg płci w podmiotach o co najmniej 10 pracujących i jednostkach budżetowych pochodzące z formularza Z-06. Dane dotyczące pracujących w mikroprzedsiębiorstwach pochodzą ze statystyki strukturalnej przedsiębiorstw w bazie EUROSTAT. Z danych uzyskanych z wymienionych źródeł wynika, że w </w:t>
      </w:r>
      <w:r w:rsidRPr="0023294D">
        <w:rPr>
          <w:rStyle w:val="Pogrubienie"/>
        </w:rPr>
        <w:t>2018 r. zasoby siły roboczej zaangażowanej w CRDT wyniosły 608 974 osób</w:t>
      </w:r>
      <w:r w:rsidRPr="00FF4F8B">
        <w:rPr>
          <w:b/>
          <w:bCs/>
        </w:rPr>
        <w:t>,</w:t>
      </w:r>
      <w:r>
        <w:t xml:space="preserve"> co stanowiło </w:t>
      </w:r>
      <w:r w:rsidRPr="0023294D">
        <w:rPr>
          <w:rStyle w:val="Pogrubienie"/>
        </w:rPr>
        <w:t>3,9% ogółu liczby pracujących w Polsce</w:t>
      </w:r>
      <w:r>
        <w:t xml:space="preserve">. Wśród nich </w:t>
      </w:r>
      <w:r w:rsidRPr="0023294D">
        <w:rPr>
          <w:rStyle w:val="Pogrubienie"/>
        </w:rPr>
        <w:t>77,2% stanowili zatrudnieni</w:t>
      </w:r>
      <w:r>
        <w:t xml:space="preserve">, a pozostałą część samozatrudnieni. Dominowali pracujący w mikroprzedsiębiorstwach, na które przypadało 51,1% ogólnej liczby pracujących w CRDT. </w:t>
      </w:r>
      <w:r w:rsidRPr="0023294D">
        <w:rPr>
          <w:rStyle w:val="Pogrubienie"/>
        </w:rPr>
        <w:t>W 2019 r. ogólna liczba pracujących w CRDT pozostała prawie niezmieniona i wyniosła 610 742 osób, a odsetek zatrudnionych wyniósł 76,5%,</w:t>
      </w:r>
      <w:r>
        <w:rPr>
          <w:b/>
          <w:bCs/>
        </w:rPr>
        <w:t xml:space="preserve"> </w:t>
      </w:r>
      <w:r>
        <w:t xml:space="preserve">co oznacza spadek o 0,7 </w:t>
      </w:r>
      <w:proofErr w:type="spellStart"/>
      <w:r>
        <w:t>p.p</w:t>
      </w:r>
      <w:proofErr w:type="spellEnd"/>
      <w:r>
        <w:t xml:space="preserve">., Wystąpił również znaczący spadek udziału pracujących w mikroprzedsiębiorstwach, których udział wyniósł 41,5%, a więc był o 9,6 </w:t>
      </w:r>
      <w:proofErr w:type="spellStart"/>
      <w:r>
        <w:t>p.p</w:t>
      </w:r>
      <w:proofErr w:type="spellEnd"/>
      <w:r>
        <w:t xml:space="preserve">. niższy niż rok wcześniej. </w:t>
      </w:r>
    </w:p>
    <w:p w14:paraId="68A0A316" w14:textId="77777777" w:rsidR="00BB6A2A" w:rsidRPr="00EE4FB9" w:rsidRDefault="00BB6A2A" w:rsidP="00BC3827">
      <w:pPr>
        <w:pStyle w:val="tekst"/>
      </w:pPr>
      <w:r>
        <w:t xml:space="preserve">Struktura pracujących w poszczególnych rodzajach działalności była mocno zróżnicowana. Najwięcej miejsc pracy w mikroprzedsiębiorstwach było w usługach związanych z wyżywieniem i w transporcie lądowym pozostałym. Udział pracujących w mikroprzedsiębiorstwach w poszczególnych rodzajach działalności w 2018 r. przedstawia wykres 4.1. </w:t>
      </w:r>
    </w:p>
    <w:p w14:paraId="759D7A80" w14:textId="77777777" w:rsidR="00BB6A2A" w:rsidRDefault="00BB6A2A" w:rsidP="00BC3827">
      <w:pPr>
        <w:pStyle w:val="nazwa"/>
      </w:pPr>
      <w:bookmarkStart w:id="125" w:name="_Toc115437489"/>
      <w:r w:rsidRPr="005143F3">
        <w:t>Wykres 4.1. Udział pracujących w mikroprzedsiębiorstwach w 2018 r, wg rodzaju działalności</w:t>
      </w:r>
      <w:bookmarkEnd w:id="125"/>
    </w:p>
    <w:p w14:paraId="357175D7" w14:textId="77777777" w:rsidR="00BB6A2A" w:rsidRDefault="00BB6A2A" w:rsidP="00BB6A2A">
      <w:pPr>
        <w:jc w:val="both"/>
        <w:rPr>
          <w:rFonts w:ascii="Times New Roman" w:eastAsia="Times New Roman" w:hAnsi="Times New Roman" w:cs="Times New Roman"/>
          <w:b/>
          <w:bCs/>
          <w:sz w:val="24"/>
          <w:szCs w:val="24"/>
          <w:lang w:eastAsia="pl-PL"/>
        </w:rPr>
      </w:pPr>
      <w:r>
        <w:rPr>
          <w:noProof/>
        </w:rPr>
        <mc:AlternateContent>
          <mc:Choice Requires="cx2">
            <w:drawing>
              <wp:inline distT="0" distB="0" distL="0" distR="0" wp14:anchorId="4844BE10" wp14:editId="1D52AAB2">
                <wp:extent cx="5760000" cy="3420000"/>
                <wp:effectExtent l="0" t="0" r="12700" b="9525"/>
                <wp:docPr id="30" name="Wykres 30">
                  <a:extLst xmlns:a="http://schemas.openxmlformats.org/drawingml/2006/main">
                    <a:ext uri="{FF2B5EF4-FFF2-40B4-BE49-F238E27FC236}">
                      <a16:creationId xmlns:a16="http://schemas.microsoft.com/office/drawing/2014/main" id="{D3886EEC-B730-0BBF-7143-A3B1BDE5E37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0"/>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drawing>
              <wp:inline distT="0" distB="0" distL="0" distR="0" wp14:anchorId="4844BE10" wp14:editId="1D52AAB2">
                <wp:extent cx="5760000" cy="3420000"/>
                <wp:effectExtent l="0" t="0" r="12700" b="9525"/>
                <wp:docPr id="30" name="Wykres 30">
                  <a:extLst xmlns:a="http://schemas.openxmlformats.org/drawingml/2006/main">
                    <a:ext uri="{FF2B5EF4-FFF2-40B4-BE49-F238E27FC236}">
                      <a16:creationId xmlns:a16="http://schemas.microsoft.com/office/drawing/2014/main" id="{D3886EEC-B730-0BBF-7143-A3B1BDE5E37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0" name="Wykres 30">
                          <a:extLst>
                            <a:ext uri="{FF2B5EF4-FFF2-40B4-BE49-F238E27FC236}">
                              <a16:creationId xmlns:a16="http://schemas.microsoft.com/office/drawing/2014/main" id="{D3886EEC-B730-0BBF-7143-A3B1BDE5E374}"/>
                            </a:ext>
                          </a:extLst>
                        </pic:cNvPr>
                        <pic:cNvPicPr>
                          <a:picLocks noGrp="1" noRot="1" noChangeAspect="1" noMove="1" noResize="1" noEditPoints="1" noAdjustHandles="1" noChangeArrowheads="1" noChangeShapeType="1"/>
                        </pic:cNvPicPr>
                      </pic:nvPicPr>
                      <pic:blipFill>
                        <a:blip r:embed="rId41"/>
                        <a:stretch>
                          <a:fillRect/>
                        </a:stretch>
                      </pic:blipFill>
                      <pic:spPr>
                        <a:xfrm>
                          <a:off x="0" y="0"/>
                          <a:ext cx="5759450" cy="3419475"/>
                        </a:xfrm>
                        <a:prstGeom prst="rect">
                          <a:avLst/>
                        </a:prstGeom>
                      </pic:spPr>
                    </pic:pic>
                  </a:graphicData>
                </a:graphic>
              </wp:inline>
            </w:drawing>
          </mc:Fallback>
        </mc:AlternateContent>
      </w:r>
    </w:p>
    <w:p w14:paraId="23C2509F" w14:textId="077A5D5B" w:rsidR="003E73C1" w:rsidRDefault="00BC6FF7" w:rsidP="003E73C1">
      <w:pPr>
        <w:pStyle w:val="rdo"/>
        <w:rPr>
          <w:noProof/>
        </w:rPr>
      </w:pPr>
      <w:r>
        <w:t>Źródło: opracowanie własne</w:t>
      </w:r>
    </w:p>
    <w:p w14:paraId="5CC27DF7" w14:textId="25B4B539" w:rsidR="00BB6A2A" w:rsidRDefault="00BB6A2A" w:rsidP="00BC3827">
      <w:pPr>
        <w:pStyle w:val="tekst"/>
      </w:pPr>
      <w:r w:rsidRPr="00806676">
        <w:t>Z</w:t>
      </w:r>
      <w:r>
        <w:t xml:space="preserve"> danych przedstawionych na wykresie 4.1. wynika, że miejsca pracy w mikroprzedsiębiorstwach dominowały w transporcie śródlądowym, wynajmie samochodów, działalności sportowej i rekreacyjnej, organizatorów turystyki i usługach związanych z wyżywieniem. Obraz nieco zniekształca fakt, że do podmiotów o liczbie pracujących wynoszącej co najmniej 10 osób zaliczane są wszystkie jednostki budżetowe bez względu na wielkość.</w:t>
      </w:r>
    </w:p>
    <w:p w14:paraId="2C6743CC" w14:textId="77777777" w:rsidR="00BB6A2A" w:rsidRDefault="00BB6A2A" w:rsidP="00BC3827">
      <w:pPr>
        <w:pStyle w:val="tekst"/>
      </w:pPr>
      <w:r>
        <w:lastRenderedPageBreak/>
        <w:t>Z punktu widzenia rynku pracy duże znaczenie ma tworzenie miejsc pracy dla osób, które mają trudności ze znalezieniem zatrudnienia. Do tej kategorii często zaliczane są kobiety, które nie zawsze mogą znaleźć odpowiednie miejsca pracy. W obecnej edycji RST dane na temat liczby pracujących wg płci udało się uzyskać tylko dla podmiotów o liczbie pracujących co najmniej 10 osób. W 2018 r. w ogólnym ujęciu udział kobiet wśród tej kategorii przedsiębiorstw z sektora CRDT wynosił 47,9% i był niższy niż dla całej gospodarki, dla której wynosił 50%. W 2019 r. sytuacja uległa zmianie i udział kobiet wzrósł do 51%, lekko przekraczając wartość wskaźnika dla całej gospodarki wynoszącą 50,1%. Zakres feminizacji poszczególnych rodzajów działalności był bardzo zróżnicowany. Największy odsetek kobiet wśród pracujących odnotowano w działalności związanej z turystyką (71,5% w 2018 r.) i w działalności bibliotek i muzeów (71,6% w 2018 r.), natomiast najniższy w transporcie lądowym pozostałym (16,2% w 2018 r.). Wysoki odsetek miejsc pracy zajmowanych przez kobiety wystąpił także w zakwaterowaniu (66,7% w 2018 r.) i w gastronomii (63,8% w 2018 r.). Wkład poszczególnych CRDT w tworzenie miejsc pracy dla kobiet przedstawia wykres 4.2.</w:t>
      </w:r>
    </w:p>
    <w:p w14:paraId="10A0C580" w14:textId="77777777" w:rsidR="00BB6A2A" w:rsidRPr="003465DF" w:rsidRDefault="00BB6A2A" w:rsidP="00BC3827">
      <w:pPr>
        <w:pStyle w:val="nazwa"/>
      </w:pPr>
      <w:bookmarkStart w:id="126" w:name="_Toc115437490"/>
      <w:r w:rsidRPr="003465DF">
        <w:t>Wykres 4.2. Udział poszczególnych CRDT w tworzeniu miejsc pracy dla kobiet w 2018 i 2019 r.</w:t>
      </w:r>
      <w:bookmarkEnd w:id="126"/>
    </w:p>
    <w:p w14:paraId="02C5718E" w14:textId="77777777" w:rsidR="00BB6A2A" w:rsidRDefault="00BB6A2A" w:rsidP="00BB6A2A">
      <w:pPr>
        <w:jc w:val="both"/>
        <w:rPr>
          <w:rFonts w:ascii="Times New Roman" w:eastAsia="Times New Roman" w:hAnsi="Times New Roman" w:cs="Times New Roman"/>
          <w:sz w:val="24"/>
          <w:szCs w:val="24"/>
          <w:lang w:eastAsia="pl-PL"/>
        </w:rPr>
      </w:pPr>
      <w:r>
        <w:rPr>
          <w:noProof/>
        </w:rPr>
        <w:drawing>
          <wp:inline distT="0" distB="0" distL="0" distR="0" wp14:anchorId="765F65C6" wp14:editId="3A3711C9">
            <wp:extent cx="5760720" cy="5040000"/>
            <wp:effectExtent l="0" t="0" r="11430" b="8255"/>
            <wp:docPr id="33" name="Wykres 33">
              <a:extLst xmlns:a="http://schemas.openxmlformats.org/drawingml/2006/main">
                <a:ext uri="{FF2B5EF4-FFF2-40B4-BE49-F238E27FC236}">
                  <a16:creationId xmlns:a16="http://schemas.microsoft.com/office/drawing/2014/main" id="{58312F21-E6B7-DFC9-7047-7C48E7400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t xml:space="preserve"> </w:t>
      </w:r>
    </w:p>
    <w:p w14:paraId="6BA214F2" w14:textId="47B9FB31" w:rsidR="00BB6A2A" w:rsidRDefault="00736B7D" w:rsidP="00BB6A2A">
      <w:pPr>
        <w:jc w:val="both"/>
        <w:rPr>
          <w:rFonts w:ascii="Times New Roman" w:eastAsia="Times New Roman" w:hAnsi="Times New Roman" w:cs="Times New Roman"/>
          <w:sz w:val="24"/>
          <w:szCs w:val="24"/>
          <w:lang w:eastAsia="pl-PL"/>
        </w:rPr>
      </w:pPr>
      <w:r>
        <w:rPr>
          <w:noProof/>
        </w:rPr>
        <w:lastRenderedPageBreak/>
        <w:drawing>
          <wp:inline distT="0" distB="0" distL="0" distR="0" wp14:anchorId="44E6716C" wp14:editId="1E8107E3">
            <wp:extent cx="5760720" cy="5040000"/>
            <wp:effectExtent l="0" t="0" r="11430" b="8255"/>
            <wp:docPr id="12" name="Wykres 12">
              <a:extLst xmlns:a="http://schemas.openxmlformats.org/drawingml/2006/main">
                <a:ext uri="{FF2B5EF4-FFF2-40B4-BE49-F238E27FC236}">
                  <a16:creationId xmlns:a16="http://schemas.microsoft.com/office/drawing/2014/main" id="{58312F21-E6B7-DFC9-7047-7C48E7400C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683EC53" w14:textId="7291FAB3" w:rsidR="003E73C1" w:rsidRDefault="00BC6FF7" w:rsidP="003E73C1">
      <w:pPr>
        <w:pStyle w:val="rdo"/>
        <w:rPr>
          <w:noProof/>
        </w:rPr>
      </w:pPr>
      <w:r>
        <w:t>Źródło: opracowanie własne</w:t>
      </w:r>
    </w:p>
    <w:p w14:paraId="633FEDB5" w14:textId="77777777" w:rsidR="00BB6A2A" w:rsidRDefault="00BB6A2A" w:rsidP="00BC3827">
      <w:pPr>
        <w:pStyle w:val="tekst"/>
      </w:pPr>
      <w:r>
        <w:t>Z danych zamieszczonych na wykresie 4.2. wynika, że największa liczba kobiet pracowała w gastronomii (35% w 2018 r. i 36% w 2018 r.), na drugim miejscu było zakwaterowanie (22%), a na trzecim działalność bibliotek, muzeów… (19% w 2018 r. i 18% w 2019 r.). Wykres 4.2 pokazuje ponadto, że zakres feminizacji miejsc pracy w CRDT w analizowanych latach nie uległ istotnym zmianom.</w:t>
      </w:r>
    </w:p>
    <w:p w14:paraId="268F1EF5" w14:textId="78B0155B" w:rsidR="00BB6A2A" w:rsidRDefault="00BB6A2A" w:rsidP="00BC3827">
      <w:pPr>
        <w:pStyle w:val="tekst"/>
      </w:pPr>
      <w:r>
        <w:t>Istotną cechą miejsc pracy jest ich jakość często określana za pomocą wysokości oferowanych wynagrodzeń. W tablicy 7 RST zamieszczono informacje na temat wynagrodzeń w podmiotach z co najmniej 10 pracującymi i dla większości CRDT dla ogółu podmiotów. Wykres 4.3. przedstawia wynagrodzenia w grupie podmiotów z co najmniej 10 pracującymi w 2018 r.</w:t>
      </w:r>
    </w:p>
    <w:p w14:paraId="55B484B4" w14:textId="77777777" w:rsidR="0017308D" w:rsidRDefault="0017308D" w:rsidP="0017308D">
      <w:pPr>
        <w:pStyle w:val="tekst"/>
      </w:pPr>
      <w:r>
        <w:t>Na podstawie danych przedstawionych na wykresie 4.3. można zauważyć, że w znacznej części CRDT miesięczne wynagrodzenie było niższe niż przeciętne w kraju w podobnej grupie podmiotów. Najniższą wartość osiągnęło w gastronomii, a najwyższy w usługach lotniczych. Rozpiętość między tymi dwoma biegunami wynosiła ok. 7 tys. miesięcznie. Obok gastronomii do grupy nisko wynagradzanych należały także miejsca pracy w zakwaterowaniu, kulturze i rekreacji. Często podkreślany związek między feminizacją miejsc pracy a wysokością wynagrodzeń nie jest jednoznaczny. Wśród nisko wynagradzanych znalazły się zarówno sfeminizowanie, jak i zdominowane przez mężczyzn rodzaje działalności. Z kolei silnie sfeminizowaną działalność związaną z turystyką cechowały wynagrodzenia wyższe niż przeciętne dla kraju.</w:t>
      </w:r>
    </w:p>
    <w:p w14:paraId="16304ADC" w14:textId="77777777" w:rsidR="0017308D" w:rsidRDefault="0017308D" w:rsidP="00BC3827">
      <w:pPr>
        <w:pStyle w:val="tekst"/>
      </w:pPr>
    </w:p>
    <w:p w14:paraId="5BA36D8D" w14:textId="77777777" w:rsidR="00BB6A2A" w:rsidRDefault="00BB6A2A" w:rsidP="00BC3827">
      <w:pPr>
        <w:pStyle w:val="nazwa"/>
      </w:pPr>
      <w:bookmarkStart w:id="127" w:name="_Toc115437491"/>
      <w:r w:rsidRPr="00680AC0">
        <w:lastRenderedPageBreak/>
        <w:t>Wykres 4.3. Przeciętne miesięczne wynagrodzenia w CRDT w podmiotach z co najmniej 10 pracującymi w 2018 r.</w:t>
      </w:r>
      <w:bookmarkEnd w:id="127"/>
    </w:p>
    <w:p w14:paraId="27AE9E2E" w14:textId="77777777" w:rsidR="00BB6A2A" w:rsidRDefault="00BB6A2A" w:rsidP="00BB6A2A">
      <w:pPr>
        <w:jc w:val="both"/>
        <w:rPr>
          <w:rFonts w:ascii="Times New Roman" w:eastAsia="Times New Roman" w:hAnsi="Times New Roman" w:cs="Times New Roman"/>
          <w:b/>
          <w:bCs/>
          <w:sz w:val="24"/>
          <w:szCs w:val="24"/>
          <w:lang w:eastAsia="pl-PL"/>
        </w:rPr>
      </w:pPr>
      <w:r>
        <w:rPr>
          <w:noProof/>
        </w:rPr>
        <mc:AlternateContent>
          <mc:Choice Requires="cx2">
            <w:drawing>
              <wp:inline distT="0" distB="0" distL="0" distR="0" wp14:anchorId="2CAAF3E2" wp14:editId="346B2FF0">
                <wp:extent cx="5760000" cy="3348000"/>
                <wp:effectExtent l="0" t="0" r="12700" b="5080"/>
                <wp:docPr id="36" name="Wykres 36">
                  <a:extLst xmlns:a="http://schemas.openxmlformats.org/drawingml/2006/main">
                    <a:ext uri="{FF2B5EF4-FFF2-40B4-BE49-F238E27FC236}">
                      <a16:creationId xmlns:a16="http://schemas.microsoft.com/office/drawing/2014/main" id="{C9917F9E-9A18-CD44-12A2-35F2A4E98262}"/>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4"/>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drawing>
              <wp:inline distT="0" distB="0" distL="0" distR="0" wp14:anchorId="2CAAF3E2" wp14:editId="346B2FF0">
                <wp:extent cx="5760000" cy="3348000"/>
                <wp:effectExtent l="0" t="0" r="12700" b="5080"/>
                <wp:docPr id="36" name="Wykres 36">
                  <a:extLst xmlns:a="http://schemas.openxmlformats.org/drawingml/2006/main">
                    <a:ext uri="{FF2B5EF4-FFF2-40B4-BE49-F238E27FC236}">
                      <a16:creationId xmlns:a16="http://schemas.microsoft.com/office/drawing/2014/main" id="{C9917F9E-9A18-CD44-12A2-35F2A4E9826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6" name="Wykres 36">
                          <a:extLst>
                            <a:ext uri="{FF2B5EF4-FFF2-40B4-BE49-F238E27FC236}">
                              <a16:creationId xmlns:a16="http://schemas.microsoft.com/office/drawing/2014/main" id="{C9917F9E-9A18-CD44-12A2-35F2A4E98262}"/>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5759450" cy="3347720"/>
                        </a:xfrm>
                        <a:prstGeom prst="rect">
                          <a:avLst/>
                        </a:prstGeom>
                      </pic:spPr>
                    </pic:pic>
                  </a:graphicData>
                </a:graphic>
              </wp:inline>
            </w:drawing>
          </mc:Fallback>
        </mc:AlternateContent>
      </w:r>
    </w:p>
    <w:p w14:paraId="04B3F44B" w14:textId="22C691E8" w:rsidR="003E73C1" w:rsidRDefault="00BC6FF7" w:rsidP="003E73C1">
      <w:pPr>
        <w:pStyle w:val="rdo"/>
        <w:rPr>
          <w:noProof/>
        </w:rPr>
      </w:pPr>
      <w:r>
        <w:t>Źródło: opracowanie własne</w:t>
      </w:r>
    </w:p>
    <w:p w14:paraId="06B0EB4A" w14:textId="77777777" w:rsidR="00BB6A2A" w:rsidRPr="00466F45" w:rsidRDefault="00BB6A2A" w:rsidP="00AD4B36">
      <w:pPr>
        <w:pStyle w:val="nazwa"/>
      </w:pPr>
      <w:bookmarkStart w:id="128" w:name="_Toc115437492"/>
      <w:r w:rsidRPr="00466F45">
        <w:t>Wykres 4.4. Bezpośrednie turystyczne miejsca pracy w latach 2018 i 2019 według rodzaju CRDT</w:t>
      </w:r>
      <w:bookmarkEnd w:id="128"/>
    </w:p>
    <w:p w14:paraId="4C3F3293" w14:textId="77777777" w:rsidR="00BB6A2A" w:rsidRDefault="00BB6A2A" w:rsidP="00BB6A2A">
      <w:pPr>
        <w:jc w:val="both"/>
        <w:rPr>
          <w:rFonts w:ascii="Times New Roman" w:eastAsia="Times New Roman" w:hAnsi="Times New Roman" w:cs="Times New Roman"/>
          <w:sz w:val="24"/>
          <w:szCs w:val="24"/>
          <w:lang w:eastAsia="pl-PL"/>
        </w:rPr>
      </w:pPr>
      <w:r>
        <w:rPr>
          <w:noProof/>
        </w:rPr>
        <w:drawing>
          <wp:inline distT="0" distB="0" distL="0" distR="0" wp14:anchorId="7CBA0ED3" wp14:editId="2718AF19">
            <wp:extent cx="5760720" cy="4392000"/>
            <wp:effectExtent l="0" t="0" r="11430" b="8890"/>
            <wp:docPr id="37" name="Wykres 37">
              <a:extLst xmlns:a="http://schemas.openxmlformats.org/drawingml/2006/main">
                <a:ext uri="{FF2B5EF4-FFF2-40B4-BE49-F238E27FC236}">
                  <a16:creationId xmlns:a16="http://schemas.microsoft.com/office/drawing/2014/main" id="{B5A1E3B4-F1AF-18E1-4E69-7A8AA73128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514C055" w14:textId="424A19F2" w:rsidR="003E73C1" w:rsidRDefault="00BC6FF7" w:rsidP="003E73C1">
      <w:pPr>
        <w:pStyle w:val="rdo"/>
      </w:pPr>
      <w:r>
        <w:t>Źródło: opracowanie własne</w:t>
      </w:r>
    </w:p>
    <w:p w14:paraId="2DB86A60" w14:textId="77777777" w:rsidR="00474A20" w:rsidRDefault="00474A20" w:rsidP="00474A20">
      <w:pPr>
        <w:pStyle w:val="tekst"/>
      </w:pPr>
      <w:r>
        <w:lastRenderedPageBreak/>
        <w:t xml:space="preserve">Przedstawiony obraz dotyczy ogólnej charakterystyki rynku pracy w CRDT, ale podobnie jak w przypadku mierzenia wkładu turystyki w PKB nie wszystkie miejsca pracy w tych rodzajach działalności związane są z obsługą odwiedzających. Bardziej precyzyjne określenie wkładu turystyki w tworzenie miejsc pracy wymaga zastosowania współczynnika spożycia turystycznego, tak jak ma to miejsce przy obliczaniu bezpośredniego turystycznego PKB. Tak obliczone </w:t>
      </w:r>
      <w:r w:rsidRPr="0055783C">
        <w:rPr>
          <w:rStyle w:val="Pogrubienie"/>
        </w:rPr>
        <w:t>bezpośrednie zatrudnienie w turystyce w 2018 r. wyniosło 206 082 osób i stanowiło 1,3% liczby pracujących w Polsce. W 2019 r. wzrosło do 233 842 (wzrost o 13,5%) i stanowiło 1,5% liczby pracujących w kraju.</w:t>
      </w:r>
      <w:r>
        <w:rPr>
          <w:b/>
          <w:bCs/>
        </w:rPr>
        <w:t xml:space="preserve"> </w:t>
      </w:r>
      <w:r w:rsidRPr="00C24991">
        <w:t>Dość zaskakująco wkład turystyki w tworzenie miejsc pracy okazał się znacząco mniejszy niż wkład w tworzenie wartości dodanej.</w:t>
      </w:r>
      <w:r>
        <w:rPr>
          <w:b/>
          <w:bCs/>
        </w:rPr>
        <w:t xml:space="preserve"> </w:t>
      </w:r>
      <w:r w:rsidRPr="00205BFA">
        <w:t xml:space="preserve">Zmiany </w:t>
      </w:r>
      <w:r>
        <w:t xml:space="preserve">w wielkości i strukturze liczby </w:t>
      </w:r>
      <w:r w:rsidRPr="00C24991">
        <w:t>bezpośrednic</w:t>
      </w:r>
      <w:r>
        <w:t>h</w:t>
      </w:r>
      <w:r w:rsidRPr="00C24991">
        <w:t xml:space="preserve"> </w:t>
      </w:r>
      <w:r>
        <w:t xml:space="preserve">miejsc pracy w turystyce przedstawia wykres 4.4. </w:t>
      </w:r>
    </w:p>
    <w:p w14:paraId="16D59D99" w14:textId="77777777" w:rsidR="00474A20" w:rsidRDefault="00474A20" w:rsidP="00474A20">
      <w:pPr>
        <w:pStyle w:val="tekst"/>
      </w:pPr>
      <w:r>
        <w:t xml:space="preserve">Z danych zamieszczonych na wykresie 4.4. wynika, że największa liczba bezpośrednich turystycznych miejsc pracy związana jest z gastronomią. Na drugim miejscu znalazło się zakwaterowanie, które w odróżnieniu od gastronomii odnotowało duży wzrost liczby miejsc pracy w 2019 r. Na trzecim miejscu plasował się transport lądowy pozostały, który w 2019 r. również odnotował wzrost liczby miejsc pracy. </w:t>
      </w:r>
    </w:p>
    <w:p w14:paraId="1C0BBD51" w14:textId="77777777" w:rsidR="00474A20" w:rsidRPr="00932B02" w:rsidRDefault="00474A20" w:rsidP="00474A20">
      <w:pPr>
        <w:pStyle w:val="tekst"/>
      </w:pPr>
      <w:r>
        <w:t>Przedstawione dane pokazują znaczny wzrost liczby miejsc pracy tworzonych dzięki turystyce w latach 2018 i 2019 w porównaniu z wcześniejszymi edycjami RST. Liczba bezpośrednich turystycznych miejsc pracy w 2013 r. wynosiła ok. 110 tys., a w 2015 r. została oszacowana na 109 tys. Należy podkreślić, że wysoka dynamika wzrostu charakteryzowała głównie bezpośrednie turystyczne miejsca pracy, podczas gdy ogólny wzrost liczby pracujących w CRDT był znacznie wolniejszy. W 2013 r. było to 518,8 tys. osób, a w 2015 r. 535,5 tys.</w:t>
      </w:r>
    </w:p>
    <w:p w14:paraId="2FD23141" w14:textId="77777777" w:rsidR="00474A20" w:rsidRDefault="00474A20" w:rsidP="003E73C1">
      <w:pPr>
        <w:pStyle w:val="rdo"/>
        <w:rPr>
          <w:noProof/>
        </w:rPr>
      </w:pPr>
    </w:p>
    <w:p w14:paraId="3C6E472F" w14:textId="71C577A3" w:rsidR="006F4528" w:rsidRDefault="00305F78" w:rsidP="00AD4B36">
      <w:pPr>
        <w:pStyle w:val="Nagwek1"/>
      </w:pPr>
      <w:bookmarkStart w:id="129" w:name="_Toc115441458"/>
      <w:r w:rsidRPr="00305F78">
        <w:lastRenderedPageBreak/>
        <w:t xml:space="preserve">5. </w:t>
      </w:r>
      <w:r w:rsidR="006F4528" w:rsidRPr="00305F78">
        <w:t>Nakłady i inwestycje</w:t>
      </w:r>
      <w:bookmarkStart w:id="130" w:name="_Hlk113635804"/>
      <w:bookmarkEnd w:id="129"/>
    </w:p>
    <w:p w14:paraId="6DAD9B01" w14:textId="5D35A01B" w:rsidR="006F4528" w:rsidRPr="00474B74" w:rsidRDefault="006F4528" w:rsidP="00AD4B36">
      <w:pPr>
        <w:pStyle w:val="tekst"/>
      </w:pPr>
      <w:r w:rsidRPr="00474B74">
        <w:t>Jak wskazano w metodologii RST dla Polski</w:t>
      </w:r>
      <w:r w:rsidRPr="00474B74">
        <w:rPr>
          <w:vertAlign w:val="superscript"/>
        </w:rPr>
        <w:footnoteReference w:id="8"/>
      </w:r>
      <w:r w:rsidRPr="00474B74">
        <w:t xml:space="preserve"> </w:t>
      </w:r>
      <w:r w:rsidR="00305F78">
        <w:t>zakres</w:t>
      </w:r>
      <w:r w:rsidRPr="00474B74">
        <w:t xml:space="preserve"> nakładów i inwestycji turystycznych</w:t>
      </w:r>
      <w:r w:rsidR="00305F78">
        <w:t xml:space="preserve"> jest szeroki i dotyczy szeregu elementów podaży turystycznej</w:t>
      </w:r>
      <w:r w:rsidRPr="00474B74">
        <w:t xml:space="preserve">. Paolo </w:t>
      </w:r>
      <w:proofErr w:type="spellStart"/>
      <w:r w:rsidRPr="00474B74">
        <w:t>Figini</w:t>
      </w:r>
      <w:proofErr w:type="spellEnd"/>
      <w:r w:rsidRPr="00474B74">
        <w:t xml:space="preserve"> i Roberto </w:t>
      </w:r>
      <w:proofErr w:type="spellStart"/>
      <w:r w:rsidRPr="00474B74">
        <w:t>Patuelli</w:t>
      </w:r>
      <w:proofErr w:type="spellEnd"/>
      <w:r w:rsidRPr="00474B74">
        <w:t xml:space="preserve"> podkreślali konieczność uwzględnienia w kalkulacjach produktów takich jak: zakwaterowanie, transport pasażerski, gastronomia, usługi wspierające transport, utrzymanie infrastruktury transportowej, biura podróży, usługi kulturalne, czy też usługi związane z rekreacją i rozrywką</w:t>
      </w:r>
      <w:r w:rsidRPr="00474B74">
        <w:rPr>
          <w:vertAlign w:val="superscript"/>
        </w:rPr>
        <w:footnoteReference w:id="9"/>
      </w:r>
      <w:r w:rsidRPr="00474B74">
        <w:t>. Podejście takie jest zgodne ze specyfiką konsumpcji turystycznej. Konsument-turysta w trakcie podróży nie ogranicza się jedynie do zakupów pojedynczych produktów np. noclegu czy usługi gastronomicznej. W trakcie wyjazdu zwykle musi on skorzystać ze zróżnicowanej oferty różnych podmiotów.</w:t>
      </w:r>
      <w:r w:rsidR="009B3416">
        <w:t xml:space="preserve"> </w:t>
      </w:r>
    </w:p>
    <w:p w14:paraId="382079C3" w14:textId="77777777" w:rsidR="006F4528" w:rsidRPr="00474B74" w:rsidRDefault="006F4528" w:rsidP="00AD4B36">
      <w:pPr>
        <w:pStyle w:val="tekst"/>
      </w:pPr>
      <w:r w:rsidRPr="00474B74">
        <w:t>Powyższa lista jednoznacznie nawiązuje do szeroko definiowanego produktu turystycznego, rozumianego jako całość składająca się z szeregu elementów, określających atrakcyjność miejsca dla turysty oraz odpowiedzialnych za infrastrukturę przez niego wykorzystywaną. Zgodnie z zaprezentowaną koncepcją są to atrakcje antropogeniczne, kulturowe i przyrodnicze tworzące podstawową ofertę turystyczną, która stanowi podstawę decyzji przyjazdowych. Zarządzający destynacją mogą je tworzyć tylko w ograniczonym zakresie, niektóre atrakcje, zwłaszcza przyrodnicze są jej w swoisty sposób „dane”, stanowiąc często kluczowy czy też istotny zasób danego regionu, determinujący jego rozwój. Oprócz atrakcji turystycznych produkt destynacji tworzy również tzw. uzupełniająca oferta turystyczna, czyli elementy takie jak: infrastruktura noclegowa, komunikacyjna czy gastronomiczna oraz inne wykorzystywane przez turystów w czasie przyjazdu i pobytu w danym miejscu. Składowe te, i ich wykorzystanie, nie są celem przyjazdu, ale są one niezbędne, aby atrakcje miejsca udostępnić. W efekcie elementy powyższe decydują o komforcie pobytu turysty i są również podstawą jego decyzji przyjazdowych. To również one decydują o kosztach pobytu i satysfakcji turysty</w:t>
      </w:r>
      <w:r w:rsidRPr="00474B74">
        <w:rPr>
          <w:vertAlign w:val="superscript"/>
        </w:rPr>
        <w:footnoteReference w:id="10"/>
      </w:r>
      <w:r w:rsidRPr="00474B74">
        <w:t>.</w:t>
      </w:r>
    </w:p>
    <w:p w14:paraId="50EC062E" w14:textId="77777777" w:rsidR="006F4528" w:rsidRPr="00474B74" w:rsidRDefault="006F4528" w:rsidP="00AD4B36">
      <w:pPr>
        <w:pStyle w:val="tekst"/>
      </w:pPr>
      <w:r w:rsidRPr="00474B74">
        <w:t xml:space="preserve">Różnorodność poziomu atrakcyjności destynacji, a przede wszystkim różnorodność elementów infrastruktury wpływają na kluczową cechę produktów, jakimi są obszary recepcji turystycznej – są to produkty złożone, rozdrobnione, zróżnicowane wewnętrznie, którymi kompleksowo ciężko jest zarządzać. </w:t>
      </w:r>
    </w:p>
    <w:p w14:paraId="09B5F279" w14:textId="56A19FA8" w:rsidR="006F4528" w:rsidRPr="00474B74" w:rsidRDefault="006F4528" w:rsidP="00AD4B36">
      <w:pPr>
        <w:pStyle w:val="tekst"/>
      </w:pPr>
      <w:r w:rsidRPr="00474B74">
        <w:t>Specyfika ta przekłada się również na sposób analizy inwestycji turystycznych. Zgodnie z zaprezentowanym modelem, prezentującym regionalny produkt turystyczny należy do nich zaliczyć szeroko rozumiane inwestycje w rozwój atrakcji turystycznych, jak również te inwestycje, które dotyczą szeregu pojedynczych produktów, składających się na produkt destynacji turystycznej, w tym również</w:t>
      </w:r>
      <w:r w:rsidR="009B3416">
        <w:t xml:space="preserve"> </w:t>
      </w:r>
      <w:r w:rsidRPr="00474B74">
        <w:t>kraju. Z drugiej strony, pojawia się jednak wątpliwość czy wszystkie powyższe inwestycje należy zaliczać do kategorii inwestycji turystycznych. Zastrzeżeń nie wzbudza np. budowa hotelu, który jest dedykowany przede wszystkim obsłudze ruchu turystycznego, ale już wahanie może wzbudzać budowa nowej restauracji w dużym mieście, której kluczowymi klientami nie będą turyści a raczej jego mieszkańcy. Podobnie może wyglądać sytuacja czy to z atrakcjami, wykorzystywanymi przez lokalnych użytkowników</w:t>
      </w:r>
      <w:r w:rsidR="009B3416">
        <w:t xml:space="preserve"> </w:t>
      </w:r>
      <w:r w:rsidRPr="00474B74">
        <w:t xml:space="preserve">czy też np. drogami, z których również korzystają głównie te osoby. Zastrzeżenia powyższe należy brać pod uwagę, analizując całościowe wielkości inwestycji na poszczególne elementy produktu turystycznego. </w:t>
      </w:r>
    </w:p>
    <w:p w14:paraId="2423C4AE" w14:textId="3B6132C8" w:rsidR="006F4528" w:rsidRPr="00474B74" w:rsidRDefault="006F4528" w:rsidP="00AD4B36">
      <w:pPr>
        <w:pStyle w:val="tekst"/>
      </w:pPr>
      <w:r w:rsidRPr="00474B74">
        <w:t>Jak wskazywano: produkt turystyczny składa się z różnych elementów, a niektóre z nich mogą być adresowane zarówno do mieszkańców jak i do potencjalnych turystów. W przypadku wielu atrakcji, zwłaszcza zlokalizowanych w dużych miastach główną determinantą ich powstawania jest zaspokojenie popytu wewnętrznego, generowanego przez mieszkańców. Produktami, które są jednoznacznie przeznaczone dla</w:t>
      </w:r>
      <w:r w:rsidR="009B3416">
        <w:t xml:space="preserve"> </w:t>
      </w:r>
      <w:r w:rsidRPr="00474B74">
        <w:t xml:space="preserve">przyjeżdżających i obsługi ruchu turystycznego są usługi noclegowe. Twierdzenie to wspiera również prezentowana wcześniej wartość współczynnika spożycia turystycznego, która dla usług związanych z zakwaterowaniem wynosiła w 2018 i 2019 r. </w:t>
      </w:r>
      <w:r w:rsidRPr="00474B74">
        <w:lastRenderedPageBreak/>
        <w:t>odpowiednio 86,7% i 90,7%. W związku z powyższym inwestycje w infrastrukturę hotelową, związaną z ich świadczeniem można uznać za</w:t>
      </w:r>
      <w:r w:rsidR="009B3416">
        <w:t xml:space="preserve"> </w:t>
      </w:r>
      <w:r w:rsidRPr="00474B74">
        <w:t>konsekwencję rozwoju funkcji turystycznej w danym regionie. W konsekwencji punktem wyjścia do dalszych rozważań powinna być analiza danych, dotyczących rozwoju bazy noclegowej oraz napływu turystów do Polski</w:t>
      </w:r>
    </w:p>
    <w:p w14:paraId="404CC25F" w14:textId="355EF2D0" w:rsidR="006F4528" w:rsidRPr="00474B74" w:rsidRDefault="006F4528" w:rsidP="00AD4B36">
      <w:pPr>
        <w:pStyle w:val="nazwa"/>
      </w:pPr>
      <w:bookmarkStart w:id="131" w:name="_Toc58795870"/>
      <w:bookmarkStart w:id="132" w:name="_Toc58801935"/>
      <w:bookmarkStart w:id="133" w:name="_Toc58947604"/>
      <w:bookmarkStart w:id="134" w:name="_Toc115437493"/>
      <w:r w:rsidRPr="0071322C">
        <w:t xml:space="preserve">Tabela </w:t>
      </w:r>
      <w:r w:rsidR="00305F78" w:rsidRPr="0071322C">
        <w:t>5.</w:t>
      </w:r>
      <w:r w:rsidRPr="0071322C">
        <w:t>1.</w:t>
      </w:r>
      <w:r w:rsidRPr="00474B74">
        <w:t xml:space="preserve"> Baza noclegowa turystyki – Polska</w:t>
      </w:r>
      <w:bookmarkEnd w:id="131"/>
      <w:bookmarkEnd w:id="132"/>
      <w:bookmarkEnd w:id="133"/>
      <w:bookmarkEnd w:id="134"/>
      <w:r w:rsidRPr="00474B74">
        <w:t xml:space="preserve"> </w:t>
      </w:r>
    </w:p>
    <w:tbl>
      <w:tblPr>
        <w:tblStyle w:val="Tabelasiatki1jasna"/>
        <w:tblW w:w="5000" w:type="pct"/>
        <w:tblLayout w:type="fixed"/>
        <w:tblCellMar>
          <w:top w:w="28" w:type="dxa"/>
          <w:left w:w="57" w:type="dxa"/>
          <w:bottom w:w="28" w:type="dxa"/>
          <w:right w:w="57" w:type="dxa"/>
        </w:tblCellMar>
        <w:tblLook w:val="06A0" w:firstRow="1" w:lastRow="0" w:firstColumn="1" w:lastColumn="0" w:noHBand="1" w:noVBand="1"/>
      </w:tblPr>
      <w:tblGrid>
        <w:gridCol w:w="3181"/>
        <w:gridCol w:w="980"/>
        <w:gridCol w:w="980"/>
        <w:gridCol w:w="980"/>
        <w:gridCol w:w="980"/>
        <w:gridCol w:w="980"/>
        <w:gridCol w:w="981"/>
      </w:tblGrid>
      <w:tr w:rsidR="006F4528" w:rsidRPr="006F4528" w14:paraId="58F582CB" w14:textId="77777777" w:rsidTr="00B53A0C">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5BC99EF6" w14:textId="77777777" w:rsidR="006F4528" w:rsidRPr="00D42743" w:rsidRDefault="006F4528" w:rsidP="00566D31">
            <w:pPr>
              <w:rPr>
                <w:rFonts w:cstheme="minorHAnsi"/>
                <w:bCs w:val="0"/>
                <w:sz w:val="18"/>
                <w:szCs w:val="18"/>
              </w:rPr>
            </w:pPr>
            <w:r w:rsidRPr="00D42743">
              <w:rPr>
                <w:rFonts w:cstheme="minorHAnsi"/>
                <w:sz w:val="18"/>
                <w:szCs w:val="18"/>
              </w:rPr>
              <w:t xml:space="preserve">Wyszczególnienie </w:t>
            </w:r>
          </w:p>
        </w:tc>
        <w:tc>
          <w:tcPr>
            <w:tcW w:w="980" w:type="dxa"/>
            <w:vAlign w:val="center"/>
          </w:tcPr>
          <w:p w14:paraId="60E42526" w14:textId="77777777" w:rsidR="006F4528" w:rsidRPr="00D42743" w:rsidRDefault="006F4528" w:rsidP="00735B68">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en-US"/>
              </w:rPr>
            </w:pPr>
            <w:r w:rsidRPr="00D42743">
              <w:rPr>
                <w:rFonts w:cstheme="minorHAnsi"/>
                <w:sz w:val="18"/>
                <w:szCs w:val="18"/>
                <w:lang w:val="en-US"/>
              </w:rPr>
              <w:t>2005</w:t>
            </w:r>
          </w:p>
        </w:tc>
        <w:tc>
          <w:tcPr>
            <w:tcW w:w="980" w:type="dxa"/>
            <w:vAlign w:val="center"/>
          </w:tcPr>
          <w:p w14:paraId="2B71FE38" w14:textId="77777777" w:rsidR="006F4528" w:rsidRPr="00D42743" w:rsidRDefault="006F4528" w:rsidP="00735B68">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en-US"/>
              </w:rPr>
            </w:pPr>
            <w:r w:rsidRPr="00D42743">
              <w:rPr>
                <w:rFonts w:cstheme="minorHAnsi"/>
                <w:sz w:val="18"/>
                <w:szCs w:val="18"/>
                <w:lang w:val="en-US"/>
              </w:rPr>
              <w:t>2010</w:t>
            </w:r>
          </w:p>
        </w:tc>
        <w:tc>
          <w:tcPr>
            <w:tcW w:w="980" w:type="dxa"/>
            <w:vAlign w:val="center"/>
          </w:tcPr>
          <w:p w14:paraId="4F3274E6" w14:textId="77777777" w:rsidR="006F4528" w:rsidRPr="00D42743" w:rsidRDefault="006F4528" w:rsidP="00735B68">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en-US"/>
              </w:rPr>
            </w:pPr>
            <w:r w:rsidRPr="00D42743">
              <w:rPr>
                <w:rFonts w:cstheme="minorHAnsi"/>
                <w:sz w:val="18"/>
                <w:szCs w:val="18"/>
                <w:lang w:val="en-US"/>
              </w:rPr>
              <w:t>2015</w:t>
            </w:r>
          </w:p>
        </w:tc>
        <w:tc>
          <w:tcPr>
            <w:tcW w:w="980" w:type="dxa"/>
            <w:vAlign w:val="center"/>
          </w:tcPr>
          <w:p w14:paraId="5DBB6B21" w14:textId="77777777" w:rsidR="006F4528" w:rsidRPr="00D42743" w:rsidRDefault="006F4528" w:rsidP="00735B68">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lang w:val="en-US"/>
              </w:rPr>
            </w:pPr>
            <w:r w:rsidRPr="00D42743">
              <w:rPr>
                <w:rFonts w:cstheme="minorHAnsi"/>
                <w:sz w:val="18"/>
                <w:szCs w:val="18"/>
                <w:lang w:val="en-US"/>
              </w:rPr>
              <w:t>2018</w:t>
            </w:r>
          </w:p>
        </w:tc>
        <w:tc>
          <w:tcPr>
            <w:tcW w:w="980" w:type="dxa"/>
            <w:vAlign w:val="center"/>
          </w:tcPr>
          <w:p w14:paraId="7A09A714" w14:textId="77777777" w:rsidR="006F4528" w:rsidRPr="00D42743" w:rsidRDefault="006F4528" w:rsidP="00735B68">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D42743">
              <w:rPr>
                <w:rFonts w:cstheme="minorHAnsi"/>
                <w:sz w:val="18"/>
                <w:szCs w:val="18"/>
              </w:rPr>
              <w:t>2019</w:t>
            </w:r>
          </w:p>
        </w:tc>
        <w:tc>
          <w:tcPr>
            <w:tcW w:w="981" w:type="dxa"/>
            <w:vAlign w:val="center"/>
          </w:tcPr>
          <w:p w14:paraId="5F5B9F27" w14:textId="77777777" w:rsidR="006F4528" w:rsidRPr="00D42743" w:rsidRDefault="006F4528" w:rsidP="00735B68">
            <w:pPr>
              <w:jc w:val="right"/>
              <w:cnfStyle w:val="100000000000" w:firstRow="1" w:lastRow="0" w:firstColumn="0" w:lastColumn="0" w:oddVBand="0" w:evenVBand="0" w:oddHBand="0" w:evenHBand="0" w:firstRowFirstColumn="0" w:firstRowLastColumn="0" w:lastRowFirstColumn="0" w:lastRowLastColumn="0"/>
              <w:rPr>
                <w:rFonts w:cstheme="minorHAnsi"/>
                <w:bCs w:val="0"/>
                <w:sz w:val="18"/>
                <w:szCs w:val="18"/>
              </w:rPr>
            </w:pPr>
            <w:r w:rsidRPr="00D42743">
              <w:rPr>
                <w:rFonts w:cstheme="minorHAnsi"/>
                <w:sz w:val="18"/>
                <w:szCs w:val="18"/>
              </w:rPr>
              <w:t>2020</w:t>
            </w:r>
          </w:p>
        </w:tc>
      </w:tr>
      <w:tr w:rsidR="006F4528" w:rsidRPr="006F4528" w14:paraId="699A357B"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5DA7879A" w14:textId="77777777" w:rsidR="006F4528" w:rsidRPr="00D42743" w:rsidRDefault="006F4528" w:rsidP="00735B68">
            <w:pPr>
              <w:rPr>
                <w:rFonts w:cstheme="minorHAnsi"/>
                <w:sz w:val="18"/>
                <w:szCs w:val="18"/>
              </w:rPr>
            </w:pPr>
            <w:r w:rsidRPr="00D42743">
              <w:rPr>
                <w:rFonts w:cstheme="minorHAnsi"/>
                <w:sz w:val="18"/>
                <w:szCs w:val="18"/>
              </w:rPr>
              <w:t>Obiekty*</w:t>
            </w:r>
          </w:p>
        </w:tc>
        <w:tc>
          <w:tcPr>
            <w:tcW w:w="980" w:type="dxa"/>
            <w:vAlign w:val="center"/>
          </w:tcPr>
          <w:p w14:paraId="7F0A0153"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6 723</w:t>
            </w:r>
          </w:p>
        </w:tc>
        <w:tc>
          <w:tcPr>
            <w:tcW w:w="980" w:type="dxa"/>
            <w:vAlign w:val="center"/>
          </w:tcPr>
          <w:p w14:paraId="3DE1B9F3"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7 206</w:t>
            </w:r>
          </w:p>
        </w:tc>
        <w:tc>
          <w:tcPr>
            <w:tcW w:w="980" w:type="dxa"/>
            <w:vAlign w:val="center"/>
          </w:tcPr>
          <w:p w14:paraId="17A76F3B"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10 024</w:t>
            </w:r>
          </w:p>
        </w:tc>
        <w:tc>
          <w:tcPr>
            <w:tcW w:w="980" w:type="dxa"/>
            <w:vAlign w:val="center"/>
          </w:tcPr>
          <w:p w14:paraId="0D62D6A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11 076</w:t>
            </w:r>
          </w:p>
        </w:tc>
        <w:tc>
          <w:tcPr>
            <w:tcW w:w="980" w:type="dxa"/>
            <w:vAlign w:val="center"/>
          </w:tcPr>
          <w:p w14:paraId="23D131D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11 251</w:t>
            </w:r>
          </w:p>
        </w:tc>
        <w:tc>
          <w:tcPr>
            <w:tcW w:w="981" w:type="dxa"/>
            <w:vAlign w:val="center"/>
          </w:tcPr>
          <w:p w14:paraId="2B72AE6C"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10291</w:t>
            </w:r>
          </w:p>
        </w:tc>
      </w:tr>
      <w:tr w:rsidR="006F4528" w:rsidRPr="006F4528" w14:paraId="096C9141"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5C029E20" w14:textId="77777777" w:rsidR="006F4528" w:rsidRPr="00D42743" w:rsidRDefault="006F4528" w:rsidP="00735B68">
            <w:pPr>
              <w:rPr>
                <w:rFonts w:cstheme="minorHAnsi"/>
                <w:sz w:val="18"/>
                <w:szCs w:val="18"/>
              </w:rPr>
            </w:pPr>
            <w:r w:rsidRPr="00D42743">
              <w:rPr>
                <w:rFonts w:cstheme="minorHAnsi"/>
                <w:sz w:val="18"/>
                <w:szCs w:val="18"/>
              </w:rPr>
              <w:t>Obiekty hotelowe</w:t>
            </w:r>
          </w:p>
        </w:tc>
        <w:tc>
          <w:tcPr>
            <w:tcW w:w="980" w:type="dxa"/>
            <w:vAlign w:val="center"/>
          </w:tcPr>
          <w:p w14:paraId="6B7927C9"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2 200</w:t>
            </w:r>
          </w:p>
        </w:tc>
        <w:tc>
          <w:tcPr>
            <w:tcW w:w="980" w:type="dxa"/>
            <w:vAlign w:val="center"/>
          </w:tcPr>
          <w:p w14:paraId="21F8350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3 223</w:t>
            </w:r>
          </w:p>
        </w:tc>
        <w:tc>
          <w:tcPr>
            <w:tcW w:w="980" w:type="dxa"/>
            <w:vAlign w:val="center"/>
          </w:tcPr>
          <w:p w14:paraId="4A16C2F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3 723</w:t>
            </w:r>
          </w:p>
        </w:tc>
        <w:tc>
          <w:tcPr>
            <w:tcW w:w="980" w:type="dxa"/>
            <w:vAlign w:val="center"/>
          </w:tcPr>
          <w:p w14:paraId="6642D991"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4 179</w:t>
            </w:r>
          </w:p>
        </w:tc>
        <w:tc>
          <w:tcPr>
            <w:tcW w:w="980" w:type="dxa"/>
            <w:vAlign w:val="center"/>
          </w:tcPr>
          <w:p w14:paraId="2DA18D5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4 229</w:t>
            </w:r>
          </w:p>
        </w:tc>
        <w:tc>
          <w:tcPr>
            <w:tcW w:w="981" w:type="dxa"/>
            <w:vAlign w:val="center"/>
          </w:tcPr>
          <w:p w14:paraId="29B7C0CF"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3990</w:t>
            </w:r>
          </w:p>
        </w:tc>
      </w:tr>
      <w:tr w:rsidR="006F4528" w:rsidRPr="006F4528" w14:paraId="7F42EEDB"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250D2C1A" w14:textId="467F3780" w:rsidR="006F4528" w:rsidRPr="00D42743" w:rsidRDefault="009B3416" w:rsidP="00735B68">
            <w:pPr>
              <w:rPr>
                <w:rFonts w:cstheme="minorHAnsi"/>
                <w:i/>
                <w:sz w:val="18"/>
                <w:szCs w:val="18"/>
              </w:rPr>
            </w:pPr>
            <w:r>
              <w:rPr>
                <w:rFonts w:cstheme="minorHAnsi"/>
                <w:i/>
                <w:sz w:val="18"/>
                <w:szCs w:val="18"/>
              </w:rPr>
              <w:t xml:space="preserve">  </w:t>
            </w:r>
            <w:r w:rsidR="006F4528" w:rsidRPr="00D42743">
              <w:rPr>
                <w:rFonts w:cstheme="minorHAnsi"/>
                <w:i/>
                <w:sz w:val="18"/>
                <w:szCs w:val="18"/>
              </w:rPr>
              <w:t>w tym hotele</w:t>
            </w:r>
          </w:p>
        </w:tc>
        <w:tc>
          <w:tcPr>
            <w:tcW w:w="980" w:type="dxa"/>
            <w:vAlign w:val="center"/>
          </w:tcPr>
          <w:p w14:paraId="0561B1D9"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1 231</w:t>
            </w:r>
          </w:p>
        </w:tc>
        <w:tc>
          <w:tcPr>
            <w:tcW w:w="980" w:type="dxa"/>
            <w:vAlign w:val="center"/>
          </w:tcPr>
          <w:p w14:paraId="0FF0817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1 796</w:t>
            </w:r>
          </w:p>
        </w:tc>
        <w:tc>
          <w:tcPr>
            <w:tcW w:w="980" w:type="dxa"/>
            <w:vAlign w:val="center"/>
          </w:tcPr>
          <w:p w14:paraId="18A45FF8"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2 316</w:t>
            </w:r>
          </w:p>
        </w:tc>
        <w:tc>
          <w:tcPr>
            <w:tcW w:w="980" w:type="dxa"/>
            <w:vAlign w:val="center"/>
          </w:tcPr>
          <w:p w14:paraId="75027279"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2 592</w:t>
            </w:r>
          </w:p>
        </w:tc>
        <w:tc>
          <w:tcPr>
            <w:tcW w:w="980" w:type="dxa"/>
            <w:vAlign w:val="center"/>
          </w:tcPr>
          <w:p w14:paraId="79EE93CC"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D42743">
              <w:rPr>
                <w:rFonts w:cstheme="minorHAnsi"/>
                <w:i/>
                <w:sz w:val="18"/>
                <w:szCs w:val="18"/>
              </w:rPr>
              <w:t>2 635</w:t>
            </w:r>
          </w:p>
        </w:tc>
        <w:tc>
          <w:tcPr>
            <w:tcW w:w="981" w:type="dxa"/>
            <w:vAlign w:val="center"/>
          </w:tcPr>
          <w:p w14:paraId="50A90573"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D42743">
              <w:rPr>
                <w:rFonts w:cstheme="minorHAnsi"/>
                <w:i/>
                <w:sz w:val="18"/>
                <w:szCs w:val="18"/>
              </w:rPr>
              <w:t>2498</w:t>
            </w:r>
          </w:p>
        </w:tc>
      </w:tr>
      <w:tr w:rsidR="006F4528" w:rsidRPr="006F4528" w14:paraId="33D82BC2"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45D23ED8" w14:textId="77777777" w:rsidR="006F4528" w:rsidRPr="00D42743" w:rsidRDefault="006F4528" w:rsidP="00735B68">
            <w:pPr>
              <w:rPr>
                <w:rFonts w:cstheme="minorHAnsi"/>
                <w:sz w:val="18"/>
                <w:szCs w:val="18"/>
              </w:rPr>
            </w:pPr>
            <w:r w:rsidRPr="00D42743">
              <w:rPr>
                <w:rFonts w:cstheme="minorHAnsi"/>
                <w:sz w:val="18"/>
                <w:szCs w:val="18"/>
              </w:rPr>
              <w:t>Pozostałe obiekty</w:t>
            </w:r>
          </w:p>
        </w:tc>
        <w:tc>
          <w:tcPr>
            <w:tcW w:w="980" w:type="dxa"/>
            <w:vAlign w:val="center"/>
          </w:tcPr>
          <w:p w14:paraId="2DC1C4E7"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4 523</w:t>
            </w:r>
          </w:p>
        </w:tc>
        <w:tc>
          <w:tcPr>
            <w:tcW w:w="980" w:type="dxa"/>
            <w:vAlign w:val="center"/>
          </w:tcPr>
          <w:p w14:paraId="7DABA2F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3 983</w:t>
            </w:r>
          </w:p>
        </w:tc>
        <w:tc>
          <w:tcPr>
            <w:tcW w:w="980" w:type="dxa"/>
            <w:vAlign w:val="center"/>
          </w:tcPr>
          <w:p w14:paraId="3C98B248"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6 301</w:t>
            </w:r>
          </w:p>
        </w:tc>
        <w:tc>
          <w:tcPr>
            <w:tcW w:w="980" w:type="dxa"/>
            <w:vAlign w:val="center"/>
          </w:tcPr>
          <w:p w14:paraId="48FC3D10"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6 897</w:t>
            </w:r>
          </w:p>
        </w:tc>
        <w:tc>
          <w:tcPr>
            <w:tcW w:w="980" w:type="dxa"/>
            <w:vAlign w:val="center"/>
          </w:tcPr>
          <w:p w14:paraId="0FBF5E8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7 022</w:t>
            </w:r>
          </w:p>
        </w:tc>
        <w:tc>
          <w:tcPr>
            <w:tcW w:w="981" w:type="dxa"/>
            <w:vAlign w:val="center"/>
          </w:tcPr>
          <w:p w14:paraId="3B9A91C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6301</w:t>
            </w:r>
          </w:p>
        </w:tc>
      </w:tr>
      <w:tr w:rsidR="00104BD9" w:rsidRPr="006F4528" w14:paraId="5CFF333D"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10425D3A" w14:textId="2DA05B61" w:rsidR="00104BD9" w:rsidRPr="00D42743" w:rsidRDefault="00104BD9" w:rsidP="007F1CB9">
            <w:pPr>
              <w:jc w:val="center"/>
              <w:rPr>
                <w:rFonts w:cstheme="minorHAnsi"/>
                <w:b w:val="0"/>
                <w:bCs w:val="0"/>
                <w:sz w:val="18"/>
                <w:szCs w:val="18"/>
              </w:rPr>
            </w:pPr>
            <w:r w:rsidRPr="00D42743">
              <w:rPr>
                <w:rFonts w:cstheme="minorHAnsi"/>
                <w:sz w:val="18"/>
                <w:szCs w:val="18"/>
              </w:rPr>
              <w:t>Miejsca noclegowe* (w tys.)</w:t>
            </w:r>
          </w:p>
        </w:tc>
      </w:tr>
      <w:tr w:rsidR="006F4528" w:rsidRPr="006F4528" w14:paraId="3E34C21B"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455D9BB4" w14:textId="77777777" w:rsidR="006F4528" w:rsidRPr="00D42743" w:rsidRDefault="006F4528" w:rsidP="00735B68">
            <w:pPr>
              <w:rPr>
                <w:rFonts w:cstheme="minorHAnsi"/>
                <w:sz w:val="18"/>
                <w:szCs w:val="18"/>
              </w:rPr>
            </w:pPr>
            <w:r w:rsidRPr="00D42743">
              <w:rPr>
                <w:rFonts w:cstheme="minorHAnsi"/>
                <w:sz w:val="18"/>
                <w:szCs w:val="18"/>
              </w:rPr>
              <w:t>Ogółem</w:t>
            </w:r>
          </w:p>
        </w:tc>
        <w:tc>
          <w:tcPr>
            <w:tcW w:w="980" w:type="dxa"/>
            <w:vAlign w:val="center"/>
          </w:tcPr>
          <w:p w14:paraId="332B1B7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569,9</w:t>
            </w:r>
          </w:p>
        </w:tc>
        <w:tc>
          <w:tcPr>
            <w:tcW w:w="980" w:type="dxa"/>
            <w:vAlign w:val="center"/>
          </w:tcPr>
          <w:p w14:paraId="17CA4EBF"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610,1</w:t>
            </w:r>
          </w:p>
        </w:tc>
        <w:tc>
          <w:tcPr>
            <w:tcW w:w="980" w:type="dxa"/>
            <w:vAlign w:val="center"/>
          </w:tcPr>
          <w:p w14:paraId="473BC20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710,3</w:t>
            </w:r>
          </w:p>
        </w:tc>
        <w:tc>
          <w:tcPr>
            <w:tcW w:w="980" w:type="dxa"/>
            <w:vAlign w:val="center"/>
          </w:tcPr>
          <w:p w14:paraId="5A8FCC81"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798,7</w:t>
            </w:r>
          </w:p>
        </w:tc>
        <w:tc>
          <w:tcPr>
            <w:tcW w:w="980" w:type="dxa"/>
            <w:vAlign w:val="center"/>
          </w:tcPr>
          <w:p w14:paraId="59A546A8"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825,5</w:t>
            </w:r>
          </w:p>
        </w:tc>
        <w:tc>
          <w:tcPr>
            <w:tcW w:w="981" w:type="dxa"/>
            <w:vAlign w:val="center"/>
          </w:tcPr>
          <w:p w14:paraId="3494740C"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775,3</w:t>
            </w:r>
          </w:p>
        </w:tc>
      </w:tr>
      <w:tr w:rsidR="006F4528" w:rsidRPr="006F4528" w14:paraId="5021CCD5"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0907662C" w14:textId="77777777" w:rsidR="006F4528" w:rsidRPr="00D42743" w:rsidRDefault="006F4528" w:rsidP="00735B68">
            <w:pPr>
              <w:rPr>
                <w:rFonts w:cstheme="minorHAnsi"/>
                <w:sz w:val="18"/>
                <w:szCs w:val="18"/>
              </w:rPr>
            </w:pPr>
            <w:r w:rsidRPr="00D42743">
              <w:rPr>
                <w:rFonts w:cstheme="minorHAnsi"/>
                <w:sz w:val="18"/>
                <w:szCs w:val="18"/>
              </w:rPr>
              <w:t>Obiekty hotelowe</w:t>
            </w:r>
          </w:p>
        </w:tc>
        <w:tc>
          <w:tcPr>
            <w:tcW w:w="980" w:type="dxa"/>
            <w:vAlign w:val="center"/>
          </w:tcPr>
          <w:p w14:paraId="7BE749B9"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169,6</w:t>
            </w:r>
          </w:p>
        </w:tc>
        <w:tc>
          <w:tcPr>
            <w:tcW w:w="980" w:type="dxa"/>
            <w:vAlign w:val="center"/>
          </w:tcPr>
          <w:p w14:paraId="730430B2"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241,0</w:t>
            </w:r>
          </w:p>
        </w:tc>
        <w:tc>
          <w:tcPr>
            <w:tcW w:w="980" w:type="dxa"/>
            <w:vAlign w:val="center"/>
          </w:tcPr>
          <w:p w14:paraId="02CD0B7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301,6</w:t>
            </w:r>
          </w:p>
        </w:tc>
        <w:tc>
          <w:tcPr>
            <w:tcW w:w="980" w:type="dxa"/>
            <w:vAlign w:val="center"/>
          </w:tcPr>
          <w:p w14:paraId="0F3E6067"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353,8</w:t>
            </w:r>
          </w:p>
        </w:tc>
        <w:tc>
          <w:tcPr>
            <w:tcW w:w="980" w:type="dxa"/>
            <w:vAlign w:val="center"/>
          </w:tcPr>
          <w:p w14:paraId="6705066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368,9</w:t>
            </w:r>
          </w:p>
        </w:tc>
        <w:tc>
          <w:tcPr>
            <w:tcW w:w="981" w:type="dxa"/>
            <w:vAlign w:val="center"/>
          </w:tcPr>
          <w:p w14:paraId="46D40DC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354,6</w:t>
            </w:r>
          </w:p>
        </w:tc>
      </w:tr>
      <w:tr w:rsidR="006F4528" w:rsidRPr="006F4528" w14:paraId="7D6C6700"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3BBBE809" w14:textId="6A52E31E" w:rsidR="006F4528" w:rsidRPr="00D42743" w:rsidRDefault="009B3416" w:rsidP="00735B68">
            <w:pPr>
              <w:rPr>
                <w:rFonts w:cstheme="minorHAnsi"/>
                <w:i/>
                <w:sz w:val="18"/>
                <w:szCs w:val="18"/>
              </w:rPr>
            </w:pPr>
            <w:r>
              <w:rPr>
                <w:rFonts w:cstheme="minorHAnsi"/>
                <w:i/>
                <w:sz w:val="18"/>
                <w:szCs w:val="18"/>
              </w:rPr>
              <w:t xml:space="preserve">  </w:t>
            </w:r>
            <w:r w:rsidR="006F4528" w:rsidRPr="00D42743">
              <w:rPr>
                <w:rFonts w:cstheme="minorHAnsi"/>
                <w:i/>
                <w:sz w:val="18"/>
                <w:szCs w:val="18"/>
              </w:rPr>
              <w:t>w tym hotele</w:t>
            </w:r>
          </w:p>
        </w:tc>
        <w:tc>
          <w:tcPr>
            <w:tcW w:w="980" w:type="dxa"/>
            <w:vAlign w:val="center"/>
          </w:tcPr>
          <w:p w14:paraId="32C18740"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127,5</w:t>
            </w:r>
          </w:p>
        </w:tc>
        <w:tc>
          <w:tcPr>
            <w:tcW w:w="980" w:type="dxa"/>
            <w:vAlign w:val="center"/>
          </w:tcPr>
          <w:p w14:paraId="456E5DE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176,0</w:t>
            </w:r>
          </w:p>
        </w:tc>
        <w:tc>
          <w:tcPr>
            <w:tcW w:w="980" w:type="dxa"/>
            <w:vAlign w:val="center"/>
          </w:tcPr>
          <w:p w14:paraId="3614E426"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235,6</w:t>
            </w:r>
          </w:p>
        </w:tc>
        <w:tc>
          <w:tcPr>
            <w:tcW w:w="980" w:type="dxa"/>
            <w:vAlign w:val="center"/>
          </w:tcPr>
          <w:p w14:paraId="5A8143FE"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lang w:val="en-US"/>
              </w:rPr>
            </w:pPr>
            <w:r w:rsidRPr="00D42743">
              <w:rPr>
                <w:rFonts w:cstheme="minorHAnsi"/>
                <w:i/>
                <w:sz w:val="18"/>
                <w:szCs w:val="18"/>
                <w:lang w:val="en-US"/>
              </w:rPr>
              <w:t>273,8</w:t>
            </w:r>
          </w:p>
        </w:tc>
        <w:tc>
          <w:tcPr>
            <w:tcW w:w="980" w:type="dxa"/>
            <w:vAlign w:val="center"/>
          </w:tcPr>
          <w:p w14:paraId="2C1A5E56"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D42743">
              <w:rPr>
                <w:rFonts w:cstheme="minorHAnsi"/>
                <w:i/>
                <w:sz w:val="18"/>
                <w:szCs w:val="18"/>
              </w:rPr>
              <w:t>286,2</w:t>
            </w:r>
          </w:p>
        </w:tc>
        <w:tc>
          <w:tcPr>
            <w:tcW w:w="981" w:type="dxa"/>
            <w:vAlign w:val="center"/>
          </w:tcPr>
          <w:p w14:paraId="0AA1D4C6"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sz w:val="18"/>
                <w:szCs w:val="18"/>
              </w:rPr>
            </w:pPr>
            <w:r w:rsidRPr="00D42743">
              <w:rPr>
                <w:rFonts w:cstheme="minorHAnsi"/>
                <w:i/>
                <w:sz w:val="18"/>
                <w:szCs w:val="18"/>
              </w:rPr>
              <w:t>276,4</w:t>
            </w:r>
          </w:p>
        </w:tc>
      </w:tr>
      <w:tr w:rsidR="006F4528" w:rsidRPr="006F4528" w14:paraId="71D19F6F"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42B8583F" w14:textId="77777777" w:rsidR="006F4528" w:rsidRPr="00D42743" w:rsidRDefault="006F4528" w:rsidP="00735B68">
            <w:pPr>
              <w:rPr>
                <w:rFonts w:cstheme="minorHAnsi"/>
                <w:sz w:val="18"/>
                <w:szCs w:val="18"/>
              </w:rPr>
            </w:pPr>
            <w:r w:rsidRPr="00D42743">
              <w:rPr>
                <w:rFonts w:cstheme="minorHAnsi"/>
                <w:sz w:val="18"/>
                <w:szCs w:val="18"/>
              </w:rPr>
              <w:t>Pozostałe obiekty</w:t>
            </w:r>
          </w:p>
        </w:tc>
        <w:tc>
          <w:tcPr>
            <w:tcW w:w="980" w:type="dxa"/>
            <w:vAlign w:val="center"/>
          </w:tcPr>
          <w:p w14:paraId="351E3C6F"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400,3</w:t>
            </w:r>
          </w:p>
        </w:tc>
        <w:tc>
          <w:tcPr>
            <w:tcW w:w="980" w:type="dxa"/>
            <w:vAlign w:val="center"/>
          </w:tcPr>
          <w:p w14:paraId="6401361B"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369,1</w:t>
            </w:r>
          </w:p>
        </w:tc>
        <w:tc>
          <w:tcPr>
            <w:tcW w:w="980" w:type="dxa"/>
            <w:vAlign w:val="center"/>
          </w:tcPr>
          <w:p w14:paraId="1D85841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408,7</w:t>
            </w:r>
          </w:p>
        </w:tc>
        <w:tc>
          <w:tcPr>
            <w:tcW w:w="980" w:type="dxa"/>
            <w:vAlign w:val="center"/>
          </w:tcPr>
          <w:p w14:paraId="26298834"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444,9</w:t>
            </w:r>
          </w:p>
        </w:tc>
        <w:tc>
          <w:tcPr>
            <w:tcW w:w="980" w:type="dxa"/>
            <w:vAlign w:val="center"/>
          </w:tcPr>
          <w:p w14:paraId="225AF38E"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456,6</w:t>
            </w:r>
          </w:p>
        </w:tc>
        <w:tc>
          <w:tcPr>
            <w:tcW w:w="981" w:type="dxa"/>
            <w:vAlign w:val="center"/>
          </w:tcPr>
          <w:p w14:paraId="163E5F10"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420,7</w:t>
            </w:r>
          </w:p>
        </w:tc>
      </w:tr>
      <w:tr w:rsidR="00104BD9" w:rsidRPr="006F4528" w14:paraId="24E24190" w14:textId="77777777" w:rsidTr="00B53A0C">
        <w:trPr>
          <w:trHeight w:val="283"/>
        </w:trPr>
        <w:tc>
          <w:tcPr>
            <w:cnfStyle w:val="001000000000" w:firstRow="0" w:lastRow="0" w:firstColumn="1" w:lastColumn="0" w:oddVBand="0" w:evenVBand="0" w:oddHBand="0" w:evenHBand="0" w:firstRowFirstColumn="0" w:firstRowLastColumn="0" w:lastRowFirstColumn="0" w:lastRowLastColumn="0"/>
            <w:tcW w:w="9062" w:type="dxa"/>
            <w:gridSpan w:val="7"/>
            <w:vAlign w:val="center"/>
          </w:tcPr>
          <w:p w14:paraId="188E4463" w14:textId="5741E5F7" w:rsidR="00104BD9" w:rsidRPr="00D42743" w:rsidRDefault="00104BD9" w:rsidP="007F1CB9">
            <w:pPr>
              <w:jc w:val="center"/>
              <w:rPr>
                <w:rFonts w:cstheme="minorHAnsi"/>
                <w:b w:val="0"/>
                <w:bCs w:val="0"/>
                <w:sz w:val="18"/>
                <w:szCs w:val="18"/>
              </w:rPr>
            </w:pPr>
            <w:r w:rsidRPr="00D42743">
              <w:rPr>
                <w:rFonts w:cstheme="minorHAnsi"/>
                <w:sz w:val="18"/>
                <w:szCs w:val="18"/>
              </w:rPr>
              <w:t>Noclegi</w:t>
            </w:r>
          </w:p>
        </w:tc>
      </w:tr>
      <w:tr w:rsidR="006F4528" w:rsidRPr="006F4528" w14:paraId="5201BFC7"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16FA029D" w14:textId="77777777" w:rsidR="006F4528" w:rsidRPr="00D42743" w:rsidRDefault="006F4528" w:rsidP="00566D31">
            <w:pPr>
              <w:rPr>
                <w:rFonts w:cstheme="minorHAnsi"/>
                <w:sz w:val="18"/>
                <w:szCs w:val="18"/>
              </w:rPr>
            </w:pPr>
            <w:r w:rsidRPr="00D42743">
              <w:rPr>
                <w:rFonts w:cstheme="minorHAnsi"/>
                <w:sz w:val="18"/>
                <w:szCs w:val="18"/>
              </w:rPr>
              <w:t>Udzielone noclegi (w tys.)</w:t>
            </w:r>
          </w:p>
        </w:tc>
        <w:tc>
          <w:tcPr>
            <w:tcW w:w="980" w:type="dxa"/>
            <w:vAlign w:val="center"/>
          </w:tcPr>
          <w:p w14:paraId="1042F796"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48 618,4</w:t>
            </w:r>
          </w:p>
        </w:tc>
        <w:tc>
          <w:tcPr>
            <w:tcW w:w="980" w:type="dxa"/>
            <w:vAlign w:val="center"/>
          </w:tcPr>
          <w:p w14:paraId="7420F1F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55 794,5</w:t>
            </w:r>
          </w:p>
        </w:tc>
        <w:tc>
          <w:tcPr>
            <w:tcW w:w="980" w:type="dxa"/>
            <w:vAlign w:val="center"/>
          </w:tcPr>
          <w:p w14:paraId="2EEF343F"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71 234,4</w:t>
            </w:r>
          </w:p>
        </w:tc>
        <w:tc>
          <w:tcPr>
            <w:tcW w:w="980" w:type="dxa"/>
            <w:vAlign w:val="center"/>
          </w:tcPr>
          <w:p w14:paraId="29B432A0"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88 860,5</w:t>
            </w:r>
          </w:p>
        </w:tc>
        <w:tc>
          <w:tcPr>
            <w:tcW w:w="980" w:type="dxa"/>
            <w:vAlign w:val="center"/>
          </w:tcPr>
          <w:p w14:paraId="0106E08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93 343,0</w:t>
            </w:r>
          </w:p>
        </w:tc>
        <w:tc>
          <w:tcPr>
            <w:tcW w:w="981" w:type="dxa"/>
            <w:vAlign w:val="center"/>
          </w:tcPr>
          <w:p w14:paraId="7FE01139"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51377,2</w:t>
            </w:r>
          </w:p>
        </w:tc>
      </w:tr>
      <w:tr w:rsidR="006F4528" w:rsidRPr="006F4528" w14:paraId="4AC27476"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28271547" w14:textId="6D5BF8DA" w:rsidR="006F4528" w:rsidRPr="00D42743" w:rsidRDefault="009B3416" w:rsidP="00566D31">
            <w:pPr>
              <w:rPr>
                <w:rFonts w:cstheme="minorHAnsi"/>
                <w:i/>
                <w:iCs/>
                <w:sz w:val="18"/>
                <w:szCs w:val="18"/>
              </w:rPr>
            </w:pPr>
            <w:r>
              <w:rPr>
                <w:rFonts w:cstheme="minorHAnsi"/>
                <w:i/>
                <w:iCs/>
                <w:sz w:val="18"/>
                <w:szCs w:val="18"/>
              </w:rPr>
              <w:t xml:space="preserve">  </w:t>
            </w:r>
            <w:r w:rsidR="006F4528" w:rsidRPr="00D42743">
              <w:rPr>
                <w:rFonts w:cstheme="minorHAnsi"/>
                <w:i/>
                <w:iCs/>
                <w:sz w:val="18"/>
                <w:szCs w:val="18"/>
              </w:rPr>
              <w:t>w tym turystom zagranicznym</w:t>
            </w:r>
          </w:p>
        </w:tc>
        <w:tc>
          <w:tcPr>
            <w:tcW w:w="980" w:type="dxa"/>
            <w:vAlign w:val="center"/>
          </w:tcPr>
          <w:p w14:paraId="7E68126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10 542,4</w:t>
            </w:r>
          </w:p>
        </w:tc>
        <w:tc>
          <w:tcPr>
            <w:tcW w:w="980" w:type="dxa"/>
            <w:vAlign w:val="center"/>
          </w:tcPr>
          <w:p w14:paraId="7997739A"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10 064,6</w:t>
            </w:r>
          </w:p>
        </w:tc>
        <w:tc>
          <w:tcPr>
            <w:tcW w:w="980" w:type="dxa"/>
            <w:vAlign w:val="center"/>
          </w:tcPr>
          <w:p w14:paraId="423AC7F7"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13 757,7</w:t>
            </w:r>
          </w:p>
        </w:tc>
        <w:tc>
          <w:tcPr>
            <w:tcW w:w="980" w:type="dxa"/>
            <w:vAlign w:val="center"/>
          </w:tcPr>
          <w:p w14:paraId="641633A8"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17 742,7</w:t>
            </w:r>
          </w:p>
        </w:tc>
        <w:tc>
          <w:tcPr>
            <w:tcW w:w="980" w:type="dxa"/>
            <w:vAlign w:val="center"/>
          </w:tcPr>
          <w:p w14:paraId="42C8A792"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D42743">
              <w:rPr>
                <w:rFonts w:cstheme="minorHAnsi"/>
                <w:i/>
                <w:iCs/>
                <w:sz w:val="18"/>
                <w:szCs w:val="18"/>
              </w:rPr>
              <w:t>18 684,0</w:t>
            </w:r>
          </w:p>
        </w:tc>
        <w:tc>
          <w:tcPr>
            <w:tcW w:w="981" w:type="dxa"/>
            <w:vAlign w:val="center"/>
          </w:tcPr>
          <w:p w14:paraId="26D16954"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D42743">
              <w:rPr>
                <w:rFonts w:cstheme="minorHAnsi"/>
                <w:i/>
                <w:iCs/>
                <w:sz w:val="18"/>
                <w:szCs w:val="18"/>
              </w:rPr>
              <w:t>6623,0</w:t>
            </w:r>
          </w:p>
        </w:tc>
      </w:tr>
      <w:tr w:rsidR="006F4528" w:rsidRPr="006F4528" w14:paraId="390DB32C"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20FAAE82" w14:textId="77777777" w:rsidR="006F4528" w:rsidRPr="00D42743" w:rsidRDefault="006F4528" w:rsidP="00566D31">
            <w:pPr>
              <w:rPr>
                <w:rFonts w:cstheme="minorHAnsi"/>
                <w:sz w:val="18"/>
                <w:szCs w:val="18"/>
              </w:rPr>
            </w:pPr>
            <w:r w:rsidRPr="00D42743">
              <w:rPr>
                <w:rFonts w:cstheme="minorHAnsi"/>
                <w:sz w:val="18"/>
                <w:szCs w:val="18"/>
              </w:rPr>
              <w:t>Obiekty hotelowe</w:t>
            </w:r>
          </w:p>
        </w:tc>
        <w:tc>
          <w:tcPr>
            <w:tcW w:w="980" w:type="dxa"/>
            <w:vAlign w:val="center"/>
          </w:tcPr>
          <w:p w14:paraId="4C056A52"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20 333,0</w:t>
            </w:r>
          </w:p>
        </w:tc>
        <w:tc>
          <w:tcPr>
            <w:tcW w:w="980" w:type="dxa"/>
            <w:vAlign w:val="center"/>
          </w:tcPr>
          <w:p w14:paraId="06CCB55E"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27 140,8</w:t>
            </w:r>
          </w:p>
        </w:tc>
        <w:tc>
          <w:tcPr>
            <w:tcW w:w="980" w:type="dxa"/>
            <w:vAlign w:val="center"/>
          </w:tcPr>
          <w:p w14:paraId="76568800"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38 804,8</w:t>
            </w:r>
          </w:p>
        </w:tc>
        <w:tc>
          <w:tcPr>
            <w:tcW w:w="980" w:type="dxa"/>
            <w:vAlign w:val="center"/>
          </w:tcPr>
          <w:p w14:paraId="70AC5252"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50 430,0</w:t>
            </w:r>
          </w:p>
        </w:tc>
        <w:tc>
          <w:tcPr>
            <w:tcW w:w="980" w:type="dxa"/>
            <w:vAlign w:val="center"/>
          </w:tcPr>
          <w:p w14:paraId="1DDF0A67"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53 717,0</w:t>
            </w:r>
          </w:p>
        </w:tc>
        <w:tc>
          <w:tcPr>
            <w:tcW w:w="981" w:type="dxa"/>
            <w:vAlign w:val="center"/>
          </w:tcPr>
          <w:p w14:paraId="109ED994"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28295,3</w:t>
            </w:r>
          </w:p>
        </w:tc>
      </w:tr>
      <w:tr w:rsidR="006F4528" w:rsidRPr="006F4528" w14:paraId="581BE3B4"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tcBorders>
              <w:bottom w:val="single" w:sz="4" w:space="0" w:color="999999" w:themeColor="text1" w:themeTint="66"/>
            </w:tcBorders>
            <w:vAlign w:val="center"/>
          </w:tcPr>
          <w:p w14:paraId="5D9F5F7F" w14:textId="407FE5E9" w:rsidR="006F4528" w:rsidRPr="00D42743" w:rsidRDefault="009B3416" w:rsidP="00566D31">
            <w:pPr>
              <w:rPr>
                <w:rFonts w:cstheme="minorHAnsi"/>
                <w:i/>
                <w:iCs/>
                <w:sz w:val="18"/>
                <w:szCs w:val="18"/>
              </w:rPr>
            </w:pPr>
            <w:r>
              <w:rPr>
                <w:rFonts w:cstheme="minorHAnsi"/>
                <w:i/>
                <w:iCs/>
                <w:sz w:val="18"/>
                <w:szCs w:val="18"/>
              </w:rPr>
              <w:t xml:space="preserve">  </w:t>
            </w:r>
            <w:r w:rsidR="006F4528" w:rsidRPr="00D42743">
              <w:rPr>
                <w:rFonts w:cstheme="minorHAnsi"/>
                <w:i/>
                <w:iCs/>
                <w:sz w:val="18"/>
                <w:szCs w:val="18"/>
              </w:rPr>
              <w:t>w tym hotele</w:t>
            </w:r>
          </w:p>
        </w:tc>
        <w:tc>
          <w:tcPr>
            <w:tcW w:w="980" w:type="dxa"/>
            <w:tcBorders>
              <w:bottom w:val="single" w:sz="4" w:space="0" w:color="999999" w:themeColor="text1" w:themeTint="66"/>
            </w:tcBorders>
            <w:vAlign w:val="center"/>
          </w:tcPr>
          <w:p w14:paraId="461F7409"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16 335,2</w:t>
            </w:r>
          </w:p>
        </w:tc>
        <w:tc>
          <w:tcPr>
            <w:tcW w:w="980" w:type="dxa"/>
            <w:tcBorders>
              <w:bottom w:val="single" w:sz="4" w:space="0" w:color="999999" w:themeColor="text1" w:themeTint="66"/>
            </w:tcBorders>
            <w:vAlign w:val="center"/>
          </w:tcPr>
          <w:p w14:paraId="3FB3627F"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27 140,8</w:t>
            </w:r>
          </w:p>
        </w:tc>
        <w:tc>
          <w:tcPr>
            <w:tcW w:w="980" w:type="dxa"/>
            <w:tcBorders>
              <w:bottom w:val="single" w:sz="4" w:space="0" w:color="999999" w:themeColor="text1" w:themeTint="66"/>
            </w:tcBorders>
            <w:vAlign w:val="center"/>
          </w:tcPr>
          <w:p w14:paraId="5FD68B2F"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32 674,8</w:t>
            </w:r>
          </w:p>
        </w:tc>
        <w:tc>
          <w:tcPr>
            <w:tcW w:w="980" w:type="dxa"/>
            <w:tcBorders>
              <w:bottom w:val="single" w:sz="4" w:space="0" w:color="999999" w:themeColor="text1" w:themeTint="66"/>
            </w:tcBorders>
            <w:vAlign w:val="center"/>
          </w:tcPr>
          <w:p w14:paraId="44A67D3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lang w:val="en-US"/>
              </w:rPr>
            </w:pPr>
            <w:r w:rsidRPr="00D42743">
              <w:rPr>
                <w:rFonts w:cstheme="minorHAnsi"/>
                <w:i/>
                <w:iCs/>
                <w:sz w:val="18"/>
                <w:szCs w:val="18"/>
                <w:lang w:val="en-US"/>
              </w:rPr>
              <w:t>42 068,0</w:t>
            </w:r>
          </w:p>
        </w:tc>
        <w:tc>
          <w:tcPr>
            <w:tcW w:w="980" w:type="dxa"/>
            <w:tcBorders>
              <w:bottom w:val="single" w:sz="4" w:space="0" w:color="999999" w:themeColor="text1" w:themeTint="66"/>
            </w:tcBorders>
            <w:vAlign w:val="center"/>
          </w:tcPr>
          <w:p w14:paraId="421F6DF8"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D42743">
              <w:rPr>
                <w:rFonts w:cstheme="minorHAnsi"/>
                <w:i/>
                <w:iCs/>
                <w:sz w:val="18"/>
                <w:szCs w:val="18"/>
              </w:rPr>
              <w:t>44 848,0</w:t>
            </w:r>
          </w:p>
        </w:tc>
        <w:tc>
          <w:tcPr>
            <w:tcW w:w="981" w:type="dxa"/>
            <w:tcBorders>
              <w:bottom w:val="single" w:sz="4" w:space="0" w:color="999999" w:themeColor="text1" w:themeTint="66"/>
            </w:tcBorders>
            <w:vAlign w:val="center"/>
          </w:tcPr>
          <w:p w14:paraId="4ACA90A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i/>
                <w:iCs/>
                <w:sz w:val="18"/>
                <w:szCs w:val="18"/>
              </w:rPr>
            </w:pPr>
            <w:r w:rsidRPr="00D42743">
              <w:rPr>
                <w:rFonts w:cstheme="minorHAnsi"/>
                <w:i/>
                <w:iCs/>
                <w:sz w:val="18"/>
                <w:szCs w:val="18"/>
              </w:rPr>
              <w:t>22973,4</w:t>
            </w:r>
          </w:p>
        </w:tc>
      </w:tr>
      <w:tr w:rsidR="006F4528" w:rsidRPr="006F4528" w14:paraId="36897FD0" w14:textId="77777777" w:rsidTr="00B53A0C">
        <w:trPr>
          <w:trHeight w:val="312"/>
        </w:trPr>
        <w:tc>
          <w:tcPr>
            <w:cnfStyle w:val="001000000000" w:firstRow="0" w:lastRow="0" w:firstColumn="1" w:lastColumn="0" w:oddVBand="0" w:evenVBand="0" w:oddHBand="0" w:evenHBand="0" w:firstRowFirstColumn="0" w:firstRowLastColumn="0" w:lastRowFirstColumn="0" w:lastRowLastColumn="0"/>
            <w:tcW w:w="3181" w:type="dxa"/>
            <w:vAlign w:val="center"/>
          </w:tcPr>
          <w:p w14:paraId="40FB6175" w14:textId="77777777" w:rsidR="006F4528" w:rsidRPr="00D42743" w:rsidRDefault="006F4528" w:rsidP="00566D31">
            <w:pPr>
              <w:rPr>
                <w:rFonts w:cstheme="minorHAnsi"/>
                <w:sz w:val="18"/>
                <w:szCs w:val="18"/>
              </w:rPr>
            </w:pPr>
            <w:r w:rsidRPr="00D42743">
              <w:rPr>
                <w:rFonts w:cstheme="minorHAnsi"/>
                <w:sz w:val="18"/>
                <w:szCs w:val="18"/>
              </w:rPr>
              <w:t>Pozostałe obiekty</w:t>
            </w:r>
          </w:p>
        </w:tc>
        <w:tc>
          <w:tcPr>
            <w:tcW w:w="980" w:type="dxa"/>
            <w:vAlign w:val="center"/>
          </w:tcPr>
          <w:p w14:paraId="06D6A305"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28 285,4</w:t>
            </w:r>
          </w:p>
        </w:tc>
        <w:tc>
          <w:tcPr>
            <w:tcW w:w="980" w:type="dxa"/>
            <w:vAlign w:val="center"/>
          </w:tcPr>
          <w:p w14:paraId="73389E4D"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28 653,7</w:t>
            </w:r>
          </w:p>
        </w:tc>
        <w:tc>
          <w:tcPr>
            <w:tcW w:w="980" w:type="dxa"/>
            <w:vAlign w:val="center"/>
          </w:tcPr>
          <w:p w14:paraId="5E1DE59C"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32 429,6</w:t>
            </w:r>
          </w:p>
        </w:tc>
        <w:tc>
          <w:tcPr>
            <w:tcW w:w="980" w:type="dxa"/>
            <w:vAlign w:val="center"/>
          </w:tcPr>
          <w:p w14:paraId="3BFE7268"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lang w:val="en-US"/>
              </w:rPr>
            </w:pPr>
            <w:r w:rsidRPr="00D42743">
              <w:rPr>
                <w:rFonts w:cstheme="minorHAnsi"/>
                <w:sz w:val="18"/>
                <w:szCs w:val="18"/>
                <w:lang w:val="en-US"/>
              </w:rPr>
              <w:t>38 430,5</w:t>
            </w:r>
          </w:p>
        </w:tc>
        <w:tc>
          <w:tcPr>
            <w:tcW w:w="980" w:type="dxa"/>
            <w:vAlign w:val="center"/>
          </w:tcPr>
          <w:p w14:paraId="2B77C65E"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9 626,0</w:t>
            </w:r>
          </w:p>
        </w:tc>
        <w:tc>
          <w:tcPr>
            <w:tcW w:w="981" w:type="dxa"/>
            <w:vAlign w:val="center"/>
          </w:tcPr>
          <w:p w14:paraId="2D01BBAC" w14:textId="77777777" w:rsidR="006F4528" w:rsidRPr="00D42743" w:rsidRDefault="006F4528" w:rsidP="00735B68">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D42743">
              <w:rPr>
                <w:rFonts w:cstheme="minorHAnsi"/>
                <w:sz w:val="18"/>
                <w:szCs w:val="18"/>
              </w:rPr>
              <w:t>23081,9</w:t>
            </w:r>
          </w:p>
        </w:tc>
      </w:tr>
    </w:tbl>
    <w:p w14:paraId="53F92F98" w14:textId="77777777" w:rsidR="006F4528" w:rsidRPr="006F4528" w:rsidRDefault="006F4528" w:rsidP="00AD4B36">
      <w:pPr>
        <w:pStyle w:val="rdo"/>
      </w:pPr>
      <w:r w:rsidRPr="006F4528">
        <w:t>* stan na 31 VII</w:t>
      </w:r>
    </w:p>
    <w:p w14:paraId="19A3BCAD" w14:textId="77777777" w:rsidR="006F4528" w:rsidRPr="00A2658F" w:rsidRDefault="006F4528" w:rsidP="00A2658F">
      <w:pPr>
        <w:pStyle w:val="rdo"/>
      </w:pPr>
      <w:r w:rsidRPr="00A2658F">
        <w:t xml:space="preserve">Źródło: Rocznik Statystyczny Rzeczpospolitej Polskiej 2019, Główny Urząd Statystyczny, Warszawa 2019, s. 408-409, </w:t>
      </w:r>
      <w:bookmarkStart w:id="135" w:name="_Hlk112854684"/>
      <w:bookmarkStart w:id="136" w:name="_Hlk56976393"/>
      <w:r w:rsidRPr="00A2658F">
        <w:t>Rocznik Statystyczny Rzeczpospolitej Polskiej 2016, Główny Urząd Statystyczny, Warszawa 2016, s. 408-409</w:t>
      </w:r>
      <w:bookmarkEnd w:id="135"/>
      <w:r w:rsidRPr="00A2658F">
        <w:t xml:space="preserve">; </w:t>
      </w:r>
      <w:bookmarkEnd w:id="136"/>
      <w:r w:rsidRPr="00A2658F">
        <w:t>Rocznik Statystyczny Rzeczpospolitej Polskiej 2021, Główny Urząd Statystyczny, Warszawa 2021, s. 409-410;</w:t>
      </w:r>
    </w:p>
    <w:p w14:paraId="398A0640" w14:textId="77777777" w:rsidR="006F4528" w:rsidRPr="00A2658F" w:rsidRDefault="006F4528" w:rsidP="00A2658F">
      <w:pPr>
        <w:pStyle w:val="rdo"/>
      </w:pPr>
      <w:r w:rsidRPr="00A2658F">
        <w:t>W 2005 i 2010 bez pokoi gościnnych i kwater agroturystycznych, w latach 2015 i 2018, 2019 i 2020 dane dotyczą obiektów posiadających 10 i więcej miejsc noclegowych</w:t>
      </w:r>
    </w:p>
    <w:p w14:paraId="52B07F36" w14:textId="0D2E60B6" w:rsidR="006F4528" w:rsidRPr="00474B74" w:rsidRDefault="006F4528" w:rsidP="00AD4B36">
      <w:pPr>
        <w:pStyle w:val="tekst"/>
      </w:pPr>
      <w:r w:rsidRPr="00474B74">
        <w:t xml:space="preserve">Dane zaprezentowane w </w:t>
      </w:r>
      <w:r w:rsidRPr="0071322C">
        <w:t xml:space="preserve">tabeli </w:t>
      </w:r>
      <w:r w:rsidR="00305F78" w:rsidRPr="0071322C">
        <w:t>5.</w:t>
      </w:r>
      <w:r w:rsidRPr="0071322C">
        <w:t>1</w:t>
      </w:r>
      <w:r w:rsidRPr="00474B74">
        <w:t xml:space="preserve"> wskazują na systematyczny rozwój zarówno bazy noclegowej jak i ruchu turystycznego w latach 2005-2019. Z oczywistych przyczyn, związanych z pandemią Covid-19, tendencja ta uległa załamaniu w 2020 r. </w:t>
      </w:r>
      <w:r w:rsidRPr="00305F78">
        <w:t>Szczególnie dynamicznie</w:t>
      </w:r>
      <w:r w:rsidRPr="00474B74">
        <w:t xml:space="preserve"> następował przyrost miejsc noclegowych w obiektach hotelowych, a zwłaszcza w hotelach, w przypadku których można zaobserwować przeszło dwukrotny wzrost. Sytuacja taka nie powinna zaskakiwać wobec licznych inwestycji w nowe obiekty, które skutkowały silnym rozwojem, ale i restrukturyzacją bazy noclegowej w Polsce.</w:t>
      </w:r>
    </w:p>
    <w:p w14:paraId="580D1774" w14:textId="2DEFD1F4" w:rsidR="006F4528" w:rsidRPr="00474B74" w:rsidRDefault="006F4528" w:rsidP="00AD4B36">
      <w:pPr>
        <w:pStyle w:val="tekst"/>
      </w:pPr>
      <w:r w:rsidRPr="00474B74">
        <w:t xml:space="preserve">Należy podkreślić, że wpływ pandemii w poszczególnych kategoriach, które zostały przedstawione w </w:t>
      </w:r>
      <w:r w:rsidRPr="0071322C">
        <w:t>tabeli</w:t>
      </w:r>
      <w:r w:rsidR="00305F78" w:rsidRPr="0071322C">
        <w:t xml:space="preserve"> 5.</w:t>
      </w:r>
      <w:r w:rsidRPr="0071322C">
        <w:t>1</w:t>
      </w:r>
      <w:r w:rsidRPr="00474B74">
        <w:t xml:space="preserve"> był różny. W szczególnie znaczącym stopniu spadło wykorzystanie bazy noclegowej, zwłaszcza przez turystów zagranicznych. Przykładowo wskazuje się, że ruch na polskich lotniskach był w 2020 r. o 70% mniejszy niż w roku 2019</w:t>
      </w:r>
      <w:r w:rsidRPr="00474B74">
        <w:rPr>
          <w:vertAlign w:val="superscript"/>
        </w:rPr>
        <w:footnoteReference w:id="11"/>
      </w:r>
      <w:r w:rsidRPr="00474B74">
        <w:t xml:space="preserve">. Jednocześnie w przypadku zarówno liczby obiektów noclegowych (w tym hoteli) jak i miejsc noclegowych w roku 2020 można zaobserwować nieznaczny spadek. Jest on związany z likwidacją, lub wstrzymaniem świadczenia usług w części obiektów. Należy jednak pamiętać, że w czasie tym, pomimo ograniczeń pandemicznych powstawały nowe obiekty. Proces inwestycyjny jest procesem długotrwałym, którego nakłady w przypadku </w:t>
      </w:r>
      <w:r w:rsidRPr="00474B74">
        <w:lastRenderedPageBreak/>
        <w:t>dużych obiektów mają zwrócić się w okresie wielu lat. Nie należało zatem oczekiwać, że Covid-19 wstrzyma szereg inwestycji. Powinno się jednak podkreślić, że w Polsce szczyt inwestycji przypadł w pierwszym półroczu 2019 r., nakłady przedsiębiorstw badanych przez GUS wyniosły 65 mld PLN, co stanowiło wzrost o 19% r/r</w:t>
      </w:r>
      <w:r w:rsidRPr="00474B74">
        <w:rPr>
          <w:vertAlign w:val="superscript"/>
        </w:rPr>
        <w:footnoteReference w:id="12"/>
      </w:r>
      <w:r w:rsidRPr="00474B74">
        <w:t>. Wskazywano, że zwłaszcza na rynku hotelowym po spokojnym w zakresie inwestycji 2020 roku, w 2021 r. będzie miało miejsce więcej transakcji, zwłaszcza w przypadku obiektów silniej dotkniętych poprzez ograniczenia związane z pandemią. Podkreśla się jednak, że sytuacja taka nie miała miejsca. Całkowita wartość inwestycji osiągnęła w tym roku 3 wynik w historii, przebijając o 13% wynik z 2020 r., ustępując jednocześnie wartościom z 2018 i 2019 r.</w:t>
      </w:r>
      <w:r w:rsidRPr="00474B74">
        <w:rPr>
          <w:vertAlign w:val="superscript"/>
        </w:rPr>
        <w:footnoteReference w:id="13"/>
      </w:r>
      <w:r w:rsidRPr="00474B74">
        <w:t>.</w:t>
      </w:r>
    </w:p>
    <w:p w14:paraId="677F895D" w14:textId="5DF9E2C8" w:rsidR="006F4528" w:rsidRPr="00474B74" w:rsidRDefault="006F4528" w:rsidP="00AD4B36">
      <w:pPr>
        <w:pStyle w:val="nazwa"/>
      </w:pPr>
      <w:bookmarkStart w:id="137" w:name="_Toc115437494"/>
      <w:r w:rsidRPr="0071322C">
        <w:t xml:space="preserve">Tabela </w:t>
      </w:r>
      <w:r w:rsidR="00305F78" w:rsidRPr="0071322C">
        <w:t>5.</w:t>
      </w:r>
      <w:r w:rsidRPr="0071322C">
        <w:t>2</w:t>
      </w:r>
      <w:r w:rsidRPr="00474B74">
        <w:t xml:space="preserve"> </w:t>
      </w:r>
      <w:bookmarkStart w:id="138" w:name="_Hlk109744670"/>
      <w:r w:rsidRPr="00474B74">
        <w:t xml:space="preserve">Porównanie </w:t>
      </w:r>
      <w:r w:rsidR="00474B74">
        <w:t>liczby</w:t>
      </w:r>
      <w:r w:rsidRPr="00474B74">
        <w:t xml:space="preserve"> hoteli i miejsc noclegowych w nich w latach 2018-2019 wg województw</w:t>
      </w:r>
      <w:bookmarkEnd w:id="137"/>
    </w:p>
    <w:tbl>
      <w:tblPr>
        <w:tblStyle w:val="Tabelasiatki1jasna"/>
        <w:tblW w:w="0" w:type="auto"/>
        <w:tblLook w:val="06E0" w:firstRow="1" w:lastRow="1" w:firstColumn="1" w:lastColumn="0" w:noHBand="1" w:noVBand="1"/>
      </w:tblPr>
      <w:tblGrid>
        <w:gridCol w:w="1862"/>
        <w:gridCol w:w="1140"/>
        <w:gridCol w:w="1140"/>
        <w:gridCol w:w="1183"/>
        <w:gridCol w:w="1277"/>
        <w:gridCol w:w="1277"/>
        <w:gridCol w:w="1183"/>
      </w:tblGrid>
      <w:tr w:rsidR="006F4528" w:rsidRPr="006F4528" w14:paraId="4CE9A638" w14:textId="77777777" w:rsidTr="00267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dxa"/>
          </w:tcPr>
          <w:bookmarkEnd w:id="138"/>
          <w:p w14:paraId="22C59200" w14:textId="77777777" w:rsidR="006F4528" w:rsidRPr="007F1CB9" w:rsidRDefault="006F4528" w:rsidP="006F4528">
            <w:pPr>
              <w:jc w:val="center"/>
              <w:rPr>
                <w:rFonts w:cstheme="minorHAnsi"/>
                <w:sz w:val="18"/>
                <w:szCs w:val="18"/>
              </w:rPr>
            </w:pPr>
            <w:r w:rsidRPr="007F1CB9">
              <w:rPr>
                <w:rFonts w:cstheme="minorHAnsi"/>
                <w:sz w:val="18"/>
                <w:szCs w:val="18"/>
              </w:rPr>
              <w:t>województwo</w:t>
            </w:r>
          </w:p>
        </w:tc>
        <w:tc>
          <w:tcPr>
            <w:tcW w:w="1171" w:type="dxa"/>
            <w:vAlign w:val="bottom"/>
          </w:tcPr>
          <w:p w14:paraId="107EBBFB" w14:textId="77777777" w:rsidR="006F4528" w:rsidRPr="007F1CB9" w:rsidRDefault="006F4528" w:rsidP="00267E7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Ilość hoteli 2018</w:t>
            </w:r>
          </w:p>
        </w:tc>
        <w:tc>
          <w:tcPr>
            <w:tcW w:w="1171" w:type="dxa"/>
            <w:vAlign w:val="bottom"/>
          </w:tcPr>
          <w:p w14:paraId="68FE4594" w14:textId="77777777" w:rsidR="006F4528" w:rsidRPr="007F1CB9" w:rsidRDefault="006F4528" w:rsidP="00267E7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Ilość hoteli 2019</w:t>
            </w:r>
          </w:p>
        </w:tc>
        <w:tc>
          <w:tcPr>
            <w:tcW w:w="1206" w:type="dxa"/>
            <w:vAlign w:val="bottom"/>
          </w:tcPr>
          <w:p w14:paraId="7DC01DD9" w14:textId="77777777" w:rsidR="006F4528" w:rsidRPr="007F1CB9" w:rsidRDefault="006F4528" w:rsidP="00267E7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Zmiana %</w:t>
            </w:r>
          </w:p>
        </w:tc>
        <w:tc>
          <w:tcPr>
            <w:tcW w:w="1309" w:type="dxa"/>
            <w:vAlign w:val="bottom"/>
          </w:tcPr>
          <w:p w14:paraId="4E45FAED" w14:textId="77777777" w:rsidR="006F4528" w:rsidRPr="007F1CB9" w:rsidRDefault="006F4528" w:rsidP="00267E7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Ilość miejsc noclegowych 2018 (w tys.)</w:t>
            </w:r>
          </w:p>
        </w:tc>
        <w:tc>
          <w:tcPr>
            <w:tcW w:w="1309" w:type="dxa"/>
            <w:vAlign w:val="bottom"/>
          </w:tcPr>
          <w:p w14:paraId="6DB841EB" w14:textId="77777777" w:rsidR="006F4528" w:rsidRPr="007F1CB9" w:rsidRDefault="006F4528" w:rsidP="00267E7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Ilość miejsc noclegowych 2019 (w tys.)</w:t>
            </w:r>
          </w:p>
        </w:tc>
        <w:tc>
          <w:tcPr>
            <w:tcW w:w="1206" w:type="dxa"/>
            <w:vAlign w:val="bottom"/>
          </w:tcPr>
          <w:p w14:paraId="50C5BCD2" w14:textId="77777777" w:rsidR="006F4528" w:rsidRPr="007F1CB9" w:rsidRDefault="006F4528" w:rsidP="00267E7D">
            <w:pPr>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Zmiana %</w:t>
            </w:r>
          </w:p>
        </w:tc>
      </w:tr>
      <w:tr w:rsidR="006F4528" w:rsidRPr="006F4528" w14:paraId="2A0D0158"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3A9A9BB2"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Zachodniopomorskie</w:t>
            </w:r>
          </w:p>
        </w:tc>
        <w:tc>
          <w:tcPr>
            <w:tcW w:w="1171" w:type="dxa"/>
            <w:vAlign w:val="center"/>
          </w:tcPr>
          <w:p w14:paraId="5853BDF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129</w:t>
            </w:r>
          </w:p>
        </w:tc>
        <w:tc>
          <w:tcPr>
            <w:tcW w:w="1171" w:type="dxa"/>
            <w:vAlign w:val="center"/>
          </w:tcPr>
          <w:p w14:paraId="1FABF025"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134</w:t>
            </w:r>
          </w:p>
        </w:tc>
        <w:tc>
          <w:tcPr>
            <w:tcW w:w="1206" w:type="dxa"/>
            <w:vAlign w:val="center"/>
          </w:tcPr>
          <w:p w14:paraId="22288A7E"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+ 3,9</w:t>
            </w:r>
          </w:p>
        </w:tc>
        <w:tc>
          <w:tcPr>
            <w:tcW w:w="1309" w:type="dxa"/>
            <w:vAlign w:val="center"/>
          </w:tcPr>
          <w:p w14:paraId="0855CF7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18,9</w:t>
            </w:r>
          </w:p>
        </w:tc>
        <w:tc>
          <w:tcPr>
            <w:tcW w:w="1309" w:type="dxa"/>
            <w:vAlign w:val="center"/>
          </w:tcPr>
          <w:p w14:paraId="5F045A26"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20,2</w:t>
            </w:r>
          </w:p>
        </w:tc>
        <w:tc>
          <w:tcPr>
            <w:tcW w:w="1206" w:type="dxa"/>
            <w:vAlign w:val="center"/>
          </w:tcPr>
          <w:p w14:paraId="450348C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+ 6,9</w:t>
            </w:r>
          </w:p>
        </w:tc>
      </w:tr>
      <w:tr w:rsidR="006F4528" w:rsidRPr="006F4528" w14:paraId="4B126914"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4FF96622"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Pomorskie</w:t>
            </w:r>
          </w:p>
        </w:tc>
        <w:tc>
          <w:tcPr>
            <w:tcW w:w="1171" w:type="dxa"/>
            <w:vAlign w:val="center"/>
          </w:tcPr>
          <w:p w14:paraId="2DD0060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202</w:t>
            </w:r>
          </w:p>
        </w:tc>
        <w:tc>
          <w:tcPr>
            <w:tcW w:w="1171" w:type="dxa"/>
            <w:vAlign w:val="center"/>
          </w:tcPr>
          <w:p w14:paraId="20845F6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205</w:t>
            </w:r>
          </w:p>
        </w:tc>
        <w:tc>
          <w:tcPr>
            <w:tcW w:w="1206" w:type="dxa"/>
            <w:vAlign w:val="center"/>
          </w:tcPr>
          <w:p w14:paraId="114C23D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+ 1,5</w:t>
            </w:r>
          </w:p>
        </w:tc>
        <w:tc>
          <w:tcPr>
            <w:tcW w:w="1309" w:type="dxa"/>
            <w:vAlign w:val="center"/>
          </w:tcPr>
          <w:p w14:paraId="3106F460"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21,9</w:t>
            </w:r>
          </w:p>
        </w:tc>
        <w:tc>
          <w:tcPr>
            <w:tcW w:w="1309" w:type="dxa"/>
            <w:vAlign w:val="center"/>
          </w:tcPr>
          <w:p w14:paraId="72D9CC7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23,4</w:t>
            </w:r>
          </w:p>
        </w:tc>
        <w:tc>
          <w:tcPr>
            <w:tcW w:w="1206" w:type="dxa"/>
            <w:vAlign w:val="center"/>
          </w:tcPr>
          <w:p w14:paraId="2886811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+ 6,9</w:t>
            </w:r>
          </w:p>
        </w:tc>
      </w:tr>
      <w:tr w:rsidR="006F4528" w:rsidRPr="006F4528" w14:paraId="2DCE623E"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1C56006E"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Warmińsko-mazurskie</w:t>
            </w:r>
          </w:p>
        </w:tc>
        <w:tc>
          <w:tcPr>
            <w:tcW w:w="1171" w:type="dxa"/>
            <w:vAlign w:val="center"/>
          </w:tcPr>
          <w:p w14:paraId="2A5B3F7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115</w:t>
            </w:r>
          </w:p>
        </w:tc>
        <w:tc>
          <w:tcPr>
            <w:tcW w:w="1171" w:type="dxa"/>
            <w:vAlign w:val="center"/>
          </w:tcPr>
          <w:p w14:paraId="099ED1B0"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117</w:t>
            </w:r>
          </w:p>
        </w:tc>
        <w:tc>
          <w:tcPr>
            <w:tcW w:w="1206" w:type="dxa"/>
            <w:vAlign w:val="center"/>
          </w:tcPr>
          <w:p w14:paraId="2CDF006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+ 1,7</w:t>
            </w:r>
          </w:p>
        </w:tc>
        <w:tc>
          <w:tcPr>
            <w:tcW w:w="1309" w:type="dxa"/>
            <w:vAlign w:val="center"/>
          </w:tcPr>
          <w:p w14:paraId="021FB42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13,6</w:t>
            </w:r>
          </w:p>
        </w:tc>
        <w:tc>
          <w:tcPr>
            <w:tcW w:w="1309" w:type="dxa"/>
            <w:vAlign w:val="center"/>
          </w:tcPr>
          <w:p w14:paraId="1550221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14,2</w:t>
            </w:r>
          </w:p>
        </w:tc>
        <w:tc>
          <w:tcPr>
            <w:tcW w:w="1206" w:type="dxa"/>
            <w:vAlign w:val="center"/>
          </w:tcPr>
          <w:p w14:paraId="3E390DAC"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+ 4,4</w:t>
            </w:r>
          </w:p>
        </w:tc>
      </w:tr>
      <w:tr w:rsidR="006F4528" w:rsidRPr="006F4528" w14:paraId="4CD16BF8"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619BA76F"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Podlaskie</w:t>
            </w:r>
          </w:p>
        </w:tc>
        <w:tc>
          <w:tcPr>
            <w:tcW w:w="1171" w:type="dxa"/>
            <w:vAlign w:val="center"/>
          </w:tcPr>
          <w:p w14:paraId="2B732F08"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48</w:t>
            </w:r>
          </w:p>
        </w:tc>
        <w:tc>
          <w:tcPr>
            <w:tcW w:w="1171" w:type="dxa"/>
            <w:vAlign w:val="center"/>
          </w:tcPr>
          <w:p w14:paraId="7CE01A5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51</w:t>
            </w:r>
          </w:p>
        </w:tc>
        <w:tc>
          <w:tcPr>
            <w:tcW w:w="1206" w:type="dxa"/>
            <w:vAlign w:val="center"/>
          </w:tcPr>
          <w:p w14:paraId="3C5FBD5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+ 6,3</w:t>
            </w:r>
          </w:p>
        </w:tc>
        <w:tc>
          <w:tcPr>
            <w:tcW w:w="1309" w:type="dxa"/>
            <w:vAlign w:val="center"/>
          </w:tcPr>
          <w:p w14:paraId="3FF0B4DC"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4,8</w:t>
            </w:r>
          </w:p>
        </w:tc>
        <w:tc>
          <w:tcPr>
            <w:tcW w:w="1309" w:type="dxa"/>
            <w:vAlign w:val="center"/>
          </w:tcPr>
          <w:p w14:paraId="1057437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5,1</w:t>
            </w:r>
          </w:p>
        </w:tc>
        <w:tc>
          <w:tcPr>
            <w:tcW w:w="1206" w:type="dxa"/>
            <w:vAlign w:val="center"/>
          </w:tcPr>
          <w:p w14:paraId="7EC453D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+ 6,3</w:t>
            </w:r>
          </w:p>
        </w:tc>
      </w:tr>
      <w:tr w:rsidR="006F4528" w:rsidRPr="006F4528" w14:paraId="1D337AD6"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1927F585"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Kujawsko-Pomorskie</w:t>
            </w:r>
          </w:p>
        </w:tc>
        <w:tc>
          <w:tcPr>
            <w:tcW w:w="1171" w:type="dxa"/>
            <w:vAlign w:val="center"/>
          </w:tcPr>
          <w:p w14:paraId="2D029C6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136</w:t>
            </w:r>
          </w:p>
        </w:tc>
        <w:tc>
          <w:tcPr>
            <w:tcW w:w="1171" w:type="dxa"/>
            <w:vAlign w:val="center"/>
          </w:tcPr>
          <w:p w14:paraId="5837C26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133</w:t>
            </w:r>
          </w:p>
        </w:tc>
        <w:tc>
          <w:tcPr>
            <w:tcW w:w="1206" w:type="dxa"/>
            <w:vAlign w:val="center"/>
          </w:tcPr>
          <w:p w14:paraId="6E2A148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- 2,2</w:t>
            </w:r>
          </w:p>
        </w:tc>
        <w:tc>
          <w:tcPr>
            <w:tcW w:w="1309" w:type="dxa"/>
            <w:vAlign w:val="center"/>
          </w:tcPr>
          <w:p w14:paraId="5F63605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11,3</w:t>
            </w:r>
          </w:p>
        </w:tc>
        <w:tc>
          <w:tcPr>
            <w:tcW w:w="1309" w:type="dxa"/>
            <w:vAlign w:val="center"/>
          </w:tcPr>
          <w:p w14:paraId="02736125"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11,3</w:t>
            </w:r>
          </w:p>
        </w:tc>
        <w:tc>
          <w:tcPr>
            <w:tcW w:w="1206" w:type="dxa"/>
            <w:vAlign w:val="center"/>
          </w:tcPr>
          <w:p w14:paraId="1F6267C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0</w:t>
            </w:r>
          </w:p>
        </w:tc>
      </w:tr>
      <w:tr w:rsidR="006F4528" w:rsidRPr="006F4528" w14:paraId="66F7E1ED"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5AFC29CC"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 xml:space="preserve">Mazowieckie </w:t>
            </w:r>
          </w:p>
        </w:tc>
        <w:tc>
          <w:tcPr>
            <w:tcW w:w="1171" w:type="dxa"/>
            <w:vAlign w:val="center"/>
          </w:tcPr>
          <w:p w14:paraId="16DC70F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265</w:t>
            </w:r>
          </w:p>
        </w:tc>
        <w:tc>
          <w:tcPr>
            <w:tcW w:w="1171" w:type="dxa"/>
            <w:vAlign w:val="center"/>
          </w:tcPr>
          <w:p w14:paraId="21E5B4B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271</w:t>
            </w:r>
          </w:p>
        </w:tc>
        <w:tc>
          <w:tcPr>
            <w:tcW w:w="1206" w:type="dxa"/>
            <w:vAlign w:val="center"/>
          </w:tcPr>
          <w:p w14:paraId="045321FC"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+ 2,3</w:t>
            </w:r>
          </w:p>
        </w:tc>
        <w:tc>
          <w:tcPr>
            <w:tcW w:w="1309" w:type="dxa"/>
            <w:vAlign w:val="center"/>
          </w:tcPr>
          <w:p w14:paraId="044B6EEE"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41,2</w:t>
            </w:r>
          </w:p>
        </w:tc>
        <w:tc>
          <w:tcPr>
            <w:tcW w:w="1309" w:type="dxa"/>
            <w:vAlign w:val="center"/>
          </w:tcPr>
          <w:p w14:paraId="5CEB64A5"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43,0</w:t>
            </w:r>
          </w:p>
        </w:tc>
        <w:tc>
          <w:tcPr>
            <w:tcW w:w="1206" w:type="dxa"/>
            <w:vAlign w:val="center"/>
          </w:tcPr>
          <w:p w14:paraId="4D80F305"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+ 4,4</w:t>
            </w:r>
          </w:p>
        </w:tc>
      </w:tr>
      <w:tr w:rsidR="006F4528" w:rsidRPr="006F4528" w14:paraId="661010A4"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4EA33C81"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Lubuskie</w:t>
            </w:r>
          </w:p>
        </w:tc>
        <w:tc>
          <w:tcPr>
            <w:tcW w:w="1171" w:type="dxa"/>
            <w:vAlign w:val="center"/>
          </w:tcPr>
          <w:p w14:paraId="675500E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66</w:t>
            </w:r>
          </w:p>
        </w:tc>
        <w:tc>
          <w:tcPr>
            <w:tcW w:w="1171" w:type="dxa"/>
            <w:vAlign w:val="center"/>
          </w:tcPr>
          <w:p w14:paraId="4311325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70</w:t>
            </w:r>
          </w:p>
        </w:tc>
        <w:tc>
          <w:tcPr>
            <w:tcW w:w="1206" w:type="dxa"/>
            <w:vAlign w:val="center"/>
          </w:tcPr>
          <w:p w14:paraId="05C49D2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+ 6,1</w:t>
            </w:r>
          </w:p>
        </w:tc>
        <w:tc>
          <w:tcPr>
            <w:tcW w:w="1309" w:type="dxa"/>
            <w:vAlign w:val="center"/>
          </w:tcPr>
          <w:p w14:paraId="62CCC1F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4,8</w:t>
            </w:r>
          </w:p>
        </w:tc>
        <w:tc>
          <w:tcPr>
            <w:tcW w:w="1309" w:type="dxa"/>
            <w:vAlign w:val="center"/>
          </w:tcPr>
          <w:p w14:paraId="64393B4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5,2</w:t>
            </w:r>
          </w:p>
        </w:tc>
        <w:tc>
          <w:tcPr>
            <w:tcW w:w="1206" w:type="dxa"/>
            <w:vAlign w:val="center"/>
          </w:tcPr>
          <w:p w14:paraId="02A3EEE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+ 8,3</w:t>
            </w:r>
          </w:p>
        </w:tc>
      </w:tr>
      <w:tr w:rsidR="006F4528" w:rsidRPr="006F4528" w14:paraId="50C37575"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115B5ACB"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Wielkopolskie</w:t>
            </w:r>
          </w:p>
        </w:tc>
        <w:tc>
          <w:tcPr>
            <w:tcW w:w="1171" w:type="dxa"/>
            <w:vAlign w:val="center"/>
          </w:tcPr>
          <w:p w14:paraId="78B6E7D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227</w:t>
            </w:r>
          </w:p>
        </w:tc>
        <w:tc>
          <w:tcPr>
            <w:tcW w:w="1171" w:type="dxa"/>
            <w:vAlign w:val="center"/>
          </w:tcPr>
          <w:p w14:paraId="1BE9625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225</w:t>
            </w:r>
          </w:p>
        </w:tc>
        <w:tc>
          <w:tcPr>
            <w:tcW w:w="1206" w:type="dxa"/>
            <w:vAlign w:val="center"/>
          </w:tcPr>
          <w:p w14:paraId="636DD29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- 0,9</w:t>
            </w:r>
          </w:p>
        </w:tc>
        <w:tc>
          <w:tcPr>
            <w:tcW w:w="1309" w:type="dxa"/>
            <w:vAlign w:val="center"/>
          </w:tcPr>
          <w:p w14:paraId="073576F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18,7</w:t>
            </w:r>
          </w:p>
        </w:tc>
        <w:tc>
          <w:tcPr>
            <w:tcW w:w="1309" w:type="dxa"/>
            <w:vAlign w:val="center"/>
          </w:tcPr>
          <w:p w14:paraId="29211EAC"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18,7</w:t>
            </w:r>
          </w:p>
        </w:tc>
        <w:tc>
          <w:tcPr>
            <w:tcW w:w="1206" w:type="dxa"/>
            <w:vAlign w:val="center"/>
          </w:tcPr>
          <w:p w14:paraId="76A2708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0</w:t>
            </w:r>
          </w:p>
        </w:tc>
      </w:tr>
      <w:tr w:rsidR="006F4528" w:rsidRPr="006F4528" w14:paraId="6E7F39F8"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757DECEE"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 xml:space="preserve">Łódzkie </w:t>
            </w:r>
          </w:p>
        </w:tc>
        <w:tc>
          <w:tcPr>
            <w:tcW w:w="1171" w:type="dxa"/>
            <w:vAlign w:val="center"/>
          </w:tcPr>
          <w:p w14:paraId="7AF76815"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117</w:t>
            </w:r>
          </w:p>
        </w:tc>
        <w:tc>
          <w:tcPr>
            <w:tcW w:w="1171" w:type="dxa"/>
            <w:vAlign w:val="center"/>
          </w:tcPr>
          <w:p w14:paraId="0060F720"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115</w:t>
            </w:r>
          </w:p>
        </w:tc>
        <w:tc>
          <w:tcPr>
            <w:tcW w:w="1206" w:type="dxa"/>
            <w:vAlign w:val="center"/>
          </w:tcPr>
          <w:p w14:paraId="22F5461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- 1,7</w:t>
            </w:r>
          </w:p>
        </w:tc>
        <w:tc>
          <w:tcPr>
            <w:tcW w:w="1309" w:type="dxa"/>
            <w:vAlign w:val="center"/>
          </w:tcPr>
          <w:p w14:paraId="368EB46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12,0</w:t>
            </w:r>
          </w:p>
        </w:tc>
        <w:tc>
          <w:tcPr>
            <w:tcW w:w="1309" w:type="dxa"/>
            <w:vAlign w:val="center"/>
          </w:tcPr>
          <w:p w14:paraId="1BAC9A2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12,6</w:t>
            </w:r>
          </w:p>
        </w:tc>
        <w:tc>
          <w:tcPr>
            <w:tcW w:w="1206" w:type="dxa"/>
            <w:vAlign w:val="center"/>
          </w:tcPr>
          <w:p w14:paraId="47A3B5B8"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+ 5,0</w:t>
            </w:r>
          </w:p>
        </w:tc>
      </w:tr>
      <w:tr w:rsidR="006F4528" w:rsidRPr="006F4528" w14:paraId="5F18BE81"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21DFCF0A"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Lubelskie</w:t>
            </w:r>
          </w:p>
        </w:tc>
        <w:tc>
          <w:tcPr>
            <w:tcW w:w="1171" w:type="dxa"/>
            <w:vAlign w:val="center"/>
          </w:tcPr>
          <w:p w14:paraId="2216747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121</w:t>
            </w:r>
          </w:p>
        </w:tc>
        <w:tc>
          <w:tcPr>
            <w:tcW w:w="1171" w:type="dxa"/>
            <w:vAlign w:val="center"/>
          </w:tcPr>
          <w:p w14:paraId="527FF90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127</w:t>
            </w:r>
          </w:p>
        </w:tc>
        <w:tc>
          <w:tcPr>
            <w:tcW w:w="1206" w:type="dxa"/>
            <w:vAlign w:val="center"/>
          </w:tcPr>
          <w:p w14:paraId="1280CFDE"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+ 5,0</w:t>
            </w:r>
          </w:p>
        </w:tc>
        <w:tc>
          <w:tcPr>
            <w:tcW w:w="1309" w:type="dxa"/>
            <w:vAlign w:val="center"/>
          </w:tcPr>
          <w:p w14:paraId="72B3411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8,6</w:t>
            </w:r>
          </w:p>
        </w:tc>
        <w:tc>
          <w:tcPr>
            <w:tcW w:w="1309" w:type="dxa"/>
            <w:vAlign w:val="center"/>
          </w:tcPr>
          <w:p w14:paraId="61D4766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9,5</w:t>
            </w:r>
          </w:p>
        </w:tc>
        <w:tc>
          <w:tcPr>
            <w:tcW w:w="1206" w:type="dxa"/>
            <w:vAlign w:val="center"/>
          </w:tcPr>
          <w:p w14:paraId="2ECF3B0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+ 10,5</w:t>
            </w:r>
          </w:p>
        </w:tc>
      </w:tr>
      <w:tr w:rsidR="006F4528" w:rsidRPr="006F4528" w14:paraId="39C5186F"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53514CD4"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Dolnośląskie</w:t>
            </w:r>
          </w:p>
        </w:tc>
        <w:tc>
          <w:tcPr>
            <w:tcW w:w="1171" w:type="dxa"/>
            <w:vAlign w:val="center"/>
          </w:tcPr>
          <w:p w14:paraId="70FD456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266</w:t>
            </w:r>
          </w:p>
        </w:tc>
        <w:tc>
          <w:tcPr>
            <w:tcW w:w="1171" w:type="dxa"/>
            <w:vAlign w:val="center"/>
          </w:tcPr>
          <w:p w14:paraId="3F5D02F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268</w:t>
            </w:r>
          </w:p>
        </w:tc>
        <w:tc>
          <w:tcPr>
            <w:tcW w:w="1206" w:type="dxa"/>
            <w:vAlign w:val="center"/>
          </w:tcPr>
          <w:p w14:paraId="6E48C47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+ 0,8</w:t>
            </w:r>
          </w:p>
        </w:tc>
        <w:tc>
          <w:tcPr>
            <w:tcW w:w="1309" w:type="dxa"/>
            <w:vAlign w:val="center"/>
          </w:tcPr>
          <w:p w14:paraId="78A68656"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30,1</w:t>
            </w:r>
          </w:p>
        </w:tc>
        <w:tc>
          <w:tcPr>
            <w:tcW w:w="1309" w:type="dxa"/>
            <w:vAlign w:val="center"/>
          </w:tcPr>
          <w:p w14:paraId="277C8190"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31,3</w:t>
            </w:r>
          </w:p>
        </w:tc>
        <w:tc>
          <w:tcPr>
            <w:tcW w:w="1206" w:type="dxa"/>
            <w:vAlign w:val="center"/>
          </w:tcPr>
          <w:p w14:paraId="6E832F9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+ 4,0</w:t>
            </w:r>
          </w:p>
        </w:tc>
      </w:tr>
      <w:tr w:rsidR="006F4528" w:rsidRPr="006F4528" w14:paraId="69EF99B0"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594721E1"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Śląskie</w:t>
            </w:r>
          </w:p>
        </w:tc>
        <w:tc>
          <w:tcPr>
            <w:tcW w:w="1171" w:type="dxa"/>
            <w:vAlign w:val="center"/>
          </w:tcPr>
          <w:p w14:paraId="18EBA07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215</w:t>
            </w:r>
          </w:p>
        </w:tc>
        <w:tc>
          <w:tcPr>
            <w:tcW w:w="1171" w:type="dxa"/>
            <w:vAlign w:val="center"/>
          </w:tcPr>
          <w:p w14:paraId="22789688"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221</w:t>
            </w:r>
          </w:p>
        </w:tc>
        <w:tc>
          <w:tcPr>
            <w:tcW w:w="1206" w:type="dxa"/>
            <w:vAlign w:val="center"/>
          </w:tcPr>
          <w:p w14:paraId="07339EF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+ 2,8</w:t>
            </w:r>
          </w:p>
        </w:tc>
        <w:tc>
          <w:tcPr>
            <w:tcW w:w="1309" w:type="dxa"/>
            <w:vAlign w:val="center"/>
          </w:tcPr>
          <w:p w14:paraId="626584F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22,3</w:t>
            </w:r>
          </w:p>
        </w:tc>
        <w:tc>
          <w:tcPr>
            <w:tcW w:w="1309" w:type="dxa"/>
            <w:vAlign w:val="center"/>
          </w:tcPr>
          <w:p w14:paraId="6BAA52B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23,6</w:t>
            </w:r>
          </w:p>
        </w:tc>
        <w:tc>
          <w:tcPr>
            <w:tcW w:w="1206" w:type="dxa"/>
            <w:vAlign w:val="center"/>
          </w:tcPr>
          <w:p w14:paraId="00341AA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+ 5,8</w:t>
            </w:r>
          </w:p>
        </w:tc>
      </w:tr>
      <w:tr w:rsidR="006F4528" w:rsidRPr="006F4528" w14:paraId="20AD19A6"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27E7DC0B"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Świętokrzyskie</w:t>
            </w:r>
          </w:p>
        </w:tc>
        <w:tc>
          <w:tcPr>
            <w:tcW w:w="1171" w:type="dxa"/>
            <w:vAlign w:val="center"/>
          </w:tcPr>
          <w:p w14:paraId="04F1517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98</w:t>
            </w:r>
          </w:p>
        </w:tc>
        <w:tc>
          <w:tcPr>
            <w:tcW w:w="1171" w:type="dxa"/>
            <w:vAlign w:val="center"/>
          </w:tcPr>
          <w:p w14:paraId="38CEEFF0"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100</w:t>
            </w:r>
          </w:p>
        </w:tc>
        <w:tc>
          <w:tcPr>
            <w:tcW w:w="1206" w:type="dxa"/>
            <w:vAlign w:val="center"/>
          </w:tcPr>
          <w:p w14:paraId="75D79C6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+ 2,0</w:t>
            </w:r>
          </w:p>
        </w:tc>
        <w:tc>
          <w:tcPr>
            <w:tcW w:w="1309" w:type="dxa"/>
            <w:vAlign w:val="center"/>
          </w:tcPr>
          <w:p w14:paraId="6B973F6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7,8</w:t>
            </w:r>
          </w:p>
        </w:tc>
        <w:tc>
          <w:tcPr>
            <w:tcW w:w="1309" w:type="dxa"/>
            <w:vAlign w:val="center"/>
          </w:tcPr>
          <w:p w14:paraId="24685086"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8,5</w:t>
            </w:r>
          </w:p>
        </w:tc>
        <w:tc>
          <w:tcPr>
            <w:tcW w:w="1206" w:type="dxa"/>
            <w:vAlign w:val="center"/>
          </w:tcPr>
          <w:p w14:paraId="50E5F321"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+ 9,0</w:t>
            </w:r>
          </w:p>
        </w:tc>
      </w:tr>
      <w:tr w:rsidR="006F4528" w:rsidRPr="006F4528" w14:paraId="51C6953F"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2BBDB4EC"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Małopolskie</w:t>
            </w:r>
          </w:p>
        </w:tc>
        <w:tc>
          <w:tcPr>
            <w:tcW w:w="1171" w:type="dxa"/>
            <w:vAlign w:val="center"/>
          </w:tcPr>
          <w:p w14:paraId="27D27D61"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374</w:t>
            </w:r>
          </w:p>
        </w:tc>
        <w:tc>
          <w:tcPr>
            <w:tcW w:w="1171" w:type="dxa"/>
            <w:vAlign w:val="center"/>
          </w:tcPr>
          <w:p w14:paraId="5120BC31"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391</w:t>
            </w:r>
          </w:p>
        </w:tc>
        <w:tc>
          <w:tcPr>
            <w:tcW w:w="1206" w:type="dxa"/>
            <w:vAlign w:val="center"/>
          </w:tcPr>
          <w:p w14:paraId="6FE0885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+ 4,6</w:t>
            </w:r>
          </w:p>
        </w:tc>
        <w:tc>
          <w:tcPr>
            <w:tcW w:w="1309" w:type="dxa"/>
            <w:vAlign w:val="center"/>
          </w:tcPr>
          <w:p w14:paraId="13DBDBC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43,5</w:t>
            </w:r>
          </w:p>
        </w:tc>
        <w:tc>
          <w:tcPr>
            <w:tcW w:w="1309" w:type="dxa"/>
            <w:vAlign w:val="center"/>
          </w:tcPr>
          <w:p w14:paraId="748A6D14"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45,5</w:t>
            </w:r>
          </w:p>
        </w:tc>
        <w:tc>
          <w:tcPr>
            <w:tcW w:w="1206" w:type="dxa"/>
            <w:vAlign w:val="center"/>
          </w:tcPr>
          <w:p w14:paraId="7D877CAB"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+ 4,6</w:t>
            </w:r>
          </w:p>
        </w:tc>
      </w:tr>
      <w:tr w:rsidR="006F4528" w:rsidRPr="006F4528" w14:paraId="6E895FE3"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4A5865BB"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Podkarpackie</w:t>
            </w:r>
          </w:p>
        </w:tc>
        <w:tc>
          <w:tcPr>
            <w:tcW w:w="1171" w:type="dxa"/>
            <w:vAlign w:val="center"/>
          </w:tcPr>
          <w:p w14:paraId="3C439A97"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149</w:t>
            </w:r>
          </w:p>
        </w:tc>
        <w:tc>
          <w:tcPr>
            <w:tcW w:w="1171" w:type="dxa"/>
            <w:vAlign w:val="center"/>
          </w:tcPr>
          <w:p w14:paraId="088E5CAA"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144</w:t>
            </w:r>
          </w:p>
        </w:tc>
        <w:tc>
          <w:tcPr>
            <w:tcW w:w="1206" w:type="dxa"/>
            <w:vAlign w:val="center"/>
          </w:tcPr>
          <w:p w14:paraId="58859603"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- 3,4</w:t>
            </w:r>
          </w:p>
        </w:tc>
        <w:tc>
          <w:tcPr>
            <w:tcW w:w="1309" w:type="dxa"/>
            <w:vAlign w:val="center"/>
          </w:tcPr>
          <w:p w14:paraId="17D8CA08"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10,5</w:t>
            </w:r>
          </w:p>
        </w:tc>
        <w:tc>
          <w:tcPr>
            <w:tcW w:w="1309" w:type="dxa"/>
            <w:vAlign w:val="center"/>
          </w:tcPr>
          <w:p w14:paraId="72CB5FAF"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10,3</w:t>
            </w:r>
          </w:p>
        </w:tc>
        <w:tc>
          <w:tcPr>
            <w:tcW w:w="1206" w:type="dxa"/>
            <w:vAlign w:val="center"/>
          </w:tcPr>
          <w:p w14:paraId="7F22A10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- 1,9</w:t>
            </w:r>
          </w:p>
        </w:tc>
      </w:tr>
      <w:tr w:rsidR="006F4528" w:rsidRPr="006F4528" w14:paraId="6DCB74D1" w14:textId="77777777" w:rsidTr="00267E7D">
        <w:trPr>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27308486" w14:textId="77777777" w:rsidR="006F4528" w:rsidRPr="00AB5F1D" w:rsidRDefault="006F4528" w:rsidP="00267E7D">
            <w:pPr>
              <w:rPr>
                <w:rFonts w:cstheme="minorHAnsi"/>
                <w:b w:val="0"/>
                <w:bCs w:val="0"/>
                <w:sz w:val="18"/>
                <w:szCs w:val="18"/>
              </w:rPr>
            </w:pPr>
            <w:r w:rsidRPr="00AB5F1D">
              <w:rPr>
                <w:rFonts w:cstheme="minorHAnsi"/>
                <w:b w:val="0"/>
                <w:bCs w:val="0"/>
                <w:sz w:val="18"/>
                <w:szCs w:val="18"/>
              </w:rPr>
              <w:t>Opolskie</w:t>
            </w:r>
          </w:p>
        </w:tc>
        <w:tc>
          <w:tcPr>
            <w:tcW w:w="1171" w:type="dxa"/>
            <w:vAlign w:val="center"/>
          </w:tcPr>
          <w:p w14:paraId="0B58C24E"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64</w:t>
            </w:r>
          </w:p>
        </w:tc>
        <w:tc>
          <w:tcPr>
            <w:tcW w:w="1171" w:type="dxa"/>
            <w:vAlign w:val="center"/>
          </w:tcPr>
          <w:p w14:paraId="6722D199"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63</w:t>
            </w:r>
          </w:p>
        </w:tc>
        <w:tc>
          <w:tcPr>
            <w:tcW w:w="1206" w:type="dxa"/>
            <w:vAlign w:val="center"/>
          </w:tcPr>
          <w:p w14:paraId="3DCFBB51"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- 1,6</w:t>
            </w:r>
          </w:p>
        </w:tc>
        <w:tc>
          <w:tcPr>
            <w:tcW w:w="1309" w:type="dxa"/>
            <w:vAlign w:val="center"/>
          </w:tcPr>
          <w:p w14:paraId="6551D902"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4,0</w:t>
            </w:r>
          </w:p>
        </w:tc>
        <w:tc>
          <w:tcPr>
            <w:tcW w:w="1309" w:type="dxa"/>
            <w:vAlign w:val="center"/>
          </w:tcPr>
          <w:p w14:paraId="0FFEFF9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3,8</w:t>
            </w:r>
          </w:p>
        </w:tc>
        <w:tc>
          <w:tcPr>
            <w:tcW w:w="1206" w:type="dxa"/>
            <w:vAlign w:val="center"/>
          </w:tcPr>
          <w:p w14:paraId="44A0F45D" w14:textId="77777777" w:rsidR="006F4528" w:rsidRPr="007F1CB9" w:rsidRDefault="006F4528" w:rsidP="00267E7D">
            <w:pPr>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F1CB9">
              <w:rPr>
                <w:rFonts w:cstheme="minorHAnsi"/>
                <w:sz w:val="18"/>
                <w:szCs w:val="18"/>
              </w:rPr>
              <w:t>- 5,0</w:t>
            </w:r>
          </w:p>
        </w:tc>
      </w:tr>
      <w:tr w:rsidR="006F4528" w:rsidRPr="006F4528" w14:paraId="772A7CB1" w14:textId="77777777" w:rsidTr="00267E7D">
        <w:trPr>
          <w:cnfStyle w:val="010000000000" w:firstRow="0" w:lastRow="1"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16" w:type="dxa"/>
            <w:vAlign w:val="center"/>
          </w:tcPr>
          <w:p w14:paraId="314D5862" w14:textId="77777777" w:rsidR="006F4528" w:rsidRPr="007F1CB9" w:rsidRDefault="006F4528" w:rsidP="00267E7D">
            <w:pPr>
              <w:rPr>
                <w:rFonts w:cstheme="minorHAnsi"/>
                <w:b w:val="0"/>
                <w:bCs w:val="0"/>
                <w:sz w:val="18"/>
                <w:szCs w:val="18"/>
              </w:rPr>
            </w:pPr>
            <w:r w:rsidRPr="007F1CB9">
              <w:rPr>
                <w:rFonts w:cstheme="minorHAnsi"/>
                <w:sz w:val="18"/>
                <w:szCs w:val="18"/>
              </w:rPr>
              <w:t>Ogółem/Polska</w:t>
            </w:r>
          </w:p>
        </w:tc>
        <w:tc>
          <w:tcPr>
            <w:tcW w:w="1171" w:type="dxa"/>
            <w:vAlign w:val="center"/>
          </w:tcPr>
          <w:p w14:paraId="7F447526" w14:textId="77777777" w:rsidR="006F4528" w:rsidRPr="007F1CB9" w:rsidRDefault="006F4528" w:rsidP="00267E7D">
            <w:pPr>
              <w:jc w:val="right"/>
              <w:cnfStyle w:val="010000000000" w:firstRow="0" w:lastRow="1" w:firstColumn="0" w:lastColumn="0" w:oddVBand="0" w:evenVBand="0" w:oddHBand="0" w:evenHBand="0" w:firstRowFirstColumn="0" w:firstRowLastColumn="0" w:lastRowFirstColumn="0" w:lastRowLastColumn="0"/>
              <w:rPr>
                <w:rFonts w:cstheme="minorHAnsi"/>
                <w:b w:val="0"/>
                <w:bCs w:val="0"/>
                <w:sz w:val="18"/>
                <w:szCs w:val="18"/>
              </w:rPr>
            </w:pPr>
            <w:r w:rsidRPr="007F1CB9">
              <w:rPr>
                <w:rFonts w:cstheme="minorHAnsi"/>
                <w:sz w:val="18"/>
                <w:szCs w:val="18"/>
              </w:rPr>
              <w:t>2592</w:t>
            </w:r>
          </w:p>
        </w:tc>
        <w:tc>
          <w:tcPr>
            <w:tcW w:w="1171" w:type="dxa"/>
            <w:vAlign w:val="center"/>
          </w:tcPr>
          <w:p w14:paraId="004F32F0" w14:textId="77777777" w:rsidR="006F4528" w:rsidRPr="007F1CB9" w:rsidRDefault="006F4528" w:rsidP="00267E7D">
            <w:pPr>
              <w:jc w:val="right"/>
              <w:cnfStyle w:val="010000000000" w:firstRow="0" w:lastRow="1" w:firstColumn="0" w:lastColumn="0" w:oddVBand="0" w:evenVBand="0" w:oddHBand="0" w:evenHBand="0" w:firstRowFirstColumn="0" w:firstRowLastColumn="0" w:lastRowFirstColumn="0" w:lastRowLastColumn="0"/>
              <w:rPr>
                <w:rFonts w:cstheme="minorHAnsi"/>
                <w:b w:val="0"/>
                <w:bCs w:val="0"/>
                <w:sz w:val="18"/>
                <w:szCs w:val="18"/>
              </w:rPr>
            </w:pPr>
            <w:r w:rsidRPr="007F1CB9">
              <w:rPr>
                <w:rFonts w:cstheme="minorHAnsi"/>
                <w:sz w:val="18"/>
                <w:szCs w:val="18"/>
              </w:rPr>
              <w:t>2635</w:t>
            </w:r>
          </w:p>
        </w:tc>
        <w:tc>
          <w:tcPr>
            <w:tcW w:w="1206" w:type="dxa"/>
            <w:vAlign w:val="center"/>
          </w:tcPr>
          <w:p w14:paraId="7961C5AD" w14:textId="77777777" w:rsidR="006F4528" w:rsidRPr="007F1CB9" w:rsidRDefault="006F4528" w:rsidP="00267E7D">
            <w:pPr>
              <w:jc w:val="right"/>
              <w:cnfStyle w:val="010000000000" w:firstRow="0" w:lastRow="1" w:firstColumn="0" w:lastColumn="0" w:oddVBand="0" w:evenVBand="0" w:oddHBand="0" w:evenHBand="0" w:firstRowFirstColumn="0" w:firstRowLastColumn="0" w:lastRowFirstColumn="0" w:lastRowLastColumn="0"/>
              <w:rPr>
                <w:rFonts w:cstheme="minorHAnsi"/>
                <w:b w:val="0"/>
                <w:bCs w:val="0"/>
                <w:sz w:val="18"/>
                <w:szCs w:val="18"/>
              </w:rPr>
            </w:pPr>
            <w:r w:rsidRPr="007F1CB9">
              <w:rPr>
                <w:rFonts w:cstheme="minorHAnsi"/>
                <w:sz w:val="18"/>
                <w:szCs w:val="18"/>
              </w:rPr>
              <w:t>+ 1,7</w:t>
            </w:r>
          </w:p>
        </w:tc>
        <w:tc>
          <w:tcPr>
            <w:tcW w:w="1309" w:type="dxa"/>
            <w:vAlign w:val="center"/>
          </w:tcPr>
          <w:p w14:paraId="36E9694C" w14:textId="77777777" w:rsidR="006F4528" w:rsidRPr="007F1CB9" w:rsidRDefault="006F4528" w:rsidP="00267E7D">
            <w:pPr>
              <w:jc w:val="right"/>
              <w:cnfStyle w:val="010000000000" w:firstRow="0" w:lastRow="1" w:firstColumn="0" w:lastColumn="0" w:oddVBand="0" w:evenVBand="0" w:oddHBand="0" w:evenHBand="0" w:firstRowFirstColumn="0" w:firstRowLastColumn="0" w:lastRowFirstColumn="0" w:lastRowLastColumn="0"/>
              <w:rPr>
                <w:rFonts w:cstheme="minorHAnsi"/>
                <w:b w:val="0"/>
                <w:bCs w:val="0"/>
                <w:sz w:val="18"/>
                <w:szCs w:val="18"/>
              </w:rPr>
            </w:pPr>
            <w:r w:rsidRPr="007F1CB9">
              <w:rPr>
                <w:rFonts w:cstheme="minorHAnsi"/>
                <w:sz w:val="18"/>
                <w:szCs w:val="18"/>
              </w:rPr>
              <w:t>274,0</w:t>
            </w:r>
          </w:p>
        </w:tc>
        <w:tc>
          <w:tcPr>
            <w:tcW w:w="1309" w:type="dxa"/>
            <w:vAlign w:val="center"/>
          </w:tcPr>
          <w:p w14:paraId="33795C9B" w14:textId="77777777" w:rsidR="006F4528" w:rsidRPr="007F1CB9" w:rsidRDefault="006F4528" w:rsidP="00267E7D">
            <w:pPr>
              <w:jc w:val="right"/>
              <w:cnfStyle w:val="010000000000" w:firstRow="0" w:lastRow="1" w:firstColumn="0" w:lastColumn="0" w:oddVBand="0" w:evenVBand="0" w:oddHBand="0" w:evenHBand="0" w:firstRowFirstColumn="0" w:firstRowLastColumn="0" w:lastRowFirstColumn="0" w:lastRowLastColumn="0"/>
              <w:rPr>
                <w:rFonts w:cstheme="minorHAnsi"/>
                <w:b w:val="0"/>
                <w:bCs w:val="0"/>
                <w:sz w:val="18"/>
                <w:szCs w:val="18"/>
              </w:rPr>
            </w:pPr>
            <w:r w:rsidRPr="007F1CB9">
              <w:rPr>
                <w:rFonts w:cstheme="minorHAnsi"/>
                <w:sz w:val="18"/>
                <w:szCs w:val="18"/>
              </w:rPr>
              <w:t>286,2</w:t>
            </w:r>
          </w:p>
        </w:tc>
        <w:tc>
          <w:tcPr>
            <w:tcW w:w="1206" w:type="dxa"/>
            <w:vAlign w:val="center"/>
          </w:tcPr>
          <w:p w14:paraId="51E27189" w14:textId="77777777" w:rsidR="006F4528" w:rsidRPr="007F1CB9" w:rsidRDefault="006F4528" w:rsidP="00267E7D">
            <w:pPr>
              <w:jc w:val="right"/>
              <w:cnfStyle w:val="010000000000" w:firstRow="0" w:lastRow="1" w:firstColumn="0" w:lastColumn="0" w:oddVBand="0" w:evenVBand="0" w:oddHBand="0" w:evenHBand="0" w:firstRowFirstColumn="0" w:firstRowLastColumn="0" w:lastRowFirstColumn="0" w:lastRowLastColumn="0"/>
              <w:rPr>
                <w:rFonts w:cstheme="minorHAnsi"/>
                <w:b w:val="0"/>
                <w:bCs w:val="0"/>
                <w:sz w:val="18"/>
                <w:szCs w:val="18"/>
              </w:rPr>
            </w:pPr>
            <w:r w:rsidRPr="007F1CB9">
              <w:rPr>
                <w:rFonts w:cstheme="minorHAnsi"/>
                <w:sz w:val="18"/>
                <w:szCs w:val="18"/>
              </w:rPr>
              <w:t>+ 4,5</w:t>
            </w:r>
          </w:p>
        </w:tc>
      </w:tr>
    </w:tbl>
    <w:p w14:paraId="33FE9008" w14:textId="77777777" w:rsidR="006F4528" w:rsidRPr="0038346A" w:rsidRDefault="006F4528" w:rsidP="0038346A">
      <w:pPr>
        <w:pStyle w:val="rdo"/>
      </w:pPr>
      <w:r w:rsidRPr="006D1D4E">
        <w:rPr>
          <w:lang w:val="en-US"/>
        </w:rPr>
        <w:t xml:space="preserve">Źródło: Hotel and condo hotel market in Poland. </w:t>
      </w:r>
      <w:r w:rsidRPr="0038346A">
        <w:t>Emmerson Evaluation, s. 4-5</w:t>
      </w:r>
    </w:p>
    <w:p w14:paraId="47E854F4" w14:textId="3A2B3BAF" w:rsidR="006F4528" w:rsidRPr="00283B3D" w:rsidRDefault="006F4528" w:rsidP="00AD4B36">
      <w:pPr>
        <w:pStyle w:val="tekst"/>
      </w:pPr>
      <w:r w:rsidRPr="006F56D5">
        <w:t xml:space="preserve">Interesujących informacji dostarcza porównanie ilości hoteli i miejsc noclegowych w latach 2018-2019 wg województw </w:t>
      </w:r>
      <w:r w:rsidRPr="00283B3D">
        <w:t xml:space="preserve">(tabela </w:t>
      </w:r>
      <w:r w:rsidR="00305F78" w:rsidRPr="00283B3D">
        <w:t>5.</w:t>
      </w:r>
      <w:r w:rsidRPr="00283B3D">
        <w:t>2). Jest to okres, w trakcie którego, w skali całego kraju, obie powyższe wielkości uległy wzrostowi, aczkolwiek nie był on równomierny. Nie oznacza to jednak, że wzrost ten następował we wszystkich województwach. W kilku z nich np. podkarpackim czy opolskim liczba obiektów uległa zmniejszeniu. Z drugiej strony, na co wskazują zaprezentowane liczby, spadek liczby hoteli nie musi oznaczać spadku liczby miejsc noclegowych. Czego dowodzi przykład z województwa łódzkiego: sytuacja taka wiąże się z otwierania nowych obiektów, które są większe od tych, które ulegały likwidacji .</w:t>
      </w:r>
    </w:p>
    <w:p w14:paraId="370FEA82" w14:textId="42691F34" w:rsidR="006F4528" w:rsidRPr="006F56D5" w:rsidRDefault="006F4528" w:rsidP="00AD4B36">
      <w:pPr>
        <w:pStyle w:val="tekst"/>
      </w:pPr>
      <w:r w:rsidRPr="00283B3D">
        <w:t>Logicznym uzupełnieniem informacji dotyczących bazy noclegowej są obrazujące (chociaż częściowo) tzw. „drugie domy”. W statystykach prezentowanych przez Główny Urząd Statystyczny znajduje się kategoria „Budynki jednorodzinne nieprzystosowane do stałego zamieszkania”, która mieści także</w:t>
      </w:r>
      <w:r w:rsidR="009B3416">
        <w:t xml:space="preserve"> </w:t>
      </w:r>
      <w:r w:rsidRPr="00283B3D">
        <w:t xml:space="preserve">domki wiejskie i letnie. Zgodnie z wielkościami, które zostały zaprezentowane w tabeli </w:t>
      </w:r>
      <w:r w:rsidR="00305F78" w:rsidRPr="00283B3D">
        <w:t>5.</w:t>
      </w:r>
      <w:r w:rsidRPr="00283B3D">
        <w:t xml:space="preserve">3, liczba tych obiektów na przestrzeni ostatnich </w:t>
      </w:r>
      <w:r w:rsidRPr="00283B3D">
        <w:lastRenderedPageBreak/>
        <w:t>lat uległa znacznemu zmniejszeniu. Wynik taki jest raczej zaskakujący, moż</w:t>
      </w:r>
      <w:r w:rsidRPr="006F56D5">
        <w:t xml:space="preserve">na było się spodziewać wzrostu, w związku ze swoistą modą w inwestowanie właśnie w „domki wiejskie” czy tzw. „działki”. Z drugiej strony, zaprezentowane dane dotyczą budynków nieprzystosowanych do stałego zamieszkania, a wydaje się, że współcześnie buduje się przede wszystkim obiekty całoroczne. Ponadto prezentowane liczby mają raczej charakter częściowy i oficjalny, i nie oddają w pełni rzeczywistości związanej z tzw. „drugimi domami”, nie uwzględniając, jak wspomniano, m.in. budynków, przystosowanych do stałego zamieszkania. </w:t>
      </w:r>
    </w:p>
    <w:p w14:paraId="78A45D35" w14:textId="4A9628CB" w:rsidR="006F4528" w:rsidRPr="006F56D5" w:rsidRDefault="006F4528" w:rsidP="00AD4B36">
      <w:pPr>
        <w:pStyle w:val="nazwa"/>
      </w:pPr>
      <w:bookmarkStart w:id="139" w:name="_Toc115437495"/>
      <w:r w:rsidRPr="00283B3D">
        <w:t xml:space="preserve">Tabela </w:t>
      </w:r>
      <w:r w:rsidR="003B4929" w:rsidRPr="00283B3D">
        <w:t>5.</w:t>
      </w:r>
      <w:r w:rsidRPr="00283B3D">
        <w:t>3</w:t>
      </w:r>
      <w:r w:rsidRPr="006F56D5">
        <w:t xml:space="preserve"> </w:t>
      </w:r>
      <w:bookmarkStart w:id="140" w:name="_Hlk109746931"/>
      <w:r w:rsidRPr="006F56D5">
        <w:t xml:space="preserve">Budynki jednorodzinne nieprzystosowane do stałego zamieszkania </w:t>
      </w:r>
      <w:bookmarkEnd w:id="140"/>
      <w:r w:rsidRPr="006F56D5">
        <w:t>(domy letnie, domki wypoczynkowe oraz rezydencje wiejskie) (PKOB 1110)*</w:t>
      </w:r>
      <w:bookmarkEnd w:id="139"/>
    </w:p>
    <w:tbl>
      <w:tblPr>
        <w:tblStyle w:val="Tabelasiatki1jasna"/>
        <w:tblW w:w="5000" w:type="pct"/>
        <w:tblLayout w:type="fixed"/>
        <w:tblCellMar>
          <w:top w:w="57" w:type="dxa"/>
          <w:bottom w:w="57" w:type="dxa"/>
        </w:tblCellMar>
        <w:tblLook w:val="04A0" w:firstRow="1" w:lastRow="0" w:firstColumn="1" w:lastColumn="0" w:noHBand="0" w:noVBand="1"/>
      </w:tblPr>
      <w:tblGrid>
        <w:gridCol w:w="1132"/>
        <w:gridCol w:w="1132"/>
        <w:gridCol w:w="1133"/>
        <w:gridCol w:w="1133"/>
        <w:gridCol w:w="1133"/>
        <w:gridCol w:w="1133"/>
        <w:gridCol w:w="1133"/>
        <w:gridCol w:w="1133"/>
      </w:tblGrid>
      <w:tr w:rsidR="006F4528" w:rsidRPr="006F4528" w14:paraId="60D95FD9" w14:textId="77777777" w:rsidTr="00F52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vAlign w:val="center"/>
          </w:tcPr>
          <w:p w14:paraId="5498AE3E" w14:textId="77777777" w:rsidR="006F4528" w:rsidRPr="00267E7D" w:rsidRDefault="006F4528" w:rsidP="00267E7D">
            <w:pPr>
              <w:spacing w:line="360" w:lineRule="auto"/>
              <w:rPr>
                <w:rFonts w:cstheme="minorHAnsi"/>
                <w:b w:val="0"/>
                <w:bCs w:val="0"/>
                <w:sz w:val="18"/>
                <w:szCs w:val="18"/>
              </w:rPr>
            </w:pPr>
            <w:r w:rsidRPr="00267E7D">
              <w:rPr>
                <w:rFonts w:cstheme="minorHAnsi"/>
                <w:b w:val="0"/>
                <w:bCs w:val="0"/>
                <w:sz w:val="18"/>
                <w:szCs w:val="18"/>
              </w:rPr>
              <w:t>Rok</w:t>
            </w:r>
          </w:p>
        </w:tc>
        <w:tc>
          <w:tcPr>
            <w:tcW w:w="921" w:type="dxa"/>
            <w:vAlign w:val="center"/>
          </w:tcPr>
          <w:p w14:paraId="00616143"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2012</w:t>
            </w:r>
          </w:p>
        </w:tc>
        <w:tc>
          <w:tcPr>
            <w:tcW w:w="921" w:type="dxa"/>
            <w:vAlign w:val="center"/>
          </w:tcPr>
          <w:p w14:paraId="32DCE78F"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2013</w:t>
            </w:r>
          </w:p>
        </w:tc>
        <w:tc>
          <w:tcPr>
            <w:tcW w:w="921" w:type="dxa"/>
            <w:vAlign w:val="center"/>
          </w:tcPr>
          <w:p w14:paraId="5FAC36D6"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2014</w:t>
            </w:r>
          </w:p>
        </w:tc>
        <w:tc>
          <w:tcPr>
            <w:tcW w:w="921" w:type="dxa"/>
            <w:vAlign w:val="center"/>
          </w:tcPr>
          <w:p w14:paraId="6CC08874"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2015</w:t>
            </w:r>
          </w:p>
        </w:tc>
        <w:tc>
          <w:tcPr>
            <w:tcW w:w="921" w:type="dxa"/>
            <w:vAlign w:val="center"/>
          </w:tcPr>
          <w:p w14:paraId="313FCCBE"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2016</w:t>
            </w:r>
          </w:p>
        </w:tc>
        <w:tc>
          <w:tcPr>
            <w:tcW w:w="921" w:type="dxa"/>
            <w:vAlign w:val="center"/>
          </w:tcPr>
          <w:p w14:paraId="779E5F93"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2017</w:t>
            </w:r>
          </w:p>
        </w:tc>
        <w:tc>
          <w:tcPr>
            <w:tcW w:w="921" w:type="dxa"/>
            <w:vAlign w:val="center"/>
          </w:tcPr>
          <w:p w14:paraId="11C58058" w14:textId="77777777" w:rsidR="006F4528" w:rsidRPr="00267E7D" w:rsidRDefault="006F4528" w:rsidP="00267E7D">
            <w:pPr>
              <w:spacing w:line="360" w:lineRule="auto"/>
              <w:jc w:val="right"/>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2018</w:t>
            </w:r>
          </w:p>
        </w:tc>
      </w:tr>
      <w:tr w:rsidR="006F4528" w:rsidRPr="006F4528" w14:paraId="0F7F3C86" w14:textId="77777777" w:rsidTr="00F52C7C">
        <w:trPr>
          <w:trHeight w:val="397"/>
        </w:trPr>
        <w:tc>
          <w:tcPr>
            <w:cnfStyle w:val="001000000000" w:firstRow="0" w:lastRow="0" w:firstColumn="1" w:lastColumn="0" w:oddVBand="0" w:evenVBand="0" w:oddHBand="0" w:evenHBand="0" w:firstRowFirstColumn="0" w:firstRowLastColumn="0" w:lastRowFirstColumn="0" w:lastRowLastColumn="0"/>
            <w:tcW w:w="921" w:type="dxa"/>
            <w:tcBorders>
              <w:top w:val="single" w:sz="12" w:space="0" w:color="666666" w:themeColor="text1" w:themeTint="99"/>
              <w:bottom w:val="single" w:sz="12" w:space="0" w:color="666666" w:themeColor="text1" w:themeTint="99"/>
            </w:tcBorders>
            <w:vAlign w:val="bottom"/>
          </w:tcPr>
          <w:p w14:paraId="0E3EE44C" w14:textId="77777777" w:rsidR="006F4528" w:rsidRPr="00267E7D" w:rsidRDefault="006F4528" w:rsidP="00F52C7C">
            <w:pPr>
              <w:spacing w:line="360" w:lineRule="auto"/>
              <w:rPr>
                <w:rFonts w:cstheme="minorHAnsi"/>
                <w:b w:val="0"/>
                <w:bCs w:val="0"/>
                <w:sz w:val="18"/>
                <w:szCs w:val="18"/>
              </w:rPr>
            </w:pPr>
            <w:r w:rsidRPr="00267E7D">
              <w:rPr>
                <w:rFonts w:cstheme="minorHAnsi"/>
                <w:b w:val="0"/>
                <w:bCs w:val="0"/>
                <w:sz w:val="18"/>
                <w:szCs w:val="18"/>
              </w:rPr>
              <w:t>Ilość</w:t>
            </w:r>
          </w:p>
        </w:tc>
        <w:tc>
          <w:tcPr>
            <w:tcW w:w="921" w:type="dxa"/>
            <w:tcBorders>
              <w:top w:val="single" w:sz="12" w:space="0" w:color="666666" w:themeColor="text1" w:themeTint="99"/>
              <w:bottom w:val="single" w:sz="12" w:space="0" w:color="666666" w:themeColor="text1" w:themeTint="99"/>
            </w:tcBorders>
            <w:vAlign w:val="bottom"/>
          </w:tcPr>
          <w:p w14:paraId="1DC8F0A2" w14:textId="3F7798DE"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2</w:t>
            </w:r>
            <w:r w:rsidR="00F52C7C">
              <w:rPr>
                <w:rFonts w:cstheme="minorHAnsi"/>
                <w:sz w:val="18"/>
                <w:szCs w:val="18"/>
              </w:rPr>
              <w:t xml:space="preserve"> </w:t>
            </w:r>
            <w:r w:rsidRPr="00267E7D">
              <w:rPr>
                <w:rFonts w:cstheme="minorHAnsi"/>
                <w:sz w:val="18"/>
                <w:szCs w:val="18"/>
              </w:rPr>
              <w:t>028</w:t>
            </w:r>
          </w:p>
        </w:tc>
        <w:tc>
          <w:tcPr>
            <w:tcW w:w="921" w:type="dxa"/>
            <w:tcBorders>
              <w:top w:val="single" w:sz="12" w:space="0" w:color="666666" w:themeColor="text1" w:themeTint="99"/>
              <w:bottom w:val="single" w:sz="12" w:space="0" w:color="666666" w:themeColor="text1" w:themeTint="99"/>
            </w:tcBorders>
            <w:vAlign w:val="bottom"/>
          </w:tcPr>
          <w:p w14:paraId="40C43318" w14:textId="6A3058F5"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1</w:t>
            </w:r>
            <w:r w:rsidR="00F52C7C">
              <w:rPr>
                <w:rFonts w:cstheme="minorHAnsi"/>
                <w:sz w:val="18"/>
                <w:szCs w:val="18"/>
              </w:rPr>
              <w:t xml:space="preserve"> </w:t>
            </w:r>
            <w:r w:rsidRPr="00267E7D">
              <w:rPr>
                <w:rFonts w:cstheme="minorHAnsi"/>
                <w:sz w:val="18"/>
                <w:szCs w:val="18"/>
              </w:rPr>
              <w:t>998</w:t>
            </w:r>
          </w:p>
        </w:tc>
        <w:tc>
          <w:tcPr>
            <w:tcW w:w="921" w:type="dxa"/>
            <w:tcBorders>
              <w:top w:val="single" w:sz="12" w:space="0" w:color="666666" w:themeColor="text1" w:themeTint="99"/>
              <w:bottom w:val="single" w:sz="12" w:space="0" w:color="666666" w:themeColor="text1" w:themeTint="99"/>
            </w:tcBorders>
            <w:vAlign w:val="bottom"/>
          </w:tcPr>
          <w:p w14:paraId="41E8FB0E" w14:textId="5BD1A6D0"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1</w:t>
            </w:r>
            <w:r w:rsidR="00F52C7C">
              <w:rPr>
                <w:rFonts w:cstheme="minorHAnsi"/>
                <w:sz w:val="18"/>
                <w:szCs w:val="18"/>
              </w:rPr>
              <w:t xml:space="preserve"> </w:t>
            </w:r>
            <w:r w:rsidRPr="00267E7D">
              <w:rPr>
                <w:rFonts w:cstheme="minorHAnsi"/>
                <w:sz w:val="18"/>
                <w:szCs w:val="18"/>
              </w:rPr>
              <w:t>811</w:t>
            </w:r>
          </w:p>
        </w:tc>
        <w:tc>
          <w:tcPr>
            <w:tcW w:w="921" w:type="dxa"/>
            <w:tcBorders>
              <w:top w:val="single" w:sz="12" w:space="0" w:color="666666" w:themeColor="text1" w:themeTint="99"/>
              <w:bottom w:val="single" w:sz="12" w:space="0" w:color="666666" w:themeColor="text1" w:themeTint="99"/>
            </w:tcBorders>
            <w:vAlign w:val="bottom"/>
          </w:tcPr>
          <w:p w14:paraId="21F43209" w14:textId="14F9646A"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1</w:t>
            </w:r>
            <w:r w:rsidR="00F52C7C">
              <w:rPr>
                <w:rFonts w:cstheme="minorHAnsi"/>
                <w:sz w:val="18"/>
                <w:szCs w:val="18"/>
              </w:rPr>
              <w:t xml:space="preserve"> </w:t>
            </w:r>
            <w:r w:rsidRPr="00267E7D">
              <w:rPr>
                <w:rFonts w:cstheme="minorHAnsi"/>
                <w:sz w:val="18"/>
                <w:szCs w:val="18"/>
              </w:rPr>
              <w:t>828</w:t>
            </w:r>
          </w:p>
        </w:tc>
        <w:tc>
          <w:tcPr>
            <w:tcW w:w="921" w:type="dxa"/>
            <w:tcBorders>
              <w:top w:val="single" w:sz="12" w:space="0" w:color="666666" w:themeColor="text1" w:themeTint="99"/>
              <w:bottom w:val="single" w:sz="12" w:space="0" w:color="666666" w:themeColor="text1" w:themeTint="99"/>
            </w:tcBorders>
            <w:vAlign w:val="bottom"/>
          </w:tcPr>
          <w:p w14:paraId="303056F7" w14:textId="3E8DEABC"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1</w:t>
            </w:r>
            <w:r w:rsidR="00F52C7C">
              <w:rPr>
                <w:rFonts w:cstheme="minorHAnsi"/>
                <w:sz w:val="18"/>
                <w:szCs w:val="18"/>
              </w:rPr>
              <w:t xml:space="preserve"> </w:t>
            </w:r>
            <w:r w:rsidRPr="00267E7D">
              <w:rPr>
                <w:rFonts w:cstheme="minorHAnsi"/>
                <w:sz w:val="18"/>
                <w:szCs w:val="18"/>
              </w:rPr>
              <w:t>585</w:t>
            </w:r>
          </w:p>
        </w:tc>
        <w:tc>
          <w:tcPr>
            <w:tcW w:w="921" w:type="dxa"/>
            <w:tcBorders>
              <w:top w:val="single" w:sz="12" w:space="0" w:color="666666" w:themeColor="text1" w:themeTint="99"/>
              <w:bottom w:val="single" w:sz="12" w:space="0" w:color="666666" w:themeColor="text1" w:themeTint="99"/>
            </w:tcBorders>
            <w:vAlign w:val="bottom"/>
          </w:tcPr>
          <w:p w14:paraId="49851773" w14:textId="6572F8EC"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1</w:t>
            </w:r>
            <w:r w:rsidR="00F52C7C">
              <w:rPr>
                <w:rFonts w:cstheme="minorHAnsi"/>
                <w:sz w:val="18"/>
                <w:szCs w:val="18"/>
              </w:rPr>
              <w:t xml:space="preserve"> </w:t>
            </w:r>
            <w:r w:rsidRPr="00267E7D">
              <w:rPr>
                <w:rFonts w:cstheme="minorHAnsi"/>
                <w:sz w:val="18"/>
                <w:szCs w:val="18"/>
              </w:rPr>
              <w:t>505</w:t>
            </w:r>
          </w:p>
        </w:tc>
        <w:tc>
          <w:tcPr>
            <w:tcW w:w="921" w:type="dxa"/>
            <w:tcBorders>
              <w:top w:val="single" w:sz="12" w:space="0" w:color="666666" w:themeColor="text1" w:themeTint="99"/>
              <w:bottom w:val="single" w:sz="12" w:space="0" w:color="666666" w:themeColor="text1" w:themeTint="99"/>
            </w:tcBorders>
            <w:vAlign w:val="bottom"/>
          </w:tcPr>
          <w:p w14:paraId="11E168D4" w14:textId="06C472A5" w:rsidR="006F4528" w:rsidRPr="00267E7D" w:rsidRDefault="006F4528" w:rsidP="00267E7D">
            <w:pPr>
              <w:spacing w:line="360" w:lineRule="auto"/>
              <w:jc w:val="right"/>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67E7D">
              <w:rPr>
                <w:rFonts w:cstheme="minorHAnsi"/>
                <w:sz w:val="18"/>
                <w:szCs w:val="18"/>
              </w:rPr>
              <w:t>1</w:t>
            </w:r>
            <w:r w:rsidR="00F52C7C">
              <w:rPr>
                <w:rFonts w:cstheme="minorHAnsi"/>
                <w:sz w:val="18"/>
                <w:szCs w:val="18"/>
              </w:rPr>
              <w:t xml:space="preserve"> </w:t>
            </w:r>
            <w:r w:rsidRPr="00267E7D">
              <w:rPr>
                <w:rFonts w:cstheme="minorHAnsi"/>
                <w:sz w:val="18"/>
                <w:szCs w:val="18"/>
              </w:rPr>
              <w:t>434</w:t>
            </w:r>
          </w:p>
        </w:tc>
      </w:tr>
    </w:tbl>
    <w:p w14:paraId="1F419A4D" w14:textId="77777777" w:rsidR="006F4528" w:rsidRPr="0038346A" w:rsidRDefault="006F4528" w:rsidP="0038346A">
      <w:pPr>
        <w:pStyle w:val="rdo"/>
      </w:pPr>
      <w:r w:rsidRPr="0038346A">
        <w:t>Źródło: Bank Danych Lokalnych , bdl.stat.gov.pl (28.05.2022)</w:t>
      </w:r>
    </w:p>
    <w:p w14:paraId="32C94999" w14:textId="77777777" w:rsidR="006F4528" w:rsidRPr="006F4528" w:rsidRDefault="006F4528" w:rsidP="00AD4B36">
      <w:pPr>
        <w:pStyle w:val="rdo"/>
      </w:pPr>
      <w:r w:rsidRPr="006F4528">
        <w:t>Uwaga: Dane za lata 2012-2017 zostały zaprezentowane wg definicji obowiązujących do 2017 r.</w:t>
      </w:r>
    </w:p>
    <w:p w14:paraId="399E1102" w14:textId="77777777" w:rsidR="006F4528" w:rsidRPr="006F56D5" w:rsidRDefault="006F4528" w:rsidP="00AD4B36">
      <w:pPr>
        <w:pStyle w:val="tekst"/>
      </w:pPr>
      <w:bookmarkStart w:id="141" w:name="_Hlk104723389"/>
      <w:r w:rsidRPr="006F56D5">
        <w:t>Analiza bazy noclegowej, jej zmian i wykorzystania jest istotna z perspektywy analizy nakładów i inwestycji turystycznych. Jej rozwój w sposób oczywisty świadczy o rozwoju turystyki w danej destynacji i, jak można oczekiwać, wiąże się z rozwojem i inwestycjami w inne elementy składające się na produkt obszaru recepcji turystycznej. Z drugiej jednak strony, koncentracja jedynie na tej sferze byłaby podejściem zbyt wąskim. Zgodnie z zaprezentowaną we wcześniejszej części opracowania metodologią do opisywanego zagadnienia analizy inwestycji turystycznych zastosowano szersze podejście.</w:t>
      </w:r>
    </w:p>
    <w:p w14:paraId="7FFF57C2" w14:textId="7DA7DB38" w:rsidR="006F4528" w:rsidRPr="006F56D5" w:rsidRDefault="006F4528" w:rsidP="00AD4B36">
      <w:pPr>
        <w:pStyle w:val="tekst"/>
      </w:pPr>
      <w:r w:rsidRPr="006F56D5">
        <w:t>W prezentacji wielkości zarówno nakładów inwestycyjnych w rozwój turystyki, jak i wartości środków trwałych, bazowano na Klasyfikacji Środków Trwałych (KŚT) oraz na zaszeregowaniu opartym na Polskiej Klasyfikacji Działalności PKD 2007, co zostało dokładnie opisane w rozdziale poświęconym metodologii rachunku satelitarnego dla turystyki. Klasyfikacja PKD 2007 pozwoliła na wyodrębnienie charakterystycznych rodzajów działalności turystycznej i w konsekwencji na wskazanie podmiotów, które są odpowiedzialne za ich kreowanie. Z kolei KŚT, będąc zbiorem obiektów majątku trwałego służącym m.in. do celów ewidencyjnych, ustalania stawek odpisów amortyzacyjnych oraz badań statystycznych pozwala na wyodrębnienie poszczególnych kategorii inwestycji i jest wykorzystywana w sprawozdaniach SP (roczna ankieta przedsiębiorstwa).</w:t>
      </w:r>
      <w:bookmarkEnd w:id="141"/>
    </w:p>
    <w:p w14:paraId="256D5285" w14:textId="6341A48B" w:rsidR="006F4528" w:rsidRPr="006F4528" w:rsidRDefault="006F4528" w:rsidP="00AD4B36">
      <w:pPr>
        <w:pStyle w:val="tekst"/>
      </w:pPr>
      <w:r w:rsidRPr="006F4528">
        <w:t xml:space="preserve">W </w:t>
      </w:r>
      <w:r w:rsidRPr="00F27183">
        <w:t>tab</w:t>
      </w:r>
      <w:r w:rsidR="003B4929" w:rsidRPr="00F27183">
        <w:t xml:space="preserve">licach </w:t>
      </w:r>
      <w:r w:rsidR="003B4929">
        <w:t>8a (aneks tabelaryczny)</w:t>
      </w:r>
      <w:r w:rsidRPr="006F4528">
        <w:t xml:space="preserve"> zaprezentowano dane obrazujące wielkość nakładów inwestycyjnych w charakterystycznych rodzajach działalności turystycznej odpowiednio w latach 2018 i 2019.</w:t>
      </w:r>
      <w:r w:rsidR="009B3416">
        <w:t xml:space="preserve"> </w:t>
      </w:r>
      <w:r w:rsidRPr="006F4528">
        <w:t xml:space="preserve">Zgodnie z klasyfikacją PKD 2007 wyróżniono szereg kategorii. Do kluczowych należy zaliczyć: szeroko rozumiane usługi noclegowe, gastronomiczne czy transportowe, działalność agentów i organizatorów turystyki czy też działalność związaną z rekreacją. Ogółem wartość nakładów wynosiła 5 785 962 tys. zł. w roku 2018 i 6 581 618 tys. zł w roku 2019, co oznacza znaczący wzrost – również biorąc pod uwagę wskaźnik inflacji. Zgodnie z KŚT największe nakłady zostały przeznaczone na budynki i lokale oraz na środki transportu. Wysoki wskaźnik dla pierwszej z wymienionych kategorii dotyczył przede wszystkim hoteli, restauracji oraz działalności bibliotek, archiwów, muzeów oraz pozostałej działalności związanej z kulturą, natomiast druga z nich wiązała się przede wszystkim ze świadczeniem usług transportowych. Wynik taki w żaden sposób nie powinien zaskakiwać, gdyż jest w pełni zgodny ze specyfiką usług, świadczonych przez wymieniony podmioty. Z kolei najwyższą wartość nakładów inwestycyjnych ogółem miały takie grupy przedsiębiorstw jak: „pozostały transport lądowy pasażerski”; „hotele i podobne obiekty zakwaterowania”, „biblioteki, archiwa, muzea oraz pozostała działalność związana z kulturą” w 2018 r., oraz dodatkowo „działalność sportowa, rozrywkowa i rekreacyjna”, „restauracje i pozostałe placówki gastronomiczne” w 2019 r. Warto zwrócić uwagę na różnice pojawiające się pomiędzy analizowanymi latami. W wielu przypadkach mają znaczący charakter. Przede wszystkim dotyczy to „działalności sportowej, rozrywkowej i rekreacyjnej” – w tym przypadku wielkość nakładów wzrosła blisko dwukrotnie, i w efekcie działalność ta przewyższyła zarówno nakłady </w:t>
      </w:r>
      <w:r w:rsidRPr="006F4528">
        <w:lastRenderedPageBreak/>
        <w:t>inwestycyjne hoteli (PKD 2007 – 55.1) jak i „restauracji i pozostałych placówek gastronomicznych (PKD 2007 – 56.1). Również nakłady ogółem w 2019 r. były o blisko 14% wyższe niż w 2018 r., co należy ocenić pozytywnie.</w:t>
      </w:r>
    </w:p>
    <w:p w14:paraId="6E038E42" w14:textId="7F5518F9" w:rsidR="006F4528" w:rsidRPr="006F4528" w:rsidRDefault="006F4528" w:rsidP="00AD4B36">
      <w:pPr>
        <w:pStyle w:val="tekst"/>
      </w:pPr>
      <w:r w:rsidRPr="006F4528">
        <w:t>Należy jednak pamiętać, zgodnie z uwagami na temat obszarowego produktu turystycznego, że przedsiębiorstwa, które obsługują turystów, świadczą również swoje usługi rezydentom. Przykładowo zupełnie inna będzie specyfika restauracji, która funkcjonuje w centrum Warszawy, a tej która działa w centrum Szczyrku. Obie natomiast, zgodnie z klasyfikacją PKD, będą znajdowały się w tej samej kategorii. To sprawia, że nie można jednoznacznie stwierdzić, czy inwestycje, które były poniesione przez poszczególne przedsiębiorstwa były inwestycjami, skutkującymi rozwojem turystyki. Na przykład w przypadku przedsiębiorstw, świadczących usługi noclegowe, funkcjonują także akademiki, czy hotele pracownicze, które również nie świadczą usług „sensu stricte” turystycznych. W związku z powyższym do dalszych rozważań zastosowano prezentowany i policzony we wcześniejszej części opracowania Wskaźnik Spożycia Turystycznego (WST). Jego wykorzystanie pozwoliło na oszacowanie rzeczywistych nakładów inwestycyjnych na rozwój turystyki w ramach poszczególnych kategorii.</w:t>
      </w:r>
      <w:r w:rsidR="009B3416">
        <w:t xml:space="preserve"> </w:t>
      </w:r>
      <w:r w:rsidRPr="006F4528">
        <w:t>Otrzymane wyniki są widoczne zarówno w tab</w:t>
      </w:r>
      <w:r w:rsidR="00A24FB9">
        <w:t>licach 8a i 8b (aneks tabelaryczny),</w:t>
      </w:r>
      <w:r w:rsidRPr="00464B25">
        <w:t xml:space="preserve"> jak i na wykresach </w:t>
      </w:r>
      <w:r w:rsidR="00A24FB9" w:rsidRPr="00464B25">
        <w:t>5.</w:t>
      </w:r>
      <w:r w:rsidRPr="00464B25">
        <w:t xml:space="preserve">1 i </w:t>
      </w:r>
      <w:r w:rsidR="00A24FB9" w:rsidRPr="00464B25">
        <w:t>5.</w:t>
      </w:r>
      <w:r w:rsidRPr="00464B25">
        <w:t>2</w:t>
      </w:r>
      <w:r w:rsidR="00464B25" w:rsidRPr="00464B25">
        <w:t>.</w:t>
      </w:r>
      <w:r w:rsidR="009B3416">
        <w:t xml:space="preserve"> </w:t>
      </w:r>
    </w:p>
    <w:p w14:paraId="197560EE" w14:textId="3673FE9F" w:rsidR="006F4528" w:rsidRPr="006F4528" w:rsidRDefault="006F4528" w:rsidP="00AD4B36">
      <w:pPr>
        <w:pStyle w:val="nazwa"/>
      </w:pPr>
      <w:bookmarkStart w:id="142" w:name="_Toc115437496"/>
      <w:bookmarkStart w:id="143" w:name="_Hlk109990295"/>
      <w:r w:rsidRPr="00464B25">
        <w:t xml:space="preserve">Wykres </w:t>
      </w:r>
      <w:r w:rsidR="00A24FB9" w:rsidRPr="00464B25">
        <w:t>5.</w:t>
      </w:r>
      <w:r w:rsidRPr="00464B25">
        <w:t>1.</w:t>
      </w:r>
      <w:r w:rsidRPr="006F4528">
        <w:t xml:space="preserve"> Nakłady inwestycyjne</w:t>
      </w:r>
      <w:r w:rsidR="009B3416">
        <w:t xml:space="preserve"> </w:t>
      </w:r>
      <w:r w:rsidRPr="006F4528">
        <w:t>w charakterystycznych</w:t>
      </w:r>
      <w:r w:rsidR="009B3416">
        <w:t xml:space="preserve"> </w:t>
      </w:r>
      <w:r w:rsidRPr="006F4528">
        <w:t>rodzajach działalności turystycznej w 2018 po modyfikacji wskaźnikiem WST, ceny bieżące w tysiącach zł</w:t>
      </w:r>
      <w:bookmarkEnd w:id="142"/>
    </w:p>
    <w:bookmarkEnd w:id="143"/>
    <w:p w14:paraId="4714541E" w14:textId="77777777" w:rsidR="006F4528" w:rsidRPr="006F4528" w:rsidRDefault="006F4528" w:rsidP="006F4528">
      <w:pPr>
        <w:rPr>
          <w:sz w:val="20"/>
          <w:szCs w:val="20"/>
        </w:rPr>
      </w:pPr>
      <w:r w:rsidRPr="006F4528">
        <w:rPr>
          <w:noProof/>
          <w:lang w:eastAsia="pl-PL"/>
        </w:rPr>
        <w:drawing>
          <wp:inline distT="0" distB="0" distL="0" distR="0" wp14:anchorId="7DEAAFBB" wp14:editId="409AC630">
            <wp:extent cx="5759450" cy="3996000"/>
            <wp:effectExtent l="0" t="0" r="0" b="0"/>
            <wp:docPr id="13" name="Wykres 13">
              <a:extLst xmlns:a="http://schemas.openxmlformats.org/drawingml/2006/main">
                <a:ext uri="{FF2B5EF4-FFF2-40B4-BE49-F238E27FC236}">
                  <a16:creationId xmlns:a16="http://schemas.microsoft.com/office/drawing/2014/main" id="{60A63831-F3DC-311F-B801-32ED3FDC2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1EBCB93" w14:textId="4BA6B02E" w:rsidR="006F4528" w:rsidRPr="006F4528" w:rsidRDefault="006F4528" w:rsidP="00AD4B36">
      <w:pPr>
        <w:pStyle w:val="rdo"/>
      </w:pPr>
      <w:bookmarkStart w:id="144" w:name="_Hlk109990321"/>
      <w:r w:rsidRPr="006F4528">
        <w:t xml:space="preserve">Źródło: Opracowanie własne na podstawie danych pozyskanych z Głównego Urzędu Statystycznego, sprawa </w:t>
      </w:r>
      <w:r w:rsidR="00AB086E">
        <w:fldChar w:fldCharType="begin"/>
      </w:r>
      <w:r w:rsidR="00AB086E">
        <w:instrText xml:space="preserve"> DOCPROPERTY  ZnakSprawy  \* MERGEFORMAT </w:instrText>
      </w:r>
      <w:r w:rsidR="00AB086E">
        <w:fldChar w:fldCharType="separate"/>
      </w:r>
      <w:r w:rsidRPr="006F4528">
        <w:t>GUS-DK02.601.52.2022</w:t>
      </w:r>
      <w:r w:rsidR="00AB086E">
        <w:fldChar w:fldCharType="end"/>
      </w:r>
      <w:r w:rsidR="009B3416">
        <w:t xml:space="preserve"> </w:t>
      </w:r>
    </w:p>
    <w:bookmarkEnd w:id="144"/>
    <w:p w14:paraId="2CC254CE" w14:textId="77777777" w:rsidR="006F4528" w:rsidRPr="006F4528" w:rsidRDefault="006F4528" w:rsidP="00AD4B36">
      <w:pPr>
        <w:pStyle w:val="tekst"/>
      </w:pPr>
      <w:r w:rsidRPr="006F4528">
        <w:t>Jak pokazują zmodyfikowane dane, całkowita wielkość nakładów inwestycyjnych w 2018 r. wynosiła 2 529 862 tys. zł, a w 2019 r. było to 2 610 956 tys. zł. Jak widać wzrost ten wynosił ok. 3%, nie był zatem wysoki i był znacząco niższy niż w przypadku wszystkich nakładów, bez korekty wskaźnikiem WST. Największy wkład w powyższe wielkości mają transport (w sumie 46%) i zakwaterowanie (34%). Wynik taki nie może zostać uznany za zaskakujący. Są to kategorie z wysokim wskaźnikiem WST (z wyjątkiem „pozostałego transportu lądowego pasażerskiego”), a zatem takie, które zaspokajają przede wszystkim potrzeby turystów, a inni konsumenci są zdecydowanie rzadsi.</w:t>
      </w:r>
    </w:p>
    <w:p w14:paraId="295DF200" w14:textId="4653B34E" w:rsidR="006F4528" w:rsidRPr="006F4528" w:rsidRDefault="006F4528" w:rsidP="00AD4B36">
      <w:pPr>
        <w:pStyle w:val="nazwa"/>
      </w:pPr>
      <w:bookmarkStart w:id="145" w:name="_Toc115437497"/>
      <w:r w:rsidRPr="00464B25">
        <w:lastRenderedPageBreak/>
        <w:t xml:space="preserve">Wykres </w:t>
      </w:r>
      <w:r w:rsidR="00A24FB9" w:rsidRPr="00464B25">
        <w:t>5.</w:t>
      </w:r>
      <w:r w:rsidRPr="00464B25">
        <w:t>2.</w:t>
      </w:r>
      <w:r w:rsidRPr="006F4528">
        <w:t xml:space="preserve"> Nakłady inwestycyjne</w:t>
      </w:r>
      <w:r w:rsidR="009B3416">
        <w:t xml:space="preserve"> </w:t>
      </w:r>
      <w:r w:rsidRPr="006F4528">
        <w:t>w charakterystycznych</w:t>
      </w:r>
      <w:r w:rsidR="009B3416">
        <w:t xml:space="preserve"> </w:t>
      </w:r>
      <w:r w:rsidRPr="006F4528">
        <w:t>rodzajach działalności turystycznej w 2019 po zmodyfikowaniu wskaźnikiem WST, ceny bieżące w tysiącach zł.</w:t>
      </w:r>
      <w:bookmarkEnd w:id="145"/>
    </w:p>
    <w:p w14:paraId="1419A725" w14:textId="77777777" w:rsidR="006F4528" w:rsidRPr="006F4528" w:rsidRDefault="006F4528" w:rsidP="006F4528">
      <w:pPr>
        <w:rPr>
          <w:sz w:val="20"/>
          <w:szCs w:val="20"/>
        </w:rPr>
      </w:pPr>
      <w:r w:rsidRPr="006F4528">
        <w:rPr>
          <w:noProof/>
          <w:lang w:eastAsia="pl-PL"/>
        </w:rPr>
        <w:drawing>
          <wp:inline distT="0" distB="0" distL="0" distR="0" wp14:anchorId="3DCA2E20" wp14:editId="1D3C0C83">
            <wp:extent cx="5760720" cy="3996000"/>
            <wp:effectExtent l="0" t="0" r="0" b="5080"/>
            <wp:docPr id="16" name="Wykres 16">
              <a:extLst xmlns:a="http://schemas.openxmlformats.org/drawingml/2006/main">
                <a:ext uri="{FF2B5EF4-FFF2-40B4-BE49-F238E27FC236}">
                  <a16:creationId xmlns:a16="http://schemas.microsoft.com/office/drawing/2014/main" id="{52F442E2-3CB8-9A47-7630-85A93E61E8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2DF24F" w14:textId="54D0BC5C" w:rsidR="006F4528" w:rsidRPr="006F4528" w:rsidRDefault="006F4528" w:rsidP="00AD4B36">
      <w:pPr>
        <w:pStyle w:val="rdo"/>
      </w:pPr>
      <w:r w:rsidRPr="006F4528">
        <w:t xml:space="preserve">Źródło: Opracowanie własne na podstawie danych pozyskanych z Głównego Urzędu Statystycznego, sprawa </w:t>
      </w:r>
      <w:r w:rsidR="00AB086E">
        <w:fldChar w:fldCharType="begin"/>
      </w:r>
      <w:r w:rsidR="00AB086E">
        <w:instrText xml:space="preserve"> DOCPROPERTY  ZnakSprawy  \* MER</w:instrText>
      </w:r>
      <w:r w:rsidR="00AB086E">
        <w:instrText xml:space="preserve">GEFORMAT </w:instrText>
      </w:r>
      <w:r w:rsidR="00AB086E">
        <w:fldChar w:fldCharType="separate"/>
      </w:r>
      <w:r w:rsidRPr="006F4528">
        <w:t>GUS-DK02.601.52.2022</w:t>
      </w:r>
      <w:r w:rsidR="00AB086E">
        <w:fldChar w:fldCharType="end"/>
      </w:r>
      <w:r w:rsidR="009B3416">
        <w:t xml:space="preserve"> </w:t>
      </w:r>
    </w:p>
    <w:p w14:paraId="6AB70923" w14:textId="5F1B89B5" w:rsidR="006F4528" w:rsidRPr="006F4528" w:rsidRDefault="006F4528" w:rsidP="00AD4B36">
      <w:pPr>
        <w:pStyle w:val="tekst"/>
      </w:pPr>
      <w:r w:rsidRPr="006F4528">
        <w:t>Konsekwencją nakładów inwestycyjnych jest wartość netto środków trwałych, posiadanych przez przedsiębiorstwa. Wielkości te dla charakterystycznych rodzajów działalności turystycznej zostały zaprezentowane w tabelach 6 i 7. Ogółem w 2018 r. wartość ta dla analizowanych podmiotów wynosiła 54 288 084 tys. zł., natomiast w 2019 r. nieznacznie wzrosła – 55 091 832 tys. zł., i pozwoliła na</w:t>
      </w:r>
      <w:r w:rsidR="009B3416">
        <w:t xml:space="preserve"> </w:t>
      </w:r>
      <w:r w:rsidRPr="006F4528">
        <w:t xml:space="preserve">przełamanie odpisów amortyzacyjnych. Należy zwrócić uwagę, że największy udział w tych wartościach miały przedsiębiorstwa transportowe, zwłaszcza odpowiedzialne za transport lądowy pasażerski i transport kolejowy pasażerski oraz hotele (z podobnymi obiektami), a także biblioteki, archiwa oraz muzea. Sytuacja taka jest zgodna z wcześniejszymi przewidywaniami, ponieważ są to podmioty wymagające odpowiedniego zaplecza. W przypadku firm transportowych, co nie jest zaskoczeniem, podstawą majątku są środki transportu. Natomiast w dla przedsiębiorstw oferujących zakwaterowanie – kluczowymi środkami trwałymi są budynki. </w:t>
      </w:r>
    </w:p>
    <w:p w14:paraId="0AE67BFA" w14:textId="7B24478D" w:rsidR="006F4528" w:rsidRPr="006F4528" w:rsidRDefault="006F4528" w:rsidP="00AD4B36">
      <w:pPr>
        <w:pStyle w:val="tekst"/>
      </w:pPr>
      <w:r w:rsidRPr="006F4528">
        <w:t xml:space="preserve">Prezentując dane, obrazujące wartość netto dla środków trwałych nie wprowadzano korekty o WST, tak jak to miało miejsce dla nakładów inwestycyjnych. Należy pamiętać, że WST jest liczony dla podaży w konkretnym roku. Natomiast wartość środków trwałych w znacznej mierze odpowiada za akumulację tychże nakładów, która jest wynikiem wieloletniej działalności inwestycyjnej. W tej sytuacji wykorzystywanie wcześniej zaprezentowanych wskaźników nie ma wyraźnego uzasadnienia. Z drugiej strony – należy pamiętać, że zarówno transport jak i zakwaterowanie, są to kategorie, w przypadku których WST był wysoki, co oznacza, że przedsiębiorstwa świadczące wymienione usługi obsługują przede wszystkim turystów. Pozwala to wysnuć wniosek, że zdecydowana większość środków trwałych, których wartość zaprezentowano w </w:t>
      </w:r>
      <w:r w:rsidRPr="00F27183">
        <w:t>ta</w:t>
      </w:r>
      <w:r w:rsidR="00A24FB9" w:rsidRPr="00F27183">
        <w:t>b</w:t>
      </w:r>
      <w:r w:rsidRPr="00F27183">
        <w:t>l</w:t>
      </w:r>
      <w:r w:rsidR="00A24FB9" w:rsidRPr="00F27183">
        <w:t>icach</w:t>
      </w:r>
      <w:r w:rsidRPr="00F27183">
        <w:t xml:space="preserve"> </w:t>
      </w:r>
      <w:r w:rsidR="00A24FB9" w:rsidRPr="00F27183">
        <w:t>8b</w:t>
      </w:r>
      <w:r w:rsidRPr="00F27183">
        <w:t xml:space="preserve"> </w:t>
      </w:r>
      <w:r w:rsidR="00A24FB9" w:rsidRPr="00F27183">
        <w:t>(dla obydwu lat; aneks tabelaryczny)</w:t>
      </w:r>
      <w:r w:rsidRPr="00F27183">
        <w:t xml:space="preserve"> j</w:t>
      </w:r>
      <w:r w:rsidRPr="00464B25">
        <w:t>est</w:t>
      </w:r>
      <w:r w:rsidRPr="006F4528">
        <w:t xml:space="preserve"> wykorzystywana na rozwijanie działalności turystycznej. </w:t>
      </w:r>
    </w:p>
    <w:p w14:paraId="317CB828" w14:textId="77BD49DD" w:rsidR="006F4528" w:rsidRPr="006F4528" w:rsidRDefault="006F4528" w:rsidP="00AD4B36">
      <w:pPr>
        <w:pStyle w:val="tekst"/>
      </w:pPr>
      <w:r w:rsidRPr="006F4528">
        <w:t xml:space="preserve">W celu poszerzenia analizy </w:t>
      </w:r>
      <w:r w:rsidRPr="00464B25">
        <w:t xml:space="preserve">na wykresie </w:t>
      </w:r>
      <w:r w:rsidR="00A24FB9" w:rsidRPr="00464B25">
        <w:t>5.</w:t>
      </w:r>
      <w:r w:rsidRPr="00464B25">
        <w:t>3 zaprezentowano</w:t>
      </w:r>
      <w:r w:rsidRPr="006F4528">
        <w:t xml:space="preserve"> porównanie poszczególnych wielkości z 2018 i 2019 r. Podstawowym wnioskiem z niego płynącym jest brak jednoznacznych prawidłowości. Część kategorii </w:t>
      </w:r>
      <w:r w:rsidRPr="006F4528">
        <w:lastRenderedPageBreak/>
        <w:t>miała wyższą wartość w 2018 r. a część w 2019r., aczkolwiek z przewagą 2019 r., co jest związane z wyższą wartością ogólną środków trwałych w tym roku oraz wyższymi cenami bieżącymi. W sposób szczególny należy zwrócić uwagę na wielkości w kategorii „Hotele i podobne obiekty zakwaterowania”. Charakteryzują się one największą różnicą pomiędzy analizowanymi latami. Co więcej w 2019 r. wartość netto środków trwałych była niższa niż w 2018 r., pomimo że w tym okresie wzrosła zarówno liczba obiektów hotelowych jak i miejsc noclegowych w nich oferowanych.</w:t>
      </w:r>
    </w:p>
    <w:p w14:paraId="73D09DCB" w14:textId="7F6D0C9E" w:rsidR="006F4528" w:rsidRPr="006F4528" w:rsidRDefault="006F4528" w:rsidP="00AD4B36">
      <w:pPr>
        <w:pStyle w:val="nazwa"/>
      </w:pPr>
      <w:bookmarkStart w:id="146" w:name="_Toc115437498"/>
      <w:r w:rsidRPr="00464B25">
        <w:t xml:space="preserve">Wykres </w:t>
      </w:r>
      <w:r w:rsidR="00A24FB9" w:rsidRPr="00464B25">
        <w:t>5.</w:t>
      </w:r>
      <w:r w:rsidRPr="00464B25">
        <w:t>3.</w:t>
      </w:r>
      <w:r w:rsidRPr="006F4528">
        <w:t xml:space="preserve"> Porównanie wartości netto środków trwałych</w:t>
      </w:r>
      <w:r w:rsidR="009B3416">
        <w:t xml:space="preserve"> </w:t>
      </w:r>
      <w:r w:rsidRPr="006F4528">
        <w:t>w charakterystycznych</w:t>
      </w:r>
      <w:r w:rsidR="009B3416">
        <w:t xml:space="preserve"> </w:t>
      </w:r>
      <w:r w:rsidRPr="006F4528">
        <w:t>rodzajach działalności turystycznej w 2018</w:t>
      </w:r>
      <w:r w:rsidR="009B3416">
        <w:t xml:space="preserve"> </w:t>
      </w:r>
      <w:r w:rsidRPr="006F4528">
        <w:t>i 2019 r., ceny bieżące, w tys. zł.</w:t>
      </w:r>
      <w:bookmarkEnd w:id="146"/>
    </w:p>
    <w:p w14:paraId="7FA1D60F" w14:textId="77777777" w:rsidR="006F4528" w:rsidRPr="006F4528" w:rsidRDefault="006F4528" w:rsidP="006F4528">
      <w:pPr>
        <w:rPr>
          <w:sz w:val="20"/>
          <w:szCs w:val="20"/>
        </w:rPr>
      </w:pPr>
      <w:r w:rsidRPr="006F4528">
        <w:rPr>
          <w:noProof/>
          <w:lang w:eastAsia="pl-PL"/>
        </w:rPr>
        <w:drawing>
          <wp:inline distT="0" distB="0" distL="0" distR="0" wp14:anchorId="27B9E16A" wp14:editId="02A0C5F2">
            <wp:extent cx="5760720" cy="5760000"/>
            <wp:effectExtent l="0" t="0" r="11430" b="12700"/>
            <wp:docPr id="19" name="Wykres 19">
              <a:extLst xmlns:a="http://schemas.openxmlformats.org/drawingml/2006/main">
                <a:ext uri="{FF2B5EF4-FFF2-40B4-BE49-F238E27FC236}">
                  <a16:creationId xmlns:a16="http://schemas.microsoft.com/office/drawing/2014/main" id="{C340D6C7-2F4D-39E3-BC78-F92D0E183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9E0B5C" w14:textId="77777777" w:rsidR="006F4528" w:rsidRPr="006F4528" w:rsidRDefault="006F4528" w:rsidP="00AD4B36">
      <w:pPr>
        <w:pStyle w:val="rdo"/>
      </w:pPr>
      <w:r w:rsidRPr="006F4528">
        <w:t xml:space="preserve">Źródło: Dane pozyskane z Głównego Urzędu Statystycznego, sprawa </w:t>
      </w:r>
      <w:r w:rsidR="00AB086E">
        <w:fldChar w:fldCharType="begin"/>
      </w:r>
      <w:r w:rsidR="00AB086E">
        <w:instrText xml:space="preserve"> DOCPROPERTY  ZnakSprawy  \* MERGEFORMAT </w:instrText>
      </w:r>
      <w:r w:rsidR="00AB086E">
        <w:fldChar w:fldCharType="separate"/>
      </w:r>
      <w:r w:rsidRPr="006F4528">
        <w:t>GUS-DK02.601.52.2022</w:t>
      </w:r>
      <w:r w:rsidR="00AB086E">
        <w:fldChar w:fldCharType="end"/>
      </w:r>
    </w:p>
    <w:p w14:paraId="3B1971CE" w14:textId="4BA0ECCD" w:rsidR="006F4528" w:rsidRPr="006F4528" w:rsidRDefault="006F4528" w:rsidP="00AD4B36">
      <w:pPr>
        <w:pStyle w:val="tekst"/>
      </w:pPr>
      <w:r w:rsidRPr="006F4528">
        <w:t xml:space="preserve">Wykres </w:t>
      </w:r>
      <w:r w:rsidR="00A24FB9">
        <w:t>5.</w:t>
      </w:r>
      <w:r w:rsidRPr="006F4528">
        <w:t xml:space="preserve">3 w sposób wyraźny potwierdza obserwacje, które można było poczynić na podstawie analizy treści </w:t>
      </w:r>
      <w:r w:rsidR="00A24FB9" w:rsidRPr="00F27183">
        <w:t>tablic 8b dla 2018 i 2019 (aneks tabelaryczny)</w:t>
      </w:r>
      <w:r w:rsidRPr="00F27183">
        <w:t>.</w:t>
      </w:r>
      <w:r w:rsidRPr="006F4528">
        <w:t xml:space="preserve"> Najwyższą wartością netto środków trwałych charakteryzują się te same kategorie podmiotów, w których przypadku wskazywano na najwyższy poziom nakładów inwestycyjnych. Sytuacja taka nie powinna stanowić zaskoczenia, gdyż to właśnie organizacje posiadające największy majątek muszą również najsilniej inwestować w jego rozwój i utrzymanie konkurencyjności, która w znacznej mierze </w:t>
      </w:r>
      <w:r w:rsidRPr="006F4528">
        <w:lastRenderedPageBreak/>
        <w:t>jest oparta właśnie na środkach trwałych. Jednocześnie można również zaobserwować, że ciężko jest wysnuwać głębsze wnioski z samego porównania lat 2018 i 2019.</w:t>
      </w:r>
    </w:p>
    <w:p w14:paraId="5A2FB09E" w14:textId="77777777" w:rsidR="006F4528" w:rsidRPr="006F4528" w:rsidRDefault="006F4528" w:rsidP="00AD4B36">
      <w:pPr>
        <w:pStyle w:val="tekst"/>
      </w:pPr>
      <w:r w:rsidRPr="006F4528">
        <w:t xml:space="preserve">Ostatnią kwestią, która poddano analizie z perspektywy nakładów inwestycyjnych w przedsiębiorstwach turystycznych jest wartość oprogramowania komputerowego. W turystyce i ofercie podmiotów, działających na rynku turystycznym dominują usługi. Ich świadczenie wiąże się (tak jak i w przypadku wielu innych branż) z wykorzystaniem specjalistycznego oprogramowania. Jego implementacja nie powinna być traktowana jako koszt, a jako inwestycja, która przekłada się na usprawnienie i wyższą efektywność procesów obsługi klienta. W wielu przypadkach wdrożenie właściwych systemów np. rezerwacyjnych jest nieodzowne i dla szeregu przedsiębiorstw staje się koniecznością. Jednocześnie jednak powinno przekładać się na wzrost satysfakcji klientów przy jednoczesnym obniżaniu pewnych kosztów własnych np. związanych z wykorzystywaniem personelu. </w:t>
      </w:r>
    </w:p>
    <w:p w14:paraId="729793DB" w14:textId="62316579" w:rsidR="006F4528" w:rsidRPr="006F4528" w:rsidRDefault="006F4528" w:rsidP="00AD4B36">
      <w:pPr>
        <w:pStyle w:val="tekst"/>
      </w:pPr>
      <w:r w:rsidRPr="006F4528">
        <w:t xml:space="preserve">Właściwe dane, prezentujące wartość brutto wykorzystywanego oprogramowania zostały zaprezentowane </w:t>
      </w:r>
      <w:r w:rsidRPr="0000300A">
        <w:t xml:space="preserve">w tabeli </w:t>
      </w:r>
      <w:r w:rsidR="00733944" w:rsidRPr="0000300A">
        <w:t>5.4.</w:t>
      </w:r>
      <w:r w:rsidR="009B3416">
        <w:t xml:space="preserve"> </w:t>
      </w:r>
    </w:p>
    <w:p w14:paraId="565E3700" w14:textId="5F30575D" w:rsidR="006F4528" w:rsidRPr="00A24FB9" w:rsidRDefault="006F4528" w:rsidP="00AD4B36">
      <w:pPr>
        <w:pStyle w:val="nazwa"/>
      </w:pPr>
      <w:bookmarkStart w:id="147" w:name="_Toc115437499"/>
      <w:r w:rsidRPr="00A24FB9">
        <w:t xml:space="preserve">Tabela </w:t>
      </w:r>
      <w:r w:rsidR="00A24FB9" w:rsidRPr="00A24FB9">
        <w:t xml:space="preserve">5.4. </w:t>
      </w:r>
      <w:r w:rsidRPr="00A24FB9">
        <w:t>Wartość brutto - oprogramowanie komputerowe w 2018</w:t>
      </w:r>
      <w:r w:rsidR="00BF08ED">
        <w:t xml:space="preserve"> i</w:t>
      </w:r>
      <w:r w:rsidRPr="00A24FB9">
        <w:t xml:space="preserve"> 2019 roku, </w:t>
      </w:r>
      <w:r w:rsidR="00BF08ED">
        <w:br/>
      </w:r>
      <w:r w:rsidRPr="00A24FB9">
        <w:t>ceny bieżące w tys. zł</w:t>
      </w:r>
      <w:bookmarkEnd w:id="147"/>
    </w:p>
    <w:tbl>
      <w:tblPr>
        <w:tblStyle w:val="Zwykatabela2"/>
        <w:tblW w:w="0" w:type="auto"/>
        <w:tblLayout w:type="fixed"/>
        <w:tblCellMar>
          <w:left w:w="85" w:type="dxa"/>
          <w:right w:w="85" w:type="dxa"/>
        </w:tblCellMar>
        <w:tblLook w:val="06A0" w:firstRow="1" w:lastRow="0" w:firstColumn="1" w:lastColumn="0" w:noHBand="1" w:noVBand="1"/>
      </w:tblPr>
      <w:tblGrid>
        <w:gridCol w:w="988"/>
        <w:gridCol w:w="4252"/>
        <w:gridCol w:w="1985"/>
        <w:gridCol w:w="1837"/>
      </w:tblGrid>
      <w:tr w:rsidR="006F4528" w:rsidRPr="006F4528" w14:paraId="19E268FC" w14:textId="77777777" w:rsidTr="000B18E6">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988" w:type="dxa"/>
            <w:vMerge w:val="restart"/>
            <w:tcBorders>
              <w:top w:val="single" w:sz="4" w:space="0" w:color="7F7F7F" w:themeColor="text1" w:themeTint="80"/>
            </w:tcBorders>
            <w:noWrap/>
            <w:hideMark/>
          </w:tcPr>
          <w:p w14:paraId="4033FAD0" w14:textId="7D241BF4" w:rsidR="006F4528" w:rsidRPr="006F4528" w:rsidRDefault="009B3416" w:rsidP="006F4528">
            <w:pPr>
              <w:rPr>
                <w:sz w:val="20"/>
                <w:szCs w:val="20"/>
              </w:rPr>
            </w:pPr>
            <w:r>
              <w:rPr>
                <w:sz w:val="20"/>
                <w:szCs w:val="20"/>
              </w:rPr>
              <w:t xml:space="preserve"> </w:t>
            </w:r>
            <w:r w:rsidR="006F4528" w:rsidRPr="006F4528">
              <w:rPr>
                <w:sz w:val="20"/>
                <w:szCs w:val="20"/>
              </w:rPr>
              <w:t> </w:t>
            </w:r>
          </w:p>
          <w:p w14:paraId="2529D814" w14:textId="77777777" w:rsidR="006F4528" w:rsidRPr="006F4528" w:rsidRDefault="006F4528" w:rsidP="006F4528">
            <w:pPr>
              <w:rPr>
                <w:sz w:val="20"/>
                <w:szCs w:val="20"/>
              </w:rPr>
            </w:pPr>
            <w:r w:rsidRPr="006F4528">
              <w:rPr>
                <w:sz w:val="20"/>
                <w:szCs w:val="20"/>
              </w:rPr>
              <w:t> </w:t>
            </w:r>
          </w:p>
        </w:tc>
        <w:tc>
          <w:tcPr>
            <w:tcW w:w="4252" w:type="dxa"/>
            <w:vMerge w:val="restart"/>
            <w:tcBorders>
              <w:top w:val="single" w:sz="4" w:space="0" w:color="7F7F7F" w:themeColor="text1" w:themeTint="80"/>
            </w:tcBorders>
            <w:noWrap/>
            <w:vAlign w:val="center"/>
            <w:hideMark/>
          </w:tcPr>
          <w:p w14:paraId="51533AED" w14:textId="77777777" w:rsidR="006F4528" w:rsidRPr="006F4528" w:rsidRDefault="006F4528" w:rsidP="000B18E6">
            <w:pPr>
              <w:cnfStyle w:val="100000000000" w:firstRow="1" w:lastRow="0" w:firstColumn="0" w:lastColumn="0" w:oddVBand="0" w:evenVBand="0" w:oddHBand="0" w:evenHBand="0" w:firstRowFirstColumn="0" w:firstRowLastColumn="0" w:lastRowFirstColumn="0" w:lastRowLastColumn="0"/>
              <w:rPr>
                <w:sz w:val="20"/>
                <w:szCs w:val="20"/>
              </w:rPr>
            </w:pPr>
            <w:r w:rsidRPr="006F4528">
              <w:rPr>
                <w:sz w:val="20"/>
                <w:szCs w:val="20"/>
              </w:rPr>
              <w:t>Rodzaj działalności</w:t>
            </w:r>
          </w:p>
        </w:tc>
        <w:tc>
          <w:tcPr>
            <w:tcW w:w="3822" w:type="dxa"/>
            <w:gridSpan w:val="2"/>
            <w:tcBorders>
              <w:top w:val="single" w:sz="4" w:space="0" w:color="7F7F7F" w:themeColor="text1" w:themeTint="80"/>
            </w:tcBorders>
            <w:hideMark/>
          </w:tcPr>
          <w:p w14:paraId="512F2D1C" w14:textId="09B7DD4F" w:rsidR="006F4528" w:rsidRPr="006F4528" w:rsidRDefault="006F4528" w:rsidP="002470D9">
            <w:pPr>
              <w:jc w:val="center"/>
              <w:cnfStyle w:val="100000000000" w:firstRow="1" w:lastRow="0" w:firstColumn="0" w:lastColumn="0" w:oddVBand="0" w:evenVBand="0" w:oddHBand="0" w:evenHBand="0" w:firstRowFirstColumn="0" w:firstRowLastColumn="0" w:lastRowFirstColumn="0" w:lastRowLastColumn="0"/>
              <w:rPr>
                <w:sz w:val="20"/>
                <w:szCs w:val="20"/>
              </w:rPr>
            </w:pPr>
            <w:r w:rsidRPr="006F4528">
              <w:rPr>
                <w:sz w:val="20"/>
                <w:szCs w:val="20"/>
              </w:rPr>
              <w:t>Oprogramowanie komputerowe **</w:t>
            </w:r>
          </w:p>
        </w:tc>
      </w:tr>
      <w:tr w:rsidR="006F4528" w:rsidRPr="006F4528" w14:paraId="5D6D30BA" w14:textId="77777777" w:rsidTr="000B18E6">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88" w:type="dxa"/>
            <w:vMerge/>
            <w:tcBorders>
              <w:bottom w:val="single" w:sz="6" w:space="0" w:color="7F7F7F" w:themeColor="text1" w:themeTint="80"/>
            </w:tcBorders>
            <w:noWrap/>
            <w:hideMark/>
          </w:tcPr>
          <w:p w14:paraId="1DE24EE9" w14:textId="77777777" w:rsidR="006F4528" w:rsidRPr="006F4528" w:rsidRDefault="006F4528" w:rsidP="006F4528">
            <w:pPr>
              <w:rPr>
                <w:sz w:val="20"/>
                <w:szCs w:val="20"/>
              </w:rPr>
            </w:pPr>
          </w:p>
        </w:tc>
        <w:tc>
          <w:tcPr>
            <w:tcW w:w="4252" w:type="dxa"/>
            <w:vMerge/>
            <w:tcBorders>
              <w:bottom w:val="single" w:sz="6" w:space="0" w:color="7F7F7F" w:themeColor="text1" w:themeTint="80"/>
            </w:tcBorders>
            <w:hideMark/>
          </w:tcPr>
          <w:p w14:paraId="0DF9FF70" w14:textId="77777777" w:rsidR="006F4528" w:rsidRPr="006F4528" w:rsidRDefault="006F4528" w:rsidP="006F4528">
            <w:pPr>
              <w:cnfStyle w:val="100000000000" w:firstRow="1" w:lastRow="0" w:firstColumn="0" w:lastColumn="0" w:oddVBand="0" w:evenVBand="0" w:oddHBand="0" w:evenHBand="0" w:firstRowFirstColumn="0" w:firstRowLastColumn="0" w:lastRowFirstColumn="0" w:lastRowLastColumn="0"/>
              <w:rPr>
                <w:sz w:val="20"/>
                <w:szCs w:val="20"/>
              </w:rPr>
            </w:pPr>
          </w:p>
        </w:tc>
        <w:tc>
          <w:tcPr>
            <w:tcW w:w="1985" w:type="dxa"/>
            <w:tcBorders>
              <w:bottom w:val="single" w:sz="6" w:space="0" w:color="7F7F7F" w:themeColor="text1" w:themeTint="80"/>
            </w:tcBorders>
            <w:vAlign w:val="center"/>
            <w:hideMark/>
          </w:tcPr>
          <w:p w14:paraId="21F991B5" w14:textId="177CC5C5" w:rsidR="006F4528" w:rsidRPr="00950A5F" w:rsidRDefault="006F4528" w:rsidP="008B2F54">
            <w:pPr>
              <w:jc w:val="right"/>
              <w:cnfStyle w:val="100000000000" w:firstRow="1" w:lastRow="0" w:firstColumn="0" w:lastColumn="0" w:oddVBand="0" w:evenVBand="0" w:oddHBand="0" w:evenHBand="0" w:firstRowFirstColumn="0" w:firstRowLastColumn="0" w:lastRowFirstColumn="0" w:lastRowLastColumn="0"/>
              <w:rPr>
                <w:b w:val="0"/>
                <w:bCs w:val="0"/>
                <w:sz w:val="20"/>
                <w:szCs w:val="20"/>
              </w:rPr>
            </w:pPr>
            <w:r w:rsidRPr="00950A5F">
              <w:rPr>
                <w:sz w:val="20"/>
                <w:szCs w:val="20"/>
              </w:rPr>
              <w:t> 2018</w:t>
            </w:r>
          </w:p>
        </w:tc>
        <w:tc>
          <w:tcPr>
            <w:tcW w:w="1837" w:type="dxa"/>
            <w:tcBorders>
              <w:bottom w:val="single" w:sz="6" w:space="0" w:color="7F7F7F" w:themeColor="text1" w:themeTint="80"/>
            </w:tcBorders>
            <w:vAlign w:val="center"/>
            <w:hideMark/>
          </w:tcPr>
          <w:p w14:paraId="7EDC1DB9" w14:textId="77777777" w:rsidR="006F4528" w:rsidRPr="00950A5F" w:rsidRDefault="006F4528" w:rsidP="008B2F54">
            <w:pPr>
              <w:jc w:val="right"/>
              <w:cnfStyle w:val="100000000000" w:firstRow="1" w:lastRow="0" w:firstColumn="0" w:lastColumn="0" w:oddVBand="0" w:evenVBand="0" w:oddHBand="0" w:evenHBand="0" w:firstRowFirstColumn="0" w:firstRowLastColumn="0" w:lastRowFirstColumn="0" w:lastRowLastColumn="0"/>
              <w:rPr>
                <w:b w:val="0"/>
                <w:bCs w:val="0"/>
                <w:sz w:val="20"/>
                <w:szCs w:val="20"/>
              </w:rPr>
            </w:pPr>
            <w:r w:rsidRPr="00950A5F">
              <w:rPr>
                <w:sz w:val="20"/>
                <w:szCs w:val="20"/>
              </w:rPr>
              <w:t>2019</w:t>
            </w:r>
          </w:p>
        </w:tc>
      </w:tr>
      <w:tr w:rsidR="006F4528" w:rsidRPr="006F4528" w14:paraId="2D00B5AA" w14:textId="77777777" w:rsidTr="000B18E6">
        <w:trPr>
          <w:trHeight w:val="454"/>
        </w:trPr>
        <w:tc>
          <w:tcPr>
            <w:cnfStyle w:val="001000000000" w:firstRow="0" w:lastRow="0" w:firstColumn="1" w:lastColumn="0" w:oddVBand="0" w:evenVBand="0" w:oddHBand="0" w:evenHBand="0" w:firstRowFirstColumn="0" w:firstRowLastColumn="0" w:lastRowFirstColumn="0" w:lastRowLastColumn="0"/>
            <w:tcW w:w="988" w:type="dxa"/>
            <w:tcBorders>
              <w:top w:val="single" w:sz="6" w:space="0" w:color="7F7F7F" w:themeColor="text1" w:themeTint="80"/>
            </w:tcBorders>
            <w:noWrap/>
            <w:vAlign w:val="center"/>
            <w:hideMark/>
          </w:tcPr>
          <w:p w14:paraId="40F3266A" w14:textId="77777777" w:rsidR="006F4528" w:rsidRPr="003C00B8" w:rsidRDefault="006F4528" w:rsidP="006C4149">
            <w:pPr>
              <w:rPr>
                <w:b w:val="0"/>
                <w:bCs w:val="0"/>
                <w:sz w:val="20"/>
                <w:szCs w:val="20"/>
              </w:rPr>
            </w:pPr>
            <w:r w:rsidRPr="003C00B8">
              <w:rPr>
                <w:b w:val="0"/>
                <w:bCs w:val="0"/>
                <w:sz w:val="20"/>
                <w:szCs w:val="20"/>
              </w:rPr>
              <w:t>49.1</w:t>
            </w:r>
          </w:p>
        </w:tc>
        <w:tc>
          <w:tcPr>
            <w:tcW w:w="4252" w:type="dxa"/>
            <w:tcBorders>
              <w:top w:val="single" w:sz="6" w:space="0" w:color="7F7F7F" w:themeColor="text1" w:themeTint="80"/>
            </w:tcBorders>
            <w:noWrap/>
            <w:vAlign w:val="center"/>
            <w:hideMark/>
          </w:tcPr>
          <w:p w14:paraId="4B1577FD"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Transport kolejowy pasażerski międzymiastowy</w:t>
            </w:r>
          </w:p>
        </w:tc>
        <w:tc>
          <w:tcPr>
            <w:tcW w:w="1985" w:type="dxa"/>
            <w:tcBorders>
              <w:top w:val="single" w:sz="6" w:space="0" w:color="7F7F7F" w:themeColor="text1" w:themeTint="80"/>
            </w:tcBorders>
            <w:noWrap/>
            <w:vAlign w:val="center"/>
            <w:hideMark/>
          </w:tcPr>
          <w:p w14:paraId="11A909B1"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25 979</w:t>
            </w:r>
          </w:p>
        </w:tc>
        <w:tc>
          <w:tcPr>
            <w:tcW w:w="1837" w:type="dxa"/>
            <w:tcBorders>
              <w:top w:val="single" w:sz="6" w:space="0" w:color="7F7F7F" w:themeColor="text1" w:themeTint="80"/>
            </w:tcBorders>
            <w:noWrap/>
            <w:vAlign w:val="center"/>
            <w:hideMark/>
          </w:tcPr>
          <w:p w14:paraId="1CE58A8B"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10 040</w:t>
            </w:r>
          </w:p>
        </w:tc>
      </w:tr>
      <w:tr w:rsidR="006F4528" w:rsidRPr="006F4528" w14:paraId="625AF1EE"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0F45F2F5" w14:textId="77777777" w:rsidR="006F4528" w:rsidRPr="003C00B8" w:rsidRDefault="006F4528" w:rsidP="006C4149">
            <w:pPr>
              <w:rPr>
                <w:b w:val="0"/>
                <w:bCs w:val="0"/>
                <w:sz w:val="20"/>
                <w:szCs w:val="20"/>
              </w:rPr>
            </w:pPr>
            <w:r w:rsidRPr="003C00B8">
              <w:rPr>
                <w:b w:val="0"/>
                <w:bCs w:val="0"/>
                <w:sz w:val="20"/>
                <w:szCs w:val="20"/>
              </w:rPr>
              <w:t>49.3</w:t>
            </w:r>
          </w:p>
        </w:tc>
        <w:tc>
          <w:tcPr>
            <w:tcW w:w="4252" w:type="dxa"/>
            <w:noWrap/>
            <w:vAlign w:val="center"/>
            <w:hideMark/>
          </w:tcPr>
          <w:p w14:paraId="09865D53"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Pozostały transport lądowy pasażerski</w:t>
            </w:r>
          </w:p>
        </w:tc>
        <w:tc>
          <w:tcPr>
            <w:tcW w:w="1985" w:type="dxa"/>
            <w:noWrap/>
            <w:vAlign w:val="center"/>
            <w:hideMark/>
          </w:tcPr>
          <w:p w14:paraId="02B6F519"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124 785</w:t>
            </w:r>
          </w:p>
        </w:tc>
        <w:tc>
          <w:tcPr>
            <w:tcW w:w="1837" w:type="dxa"/>
            <w:noWrap/>
            <w:vAlign w:val="center"/>
            <w:hideMark/>
          </w:tcPr>
          <w:p w14:paraId="3FE57F8C"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114 120</w:t>
            </w:r>
          </w:p>
        </w:tc>
      </w:tr>
      <w:tr w:rsidR="006F4528" w:rsidRPr="006F4528" w14:paraId="3444E035"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60020A9" w14:textId="77777777" w:rsidR="006F4528" w:rsidRPr="003C00B8" w:rsidRDefault="006F4528" w:rsidP="006C4149">
            <w:pPr>
              <w:rPr>
                <w:b w:val="0"/>
                <w:bCs w:val="0"/>
                <w:sz w:val="20"/>
                <w:szCs w:val="20"/>
              </w:rPr>
            </w:pPr>
            <w:r w:rsidRPr="003C00B8">
              <w:rPr>
                <w:b w:val="0"/>
                <w:bCs w:val="0"/>
                <w:sz w:val="20"/>
                <w:szCs w:val="20"/>
              </w:rPr>
              <w:t>50.1</w:t>
            </w:r>
          </w:p>
        </w:tc>
        <w:tc>
          <w:tcPr>
            <w:tcW w:w="4252" w:type="dxa"/>
            <w:noWrap/>
            <w:vAlign w:val="center"/>
            <w:hideMark/>
          </w:tcPr>
          <w:p w14:paraId="5DF1CE22"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Transport morski i przybrzeżny pasażerski</w:t>
            </w:r>
          </w:p>
        </w:tc>
        <w:tc>
          <w:tcPr>
            <w:tcW w:w="1985" w:type="dxa"/>
            <w:noWrap/>
            <w:vAlign w:val="center"/>
            <w:hideMark/>
          </w:tcPr>
          <w:p w14:paraId="207DC6EB"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w:t>
            </w:r>
          </w:p>
        </w:tc>
        <w:tc>
          <w:tcPr>
            <w:tcW w:w="1837" w:type="dxa"/>
            <w:noWrap/>
            <w:vAlign w:val="center"/>
            <w:hideMark/>
          </w:tcPr>
          <w:p w14:paraId="1444F3AD"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w:t>
            </w:r>
          </w:p>
        </w:tc>
      </w:tr>
      <w:tr w:rsidR="006F4528" w:rsidRPr="006F4528" w14:paraId="4A7E3CBB"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15A191C" w14:textId="77777777" w:rsidR="006F4528" w:rsidRPr="003C00B8" w:rsidRDefault="006F4528" w:rsidP="006C4149">
            <w:pPr>
              <w:rPr>
                <w:b w:val="0"/>
                <w:bCs w:val="0"/>
                <w:sz w:val="20"/>
                <w:szCs w:val="20"/>
              </w:rPr>
            </w:pPr>
            <w:r w:rsidRPr="003C00B8">
              <w:rPr>
                <w:b w:val="0"/>
                <w:bCs w:val="0"/>
                <w:sz w:val="20"/>
                <w:szCs w:val="20"/>
              </w:rPr>
              <w:t>50.3</w:t>
            </w:r>
          </w:p>
        </w:tc>
        <w:tc>
          <w:tcPr>
            <w:tcW w:w="4252" w:type="dxa"/>
            <w:noWrap/>
            <w:vAlign w:val="center"/>
            <w:hideMark/>
          </w:tcPr>
          <w:p w14:paraId="0882286F"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Transport wodny śródlądowy pasażerski</w:t>
            </w:r>
          </w:p>
        </w:tc>
        <w:tc>
          <w:tcPr>
            <w:tcW w:w="1985" w:type="dxa"/>
            <w:noWrap/>
            <w:vAlign w:val="center"/>
            <w:hideMark/>
          </w:tcPr>
          <w:p w14:paraId="0455D4F6"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29</w:t>
            </w:r>
          </w:p>
        </w:tc>
        <w:tc>
          <w:tcPr>
            <w:tcW w:w="1837" w:type="dxa"/>
            <w:noWrap/>
            <w:vAlign w:val="center"/>
            <w:hideMark/>
          </w:tcPr>
          <w:p w14:paraId="6BD7A267"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w:t>
            </w:r>
          </w:p>
        </w:tc>
      </w:tr>
      <w:tr w:rsidR="006F4528" w:rsidRPr="006F4528" w14:paraId="5D54D021"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67ECC0C0" w14:textId="77777777" w:rsidR="006F4528" w:rsidRPr="003C00B8" w:rsidRDefault="006F4528" w:rsidP="006C4149">
            <w:pPr>
              <w:rPr>
                <w:b w:val="0"/>
                <w:bCs w:val="0"/>
                <w:sz w:val="20"/>
                <w:szCs w:val="20"/>
              </w:rPr>
            </w:pPr>
            <w:r w:rsidRPr="003C00B8">
              <w:rPr>
                <w:b w:val="0"/>
                <w:bCs w:val="0"/>
                <w:sz w:val="20"/>
                <w:szCs w:val="20"/>
              </w:rPr>
              <w:t>51.1</w:t>
            </w:r>
          </w:p>
        </w:tc>
        <w:tc>
          <w:tcPr>
            <w:tcW w:w="4252" w:type="dxa"/>
            <w:noWrap/>
            <w:vAlign w:val="center"/>
            <w:hideMark/>
          </w:tcPr>
          <w:p w14:paraId="00AB7865"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Transport lotniczy pasażerski</w:t>
            </w:r>
          </w:p>
        </w:tc>
        <w:tc>
          <w:tcPr>
            <w:tcW w:w="1985" w:type="dxa"/>
            <w:noWrap/>
            <w:vAlign w:val="center"/>
            <w:hideMark/>
          </w:tcPr>
          <w:p w14:paraId="4D366AB8"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61 360</w:t>
            </w:r>
          </w:p>
        </w:tc>
        <w:tc>
          <w:tcPr>
            <w:tcW w:w="1837" w:type="dxa"/>
            <w:noWrap/>
            <w:vAlign w:val="center"/>
            <w:hideMark/>
          </w:tcPr>
          <w:p w14:paraId="3BA8FF3E"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77 170</w:t>
            </w:r>
          </w:p>
        </w:tc>
      </w:tr>
      <w:tr w:rsidR="006F4528" w:rsidRPr="006F4528" w14:paraId="3C336628"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9C15D54" w14:textId="77777777" w:rsidR="006F4528" w:rsidRPr="003C00B8" w:rsidRDefault="006F4528" w:rsidP="006C4149">
            <w:pPr>
              <w:rPr>
                <w:b w:val="0"/>
                <w:bCs w:val="0"/>
                <w:sz w:val="20"/>
                <w:szCs w:val="20"/>
              </w:rPr>
            </w:pPr>
            <w:r w:rsidRPr="003C00B8">
              <w:rPr>
                <w:b w:val="0"/>
                <w:bCs w:val="0"/>
                <w:sz w:val="20"/>
                <w:szCs w:val="20"/>
              </w:rPr>
              <w:t>55.1</w:t>
            </w:r>
          </w:p>
        </w:tc>
        <w:tc>
          <w:tcPr>
            <w:tcW w:w="4252" w:type="dxa"/>
            <w:noWrap/>
            <w:vAlign w:val="center"/>
            <w:hideMark/>
          </w:tcPr>
          <w:p w14:paraId="2A26231A"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Hotele i podobne obiekty zakwaterowania</w:t>
            </w:r>
          </w:p>
        </w:tc>
        <w:tc>
          <w:tcPr>
            <w:tcW w:w="1985" w:type="dxa"/>
            <w:noWrap/>
            <w:vAlign w:val="center"/>
            <w:hideMark/>
          </w:tcPr>
          <w:p w14:paraId="141D7025"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75 017</w:t>
            </w:r>
          </w:p>
        </w:tc>
        <w:tc>
          <w:tcPr>
            <w:tcW w:w="1837" w:type="dxa"/>
            <w:noWrap/>
            <w:vAlign w:val="center"/>
            <w:hideMark/>
          </w:tcPr>
          <w:p w14:paraId="4863EACC"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86 278</w:t>
            </w:r>
          </w:p>
        </w:tc>
      </w:tr>
      <w:tr w:rsidR="006F4528" w:rsidRPr="006F4528" w14:paraId="625604B3"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AE2E267" w14:textId="77777777" w:rsidR="006F4528" w:rsidRPr="003C00B8" w:rsidRDefault="006F4528" w:rsidP="006C4149">
            <w:pPr>
              <w:rPr>
                <w:b w:val="0"/>
                <w:bCs w:val="0"/>
                <w:sz w:val="20"/>
                <w:szCs w:val="20"/>
              </w:rPr>
            </w:pPr>
            <w:r w:rsidRPr="003C00B8">
              <w:rPr>
                <w:b w:val="0"/>
                <w:bCs w:val="0"/>
                <w:sz w:val="20"/>
                <w:szCs w:val="20"/>
              </w:rPr>
              <w:t>55.2</w:t>
            </w:r>
          </w:p>
        </w:tc>
        <w:tc>
          <w:tcPr>
            <w:tcW w:w="4252" w:type="dxa"/>
            <w:vAlign w:val="center"/>
            <w:hideMark/>
          </w:tcPr>
          <w:p w14:paraId="0D14430B"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Obiekty noclegowe turystyczne i miejsca krótkotrwałego zakwaterowania</w:t>
            </w:r>
          </w:p>
        </w:tc>
        <w:tc>
          <w:tcPr>
            <w:tcW w:w="1985" w:type="dxa"/>
            <w:noWrap/>
            <w:vAlign w:val="center"/>
            <w:hideMark/>
          </w:tcPr>
          <w:p w14:paraId="5D5CA442"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3 352</w:t>
            </w:r>
          </w:p>
        </w:tc>
        <w:tc>
          <w:tcPr>
            <w:tcW w:w="1837" w:type="dxa"/>
            <w:noWrap/>
            <w:vAlign w:val="center"/>
            <w:hideMark/>
          </w:tcPr>
          <w:p w14:paraId="461658B5"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2 826</w:t>
            </w:r>
          </w:p>
        </w:tc>
      </w:tr>
      <w:tr w:rsidR="006F4528" w:rsidRPr="006F4528" w14:paraId="6F84E403"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8FF24EA" w14:textId="77777777" w:rsidR="006F4528" w:rsidRPr="003C00B8" w:rsidRDefault="006F4528" w:rsidP="006C4149">
            <w:pPr>
              <w:rPr>
                <w:b w:val="0"/>
                <w:bCs w:val="0"/>
                <w:sz w:val="20"/>
                <w:szCs w:val="20"/>
              </w:rPr>
            </w:pPr>
            <w:r w:rsidRPr="003C00B8">
              <w:rPr>
                <w:b w:val="0"/>
                <w:bCs w:val="0"/>
                <w:sz w:val="20"/>
                <w:szCs w:val="20"/>
              </w:rPr>
              <w:t>55.3</w:t>
            </w:r>
          </w:p>
        </w:tc>
        <w:tc>
          <w:tcPr>
            <w:tcW w:w="4252" w:type="dxa"/>
            <w:noWrap/>
            <w:vAlign w:val="center"/>
            <w:hideMark/>
          </w:tcPr>
          <w:p w14:paraId="0F37EF57"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Pola kempingowe</w:t>
            </w:r>
          </w:p>
        </w:tc>
        <w:tc>
          <w:tcPr>
            <w:tcW w:w="1985" w:type="dxa"/>
            <w:noWrap/>
            <w:vAlign w:val="center"/>
            <w:hideMark/>
          </w:tcPr>
          <w:p w14:paraId="6FE59746"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w:t>
            </w:r>
          </w:p>
        </w:tc>
        <w:tc>
          <w:tcPr>
            <w:tcW w:w="1837" w:type="dxa"/>
            <w:noWrap/>
            <w:vAlign w:val="center"/>
            <w:hideMark/>
          </w:tcPr>
          <w:p w14:paraId="55E93AE2"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0</w:t>
            </w:r>
          </w:p>
        </w:tc>
      </w:tr>
      <w:tr w:rsidR="006F4528" w:rsidRPr="006F4528" w14:paraId="0401790B"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82C4737" w14:textId="77777777" w:rsidR="006F4528" w:rsidRPr="003C00B8" w:rsidRDefault="006F4528" w:rsidP="006C4149">
            <w:pPr>
              <w:rPr>
                <w:b w:val="0"/>
                <w:bCs w:val="0"/>
                <w:sz w:val="20"/>
                <w:szCs w:val="20"/>
              </w:rPr>
            </w:pPr>
            <w:r w:rsidRPr="003C00B8">
              <w:rPr>
                <w:b w:val="0"/>
                <w:bCs w:val="0"/>
                <w:sz w:val="20"/>
                <w:szCs w:val="20"/>
              </w:rPr>
              <w:t>55.9</w:t>
            </w:r>
          </w:p>
        </w:tc>
        <w:tc>
          <w:tcPr>
            <w:tcW w:w="4252" w:type="dxa"/>
            <w:noWrap/>
            <w:vAlign w:val="center"/>
            <w:hideMark/>
          </w:tcPr>
          <w:p w14:paraId="35B4FA33"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Pozostałe zakwaterowanie</w:t>
            </w:r>
          </w:p>
        </w:tc>
        <w:tc>
          <w:tcPr>
            <w:tcW w:w="1985" w:type="dxa"/>
            <w:noWrap/>
            <w:vAlign w:val="center"/>
            <w:hideMark/>
          </w:tcPr>
          <w:p w14:paraId="7AEF3B9C"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188</w:t>
            </w:r>
          </w:p>
        </w:tc>
        <w:tc>
          <w:tcPr>
            <w:tcW w:w="1837" w:type="dxa"/>
            <w:noWrap/>
            <w:vAlign w:val="center"/>
            <w:hideMark/>
          </w:tcPr>
          <w:p w14:paraId="46CEBBA5"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84</w:t>
            </w:r>
          </w:p>
        </w:tc>
      </w:tr>
      <w:tr w:rsidR="006F4528" w:rsidRPr="006F4528" w14:paraId="16CEEE54"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478D5524" w14:textId="77777777" w:rsidR="006F4528" w:rsidRPr="003C00B8" w:rsidRDefault="006F4528" w:rsidP="006C4149">
            <w:pPr>
              <w:rPr>
                <w:b w:val="0"/>
                <w:bCs w:val="0"/>
                <w:sz w:val="20"/>
                <w:szCs w:val="20"/>
              </w:rPr>
            </w:pPr>
            <w:r w:rsidRPr="003C00B8">
              <w:rPr>
                <w:b w:val="0"/>
                <w:bCs w:val="0"/>
                <w:sz w:val="20"/>
                <w:szCs w:val="20"/>
              </w:rPr>
              <w:t>56.1</w:t>
            </w:r>
          </w:p>
        </w:tc>
        <w:tc>
          <w:tcPr>
            <w:tcW w:w="4252" w:type="dxa"/>
            <w:noWrap/>
            <w:vAlign w:val="center"/>
            <w:hideMark/>
          </w:tcPr>
          <w:p w14:paraId="14081E1F"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Restauracje i pozostałe placówki gastronomiczne</w:t>
            </w:r>
          </w:p>
        </w:tc>
        <w:tc>
          <w:tcPr>
            <w:tcW w:w="1985" w:type="dxa"/>
            <w:noWrap/>
            <w:vAlign w:val="center"/>
            <w:hideMark/>
          </w:tcPr>
          <w:p w14:paraId="16784F26"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18 408</w:t>
            </w:r>
          </w:p>
        </w:tc>
        <w:tc>
          <w:tcPr>
            <w:tcW w:w="1837" w:type="dxa"/>
            <w:noWrap/>
            <w:vAlign w:val="center"/>
            <w:hideMark/>
          </w:tcPr>
          <w:p w14:paraId="20812E03"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21 766</w:t>
            </w:r>
          </w:p>
        </w:tc>
      </w:tr>
      <w:tr w:rsidR="006F4528" w:rsidRPr="006F4528" w14:paraId="271573F1"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1B99B9B3" w14:textId="77777777" w:rsidR="006F4528" w:rsidRPr="003C00B8" w:rsidRDefault="006F4528" w:rsidP="006C4149">
            <w:pPr>
              <w:rPr>
                <w:b w:val="0"/>
                <w:bCs w:val="0"/>
                <w:sz w:val="20"/>
                <w:szCs w:val="20"/>
              </w:rPr>
            </w:pPr>
            <w:r w:rsidRPr="003C00B8">
              <w:rPr>
                <w:b w:val="0"/>
                <w:bCs w:val="0"/>
                <w:sz w:val="20"/>
                <w:szCs w:val="20"/>
              </w:rPr>
              <w:t>56.2</w:t>
            </w:r>
          </w:p>
        </w:tc>
        <w:tc>
          <w:tcPr>
            <w:tcW w:w="4252" w:type="dxa"/>
            <w:noWrap/>
            <w:vAlign w:val="center"/>
            <w:hideMark/>
          </w:tcPr>
          <w:p w14:paraId="7375CFCE"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Przygotowywanie żywności dla odbiorców zewnętrznych</w:t>
            </w:r>
          </w:p>
        </w:tc>
        <w:tc>
          <w:tcPr>
            <w:tcW w:w="1985" w:type="dxa"/>
            <w:noWrap/>
            <w:vAlign w:val="center"/>
            <w:hideMark/>
          </w:tcPr>
          <w:p w14:paraId="09B2127E"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5 881</w:t>
            </w:r>
          </w:p>
        </w:tc>
        <w:tc>
          <w:tcPr>
            <w:tcW w:w="1837" w:type="dxa"/>
            <w:noWrap/>
            <w:vAlign w:val="center"/>
            <w:hideMark/>
          </w:tcPr>
          <w:p w14:paraId="0F7C1A9B"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7 452</w:t>
            </w:r>
          </w:p>
        </w:tc>
      </w:tr>
      <w:tr w:rsidR="006F4528" w:rsidRPr="006F4528" w14:paraId="521C5FB3"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7D0DB0E6" w14:textId="77777777" w:rsidR="006F4528" w:rsidRPr="003C00B8" w:rsidRDefault="006F4528" w:rsidP="006C4149">
            <w:pPr>
              <w:rPr>
                <w:b w:val="0"/>
                <w:bCs w:val="0"/>
                <w:sz w:val="20"/>
                <w:szCs w:val="20"/>
              </w:rPr>
            </w:pPr>
            <w:r w:rsidRPr="003C00B8">
              <w:rPr>
                <w:b w:val="0"/>
                <w:bCs w:val="0"/>
                <w:sz w:val="20"/>
                <w:szCs w:val="20"/>
              </w:rPr>
              <w:t>56.3</w:t>
            </w:r>
          </w:p>
        </w:tc>
        <w:tc>
          <w:tcPr>
            <w:tcW w:w="4252" w:type="dxa"/>
            <w:noWrap/>
            <w:vAlign w:val="center"/>
            <w:hideMark/>
          </w:tcPr>
          <w:p w14:paraId="11486B48"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Przygotowywanie i podawanie napojów</w:t>
            </w:r>
          </w:p>
        </w:tc>
        <w:tc>
          <w:tcPr>
            <w:tcW w:w="1985" w:type="dxa"/>
            <w:noWrap/>
            <w:vAlign w:val="center"/>
            <w:hideMark/>
          </w:tcPr>
          <w:p w14:paraId="22486939"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11</w:t>
            </w:r>
          </w:p>
        </w:tc>
        <w:tc>
          <w:tcPr>
            <w:tcW w:w="1837" w:type="dxa"/>
            <w:noWrap/>
            <w:vAlign w:val="center"/>
            <w:hideMark/>
          </w:tcPr>
          <w:p w14:paraId="4EF96ECC"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0</w:t>
            </w:r>
          </w:p>
        </w:tc>
      </w:tr>
      <w:tr w:rsidR="006F4528" w:rsidRPr="006F4528" w14:paraId="03BF3FC8"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25903CD5" w14:textId="77777777" w:rsidR="006F4528" w:rsidRPr="003C00B8" w:rsidRDefault="006F4528" w:rsidP="006C4149">
            <w:pPr>
              <w:rPr>
                <w:b w:val="0"/>
                <w:bCs w:val="0"/>
                <w:sz w:val="20"/>
                <w:szCs w:val="20"/>
              </w:rPr>
            </w:pPr>
            <w:r w:rsidRPr="003C00B8">
              <w:rPr>
                <w:b w:val="0"/>
                <w:bCs w:val="0"/>
                <w:sz w:val="20"/>
                <w:szCs w:val="20"/>
              </w:rPr>
              <w:t>79.1</w:t>
            </w:r>
          </w:p>
        </w:tc>
        <w:tc>
          <w:tcPr>
            <w:tcW w:w="4252" w:type="dxa"/>
            <w:vAlign w:val="center"/>
            <w:hideMark/>
          </w:tcPr>
          <w:p w14:paraId="297A72F3"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 xml:space="preserve">Działalność agentów i pośredników turystycznych oraz organizatorów turystyki </w:t>
            </w:r>
          </w:p>
        </w:tc>
        <w:tc>
          <w:tcPr>
            <w:tcW w:w="1985" w:type="dxa"/>
            <w:noWrap/>
            <w:vAlign w:val="center"/>
            <w:hideMark/>
          </w:tcPr>
          <w:p w14:paraId="59989743"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73 176</w:t>
            </w:r>
          </w:p>
        </w:tc>
        <w:tc>
          <w:tcPr>
            <w:tcW w:w="1837" w:type="dxa"/>
            <w:noWrap/>
            <w:vAlign w:val="center"/>
            <w:hideMark/>
          </w:tcPr>
          <w:p w14:paraId="4DEFCE04"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14 728</w:t>
            </w:r>
          </w:p>
        </w:tc>
      </w:tr>
      <w:tr w:rsidR="006F4528" w:rsidRPr="006F4528" w14:paraId="40879231"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noWrap/>
            <w:vAlign w:val="center"/>
            <w:hideMark/>
          </w:tcPr>
          <w:p w14:paraId="5AFE8457" w14:textId="77777777" w:rsidR="006F4528" w:rsidRPr="003C00B8" w:rsidRDefault="006F4528" w:rsidP="006C4149">
            <w:pPr>
              <w:rPr>
                <w:b w:val="0"/>
                <w:bCs w:val="0"/>
                <w:sz w:val="20"/>
                <w:szCs w:val="20"/>
              </w:rPr>
            </w:pPr>
            <w:r w:rsidRPr="003C00B8">
              <w:rPr>
                <w:b w:val="0"/>
                <w:bCs w:val="0"/>
                <w:sz w:val="20"/>
                <w:szCs w:val="20"/>
              </w:rPr>
              <w:t>79.9</w:t>
            </w:r>
          </w:p>
        </w:tc>
        <w:tc>
          <w:tcPr>
            <w:tcW w:w="4252" w:type="dxa"/>
            <w:vAlign w:val="center"/>
            <w:hideMark/>
          </w:tcPr>
          <w:p w14:paraId="7127EFA5"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Pozostała działalność usługowa w zakresie rezerwacji i działalności z nią związane</w:t>
            </w:r>
          </w:p>
        </w:tc>
        <w:tc>
          <w:tcPr>
            <w:tcW w:w="1985" w:type="dxa"/>
            <w:noWrap/>
            <w:vAlign w:val="center"/>
            <w:hideMark/>
          </w:tcPr>
          <w:p w14:paraId="24217851"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8 619</w:t>
            </w:r>
          </w:p>
        </w:tc>
        <w:tc>
          <w:tcPr>
            <w:tcW w:w="1837" w:type="dxa"/>
            <w:noWrap/>
            <w:vAlign w:val="center"/>
            <w:hideMark/>
          </w:tcPr>
          <w:p w14:paraId="33117A24"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7 923</w:t>
            </w:r>
          </w:p>
        </w:tc>
      </w:tr>
      <w:tr w:rsidR="006F4528" w:rsidRPr="006F4528" w14:paraId="22CE23FA"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tcBorders>
              <w:bottom w:val="nil"/>
            </w:tcBorders>
            <w:noWrap/>
            <w:vAlign w:val="center"/>
            <w:hideMark/>
          </w:tcPr>
          <w:p w14:paraId="2C0036D9" w14:textId="77777777" w:rsidR="006F4528" w:rsidRPr="003C00B8" w:rsidRDefault="006F4528" w:rsidP="006C4149">
            <w:pPr>
              <w:rPr>
                <w:b w:val="0"/>
                <w:bCs w:val="0"/>
                <w:sz w:val="20"/>
                <w:szCs w:val="20"/>
              </w:rPr>
            </w:pPr>
            <w:r w:rsidRPr="003C00B8">
              <w:rPr>
                <w:b w:val="0"/>
                <w:bCs w:val="0"/>
                <w:sz w:val="20"/>
                <w:szCs w:val="20"/>
              </w:rPr>
              <w:t>91.0</w:t>
            </w:r>
          </w:p>
        </w:tc>
        <w:tc>
          <w:tcPr>
            <w:tcW w:w="4252" w:type="dxa"/>
            <w:tcBorders>
              <w:bottom w:val="nil"/>
            </w:tcBorders>
            <w:vAlign w:val="center"/>
            <w:hideMark/>
          </w:tcPr>
          <w:p w14:paraId="1F44DC87"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Działalność bibliotek, archiwów, muzeów oraz pozostała działalność związana z kulturą</w:t>
            </w:r>
          </w:p>
        </w:tc>
        <w:tc>
          <w:tcPr>
            <w:tcW w:w="1985" w:type="dxa"/>
            <w:tcBorders>
              <w:bottom w:val="nil"/>
            </w:tcBorders>
            <w:noWrap/>
            <w:vAlign w:val="center"/>
            <w:hideMark/>
          </w:tcPr>
          <w:p w14:paraId="2FCCFBA3"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122 171</w:t>
            </w:r>
          </w:p>
        </w:tc>
        <w:tc>
          <w:tcPr>
            <w:tcW w:w="1837" w:type="dxa"/>
            <w:tcBorders>
              <w:bottom w:val="nil"/>
            </w:tcBorders>
            <w:noWrap/>
            <w:vAlign w:val="center"/>
            <w:hideMark/>
          </w:tcPr>
          <w:p w14:paraId="65DE78D3" w14:textId="77777777"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146 207</w:t>
            </w:r>
          </w:p>
        </w:tc>
      </w:tr>
      <w:tr w:rsidR="006F4528" w:rsidRPr="006F4528" w14:paraId="25BDB554"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988" w:type="dxa"/>
            <w:tcBorders>
              <w:top w:val="nil"/>
              <w:bottom w:val="single" w:sz="4" w:space="0" w:color="auto"/>
            </w:tcBorders>
            <w:noWrap/>
            <w:vAlign w:val="center"/>
            <w:hideMark/>
          </w:tcPr>
          <w:p w14:paraId="5946E1D2" w14:textId="77777777" w:rsidR="006F4528" w:rsidRPr="003C00B8" w:rsidRDefault="006F4528" w:rsidP="006C4149">
            <w:pPr>
              <w:rPr>
                <w:b w:val="0"/>
                <w:bCs w:val="0"/>
                <w:sz w:val="20"/>
                <w:szCs w:val="20"/>
              </w:rPr>
            </w:pPr>
            <w:r w:rsidRPr="003C00B8">
              <w:rPr>
                <w:b w:val="0"/>
                <w:bCs w:val="0"/>
                <w:sz w:val="20"/>
                <w:szCs w:val="20"/>
              </w:rPr>
              <w:t>93</w:t>
            </w:r>
          </w:p>
        </w:tc>
        <w:tc>
          <w:tcPr>
            <w:tcW w:w="4252" w:type="dxa"/>
            <w:tcBorders>
              <w:top w:val="nil"/>
              <w:bottom w:val="single" w:sz="4" w:space="0" w:color="auto"/>
            </w:tcBorders>
            <w:vAlign w:val="center"/>
            <w:hideMark/>
          </w:tcPr>
          <w:p w14:paraId="0F521161" w14:textId="77777777" w:rsidR="006F4528" w:rsidRPr="006F4528" w:rsidRDefault="006F4528" w:rsidP="006C4149">
            <w:pPr>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Działalność sportowa, rozrywkowa i rekreacyjna</w:t>
            </w:r>
          </w:p>
        </w:tc>
        <w:tc>
          <w:tcPr>
            <w:tcW w:w="1985" w:type="dxa"/>
            <w:tcBorders>
              <w:top w:val="nil"/>
              <w:bottom w:val="single" w:sz="4" w:space="0" w:color="auto"/>
            </w:tcBorders>
            <w:noWrap/>
            <w:vAlign w:val="center"/>
            <w:hideMark/>
          </w:tcPr>
          <w:p w14:paraId="5A7172C7" w14:textId="6B4ACFF1"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8</w:t>
            </w:r>
            <w:r w:rsidR="00950A5F">
              <w:rPr>
                <w:sz w:val="20"/>
                <w:szCs w:val="20"/>
              </w:rPr>
              <w:t xml:space="preserve"> </w:t>
            </w:r>
            <w:r w:rsidRPr="006F4528">
              <w:rPr>
                <w:sz w:val="20"/>
                <w:szCs w:val="20"/>
              </w:rPr>
              <w:t>386</w:t>
            </w:r>
          </w:p>
        </w:tc>
        <w:tc>
          <w:tcPr>
            <w:tcW w:w="1837" w:type="dxa"/>
            <w:tcBorders>
              <w:top w:val="nil"/>
              <w:bottom w:val="single" w:sz="4" w:space="0" w:color="auto"/>
            </w:tcBorders>
            <w:noWrap/>
            <w:vAlign w:val="center"/>
            <w:hideMark/>
          </w:tcPr>
          <w:p w14:paraId="4D4D3381" w14:textId="30183BA0" w:rsidR="006F4528" w:rsidRPr="006F4528" w:rsidRDefault="006F4528"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10</w:t>
            </w:r>
            <w:r w:rsidR="00950A5F">
              <w:rPr>
                <w:sz w:val="20"/>
                <w:szCs w:val="20"/>
              </w:rPr>
              <w:t xml:space="preserve"> </w:t>
            </w:r>
            <w:r w:rsidRPr="006F4528">
              <w:rPr>
                <w:sz w:val="20"/>
                <w:szCs w:val="20"/>
              </w:rPr>
              <w:t>552</w:t>
            </w:r>
          </w:p>
        </w:tc>
      </w:tr>
      <w:tr w:rsidR="00A24FB9" w:rsidRPr="006F4528" w14:paraId="69C8EE0E" w14:textId="77777777" w:rsidTr="00217F01">
        <w:trPr>
          <w:trHeight w:val="454"/>
        </w:trPr>
        <w:tc>
          <w:tcPr>
            <w:cnfStyle w:val="001000000000" w:firstRow="0" w:lastRow="0" w:firstColumn="1" w:lastColumn="0" w:oddVBand="0" w:evenVBand="0" w:oddHBand="0" w:evenHBand="0" w:firstRowFirstColumn="0" w:firstRowLastColumn="0" w:lastRowFirstColumn="0" w:lastRowLastColumn="0"/>
            <w:tcW w:w="5240" w:type="dxa"/>
            <w:gridSpan w:val="2"/>
            <w:tcBorders>
              <w:top w:val="single" w:sz="4" w:space="0" w:color="auto"/>
            </w:tcBorders>
            <w:noWrap/>
            <w:vAlign w:val="center"/>
            <w:hideMark/>
          </w:tcPr>
          <w:p w14:paraId="74DA09BF" w14:textId="4264E1F2" w:rsidR="00A24FB9" w:rsidRPr="006F4528" w:rsidRDefault="00A24FB9" w:rsidP="006C4149">
            <w:pPr>
              <w:rPr>
                <w:b w:val="0"/>
                <w:bCs w:val="0"/>
                <w:sz w:val="20"/>
                <w:szCs w:val="20"/>
              </w:rPr>
            </w:pPr>
            <w:r w:rsidRPr="006F4528">
              <w:rPr>
                <w:sz w:val="20"/>
                <w:szCs w:val="20"/>
              </w:rPr>
              <w:t>Ogółem</w:t>
            </w:r>
          </w:p>
        </w:tc>
        <w:tc>
          <w:tcPr>
            <w:tcW w:w="1985" w:type="dxa"/>
            <w:tcBorders>
              <w:top w:val="single" w:sz="4" w:space="0" w:color="auto"/>
            </w:tcBorders>
            <w:noWrap/>
            <w:vAlign w:val="center"/>
          </w:tcPr>
          <w:p w14:paraId="6BB4D719" w14:textId="77777777" w:rsidR="00A24FB9" w:rsidRPr="006F4528" w:rsidRDefault="00A24FB9"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527 362</w:t>
            </w:r>
          </w:p>
        </w:tc>
        <w:tc>
          <w:tcPr>
            <w:tcW w:w="1837" w:type="dxa"/>
            <w:tcBorders>
              <w:top w:val="single" w:sz="4" w:space="0" w:color="auto"/>
            </w:tcBorders>
            <w:noWrap/>
            <w:vAlign w:val="center"/>
          </w:tcPr>
          <w:p w14:paraId="13ACDDE2" w14:textId="77777777" w:rsidR="00A24FB9" w:rsidRPr="006F4528" w:rsidRDefault="00A24FB9" w:rsidP="008B2F54">
            <w:pPr>
              <w:jc w:val="right"/>
              <w:cnfStyle w:val="000000000000" w:firstRow="0" w:lastRow="0" w:firstColumn="0" w:lastColumn="0" w:oddVBand="0" w:evenVBand="0" w:oddHBand="0" w:evenHBand="0" w:firstRowFirstColumn="0" w:firstRowLastColumn="0" w:lastRowFirstColumn="0" w:lastRowLastColumn="0"/>
              <w:rPr>
                <w:sz w:val="20"/>
                <w:szCs w:val="20"/>
              </w:rPr>
            </w:pPr>
            <w:r w:rsidRPr="006F4528">
              <w:rPr>
                <w:sz w:val="20"/>
                <w:szCs w:val="20"/>
              </w:rPr>
              <w:t>499 146</w:t>
            </w:r>
          </w:p>
        </w:tc>
      </w:tr>
    </w:tbl>
    <w:p w14:paraId="25D6FAA7" w14:textId="77777777" w:rsidR="006F4528" w:rsidRPr="0038346A" w:rsidRDefault="006F4528" w:rsidP="0038346A">
      <w:pPr>
        <w:pStyle w:val="rdo"/>
      </w:pPr>
      <w:r w:rsidRPr="0038346A">
        <w:t xml:space="preserve">Źródło: Dane pozyskane z Głównego Urzędu Statystycznego, sprawa </w:t>
      </w:r>
      <w:r w:rsidR="00AB086E">
        <w:fldChar w:fldCharType="begin"/>
      </w:r>
      <w:r w:rsidR="00AB086E">
        <w:instrText xml:space="preserve"> DOCPROPERTY  ZnakSprawy  \* MERGEFORMAT </w:instrText>
      </w:r>
      <w:r w:rsidR="00AB086E">
        <w:fldChar w:fldCharType="separate"/>
      </w:r>
      <w:r w:rsidRPr="0038346A">
        <w:t>GUS-DK02.601.52.2022</w:t>
      </w:r>
      <w:r w:rsidR="00AB086E">
        <w:fldChar w:fldCharType="end"/>
      </w:r>
    </w:p>
    <w:p w14:paraId="435A9536" w14:textId="672CC3E6" w:rsidR="006F4528" w:rsidRPr="006F4528" w:rsidRDefault="006F4528" w:rsidP="00645CB3">
      <w:pPr>
        <w:pStyle w:val="gwiazdki"/>
      </w:pPr>
      <w:r w:rsidRPr="006F4528">
        <w:t>*</w:t>
      </w:r>
      <w:r w:rsidR="009B3416">
        <w:t xml:space="preserve"> </w:t>
      </w:r>
      <w:r w:rsidRPr="006F4528">
        <w:t>Dane objęte tajemnicą statystyczną</w:t>
      </w:r>
    </w:p>
    <w:p w14:paraId="051B0978" w14:textId="4F0ECF68" w:rsidR="006F4528" w:rsidRPr="006F4528" w:rsidRDefault="006F4528" w:rsidP="00645CB3">
      <w:pPr>
        <w:pStyle w:val="gwiazdki"/>
      </w:pPr>
      <w:r w:rsidRPr="006F4528">
        <w:t>** SP- Roczna ankieta przedsiębiorstwa - Część III Dział I, wiersz 23</w:t>
      </w:r>
    </w:p>
    <w:p w14:paraId="4F972831" w14:textId="74EDC40D" w:rsidR="002D0FBA" w:rsidRDefault="002D0FBA" w:rsidP="00AD4B36">
      <w:pPr>
        <w:pStyle w:val="tekst"/>
      </w:pPr>
      <w:r w:rsidRPr="0000300A">
        <w:lastRenderedPageBreak/>
        <w:t>Jak widać na podstawie zamieszczonych wielkości wartość tegoż oprogramowania oscyluje w okolicach 500 mln PLN. Jest to oczywiście wielokrotnie mniej niż wartość środków trwałych, zaprezentowanych we wcześniejszych rozważaniach. Jest to jednak kwota na tyle wysoka, że nie może być pomijana, ponadto należy pamiętać, że oprogramowanie komputerowe ulega szybkiej dezaktualizacji i musi być na bieżąco odnawiane, co wiąże się koniecznością ponoszenia kosztów w tym zakresie. Jak można zaobserwować na podstawie danych, zamieszczonych w tabeli 5.4.</w:t>
      </w:r>
      <w:r w:rsidRPr="006F4528">
        <w:t xml:space="preserve"> w sposób szczególny dotyczy to podmiotów, które posiadają największy majątek trwały – firm transportowych i branży hotelarskiej.</w:t>
      </w:r>
      <w:r w:rsidRPr="006F4528">
        <w:tab/>
      </w:r>
    </w:p>
    <w:p w14:paraId="37D70471" w14:textId="0FB5D69A" w:rsidR="006F4528" w:rsidRPr="006F4528" w:rsidRDefault="006F4528" w:rsidP="00AD4B36">
      <w:pPr>
        <w:pStyle w:val="tekst"/>
      </w:pPr>
      <w:r w:rsidRPr="006F4528">
        <w:t>Podsumowując, należy podkreślić ponownie, że do zagadnienia inwestycji turystycznych należy podchodzić w sposób szeroki, mając na uwadze specyfikę i cechę jaką jest złożoność produktu turystycznego. W efekcie wiele inwestycji można zaliczyć do kategorii turystycznych. Są to inwestycje prowadzone przez przedsiębiorstwa ukierunkowane na świadczenie usług turystom. Z drugiej strony należy pamiętać, że wiele przedsiębiorstw, obsługujących turystów, swoje produkty sprzedaje również rezydentom, co stawia pod znakiem zapytania możliwość zaliczenia robionych przez nie inwestycji do kategorii inwestycji turystycznych. Z tego powodu w analizie wykorzystano</w:t>
      </w:r>
      <w:r w:rsidR="009B3416">
        <w:t xml:space="preserve"> </w:t>
      </w:r>
      <w:r w:rsidRPr="006F4528">
        <w:t xml:space="preserve"> Współczynnik Spożycia Turystycznego. </w:t>
      </w:r>
    </w:p>
    <w:p w14:paraId="4ED22357" w14:textId="1509D731" w:rsidR="006F4528" w:rsidRPr="006F4528" w:rsidRDefault="006F4528" w:rsidP="00AD4B36">
      <w:pPr>
        <w:pStyle w:val="tekst"/>
      </w:pPr>
      <w:r w:rsidRPr="006F4528">
        <w:t>Nawet po korekcie wielkości inwestycji łatwo zauważyć, że ich wielkość</w:t>
      </w:r>
      <w:r w:rsidR="009B3416">
        <w:t xml:space="preserve"> </w:t>
      </w:r>
      <w:r w:rsidRPr="006F4528">
        <w:t>jest znacząca</w:t>
      </w:r>
      <w:r w:rsidR="009B3416">
        <w:t xml:space="preserve"> </w:t>
      </w:r>
      <w:r w:rsidRPr="006F4528">
        <w:t xml:space="preserve">i jako takie mają silny wpływ na gospodarkę. Zaprezentowane dane wskazują na rozwój turystyki w Polsce w latach </w:t>
      </w:r>
      <w:bookmarkEnd w:id="130"/>
      <w:r w:rsidRPr="006F4528">
        <w:t xml:space="preserve">2005-2019, związany zarówno z rozwojem bazy noclegowej jak i rosnącym ruchem turystycznym. Bardziej szczegółowej analizie poddano lata 2018-2019. Ze względu na relatywnie krótki okres nie można w tym przypadku dyskusji poddawać dynamiki zmian. Wyraźnie jednak można wskazać na przedsiębiorstwa transportowe i hotelarskie jako główne podmioty odpowiedzialne za inwestycje, związane z rozwojem turystyki. </w:t>
      </w:r>
    </w:p>
    <w:p w14:paraId="277EFCB0" w14:textId="232006EC" w:rsidR="00726324" w:rsidRPr="001A23B6" w:rsidRDefault="00726324" w:rsidP="00726324">
      <w:pPr>
        <w:pStyle w:val="Nagwek1"/>
      </w:pPr>
      <w:bookmarkStart w:id="148" w:name="_Toc115441459"/>
      <w:r w:rsidRPr="001A23B6">
        <w:lastRenderedPageBreak/>
        <w:t>6. Uwagi końcowe</w:t>
      </w:r>
      <w:bookmarkEnd w:id="148"/>
    </w:p>
    <w:p w14:paraId="1191D59D" w14:textId="77777777" w:rsidR="00726324" w:rsidRPr="002E4CA6" w:rsidRDefault="00726324" w:rsidP="00726324">
      <w:pPr>
        <w:pStyle w:val="tekst"/>
      </w:pPr>
      <w:r w:rsidRPr="002E4CA6">
        <w:t>Rachunek satelitarny turystyki za lata 2018 i 2019 w wersji pełnej jest kontynuacją prac prowadzonych w latach 2000-2015, zawiera jednak kilka istotnych modyfikacji w stosunku do poprzednich edycji:</w:t>
      </w:r>
    </w:p>
    <w:p w14:paraId="22BCAFAB" w14:textId="77777777" w:rsidR="00726324" w:rsidRPr="002E4CA6" w:rsidRDefault="00726324" w:rsidP="00726324">
      <w:pPr>
        <w:pStyle w:val="bombki"/>
        <w:numPr>
          <w:ilvl w:val="0"/>
          <w:numId w:val="38"/>
        </w:numPr>
      </w:pPr>
      <w:r w:rsidRPr="002E4CA6">
        <w:t xml:space="preserve">szacując spożycie turystyczne oparto się głównie na danych Urzędu Statystycznego w Rzeszowie (badania: Uczestnictwo mieszkańców Polski rezydentów w podróżach oraz Podróże nierezydentów do Polski. Ruch pojazdów i osób na granicy Polski z krajami Unii Europejskiej), a także </w:t>
      </w:r>
      <w:r>
        <w:t xml:space="preserve">na </w:t>
      </w:r>
      <w:r w:rsidRPr="002E4CA6">
        <w:t xml:space="preserve">danych Eurostat </w:t>
      </w:r>
      <w:r>
        <w:t>oraz informacji</w:t>
      </w:r>
      <w:r w:rsidRPr="002E4CA6">
        <w:t xml:space="preserve"> </w:t>
      </w:r>
      <w:r>
        <w:t xml:space="preserve">zaczerpniętych z </w:t>
      </w:r>
      <w:r w:rsidRPr="002E4CA6">
        <w:t>raportów branżowych;</w:t>
      </w:r>
    </w:p>
    <w:p w14:paraId="3BABFF79" w14:textId="77777777" w:rsidR="00726324" w:rsidRPr="002E4CA6" w:rsidRDefault="00726324" w:rsidP="00726324">
      <w:pPr>
        <w:pStyle w:val="bombki"/>
        <w:numPr>
          <w:ilvl w:val="0"/>
          <w:numId w:val="38"/>
        </w:numPr>
      </w:pPr>
      <w:r w:rsidRPr="002E4CA6">
        <w:t>z powodu braku danych o podróżach jednodniowych w 2019 roku wartość spożycia dotyczącą tych podróży oszacowano na podstawie danych odnoszących się do podróży krótkotrwałych (raport Turystyka w 2019 roku); należy podkreślić, że brak badań odwiedzających jednodniowych jest poważnym utrudnieniem w szacowaniu spożycia turystycznego;</w:t>
      </w:r>
    </w:p>
    <w:p w14:paraId="5074A251" w14:textId="77777777" w:rsidR="00726324" w:rsidRPr="002E4CA6" w:rsidRDefault="00726324" w:rsidP="00726324">
      <w:pPr>
        <w:pStyle w:val="bombki"/>
        <w:numPr>
          <w:ilvl w:val="0"/>
          <w:numId w:val="38"/>
        </w:numPr>
      </w:pPr>
      <w:r w:rsidRPr="002E4CA6">
        <w:t>dokonano pewnych zmian w tablicy 6, rezygnując z powtarzania danych zawartych w tablicy 5. Było to podyktowane względami edytorskimi, ponieważ bardzo rozbudowana wersja oryginalna utrudnia percepcję zawartości tej tablicy.</w:t>
      </w:r>
    </w:p>
    <w:p w14:paraId="2583E3B4" w14:textId="77777777" w:rsidR="00726324" w:rsidRPr="00995E8E" w:rsidRDefault="00726324" w:rsidP="00726324">
      <w:pPr>
        <w:pStyle w:val="tekst"/>
        <w:rPr>
          <w:rFonts w:eastAsia="+mj-ea"/>
        </w:rPr>
      </w:pPr>
      <w:r w:rsidRPr="002E4CA6">
        <w:rPr>
          <w:rFonts w:eastAsia="+mj-ea"/>
        </w:rPr>
        <w:t>W szacowaniu danych do rachunku satelitarnego turystyki</w:t>
      </w:r>
      <w:r w:rsidRPr="002E4CA6">
        <w:t xml:space="preserve"> </w:t>
      </w:r>
      <w:r w:rsidRPr="002E4CA6">
        <w:rPr>
          <w:rFonts w:eastAsia="+mj-ea"/>
        </w:rPr>
        <w:t xml:space="preserve">ważnym i równocześnie trudnym zadaniem jest </w:t>
      </w:r>
      <w:proofErr w:type="spellStart"/>
      <w:r w:rsidRPr="002E4CA6">
        <w:rPr>
          <w:rFonts w:eastAsia="+mj-ea"/>
        </w:rPr>
        <w:t>rozszacowanie</w:t>
      </w:r>
      <w:proofErr w:type="spellEnd"/>
      <w:r w:rsidRPr="002E4CA6">
        <w:rPr>
          <w:rFonts w:eastAsia="+mj-ea"/>
        </w:rPr>
        <w:t xml:space="preserve"> wydatków w ramach imprez turystycznych, a także próba poszerzenia zakresu rachunku o krajowe charakterystyczne usługi turystyczne: usługi wspomagające transport lotniczy, usługi związane z organizacją targów, wystaw i kongresów oraz usługi rehabilitacji pod nadzorem lekarzy. W dostępnych badaniach popytu turystycznego brakuje </w:t>
      </w:r>
      <w:r>
        <w:rPr>
          <w:rFonts w:eastAsia="+mj-ea"/>
        </w:rPr>
        <w:t>nie tylko danych dotyczących tych usług, ale również</w:t>
      </w:r>
      <w:r w:rsidRPr="002E4CA6">
        <w:rPr>
          <w:rFonts w:eastAsia="+mj-ea"/>
        </w:rPr>
        <w:t xml:space="preserve"> </w:t>
      </w:r>
      <w:r>
        <w:rPr>
          <w:rFonts w:eastAsia="+mj-ea"/>
        </w:rPr>
        <w:t>badań</w:t>
      </w:r>
      <w:r w:rsidRPr="002E4CA6">
        <w:rPr>
          <w:rFonts w:eastAsia="+mj-ea"/>
        </w:rPr>
        <w:t xml:space="preserve"> ilustrujących poziom wydatków na usługi kulturalne i rekreacyjne</w:t>
      </w:r>
      <w:r>
        <w:rPr>
          <w:rFonts w:eastAsia="+mj-ea"/>
        </w:rPr>
        <w:t xml:space="preserve">, właściwego </w:t>
      </w:r>
      <w:proofErr w:type="spellStart"/>
      <w:r>
        <w:rPr>
          <w:rFonts w:eastAsia="+mj-ea"/>
        </w:rPr>
        <w:t>rozszacowania</w:t>
      </w:r>
      <w:proofErr w:type="spellEnd"/>
      <w:r>
        <w:rPr>
          <w:rFonts w:eastAsia="+mj-ea"/>
        </w:rPr>
        <w:t xml:space="preserve"> wydatków na poszczególne rodzaje transportu, a także na</w:t>
      </w:r>
      <w:r w:rsidRPr="002E4CA6">
        <w:rPr>
          <w:rFonts w:eastAsia="+mj-ea"/>
        </w:rPr>
        <w:t xml:space="preserve"> usługi </w:t>
      </w:r>
      <w:r w:rsidRPr="00995E8E">
        <w:rPr>
          <w:rFonts w:eastAsia="+mj-ea"/>
        </w:rPr>
        <w:t>uzdrowiskowe.</w:t>
      </w:r>
    </w:p>
    <w:p w14:paraId="4FC347E8" w14:textId="72B6EE41" w:rsidR="00726324" w:rsidRPr="00995E8E" w:rsidRDefault="00726324" w:rsidP="00726324">
      <w:pPr>
        <w:pStyle w:val="tekst"/>
        <w:rPr>
          <w:rFonts w:eastAsia="+mj-ea"/>
        </w:rPr>
      </w:pPr>
      <w:r w:rsidRPr="00995E8E">
        <w:rPr>
          <w:rFonts w:eastAsia="+mj-ea"/>
          <w:szCs w:val="40"/>
        </w:rPr>
        <w:t>Jako p</w:t>
      </w:r>
      <w:r w:rsidRPr="00995E8E">
        <w:rPr>
          <w:rFonts w:eastAsia="+mj-ea"/>
        </w:rPr>
        <w:t>odstawę obliczania produkcji globalnej i podaży w RST za 2018 i 2019 r. wykorzystano dane pochodzą</w:t>
      </w:r>
      <w:r>
        <w:rPr>
          <w:rFonts w:eastAsia="+mj-ea"/>
        </w:rPr>
        <w:t>ce</w:t>
      </w:r>
      <w:r w:rsidRPr="00995E8E">
        <w:rPr>
          <w:rFonts w:eastAsia="+mj-ea"/>
        </w:rPr>
        <w:t xml:space="preserve"> z różnych źródeł, a częściowo oparto je na szacunkach. Podstawowym założeniem metodologii RST jest wpisanie turystyki w system rachunków narodowych, w związku z czym wszędzie, gdzie było to możliwe wykorzystano dane pochodzące z tych rachunków, a w pozostałych przypadkach posłużono się strukturalną statystyką przedsiębiorstw EUROSTAT. Analiza danych pochodzących z przedstawionych źródeł wykazała, że niekiedy</w:t>
      </w:r>
      <w:r w:rsidR="009B3416">
        <w:rPr>
          <w:rFonts w:eastAsia="+mj-ea"/>
        </w:rPr>
        <w:t xml:space="preserve"> </w:t>
      </w:r>
      <w:r w:rsidRPr="00995E8E">
        <w:rPr>
          <w:rFonts w:eastAsia="+mj-ea"/>
        </w:rPr>
        <w:t>występują między nimi znaczne rozbieżności. W związku z tym, w tablicach 5 i 6 zaznaczono, które dane pochodzą z rachunków narodowych, a które oszacowano na podstawie danych ze strukturalnej statystyki przedsiębiorstw lub innych źródeł.</w:t>
      </w:r>
    </w:p>
    <w:p w14:paraId="11AA6F1E" w14:textId="01108A7E" w:rsidR="00726324" w:rsidRPr="0035411D" w:rsidRDefault="00726324" w:rsidP="00726324">
      <w:pPr>
        <w:pStyle w:val="tekst"/>
      </w:pPr>
      <w:r w:rsidRPr="00995E8E">
        <w:rPr>
          <w:rFonts w:eastAsia="+mj-ea"/>
        </w:rPr>
        <w:t xml:space="preserve"> </w:t>
      </w:r>
      <w:r w:rsidRPr="00995E8E">
        <w:t xml:space="preserve">Reasumując należy podkreślić, że rzetelność RST w bardzo dużym stopniu zależy od </w:t>
      </w:r>
      <w:r w:rsidRPr="002E4CA6">
        <w:t xml:space="preserve">jakości, aktualności i spójności danych pochodzących z różnych źródeł. </w:t>
      </w:r>
      <w:r>
        <w:t>Doświadczenia płynące z przygotowania rachunku dla lat 2018-2019 w wersji pełnej wskazują na konieczność</w:t>
      </w:r>
      <w:r w:rsidR="009B3416">
        <w:t xml:space="preserve"> </w:t>
      </w:r>
      <w:r w:rsidRPr="0035411D">
        <w:t xml:space="preserve">poprawy zakresu badań oraz dostępu do nich. </w:t>
      </w:r>
    </w:p>
    <w:p w14:paraId="52759196" w14:textId="253BBE91" w:rsidR="00726324" w:rsidRPr="0035411D" w:rsidRDefault="00726324" w:rsidP="00726324">
      <w:pPr>
        <w:pStyle w:val="tekst"/>
      </w:pPr>
      <w:r w:rsidRPr="0035411D">
        <w:t>Część problemów z dostępnością i jakością danych dotyczy polskiej praktyki i obok wspomnianych wyżej niedostatków obejmuje także brak informacji na temat drugich domów i apartamentów, które są coraz popularniejsze i zdecydowanie nie są zjawiskiem marginalnym. Innym niedostatkiem jest brak badań, a</w:t>
      </w:r>
      <w:r w:rsidR="009B3416">
        <w:t xml:space="preserve"> </w:t>
      </w:r>
      <w:r w:rsidRPr="0035411D">
        <w:t xml:space="preserve">przynajmniej publikacji danych dotyczących sezonowości zatrudnienia, które jest zjawiskiem charakterystycznym dla turystyki. Drugim źródłem problemów jest niedostosowanie klasyfikacji działalności i produktów do potrzeb statystyki turystyki i RST. Dotyczy to m.in. niewyróżnienia krótkoterminowego wynajmu samochodów oraz łączenia w ramach działów bardzo różnych rodzajów działalności, jak ma to miejsce np. w przypadku działu 91, który obejmuje m.in. działalność bibliotek i archiwów, ale również muzeów, atrakcji turystycznych, zoo i ogrodów botanicznych. Większość danych ekonomicznych, w tym kluczowy dla RST rachunek podaży i wykorzystania udostępnianych jest na poziomie działów i dane łączne dla tak różnych rodzajów działalności mają małą wartość informacyjną. Obecnie prowadzone są prace nad nową wersją klasyfikacji NACE i warto zadbać (tak jak to miało miejsce przy poprzedniej aktualizacji), aby lepiej odzwierciedlała potrzeby analiz ekonomicznych turystyki. </w:t>
      </w:r>
    </w:p>
    <w:p w14:paraId="035F1079" w14:textId="77777777" w:rsidR="00726324" w:rsidRPr="0035411D" w:rsidRDefault="00726324" w:rsidP="00726324">
      <w:pPr>
        <w:pStyle w:val="tekst"/>
      </w:pPr>
      <w:r w:rsidRPr="0035411D">
        <w:lastRenderedPageBreak/>
        <w:t>Biorąc pod uwagę trudności, z jakimi boryka się turystyka w ostatnich latach, a</w:t>
      </w:r>
      <w:r w:rsidRPr="0035411D">
        <w:rPr>
          <w:rFonts w:eastAsia="+mj-ea"/>
        </w:rPr>
        <w:t>utorzy rekomendują przygotowanie kolejnego RST dla roku 2022, aby ocenić, na ile udało się odzyskać miejsce turystyki w gospodarce kraju po zawirowaniach, jakie przyniosła ze sobą epidemia COVID-19.</w:t>
      </w:r>
    </w:p>
    <w:p w14:paraId="7B32FC0A" w14:textId="54C53FC4" w:rsidR="00726324" w:rsidRDefault="00726324" w:rsidP="00726324">
      <w:pPr>
        <w:pStyle w:val="tekst"/>
        <w:rPr>
          <w:rFonts w:ascii="Times New Roman" w:hAnsi="Times New Roman"/>
          <w:sz w:val="24"/>
          <w:szCs w:val="24"/>
        </w:rPr>
      </w:pPr>
      <w:r>
        <w:rPr>
          <w:rFonts w:ascii="Times New Roman" w:hAnsi="Times New Roman"/>
          <w:sz w:val="24"/>
          <w:szCs w:val="24"/>
        </w:rPr>
        <w:br w:type="page"/>
      </w:r>
    </w:p>
    <w:p w14:paraId="41DDD3FE" w14:textId="77777777" w:rsidR="001E633B" w:rsidRPr="006D1D4E" w:rsidRDefault="001E633B" w:rsidP="001E633B">
      <w:pPr>
        <w:pStyle w:val="Nagwek2"/>
        <w:rPr>
          <w:noProof/>
          <w:lang w:val="en-US"/>
        </w:rPr>
      </w:pPr>
      <w:bookmarkStart w:id="149" w:name="_Toc115441460"/>
      <w:r w:rsidRPr="006D1D4E">
        <w:rPr>
          <w:noProof/>
          <w:lang w:val="en-US"/>
        </w:rPr>
        <w:lastRenderedPageBreak/>
        <w:t>Bibliografia i źródła danych</w:t>
      </w:r>
      <w:bookmarkEnd w:id="149"/>
    </w:p>
    <w:p w14:paraId="73FEB10D" w14:textId="2E7DF22A" w:rsidR="001E633B" w:rsidRPr="006D1D4E" w:rsidRDefault="001E633B" w:rsidP="001E633B">
      <w:pPr>
        <w:pStyle w:val="Bibliografia"/>
        <w:rPr>
          <w:lang w:val="en-US"/>
        </w:rPr>
      </w:pPr>
      <w:r w:rsidRPr="006D1D4E">
        <w:rPr>
          <w:lang w:val="en-US"/>
        </w:rPr>
        <w:t>Annual detailed enterprise statistics for services (NACE Rev. 2 H-N and S95) [sbs_na_1a_se_r2].</w:t>
      </w:r>
      <w:r w:rsidR="009B3416">
        <w:rPr>
          <w:lang w:val="en-US"/>
        </w:rPr>
        <w:t xml:space="preserve"> </w:t>
      </w:r>
      <w:r w:rsidRPr="006D1D4E">
        <w:rPr>
          <w:lang w:val="en-US"/>
        </w:rPr>
        <w:t>Eurostat. Last update 18.05.22 [data pobrania: 18.08.22]</w:t>
      </w:r>
    </w:p>
    <w:p w14:paraId="0CDB446D" w14:textId="77777777" w:rsidR="001E633B" w:rsidRPr="001E633B" w:rsidRDefault="001E633B" w:rsidP="001E633B">
      <w:pPr>
        <w:pStyle w:val="Bibliografia"/>
      </w:pPr>
      <w:r w:rsidRPr="006D1D4E">
        <w:rPr>
          <w:lang w:val="en-US"/>
        </w:rPr>
        <w:t xml:space="preserve">Annual detailed enterprise statistics for trade (NACE Rev. 2 G) [sbs_na_dt_r2]. </w:t>
      </w:r>
      <w:r w:rsidRPr="001E633B">
        <w:t>Eurostat. Last update 18.05.22 [data pobrania: 06.09.22]</w:t>
      </w:r>
      <w:r w:rsidRPr="001E633B">
        <w:tab/>
      </w:r>
      <w:r w:rsidRPr="001E633B">
        <w:tab/>
      </w:r>
      <w:r w:rsidRPr="001E633B">
        <w:tab/>
      </w:r>
      <w:r w:rsidRPr="001E633B">
        <w:tab/>
      </w:r>
      <w:r w:rsidRPr="001E633B">
        <w:tab/>
      </w:r>
    </w:p>
    <w:p w14:paraId="52DCB116" w14:textId="77777777" w:rsidR="001E633B" w:rsidRPr="001E633B" w:rsidRDefault="001E633B" w:rsidP="001E633B">
      <w:pPr>
        <w:pStyle w:val="Bibliografia"/>
      </w:pPr>
      <w:r w:rsidRPr="001E633B">
        <w:t>Bank Danych Lokalnych, bdl.stat.gov.pl (28.05.2022)</w:t>
      </w:r>
    </w:p>
    <w:p w14:paraId="77826843" w14:textId="77777777" w:rsidR="001E633B" w:rsidRPr="001E633B" w:rsidRDefault="001E633B" w:rsidP="001E633B">
      <w:pPr>
        <w:pStyle w:val="Bibliografia"/>
      </w:pPr>
      <w:r w:rsidRPr="001E633B">
        <w:t>Bilans płatniczy NBP; https://www.nbp.pl/home.aspx?f=/statystyka/bilans_platniczy/bilansplatniczy_r.html</w:t>
      </w:r>
    </w:p>
    <w:p w14:paraId="60E6D949" w14:textId="77777777" w:rsidR="001E633B" w:rsidRPr="001E633B" w:rsidRDefault="001E633B" w:rsidP="001E633B">
      <w:pPr>
        <w:pStyle w:val="Bibliografia"/>
      </w:pPr>
      <w:r w:rsidRPr="001E633B">
        <w:t>Dane pozyskane z Głównego Urzędu Statystycznego, sprawa GUS-DK02.601.52.2022</w:t>
      </w:r>
    </w:p>
    <w:p w14:paraId="132AA49B" w14:textId="53101164" w:rsidR="001E633B" w:rsidRPr="001E633B" w:rsidRDefault="001E633B" w:rsidP="001E633B">
      <w:pPr>
        <w:pStyle w:val="Bibliografia"/>
      </w:pPr>
      <w:r w:rsidRPr="001E633B">
        <w:t>Dane pozyskane z Urzędu Statystycznego w Rzeszowie</w:t>
      </w:r>
      <w:r w:rsidR="009B3416">
        <w:t xml:space="preserve"> </w:t>
      </w:r>
    </w:p>
    <w:p w14:paraId="65F9950A" w14:textId="77777777" w:rsidR="001E633B" w:rsidRPr="001E633B" w:rsidRDefault="001E633B" w:rsidP="001E633B">
      <w:pPr>
        <w:pStyle w:val="Bibliografia"/>
      </w:pPr>
      <w:r w:rsidRPr="001E633B">
        <w:t>Działalność lecznicza zakładów lecznictwa uzdrowiskowego i stacjonarnych zakładów rehabilitacji leczniczej w 2019 r. GUS Informacje Sygnalne 9.06.2020 r.</w:t>
      </w:r>
    </w:p>
    <w:p w14:paraId="32D78C75" w14:textId="77777777" w:rsidR="001E633B" w:rsidRPr="001E633B" w:rsidRDefault="001E633B" w:rsidP="001E633B">
      <w:pPr>
        <w:pStyle w:val="Bibliografia"/>
      </w:pPr>
      <w:r w:rsidRPr="001E633B">
        <w:t>Dziedzic E., Dębski M., Skalska T., Rachunek satelitarny turystyki dla Polski za lata 2018-2019, Etap I. Metodologia. Stowarzyszenie na Rzecz Badania, Rozwoju i Promocji Turystyki na zlecenie MSiT, Warszawa 2022.</w:t>
      </w:r>
    </w:p>
    <w:p w14:paraId="12342698" w14:textId="59635730" w:rsidR="001E633B" w:rsidRPr="006D1D4E" w:rsidRDefault="001E633B" w:rsidP="001E633B">
      <w:pPr>
        <w:pStyle w:val="Bibliografia"/>
        <w:rPr>
          <w:lang w:val="en-US"/>
        </w:rPr>
      </w:pPr>
      <w:r w:rsidRPr="006D1D4E">
        <w:rPr>
          <w:lang w:val="en-US"/>
        </w:rPr>
        <w:t>Figini P., Patuelli R., Estimating the Economic Impact of Tourism in the European Union: Review and Computation. Journal of Travel Research. July 2021. doi:10.1177/00472875211028322</w:t>
      </w:r>
      <w:r w:rsidR="009B3416">
        <w:rPr>
          <w:lang w:val="en-US"/>
        </w:rPr>
        <w:t xml:space="preserve"> </w:t>
      </w:r>
      <w:r w:rsidRPr="006D1D4E">
        <w:rPr>
          <w:lang w:val="en-US"/>
        </w:rPr>
        <w:t xml:space="preserve"> </w:t>
      </w:r>
    </w:p>
    <w:p w14:paraId="75B950A2" w14:textId="77777777" w:rsidR="001E633B" w:rsidRPr="006D1D4E" w:rsidRDefault="001E633B" w:rsidP="001E633B">
      <w:pPr>
        <w:pStyle w:val="Bibliografia"/>
        <w:rPr>
          <w:lang w:val="en-US"/>
        </w:rPr>
      </w:pPr>
      <w:r w:rsidRPr="006D1D4E">
        <w:rPr>
          <w:lang w:val="en-US"/>
        </w:rPr>
        <w:t xml:space="preserve">GDP and main components (output, expenditure and income) [nama_10_gdp]. Eurostat. Last update 02.09.22 </w:t>
      </w:r>
      <w:bookmarkStart w:id="150" w:name="_Hlk115018956"/>
      <w:r w:rsidRPr="006D1D4E">
        <w:rPr>
          <w:lang w:val="en-US"/>
        </w:rPr>
        <w:t>[data pobrania: 05.09.22]</w:t>
      </w:r>
      <w:bookmarkEnd w:id="150"/>
      <w:r w:rsidRPr="006D1D4E">
        <w:rPr>
          <w:lang w:val="en-US"/>
        </w:rPr>
        <w:tab/>
      </w:r>
      <w:r w:rsidRPr="006D1D4E">
        <w:rPr>
          <w:lang w:val="en-US"/>
        </w:rPr>
        <w:tab/>
      </w:r>
      <w:r w:rsidRPr="006D1D4E">
        <w:rPr>
          <w:lang w:val="en-US"/>
        </w:rPr>
        <w:tab/>
      </w:r>
      <w:r w:rsidRPr="006D1D4E">
        <w:rPr>
          <w:lang w:val="en-US"/>
        </w:rPr>
        <w:tab/>
      </w:r>
    </w:p>
    <w:p w14:paraId="615758A0" w14:textId="77777777" w:rsidR="001E633B" w:rsidRPr="006D1D4E" w:rsidRDefault="001E633B" w:rsidP="001E633B">
      <w:pPr>
        <w:pStyle w:val="Bibliografia"/>
        <w:rPr>
          <w:lang w:val="en-US"/>
        </w:rPr>
      </w:pPr>
      <w:r w:rsidRPr="006D1D4E">
        <w:rPr>
          <w:lang w:val="en-US"/>
        </w:rPr>
        <w:t>GDP and main components (output, expenditure and income) [nama_10_gdp]. Eurostat. Last update 02.09.22 [data pobrania: 05.09.22]</w:t>
      </w:r>
      <w:r w:rsidRPr="006D1D4E">
        <w:rPr>
          <w:lang w:val="en-US"/>
        </w:rPr>
        <w:tab/>
      </w:r>
      <w:r w:rsidRPr="006D1D4E">
        <w:rPr>
          <w:lang w:val="en-US"/>
        </w:rPr>
        <w:tab/>
      </w:r>
      <w:r w:rsidRPr="006D1D4E">
        <w:rPr>
          <w:lang w:val="en-US"/>
        </w:rPr>
        <w:tab/>
      </w:r>
    </w:p>
    <w:p w14:paraId="6EEFE30A" w14:textId="77777777" w:rsidR="001E633B" w:rsidRPr="006D1D4E" w:rsidRDefault="001E633B" w:rsidP="001E633B">
      <w:pPr>
        <w:pStyle w:val="Bibliografia"/>
        <w:rPr>
          <w:lang w:val="en-US"/>
        </w:rPr>
      </w:pPr>
      <w:r w:rsidRPr="006D1D4E">
        <w:rPr>
          <w:lang w:val="en-US"/>
        </w:rPr>
        <w:t>Hotel and condo hotel market in Poland. Emmerson Evaluation, s. 4-5</w:t>
      </w:r>
    </w:p>
    <w:p w14:paraId="03E5EC93" w14:textId="77777777" w:rsidR="001E633B" w:rsidRPr="006D1D4E" w:rsidRDefault="001E633B" w:rsidP="001E633B">
      <w:pPr>
        <w:pStyle w:val="Bibliografia"/>
        <w:rPr>
          <w:lang w:val="en-US"/>
        </w:rPr>
      </w:pPr>
      <w:r w:rsidRPr="006D1D4E">
        <w:rPr>
          <w:lang w:val="en-US"/>
        </w:rPr>
        <w:t>https://stat.gov.pl/obszary-tematyczne/rachunki-narodowe/roczne-rachunki-narodowe/rachunek-podazy-i-wykorzystania-wyrobow-i-uslug-w-2018-roku,6,8.html data publikacji: 31.03.2022</w:t>
      </w:r>
    </w:p>
    <w:p w14:paraId="26B17349" w14:textId="77777777" w:rsidR="001E633B" w:rsidRPr="006D1D4E" w:rsidRDefault="001E633B" w:rsidP="001E633B">
      <w:pPr>
        <w:pStyle w:val="Bibliografia"/>
        <w:rPr>
          <w:lang w:val="en-US"/>
        </w:rPr>
      </w:pPr>
      <w:r w:rsidRPr="006D1D4E">
        <w:rPr>
          <w:lang w:val="en-US"/>
        </w:rPr>
        <w:t>https://www.google.com/search?q=NFZ+KRUS+wydatki+na+uzdrowiska&amp;client=firefox-b..</w:t>
      </w:r>
    </w:p>
    <w:p w14:paraId="00A06D9F" w14:textId="77777777" w:rsidR="001E633B" w:rsidRPr="006D1D4E" w:rsidRDefault="001E633B" w:rsidP="001E633B">
      <w:pPr>
        <w:pStyle w:val="Bibliografia"/>
        <w:rPr>
          <w:lang w:val="en-US"/>
        </w:rPr>
      </w:pPr>
      <w:r w:rsidRPr="006D1D4E">
        <w:rPr>
          <w:lang w:val="en-US"/>
        </w:rPr>
        <w:t>Market Insights. Raport roczny 2020, Colliers International, s. 3</w:t>
      </w:r>
    </w:p>
    <w:p w14:paraId="259A25C9" w14:textId="77777777" w:rsidR="001E633B" w:rsidRPr="006D1D4E" w:rsidRDefault="001E633B" w:rsidP="001E633B">
      <w:pPr>
        <w:pStyle w:val="Bibliografia"/>
        <w:rPr>
          <w:lang w:val="en-US"/>
        </w:rPr>
      </w:pPr>
      <w:r w:rsidRPr="006D1D4E">
        <w:rPr>
          <w:lang w:val="en-US"/>
        </w:rPr>
        <w:t>Market Report, Poland Hotel Market, Horwath HTL, Hotel, Tourism and Leisure, s. 4</w:t>
      </w:r>
    </w:p>
    <w:p w14:paraId="25A84C44" w14:textId="77777777" w:rsidR="001E633B" w:rsidRPr="006D1D4E" w:rsidRDefault="001E633B" w:rsidP="001E633B">
      <w:pPr>
        <w:pStyle w:val="Bibliografia"/>
        <w:rPr>
          <w:lang w:val="en-US"/>
        </w:rPr>
      </w:pPr>
      <w:r w:rsidRPr="006D1D4E">
        <w:rPr>
          <w:lang w:val="en-US"/>
        </w:rPr>
        <w:t>National accounts aggregates by industry (up to NACE A*64) [nama_10_a64]. Eurostat. Last update 01.09.22. [data pobrania: 04.09.22]</w:t>
      </w:r>
    </w:p>
    <w:p w14:paraId="44828D2E" w14:textId="0A88808F" w:rsidR="001E633B" w:rsidRPr="006D1D4E" w:rsidRDefault="001E633B" w:rsidP="001E633B">
      <w:pPr>
        <w:pStyle w:val="Bibliografia"/>
        <w:rPr>
          <w:lang w:val="en-US"/>
        </w:rPr>
      </w:pPr>
      <w:r w:rsidRPr="006D1D4E">
        <w:rPr>
          <w:lang w:val="en-US"/>
        </w:rPr>
        <w:t>Nguyen Q., Impact of Investment in Tourism Infrastructure Development on Attracting International Visitors: A Nonlinear Panel ARDL Approach Using Vietnam’s Data, Economies 2021, 9, 131</w:t>
      </w:r>
    </w:p>
    <w:p w14:paraId="5F6EEFF1" w14:textId="77777777" w:rsidR="001E633B" w:rsidRPr="006D1D4E" w:rsidRDefault="001E633B" w:rsidP="001E633B">
      <w:pPr>
        <w:pStyle w:val="Bibliografia"/>
        <w:rPr>
          <w:lang w:val="en-US"/>
        </w:rPr>
      </w:pPr>
      <w:r w:rsidRPr="006D1D4E">
        <w:rPr>
          <w:lang w:val="en-US"/>
        </w:rPr>
        <w:t>Research. CEE Investment Market, 2021 Summary, John Lang LaSalle 2022, s. 3,5</w:t>
      </w:r>
    </w:p>
    <w:p w14:paraId="3DF7EAFC" w14:textId="77777777" w:rsidR="001E633B" w:rsidRPr="001E633B" w:rsidRDefault="001E633B" w:rsidP="001E633B">
      <w:pPr>
        <w:pStyle w:val="Bibliografia"/>
      </w:pPr>
      <w:r w:rsidRPr="001E633B">
        <w:t>Roczne sprawozdanie z wykonania planu finansowego Narodowego Funduszu Zdrowia na 2019 rok</w:t>
      </w:r>
    </w:p>
    <w:p w14:paraId="6AFE97BE" w14:textId="77777777" w:rsidR="001E633B" w:rsidRPr="001E633B" w:rsidRDefault="001E633B" w:rsidP="001E633B">
      <w:pPr>
        <w:pStyle w:val="Bibliografia"/>
      </w:pPr>
      <w:r w:rsidRPr="001E633B">
        <w:t xml:space="preserve">Roczne sprawozdanie z wykonania planu finansowego </w:t>
      </w:r>
      <w:bookmarkStart w:id="151" w:name="_Hlk115019322"/>
      <w:r w:rsidRPr="001E633B">
        <w:t xml:space="preserve">Narodowego Funduszu Zdrowia </w:t>
      </w:r>
      <w:bookmarkEnd w:id="151"/>
      <w:r w:rsidRPr="001E633B">
        <w:t>na 2018 rok</w:t>
      </w:r>
    </w:p>
    <w:p w14:paraId="441037D4" w14:textId="77777777" w:rsidR="001E633B" w:rsidRPr="001E633B" w:rsidRDefault="001E633B" w:rsidP="001E633B">
      <w:pPr>
        <w:pStyle w:val="Bibliografia"/>
      </w:pPr>
      <w:r w:rsidRPr="001E633B">
        <w:t xml:space="preserve">Rocznik Statystyczny Rzeczpospolitej Polskiej 2016, Główny Urząd Statystyczny, Warszawa 2016, s. 408-409; </w:t>
      </w:r>
    </w:p>
    <w:p w14:paraId="3D3A97C2" w14:textId="77777777" w:rsidR="001E633B" w:rsidRPr="001E633B" w:rsidRDefault="001E633B" w:rsidP="001E633B">
      <w:pPr>
        <w:pStyle w:val="Bibliografia"/>
      </w:pPr>
      <w:r w:rsidRPr="001E633B">
        <w:t xml:space="preserve">Rocznik Statystyczny Rzeczpospolitej Polskiej 2019, Główny Urząd Statystyczny, Warszawa 2019, s. 408-409, </w:t>
      </w:r>
    </w:p>
    <w:p w14:paraId="0BDCBBDB" w14:textId="77777777" w:rsidR="001E633B" w:rsidRPr="001E633B" w:rsidRDefault="001E633B" w:rsidP="001E633B">
      <w:pPr>
        <w:pStyle w:val="Bibliografia"/>
      </w:pPr>
      <w:r w:rsidRPr="001E633B">
        <w:t>Rocznik Statystyczny Rzeczpospolitej Polskiej 2021, Główny Urząd Statystyczny, Warszawa 2021, s. 409-410;</w:t>
      </w:r>
    </w:p>
    <w:p w14:paraId="2E1F73E3" w14:textId="77777777" w:rsidR="001E633B" w:rsidRPr="006D1D4E" w:rsidRDefault="001E633B" w:rsidP="001E633B">
      <w:pPr>
        <w:pStyle w:val="Bibliografia"/>
        <w:rPr>
          <w:lang w:val="en-US"/>
        </w:rPr>
      </w:pPr>
      <w:r w:rsidRPr="006D1D4E">
        <w:rPr>
          <w:lang w:val="en-US"/>
        </w:rPr>
        <w:t>Services by employment size class (NACE Rev. 2, H-N, S95) [sbs_sc_1b_se_r2]. Eurostat. Last update 18.05.22. [data pobrania: 23.08.22]</w:t>
      </w:r>
      <w:r w:rsidRPr="006D1D4E">
        <w:rPr>
          <w:lang w:val="en-US"/>
        </w:rPr>
        <w:tab/>
      </w:r>
      <w:r w:rsidRPr="006D1D4E">
        <w:rPr>
          <w:lang w:val="en-US"/>
        </w:rPr>
        <w:tab/>
      </w:r>
      <w:r w:rsidRPr="006D1D4E">
        <w:rPr>
          <w:lang w:val="en-US"/>
        </w:rPr>
        <w:tab/>
      </w:r>
      <w:r w:rsidRPr="006D1D4E">
        <w:rPr>
          <w:lang w:val="en-US"/>
        </w:rPr>
        <w:tab/>
      </w:r>
      <w:r w:rsidRPr="006D1D4E">
        <w:rPr>
          <w:lang w:val="en-US"/>
        </w:rPr>
        <w:tab/>
      </w:r>
    </w:p>
    <w:p w14:paraId="07AD8F34" w14:textId="77777777" w:rsidR="001E633B" w:rsidRPr="006D1D4E" w:rsidRDefault="001E633B" w:rsidP="001E633B">
      <w:pPr>
        <w:pStyle w:val="Bibliografia"/>
        <w:rPr>
          <w:lang w:val="en-US"/>
        </w:rPr>
      </w:pPr>
      <w:r w:rsidRPr="006D1D4E">
        <w:rPr>
          <w:lang w:val="en-US"/>
        </w:rPr>
        <w:t>Standard airport charges at airports in Poland in PLN stan na dzień /as at: 25.12.2018 [data pobrania: 3.09.22]</w:t>
      </w:r>
      <w:r w:rsidRPr="006D1D4E">
        <w:rPr>
          <w:lang w:val="en-US"/>
        </w:rPr>
        <w:tab/>
      </w:r>
    </w:p>
    <w:p w14:paraId="285B7929" w14:textId="77777777" w:rsidR="001E633B" w:rsidRPr="006D1D4E" w:rsidRDefault="001E633B" w:rsidP="001E633B">
      <w:pPr>
        <w:pStyle w:val="Bibliografia"/>
        <w:rPr>
          <w:lang w:val="en-US"/>
        </w:rPr>
      </w:pPr>
      <w:r w:rsidRPr="006D1D4E">
        <w:rPr>
          <w:lang w:val="en-US"/>
        </w:rPr>
        <w:lastRenderedPageBreak/>
        <w:t>Tablice kwartalne REGON 31.12. 2018 i 31.12.2019</w:t>
      </w:r>
    </w:p>
    <w:p w14:paraId="5843E75F" w14:textId="77777777" w:rsidR="001E633B" w:rsidRPr="006D1D4E" w:rsidRDefault="001E633B" w:rsidP="001E633B">
      <w:pPr>
        <w:pStyle w:val="Bibliografia"/>
        <w:rPr>
          <w:lang w:val="en-US"/>
        </w:rPr>
      </w:pPr>
      <w:r w:rsidRPr="006D1D4E">
        <w:rPr>
          <w:lang w:val="en-US"/>
        </w:rPr>
        <w:t>Tourism Satellite Account: Recommended Methodological Framework 2008. United Nations, New York, Luxemburg, Madrid, Paris 2001.</w:t>
      </w:r>
    </w:p>
    <w:p w14:paraId="400FFA4F" w14:textId="77777777" w:rsidR="001E633B" w:rsidRPr="001E633B" w:rsidRDefault="001E633B" w:rsidP="001E633B">
      <w:pPr>
        <w:pStyle w:val="Bibliografia"/>
      </w:pPr>
      <w:r w:rsidRPr="006D1D4E">
        <w:rPr>
          <w:lang w:val="en-US"/>
        </w:rPr>
        <w:t xml:space="preserve">Tourism Satellite Account: Recommended Methodological Framework. </w:t>
      </w:r>
      <w:r w:rsidRPr="001E633B">
        <w:t>WTO, UE, OECD, UN 2001.</w:t>
      </w:r>
    </w:p>
    <w:p w14:paraId="40027786" w14:textId="77777777" w:rsidR="001E633B" w:rsidRPr="001E633B" w:rsidRDefault="001E633B" w:rsidP="001E633B">
      <w:pPr>
        <w:pStyle w:val="Bibliografia"/>
      </w:pPr>
      <w:r w:rsidRPr="001E633B">
        <w:t xml:space="preserve">Transport – wyniki działalności GUS 2020 r. </w:t>
      </w:r>
      <w:hyperlink r:id="rId50" w:history="1">
        <w:r w:rsidRPr="001E633B">
          <w:rPr>
            <w:rStyle w:val="Hipercze"/>
          </w:rPr>
          <w:t>http://stat.gov.pl/obszary-tematyczne /transport-i-lacznosc/</w:t>
        </w:r>
      </w:hyperlink>
      <w:r w:rsidRPr="001E633B">
        <w:t xml:space="preserve"> [data pobrania: 3.09.22].</w:t>
      </w:r>
    </w:p>
    <w:p w14:paraId="39B02CD1" w14:textId="77777777" w:rsidR="001E633B" w:rsidRPr="001E633B" w:rsidRDefault="001E633B" w:rsidP="001E633B">
      <w:pPr>
        <w:pStyle w:val="Bibliografia"/>
      </w:pPr>
      <w:r w:rsidRPr="001E633B">
        <w:t>Transport – wyniki działalności w 2018 r. http://stat.gov.pl/obszary-tematyczne /transport-i-lacznosc/ [data pobrania: 3.09.22]</w:t>
      </w:r>
    </w:p>
    <w:p w14:paraId="36B41F4C" w14:textId="77777777" w:rsidR="001E633B" w:rsidRPr="001E633B" w:rsidRDefault="001E633B" w:rsidP="001E633B">
      <w:pPr>
        <w:pStyle w:val="Bibliografia"/>
      </w:pPr>
      <w:r w:rsidRPr="001E633B">
        <w:t>Transport – wyniki działalności w 2019 r. http://stat.gov.pl/obszary-tematyczne /transport-i-lacznosc/[data pobrania: 3.09.22]</w:t>
      </w:r>
    </w:p>
    <w:p w14:paraId="2E2C2EA0" w14:textId="1C2579AE" w:rsidR="00FA4FC6" w:rsidRDefault="001E633B" w:rsidP="001E633B">
      <w:pPr>
        <w:pStyle w:val="Bibliografia"/>
      </w:pPr>
      <w:r w:rsidRPr="001E633B">
        <w:t>ULC: https://ulc.gov.pl/pl/regulacja-rynku/statystyki-i-analizy-rynku-transportu-lotniczego/3734-analizy-rynku-lotniczego [data pobrania: 3.09.22]</w:t>
      </w:r>
    </w:p>
    <w:p w14:paraId="64B9D28A" w14:textId="77777777" w:rsidR="001E633B" w:rsidRPr="001E633B" w:rsidRDefault="001E633B" w:rsidP="001E633B">
      <w:pPr>
        <w:rPr>
          <w:lang w:eastAsia="pl-PL"/>
        </w:rPr>
      </w:pPr>
    </w:p>
    <w:p w14:paraId="4D6E8D98" w14:textId="5A63F8A4" w:rsidR="002F0841" w:rsidRDefault="002F0841">
      <w:pPr>
        <w:rPr>
          <w:rFonts w:ascii="Calibri" w:eastAsia="Times New Roman" w:hAnsi="Calibri" w:cs="Times New Roman"/>
          <w:color w:val="FF0000"/>
          <w:sz w:val="20"/>
          <w:szCs w:val="20"/>
          <w:lang w:eastAsia="pl-PL"/>
        </w:rPr>
      </w:pPr>
      <w:r>
        <w:rPr>
          <w:color w:val="FF0000"/>
        </w:rPr>
        <w:br w:type="page"/>
      </w:r>
    </w:p>
    <w:sectPr w:rsidR="002F0841">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DFD01" w14:textId="77777777" w:rsidR="00AB086E" w:rsidRDefault="00AB086E" w:rsidP="00263734">
      <w:pPr>
        <w:spacing w:after="0" w:line="240" w:lineRule="auto"/>
      </w:pPr>
      <w:r>
        <w:separator/>
      </w:r>
    </w:p>
  </w:endnote>
  <w:endnote w:type="continuationSeparator" w:id="0">
    <w:p w14:paraId="10CFD7EC" w14:textId="77777777" w:rsidR="00AB086E" w:rsidRDefault="00AB086E" w:rsidP="00263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ndara">
    <w:panose1 w:val="020E0502030303020204"/>
    <w:charset w:val="EE"/>
    <w:family w:val="swiss"/>
    <w:pitch w:val="variable"/>
    <w:sig w:usb0="A00002EF" w:usb1="4000A44B" w:usb2="00000000" w:usb3="00000000" w:csb0="000001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6739193"/>
      <w:docPartObj>
        <w:docPartGallery w:val="Page Numbers (Bottom of Page)"/>
        <w:docPartUnique/>
      </w:docPartObj>
    </w:sdtPr>
    <w:sdtEndPr/>
    <w:sdtContent>
      <w:p w14:paraId="68C6A698" w14:textId="77777777" w:rsidR="006F4528" w:rsidRDefault="006F4528" w:rsidP="00FF1FE1">
        <w:pPr>
          <w:pStyle w:val="Stopka"/>
          <w:jc w:val="center"/>
        </w:pPr>
        <w:r w:rsidRPr="00284294">
          <w:rPr>
            <w:sz w:val="20"/>
            <w:szCs w:val="20"/>
          </w:rPr>
          <w:fldChar w:fldCharType="begin"/>
        </w:r>
        <w:r w:rsidRPr="00284294">
          <w:rPr>
            <w:sz w:val="20"/>
            <w:szCs w:val="20"/>
          </w:rPr>
          <w:instrText>PAGE   \* MERGEFORMAT</w:instrText>
        </w:r>
        <w:r w:rsidRPr="00284294">
          <w:rPr>
            <w:sz w:val="20"/>
            <w:szCs w:val="20"/>
          </w:rPr>
          <w:fldChar w:fldCharType="separate"/>
        </w:r>
        <w:r w:rsidRPr="00284294">
          <w:rPr>
            <w:noProof/>
            <w:sz w:val="20"/>
            <w:szCs w:val="20"/>
          </w:rPr>
          <w:t>13</w:t>
        </w:r>
        <w:r w:rsidRPr="00284294">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BD3D4" w14:textId="77777777" w:rsidR="00AB086E" w:rsidRDefault="00AB086E" w:rsidP="00263734">
      <w:pPr>
        <w:spacing w:after="0" w:line="240" w:lineRule="auto"/>
      </w:pPr>
      <w:r>
        <w:separator/>
      </w:r>
    </w:p>
  </w:footnote>
  <w:footnote w:type="continuationSeparator" w:id="0">
    <w:p w14:paraId="50FD00E7" w14:textId="77777777" w:rsidR="00AB086E" w:rsidRDefault="00AB086E" w:rsidP="00263734">
      <w:pPr>
        <w:spacing w:after="0" w:line="240" w:lineRule="auto"/>
      </w:pPr>
      <w:r>
        <w:continuationSeparator/>
      </w:r>
    </w:p>
  </w:footnote>
  <w:footnote w:id="1">
    <w:p w14:paraId="6C689C8B" w14:textId="77777777" w:rsidR="00762A3B" w:rsidRPr="00040867" w:rsidRDefault="00762A3B" w:rsidP="00762A3B">
      <w:pPr>
        <w:pStyle w:val="Tekstprzypisudolnego"/>
        <w:rPr>
          <w:lang w:val="en-US"/>
        </w:rPr>
      </w:pPr>
      <w:r w:rsidRPr="00040867">
        <w:rPr>
          <w:vertAlign w:val="superscript"/>
        </w:rPr>
        <w:footnoteRef/>
      </w:r>
      <w:r w:rsidRPr="00040867">
        <w:rPr>
          <w:vertAlign w:val="superscript"/>
          <w:lang w:val="en-US"/>
        </w:rPr>
        <w:t xml:space="preserve"> </w:t>
      </w:r>
      <w:r w:rsidRPr="00040867">
        <w:rPr>
          <w:i/>
          <w:lang w:val="en-US"/>
        </w:rPr>
        <w:t>Tourism Satellite Account: Recommended Methodological Framework 2008</w:t>
      </w:r>
      <w:r w:rsidRPr="00040867">
        <w:rPr>
          <w:lang w:val="en-US"/>
        </w:rPr>
        <w:t>. United Nations, New York, Luxemburg, Madrid, Paris 2001.</w:t>
      </w:r>
    </w:p>
  </w:footnote>
  <w:footnote w:id="2">
    <w:p w14:paraId="07809610" w14:textId="77777777" w:rsidR="00E0486F" w:rsidRPr="00FA280E" w:rsidRDefault="00E0486F" w:rsidP="00E0486F">
      <w:pPr>
        <w:pStyle w:val="Tekstprzypisudolnego"/>
        <w:rPr>
          <w:sz w:val="18"/>
          <w:szCs w:val="18"/>
          <w:lang w:val="en-US"/>
        </w:rPr>
      </w:pPr>
      <w:r w:rsidRPr="00040867">
        <w:rPr>
          <w:vertAlign w:val="superscript"/>
        </w:rPr>
        <w:footnoteRef/>
      </w:r>
      <w:r w:rsidRPr="00FA280E">
        <w:rPr>
          <w:i/>
          <w:sz w:val="18"/>
          <w:szCs w:val="18"/>
          <w:lang w:val="en-US"/>
        </w:rPr>
        <w:t>Tourism Satellite Account: Recommended Methodological Framework.</w:t>
      </w:r>
      <w:r w:rsidRPr="00FA280E">
        <w:rPr>
          <w:sz w:val="18"/>
          <w:szCs w:val="18"/>
          <w:lang w:val="en-US"/>
        </w:rPr>
        <w:t xml:space="preserve"> WTO, UE, OECD, UN 2001.</w:t>
      </w:r>
    </w:p>
  </w:footnote>
  <w:footnote w:id="3">
    <w:p w14:paraId="6B09A2E6" w14:textId="77777777" w:rsidR="00E0486F" w:rsidRPr="001C693B" w:rsidRDefault="00E0486F" w:rsidP="00E0486F">
      <w:pPr>
        <w:pStyle w:val="Tekstprzypisudolnego"/>
        <w:rPr>
          <w:lang w:val="en-US"/>
        </w:rPr>
      </w:pPr>
      <w:r w:rsidRPr="00040867">
        <w:rPr>
          <w:rStyle w:val="Odwoanieprzypisudolnego"/>
        </w:rPr>
        <w:footnoteRef/>
      </w:r>
      <w:r w:rsidRPr="00040867">
        <w:rPr>
          <w:lang w:val="en-US"/>
        </w:rPr>
        <w:t xml:space="preserve"> </w:t>
      </w:r>
      <w:r w:rsidRPr="00FA280E">
        <w:rPr>
          <w:i/>
          <w:sz w:val="18"/>
          <w:szCs w:val="18"/>
          <w:lang w:val="en-US"/>
        </w:rPr>
        <w:t>Tourism Satellite Account: Recommended Methodological Framework 2008</w:t>
      </w:r>
      <w:r w:rsidRPr="00FA280E">
        <w:rPr>
          <w:sz w:val="18"/>
          <w:szCs w:val="18"/>
          <w:lang w:val="en-US"/>
        </w:rPr>
        <w:t>. United Nations, New York, Luxemburg, Madrid, Paris 2001.</w:t>
      </w:r>
    </w:p>
    <w:p w14:paraId="6BBB4F82" w14:textId="77777777" w:rsidR="00E0486F" w:rsidRPr="001C693B" w:rsidRDefault="00E0486F" w:rsidP="00E0486F">
      <w:pPr>
        <w:pStyle w:val="Tekstprzypisudolnego"/>
        <w:rPr>
          <w:lang w:val="en-US"/>
        </w:rPr>
      </w:pPr>
    </w:p>
  </w:footnote>
  <w:footnote w:id="4">
    <w:p w14:paraId="0BE6151B" w14:textId="77777777" w:rsidR="00E0486F" w:rsidRPr="00FA280E" w:rsidRDefault="00E0486F" w:rsidP="00E0486F">
      <w:pPr>
        <w:pStyle w:val="Tekstprzypisudolnego"/>
        <w:rPr>
          <w:sz w:val="18"/>
          <w:szCs w:val="18"/>
          <w:lang w:val="en-US"/>
        </w:rPr>
      </w:pPr>
      <w:r w:rsidRPr="00040867">
        <w:rPr>
          <w:rStyle w:val="Odwoanieprzypisudolnego"/>
        </w:rPr>
        <w:footnoteRef/>
      </w:r>
      <w:r w:rsidRPr="00040867">
        <w:rPr>
          <w:lang w:val="en-US"/>
        </w:rPr>
        <w:t xml:space="preserve"> </w:t>
      </w:r>
      <w:r w:rsidRPr="00FA280E">
        <w:rPr>
          <w:i/>
          <w:sz w:val="18"/>
          <w:szCs w:val="18"/>
          <w:lang w:val="en-US"/>
        </w:rPr>
        <w:t>Tourism Satellite Account: Recommended Methodological Framework 2008</w:t>
      </w:r>
      <w:r w:rsidRPr="00FA280E">
        <w:rPr>
          <w:sz w:val="18"/>
          <w:szCs w:val="18"/>
          <w:lang w:val="en-US"/>
        </w:rPr>
        <w:t>. op. cit.</w:t>
      </w:r>
    </w:p>
  </w:footnote>
  <w:footnote w:id="5">
    <w:p w14:paraId="6A37BDDD" w14:textId="77777777" w:rsidR="002938C6" w:rsidRPr="007D3ECC" w:rsidRDefault="002938C6" w:rsidP="002938C6">
      <w:pPr>
        <w:rPr>
          <w:rFonts w:ascii="Times New Roman" w:hAnsi="Times New Roman" w:cs="Times New Roman"/>
          <w:sz w:val="18"/>
          <w:szCs w:val="18"/>
        </w:rPr>
      </w:pPr>
      <w:r>
        <w:rPr>
          <w:rStyle w:val="Odwoanieprzypisudolnego"/>
        </w:rPr>
        <w:footnoteRef/>
      </w:r>
      <w:r w:rsidRPr="00A8593F">
        <w:t xml:space="preserve"> </w:t>
      </w:r>
      <w:r w:rsidRPr="007D3ECC">
        <w:rPr>
          <w:rFonts w:cstheme="minorHAnsi"/>
          <w:sz w:val="18"/>
          <w:szCs w:val="18"/>
        </w:rPr>
        <w:t xml:space="preserve">ULC: </w:t>
      </w:r>
      <w:hyperlink r:id="rId1" w:history="1">
        <w:r w:rsidRPr="007D3ECC">
          <w:rPr>
            <w:rStyle w:val="Hipercze"/>
            <w:rFonts w:cstheme="minorHAnsi"/>
            <w:sz w:val="18"/>
            <w:szCs w:val="18"/>
          </w:rPr>
          <w:t>https://ulc.gov.pl/pl/regulacja-rynku/statystyki-i-analizy-rynku-transportu-lotniczego/3734-analizy-rynku-lotniczego</w:t>
        </w:r>
      </w:hyperlink>
      <w:r w:rsidRPr="007D3ECC">
        <w:rPr>
          <w:rFonts w:cstheme="minorHAnsi"/>
          <w:sz w:val="18"/>
          <w:szCs w:val="18"/>
        </w:rPr>
        <w:t xml:space="preserve">, Transport – wyniki działalności w 2018 r. </w:t>
      </w:r>
      <w:hyperlink r:id="rId2" w:history="1">
        <w:r w:rsidRPr="007D3ECC">
          <w:rPr>
            <w:rStyle w:val="Hipercze"/>
            <w:rFonts w:cstheme="minorHAnsi"/>
            <w:sz w:val="18"/>
            <w:szCs w:val="18"/>
          </w:rPr>
          <w:t>http://stat.gov.pl/obszary-tematyczne /transport-i-lacznosc/</w:t>
        </w:r>
      </w:hyperlink>
      <w:r w:rsidRPr="007D3ECC">
        <w:rPr>
          <w:rStyle w:val="Hipercze"/>
          <w:rFonts w:cstheme="minorHAnsi"/>
          <w:sz w:val="18"/>
          <w:szCs w:val="18"/>
        </w:rPr>
        <w:t xml:space="preserve"> i  </w:t>
      </w:r>
      <w:r w:rsidRPr="007D3ECC">
        <w:rPr>
          <w:rFonts w:cstheme="minorHAnsi"/>
          <w:color w:val="0563C1" w:themeColor="hyperlink"/>
          <w:sz w:val="18"/>
          <w:szCs w:val="18"/>
          <w:u w:val="single"/>
        </w:rPr>
        <w:t>Transport – wyniki działalności w 2019 r.</w:t>
      </w:r>
      <w:r w:rsidRPr="007D3ECC">
        <w:rPr>
          <w:rFonts w:cstheme="minorHAnsi"/>
          <w:sz w:val="18"/>
          <w:szCs w:val="18"/>
        </w:rPr>
        <w:t xml:space="preserve"> </w:t>
      </w:r>
      <w:hyperlink r:id="rId3" w:history="1">
        <w:r w:rsidRPr="007D3ECC">
          <w:rPr>
            <w:rStyle w:val="Hipercze"/>
            <w:rFonts w:cstheme="minorHAnsi"/>
            <w:sz w:val="18"/>
            <w:szCs w:val="18"/>
          </w:rPr>
          <w:t>http://stat.gov.pl/obszary-tematyczne /transport-i-lacznosc/</w:t>
        </w:r>
      </w:hyperlink>
    </w:p>
  </w:footnote>
  <w:footnote w:id="6">
    <w:p w14:paraId="777BA910" w14:textId="77777777" w:rsidR="002938C6" w:rsidRPr="00AE1AB1" w:rsidRDefault="002938C6" w:rsidP="002938C6">
      <w:pPr>
        <w:pStyle w:val="Tekstprzypisudolnego"/>
        <w:rPr>
          <w:rFonts w:ascii="Times New Roman" w:hAnsi="Times New Roman" w:cs="Times New Roman"/>
          <w:sz w:val="18"/>
          <w:szCs w:val="18"/>
        </w:rPr>
      </w:pPr>
      <w:r w:rsidRPr="00C501D7">
        <w:rPr>
          <w:rStyle w:val="Odwoanieprzypisudolnego"/>
        </w:rPr>
        <w:footnoteRef/>
      </w:r>
      <w:r w:rsidRPr="00C501D7">
        <w:t xml:space="preserve"> </w:t>
      </w:r>
      <w:r w:rsidRPr="00AE1AB1">
        <w:rPr>
          <w:rFonts w:cstheme="minorHAnsi"/>
          <w:sz w:val="18"/>
          <w:szCs w:val="18"/>
        </w:rPr>
        <w:t>Badanie jest realizowane co 5 lat.</w:t>
      </w:r>
    </w:p>
  </w:footnote>
  <w:footnote w:id="7">
    <w:p w14:paraId="5E11CC96" w14:textId="76FDAFB1" w:rsidR="002938C6" w:rsidRPr="00AE1AB1" w:rsidRDefault="002938C6" w:rsidP="002938C6">
      <w:pPr>
        <w:pStyle w:val="Tekstprzypisudolnego"/>
        <w:jc w:val="both"/>
        <w:rPr>
          <w:rFonts w:cstheme="minorHAnsi"/>
          <w:sz w:val="18"/>
          <w:szCs w:val="18"/>
        </w:rPr>
      </w:pPr>
      <w:r w:rsidRPr="00C501D7">
        <w:rPr>
          <w:rStyle w:val="Odwoanieprzypisudolnego"/>
          <w:rFonts w:ascii="Times New Roman" w:hAnsi="Times New Roman" w:cs="Times New Roman"/>
        </w:rPr>
        <w:footnoteRef/>
      </w:r>
      <w:r w:rsidRPr="00C501D7">
        <w:rPr>
          <w:rFonts w:ascii="Times New Roman" w:hAnsi="Times New Roman" w:cs="Times New Roman"/>
        </w:rPr>
        <w:t xml:space="preserve"> </w:t>
      </w:r>
      <w:r w:rsidRPr="00AE1AB1">
        <w:rPr>
          <w:rFonts w:cstheme="minorHAnsi"/>
          <w:sz w:val="18"/>
          <w:szCs w:val="18"/>
        </w:rPr>
        <w:t>Udział polskich przewoźników w wydatkach na transport lotniczy oszacowano na podstawie udziału w przewozach pasażerów czarterowych;</w:t>
      </w:r>
      <w:r w:rsidR="00AE1AB1" w:rsidRPr="00AE1AB1">
        <w:rPr>
          <w:rFonts w:cstheme="minorHAnsi"/>
          <w:sz w:val="18"/>
          <w:szCs w:val="18"/>
        </w:rPr>
        <w:t xml:space="preserve"> </w:t>
      </w:r>
      <w:r w:rsidRPr="00AE1AB1">
        <w:rPr>
          <w:rFonts w:cstheme="minorHAnsi"/>
          <w:sz w:val="18"/>
          <w:szCs w:val="18"/>
        </w:rPr>
        <w:t>źródło</w:t>
      </w:r>
      <w:r w:rsidR="00AE1AB1" w:rsidRPr="00AE1AB1">
        <w:rPr>
          <w:rFonts w:cstheme="minorHAnsi"/>
          <w:sz w:val="18"/>
          <w:szCs w:val="18"/>
        </w:rPr>
        <w:t>:</w:t>
      </w:r>
      <w:r w:rsidRPr="00AE1AB1">
        <w:rPr>
          <w:rFonts w:cstheme="minorHAnsi"/>
          <w:sz w:val="18"/>
          <w:szCs w:val="18"/>
        </w:rPr>
        <w:t xml:space="preserve"> Transport – wyniki działalności GUS 2019 i 2020.</w:t>
      </w:r>
    </w:p>
  </w:footnote>
  <w:footnote w:id="8">
    <w:p w14:paraId="00E91AE2" w14:textId="6C7E4A7E" w:rsidR="006F4528" w:rsidRPr="00A2658F" w:rsidRDefault="006F4528" w:rsidP="006F4528">
      <w:pPr>
        <w:pStyle w:val="Tekstprzypisudolnego"/>
        <w:rPr>
          <w:sz w:val="18"/>
          <w:szCs w:val="18"/>
        </w:rPr>
      </w:pPr>
      <w:r>
        <w:rPr>
          <w:rStyle w:val="Odwoanieprzypisudolnego"/>
        </w:rPr>
        <w:footnoteRef/>
      </w:r>
      <w:r w:rsidRPr="00BF4946">
        <w:t xml:space="preserve"> </w:t>
      </w:r>
      <w:r w:rsidRPr="00A2658F">
        <w:rPr>
          <w:sz w:val="18"/>
          <w:szCs w:val="18"/>
        </w:rPr>
        <w:t>T. Skalska, E. Dziedzic, M. Dębski, Rachunek satelitarny turystyki dla Polski za lata 2018-2019, Stowarzyszenie na Rzecz Badania, Rozwoju i Promocji Turystyki, Warszawa 2022, 38-39.</w:t>
      </w:r>
    </w:p>
  </w:footnote>
  <w:footnote w:id="9">
    <w:p w14:paraId="09B8FC03" w14:textId="77777777" w:rsidR="006F4528" w:rsidRPr="00210D45" w:rsidRDefault="006F4528" w:rsidP="006F4528">
      <w:pPr>
        <w:pStyle w:val="Tekstprzypisudolnego"/>
        <w:rPr>
          <w:lang w:val="en-US"/>
        </w:rPr>
      </w:pPr>
      <w:r>
        <w:rPr>
          <w:rStyle w:val="Odwoanieprzypisudolnego"/>
        </w:rPr>
        <w:footnoteRef/>
      </w:r>
      <w:r w:rsidRPr="00F67BA9">
        <w:rPr>
          <w:lang w:val="en-US"/>
        </w:rPr>
        <w:t xml:space="preserve">  </w:t>
      </w:r>
      <w:r w:rsidRPr="00A2658F">
        <w:rPr>
          <w:sz w:val="18"/>
          <w:szCs w:val="18"/>
          <w:lang w:val="en-US"/>
        </w:rPr>
        <w:t>Figini P, Patuelli R. Estimating the Economic Impact of Tourism in the European Union: Review and Computation. Journal of Travel Research. July 2021. doi:10.1177/00472875211028322</w:t>
      </w:r>
      <w:r w:rsidRPr="00210D45">
        <w:rPr>
          <w:lang w:val="en-US"/>
        </w:rPr>
        <w:t xml:space="preserve">   </w:t>
      </w:r>
    </w:p>
  </w:footnote>
  <w:footnote w:id="10">
    <w:p w14:paraId="18A8C381" w14:textId="77777777" w:rsidR="006F4528" w:rsidRPr="008F089C" w:rsidRDefault="006F4528" w:rsidP="006F4528">
      <w:pPr>
        <w:pStyle w:val="Tekstprzypisudolnego"/>
        <w:rPr>
          <w:lang w:val="en-US"/>
        </w:rPr>
      </w:pPr>
      <w:r>
        <w:rPr>
          <w:rStyle w:val="Odwoanieprzypisudolnego"/>
        </w:rPr>
        <w:footnoteRef/>
      </w:r>
      <w:r w:rsidRPr="004136FC">
        <w:rPr>
          <w:lang w:val="en-US"/>
        </w:rPr>
        <w:t xml:space="preserve"> </w:t>
      </w:r>
      <w:r w:rsidRPr="00A2658F">
        <w:rPr>
          <w:sz w:val="18"/>
          <w:szCs w:val="18"/>
          <w:lang w:val="en-US"/>
        </w:rPr>
        <w:t>Q. Nguyen, Impact of Investment in Tourism Infrastructure Development on Attracting International Visitors: A Nonlinear Panel ARDL Approach Using Vietnam’s Data, Economies 2021, 9, 131</w:t>
      </w:r>
    </w:p>
  </w:footnote>
  <w:footnote w:id="11">
    <w:p w14:paraId="1D60E4A0" w14:textId="77777777" w:rsidR="006F4528" w:rsidRPr="00A2658F" w:rsidRDefault="006F4528" w:rsidP="006F4528">
      <w:pPr>
        <w:pStyle w:val="Tekstprzypisudolnego"/>
        <w:rPr>
          <w:sz w:val="18"/>
          <w:szCs w:val="18"/>
          <w:lang w:val="en-US"/>
        </w:rPr>
      </w:pPr>
      <w:r>
        <w:rPr>
          <w:rStyle w:val="Odwoanieprzypisudolnego"/>
        </w:rPr>
        <w:footnoteRef/>
      </w:r>
      <w:r w:rsidRPr="00FF607B">
        <w:rPr>
          <w:lang w:val="en-US"/>
        </w:rPr>
        <w:t xml:space="preserve"> </w:t>
      </w:r>
      <w:r w:rsidRPr="00A2658F">
        <w:rPr>
          <w:sz w:val="18"/>
          <w:szCs w:val="18"/>
          <w:lang w:val="en-US"/>
        </w:rPr>
        <w:t>Market Report, Poland Hotel Market, Horwath HTL, Hotel, Tourism and Leisure, s. 4</w:t>
      </w:r>
    </w:p>
  </w:footnote>
  <w:footnote w:id="12">
    <w:p w14:paraId="292F8529" w14:textId="77777777" w:rsidR="006F4528" w:rsidRPr="00A2658F" w:rsidRDefault="006F4528" w:rsidP="006F4528">
      <w:pPr>
        <w:pStyle w:val="Tekstprzypisudolnego"/>
        <w:rPr>
          <w:sz w:val="18"/>
          <w:szCs w:val="18"/>
          <w:lang w:val="en-US"/>
        </w:rPr>
      </w:pPr>
      <w:r>
        <w:rPr>
          <w:rStyle w:val="Odwoanieprzypisudolnego"/>
        </w:rPr>
        <w:footnoteRef/>
      </w:r>
      <w:r w:rsidRPr="00F35EBA">
        <w:rPr>
          <w:lang w:val="en-US"/>
        </w:rPr>
        <w:t xml:space="preserve"> </w:t>
      </w:r>
      <w:r w:rsidRPr="00A2658F">
        <w:rPr>
          <w:sz w:val="18"/>
          <w:szCs w:val="18"/>
          <w:lang w:val="en-US"/>
        </w:rPr>
        <w:t>Market Insights. Raport roczny 2020, Colliers International, s. 3</w:t>
      </w:r>
    </w:p>
  </w:footnote>
  <w:footnote w:id="13">
    <w:p w14:paraId="1F144C7A" w14:textId="77777777" w:rsidR="006F4528" w:rsidRPr="007241D9" w:rsidRDefault="006F4528" w:rsidP="006F4528">
      <w:pPr>
        <w:pStyle w:val="Tekstprzypisudolnego"/>
        <w:rPr>
          <w:lang w:val="en-US"/>
        </w:rPr>
      </w:pPr>
      <w:r>
        <w:rPr>
          <w:rStyle w:val="Odwoanieprzypisudolnego"/>
        </w:rPr>
        <w:footnoteRef/>
      </w:r>
      <w:r w:rsidRPr="007241D9">
        <w:rPr>
          <w:lang w:val="en-US"/>
        </w:rPr>
        <w:t xml:space="preserve"> Research. CEE Investment Market, 2021 S</w:t>
      </w:r>
      <w:r>
        <w:rPr>
          <w:lang w:val="en-US"/>
        </w:rPr>
        <w:t>ummary, John Lang LaSalle 2022, s. 3,5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5FCB98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621007"/>
    <w:multiLevelType w:val="hybridMultilevel"/>
    <w:tmpl w:val="331408D6"/>
    <w:lvl w:ilvl="0" w:tplc="BC1CF0FC">
      <w:start w:val="1"/>
      <w:numFmt w:val="bullet"/>
      <w:lvlText w:val="-"/>
      <w:lvlJc w:val="left"/>
      <w:pPr>
        <w:ind w:left="717" w:hanging="360"/>
      </w:pPr>
      <w:rPr>
        <w:rFonts w:ascii="Courier New" w:hAnsi="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 w15:restartNumberingAfterBreak="0">
    <w:nsid w:val="04DA4503"/>
    <w:multiLevelType w:val="hybridMultilevel"/>
    <w:tmpl w:val="8B547E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221672"/>
    <w:multiLevelType w:val="hybridMultilevel"/>
    <w:tmpl w:val="8AD695F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3B515C"/>
    <w:multiLevelType w:val="hybridMultilevel"/>
    <w:tmpl w:val="351A7AB6"/>
    <w:lvl w:ilvl="0" w:tplc="DA42C1C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3C5C5C"/>
    <w:multiLevelType w:val="hybridMultilevel"/>
    <w:tmpl w:val="EDA8CE78"/>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 w15:restartNumberingAfterBreak="0">
    <w:nsid w:val="174A332C"/>
    <w:multiLevelType w:val="multilevel"/>
    <w:tmpl w:val="8A6CD944"/>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580" w:hanging="360"/>
      </w:pPr>
      <w:rPr>
        <w:rFonts w:eastAsiaTheme="minorHAnsi" w:hint="default"/>
        <w:color w:val="auto"/>
        <w:sz w:val="20"/>
        <w:szCs w:val="20"/>
        <w:u w:val="single"/>
      </w:rPr>
    </w:lvl>
    <w:lvl w:ilvl="2">
      <w:start w:val="1"/>
      <w:numFmt w:val="decimal"/>
      <w:lvlText w:val="%1.%2.%3."/>
      <w:lvlJc w:val="left"/>
      <w:pPr>
        <w:ind w:left="1160" w:hanging="720"/>
      </w:pPr>
      <w:rPr>
        <w:rFonts w:eastAsiaTheme="minorHAnsi" w:hint="default"/>
        <w:color w:val="0563C1" w:themeColor="hyperlink"/>
        <w:u w:val="single"/>
      </w:rPr>
    </w:lvl>
    <w:lvl w:ilvl="3">
      <w:start w:val="1"/>
      <w:numFmt w:val="decimal"/>
      <w:lvlText w:val="%1.%2.%3.%4."/>
      <w:lvlJc w:val="left"/>
      <w:pPr>
        <w:ind w:left="1380" w:hanging="720"/>
      </w:pPr>
      <w:rPr>
        <w:rFonts w:eastAsiaTheme="minorHAnsi" w:hint="default"/>
        <w:color w:val="0563C1" w:themeColor="hyperlink"/>
        <w:u w:val="single"/>
      </w:rPr>
    </w:lvl>
    <w:lvl w:ilvl="4">
      <w:start w:val="1"/>
      <w:numFmt w:val="decimal"/>
      <w:lvlText w:val="%1.%2.%3.%4.%5."/>
      <w:lvlJc w:val="left"/>
      <w:pPr>
        <w:ind w:left="1960" w:hanging="1080"/>
      </w:pPr>
      <w:rPr>
        <w:rFonts w:eastAsiaTheme="minorHAnsi" w:hint="default"/>
        <w:color w:val="0563C1" w:themeColor="hyperlink"/>
        <w:u w:val="single"/>
      </w:rPr>
    </w:lvl>
    <w:lvl w:ilvl="5">
      <w:start w:val="1"/>
      <w:numFmt w:val="decimal"/>
      <w:lvlText w:val="%1.%2.%3.%4.%5.%6."/>
      <w:lvlJc w:val="left"/>
      <w:pPr>
        <w:ind w:left="2180" w:hanging="1080"/>
      </w:pPr>
      <w:rPr>
        <w:rFonts w:eastAsiaTheme="minorHAnsi" w:hint="default"/>
        <w:color w:val="0563C1" w:themeColor="hyperlink"/>
        <w:u w:val="single"/>
      </w:rPr>
    </w:lvl>
    <w:lvl w:ilvl="6">
      <w:start w:val="1"/>
      <w:numFmt w:val="decimal"/>
      <w:lvlText w:val="%1.%2.%3.%4.%5.%6.%7."/>
      <w:lvlJc w:val="left"/>
      <w:pPr>
        <w:ind w:left="2760" w:hanging="1440"/>
      </w:pPr>
      <w:rPr>
        <w:rFonts w:eastAsiaTheme="minorHAnsi" w:hint="default"/>
        <w:color w:val="0563C1" w:themeColor="hyperlink"/>
        <w:u w:val="single"/>
      </w:rPr>
    </w:lvl>
    <w:lvl w:ilvl="7">
      <w:start w:val="1"/>
      <w:numFmt w:val="decimal"/>
      <w:lvlText w:val="%1.%2.%3.%4.%5.%6.%7.%8."/>
      <w:lvlJc w:val="left"/>
      <w:pPr>
        <w:ind w:left="2980" w:hanging="1440"/>
      </w:pPr>
      <w:rPr>
        <w:rFonts w:eastAsiaTheme="minorHAnsi" w:hint="default"/>
        <w:color w:val="0563C1" w:themeColor="hyperlink"/>
        <w:u w:val="single"/>
      </w:rPr>
    </w:lvl>
    <w:lvl w:ilvl="8">
      <w:start w:val="1"/>
      <w:numFmt w:val="decimal"/>
      <w:lvlText w:val="%1.%2.%3.%4.%5.%6.%7.%8.%9."/>
      <w:lvlJc w:val="left"/>
      <w:pPr>
        <w:ind w:left="3560" w:hanging="1800"/>
      </w:pPr>
      <w:rPr>
        <w:rFonts w:eastAsiaTheme="minorHAnsi" w:hint="default"/>
        <w:color w:val="0563C1" w:themeColor="hyperlink"/>
        <w:u w:val="single"/>
      </w:rPr>
    </w:lvl>
  </w:abstractNum>
  <w:abstractNum w:abstractNumId="7" w15:restartNumberingAfterBreak="0">
    <w:nsid w:val="17CB6F91"/>
    <w:multiLevelType w:val="hybridMultilevel"/>
    <w:tmpl w:val="8752CE46"/>
    <w:lvl w:ilvl="0" w:tplc="F446DA2C">
      <w:start w:val="1"/>
      <w:numFmt w:val="decimal"/>
      <w:pStyle w:val="numeracja2"/>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8" w15:restartNumberingAfterBreak="0">
    <w:nsid w:val="17CF1BEA"/>
    <w:multiLevelType w:val="hybridMultilevel"/>
    <w:tmpl w:val="4A285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1E760C"/>
    <w:multiLevelType w:val="hybridMultilevel"/>
    <w:tmpl w:val="F49E0B7E"/>
    <w:lvl w:ilvl="0" w:tplc="8FAC5F7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BA70D90"/>
    <w:multiLevelType w:val="hybridMultilevel"/>
    <w:tmpl w:val="11484336"/>
    <w:lvl w:ilvl="0" w:tplc="728846E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B508BB"/>
    <w:multiLevelType w:val="hybridMultilevel"/>
    <w:tmpl w:val="949CC3D8"/>
    <w:lvl w:ilvl="0" w:tplc="8FAC5F72">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2" w15:restartNumberingAfterBreak="0">
    <w:nsid w:val="21950CAD"/>
    <w:multiLevelType w:val="hybridMultilevel"/>
    <w:tmpl w:val="E45C4018"/>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 w15:restartNumberingAfterBreak="0">
    <w:nsid w:val="23787CB3"/>
    <w:multiLevelType w:val="hybridMultilevel"/>
    <w:tmpl w:val="3FC27DDA"/>
    <w:lvl w:ilvl="0" w:tplc="BC1CF0FC">
      <w:start w:val="1"/>
      <w:numFmt w:val="bullet"/>
      <w:lvlText w:val="-"/>
      <w:lvlJc w:val="left"/>
      <w:pPr>
        <w:ind w:left="717" w:hanging="360"/>
      </w:pPr>
      <w:rPr>
        <w:rFonts w:ascii="Courier New" w:hAnsi="Courier New"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14" w15:restartNumberingAfterBreak="0">
    <w:nsid w:val="26647154"/>
    <w:multiLevelType w:val="hybridMultilevel"/>
    <w:tmpl w:val="E2349926"/>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5" w15:restartNumberingAfterBreak="0">
    <w:nsid w:val="2A7A3D64"/>
    <w:multiLevelType w:val="hybridMultilevel"/>
    <w:tmpl w:val="EFBC897C"/>
    <w:lvl w:ilvl="0" w:tplc="BC1CF0FC">
      <w:start w:val="1"/>
      <w:numFmt w:val="bullet"/>
      <w:lvlText w:val="-"/>
      <w:lvlJc w:val="left"/>
      <w:rPr>
        <w:rFonts w:ascii="Courier New" w:hAnsi="Courier New" w:hint="default"/>
      </w:rPr>
    </w:lvl>
    <w:lvl w:ilvl="1" w:tplc="FFFFFFFF" w:tentative="1">
      <w:start w:val="1"/>
      <w:numFmt w:val="bullet"/>
      <w:lvlText w:val="o"/>
      <w:lvlJc w:val="left"/>
      <w:pPr>
        <w:ind w:left="683" w:hanging="360"/>
      </w:pPr>
      <w:rPr>
        <w:rFonts w:ascii="Courier New" w:hAnsi="Courier New" w:cs="Courier New" w:hint="default"/>
      </w:rPr>
    </w:lvl>
    <w:lvl w:ilvl="2" w:tplc="FFFFFFFF" w:tentative="1">
      <w:start w:val="1"/>
      <w:numFmt w:val="bullet"/>
      <w:lvlText w:val=""/>
      <w:lvlJc w:val="left"/>
      <w:pPr>
        <w:ind w:left="1403" w:hanging="360"/>
      </w:pPr>
      <w:rPr>
        <w:rFonts w:ascii="Wingdings" w:hAnsi="Wingdings" w:hint="default"/>
      </w:rPr>
    </w:lvl>
    <w:lvl w:ilvl="3" w:tplc="FFFFFFFF" w:tentative="1">
      <w:start w:val="1"/>
      <w:numFmt w:val="bullet"/>
      <w:lvlText w:val=""/>
      <w:lvlJc w:val="left"/>
      <w:pPr>
        <w:ind w:left="2123" w:hanging="360"/>
      </w:pPr>
      <w:rPr>
        <w:rFonts w:ascii="Symbol" w:hAnsi="Symbol" w:hint="default"/>
      </w:rPr>
    </w:lvl>
    <w:lvl w:ilvl="4" w:tplc="FFFFFFFF" w:tentative="1">
      <w:start w:val="1"/>
      <w:numFmt w:val="bullet"/>
      <w:lvlText w:val="o"/>
      <w:lvlJc w:val="left"/>
      <w:pPr>
        <w:ind w:left="2843" w:hanging="360"/>
      </w:pPr>
      <w:rPr>
        <w:rFonts w:ascii="Courier New" w:hAnsi="Courier New" w:cs="Courier New" w:hint="default"/>
      </w:rPr>
    </w:lvl>
    <w:lvl w:ilvl="5" w:tplc="FFFFFFFF" w:tentative="1">
      <w:start w:val="1"/>
      <w:numFmt w:val="bullet"/>
      <w:lvlText w:val=""/>
      <w:lvlJc w:val="left"/>
      <w:pPr>
        <w:ind w:left="3563" w:hanging="360"/>
      </w:pPr>
      <w:rPr>
        <w:rFonts w:ascii="Wingdings" w:hAnsi="Wingdings" w:hint="default"/>
      </w:rPr>
    </w:lvl>
    <w:lvl w:ilvl="6" w:tplc="FFFFFFFF" w:tentative="1">
      <w:start w:val="1"/>
      <w:numFmt w:val="bullet"/>
      <w:lvlText w:val=""/>
      <w:lvlJc w:val="left"/>
      <w:pPr>
        <w:ind w:left="4283" w:hanging="360"/>
      </w:pPr>
      <w:rPr>
        <w:rFonts w:ascii="Symbol" w:hAnsi="Symbol" w:hint="default"/>
      </w:rPr>
    </w:lvl>
    <w:lvl w:ilvl="7" w:tplc="FFFFFFFF" w:tentative="1">
      <w:start w:val="1"/>
      <w:numFmt w:val="bullet"/>
      <w:lvlText w:val="o"/>
      <w:lvlJc w:val="left"/>
      <w:pPr>
        <w:ind w:left="5003" w:hanging="360"/>
      </w:pPr>
      <w:rPr>
        <w:rFonts w:ascii="Courier New" w:hAnsi="Courier New" w:cs="Courier New" w:hint="default"/>
      </w:rPr>
    </w:lvl>
    <w:lvl w:ilvl="8" w:tplc="FFFFFFFF" w:tentative="1">
      <w:start w:val="1"/>
      <w:numFmt w:val="bullet"/>
      <w:lvlText w:val=""/>
      <w:lvlJc w:val="left"/>
      <w:pPr>
        <w:ind w:left="5723" w:hanging="360"/>
      </w:pPr>
      <w:rPr>
        <w:rFonts w:ascii="Wingdings" w:hAnsi="Wingdings" w:hint="default"/>
      </w:rPr>
    </w:lvl>
  </w:abstractNum>
  <w:abstractNum w:abstractNumId="16" w15:restartNumberingAfterBreak="0">
    <w:nsid w:val="3F5E4322"/>
    <w:multiLevelType w:val="hybridMultilevel"/>
    <w:tmpl w:val="5456DB92"/>
    <w:lvl w:ilvl="0" w:tplc="BC1CF0FC">
      <w:start w:val="1"/>
      <w:numFmt w:val="bullet"/>
      <w:lvlText w:val="-"/>
      <w:lvlJc w:val="left"/>
      <w:pPr>
        <w:ind w:left="717" w:hanging="360"/>
      </w:pPr>
      <w:rPr>
        <w:rFonts w:ascii="Courier New" w:hAnsi="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7" w15:restartNumberingAfterBreak="0">
    <w:nsid w:val="40E37CCB"/>
    <w:multiLevelType w:val="hybridMultilevel"/>
    <w:tmpl w:val="99D89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3BE11FD"/>
    <w:multiLevelType w:val="hybridMultilevel"/>
    <w:tmpl w:val="CFD26404"/>
    <w:lvl w:ilvl="0" w:tplc="F6129132">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9" w15:restartNumberingAfterBreak="0">
    <w:nsid w:val="44FA6A9A"/>
    <w:multiLevelType w:val="hybridMultilevel"/>
    <w:tmpl w:val="CA9A007C"/>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20" w15:restartNumberingAfterBreak="0">
    <w:nsid w:val="45255030"/>
    <w:multiLevelType w:val="hybridMultilevel"/>
    <w:tmpl w:val="89FE52FC"/>
    <w:lvl w:ilvl="0" w:tplc="BC1CF0FC">
      <w:start w:val="1"/>
      <w:numFmt w:val="bullet"/>
      <w:lvlText w:val="-"/>
      <w:lvlJc w:val="left"/>
      <w:pPr>
        <w:ind w:left="717" w:hanging="360"/>
      </w:pPr>
      <w:rPr>
        <w:rFonts w:ascii="Courier New" w:hAnsi="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1" w15:restartNumberingAfterBreak="0">
    <w:nsid w:val="45B56632"/>
    <w:multiLevelType w:val="hybridMultilevel"/>
    <w:tmpl w:val="54CC9780"/>
    <w:lvl w:ilvl="0" w:tplc="8DAECA62">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2" w15:restartNumberingAfterBreak="0">
    <w:nsid w:val="475F58E5"/>
    <w:multiLevelType w:val="hybridMultilevel"/>
    <w:tmpl w:val="36AA7566"/>
    <w:lvl w:ilvl="0" w:tplc="5C080C3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341C3C"/>
    <w:multiLevelType w:val="hybridMultilevel"/>
    <w:tmpl w:val="D20A6196"/>
    <w:lvl w:ilvl="0" w:tplc="04150001">
      <w:start w:val="1"/>
      <w:numFmt w:val="bullet"/>
      <w:lvlText w:val=""/>
      <w:lvlJc w:val="left"/>
      <w:pPr>
        <w:ind w:left="360" w:hanging="360"/>
      </w:pPr>
      <w:rPr>
        <w:rFonts w:ascii="Symbol" w:hAnsi="Symbol" w:hint="default"/>
      </w:rPr>
    </w:lvl>
    <w:lvl w:ilvl="1" w:tplc="0F8011C2">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abstractNum w:abstractNumId="24" w15:restartNumberingAfterBreak="0">
    <w:nsid w:val="4B663C0D"/>
    <w:multiLevelType w:val="hybridMultilevel"/>
    <w:tmpl w:val="9D1CE084"/>
    <w:lvl w:ilvl="0" w:tplc="DA769302">
      <w:start w:val="1"/>
      <w:numFmt w:val="bullet"/>
      <w:pStyle w:val="bombki"/>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5" w15:restartNumberingAfterBreak="0">
    <w:nsid w:val="58667DD1"/>
    <w:multiLevelType w:val="hybridMultilevel"/>
    <w:tmpl w:val="B7EEC34C"/>
    <w:lvl w:ilvl="0" w:tplc="04150011">
      <w:start w:val="1"/>
      <w:numFmt w:val="decimal"/>
      <w:lvlText w:val="%1)"/>
      <w:lvlJc w:val="left"/>
      <w:pPr>
        <w:ind w:left="1077" w:hanging="360"/>
      </w:pPr>
    </w:lvl>
    <w:lvl w:ilvl="1" w:tplc="B140689C">
      <w:start w:val="1"/>
      <w:numFmt w:val="decimal"/>
      <w:lvlText w:val="%2."/>
      <w:lvlJc w:val="left"/>
      <w:pPr>
        <w:ind w:left="1797" w:hanging="360"/>
      </w:pPr>
      <w:rPr>
        <w:rFonts w:hint="default"/>
      </w:r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6" w15:restartNumberingAfterBreak="0">
    <w:nsid w:val="5FBE4708"/>
    <w:multiLevelType w:val="hybridMultilevel"/>
    <w:tmpl w:val="7980C972"/>
    <w:lvl w:ilvl="0" w:tplc="04150001">
      <w:start w:val="1"/>
      <w:numFmt w:val="bullet"/>
      <w:lvlText w:val=""/>
      <w:lvlJc w:val="left"/>
      <w:pPr>
        <w:ind w:left="1077" w:hanging="360"/>
      </w:pPr>
      <w:rPr>
        <w:rFonts w:ascii="Symbol" w:hAnsi="Symbol"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15:restartNumberingAfterBreak="0">
    <w:nsid w:val="6004410A"/>
    <w:multiLevelType w:val="hybridMultilevel"/>
    <w:tmpl w:val="D5C44200"/>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8" w15:restartNumberingAfterBreak="0">
    <w:nsid w:val="67CC4904"/>
    <w:multiLevelType w:val="hybridMultilevel"/>
    <w:tmpl w:val="8B0CD60E"/>
    <w:lvl w:ilvl="0" w:tplc="8FAC5F7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CD32029"/>
    <w:multiLevelType w:val="hybridMultilevel"/>
    <w:tmpl w:val="A0C2B9A0"/>
    <w:lvl w:ilvl="0" w:tplc="DA6AC664">
      <w:numFmt w:val="bullet"/>
      <w:lvlText w:val="•"/>
      <w:lvlJc w:val="left"/>
      <w:pPr>
        <w:ind w:left="717" w:hanging="360"/>
      </w:pPr>
      <w:rPr>
        <w:rFonts w:ascii="Times New Roman" w:eastAsia="Times New Roman" w:hAnsi="Times New Roman" w:cs="Times New Roman"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0" w15:restartNumberingAfterBreak="0">
    <w:nsid w:val="722A0F66"/>
    <w:multiLevelType w:val="hybridMultilevel"/>
    <w:tmpl w:val="43BCE030"/>
    <w:lvl w:ilvl="0" w:tplc="BC1CF0FC">
      <w:start w:val="1"/>
      <w:numFmt w:val="bullet"/>
      <w:lvlText w:val="-"/>
      <w:lvlJc w:val="left"/>
      <w:pPr>
        <w:ind w:left="717" w:hanging="360"/>
      </w:pPr>
      <w:rPr>
        <w:rFonts w:ascii="Courier New" w:hAnsi="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1" w15:restartNumberingAfterBreak="0">
    <w:nsid w:val="75F638A7"/>
    <w:multiLevelType w:val="hybridMultilevel"/>
    <w:tmpl w:val="4A3C4C9E"/>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2" w15:restartNumberingAfterBreak="0">
    <w:nsid w:val="7D377DED"/>
    <w:multiLevelType w:val="hybridMultilevel"/>
    <w:tmpl w:val="A3FA424A"/>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3" w15:restartNumberingAfterBreak="0">
    <w:nsid w:val="7E9B5A7C"/>
    <w:multiLevelType w:val="hybridMultilevel"/>
    <w:tmpl w:val="4F32980E"/>
    <w:lvl w:ilvl="0" w:tplc="BC1CF0FC">
      <w:start w:val="1"/>
      <w:numFmt w:val="bullet"/>
      <w:lvlText w:val="-"/>
      <w:lvlJc w:val="left"/>
      <w:pPr>
        <w:ind w:left="717" w:hanging="360"/>
      </w:pPr>
      <w:rPr>
        <w:rFonts w:ascii="Courier New" w:hAnsi="Courier New"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4" w15:restartNumberingAfterBreak="0">
    <w:nsid w:val="7EC77602"/>
    <w:multiLevelType w:val="hybridMultilevel"/>
    <w:tmpl w:val="27683C1A"/>
    <w:lvl w:ilvl="0" w:tplc="7D280518">
      <w:start w:val="1"/>
      <w:numFmt w:val="decimal"/>
      <w:pStyle w:val="numeracja"/>
      <w:lvlText w:val="%1."/>
      <w:lvlJc w:val="left"/>
      <w:pPr>
        <w:ind w:left="360" w:hanging="360"/>
      </w:pPr>
      <w:rPr>
        <w:rFonts w:hint="default"/>
      </w:rPr>
    </w:lvl>
    <w:lvl w:ilvl="1" w:tplc="0F8011C2">
      <w:start w:val="1"/>
      <w:numFmt w:val="lowerLetter"/>
      <w:lvlText w:val="%2."/>
      <w:lvlJc w:val="left"/>
      <w:pPr>
        <w:ind w:left="1837" w:hanging="360"/>
      </w:pPr>
    </w:lvl>
    <w:lvl w:ilvl="2" w:tplc="0415001B" w:tentative="1">
      <w:start w:val="1"/>
      <w:numFmt w:val="lowerRoman"/>
      <w:lvlText w:val="%3."/>
      <w:lvlJc w:val="right"/>
      <w:pPr>
        <w:ind w:left="2557" w:hanging="180"/>
      </w:pPr>
    </w:lvl>
    <w:lvl w:ilvl="3" w:tplc="0415000F" w:tentative="1">
      <w:start w:val="1"/>
      <w:numFmt w:val="decimal"/>
      <w:lvlText w:val="%4."/>
      <w:lvlJc w:val="left"/>
      <w:pPr>
        <w:ind w:left="3277" w:hanging="360"/>
      </w:pPr>
    </w:lvl>
    <w:lvl w:ilvl="4" w:tplc="04150019" w:tentative="1">
      <w:start w:val="1"/>
      <w:numFmt w:val="lowerLetter"/>
      <w:lvlText w:val="%5."/>
      <w:lvlJc w:val="left"/>
      <w:pPr>
        <w:ind w:left="3997" w:hanging="360"/>
      </w:pPr>
    </w:lvl>
    <w:lvl w:ilvl="5" w:tplc="0415001B" w:tentative="1">
      <w:start w:val="1"/>
      <w:numFmt w:val="lowerRoman"/>
      <w:lvlText w:val="%6."/>
      <w:lvlJc w:val="right"/>
      <w:pPr>
        <w:ind w:left="4717" w:hanging="180"/>
      </w:pPr>
    </w:lvl>
    <w:lvl w:ilvl="6" w:tplc="0415000F" w:tentative="1">
      <w:start w:val="1"/>
      <w:numFmt w:val="decimal"/>
      <w:lvlText w:val="%7."/>
      <w:lvlJc w:val="left"/>
      <w:pPr>
        <w:ind w:left="5437" w:hanging="360"/>
      </w:pPr>
    </w:lvl>
    <w:lvl w:ilvl="7" w:tplc="04150019" w:tentative="1">
      <w:start w:val="1"/>
      <w:numFmt w:val="lowerLetter"/>
      <w:lvlText w:val="%8."/>
      <w:lvlJc w:val="left"/>
      <w:pPr>
        <w:ind w:left="6157" w:hanging="360"/>
      </w:pPr>
    </w:lvl>
    <w:lvl w:ilvl="8" w:tplc="0415001B" w:tentative="1">
      <w:start w:val="1"/>
      <w:numFmt w:val="lowerRoman"/>
      <w:lvlText w:val="%9."/>
      <w:lvlJc w:val="right"/>
      <w:pPr>
        <w:ind w:left="6877" w:hanging="180"/>
      </w:pPr>
    </w:lvl>
  </w:abstractNum>
  <w:num w:numId="1">
    <w:abstractNumId w:val="10"/>
  </w:num>
  <w:num w:numId="2">
    <w:abstractNumId w:val="22"/>
  </w:num>
  <w:num w:numId="3">
    <w:abstractNumId w:val="31"/>
  </w:num>
  <w:num w:numId="4">
    <w:abstractNumId w:val="32"/>
  </w:num>
  <w:num w:numId="5">
    <w:abstractNumId w:val="18"/>
  </w:num>
  <w:num w:numId="6">
    <w:abstractNumId w:val="2"/>
  </w:num>
  <w:num w:numId="7">
    <w:abstractNumId w:val="12"/>
  </w:num>
  <w:num w:numId="8">
    <w:abstractNumId w:val="25"/>
  </w:num>
  <w:num w:numId="9">
    <w:abstractNumId w:val="26"/>
  </w:num>
  <w:num w:numId="10">
    <w:abstractNumId w:val="8"/>
  </w:num>
  <w:num w:numId="11">
    <w:abstractNumId w:val="5"/>
  </w:num>
  <w:num w:numId="12">
    <w:abstractNumId w:val="14"/>
  </w:num>
  <w:num w:numId="13">
    <w:abstractNumId w:val="19"/>
  </w:num>
  <w:num w:numId="14">
    <w:abstractNumId w:val="17"/>
  </w:num>
  <w:num w:numId="15">
    <w:abstractNumId w:val="29"/>
  </w:num>
  <w:num w:numId="16">
    <w:abstractNumId w:val="34"/>
  </w:num>
  <w:num w:numId="17">
    <w:abstractNumId w:val="34"/>
    <w:lvlOverride w:ilvl="0">
      <w:startOverride w:val="1"/>
    </w:lvlOverride>
  </w:num>
  <w:num w:numId="18">
    <w:abstractNumId w:val="23"/>
  </w:num>
  <w:num w:numId="19">
    <w:abstractNumId w:val="15"/>
  </w:num>
  <w:num w:numId="20">
    <w:abstractNumId w:val="0"/>
  </w:num>
  <w:num w:numId="21">
    <w:abstractNumId w:val="27"/>
  </w:num>
  <w:num w:numId="22">
    <w:abstractNumId w:val="11"/>
  </w:num>
  <w:num w:numId="23">
    <w:abstractNumId w:val="3"/>
  </w:num>
  <w:num w:numId="24">
    <w:abstractNumId w:val="9"/>
  </w:num>
  <w:num w:numId="25">
    <w:abstractNumId w:val="28"/>
  </w:num>
  <w:num w:numId="26">
    <w:abstractNumId w:val="7"/>
  </w:num>
  <w:num w:numId="27">
    <w:abstractNumId w:val="34"/>
  </w:num>
  <w:num w:numId="28">
    <w:abstractNumId w:val="7"/>
  </w:num>
  <w:num w:numId="29">
    <w:abstractNumId w:val="24"/>
  </w:num>
  <w:num w:numId="30">
    <w:abstractNumId w:val="13"/>
  </w:num>
  <w:num w:numId="31">
    <w:abstractNumId w:val="20"/>
  </w:num>
  <w:num w:numId="32">
    <w:abstractNumId w:val="16"/>
  </w:num>
  <w:num w:numId="33">
    <w:abstractNumId w:val="30"/>
  </w:num>
  <w:num w:numId="34">
    <w:abstractNumId w:val="24"/>
  </w:num>
  <w:num w:numId="35">
    <w:abstractNumId w:val="33"/>
  </w:num>
  <w:num w:numId="36">
    <w:abstractNumId w:val="4"/>
  </w:num>
  <w:num w:numId="37">
    <w:abstractNumId w:val="21"/>
  </w:num>
  <w:num w:numId="38">
    <w:abstractNumId w:val="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734"/>
    <w:rsid w:val="0000091C"/>
    <w:rsid w:val="00000A87"/>
    <w:rsid w:val="0000300A"/>
    <w:rsid w:val="00010A7B"/>
    <w:rsid w:val="0001761B"/>
    <w:rsid w:val="000307B2"/>
    <w:rsid w:val="0003256E"/>
    <w:rsid w:val="00032E53"/>
    <w:rsid w:val="00032FB2"/>
    <w:rsid w:val="00053465"/>
    <w:rsid w:val="00056FF3"/>
    <w:rsid w:val="00062292"/>
    <w:rsid w:val="0006328D"/>
    <w:rsid w:val="00063A27"/>
    <w:rsid w:val="00070017"/>
    <w:rsid w:val="000725E6"/>
    <w:rsid w:val="00075E6B"/>
    <w:rsid w:val="00093ACF"/>
    <w:rsid w:val="00094CC3"/>
    <w:rsid w:val="00095D44"/>
    <w:rsid w:val="000B087D"/>
    <w:rsid w:val="000B0A1E"/>
    <w:rsid w:val="000B18E6"/>
    <w:rsid w:val="000B44F4"/>
    <w:rsid w:val="000C063C"/>
    <w:rsid w:val="000C20DF"/>
    <w:rsid w:val="000C2F13"/>
    <w:rsid w:val="000C5163"/>
    <w:rsid w:val="000D1C90"/>
    <w:rsid w:val="000D4BD9"/>
    <w:rsid w:val="000D6715"/>
    <w:rsid w:val="000F0139"/>
    <w:rsid w:val="000F15EC"/>
    <w:rsid w:val="00102BA0"/>
    <w:rsid w:val="00104BD9"/>
    <w:rsid w:val="001054CD"/>
    <w:rsid w:val="001063E0"/>
    <w:rsid w:val="001077DD"/>
    <w:rsid w:val="00112E46"/>
    <w:rsid w:val="00121E2B"/>
    <w:rsid w:val="001226B5"/>
    <w:rsid w:val="00122FDC"/>
    <w:rsid w:val="00137BB5"/>
    <w:rsid w:val="00142192"/>
    <w:rsid w:val="001421AD"/>
    <w:rsid w:val="00144AD6"/>
    <w:rsid w:val="00145129"/>
    <w:rsid w:val="00156637"/>
    <w:rsid w:val="00161B0B"/>
    <w:rsid w:val="0016275A"/>
    <w:rsid w:val="001641BA"/>
    <w:rsid w:val="00164C6E"/>
    <w:rsid w:val="00167D37"/>
    <w:rsid w:val="00170346"/>
    <w:rsid w:val="0017308D"/>
    <w:rsid w:val="00184CAE"/>
    <w:rsid w:val="00186CB3"/>
    <w:rsid w:val="001870AD"/>
    <w:rsid w:val="001A7D69"/>
    <w:rsid w:val="001B0237"/>
    <w:rsid w:val="001C3238"/>
    <w:rsid w:val="001D05C3"/>
    <w:rsid w:val="001D504F"/>
    <w:rsid w:val="001E0EB6"/>
    <w:rsid w:val="001E29A8"/>
    <w:rsid w:val="001E2C54"/>
    <w:rsid w:val="001E4E2D"/>
    <w:rsid w:val="001E633B"/>
    <w:rsid w:val="001E6CAD"/>
    <w:rsid w:val="001E6FF1"/>
    <w:rsid w:val="001E7A58"/>
    <w:rsid w:val="001E7C83"/>
    <w:rsid w:val="001F20FA"/>
    <w:rsid w:val="001F3683"/>
    <w:rsid w:val="001F4E31"/>
    <w:rsid w:val="001F4E9D"/>
    <w:rsid w:val="00201515"/>
    <w:rsid w:val="00206391"/>
    <w:rsid w:val="00207469"/>
    <w:rsid w:val="00215C11"/>
    <w:rsid w:val="00217F01"/>
    <w:rsid w:val="0022048A"/>
    <w:rsid w:val="002221FE"/>
    <w:rsid w:val="00223895"/>
    <w:rsid w:val="00225823"/>
    <w:rsid w:val="002260B3"/>
    <w:rsid w:val="00230D5D"/>
    <w:rsid w:val="0023294D"/>
    <w:rsid w:val="00233BD2"/>
    <w:rsid w:val="00235236"/>
    <w:rsid w:val="00240013"/>
    <w:rsid w:val="002439A6"/>
    <w:rsid w:val="002456C7"/>
    <w:rsid w:val="002461D5"/>
    <w:rsid w:val="00247068"/>
    <w:rsid w:val="002470D9"/>
    <w:rsid w:val="002558EE"/>
    <w:rsid w:val="00256A67"/>
    <w:rsid w:val="0026104E"/>
    <w:rsid w:val="00263734"/>
    <w:rsid w:val="00264419"/>
    <w:rsid w:val="002670FD"/>
    <w:rsid w:val="00267E7D"/>
    <w:rsid w:val="00272721"/>
    <w:rsid w:val="00275C17"/>
    <w:rsid w:val="00283B3D"/>
    <w:rsid w:val="00284294"/>
    <w:rsid w:val="00291FC3"/>
    <w:rsid w:val="002938C6"/>
    <w:rsid w:val="002A0C9C"/>
    <w:rsid w:val="002A1B1C"/>
    <w:rsid w:val="002A1E18"/>
    <w:rsid w:val="002A2811"/>
    <w:rsid w:val="002A4361"/>
    <w:rsid w:val="002A4D74"/>
    <w:rsid w:val="002B653E"/>
    <w:rsid w:val="002C1383"/>
    <w:rsid w:val="002C42EB"/>
    <w:rsid w:val="002D0180"/>
    <w:rsid w:val="002D0FBA"/>
    <w:rsid w:val="002D32F9"/>
    <w:rsid w:val="002D7F29"/>
    <w:rsid w:val="002E29F3"/>
    <w:rsid w:val="002E53B2"/>
    <w:rsid w:val="002F0841"/>
    <w:rsid w:val="002F25E6"/>
    <w:rsid w:val="002F3FB1"/>
    <w:rsid w:val="003018BC"/>
    <w:rsid w:val="00304269"/>
    <w:rsid w:val="00305E51"/>
    <w:rsid w:val="00305F78"/>
    <w:rsid w:val="003060D4"/>
    <w:rsid w:val="003078B0"/>
    <w:rsid w:val="00312836"/>
    <w:rsid w:val="0031285F"/>
    <w:rsid w:val="00327130"/>
    <w:rsid w:val="00337C5F"/>
    <w:rsid w:val="003446E3"/>
    <w:rsid w:val="003469C8"/>
    <w:rsid w:val="00347810"/>
    <w:rsid w:val="003552B2"/>
    <w:rsid w:val="00371F89"/>
    <w:rsid w:val="00375FA6"/>
    <w:rsid w:val="00380FEF"/>
    <w:rsid w:val="0038256A"/>
    <w:rsid w:val="003833F7"/>
    <w:rsid w:val="0038346A"/>
    <w:rsid w:val="003A145C"/>
    <w:rsid w:val="003A3A00"/>
    <w:rsid w:val="003B4929"/>
    <w:rsid w:val="003B5D4B"/>
    <w:rsid w:val="003C00B8"/>
    <w:rsid w:val="003C3D7A"/>
    <w:rsid w:val="003C4FB9"/>
    <w:rsid w:val="003D0DBA"/>
    <w:rsid w:val="003D1CEB"/>
    <w:rsid w:val="003D2401"/>
    <w:rsid w:val="003D7E17"/>
    <w:rsid w:val="003D7E42"/>
    <w:rsid w:val="003E1C9F"/>
    <w:rsid w:val="003E3545"/>
    <w:rsid w:val="003E3D35"/>
    <w:rsid w:val="003E60CD"/>
    <w:rsid w:val="003E73C1"/>
    <w:rsid w:val="003F5C76"/>
    <w:rsid w:val="00411538"/>
    <w:rsid w:val="0041294E"/>
    <w:rsid w:val="00413848"/>
    <w:rsid w:val="00420336"/>
    <w:rsid w:val="00421044"/>
    <w:rsid w:val="00430E31"/>
    <w:rsid w:val="0043641F"/>
    <w:rsid w:val="00437669"/>
    <w:rsid w:val="00440661"/>
    <w:rsid w:val="0044264B"/>
    <w:rsid w:val="00446E1C"/>
    <w:rsid w:val="0044720F"/>
    <w:rsid w:val="00464B25"/>
    <w:rsid w:val="004678FD"/>
    <w:rsid w:val="00472697"/>
    <w:rsid w:val="00473ACB"/>
    <w:rsid w:val="004742FC"/>
    <w:rsid w:val="00474A20"/>
    <w:rsid w:val="00474B74"/>
    <w:rsid w:val="00474BB0"/>
    <w:rsid w:val="00477E32"/>
    <w:rsid w:val="00480257"/>
    <w:rsid w:val="00480FC6"/>
    <w:rsid w:val="004840F9"/>
    <w:rsid w:val="0048681A"/>
    <w:rsid w:val="00493492"/>
    <w:rsid w:val="004947CC"/>
    <w:rsid w:val="004A04A0"/>
    <w:rsid w:val="004A22E2"/>
    <w:rsid w:val="004A60C2"/>
    <w:rsid w:val="004A7DC8"/>
    <w:rsid w:val="004B2977"/>
    <w:rsid w:val="004B4315"/>
    <w:rsid w:val="004B64A1"/>
    <w:rsid w:val="004B6730"/>
    <w:rsid w:val="004B6A2A"/>
    <w:rsid w:val="004B7017"/>
    <w:rsid w:val="004C3532"/>
    <w:rsid w:val="004C3FF5"/>
    <w:rsid w:val="004C7331"/>
    <w:rsid w:val="004D0B8A"/>
    <w:rsid w:val="004D1BA8"/>
    <w:rsid w:val="004D2D6E"/>
    <w:rsid w:val="004D3A8F"/>
    <w:rsid w:val="004E2F0D"/>
    <w:rsid w:val="004E327F"/>
    <w:rsid w:val="004E3BF3"/>
    <w:rsid w:val="004E45D6"/>
    <w:rsid w:val="004F463E"/>
    <w:rsid w:val="00502117"/>
    <w:rsid w:val="00504E6E"/>
    <w:rsid w:val="00505EF4"/>
    <w:rsid w:val="00506CD1"/>
    <w:rsid w:val="00507715"/>
    <w:rsid w:val="005115D6"/>
    <w:rsid w:val="0051167D"/>
    <w:rsid w:val="00512A3A"/>
    <w:rsid w:val="005269D9"/>
    <w:rsid w:val="00536E88"/>
    <w:rsid w:val="00545F28"/>
    <w:rsid w:val="00547C48"/>
    <w:rsid w:val="005513A2"/>
    <w:rsid w:val="0055783C"/>
    <w:rsid w:val="00566D31"/>
    <w:rsid w:val="00571929"/>
    <w:rsid w:val="00572A9B"/>
    <w:rsid w:val="00575611"/>
    <w:rsid w:val="00575AB4"/>
    <w:rsid w:val="005765E5"/>
    <w:rsid w:val="00590C8C"/>
    <w:rsid w:val="00590CA4"/>
    <w:rsid w:val="00592D3F"/>
    <w:rsid w:val="00594C75"/>
    <w:rsid w:val="005A3EC3"/>
    <w:rsid w:val="005B274B"/>
    <w:rsid w:val="005B34A9"/>
    <w:rsid w:val="005C0A2F"/>
    <w:rsid w:val="005C28FE"/>
    <w:rsid w:val="005C711A"/>
    <w:rsid w:val="005D6B0F"/>
    <w:rsid w:val="005E058C"/>
    <w:rsid w:val="005E1FEB"/>
    <w:rsid w:val="005E3865"/>
    <w:rsid w:val="005F1BBA"/>
    <w:rsid w:val="005F7D71"/>
    <w:rsid w:val="00602E93"/>
    <w:rsid w:val="00604F9C"/>
    <w:rsid w:val="00614216"/>
    <w:rsid w:val="00614923"/>
    <w:rsid w:val="00617AFE"/>
    <w:rsid w:val="006240E8"/>
    <w:rsid w:val="006243BA"/>
    <w:rsid w:val="00636B50"/>
    <w:rsid w:val="006451AB"/>
    <w:rsid w:val="00645CB3"/>
    <w:rsid w:val="00647230"/>
    <w:rsid w:val="00660025"/>
    <w:rsid w:val="00661322"/>
    <w:rsid w:val="0066514E"/>
    <w:rsid w:val="006677E4"/>
    <w:rsid w:val="0067686C"/>
    <w:rsid w:val="00680D7D"/>
    <w:rsid w:val="00682C6E"/>
    <w:rsid w:val="006B10D7"/>
    <w:rsid w:val="006B6F08"/>
    <w:rsid w:val="006B7AF2"/>
    <w:rsid w:val="006B7B0E"/>
    <w:rsid w:val="006C4149"/>
    <w:rsid w:val="006C4D2C"/>
    <w:rsid w:val="006C7E8A"/>
    <w:rsid w:val="006D1D4E"/>
    <w:rsid w:val="006D3ACD"/>
    <w:rsid w:val="006E0E10"/>
    <w:rsid w:val="006E0FB6"/>
    <w:rsid w:val="006E717D"/>
    <w:rsid w:val="006F03E0"/>
    <w:rsid w:val="006F0A0A"/>
    <w:rsid w:val="006F4528"/>
    <w:rsid w:val="006F56D5"/>
    <w:rsid w:val="0071322C"/>
    <w:rsid w:val="007151FC"/>
    <w:rsid w:val="00726324"/>
    <w:rsid w:val="00733944"/>
    <w:rsid w:val="00733CFC"/>
    <w:rsid w:val="00733DBF"/>
    <w:rsid w:val="00735B68"/>
    <w:rsid w:val="00736B7D"/>
    <w:rsid w:val="00744CC0"/>
    <w:rsid w:val="0074564E"/>
    <w:rsid w:val="00746416"/>
    <w:rsid w:val="0074747D"/>
    <w:rsid w:val="00757B9A"/>
    <w:rsid w:val="00757E3D"/>
    <w:rsid w:val="007608AC"/>
    <w:rsid w:val="00762A3B"/>
    <w:rsid w:val="0076340C"/>
    <w:rsid w:val="00771942"/>
    <w:rsid w:val="0077251B"/>
    <w:rsid w:val="00773D0F"/>
    <w:rsid w:val="007908D6"/>
    <w:rsid w:val="007955DE"/>
    <w:rsid w:val="00795B27"/>
    <w:rsid w:val="007A3321"/>
    <w:rsid w:val="007B077F"/>
    <w:rsid w:val="007B354E"/>
    <w:rsid w:val="007C1419"/>
    <w:rsid w:val="007C1462"/>
    <w:rsid w:val="007C3022"/>
    <w:rsid w:val="007C4A40"/>
    <w:rsid w:val="007C4DF5"/>
    <w:rsid w:val="007D0690"/>
    <w:rsid w:val="007D2053"/>
    <w:rsid w:val="007D235C"/>
    <w:rsid w:val="007D3ECC"/>
    <w:rsid w:val="007D6701"/>
    <w:rsid w:val="007E026E"/>
    <w:rsid w:val="007E2F1F"/>
    <w:rsid w:val="007E34F2"/>
    <w:rsid w:val="007E5DE7"/>
    <w:rsid w:val="007F03D7"/>
    <w:rsid w:val="007F1CB9"/>
    <w:rsid w:val="007F39C3"/>
    <w:rsid w:val="008007B6"/>
    <w:rsid w:val="008060A9"/>
    <w:rsid w:val="008131AA"/>
    <w:rsid w:val="00813D78"/>
    <w:rsid w:val="00814921"/>
    <w:rsid w:val="00820A0C"/>
    <w:rsid w:val="00822348"/>
    <w:rsid w:val="00824DE2"/>
    <w:rsid w:val="00824E16"/>
    <w:rsid w:val="008250D3"/>
    <w:rsid w:val="0082648D"/>
    <w:rsid w:val="008266AE"/>
    <w:rsid w:val="008275B4"/>
    <w:rsid w:val="008329F6"/>
    <w:rsid w:val="00841F94"/>
    <w:rsid w:val="00843975"/>
    <w:rsid w:val="00854256"/>
    <w:rsid w:val="00854864"/>
    <w:rsid w:val="00854D6A"/>
    <w:rsid w:val="00871968"/>
    <w:rsid w:val="00873917"/>
    <w:rsid w:val="008772BE"/>
    <w:rsid w:val="008810BB"/>
    <w:rsid w:val="0088323C"/>
    <w:rsid w:val="0088407C"/>
    <w:rsid w:val="0088626C"/>
    <w:rsid w:val="00896DCB"/>
    <w:rsid w:val="008A4A33"/>
    <w:rsid w:val="008A7E09"/>
    <w:rsid w:val="008B06D5"/>
    <w:rsid w:val="008B2F54"/>
    <w:rsid w:val="008B4432"/>
    <w:rsid w:val="008B6CD2"/>
    <w:rsid w:val="008B7D49"/>
    <w:rsid w:val="008C0351"/>
    <w:rsid w:val="008D3443"/>
    <w:rsid w:val="008D3914"/>
    <w:rsid w:val="008F2E64"/>
    <w:rsid w:val="008F504D"/>
    <w:rsid w:val="008F5683"/>
    <w:rsid w:val="00903B05"/>
    <w:rsid w:val="00904FFF"/>
    <w:rsid w:val="00921BEA"/>
    <w:rsid w:val="00923D11"/>
    <w:rsid w:val="009246D1"/>
    <w:rsid w:val="00927BC9"/>
    <w:rsid w:val="00927FE5"/>
    <w:rsid w:val="00932BBA"/>
    <w:rsid w:val="009432F8"/>
    <w:rsid w:val="00946BBE"/>
    <w:rsid w:val="0095004D"/>
    <w:rsid w:val="00950A5F"/>
    <w:rsid w:val="00953941"/>
    <w:rsid w:val="00956B2E"/>
    <w:rsid w:val="009612C7"/>
    <w:rsid w:val="00961795"/>
    <w:rsid w:val="009619FA"/>
    <w:rsid w:val="00964A40"/>
    <w:rsid w:val="00971302"/>
    <w:rsid w:val="009775BD"/>
    <w:rsid w:val="009835F4"/>
    <w:rsid w:val="009849DE"/>
    <w:rsid w:val="00987959"/>
    <w:rsid w:val="0099178B"/>
    <w:rsid w:val="009929AA"/>
    <w:rsid w:val="00993C22"/>
    <w:rsid w:val="009964E8"/>
    <w:rsid w:val="009B25C6"/>
    <w:rsid w:val="009B3416"/>
    <w:rsid w:val="009C1B7C"/>
    <w:rsid w:val="009D5E52"/>
    <w:rsid w:val="009E3693"/>
    <w:rsid w:val="009E62CB"/>
    <w:rsid w:val="009F4839"/>
    <w:rsid w:val="009F6D9E"/>
    <w:rsid w:val="00A025E5"/>
    <w:rsid w:val="00A07ABA"/>
    <w:rsid w:val="00A10329"/>
    <w:rsid w:val="00A10A4C"/>
    <w:rsid w:val="00A2081F"/>
    <w:rsid w:val="00A24FB9"/>
    <w:rsid w:val="00A26053"/>
    <w:rsid w:val="00A2658F"/>
    <w:rsid w:val="00A3510F"/>
    <w:rsid w:val="00A3629B"/>
    <w:rsid w:val="00A43772"/>
    <w:rsid w:val="00A46611"/>
    <w:rsid w:val="00A478BA"/>
    <w:rsid w:val="00A5095F"/>
    <w:rsid w:val="00A51B65"/>
    <w:rsid w:val="00A52BA0"/>
    <w:rsid w:val="00A546C9"/>
    <w:rsid w:val="00A567AC"/>
    <w:rsid w:val="00A63176"/>
    <w:rsid w:val="00A654E2"/>
    <w:rsid w:val="00A662EC"/>
    <w:rsid w:val="00A70159"/>
    <w:rsid w:val="00A73146"/>
    <w:rsid w:val="00A76177"/>
    <w:rsid w:val="00A8187F"/>
    <w:rsid w:val="00A8593F"/>
    <w:rsid w:val="00A8704A"/>
    <w:rsid w:val="00A96E22"/>
    <w:rsid w:val="00AB086E"/>
    <w:rsid w:val="00AB367B"/>
    <w:rsid w:val="00AB5D35"/>
    <w:rsid w:val="00AB5F1D"/>
    <w:rsid w:val="00AB5F4F"/>
    <w:rsid w:val="00AC74D2"/>
    <w:rsid w:val="00AD0815"/>
    <w:rsid w:val="00AD0E22"/>
    <w:rsid w:val="00AD36F0"/>
    <w:rsid w:val="00AD48C9"/>
    <w:rsid w:val="00AD4AF6"/>
    <w:rsid w:val="00AD4B36"/>
    <w:rsid w:val="00AD4FD0"/>
    <w:rsid w:val="00AD5878"/>
    <w:rsid w:val="00AD68F7"/>
    <w:rsid w:val="00AD71B8"/>
    <w:rsid w:val="00AD7E60"/>
    <w:rsid w:val="00AD7F69"/>
    <w:rsid w:val="00AE1480"/>
    <w:rsid w:val="00AE1AB1"/>
    <w:rsid w:val="00AE4A47"/>
    <w:rsid w:val="00AE4BFD"/>
    <w:rsid w:val="00AF5C98"/>
    <w:rsid w:val="00AF62A7"/>
    <w:rsid w:val="00B0268B"/>
    <w:rsid w:val="00B1455C"/>
    <w:rsid w:val="00B15B75"/>
    <w:rsid w:val="00B1660A"/>
    <w:rsid w:val="00B23C8D"/>
    <w:rsid w:val="00B26D13"/>
    <w:rsid w:val="00B34D8A"/>
    <w:rsid w:val="00B36288"/>
    <w:rsid w:val="00B504B2"/>
    <w:rsid w:val="00B5103F"/>
    <w:rsid w:val="00B53A0C"/>
    <w:rsid w:val="00B610FD"/>
    <w:rsid w:val="00B722E6"/>
    <w:rsid w:val="00B7561F"/>
    <w:rsid w:val="00B75A7A"/>
    <w:rsid w:val="00B82876"/>
    <w:rsid w:val="00B828BC"/>
    <w:rsid w:val="00B828FE"/>
    <w:rsid w:val="00B8442A"/>
    <w:rsid w:val="00B864B2"/>
    <w:rsid w:val="00B944C0"/>
    <w:rsid w:val="00B9757A"/>
    <w:rsid w:val="00B97E8C"/>
    <w:rsid w:val="00BA7BC6"/>
    <w:rsid w:val="00BB32C0"/>
    <w:rsid w:val="00BB35BE"/>
    <w:rsid w:val="00BB5923"/>
    <w:rsid w:val="00BB62BD"/>
    <w:rsid w:val="00BB6A2A"/>
    <w:rsid w:val="00BC0768"/>
    <w:rsid w:val="00BC3827"/>
    <w:rsid w:val="00BC6FF7"/>
    <w:rsid w:val="00BD1FD1"/>
    <w:rsid w:val="00BD2A9D"/>
    <w:rsid w:val="00BD310F"/>
    <w:rsid w:val="00BE145E"/>
    <w:rsid w:val="00BE392B"/>
    <w:rsid w:val="00BE3E60"/>
    <w:rsid w:val="00BF08ED"/>
    <w:rsid w:val="00BF2758"/>
    <w:rsid w:val="00BF62E8"/>
    <w:rsid w:val="00C0658B"/>
    <w:rsid w:val="00C07CC4"/>
    <w:rsid w:val="00C14B16"/>
    <w:rsid w:val="00C167F2"/>
    <w:rsid w:val="00C1704B"/>
    <w:rsid w:val="00C230C8"/>
    <w:rsid w:val="00C237DC"/>
    <w:rsid w:val="00C24DB7"/>
    <w:rsid w:val="00C24FF1"/>
    <w:rsid w:val="00C3017E"/>
    <w:rsid w:val="00C3179E"/>
    <w:rsid w:val="00C41072"/>
    <w:rsid w:val="00C501D7"/>
    <w:rsid w:val="00C534F9"/>
    <w:rsid w:val="00C6376A"/>
    <w:rsid w:val="00C64928"/>
    <w:rsid w:val="00C73444"/>
    <w:rsid w:val="00C755C4"/>
    <w:rsid w:val="00C77A61"/>
    <w:rsid w:val="00C81421"/>
    <w:rsid w:val="00C94446"/>
    <w:rsid w:val="00C9591D"/>
    <w:rsid w:val="00CA0AB6"/>
    <w:rsid w:val="00CA54BD"/>
    <w:rsid w:val="00CB35F4"/>
    <w:rsid w:val="00CB3896"/>
    <w:rsid w:val="00CC023D"/>
    <w:rsid w:val="00CC026A"/>
    <w:rsid w:val="00CC2BF9"/>
    <w:rsid w:val="00CC4738"/>
    <w:rsid w:val="00CC4E5D"/>
    <w:rsid w:val="00CC5F1F"/>
    <w:rsid w:val="00CD5735"/>
    <w:rsid w:val="00CD744C"/>
    <w:rsid w:val="00CE0EC1"/>
    <w:rsid w:val="00CE3A90"/>
    <w:rsid w:val="00CE4A2D"/>
    <w:rsid w:val="00CF1138"/>
    <w:rsid w:val="00CF4AB5"/>
    <w:rsid w:val="00D02242"/>
    <w:rsid w:val="00D02FB9"/>
    <w:rsid w:val="00D037E9"/>
    <w:rsid w:val="00D121AB"/>
    <w:rsid w:val="00D12606"/>
    <w:rsid w:val="00D15CC7"/>
    <w:rsid w:val="00D22D9A"/>
    <w:rsid w:val="00D23F67"/>
    <w:rsid w:val="00D2793A"/>
    <w:rsid w:val="00D34950"/>
    <w:rsid w:val="00D34CDB"/>
    <w:rsid w:val="00D42743"/>
    <w:rsid w:val="00D429BE"/>
    <w:rsid w:val="00D46C34"/>
    <w:rsid w:val="00D60C21"/>
    <w:rsid w:val="00D61F21"/>
    <w:rsid w:val="00D714B8"/>
    <w:rsid w:val="00D7590D"/>
    <w:rsid w:val="00D77CB2"/>
    <w:rsid w:val="00D82891"/>
    <w:rsid w:val="00D85782"/>
    <w:rsid w:val="00D9061E"/>
    <w:rsid w:val="00D92A00"/>
    <w:rsid w:val="00D961F0"/>
    <w:rsid w:val="00D9652E"/>
    <w:rsid w:val="00DA333C"/>
    <w:rsid w:val="00DA773E"/>
    <w:rsid w:val="00DB33A3"/>
    <w:rsid w:val="00DB5EFD"/>
    <w:rsid w:val="00DC5070"/>
    <w:rsid w:val="00DD3F0D"/>
    <w:rsid w:val="00DD635E"/>
    <w:rsid w:val="00DE2CB7"/>
    <w:rsid w:val="00DE6434"/>
    <w:rsid w:val="00DE6688"/>
    <w:rsid w:val="00DF2282"/>
    <w:rsid w:val="00DF4173"/>
    <w:rsid w:val="00E0486F"/>
    <w:rsid w:val="00E06E70"/>
    <w:rsid w:val="00E06F83"/>
    <w:rsid w:val="00E07422"/>
    <w:rsid w:val="00E118C5"/>
    <w:rsid w:val="00E11BC2"/>
    <w:rsid w:val="00E12F57"/>
    <w:rsid w:val="00E15D71"/>
    <w:rsid w:val="00E17859"/>
    <w:rsid w:val="00E17D0E"/>
    <w:rsid w:val="00E22BB5"/>
    <w:rsid w:val="00E30C18"/>
    <w:rsid w:val="00E427A5"/>
    <w:rsid w:val="00E42B07"/>
    <w:rsid w:val="00E501C5"/>
    <w:rsid w:val="00E5748A"/>
    <w:rsid w:val="00E61366"/>
    <w:rsid w:val="00E6690F"/>
    <w:rsid w:val="00E73070"/>
    <w:rsid w:val="00E736CA"/>
    <w:rsid w:val="00E76910"/>
    <w:rsid w:val="00E84D54"/>
    <w:rsid w:val="00E85307"/>
    <w:rsid w:val="00E9273C"/>
    <w:rsid w:val="00E965C2"/>
    <w:rsid w:val="00EA3DDE"/>
    <w:rsid w:val="00EA49DA"/>
    <w:rsid w:val="00EB7847"/>
    <w:rsid w:val="00EC1ACC"/>
    <w:rsid w:val="00EC2FB8"/>
    <w:rsid w:val="00EC451B"/>
    <w:rsid w:val="00EC5E41"/>
    <w:rsid w:val="00EC60DE"/>
    <w:rsid w:val="00ED039C"/>
    <w:rsid w:val="00ED5C64"/>
    <w:rsid w:val="00EF0F1A"/>
    <w:rsid w:val="00F019BC"/>
    <w:rsid w:val="00F12DF7"/>
    <w:rsid w:val="00F14E72"/>
    <w:rsid w:val="00F27183"/>
    <w:rsid w:val="00F33B5E"/>
    <w:rsid w:val="00F3675F"/>
    <w:rsid w:val="00F3705E"/>
    <w:rsid w:val="00F42442"/>
    <w:rsid w:val="00F47AAA"/>
    <w:rsid w:val="00F50A74"/>
    <w:rsid w:val="00F52C7C"/>
    <w:rsid w:val="00F738F6"/>
    <w:rsid w:val="00F763B9"/>
    <w:rsid w:val="00F8216E"/>
    <w:rsid w:val="00F82C43"/>
    <w:rsid w:val="00F86F22"/>
    <w:rsid w:val="00F9123B"/>
    <w:rsid w:val="00F921BD"/>
    <w:rsid w:val="00F959F3"/>
    <w:rsid w:val="00FA280E"/>
    <w:rsid w:val="00FA3DB2"/>
    <w:rsid w:val="00FA4FC6"/>
    <w:rsid w:val="00FA5E54"/>
    <w:rsid w:val="00FA61DC"/>
    <w:rsid w:val="00FA64CC"/>
    <w:rsid w:val="00FA7F32"/>
    <w:rsid w:val="00FB3B0D"/>
    <w:rsid w:val="00FB40ED"/>
    <w:rsid w:val="00FC5437"/>
    <w:rsid w:val="00FC7AE4"/>
    <w:rsid w:val="00FD49D9"/>
    <w:rsid w:val="00FD4D61"/>
    <w:rsid w:val="00FE02D0"/>
    <w:rsid w:val="00FE2212"/>
    <w:rsid w:val="00FE26A5"/>
    <w:rsid w:val="00FF1FE1"/>
    <w:rsid w:val="00FF2172"/>
    <w:rsid w:val="00FF2BE8"/>
    <w:rsid w:val="00FF680C"/>
    <w:rsid w:val="00FF6878"/>
    <w:rsid w:val="00FF78CB"/>
    <w:rsid w:val="00FF7B24"/>
    <w:rsid w:val="00FF7F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901762"/>
  <w15:chartTrackingRefBased/>
  <w15:docId w15:val="{5438F0CE-D905-4356-A768-007EC64C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C3017E"/>
  </w:style>
  <w:style w:type="paragraph" w:styleId="Nagwek1">
    <w:name w:val="heading 1"/>
    <w:basedOn w:val="Normalny"/>
    <w:next w:val="Normalny"/>
    <w:link w:val="Nagwek1Znak"/>
    <w:uiPriority w:val="9"/>
    <w:qFormat/>
    <w:rsid w:val="00744CC0"/>
    <w:pPr>
      <w:keepNext/>
      <w:pageBreakBefore/>
      <w:tabs>
        <w:tab w:val="left" w:pos="357"/>
      </w:tabs>
      <w:suppressAutoHyphens/>
      <w:spacing w:before="180" w:after="180" w:line="276" w:lineRule="auto"/>
      <w:outlineLvl w:val="0"/>
    </w:pPr>
    <w:rPr>
      <w:rFonts w:ascii="Calibri" w:eastAsia="Times New Roman" w:hAnsi="Calibri" w:cs="Times New Roman"/>
      <w:b/>
      <w:color w:val="595959"/>
      <w:sz w:val="32"/>
      <w:szCs w:val="24"/>
      <w:lang w:eastAsia="pl-PL"/>
    </w:rPr>
  </w:style>
  <w:style w:type="paragraph" w:styleId="Nagwek2">
    <w:name w:val="heading 2"/>
    <w:basedOn w:val="Nagwek1"/>
    <w:next w:val="Normalny"/>
    <w:link w:val="Nagwek2Znak"/>
    <w:uiPriority w:val="9"/>
    <w:unhideWhenUsed/>
    <w:qFormat/>
    <w:rsid w:val="00744CC0"/>
    <w:pPr>
      <w:pageBreakBefore w:val="0"/>
      <w:spacing w:before="240" w:after="120"/>
      <w:outlineLvl w:val="1"/>
    </w:pPr>
    <w:rPr>
      <w:sz w:val="28"/>
      <w:szCs w:val="28"/>
    </w:rPr>
  </w:style>
  <w:style w:type="paragraph" w:styleId="Nagwek3">
    <w:name w:val="heading 3"/>
    <w:basedOn w:val="Nagwek4"/>
    <w:next w:val="Normalny"/>
    <w:link w:val="Nagwek3Znak"/>
    <w:uiPriority w:val="9"/>
    <w:unhideWhenUsed/>
    <w:qFormat/>
    <w:rsid w:val="00207469"/>
    <w:pPr>
      <w:outlineLvl w:val="2"/>
    </w:pPr>
    <w:rPr>
      <w:sz w:val="24"/>
      <w:szCs w:val="24"/>
    </w:rPr>
  </w:style>
  <w:style w:type="paragraph" w:styleId="Nagwek4">
    <w:name w:val="heading 4"/>
    <w:basedOn w:val="Nagwek2"/>
    <w:next w:val="Normalny"/>
    <w:link w:val="Nagwek4Znak"/>
    <w:uiPriority w:val="9"/>
    <w:unhideWhenUsed/>
    <w:qFormat/>
    <w:rsid w:val="00421044"/>
    <w:pPr>
      <w:spacing w:before="120" w:after="60" w:line="240" w:lineRule="auto"/>
      <w:outlineLvl w:val="3"/>
    </w:pPr>
    <w:rPr>
      <w:color w:val="7F7F7F" w:themeColor="text1" w:themeTint="8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unhideWhenUsed/>
    <w:rsid w:val="0026373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263734"/>
    <w:rPr>
      <w:sz w:val="20"/>
      <w:szCs w:val="20"/>
    </w:rPr>
  </w:style>
  <w:style w:type="character" w:styleId="Odwoanieprzypisudolnego">
    <w:name w:val="footnote reference"/>
    <w:semiHidden/>
    <w:rsid w:val="00263734"/>
    <w:rPr>
      <w:vertAlign w:val="superscript"/>
    </w:rPr>
  </w:style>
  <w:style w:type="table" w:customStyle="1" w:styleId="Tabela-Siatka1">
    <w:name w:val="Tabela - Siatka1"/>
    <w:basedOn w:val="Standardowy"/>
    <w:next w:val="Tabela-Siatka"/>
    <w:uiPriority w:val="59"/>
    <w:rsid w:val="002637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263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164C6E"/>
    <w:pPr>
      <w:ind w:left="720"/>
      <w:contextualSpacing/>
    </w:pPr>
  </w:style>
  <w:style w:type="table" w:customStyle="1" w:styleId="Tabela-Siatka11">
    <w:name w:val="Tabela - Siatka11"/>
    <w:basedOn w:val="Standardowy"/>
    <w:next w:val="Tabela-Siatka"/>
    <w:uiPriority w:val="59"/>
    <w:rsid w:val="001054C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qFormat/>
    <w:rsid w:val="001054CD"/>
    <w:pPr>
      <w:spacing w:after="0" w:line="240" w:lineRule="auto"/>
      <w:contextualSpacing/>
    </w:pPr>
    <w:rPr>
      <w:rFonts w:ascii="Calibri" w:eastAsia="Calibri" w:hAnsi="Calibri" w:cs="Calibri"/>
      <w:sz w:val="20"/>
      <w:szCs w:val="20"/>
      <w:lang w:eastAsia="pl-PL"/>
    </w:rPr>
  </w:style>
  <w:style w:type="character" w:customStyle="1" w:styleId="TekstpodstawowyZnak">
    <w:name w:val="Tekst podstawowy Znak"/>
    <w:basedOn w:val="Domylnaczcionkaakapitu"/>
    <w:link w:val="Tekstpodstawowy"/>
    <w:rsid w:val="001054CD"/>
    <w:rPr>
      <w:rFonts w:ascii="Calibri" w:eastAsia="Calibri" w:hAnsi="Calibri" w:cs="Calibri"/>
      <w:sz w:val="20"/>
      <w:szCs w:val="20"/>
      <w:lang w:eastAsia="pl-PL"/>
    </w:rPr>
  </w:style>
  <w:style w:type="character" w:styleId="Odwoaniedokomentarza">
    <w:name w:val="annotation reference"/>
    <w:basedOn w:val="Domylnaczcionkaakapitu"/>
    <w:uiPriority w:val="99"/>
    <w:semiHidden/>
    <w:unhideWhenUsed/>
    <w:rsid w:val="00375FA6"/>
    <w:rPr>
      <w:sz w:val="16"/>
      <w:szCs w:val="16"/>
    </w:rPr>
  </w:style>
  <w:style w:type="paragraph" w:styleId="Tekstkomentarza">
    <w:name w:val="annotation text"/>
    <w:basedOn w:val="Normalny"/>
    <w:link w:val="TekstkomentarzaZnak"/>
    <w:uiPriority w:val="99"/>
    <w:semiHidden/>
    <w:unhideWhenUsed/>
    <w:rsid w:val="00375FA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75FA6"/>
    <w:rPr>
      <w:sz w:val="20"/>
      <w:szCs w:val="20"/>
    </w:rPr>
  </w:style>
  <w:style w:type="paragraph" w:styleId="Tematkomentarza">
    <w:name w:val="annotation subject"/>
    <w:basedOn w:val="Tekstkomentarza"/>
    <w:next w:val="Tekstkomentarza"/>
    <w:link w:val="TematkomentarzaZnak"/>
    <w:uiPriority w:val="99"/>
    <w:semiHidden/>
    <w:unhideWhenUsed/>
    <w:rsid w:val="00375FA6"/>
    <w:rPr>
      <w:b/>
      <w:bCs/>
    </w:rPr>
  </w:style>
  <w:style w:type="character" w:customStyle="1" w:styleId="TematkomentarzaZnak">
    <w:name w:val="Temat komentarza Znak"/>
    <w:basedOn w:val="TekstkomentarzaZnak"/>
    <w:link w:val="Tematkomentarza"/>
    <w:uiPriority w:val="99"/>
    <w:semiHidden/>
    <w:rsid w:val="00375FA6"/>
    <w:rPr>
      <w:b/>
      <w:bCs/>
      <w:sz w:val="20"/>
      <w:szCs w:val="20"/>
    </w:rPr>
  </w:style>
  <w:style w:type="paragraph" w:customStyle="1" w:styleId="numeracja">
    <w:name w:val="numeracja"/>
    <w:basedOn w:val="tekst"/>
    <w:qFormat/>
    <w:rsid w:val="00C41072"/>
    <w:pPr>
      <w:numPr>
        <w:numId w:val="27"/>
      </w:numPr>
      <w:jc w:val="left"/>
    </w:pPr>
  </w:style>
  <w:style w:type="character" w:styleId="Hipercze">
    <w:name w:val="Hyperlink"/>
    <w:basedOn w:val="Domylnaczcionkaakapitu"/>
    <w:uiPriority w:val="99"/>
    <w:unhideWhenUsed/>
    <w:rsid w:val="006F4528"/>
    <w:rPr>
      <w:color w:val="0563C1" w:themeColor="hyperlink"/>
      <w:u w:val="single"/>
    </w:rPr>
  </w:style>
  <w:style w:type="character" w:customStyle="1" w:styleId="Nierozpoznanawzmianka1">
    <w:name w:val="Nierozpoznana wzmianka1"/>
    <w:basedOn w:val="Domylnaczcionkaakapitu"/>
    <w:uiPriority w:val="99"/>
    <w:semiHidden/>
    <w:unhideWhenUsed/>
    <w:rsid w:val="006F4528"/>
    <w:rPr>
      <w:color w:val="605E5C"/>
      <w:shd w:val="clear" w:color="auto" w:fill="E1DFDD"/>
    </w:rPr>
  </w:style>
  <w:style w:type="table" w:customStyle="1" w:styleId="Siatkatabelijasna1">
    <w:name w:val="Siatka tabeli — jasna1"/>
    <w:basedOn w:val="Standardowy"/>
    <w:next w:val="Siatkatabelijasna"/>
    <w:uiPriority w:val="40"/>
    <w:rsid w:val="006F4528"/>
    <w:pPr>
      <w:spacing w:after="0" w:line="240" w:lineRule="auto"/>
    </w:pPr>
    <w:rPr>
      <w:rFonts w:ascii="Calibri" w:eastAsia="Times New Roman"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Siatkatabelijasna">
    <w:name w:val="Grid Table Light"/>
    <w:basedOn w:val="Standardowy"/>
    <w:uiPriority w:val="40"/>
    <w:rsid w:val="006F45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gwek">
    <w:name w:val="header"/>
    <w:basedOn w:val="Normalny"/>
    <w:link w:val="NagwekZnak"/>
    <w:uiPriority w:val="99"/>
    <w:unhideWhenUsed/>
    <w:rsid w:val="006F45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F4528"/>
  </w:style>
  <w:style w:type="paragraph" w:styleId="Stopka">
    <w:name w:val="footer"/>
    <w:basedOn w:val="Normalny"/>
    <w:link w:val="StopkaZnak"/>
    <w:uiPriority w:val="99"/>
    <w:unhideWhenUsed/>
    <w:rsid w:val="006F45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F4528"/>
  </w:style>
  <w:style w:type="paragraph" w:styleId="Tekstdymka">
    <w:name w:val="Balloon Text"/>
    <w:basedOn w:val="Normalny"/>
    <w:link w:val="TekstdymkaZnak"/>
    <w:uiPriority w:val="99"/>
    <w:semiHidden/>
    <w:unhideWhenUsed/>
    <w:rsid w:val="006F4528"/>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6F4528"/>
    <w:rPr>
      <w:rFonts w:ascii="Times New Roman" w:hAnsi="Times New Roman" w:cs="Times New Roman"/>
      <w:sz w:val="18"/>
      <w:szCs w:val="18"/>
    </w:rPr>
  </w:style>
  <w:style w:type="paragraph" w:styleId="Poprawka">
    <w:name w:val="Revision"/>
    <w:hidden/>
    <w:uiPriority w:val="99"/>
    <w:semiHidden/>
    <w:rsid w:val="006F4528"/>
    <w:pPr>
      <w:spacing w:after="0" w:line="240" w:lineRule="auto"/>
    </w:pPr>
  </w:style>
  <w:style w:type="paragraph" w:customStyle="1" w:styleId="Default">
    <w:name w:val="Default"/>
    <w:rsid w:val="00BB6A2A"/>
    <w:pPr>
      <w:autoSpaceDE w:val="0"/>
      <w:autoSpaceDN w:val="0"/>
      <w:adjustRightInd w:val="0"/>
      <w:spacing w:after="0" w:line="240" w:lineRule="auto"/>
    </w:pPr>
    <w:rPr>
      <w:rFonts w:ascii="Calibri" w:hAnsi="Calibri" w:cs="Calibri"/>
      <w:color w:val="000000"/>
      <w:sz w:val="24"/>
      <w:szCs w:val="24"/>
    </w:rPr>
  </w:style>
  <w:style w:type="paragraph" w:customStyle="1" w:styleId="tekst">
    <w:name w:val="tekst"/>
    <w:basedOn w:val="Normalny"/>
    <w:qFormat/>
    <w:rsid w:val="00C41072"/>
    <w:pPr>
      <w:spacing w:after="120" w:line="300" w:lineRule="atLeast"/>
      <w:ind w:firstLine="357"/>
      <w:contextualSpacing/>
      <w:jc w:val="both"/>
    </w:pPr>
    <w:rPr>
      <w:rFonts w:ascii="Calibri" w:eastAsia="Times New Roman" w:hAnsi="Calibri" w:cs="Times New Roman"/>
      <w:sz w:val="20"/>
      <w:szCs w:val="20"/>
      <w:lang w:eastAsia="pl-PL"/>
    </w:rPr>
  </w:style>
  <w:style w:type="table" w:customStyle="1" w:styleId="tabelaWB">
    <w:name w:val="tabelaWB"/>
    <w:basedOn w:val="Standardowy"/>
    <w:uiPriority w:val="99"/>
    <w:rsid w:val="00C41072"/>
    <w:pPr>
      <w:spacing w:after="0" w:line="240" w:lineRule="auto"/>
    </w:pPr>
    <w:rPr>
      <w:rFonts w:ascii="Calibri" w:eastAsiaTheme="minorEastAsia" w:hAnsi="Calibri"/>
      <w:sz w:val="18"/>
      <w:szCs w:val="20"/>
      <w:lang w:eastAsia="pl-PL"/>
    </w:rPr>
    <w:tblPr>
      <w:tblBorders>
        <w:top w:val="single" w:sz="4" w:space="0" w:color="595959" w:themeColor="text1" w:themeTint="A6"/>
        <w:bottom w:val="single" w:sz="8" w:space="0" w:color="595959" w:themeColor="text1" w:themeTint="A6"/>
        <w:insideH w:val="single" w:sz="4" w:space="0" w:color="595959" w:themeColor="text1" w:themeTint="A6"/>
        <w:insideV w:val="single" w:sz="4" w:space="0" w:color="595959" w:themeColor="text1" w:themeTint="A6"/>
      </w:tblBorders>
      <w:tblCellMar>
        <w:top w:w="28" w:type="dxa"/>
        <w:left w:w="85" w:type="dxa"/>
        <w:bottom w:w="28" w:type="dxa"/>
        <w:right w:w="85" w:type="dxa"/>
      </w:tblCellMar>
    </w:tblPr>
    <w:tblStylePr w:type="firstRow">
      <w:tblPr/>
      <w:tcPr>
        <w:tcBorders>
          <w:bottom w:val="nil"/>
        </w:tcBorders>
      </w:tcPr>
    </w:tblStylePr>
  </w:style>
  <w:style w:type="table" w:customStyle="1" w:styleId="TabWB">
    <w:name w:val="TabWB"/>
    <w:basedOn w:val="Siatkatabelijasna"/>
    <w:uiPriority w:val="99"/>
    <w:rsid w:val="00C41072"/>
    <w:rPr>
      <w:rFonts w:ascii="Calibri" w:eastAsiaTheme="minorEastAsia" w:hAnsi="Calibri"/>
      <w:sz w:val="18"/>
      <w:szCs w:val="20"/>
      <w:lang w:eastAsia="pl-PL"/>
    </w:rPr>
    <w:tblPr/>
  </w:style>
  <w:style w:type="paragraph" w:customStyle="1" w:styleId="numeracja2">
    <w:name w:val="numeracja2"/>
    <w:basedOn w:val="numeracja"/>
    <w:qFormat/>
    <w:rsid w:val="00207469"/>
    <w:pPr>
      <w:numPr>
        <w:numId w:val="28"/>
      </w:numPr>
    </w:pPr>
  </w:style>
  <w:style w:type="paragraph" w:styleId="Bibliografia">
    <w:name w:val="Bibliography"/>
    <w:basedOn w:val="Normalny"/>
    <w:next w:val="Normalny"/>
    <w:uiPriority w:val="37"/>
    <w:unhideWhenUsed/>
    <w:rsid w:val="00C41072"/>
    <w:pPr>
      <w:keepLines/>
      <w:spacing w:after="120" w:line="264" w:lineRule="auto"/>
    </w:pPr>
    <w:rPr>
      <w:rFonts w:ascii="Calibri" w:eastAsia="Times New Roman" w:hAnsi="Calibri" w:cs="Times New Roman"/>
      <w:noProof/>
      <w:sz w:val="20"/>
      <w:szCs w:val="20"/>
      <w:lang w:eastAsia="pl-PL"/>
    </w:rPr>
  </w:style>
  <w:style w:type="character" w:customStyle="1" w:styleId="Nagwek1Znak">
    <w:name w:val="Nagłówek 1 Znak"/>
    <w:basedOn w:val="Domylnaczcionkaakapitu"/>
    <w:link w:val="Nagwek1"/>
    <w:uiPriority w:val="9"/>
    <w:rsid w:val="00744CC0"/>
    <w:rPr>
      <w:rFonts w:ascii="Calibri" w:eastAsia="Times New Roman" w:hAnsi="Calibri" w:cs="Times New Roman"/>
      <w:b/>
      <w:color w:val="595959"/>
      <w:sz w:val="32"/>
      <w:szCs w:val="24"/>
      <w:lang w:eastAsia="pl-PL"/>
    </w:rPr>
  </w:style>
  <w:style w:type="character" w:customStyle="1" w:styleId="Nagwek2Znak">
    <w:name w:val="Nagłówek 2 Znak"/>
    <w:basedOn w:val="Domylnaczcionkaakapitu"/>
    <w:link w:val="Nagwek2"/>
    <w:uiPriority w:val="9"/>
    <w:rsid w:val="00744CC0"/>
    <w:rPr>
      <w:rFonts w:ascii="Calibri" w:eastAsia="Times New Roman" w:hAnsi="Calibri" w:cs="Times New Roman"/>
      <w:b/>
      <w:color w:val="595959"/>
      <w:sz w:val="28"/>
      <w:szCs w:val="28"/>
      <w:lang w:eastAsia="pl-PL"/>
    </w:rPr>
  </w:style>
  <w:style w:type="paragraph" w:customStyle="1" w:styleId="bombki">
    <w:name w:val="bombki"/>
    <w:basedOn w:val="tekst"/>
    <w:qFormat/>
    <w:rsid w:val="00571929"/>
    <w:pPr>
      <w:numPr>
        <w:numId w:val="29"/>
      </w:numPr>
    </w:pPr>
  </w:style>
  <w:style w:type="character" w:customStyle="1" w:styleId="Nagwek3Znak">
    <w:name w:val="Nagłówek 3 Znak"/>
    <w:basedOn w:val="Domylnaczcionkaakapitu"/>
    <w:link w:val="Nagwek3"/>
    <w:uiPriority w:val="9"/>
    <w:rsid w:val="00207469"/>
    <w:rPr>
      <w:rFonts w:ascii="Calibri" w:eastAsia="Times New Roman" w:hAnsi="Calibri" w:cs="Times New Roman"/>
      <w:b/>
      <w:color w:val="595959"/>
      <w:sz w:val="24"/>
      <w:szCs w:val="24"/>
      <w:lang w:eastAsia="pl-PL"/>
    </w:rPr>
  </w:style>
  <w:style w:type="character" w:customStyle="1" w:styleId="Nagwek4Znak">
    <w:name w:val="Nagłówek 4 Znak"/>
    <w:basedOn w:val="Domylnaczcionkaakapitu"/>
    <w:link w:val="Nagwek4"/>
    <w:uiPriority w:val="9"/>
    <w:rsid w:val="00421044"/>
    <w:rPr>
      <w:rFonts w:ascii="Calibri" w:eastAsia="Times New Roman" w:hAnsi="Calibri" w:cs="Times New Roman"/>
      <w:b/>
      <w:color w:val="7F7F7F" w:themeColor="text1" w:themeTint="80"/>
      <w:lang w:eastAsia="pl-PL"/>
    </w:rPr>
  </w:style>
  <w:style w:type="paragraph" w:customStyle="1" w:styleId="nazwa">
    <w:name w:val="nazwa"/>
    <w:basedOn w:val="Nagwek4"/>
    <w:qFormat/>
    <w:rsid w:val="009E3693"/>
    <w:pPr>
      <w:spacing w:before="80" w:after="40"/>
    </w:pPr>
  </w:style>
  <w:style w:type="paragraph" w:customStyle="1" w:styleId="rdo">
    <w:name w:val="źródło"/>
    <w:basedOn w:val="Normalny"/>
    <w:qFormat/>
    <w:rsid w:val="003078B0"/>
    <w:pPr>
      <w:spacing w:after="80"/>
      <w:jc w:val="both"/>
    </w:pPr>
    <w:rPr>
      <w:rFonts w:eastAsia="Times New Roman" w:cstheme="minorHAnsi"/>
      <w:bCs/>
      <w:i/>
      <w:sz w:val="18"/>
      <w:szCs w:val="18"/>
      <w:lang w:eastAsia="pl-PL"/>
    </w:rPr>
  </w:style>
  <w:style w:type="paragraph" w:customStyle="1" w:styleId="gwiazdki">
    <w:name w:val="gwiazdki"/>
    <w:basedOn w:val="tekst"/>
    <w:qFormat/>
    <w:rsid w:val="00B82876"/>
    <w:pPr>
      <w:tabs>
        <w:tab w:val="left" w:pos="426"/>
      </w:tabs>
      <w:spacing w:line="240" w:lineRule="auto"/>
      <w:ind w:firstLine="0"/>
      <w:jc w:val="left"/>
    </w:pPr>
  </w:style>
  <w:style w:type="character" w:styleId="Pogrubienie">
    <w:name w:val="Strong"/>
    <w:basedOn w:val="Domylnaczcionkaakapitu"/>
    <w:uiPriority w:val="22"/>
    <w:qFormat/>
    <w:rsid w:val="001E6CAD"/>
    <w:rPr>
      <w:b/>
      <w:bCs/>
      <w:color w:val="7F7F7F" w:themeColor="text1" w:themeTint="80"/>
    </w:rPr>
  </w:style>
  <w:style w:type="paragraph" w:styleId="Legenda">
    <w:name w:val="caption"/>
    <w:basedOn w:val="Normalny"/>
    <w:next w:val="Normalny"/>
    <w:uiPriority w:val="35"/>
    <w:unhideWhenUsed/>
    <w:qFormat/>
    <w:rsid w:val="00CC4E5D"/>
    <w:pPr>
      <w:spacing w:after="200" w:line="240" w:lineRule="auto"/>
    </w:pPr>
    <w:rPr>
      <w:i/>
      <w:iCs/>
      <w:color w:val="44546A" w:themeColor="text2"/>
      <w:sz w:val="18"/>
      <w:szCs w:val="18"/>
    </w:rPr>
  </w:style>
  <w:style w:type="table" w:styleId="Tabelasiatki1jasna">
    <w:name w:val="Grid Table 1 Light"/>
    <w:basedOn w:val="Standardowy"/>
    <w:uiPriority w:val="46"/>
    <w:rsid w:val="00F50A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Zwykatabela5">
    <w:name w:val="Plain Table 5"/>
    <w:basedOn w:val="Standardowy"/>
    <w:uiPriority w:val="45"/>
    <w:rsid w:val="000534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Zwykatabela2">
    <w:name w:val="Plain Table 2"/>
    <w:basedOn w:val="Standardowy"/>
    <w:uiPriority w:val="42"/>
    <w:rsid w:val="001C323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kapitzlistZnak">
    <w:name w:val="Akapit z listą Znak"/>
    <w:basedOn w:val="Domylnaczcionkaakapitu"/>
    <w:link w:val="Akapitzlist"/>
    <w:uiPriority w:val="34"/>
    <w:rsid w:val="00726324"/>
  </w:style>
  <w:style w:type="paragraph" w:styleId="Bezodstpw">
    <w:name w:val="No Spacing"/>
    <w:uiPriority w:val="1"/>
    <w:qFormat/>
    <w:rsid w:val="001E633B"/>
    <w:pPr>
      <w:spacing w:after="0" w:line="240" w:lineRule="auto"/>
    </w:pPr>
  </w:style>
  <w:style w:type="paragraph" w:styleId="Nagwekspisutreci">
    <w:name w:val="TOC Heading"/>
    <w:basedOn w:val="Nagwek1"/>
    <w:next w:val="Normalny"/>
    <w:uiPriority w:val="39"/>
    <w:unhideWhenUsed/>
    <w:qFormat/>
    <w:rsid w:val="00FB40ED"/>
    <w:pPr>
      <w:keepLines/>
      <w:tabs>
        <w:tab w:val="clear" w:pos="357"/>
      </w:tabs>
      <w:suppressAutoHyphens w:val="0"/>
      <w:spacing w:before="240" w:after="0" w:line="259" w:lineRule="auto"/>
      <w:outlineLvl w:val="9"/>
    </w:pPr>
    <w:rPr>
      <w:rFonts w:asciiTheme="majorHAnsi" w:eastAsiaTheme="majorEastAsia" w:hAnsiTheme="majorHAnsi" w:cstheme="majorBidi"/>
      <w:b w:val="0"/>
      <w:color w:val="2F5496" w:themeColor="accent1" w:themeShade="BF"/>
      <w:szCs w:val="32"/>
    </w:rPr>
  </w:style>
  <w:style w:type="paragraph" w:styleId="Spistreci1">
    <w:name w:val="toc 1"/>
    <w:basedOn w:val="Normalny"/>
    <w:next w:val="Normalny"/>
    <w:autoRedefine/>
    <w:uiPriority w:val="39"/>
    <w:unhideWhenUsed/>
    <w:rsid w:val="00FB40ED"/>
    <w:pPr>
      <w:spacing w:after="100"/>
    </w:pPr>
  </w:style>
  <w:style w:type="paragraph" w:styleId="Spistreci2">
    <w:name w:val="toc 2"/>
    <w:basedOn w:val="Normalny"/>
    <w:next w:val="Normalny"/>
    <w:autoRedefine/>
    <w:uiPriority w:val="39"/>
    <w:unhideWhenUsed/>
    <w:rsid w:val="00FB40ED"/>
    <w:pPr>
      <w:spacing w:after="100"/>
      <w:ind w:left="220"/>
    </w:pPr>
  </w:style>
  <w:style w:type="paragraph" w:styleId="Spistreci3">
    <w:name w:val="toc 3"/>
    <w:basedOn w:val="Normalny"/>
    <w:next w:val="Normalny"/>
    <w:autoRedefine/>
    <w:uiPriority w:val="39"/>
    <w:unhideWhenUsed/>
    <w:rsid w:val="00FB40ED"/>
    <w:pPr>
      <w:spacing w:after="100"/>
      <w:ind w:left="440"/>
    </w:pPr>
  </w:style>
  <w:style w:type="paragraph" w:styleId="Tytu">
    <w:name w:val="Title"/>
    <w:basedOn w:val="Normalny"/>
    <w:next w:val="Normalny"/>
    <w:link w:val="TytuZnak"/>
    <w:uiPriority w:val="10"/>
    <w:qFormat/>
    <w:rsid w:val="00744CC0"/>
    <w:pPr>
      <w:pageBreakBefore/>
      <w:suppressLineNumbers/>
      <w:spacing w:before="120" w:after="120" w:line="360" w:lineRule="auto"/>
      <w:contextualSpacing/>
      <w:jc w:val="center"/>
      <w:outlineLvl w:val="0"/>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44CC0"/>
    <w:rPr>
      <w:rFonts w:asciiTheme="majorHAnsi" w:eastAsiaTheme="majorEastAsia" w:hAnsiTheme="majorHAnsi" w:cstheme="majorBidi"/>
      <w:spacing w:val="-10"/>
      <w:kern w:val="28"/>
      <w:sz w:val="56"/>
      <w:szCs w:val="56"/>
    </w:rPr>
  </w:style>
  <w:style w:type="paragraph" w:styleId="Spisilustracji">
    <w:name w:val="table of figures"/>
    <w:basedOn w:val="Normalny"/>
    <w:next w:val="Normalny"/>
    <w:uiPriority w:val="99"/>
    <w:unhideWhenUsed/>
    <w:rsid w:val="002F084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69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9" Type="http://schemas.openxmlformats.org/officeDocument/2006/relationships/image" Target="media/image6.png"/><Relationship Id="rId21" Type="http://schemas.openxmlformats.org/officeDocument/2006/relationships/chart" Target="charts/chart13.xml"/><Relationship Id="rId34" Type="http://schemas.openxmlformats.org/officeDocument/2006/relationships/chart" Target="charts/chart19.xml"/><Relationship Id="rId42" Type="http://schemas.openxmlformats.org/officeDocument/2006/relationships/chart" Target="charts/chart23.xml"/><Relationship Id="rId47" Type="http://schemas.openxmlformats.org/officeDocument/2006/relationships/chart" Target="charts/chart26.xml"/><Relationship Id="rId50" Type="http://schemas.openxmlformats.org/officeDocument/2006/relationships/hyperlink" Target="http://stat.gov.pl/obszary-tematyczne%20/transport-i-lacznos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microsoft.com/office/2014/relationships/chartEx" Target="charts/chartEx2.xml"/><Relationship Id="rId11" Type="http://schemas.openxmlformats.org/officeDocument/2006/relationships/chart" Target="charts/chart3.xml"/><Relationship Id="rId24" Type="http://schemas.microsoft.com/office/2014/relationships/chartEx" Target="charts/chartEx1.xml"/><Relationship Id="rId32" Type="http://schemas.openxmlformats.org/officeDocument/2006/relationships/image" Target="media/image5.png"/><Relationship Id="rId37" Type="http://schemas.openxmlformats.org/officeDocument/2006/relationships/chart" Target="charts/chart22.xml"/><Relationship Id="rId40" Type="http://schemas.microsoft.com/office/2014/relationships/chartEx" Target="charts/chartEx5.xml"/><Relationship Id="rId45" Type="http://schemas.openxmlformats.org/officeDocument/2006/relationships/image" Target="media/image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chart" Target="charts/chart11.xml"/><Relationship Id="rId31" Type="http://schemas.microsoft.com/office/2014/relationships/chartEx" Target="charts/chartEx3.xml"/><Relationship Id="rId44" Type="http://schemas.microsoft.com/office/2014/relationships/chartEx" Target="charts/chartEx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7.xml"/><Relationship Id="rId30" Type="http://schemas.openxmlformats.org/officeDocument/2006/relationships/image" Target="media/image4.png"/><Relationship Id="rId35" Type="http://schemas.openxmlformats.org/officeDocument/2006/relationships/chart" Target="charts/chart20.xml"/><Relationship Id="rId43" Type="http://schemas.openxmlformats.org/officeDocument/2006/relationships/chart" Target="charts/chart24.xml"/><Relationship Id="rId48" Type="http://schemas.openxmlformats.org/officeDocument/2006/relationships/chart" Target="charts/chart27.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png"/><Relationship Id="rId33" Type="http://schemas.openxmlformats.org/officeDocument/2006/relationships/chart" Target="charts/chart18.xml"/><Relationship Id="rId38" Type="http://schemas.microsoft.com/office/2014/relationships/chartEx" Target="charts/chartEx4.xml"/><Relationship Id="rId46" Type="http://schemas.openxmlformats.org/officeDocument/2006/relationships/chart" Target="charts/chart25.xml"/><Relationship Id="rId20" Type="http://schemas.openxmlformats.org/officeDocument/2006/relationships/chart" Target="charts/chart1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2.emf"/><Relationship Id="rId36" Type="http://schemas.openxmlformats.org/officeDocument/2006/relationships/chart" Target="charts/chart21.xml"/><Relationship Id="rId49" Type="http://schemas.openxmlformats.org/officeDocument/2006/relationships/chart" Target="charts/chart28.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obszary-tematyczne%20/transport-i-lacznosc/" TargetMode="External"/><Relationship Id="rId2" Type="http://schemas.openxmlformats.org/officeDocument/2006/relationships/hyperlink" Target="http://stat.gov.pl/obszary-tematyczne%20/transport-i-lacznosc/" TargetMode="External"/><Relationship Id="rId1" Type="http://schemas.openxmlformats.org/officeDocument/2006/relationships/hyperlink" Target="https://ulc.gov.pl/pl/regulacja-rynku/statystyki-i-analizy-rynku-transportu-lotniczego/3734-analizy-rynku-lotniczeg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C:\Users\ewadz\OneDrive\Dokumenty\statutowe%202021\RST%202018%20i%202019\wyniki\tabele.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C:\Users\ewadz\OneDrive\Dokumenty\statutowe%202021\RST%202018%20i%202019\wyniki\tabele.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2.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7.xml"/><Relationship Id="rId1" Type="http://schemas.microsoft.com/office/2011/relationships/chartStyle" Target="style7.xml"/></Relationships>
</file>

<file path=word/charts/_rels/chartEx1.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oleObject" Target="file:///C:\Users\tskalska\Documents\RST_2021\Etap_II\Dane%20do%20rysunk&#243;w_2018%20i%202019_pe&#322;ny.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oleObject" Target="file:///C:\Users\ewadz\OneDrive\Dokumenty\statutowe%202021\RST%202018%20i%202019\wyniki\tabele.xlsx" TargetMode="External"/><Relationship Id="rId4" Type="http://schemas.openxmlformats.org/officeDocument/2006/relationships/themeOverride" Target="../theme/themeOverride7.xml"/></Relationships>
</file>

<file path=word/charts/_rels/chartEx3.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oleObject" Target="file:///C:\Users\ewadz\OneDrive\Dokumenty\statutowe%202021\RST%202018%20i%202019\wyniki\tabele.xlsx" TargetMode="External"/><Relationship Id="rId4" Type="http://schemas.openxmlformats.org/officeDocument/2006/relationships/themeOverride" Target="../theme/themeOverride8.xml"/></Relationships>
</file>

<file path=word/charts/_rels/chartEx4.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oleObject" Target="file:///C:\Users\ewadz\OneDrive\Dokumenty\statutowe%202021\RST%202018%20i%202019\wyniki\tabele.xlsx" TargetMode="External"/><Relationship Id="rId4" Type="http://schemas.openxmlformats.org/officeDocument/2006/relationships/themeOverride" Target="../theme/themeOverride14.xml"/></Relationships>
</file>

<file path=word/charts/_rels/chartEx5.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oleObject" Target="file:///C:\Users\ewadz\OneDrive\Dokumenty\statutowe%202021\RST%202018%20i%202019\wyniki\tabele.xlsx" TargetMode="External"/><Relationship Id="rId4" Type="http://schemas.openxmlformats.org/officeDocument/2006/relationships/themeOverride" Target="../theme/themeOverride15.xml"/></Relationships>
</file>

<file path=word/charts/_rels/chartEx6.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oleObject" Target="file:///C:\Users\ewadz\OneDrive\Dokumenty\statutowe%202021\RST%202018%20i%202019\wyniki\tabele.xlsx" TargetMode="External"/><Relationship Id="rId4" Type="http://schemas.openxmlformats.org/officeDocument/2006/relationships/themeOverride" Target="../theme/themeOverride1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80952720276482"/>
          <c:y val="0.20937861439545843"/>
          <c:w val="0.44689528627926034"/>
          <c:h val="0.63350775027399964"/>
        </c:manualLayout>
      </c:layout>
      <c:pieChart>
        <c:varyColors val="1"/>
        <c:ser>
          <c:idx val="0"/>
          <c:order val="0"/>
          <c:dPt>
            <c:idx val="0"/>
            <c:bubble3D val="0"/>
            <c:extLst>
              <c:ext xmlns:c16="http://schemas.microsoft.com/office/drawing/2014/chart" uri="{C3380CC4-5D6E-409C-BE32-E72D297353CC}">
                <c16:uniqueId val="{00000000-ED59-4992-9A0D-5B83E922B232}"/>
              </c:ext>
            </c:extLst>
          </c:dPt>
          <c:dPt>
            <c:idx val="1"/>
            <c:bubble3D val="0"/>
            <c:extLst>
              <c:ext xmlns:c16="http://schemas.microsoft.com/office/drawing/2014/chart" uri="{C3380CC4-5D6E-409C-BE32-E72D297353CC}">
                <c16:uniqueId val="{00000001-ED59-4992-9A0D-5B83E922B232}"/>
              </c:ext>
            </c:extLst>
          </c:dPt>
          <c:dPt>
            <c:idx val="2"/>
            <c:bubble3D val="0"/>
            <c:extLst>
              <c:ext xmlns:c16="http://schemas.microsoft.com/office/drawing/2014/chart" uri="{C3380CC4-5D6E-409C-BE32-E72D297353CC}">
                <c16:uniqueId val="{00000002-ED59-4992-9A0D-5B83E922B232}"/>
              </c:ext>
            </c:extLst>
          </c:dPt>
          <c:dLbls>
            <c:dLbl>
              <c:idx val="0"/>
              <c:layout>
                <c:manualLayout>
                  <c:x val="-1.8099547511312306E-2"/>
                  <c:y val="0.32241813602015112"/>
                </c:manualLayout>
              </c:layout>
              <c:spPr/>
              <c:txPr>
                <a:bodyPr/>
                <a:lstStyle/>
                <a:p>
                  <a:pPr>
                    <a:defRPr sz="900"/>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0237431859479103"/>
                      <c:h val="0.26166246851385389"/>
                    </c:manualLayout>
                  </c15:layout>
                </c:ext>
                <c:ext xmlns:c16="http://schemas.microsoft.com/office/drawing/2014/chart" uri="{C3380CC4-5D6E-409C-BE32-E72D297353CC}">
                  <c16:uniqueId val="{00000000-ED59-4992-9A0D-5B83E922B232}"/>
                </c:ext>
              </c:extLst>
            </c:dLbl>
            <c:dLbl>
              <c:idx val="1"/>
              <c:spPr/>
              <c:txPr>
                <a:bodyPr/>
                <a:lstStyle/>
                <a:p>
                  <a:pPr>
                    <a:defRPr sz="900"/>
                  </a:pPr>
                  <a:endParaRPr lang="pl-PL"/>
                </a:p>
              </c:txPr>
              <c:dLblPos val="outEnd"/>
              <c:showLegendKey val="0"/>
              <c:showVal val="0"/>
              <c:showCatName val="1"/>
              <c:showSerName val="0"/>
              <c:showPercent val="1"/>
              <c:showBubbleSize val="0"/>
              <c:extLst>
                <c:ext xmlns:c16="http://schemas.microsoft.com/office/drawing/2014/chart" uri="{C3380CC4-5D6E-409C-BE32-E72D297353CC}">
                  <c16:uniqueId val="{00000001-ED59-4992-9A0D-5B83E922B232}"/>
                </c:ext>
              </c:extLst>
            </c:dLbl>
            <c:dLbl>
              <c:idx val="2"/>
              <c:layout>
                <c:manualLayout>
                  <c:x val="-0.11312217194570136"/>
                  <c:y val="2.5253418050133087E-7"/>
                </c:manualLayout>
              </c:layout>
              <c:spPr>
                <a:noFill/>
                <a:ln w="25400">
                  <a:noFill/>
                </a:ln>
              </c:spPr>
              <c:txPr>
                <a:bodyPr wrap="square" lIns="38100" tIns="19050" rIns="38100" bIns="19050" anchor="ctr">
                  <a:noAutofit/>
                </a:bodyPr>
                <a:lstStyle/>
                <a:p>
                  <a:pPr>
                    <a:defRPr sz="900"/>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34651583710407241"/>
                      <c:h val="0.28430750312382236"/>
                    </c:manualLayout>
                  </c15:layout>
                </c:ext>
                <c:ext xmlns:c16="http://schemas.microsoft.com/office/drawing/2014/chart" uri="{C3380CC4-5D6E-409C-BE32-E72D297353CC}">
                  <c16:uniqueId val="{00000002-ED59-4992-9A0D-5B83E922B232}"/>
                </c:ext>
              </c:extLst>
            </c:dLbl>
            <c:spPr>
              <a:noFill/>
              <a:ln w="25400">
                <a:noFill/>
              </a:ln>
            </c:spPr>
            <c:txPr>
              <a:bodyPr wrap="square" lIns="38100" tIns="19050" rIns="38100" bIns="19050" anchor="ctr">
                <a:spAutoFit/>
              </a:bodyPr>
              <a:lstStyle/>
              <a:p>
                <a:pPr>
                  <a:defRPr sz="900"/>
                </a:pPr>
                <a:endParaRPr lang="pl-PL"/>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'2018'!$A$4:$A$6</c:f>
              <c:strCache>
                <c:ptCount val="3"/>
                <c:pt idx="0">
                  <c:v>Spożycie nierezydentów</c:v>
                </c:pt>
                <c:pt idx="1">
                  <c:v>Spożycie rezydentów</c:v>
                </c:pt>
                <c:pt idx="2">
                  <c:v>Inne składowe spożycia turystycznego</c:v>
                </c:pt>
              </c:strCache>
            </c:strRef>
          </c:cat>
          <c:val>
            <c:numRef>
              <c:f>'2018'!$B$4:$B$6</c:f>
              <c:numCache>
                <c:formatCode>#,##0</c:formatCode>
                <c:ptCount val="3"/>
                <c:pt idx="0">
                  <c:v>49657309.189560004</c:v>
                </c:pt>
                <c:pt idx="1">
                  <c:v>52454970.128404267</c:v>
                </c:pt>
                <c:pt idx="2">
                  <c:v>5230189.1853187447</c:v>
                </c:pt>
              </c:numCache>
            </c:numRef>
          </c:val>
          <c:extLst>
            <c:ext xmlns:c16="http://schemas.microsoft.com/office/drawing/2014/chart" uri="{C3380CC4-5D6E-409C-BE32-E72D297353CC}">
              <c16:uniqueId val="{00000003-ED59-4992-9A0D-5B83E922B232}"/>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820455135415766"/>
          <c:y val="6.3686220472440935E-2"/>
          <c:w val="0.48297683943353237"/>
          <c:h val="0.86107362204724414"/>
        </c:manualLayout>
      </c:layout>
      <c:barChart>
        <c:barDir val="bar"/>
        <c:grouping val="percentStacked"/>
        <c:varyColors val="0"/>
        <c:ser>
          <c:idx val="0"/>
          <c:order val="0"/>
          <c:tx>
            <c:strRef>
              <c:f>'2019'!$B$156</c:f>
              <c:strCache>
                <c:ptCount val="1"/>
                <c:pt idx="0">
                  <c:v>Odwiedzający jednodniowi</c:v>
                </c:pt>
              </c:strCache>
            </c:strRef>
          </c:tx>
          <c:spPr>
            <a:solidFill>
              <a:schemeClr val="accent1">
                <a:lumMod val="40000"/>
                <a:lumOff val="60000"/>
              </a:schemeClr>
            </a:solidFill>
            <a:ln>
              <a:noFill/>
            </a:ln>
            <a:effectLst/>
          </c:spPr>
          <c:invertIfNegative val="0"/>
          <c:cat>
            <c:strRef>
              <c:f>'2019'!$A$157:$A$167</c:f>
              <c:strCache>
                <c:ptCount val="11"/>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strCache>
            </c:strRef>
          </c:cat>
          <c:val>
            <c:numRef>
              <c:f>'2019'!$B$157:$B$167</c:f>
              <c:numCache>
                <c:formatCode>General</c:formatCode>
                <c:ptCount val="11"/>
                <c:pt idx="0">
                  <c:v>0</c:v>
                </c:pt>
                <c:pt idx="1">
                  <c:v>838204.95600000012</c:v>
                </c:pt>
                <c:pt idx="2">
                  <c:v>55000</c:v>
                </c:pt>
                <c:pt idx="3">
                  <c:v>120000</c:v>
                </c:pt>
                <c:pt idx="6">
                  <c:v>409625.64</c:v>
                </c:pt>
                <c:pt idx="7">
                  <c:v>100000</c:v>
                </c:pt>
                <c:pt idx="9">
                  <c:v>40000</c:v>
                </c:pt>
                <c:pt idx="10">
                  <c:v>60000</c:v>
                </c:pt>
              </c:numCache>
            </c:numRef>
          </c:val>
          <c:extLst>
            <c:ext xmlns:c16="http://schemas.microsoft.com/office/drawing/2014/chart" uri="{C3380CC4-5D6E-409C-BE32-E72D297353CC}">
              <c16:uniqueId val="{00000000-AA72-41E3-AC55-9D5C493FB96A}"/>
            </c:ext>
          </c:extLst>
        </c:ser>
        <c:ser>
          <c:idx val="1"/>
          <c:order val="1"/>
          <c:tx>
            <c:strRef>
              <c:f>'2019'!$C$156</c:f>
              <c:strCache>
                <c:ptCount val="1"/>
                <c:pt idx="0">
                  <c:v>Turyści</c:v>
                </c:pt>
              </c:strCache>
            </c:strRef>
          </c:tx>
          <c:spPr>
            <a:solidFill>
              <a:schemeClr val="accent4">
                <a:lumMod val="75000"/>
              </a:schemeClr>
            </a:solidFill>
            <a:ln>
              <a:noFill/>
            </a:ln>
            <a:effectLst/>
          </c:spPr>
          <c:invertIfNegative val="0"/>
          <c:cat>
            <c:strRef>
              <c:f>'2019'!$A$157:$A$167</c:f>
              <c:strCache>
                <c:ptCount val="11"/>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strCache>
            </c:strRef>
          </c:cat>
          <c:val>
            <c:numRef>
              <c:f>'2019'!$C$157:$C$167</c:f>
              <c:numCache>
                <c:formatCode>General</c:formatCode>
                <c:ptCount val="11"/>
                <c:pt idx="0">
                  <c:v>6112752.5579200005</c:v>
                </c:pt>
                <c:pt idx="1">
                  <c:v>3964588.4010399999</c:v>
                </c:pt>
                <c:pt idx="2">
                  <c:v>100552.144</c:v>
                </c:pt>
                <c:pt idx="3">
                  <c:v>400971.674</c:v>
                </c:pt>
                <c:pt idx="4">
                  <c:v>50057.207999999999</c:v>
                </c:pt>
                <c:pt idx="5" formatCode="0.00">
                  <c:v>5412200</c:v>
                </c:pt>
                <c:pt idx="6">
                  <c:v>1031574.8399999999</c:v>
                </c:pt>
                <c:pt idx="7">
                  <c:v>1667716.8771200001</c:v>
                </c:pt>
                <c:pt idx="8">
                  <c:v>1174372.0041608938</c:v>
                </c:pt>
                <c:pt idx="9">
                  <c:v>110000</c:v>
                </c:pt>
                <c:pt idx="10">
                  <c:v>110000</c:v>
                </c:pt>
              </c:numCache>
            </c:numRef>
          </c:val>
          <c:extLst>
            <c:ext xmlns:c16="http://schemas.microsoft.com/office/drawing/2014/chart" uri="{C3380CC4-5D6E-409C-BE32-E72D297353CC}">
              <c16:uniqueId val="{00000001-AA72-41E3-AC55-9D5C493FB96A}"/>
            </c:ext>
          </c:extLst>
        </c:ser>
        <c:dLbls>
          <c:showLegendKey val="0"/>
          <c:showVal val="0"/>
          <c:showCatName val="0"/>
          <c:showSerName val="0"/>
          <c:showPercent val="0"/>
          <c:showBubbleSize val="0"/>
        </c:dLbls>
        <c:gapWidth val="150"/>
        <c:overlap val="100"/>
        <c:axId val="384537808"/>
        <c:axId val="384547216"/>
      </c:barChart>
      <c:catAx>
        <c:axId val="384537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547216"/>
        <c:crosses val="autoZero"/>
        <c:auto val="1"/>
        <c:lblAlgn val="ctr"/>
        <c:lblOffset val="100"/>
        <c:noMultiLvlLbl val="0"/>
      </c:catAx>
      <c:valAx>
        <c:axId val="3845472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537808"/>
        <c:crosses val="autoZero"/>
        <c:crossBetween val="between"/>
        <c:majorUnit val="0.25"/>
      </c:valAx>
      <c:spPr>
        <a:noFill/>
        <a:ln>
          <a:noFill/>
        </a:ln>
        <a:effectLst/>
      </c:spPr>
    </c:plotArea>
    <c:legend>
      <c:legendPos val="b"/>
      <c:layout>
        <c:manualLayout>
          <c:xMode val="edge"/>
          <c:yMode val="edge"/>
          <c:x val="0"/>
          <c:y val="0.94031220472440968"/>
          <c:w val="0.64030595841444093"/>
          <c:h val="4.21877952755905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5556780595372E-2"/>
          <c:y val="1.28287363694676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0.29401869970222849"/>
          <c:y val="0.13305798689852671"/>
          <c:w val="0.38550174061759368"/>
          <c:h val="0.56069608521513392"/>
        </c:manualLayout>
      </c:layout>
      <c:pieChart>
        <c:varyColors val="1"/>
        <c:ser>
          <c:idx val="0"/>
          <c:order val="0"/>
          <c:tx>
            <c:strRef>
              <c:f>Arkusz1!$B$1</c:f>
              <c:strCache>
                <c:ptCount val="1"/>
                <c:pt idx="0">
                  <c:v>2018</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F9F3-4AF1-9358-85EB987BD0D8}"/>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F9F3-4AF1-9358-85EB987BD0D8}"/>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F9F3-4AF1-9358-85EB987BD0D8}"/>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F9F3-4AF1-9358-85EB987BD0D8}"/>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F9F3-4AF1-9358-85EB987BD0D8}"/>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F9F3-4AF1-9358-85EB987BD0D8}"/>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F9F3-4AF1-9358-85EB987BD0D8}"/>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F9F3-4AF1-9358-85EB987BD0D8}"/>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F9F3-4AF1-9358-85EB987BD0D8}"/>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F9F3-4AF1-9358-85EB987BD0D8}"/>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F9F3-4AF1-9358-85EB987BD0D8}"/>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7-F9F3-4AF1-9358-85EB987BD0D8}"/>
              </c:ext>
            </c:extLst>
          </c:dPt>
          <c:dPt>
            <c:idx val="12"/>
            <c:bubble3D val="0"/>
            <c:spPr>
              <a:gradFill>
                <a:gsLst>
                  <a:gs pos="100000">
                    <a:schemeClr val="accent6">
                      <a:lumMod val="60000"/>
                      <a:lumOff val="40000"/>
                      <a:lumMod val="60000"/>
                      <a:lumOff val="40000"/>
                    </a:schemeClr>
                  </a:gs>
                  <a:gs pos="0">
                    <a:schemeClr val="accent6">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F9F3-4AF1-9358-85EB987BD0D8}"/>
              </c:ext>
            </c:extLst>
          </c:dPt>
          <c:dPt>
            <c:idx val="1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1B-F9F3-4AF1-9358-85EB987BD0D8}"/>
              </c:ext>
            </c:extLst>
          </c:dPt>
          <c:dLbls>
            <c:dLbl>
              <c:idx val="0"/>
              <c:layout>
                <c:manualLayout>
                  <c:x val="3.8023943258470777E-2"/>
                  <c:y val="-2.1365149272954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9F3-4AF1-9358-85EB987BD0D8}"/>
                </c:ext>
              </c:extLst>
            </c:dLbl>
            <c:dLbl>
              <c:idx val="1"/>
              <c:layout>
                <c:manualLayout>
                  <c:x val="0.11746364670237594"/>
                  <c:y val="-4.5583429717212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9F3-4AF1-9358-85EB987BD0D8}"/>
                </c:ext>
              </c:extLst>
            </c:dLbl>
            <c:dLbl>
              <c:idx val="2"/>
              <c:layout>
                <c:manualLayout>
                  <c:x val="0.16371979963364541"/>
                  <c:y val="-6.16867768052405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9F3-4AF1-9358-85EB987BD0D8}"/>
                </c:ext>
              </c:extLst>
            </c:dLbl>
            <c:dLbl>
              <c:idx val="3"/>
              <c:layout>
                <c:manualLayout>
                  <c:x val="0.2341751382510481"/>
                  <c:y val="0.113646189511750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9F3-4AF1-9358-85EB987BD0D8}"/>
                </c:ext>
              </c:extLst>
            </c:dLbl>
            <c:dLbl>
              <c:idx val="4"/>
              <c:layout>
                <c:manualLayout>
                  <c:x val="9.3675958641884202E-2"/>
                  <c:y val="3.92069416595536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9F3-4AF1-9358-85EB987BD0D8}"/>
                </c:ext>
              </c:extLst>
            </c:dLbl>
            <c:dLbl>
              <c:idx val="5"/>
              <c:layout>
                <c:manualLayout>
                  <c:x val="9.8214586462248996E-2"/>
                  <c:y val="0.151656876758269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9F3-4AF1-9358-85EB987BD0D8}"/>
                </c:ext>
              </c:extLst>
            </c:dLbl>
            <c:dLbl>
              <c:idx val="6"/>
              <c:layout>
                <c:manualLayout>
                  <c:x val="7.3414648968217408E-2"/>
                  <c:y val="7.10616031879913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9F3-4AF1-9358-85EB987BD0D8}"/>
                </c:ext>
              </c:extLst>
            </c:dLbl>
            <c:dLbl>
              <c:idx val="9"/>
              <c:layout>
                <c:manualLayout>
                  <c:x val="-0.15577320751113388"/>
                  <c:y val="-5.383018591566368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9F3-4AF1-9358-85EB987BD0D8}"/>
                </c:ext>
              </c:extLst>
            </c:dLbl>
            <c:dLbl>
              <c:idx val="10"/>
              <c:layout>
                <c:manualLayout>
                  <c:x val="-0.18632760072576374"/>
                  <c:y val="-0.149438363982565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9F3-4AF1-9358-85EB987BD0D8}"/>
                </c:ext>
              </c:extLst>
            </c:dLbl>
            <c:dLbl>
              <c:idx val="11"/>
              <c:layout>
                <c:manualLayout>
                  <c:x val="-9.0773424545746551E-2"/>
                  <c:y val="-0.123959180375063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9F3-4AF1-9358-85EB987BD0D8}"/>
                </c:ext>
              </c:extLst>
            </c:dLbl>
            <c:dLbl>
              <c:idx val="12"/>
              <c:layout>
                <c:manualLayout>
                  <c:x val="-8.9467917943553646E-2"/>
                  <c:y val="4.714409095271045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F9F3-4AF1-9358-85EB987BD0D8}"/>
                </c:ext>
              </c:extLst>
            </c:dLbl>
            <c:dLbl>
              <c:idx val="13"/>
              <c:layout>
                <c:manualLayout>
                  <c:x val="-6.2150378942433741E-2"/>
                  <c:y val="-1.1831731424848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F9F3-4AF1-9358-85EB987BD0D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Arkusz1!$A$2:$A$15</c:f>
              <c:strCache>
                <c:ptCount val="14"/>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i wyroby tytoniowe, wyroby odzieżowe**</c:v>
                </c:pt>
                <c:pt idx="12">
                  <c:v>Produkty rafinacji ropy naftowej**</c:v>
                </c:pt>
                <c:pt idx="13">
                  <c:v>Produkty pozostałe </c:v>
                </c:pt>
              </c:strCache>
            </c:strRef>
          </c:cat>
          <c:val>
            <c:numRef>
              <c:f>Arkusz1!$B$2:$B$15</c:f>
              <c:numCache>
                <c:formatCode>_-* #\ ##0_-;\-* #\ ##0_-;_-* "-"??_-;_-@_-</c:formatCode>
                <c:ptCount val="14"/>
                <c:pt idx="0">
                  <c:v>9728741.0974773746</c:v>
                </c:pt>
                <c:pt idx="1">
                  <c:v>11760112.898227086</c:v>
                </c:pt>
                <c:pt idx="2">
                  <c:v>1038108.3300379742</c:v>
                </c:pt>
                <c:pt idx="3">
                  <c:v>2724920.5354756862</c:v>
                </c:pt>
                <c:pt idx="4">
                  <c:v>235000</c:v>
                </c:pt>
                <c:pt idx="5">
                  <c:v>2748030.8560916334</c:v>
                </c:pt>
                <c:pt idx="6">
                  <c:v>2600371.2200000002</c:v>
                </c:pt>
                <c:pt idx="7">
                  <c:v>1624519.1081826261</c:v>
                </c:pt>
                <c:pt idx="8">
                  <c:v>400000</c:v>
                </c:pt>
                <c:pt idx="9">
                  <c:v>0</c:v>
                </c:pt>
                <c:pt idx="10">
                  <c:v>276402</c:v>
                </c:pt>
                <c:pt idx="11">
                  <c:v>9442359</c:v>
                </c:pt>
                <c:pt idx="12">
                  <c:v>8134499.1029118896</c:v>
                </c:pt>
                <c:pt idx="13">
                  <c:v>1741905.98</c:v>
                </c:pt>
              </c:numCache>
            </c:numRef>
          </c:val>
          <c:extLst>
            <c:ext xmlns:c16="http://schemas.microsoft.com/office/drawing/2014/chart" uri="{C3380CC4-5D6E-409C-BE32-E72D297353CC}">
              <c16:uniqueId val="{0000001C-F9F3-4AF1-9358-85EB987BD0D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5556780595372E-2"/>
          <c:y val="1.28287363694676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0.29401869970222849"/>
          <c:y val="0.13305798689852671"/>
          <c:w val="0.38550174061759368"/>
          <c:h val="0.56069608521513392"/>
        </c:manualLayout>
      </c:layout>
      <c:pieChart>
        <c:varyColors val="1"/>
        <c:ser>
          <c:idx val="0"/>
          <c:order val="0"/>
          <c:tx>
            <c:strRef>
              <c:f>Arkusz1!$B$1</c:f>
              <c:strCache>
                <c:ptCount val="1"/>
                <c:pt idx="0">
                  <c:v>2019</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B886-489B-8367-78A5FBEA2CC0}"/>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B886-489B-8367-78A5FBEA2CC0}"/>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B886-489B-8367-78A5FBEA2CC0}"/>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B886-489B-8367-78A5FBEA2CC0}"/>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B886-489B-8367-78A5FBEA2CC0}"/>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B886-489B-8367-78A5FBEA2CC0}"/>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B886-489B-8367-78A5FBEA2CC0}"/>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B886-489B-8367-78A5FBEA2CC0}"/>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B886-489B-8367-78A5FBEA2CC0}"/>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B886-489B-8367-78A5FBEA2CC0}"/>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B886-489B-8367-78A5FBEA2CC0}"/>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7-B886-489B-8367-78A5FBEA2CC0}"/>
              </c:ext>
            </c:extLst>
          </c:dPt>
          <c:dPt>
            <c:idx val="12"/>
            <c:bubble3D val="0"/>
            <c:spPr>
              <a:gradFill>
                <a:gsLst>
                  <a:gs pos="100000">
                    <a:schemeClr val="accent6">
                      <a:lumMod val="60000"/>
                      <a:lumOff val="40000"/>
                      <a:lumMod val="60000"/>
                      <a:lumOff val="40000"/>
                    </a:schemeClr>
                  </a:gs>
                  <a:gs pos="0">
                    <a:schemeClr val="accent6">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B886-489B-8367-78A5FBEA2CC0}"/>
              </c:ext>
            </c:extLst>
          </c:dPt>
          <c:dPt>
            <c:idx val="1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1B-B886-489B-8367-78A5FBEA2CC0}"/>
              </c:ext>
            </c:extLst>
          </c:dPt>
          <c:dLbls>
            <c:dLbl>
              <c:idx val="0"/>
              <c:layout>
                <c:manualLayout>
                  <c:x val="0.13945723984060979"/>
                  <c:y val="2.35354280201825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886-489B-8367-78A5FBEA2CC0}"/>
                </c:ext>
              </c:extLst>
            </c:dLbl>
            <c:dLbl>
              <c:idx val="1"/>
              <c:layout>
                <c:manualLayout>
                  <c:x val="0.11525857503754698"/>
                  <c:y val="-0.135384584303485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886-489B-8367-78A5FBEA2CC0}"/>
                </c:ext>
              </c:extLst>
            </c:dLbl>
            <c:dLbl>
              <c:idx val="2"/>
              <c:layout>
                <c:manualLayout>
                  <c:x val="9.9772721353601476E-2"/>
                  <c:y val="-0.106587354098377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886-489B-8367-78A5FBEA2CC0}"/>
                </c:ext>
              </c:extLst>
            </c:dLbl>
            <c:dLbl>
              <c:idx val="3"/>
              <c:layout>
                <c:manualLayout>
                  <c:x val="0.11951141167993472"/>
                  <c:y val="1.394746278908732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886-489B-8367-78A5FBEA2CC0}"/>
                </c:ext>
              </c:extLst>
            </c:dLbl>
            <c:dLbl>
              <c:idx val="4"/>
              <c:layout>
                <c:manualLayout>
                  <c:x val="0.17526361024056133"/>
                  <c:y val="9.37290712297909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886-489B-8367-78A5FBEA2CC0}"/>
                </c:ext>
              </c:extLst>
            </c:dLbl>
            <c:dLbl>
              <c:idx val="5"/>
              <c:layout>
                <c:manualLayout>
                  <c:x val="0.15554636293396071"/>
                  <c:y val="0.16769279722010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886-489B-8367-78A5FBEA2CC0}"/>
                </c:ext>
              </c:extLst>
            </c:dLbl>
            <c:dLbl>
              <c:idx val="6"/>
              <c:layout>
                <c:manualLayout>
                  <c:x val="9.987550894616673E-2"/>
                  <c:y val="0.106340628204027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886-489B-8367-78A5FBEA2CC0}"/>
                </c:ext>
              </c:extLst>
            </c:dLbl>
            <c:dLbl>
              <c:idx val="7"/>
              <c:layout>
                <c:manualLayout>
                  <c:x val="1.0626188264504424E-2"/>
                  <c:y val="0.186296232695095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886-489B-8367-78A5FBEA2CC0}"/>
                </c:ext>
              </c:extLst>
            </c:dLbl>
            <c:dLbl>
              <c:idx val="8"/>
              <c:layout>
                <c:manualLayout>
                  <c:x val="-9.4387137660714132E-2"/>
                  <c:y val="3.3654977701231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886-489B-8367-78A5FBEA2CC0}"/>
                </c:ext>
              </c:extLst>
            </c:dLbl>
            <c:dLbl>
              <c:idx val="9"/>
              <c:layout>
                <c:manualLayout>
                  <c:x val="-0.13095642813115835"/>
                  <c:y val="0.184707540165561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886-489B-8367-78A5FBEA2CC0}"/>
                </c:ext>
              </c:extLst>
            </c:dLbl>
            <c:dLbl>
              <c:idx val="10"/>
              <c:layout>
                <c:manualLayout>
                  <c:x val="-0.18492685933552683"/>
                  <c:y val="-9.36030566737207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886-489B-8367-78A5FBEA2CC0}"/>
                </c:ext>
              </c:extLst>
            </c:dLbl>
            <c:dLbl>
              <c:idx val="11"/>
              <c:layout>
                <c:manualLayout>
                  <c:x val="-8.0784797159450986E-2"/>
                  <c:y val="-9.83017076361285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B886-489B-8367-78A5FBEA2CC0}"/>
                </c:ext>
              </c:extLst>
            </c:dLbl>
            <c:dLbl>
              <c:idx val="12"/>
              <c:layout>
                <c:manualLayout>
                  <c:x val="-0.13577442290496489"/>
                  <c:y val="5.35584591374442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B886-489B-8367-78A5FBEA2CC0}"/>
                </c:ext>
              </c:extLst>
            </c:dLbl>
            <c:dLbl>
              <c:idx val="13"/>
              <c:layout>
                <c:manualLayout>
                  <c:x val="-1.143373065136432E-2"/>
                  <c:y val="-2.14532837019490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B886-489B-8367-78A5FBEA2C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Arkusz1!$A$2:$A$15</c:f>
              <c:strCache>
                <c:ptCount val="14"/>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i wyroby tytoniowe, wyroby odzieżowe**</c:v>
                </c:pt>
                <c:pt idx="12">
                  <c:v>Produkty rafinacji ropy naftowej**</c:v>
                </c:pt>
                <c:pt idx="13">
                  <c:v>Produkty pozostałe </c:v>
                </c:pt>
              </c:strCache>
            </c:strRef>
          </c:cat>
          <c:val>
            <c:numRef>
              <c:f>Arkusz1!$B$2:$B$15</c:f>
              <c:numCache>
                <c:formatCode>_-* #\ ##0_-;\-* #\ ##0_-;_-* "-"??_-;_-@_-</c:formatCode>
                <c:ptCount val="14"/>
                <c:pt idx="0">
                  <c:v>10944632.294611681</c:v>
                </c:pt>
                <c:pt idx="1">
                  <c:v>13022340.78755535</c:v>
                </c:pt>
                <c:pt idx="2">
                  <c:v>1081519.6389552676</c:v>
                </c:pt>
                <c:pt idx="3">
                  <c:v>3581959.8778963713</c:v>
                </c:pt>
                <c:pt idx="4">
                  <c:v>225000</c:v>
                </c:pt>
                <c:pt idx="5">
                  <c:v>3683738.467485474</c:v>
                </c:pt>
                <c:pt idx="6">
                  <c:v>3384506.8398656948</c:v>
                </c:pt>
                <c:pt idx="7">
                  <c:v>1798184.9768724805</c:v>
                </c:pt>
                <c:pt idx="8">
                  <c:v>117400</c:v>
                </c:pt>
                <c:pt idx="9">
                  <c:v>0</c:v>
                </c:pt>
                <c:pt idx="10">
                  <c:v>281653.63799999998</c:v>
                </c:pt>
                <c:pt idx="11">
                  <c:v>10621893.568837395</c:v>
                </c:pt>
                <c:pt idx="12">
                  <c:v>9064687.6013572924</c:v>
                </c:pt>
                <c:pt idx="13">
                  <c:v>1893546.0030705752</c:v>
                </c:pt>
              </c:numCache>
            </c:numRef>
          </c:val>
          <c:extLst>
            <c:ext xmlns:c16="http://schemas.microsoft.com/office/drawing/2014/chart" uri="{C3380CC4-5D6E-409C-BE32-E72D297353CC}">
              <c16:uniqueId val="{0000001C-B886-489B-8367-78A5FBEA2CC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731411802307002E-2"/>
          <c:y val="6.0434043767593301E-2"/>
          <c:w val="0.81951406970543028"/>
          <c:h val="0.86048852624888117"/>
        </c:manualLayout>
      </c:layout>
      <c:barChart>
        <c:barDir val="bar"/>
        <c:grouping val="percentStacked"/>
        <c:varyColors val="0"/>
        <c:ser>
          <c:idx val="0"/>
          <c:order val="0"/>
          <c:tx>
            <c:strRef>
              <c:f>'2018'!$B$87</c:f>
              <c:strCache>
                <c:ptCount val="1"/>
                <c:pt idx="0">
                  <c:v>Odwiedzający jednodniowi</c:v>
                </c:pt>
              </c:strCache>
            </c:strRef>
          </c:tx>
          <c:spPr>
            <a:solidFill>
              <a:schemeClr val="tx2">
                <a:lumMod val="20000"/>
                <a:lumOff val="80000"/>
              </a:schemeClr>
            </a:solidFill>
            <a:ln>
              <a:noFill/>
            </a:ln>
            <a:effectLst/>
          </c:spPr>
          <c:invertIfNegative val="0"/>
          <c:cat>
            <c:strRef>
              <c:f>'2018'!$A$88:$A$93</c:f>
              <c:strCache>
                <c:ptCount val="6"/>
                <c:pt idx="0">
                  <c:v>Usługi związane z zakwaterowaniem</c:v>
                </c:pt>
                <c:pt idx="1">
                  <c:v>Usługi związane z wyżywieniem</c:v>
                </c:pt>
                <c:pt idx="2">
                  <c:v>Usługi transportowe ogółem</c:v>
                </c:pt>
                <c:pt idx="3">
                  <c:v>Usługi organizatorów turystyki</c:v>
                </c:pt>
                <c:pt idx="4">
                  <c:v>Wszystkie pozostałe usługi i wyroby </c:v>
                </c:pt>
                <c:pt idx="5">
                  <c:v>Ogółem produkty </c:v>
                </c:pt>
              </c:strCache>
            </c:strRef>
          </c:cat>
          <c:val>
            <c:numRef>
              <c:f>'2018'!$B$88:$B$93</c:f>
              <c:numCache>
                <c:formatCode>_-* #\ ##0.00\ _z_ł_-;\-* #\ ##0.00\ _z_ł_-;_-* "-"??\ _z_ł_-;_-@_-</c:formatCode>
                <c:ptCount val="6"/>
                <c:pt idx="0">
                  <c:v>0</c:v>
                </c:pt>
                <c:pt idx="1">
                  <c:v>1311820</c:v>
                </c:pt>
                <c:pt idx="2">
                  <c:v>1229382</c:v>
                </c:pt>
                <c:pt idx="3">
                  <c:v>39184.400000000001</c:v>
                </c:pt>
                <c:pt idx="4">
                  <c:v>8255762.1852674</c:v>
                </c:pt>
                <c:pt idx="5">
                  <c:v>10836148.5852674</c:v>
                </c:pt>
              </c:numCache>
            </c:numRef>
          </c:val>
          <c:extLst>
            <c:ext xmlns:c16="http://schemas.microsoft.com/office/drawing/2014/chart" uri="{C3380CC4-5D6E-409C-BE32-E72D297353CC}">
              <c16:uniqueId val="{00000000-90B7-4B48-A114-EF4775CEA109}"/>
            </c:ext>
          </c:extLst>
        </c:ser>
        <c:ser>
          <c:idx val="1"/>
          <c:order val="1"/>
          <c:tx>
            <c:strRef>
              <c:f>'2018'!$C$87</c:f>
              <c:strCache>
                <c:ptCount val="1"/>
                <c:pt idx="0">
                  <c:v>Turyści</c:v>
                </c:pt>
              </c:strCache>
            </c:strRef>
          </c:tx>
          <c:spPr>
            <a:solidFill>
              <a:schemeClr val="accent1">
                <a:lumMod val="75000"/>
              </a:schemeClr>
            </a:solidFill>
            <a:ln>
              <a:noFill/>
            </a:ln>
            <a:effectLst/>
          </c:spPr>
          <c:invertIfNegative val="0"/>
          <c:cat>
            <c:strRef>
              <c:f>'2018'!$A$88:$A$93</c:f>
              <c:strCache>
                <c:ptCount val="6"/>
                <c:pt idx="0">
                  <c:v>Usługi związane z zakwaterowaniem</c:v>
                </c:pt>
                <c:pt idx="1">
                  <c:v>Usługi związane z wyżywieniem</c:v>
                </c:pt>
                <c:pt idx="2">
                  <c:v>Usługi transportowe ogółem</c:v>
                </c:pt>
                <c:pt idx="3">
                  <c:v>Usługi organizatorów turystyki</c:v>
                </c:pt>
                <c:pt idx="4">
                  <c:v>Wszystkie pozostałe usługi i wyroby </c:v>
                </c:pt>
                <c:pt idx="5">
                  <c:v>Ogółem produkty </c:v>
                </c:pt>
              </c:strCache>
            </c:strRef>
          </c:cat>
          <c:val>
            <c:numRef>
              <c:f>'2018'!$C$88:$C$93</c:f>
              <c:numCache>
                <c:formatCode>_-* #\ ##0.00\ _z_ł_-;\-* #\ ##0.00\ _z_ł_-;_-* "-"??\ _z_ł_-;_-@_-</c:formatCode>
                <c:ptCount val="6"/>
                <c:pt idx="0">
                  <c:v>11442256</c:v>
                </c:pt>
                <c:pt idx="1">
                  <c:v>10448292</c:v>
                </c:pt>
                <c:pt idx="2">
                  <c:v>6109804</c:v>
                </c:pt>
                <c:pt idx="3">
                  <c:v>2642545.8199999998</c:v>
                </c:pt>
                <c:pt idx="4">
                  <c:v>16206113.723136798</c:v>
                </c:pt>
                <c:pt idx="5">
                  <c:v>46849011.543136798</c:v>
                </c:pt>
              </c:numCache>
            </c:numRef>
          </c:val>
          <c:extLst>
            <c:ext xmlns:c16="http://schemas.microsoft.com/office/drawing/2014/chart" uri="{C3380CC4-5D6E-409C-BE32-E72D297353CC}">
              <c16:uniqueId val="{00000001-90B7-4B48-A114-EF4775CEA109}"/>
            </c:ext>
          </c:extLst>
        </c:ser>
        <c:dLbls>
          <c:showLegendKey val="0"/>
          <c:showVal val="0"/>
          <c:showCatName val="0"/>
          <c:showSerName val="0"/>
          <c:showPercent val="0"/>
          <c:showBubbleSize val="0"/>
        </c:dLbls>
        <c:gapWidth val="120"/>
        <c:overlap val="100"/>
        <c:axId val="384545648"/>
        <c:axId val="384544080"/>
      </c:barChart>
      <c:catAx>
        <c:axId val="384545648"/>
        <c:scaling>
          <c:orientation val="maxMin"/>
        </c:scaling>
        <c:delete val="1"/>
        <c:axPos val="l"/>
        <c:numFmt formatCode="General" sourceLinked="1"/>
        <c:majorTickMark val="none"/>
        <c:minorTickMark val="none"/>
        <c:tickLblPos val="nextTo"/>
        <c:crossAx val="384544080"/>
        <c:crosses val="autoZero"/>
        <c:auto val="1"/>
        <c:lblAlgn val="ctr"/>
        <c:lblOffset val="100"/>
        <c:noMultiLvlLbl val="0"/>
      </c:catAx>
      <c:valAx>
        <c:axId val="3845440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54564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pl-PL"/>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43397309711286"/>
          <c:y val="5.9355080614923145E-2"/>
          <c:w val="0.49851104549431319"/>
          <c:h val="0.85202936961646925"/>
        </c:manualLayout>
      </c:layout>
      <c:barChart>
        <c:barDir val="bar"/>
        <c:grouping val="percentStacked"/>
        <c:varyColors val="0"/>
        <c:ser>
          <c:idx val="0"/>
          <c:order val="0"/>
          <c:tx>
            <c:strRef>
              <c:f>'2019'!$B$87</c:f>
              <c:strCache>
                <c:ptCount val="1"/>
                <c:pt idx="0">
                  <c:v>Odwiedzający jednodniowi</c:v>
                </c:pt>
              </c:strCache>
            </c:strRef>
          </c:tx>
          <c:spPr>
            <a:solidFill>
              <a:schemeClr val="tx2">
                <a:lumMod val="20000"/>
                <a:lumOff val="80000"/>
              </a:schemeClr>
            </a:solidFill>
            <a:ln>
              <a:noFill/>
            </a:ln>
            <a:effectLst/>
          </c:spPr>
          <c:invertIfNegative val="0"/>
          <c:cat>
            <c:strRef>
              <c:f>'2019'!$A$88:$A$93</c:f>
              <c:strCache>
                <c:ptCount val="6"/>
                <c:pt idx="0">
                  <c:v>Usługi związane z zakwaterowaniem</c:v>
                </c:pt>
                <c:pt idx="1">
                  <c:v>Usługi związane z wyżywieniem</c:v>
                </c:pt>
                <c:pt idx="2">
                  <c:v>Usługi transportowe ogółem</c:v>
                </c:pt>
                <c:pt idx="3">
                  <c:v>Usługi organizatorów turystyki</c:v>
                </c:pt>
                <c:pt idx="4">
                  <c:v>Wszystkie pozostałe usługi i wyroby </c:v>
                </c:pt>
                <c:pt idx="5">
                  <c:v>Ogółem produkty </c:v>
                </c:pt>
              </c:strCache>
            </c:strRef>
          </c:cat>
          <c:val>
            <c:numRef>
              <c:f>'2019'!$B$88:$B$93</c:f>
              <c:numCache>
                <c:formatCode>_-* #\ ##0.00\ _z_ł_-;\-* #\ ##0.00\ _z_ł_-;_-* "-"??\ _z_ł_-;_-@_-</c:formatCode>
                <c:ptCount val="6"/>
                <c:pt idx="0">
                  <c:v>0</c:v>
                </c:pt>
                <c:pt idx="1">
                  <c:v>1501994</c:v>
                </c:pt>
                <c:pt idx="2">
                  <c:v>1325091</c:v>
                </c:pt>
                <c:pt idx="3">
                  <c:v>98637</c:v>
                </c:pt>
                <c:pt idx="4">
                  <c:v>9252014</c:v>
                </c:pt>
                <c:pt idx="5">
                  <c:v>12177736</c:v>
                </c:pt>
              </c:numCache>
            </c:numRef>
          </c:val>
          <c:extLst>
            <c:ext xmlns:c16="http://schemas.microsoft.com/office/drawing/2014/chart" uri="{C3380CC4-5D6E-409C-BE32-E72D297353CC}">
              <c16:uniqueId val="{00000000-52B9-4814-BB25-B1FDC4103214}"/>
            </c:ext>
          </c:extLst>
        </c:ser>
        <c:ser>
          <c:idx val="1"/>
          <c:order val="1"/>
          <c:tx>
            <c:strRef>
              <c:f>'2019'!$C$87</c:f>
              <c:strCache>
                <c:ptCount val="1"/>
                <c:pt idx="0">
                  <c:v>Turyści</c:v>
                </c:pt>
              </c:strCache>
            </c:strRef>
          </c:tx>
          <c:spPr>
            <a:solidFill>
              <a:schemeClr val="accent1">
                <a:lumMod val="75000"/>
              </a:schemeClr>
            </a:solidFill>
            <a:ln>
              <a:noFill/>
            </a:ln>
            <a:effectLst/>
          </c:spPr>
          <c:invertIfNegative val="0"/>
          <c:cat>
            <c:strRef>
              <c:f>'2019'!$A$88:$A$93</c:f>
              <c:strCache>
                <c:ptCount val="6"/>
                <c:pt idx="0">
                  <c:v>Usługi związane z zakwaterowaniem</c:v>
                </c:pt>
                <c:pt idx="1">
                  <c:v>Usługi związane z wyżywieniem</c:v>
                </c:pt>
                <c:pt idx="2">
                  <c:v>Usługi transportowe ogółem</c:v>
                </c:pt>
                <c:pt idx="3">
                  <c:v>Usługi organizatorów turystyki</c:v>
                </c:pt>
                <c:pt idx="4">
                  <c:v>Wszystkie pozostałe usługi i wyroby </c:v>
                </c:pt>
                <c:pt idx="5">
                  <c:v>Ogółem produkty </c:v>
                </c:pt>
              </c:strCache>
            </c:strRef>
          </c:cat>
          <c:val>
            <c:numRef>
              <c:f>'2019'!$C$88:$C$93</c:f>
              <c:numCache>
                <c:formatCode>_-* #\ ##0.00\ _z_ł_-;\-* #\ ##0.00\ _z_ł_-;_-* "-"??\ _z_ł_-;_-@_-</c:formatCode>
                <c:ptCount val="6"/>
                <c:pt idx="0">
                  <c:v>12876737</c:v>
                </c:pt>
                <c:pt idx="1">
                  <c:v>11520346</c:v>
                </c:pt>
                <c:pt idx="2">
                  <c:v>9006858</c:v>
                </c:pt>
                <c:pt idx="3">
                  <c:v>3480689</c:v>
                </c:pt>
                <c:pt idx="4">
                  <c:v>16431934</c:v>
                </c:pt>
                <c:pt idx="5">
                  <c:v>53316564</c:v>
                </c:pt>
              </c:numCache>
            </c:numRef>
          </c:val>
          <c:extLst>
            <c:ext xmlns:c16="http://schemas.microsoft.com/office/drawing/2014/chart" uri="{C3380CC4-5D6E-409C-BE32-E72D297353CC}">
              <c16:uniqueId val="{00000001-52B9-4814-BB25-B1FDC4103214}"/>
            </c:ext>
          </c:extLst>
        </c:ser>
        <c:dLbls>
          <c:showLegendKey val="0"/>
          <c:showVal val="0"/>
          <c:showCatName val="0"/>
          <c:showSerName val="0"/>
          <c:showPercent val="0"/>
          <c:showBubbleSize val="0"/>
        </c:dLbls>
        <c:gapWidth val="150"/>
        <c:overlap val="100"/>
        <c:axId val="384545648"/>
        <c:axId val="384544080"/>
      </c:barChart>
      <c:catAx>
        <c:axId val="3845456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84544080"/>
        <c:crosses val="autoZero"/>
        <c:auto val="1"/>
        <c:lblAlgn val="ctr"/>
        <c:lblOffset val="100"/>
        <c:noMultiLvlLbl val="0"/>
      </c:catAx>
      <c:valAx>
        <c:axId val="38454408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545648"/>
        <c:crosses val="autoZero"/>
        <c:crossBetween val="between"/>
        <c:majorUnit val="0.25"/>
      </c:valAx>
      <c:spPr>
        <a:noFill/>
        <a:ln>
          <a:noFill/>
        </a:ln>
        <a:effectLst/>
      </c:spPr>
    </c:plotArea>
    <c:legend>
      <c:legendPos val="b"/>
      <c:layout>
        <c:manualLayout>
          <c:xMode val="edge"/>
          <c:yMode val="edge"/>
          <c:x val="6.4468503937007869E-4"/>
          <c:y val="0.93323302248544804"/>
          <c:w val="0.78053586061923252"/>
          <c:h val="5.060005430355688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71972797595552E-2"/>
          <c:y val="8.5817524841915085E-2"/>
          <c:w val="0.81538220486291468"/>
          <c:h val="0.85727581816500575"/>
        </c:manualLayout>
      </c:layout>
      <c:barChart>
        <c:barDir val="col"/>
        <c:grouping val="percentStacked"/>
        <c:varyColors val="0"/>
        <c:ser>
          <c:idx val="0"/>
          <c:order val="0"/>
          <c:tx>
            <c:strRef>
              <c:f>Arkusz1!$A$2</c:f>
              <c:strCache>
                <c:ptCount val="1"/>
                <c:pt idx="0">
                  <c:v>Zakup produktów spożywczych oraz wyrobów odzieżowych</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Arkusz1!$B$1:$C$1</c:f>
              <c:strCache>
                <c:ptCount val="2"/>
                <c:pt idx="0">
                  <c:v>2018</c:v>
                </c:pt>
                <c:pt idx="1">
                  <c:v>2019</c:v>
                </c:pt>
              </c:strCache>
            </c:strRef>
          </c:cat>
          <c:val>
            <c:numRef>
              <c:f>Arkusz1!$B$2:$C$2</c:f>
              <c:numCache>
                <c:formatCode>0.0%</c:formatCode>
                <c:ptCount val="2"/>
                <c:pt idx="0">
                  <c:v>0.26527816464752385</c:v>
                </c:pt>
                <c:pt idx="1">
                  <c:v>0.25663938167411676</c:v>
                </c:pt>
              </c:numCache>
            </c:numRef>
          </c:val>
          <c:extLst>
            <c:ext xmlns:c16="http://schemas.microsoft.com/office/drawing/2014/chart" uri="{C3380CC4-5D6E-409C-BE32-E72D297353CC}">
              <c16:uniqueId val="{00000000-C0EA-4E47-986D-ADA0CB9254D7}"/>
            </c:ext>
          </c:extLst>
        </c:ser>
        <c:ser>
          <c:idx val="1"/>
          <c:order val="1"/>
          <c:tx>
            <c:strRef>
              <c:f>Arkusz1!$A$3</c:f>
              <c:strCache>
                <c:ptCount val="1"/>
                <c:pt idx="0">
                  <c:v>Działalność organizatorów turystyki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Arkusz1!$B$1:$C$1</c:f>
              <c:strCache>
                <c:ptCount val="2"/>
                <c:pt idx="0">
                  <c:v>2018</c:v>
                </c:pt>
                <c:pt idx="1">
                  <c:v>2019</c:v>
                </c:pt>
              </c:strCache>
            </c:strRef>
          </c:cat>
          <c:val>
            <c:numRef>
              <c:f>Arkusz1!$B$3:$C$3</c:f>
              <c:numCache>
                <c:formatCode>0.0%</c:formatCode>
                <c:ptCount val="2"/>
                <c:pt idx="0">
                  <c:v>0.23642534628088843</c:v>
                </c:pt>
                <c:pt idx="1">
                  <c:v>0.24667525185938308</c:v>
                </c:pt>
              </c:numCache>
            </c:numRef>
          </c:val>
          <c:extLst>
            <c:ext xmlns:c16="http://schemas.microsoft.com/office/drawing/2014/chart" uri="{C3380CC4-5D6E-409C-BE32-E72D297353CC}">
              <c16:uniqueId val="{00000001-C0EA-4E47-986D-ADA0CB9254D7}"/>
            </c:ext>
          </c:extLst>
        </c:ser>
        <c:ser>
          <c:idx val="2"/>
          <c:order val="2"/>
          <c:tx>
            <c:strRef>
              <c:f>Arkusz1!$A$4</c:f>
              <c:strCache>
                <c:ptCount val="1"/>
                <c:pt idx="0">
                  <c:v>Usługi związane z zakwaterowaniem</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Arkusz1!$B$1:$C$1</c:f>
              <c:strCache>
                <c:ptCount val="2"/>
                <c:pt idx="0">
                  <c:v>2018</c:v>
                </c:pt>
                <c:pt idx="1">
                  <c:v>2019</c:v>
                </c:pt>
              </c:strCache>
            </c:strRef>
          </c:cat>
          <c:val>
            <c:numRef>
              <c:f>Arkusz1!$B$4:$C$4</c:f>
              <c:numCache>
                <c:formatCode>0.0%</c:formatCode>
                <c:ptCount val="2"/>
                <c:pt idx="0">
                  <c:v>0.21152395463220153</c:v>
                </c:pt>
                <c:pt idx="1">
                  <c:v>0.20690230078223767</c:v>
                </c:pt>
              </c:numCache>
            </c:numRef>
          </c:val>
          <c:extLst>
            <c:ext xmlns:c16="http://schemas.microsoft.com/office/drawing/2014/chart" uri="{C3380CC4-5D6E-409C-BE32-E72D297353CC}">
              <c16:uniqueId val="{00000003-C0EA-4E47-986D-ADA0CB9254D7}"/>
            </c:ext>
          </c:extLst>
        </c:ser>
        <c:ser>
          <c:idx val="3"/>
          <c:order val="3"/>
          <c:tx>
            <c:strRef>
              <c:f>Arkusz1!$A$5</c:f>
              <c:strCache>
                <c:ptCount val="1"/>
                <c:pt idx="0">
                  <c:v>Usługi związane z wyżywieniem</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Arkusz1!$B$1:$C$1</c:f>
              <c:strCache>
                <c:ptCount val="2"/>
                <c:pt idx="0">
                  <c:v>2018</c:v>
                </c:pt>
                <c:pt idx="1">
                  <c:v>2019</c:v>
                </c:pt>
              </c:strCache>
            </c:strRef>
          </c:cat>
          <c:val>
            <c:numRef>
              <c:f>Arkusz1!$B$5:$C$5</c:f>
              <c:numCache>
                <c:formatCode>0.0%</c:formatCode>
                <c:ptCount val="2"/>
                <c:pt idx="0">
                  <c:v>0.18489573706374265</c:v>
                </c:pt>
                <c:pt idx="1">
                  <c:v>0.18643596882256366</c:v>
                </c:pt>
              </c:numCache>
            </c:numRef>
          </c:val>
          <c:extLst>
            <c:ext xmlns:c16="http://schemas.microsoft.com/office/drawing/2014/chart" uri="{C3380CC4-5D6E-409C-BE32-E72D297353CC}">
              <c16:uniqueId val="{00000004-C0EA-4E47-986D-ADA0CB9254D7}"/>
            </c:ext>
          </c:extLst>
        </c:ser>
        <c:ser>
          <c:idx val="4"/>
          <c:order val="4"/>
          <c:tx>
            <c:strRef>
              <c:f>Arkusz1!$A$6</c:f>
              <c:strCache>
                <c:ptCount val="1"/>
                <c:pt idx="0">
                  <c:v>Usługi transportu lotniczego pasażerskiego </c:v>
                </c:pt>
              </c:strCache>
            </c:strRef>
          </c:tx>
          <c:spPr>
            <a:solidFill>
              <a:schemeClr val="accent5">
                <a:alpha val="70000"/>
              </a:schemeClr>
            </a:solidFill>
            <a:ln>
              <a:noFill/>
            </a:ln>
            <a:effectLst/>
          </c:spPr>
          <c:invertIfNegative val="0"/>
          <c:dLbls>
            <c:dLbl>
              <c:idx val="0"/>
              <c:layout>
                <c:manualLayout>
                  <c:x val="0.21547933157431831"/>
                  <c:y val="-6.7750677506775072E-3"/>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F-C0EA-4E47-986D-ADA0CB9254D7}"/>
                </c:ext>
              </c:extLst>
            </c:dLbl>
            <c:dLbl>
              <c:idx val="1"/>
              <c:layout>
                <c:manualLayout>
                  <c:x val="0.26385224274406338"/>
                  <c:y val="0"/>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E-C0EA-4E47-986D-ADA0CB9254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Arkusz1!$B$1:$C$1</c:f>
              <c:strCache>
                <c:ptCount val="2"/>
                <c:pt idx="0">
                  <c:v>2018</c:v>
                </c:pt>
                <c:pt idx="1">
                  <c:v>2019</c:v>
                </c:pt>
              </c:strCache>
            </c:strRef>
          </c:cat>
          <c:val>
            <c:numRef>
              <c:f>Arkusz1!$B$6:$C$6</c:f>
              <c:numCache>
                <c:formatCode>0.0%</c:formatCode>
                <c:ptCount val="2"/>
                <c:pt idx="0">
                  <c:v>4.1870325085896228E-2</c:v>
                </c:pt>
                <c:pt idx="1">
                  <c:v>4.6221168977242114E-2</c:v>
                </c:pt>
              </c:numCache>
            </c:numRef>
          </c:val>
          <c:extLst>
            <c:ext xmlns:c16="http://schemas.microsoft.com/office/drawing/2014/chart" uri="{C3380CC4-5D6E-409C-BE32-E72D297353CC}">
              <c16:uniqueId val="{00000005-C0EA-4E47-986D-ADA0CB9254D7}"/>
            </c:ext>
          </c:extLst>
        </c:ser>
        <c:ser>
          <c:idx val="5"/>
          <c:order val="5"/>
          <c:tx>
            <c:strRef>
              <c:f>Arkusz1!$A$7</c:f>
              <c:strCache>
                <c:ptCount val="1"/>
                <c:pt idx="0">
                  <c:v>Produkty rafinacji ropy naftowej</c:v>
                </c:pt>
              </c:strCache>
            </c:strRef>
          </c:tx>
          <c:spPr>
            <a:solidFill>
              <a:schemeClr val="accent6">
                <a:alpha val="70000"/>
              </a:schemeClr>
            </a:solidFill>
            <a:ln>
              <a:noFill/>
            </a:ln>
            <a:effectLst/>
          </c:spPr>
          <c:invertIfNegative val="0"/>
          <c:dLbls>
            <c:dLbl>
              <c:idx val="0"/>
              <c:layout>
                <c:manualLayout>
                  <c:x val="0.22867194371152155"/>
                  <c:y val="-7.6784101174345074E-2"/>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0-C0EA-4E47-986D-ADA0CB9254D7}"/>
                </c:ext>
              </c:extLst>
            </c:dLbl>
            <c:dLbl>
              <c:idx val="1"/>
              <c:layout>
                <c:manualLayout>
                  <c:x val="0.20228671943711504"/>
                  <c:y val="-6.323396567299007E-2"/>
                </c:manualLayout>
              </c:layout>
              <c:dLblPos val="ct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D-C0EA-4E47-986D-ADA0CB9254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Arkusz1!$B$1:$C$1</c:f>
              <c:strCache>
                <c:ptCount val="2"/>
                <c:pt idx="0">
                  <c:v>2018</c:v>
                </c:pt>
                <c:pt idx="1">
                  <c:v>2019</c:v>
                </c:pt>
              </c:strCache>
            </c:strRef>
          </c:cat>
          <c:val>
            <c:numRef>
              <c:f>Arkusz1!$B$7:$C$7</c:f>
              <c:numCache>
                <c:formatCode>0.0%</c:formatCode>
                <c:ptCount val="2"/>
                <c:pt idx="0">
                  <c:v>2.7262141450120621E-2</c:v>
                </c:pt>
                <c:pt idx="1">
                  <c:v>2.3493099390494196E-2</c:v>
                </c:pt>
              </c:numCache>
            </c:numRef>
          </c:val>
          <c:extLst>
            <c:ext xmlns:c16="http://schemas.microsoft.com/office/drawing/2014/chart" uri="{C3380CC4-5D6E-409C-BE32-E72D297353CC}">
              <c16:uniqueId val="{00000006-C0EA-4E47-986D-ADA0CB9254D7}"/>
            </c:ext>
          </c:extLst>
        </c:ser>
        <c:ser>
          <c:idx val="6"/>
          <c:order val="6"/>
          <c:tx>
            <c:strRef>
              <c:f>Arkusz1!$A$8</c:f>
              <c:strCache>
                <c:ptCount val="1"/>
                <c:pt idx="0">
                  <c:v>Usługi kulturalne i rekreacyjne</c:v>
                </c:pt>
              </c:strCache>
            </c:strRef>
          </c:tx>
          <c:spPr>
            <a:solidFill>
              <a:schemeClr val="accent1">
                <a:lumMod val="60000"/>
                <a:alpha val="70000"/>
              </a:schemeClr>
            </a:solidFill>
            <a:ln>
              <a:noFill/>
            </a:ln>
            <a:effectLst/>
          </c:spPr>
          <c:invertIfNegative val="0"/>
          <c:dLbls>
            <c:delete val="1"/>
          </c:dLbls>
          <c:cat>
            <c:strRef>
              <c:f>Arkusz1!$B$1:$C$1</c:f>
              <c:strCache>
                <c:ptCount val="2"/>
                <c:pt idx="0">
                  <c:v>2018</c:v>
                </c:pt>
                <c:pt idx="1">
                  <c:v>2019</c:v>
                </c:pt>
              </c:strCache>
            </c:strRef>
          </c:cat>
          <c:val>
            <c:numRef>
              <c:f>Arkusz1!$B$8:$C$8</c:f>
              <c:numCache>
                <c:formatCode>0.0%</c:formatCode>
                <c:ptCount val="2"/>
                <c:pt idx="0">
                  <c:v>1.9456120442165686E-2</c:v>
                </c:pt>
                <c:pt idx="1">
                  <c:v>1.9742248364262284E-2</c:v>
                </c:pt>
              </c:numCache>
            </c:numRef>
          </c:val>
          <c:extLst>
            <c:ext xmlns:c16="http://schemas.microsoft.com/office/drawing/2014/chart" uri="{C3380CC4-5D6E-409C-BE32-E72D297353CC}">
              <c16:uniqueId val="{00000007-C0EA-4E47-986D-ADA0CB9254D7}"/>
            </c:ext>
          </c:extLst>
        </c:ser>
        <c:ser>
          <c:idx val="7"/>
          <c:order val="7"/>
          <c:tx>
            <c:strRef>
              <c:f>Arkusz1!$A$9</c:f>
              <c:strCache>
                <c:ptCount val="1"/>
                <c:pt idx="0">
                  <c:v>Usługi pasażerskiego transportu lądowego pozostałe </c:v>
                </c:pt>
              </c:strCache>
            </c:strRef>
          </c:tx>
          <c:spPr>
            <a:solidFill>
              <a:schemeClr val="accent2">
                <a:lumMod val="60000"/>
                <a:alpha val="70000"/>
              </a:schemeClr>
            </a:solidFill>
            <a:ln>
              <a:noFill/>
            </a:ln>
            <a:effectLst/>
          </c:spPr>
          <c:invertIfNegative val="0"/>
          <c:dLbls>
            <c:delete val="1"/>
          </c:dLbls>
          <c:cat>
            <c:strRef>
              <c:f>Arkusz1!$B$1:$C$1</c:f>
              <c:strCache>
                <c:ptCount val="2"/>
                <c:pt idx="0">
                  <c:v>2018</c:v>
                </c:pt>
                <c:pt idx="1">
                  <c:v>2019</c:v>
                </c:pt>
              </c:strCache>
            </c:strRef>
          </c:cat>
          <c:val>
            <c:numRef>
              <c:f>Arkusz1!$B$9:$C$9</c:f>
              <c:numCache>
                <c:formatCode>0.0%</c:formatCode>
                <c:ptCount val="2"/>
                <c:pt idx="0">
                  <c:v>8.7700051685048741E-3</c:v>
                </c:pt>
                <c:pt idx="1">
                  <c:v>9.5125936555071153E-3</c:v>
                </c:pt>
              </c:numCache>
            </c:numRef>
          </c:val>
          <c:extLst>
            <c:ext xmlns:c16="http://schemas.microsoft.com/office/drawing/2014/chart" uri="{C3380CC4-5D6E-409C-BE32-E72D297353CC}">
              <c16:uniqueId val="{00000008-C0EA-4E47-986D-ADA0CB9254D7}"/>
            </c:ext>
          </c:extLst>
        </c:ser>
        <c:ser>
          <c:idx val="8"/>
          <c:order val="8"/>
          <c:tx>
            <c:strRef>
              <c:f>Arkusz1!$A$10</c:f>
              <c:strCache>
                <c:ptCount val="1"/>
                <c:pt idx="0">
                  <c:v>Usługi  transportu wodnego pasażerskiego</c:v>
                </c:pt>
              </c:strCache>
            </c:strRef>
          </c:tx>
          <c:spPr>
            <a:solidFill>
              <a:schemeClr val="accent3">
                <a:lumMod val="60000"/>
                <a:alpha val="70000"/>
              </a:schemeClr>
            </a:solidFill>
            <a:ln>
              <a:noFill/>
            </a:ln>
            <a:effectLst/>
          </c:spPr>
          <c:invertIfNegative val="0"/>
          <c:dLbls>
            <c:delete val="1"/>
          </c:dLbls>
          <c:cat>
            <c:strRef>
              <c:f>Arkusz1!$B$1:$C$1</c:f>
              <c:strCache>
                <c:ptCount val="2"/>
                <c:pt idx="0">
                  <c:v>2018</c:v>
                </c:pt>
                <c:pt idx="1">
                  <c:v>2019</c:v>
                </c:pt>
              </c:strCache>
            </c:strRef>
          </c:cat>
          <c:val>
            <c:numRef>
              <c:f>Arkusz1!$B$10:$C$10</c:f>
              <c:numCache>
                <c:formatCode>0.0%</c:formatCode>
                <c:ptCount val="2"/>
                <c:pt idx="0">
                  <c:v>2.664419442181141E-3</c:v>
                </c:pt>
                <c:pt idx="1">
                  <c:v>2.508587406221631E-3</c:v>
                </c:pt>
              </c:numCache>
            </c:numRef>
          </c:val>
          <c:extLst>
            <c:ext xmlns:c16="http://schemas.microsoft.com/office/drawing/2014/chart" uri="{C3380CC4-5D6E-409C-BE32-E72D297353CC}">
              <c16:uniqueId val="{00000009-C0EA-4E47-986D-ADA0CB9254D7}"/>
            </c:ext>
          </c:extLst>
        </c:ser>
        <c:ser>
          <c:idx val="9"/>
          <c:order val="9"/>
          <c:tx>
            <c:strRef>
              <c:f>Arkusz1!$A$11</c:f>
              <c:strCache>
                <c:ptCount val="1"/>
                <c:pt idx="0">
                  <c:v>Usługi pasażerskiego międzymiastowego pasażerskiego transportu kolejowego </c:v>
                </c:pt>
              </c:strCache>
            </c:strRef>
          </c:tx>
          <c:spPr>
            <a:solidFill>
              <a:schemeClr val="accent4">
                <a:lumMod val="60000"/>
                <a:alpha val="70000"/>
              </a:schemeClr>
            </a:solidFill>
            <a:ln>
              <a:noFill/>
            </a:ln>
            <a:effectLst/>
          </c:spPr>
          <c:invertIfNegative val="0"/>
          <c:dLbls>
            <c:delete val="1"/>
          </c:dLbls>
          <c:cat>
            <c:strRef>
              <c:f>Arkusz1!$B$1:$C$1</c:f>
              <c:strCache>
                <c:ptCount val="2"/>
                <c:pt idx="0">
                  <c:v>2018</c:v>
                </c:pt>
                <c:pt idx="1">
                  <c:v>2019</c:v>
                </c:pt>
              </c:strCache>
            </c:strRef>
          </c:cat>
          <c:val>
            <c:numRef>
              <c:f>Arkusz1!$B$11:$C$11</c:f>
              <c:numCache>
                <c:formatCode>0.0%</c:formatCode>
                <c:ptCount val="2"/>
                <c:pt idx="0">
                  <c:v>1.0382091108433499E-3</c:v>
                </c:pt>
                <c:pt idx="1">
                  <c:v>1.1204676456933156E-3</c:v>
                </c:pt>
              </c:numCache>
            </c:numRef>
          </c:val>
          <c:extLst>
            <c:ext xmlns:c16="http://schemas.microsoft.com/office/drawing/2014/chart" uri="{C3380CC4-5D6E-409C-BE32-E72D297353CC}">
              <c16:uniqueId val="{0000000A-C0EA-4E47-986D-ADA0CB9254D7}"/>
            </c:ext>
          </c:extLst>
        </c:ser>
        <c:ser>
          <c:idx val="10"/>
          <c:order val="10"/>
          <c:tx>
            <c:strRef>
              <c:f>Arkusz1!$A$12</c:f>
              <c:strCache>
                <c:ptCount val="1"/>
                <c:pt idx="0">
                  <c:v>Usługi wynajmu samochodów osobowych i furgonetek</c:v>
                </c:pt>
              </c:strCache>
            </c:strRef>
          </c:tx>
          <c:spPr>
            <a:solidFill>
              <a:schemeClr val="accent5">
                <a:lumMod val="60000"/>
                <a:alpha val="70000"/>
              </a:schemeClr>
            </a:solidFill>
            <a:ln>
              <a:noFill/>
            </a:ln>
            <a:effectLst/>
          </c:spPr>
          <c:invertIfNegative val="0"/>
          <c:dLbls>
            <c:delete val="1"/>
          </c:dLbls>
          <c:cat>
            <c:strRef>
              <c:f>Arkusz1!$B$1:$C$1</c:f>
              <c:strCache>
                <c:ptCount val="2"/>
                <c:pt idx="0">
                  <c:v>2018</c:v>
                </c:pt>
                <c:pt idx="1">
                  <c:v>2019</c:v>
                </c:pt>
              </c:strCache>
            </c:strRef>
          </c:cat>
          <c:val>
            <c:numRef>
              <c:f>Arkusz1!$B$12:$C$12</c:f>
              <c:numCache>
                <c:formatCode>0.0%</c:formatCode>
                <c:ptCount val="2"/>
                <c:pt idx="0">
                  <c:v>8.1557667593158321E-4</c:v>
                </c:pt>
                <c:pt idx="1">
                  <c:v>7.4893142227806938E-4</c:v>
                </c:pt>
              </c:numCache>
            </c:numRef>
          </c:val>
          <c:extLst>
            <c:ext xmlns:c16="http://schemas.microsoft.com/office/drawing/2014/chart" uri="{C3380CC4-5D6E-409C-BE32-E72D297353CC}">
              <c16:uniqueId val="{0000000B-C0EA-4E47-986D-ADA0CB9254D7}"/>
            </c:ext>
          </c:extLst>
        </c:ser>
        <c:dLbls>
          <c:dLblPos val="ctr"/>
          <c:showLegendKey val="0"/>
          <c:showVal val="1"/>
          <c:showCatName val="0"/>
          <c:showSerName val="0"/>
          <c:showPercent val="0"/>
          <c:showBubbleSize val="0"/>
        </c:dLbls>
        <c:gapWidth val="120"/>
        <c:overlap val="100"/>
        <c:axId val="892451520"/>
        <c:axId val="892457424"/>
      </c:barChart>
      <c:catAx>
        <c:axId val="892451520"/>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100" b="1" i="0" u="none" strike="noStrike" kern="1200" baseline="0">
                <a:solidFill>
                  <a:schemeClr val="tx1">
                    <a:lumMod val="50000"/>
                    <a:lumOff val="50000"/>
                  </a:schemeClr>
                </a:solidFill>
                <a:latin typeface="+mn-lt"/>
                <a:ea typeface="+mn-ea"/>
                <a:cs typeface="+mn-cs"/>
              </a:defRPr>
            </a:pPr>
            <a:endParaRPr lang="pl-PL"/>
          </a:p>
        </c:txPr>
        <c:crossAx val="892457424"/>
        <c:crosses val="autoZero"/>
        <c:auto val="1"/>
        <c:lblAlgn val="ctr"/>
        <c:lblOffset val="100"/>
        <c:noMultiLvlLbl val="0"/>
      </c:catAx>
      <c:valAx>
        <c:axId val="89245742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92451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'2019'!$A$76</c:f>
              <c:strCache>
                <c:ptCount val="1"/>
                <c:pt idx="0">
                  <c:v>Spożycie nierezydentów</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'2019'!$B$75:$H$75</c:f>
              <c:numCache>
                <c:formatCode>General</c:formatCode>
                <c:ptCount val="7"/>
                <c:pt idx="0">
                  <c:v>2008</c:v>
                </c:pt>
                <c:pt idx="1">
                  <c:v>2011</c:v>
                </c:pt>
                <c:pt idx="2">
                  <c:v>2012</c:v>
                </c:pt>
                <c:pt idx="3">
                  <c:v>2013</c:v>
                </c:pt>
                <c:pt idx="4">
                  <c:v>2015</c:v>
                </c:pt>
                <c:pt idx="5">
                  <c:v>2018</c:v>
                </c:pt>
                <c:pt idx="6">
                  <c:v>2019</c:v>
                </c:pt>
              </c:numCache>
            </c:numRef>
          </c:cat>
          <c:val>
            <c:numRef>
              <c:f>'2019'!$B$76:$H$76</c:f>
              <c:numCache>
                <c:formatCode>General</c:formatCode>
                <c:ptCount val="7"/>
                <c:pt idx="0">
                  <c:v>24.3</c:v>
                </c:pt>
                <c:pt idx="1">
                  <c:v>28.1</c:v>
                </c:pt>
                <c:pt idx="2">
                  <c:v>32.5</c:v>
                </c:pt>
                <c:pt idx="3">
                  <c:v>35.5</c:v>
                </c:pt>
                <c:pt idx="4">
                  <c:v>36.799999999999997</c:v>
                </c:pt>
                <c:pt idx="5">
                  <c:v>49.7</c:v>
                </c:pt>
                <c:pt idx="6">
                  <c:v>50.8</c:v>
                </c:pt>
              </c:numCache>
            </c:numRef>
          </c:val>
          <c:extLst>
            <c:ext xmlns:c16="http://schemas.microsoft.com/office/drawing/2014/chart" uri="{C3380CC4-5D6E-409C-BE32-E72D297353CC}">
              <c16:uniqueId val="{00000000-4FB7-496E-8DC3-20AA3E4D806B}"/>
            </c:ext>
          </c:extLst>
        </c:ser>
        <c:ser>
          <c:idx val="1"/>
          <c:order val="1"/>
          <c:tx>
            <c:strRef>
              <c:f>'2019'!$A$77</c:f>
              <c:strCache>
                <c:ptCount val="1"/>
                <c:pt idx="0">
                  <c:v>Spożycie rezydentów</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'2019'!$B$75:$H$75</c:f>
              <c:numCache>
                <c:formatCode>General</c:formatCode>
                <c:ptCount val="7"/>
                <c:pt idx="0">
                  <c:v>2008</c:v>
                </c:pt>
                <c:pt idx="1">
                  <c:v>2011</c:v>
                </c:pt>
                <c:pt idx="2">
                  <c:v>2012</c:v>
                </c:pt>
                <c:pt idx="3">
                  <c:v>2013</c:v>
                </c:pt>
                <c:pt idx="4">
                  <c:v>2015</c:v>
                </c:pt>
                <c:pt idx="5">
                  <c:v>2018</c:v>
                </c:pt>
                <c:pt idx="6">
                  <c:v>2019</c:v>
                </c:pt>
              </c:numCache>
            </c:numRef>
          </c:cat>
          <c:val>
            <c:numRef>
              <c:f>'2019'!$B$77:$H$77</c:f>
              <c:numCache>
                <c:formatCode>General</c:formatCode>
                <c:ptCount val="7"/>
                <c:pt idx="0">
                  <c:v>15.3</c:v>
                </c:pt>
                <c:pt idx="1">
                  <c:v>13.1</c:v>
                </c:pt>
                <c:pt idx="2">
                  <c:v>15.6</c:v>
                </c:pt>
                <c:pt idx="3">
                  <c:v>18.399999999999999</c:v>
                </c:pt>
                <c:pt idx="4">
                  <c:v>21.4</c:v>
                </c:pt>
                <c:pt idx="5">
                  <c:v>52.5</c:v>
                </c:pt>
                <c:pt idx="6">
                  <c:v>59.7</c:v>
                </c:pt>
              </c:numCache>
            </c:numRef>
          </c:val>
          <c:extLst>
            <c:ext xmlns:c16="http://schemas.microsoft.com/office/drawing/2014/chart" uri="{C3380CC4-5D6E-409C-BE32-E72D297353CC}">
              <c16:uniqueId val="{00000001-4FB7-496E-8DC3-20AA3E4D806B}"/>
            </c:ext>
          </c:extLst>
        </c:ser>
        <c:ser>
          <c:idx val="2"/>
          <c:order val="2"/>
          <c:tx>
            <c:strRef>
              <c:f>'2019'!$A$78</c:f>
              <c:strCache>
                <c:ptCount val="1"/>
                <c:pt idx="0">
                  <c:v>Inne składowe spożycia turystycznego</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'2019'!$B$75:$H$75</c:f>
              <c:numCache>
                <c:formatCode>General</c:formatCode>
                <c:ptCount val="7"/>
                <c:pt idx="0">
                  <c:v>2008</c:v>
                </c:pt>
                <c:pt idx="1">
                  <c:v>2011</c:v>
                </c:pt>
                <c:pt idx="2">
                  <c:v>2012</c:v>
                </c:pt>
                <c:pt idx="3">
                  <c:v>2013</c:v>
                </c:pt>
                <c:pt idx="4">
                  <c:v>2015</c:v>
                </c:pt>
                <c:pt idx="5">
                  <c:v>2018</c:v>
                </c:pt>
                <c:pt idx="6">
                  <c:v>2019</c:v>
                </c:pt>
              </c:numCache>
            </c:numRef>
          </c:cat>
          <c:val>
            <c:numRef>
              <c:f>'2019'!$B$78:$H$78</c:f>
              <c:numCache>
                <c:formatCode>General</c:formatCode>
                <c:ptCount val="7"/>
                <c:pt idx="0">
                  <c:v>6.7</c:v>
                </c:pt>
                <c:pt idx="1">
                  <c:v>7.3</c:v>
                </c:pt>
                <c:pt idx="2">
                  <c:v>7.3</c:v>
                </c:pt>
                <c:pt idx="3">
                  <c:v>7.1</c:v>
                </c:pt>
                <c:pt idx="4">
                  <c:v>6.9</c:v>
                </c:pt>
                <c:pt idx="5">
                  <c:v>5.2</c:v>
                </c:pt>
                <c:pt idx="6">
                  <c:v>5.8</c:v>
                </c:pt>
              </c:numCache>
            </c:numRef>
          </c:val>
          <c:extLst>
            <c:ext xmlns:c16="http://schemas.microsoft.com/office/drawing/2014/chart" uri="{C3380CC4-5D6E-409C-BE32-E72D297353CC}">
              <c16:uniqueId val="{00000002-4FB7-496E-8DC3-20AA3E4D806B}"/>
            </c:ext>
          </c:extLst>
        </c:ser>
        <c:dLbls>
          <c:showLegendKey val="0"/>
          <c:showVal val="0"/>
          <c:showCatName val="0"/>
          <c:showSerName val="0"/>
          <c:showPercent val="0"/>
          <c:showBubbleSize val="0"/>
        </c:dLbls>
        <c:gapWidth val="50"/>
        <c:overlap val="100"/>
        <c:axId val="1409825744"/>
        <c:axId val="1409817424"/>
      </c:barChart>
      <c:catAx>
        <c:axId val="14098257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9817424"/>
        <c:crosses val="autoZero"/>
        <c:auto val="1"/>
        <c:lblAlgn val="ctr"/>
        <c:lblOffset val="100"/>
        <c:noMultiLvlLbl val="0"/>
      </c:catAx>
      <c:valAx>
        <c:axId val="1409817424"/>
        <c:scaling>
          <c:orientation val="minMax"/>
          <c:max val="120"/>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0982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19218849022041"/>
          <c:y val="0.27142042115834569"/>
          <c:w val="0.46613565531430945"/>
          <c:h val="0.57365676983728453"/>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BE5-4BF5-A91C-4F032ABC62C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BE5-4BF5-A91C-4F032ABC62C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BE5-4BF5-A91C-4F032ABC62C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DBE5-4BF5-A91C-4F032ABC62CB}"/>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DBE5-4BF5-A91C-4F032ABC62CB}"/>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DBE5-4BF5-A91C-4F032ABC62CB}"/>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DBE5-4BF5-A91C-4F032ABC62CB}"/>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DBE5-4BF5-A91C-4F032ABC62CB}"/>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DBE5-4BF5-A91C-4F032ABC62CB}"/>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DBE5-4BF5-A91C-4F032ABC62CB}"/>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DBE5-4BF5-A91C-4F032ABC62CB}"/>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DBE5-4BF5-A91C-4F032ABC62CB}"/>
              </c:ext>
            </c:extLst>
          </c:dPt>
          <c:dLbls>
            <c:dLbl>
              <c:idx val="0"/>
              <c:layout>
                <c:manualLayout>
                  <c:x val="-0.3748621830209482"/>
                  <c:y val="2.6000316458371694E-3"/>
                </c:manualLayout>
              </c:layout>
              <c:numFmt formatCode="0.0%" sourceLinked="0"/>
              <c:spPr>
                <a:solidFill>
                  <a:sysClr val="window" lastClr="FFFFFF"/>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9374370265328206"/>
                      <c:h val="0.14943458154687186"/>
                    </c:manualLayout>
                  </c15:layout>
                </c:ext>
                <c:ext xmlns:c16="http://schemas.microsoft.com/office/drawing/2014/chart" uri="{C3380CC4-5D6E-409C-BE32-E72D297353CC}">
                  <c16:uniqueId val="{00000001-DBE5-4BF5-A91C-4F032ABC62CB}"/>
                </c:ext>
              </c:extLst>
            </c:dLbl>
            <c:dLbl>
              <c:idx val="1"/>
              <c:layout>
                <c:manualLayout>
                  <c:x val="-0.23814773980154355"/>
                  <c:y val="-0.1729686573347682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BE5-4BF5-A91C-4F032ABC62CB}"/>
                </c:ext>
              </c:extLst>
            </c:dLbl>
            <c:dLbl>
              <c:idx val="2"/>
              <c:layout>
                <c:manualLayout>
                  <c:x val="-2.8665931642778392E-2"/>
                  <c:y val="-0.146527956439867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BE5-4BF5-A91C-4F032ABC62CB}"/>
                </c:ext>
              </c:extLst>
            </c:dLbl>
            <c:dLbl>
              <c:idx val="3"/>
              <c:layout>
                <c:manualLayout>
                  <c:x val="0.16758544652701213"/>
                  <c:y val="-0.15142533092245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BE5-4BF5-A91C-4F032ABC62CB}"/>
                </c:ext>
              </c:extLst>
            </c:dLbl>
            <c:dLbl>
              <c:idx val="4"/>
              <c:layout>
                <c:manualLayout>
                  <c:x val="0.23153252480705638"/>
                  <c:y val="-9.22659430122116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E5-4BF5-A91C-4F032ABC62CB}"/>
                </c:ext>
              </c:extLst>
            </c:dLbl>
            <c:dLbl>
              <c:idx val="5"/>
              <c:layout>
                <c:manualLayout>
                  <c:x val="0.19184123484013213"/>
                  <c:y val="-1.89959294436906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BE5-4BF5-A91C-4F032ABC62CB}"/>
                </c:ext>
              </c:extLst>
            </c:dLbl>
            <c:dLbl>
              <c:idx val="6"/>
              <c:layout>
                <c:manualLayout>
                  <c:x val="0.13230429988974626"/>
                  <c:y val="2.71370420624151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BE5-4BF5-A91C-4F032ABC62CB}"/>
                </c:ext>
              </c:extLst>
            </c:dLbl>
            <c:dLbl>
              <c:idx val="7"/>
              <c:layout>
                <c:manualLayout>
                  <c:x val="9.2613009922822495E-2"/>
                  <c:y val="8.70791979350486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BE5-4BF5-A91C-4F032ABC62CB}"/>
                </c:ext>
              </c:extLst>
            </c:dLbl>
            <c:dLbl>
              <c:idx val="8"/>
              <c:layout>
                <c:manualLayout>
                  <c:x val="0.10584343991179714"/>
                  <c:y val="0.1194029850746267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BE5-4BF5-A91C-4F032ABC62CB}"/>
                </c:ext>
              </c:extLst>
            </c:dLbl>
            <c:dLbl>
              <c:idx val="9"/>
              <c:layout>
                <c:manualLayout>
                  <c:x val="2.6460859977949284E-2"/>
                  <c:y val="-2.8674510486005172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BE5-4BF5-A91C-4F032ABC62CB}"/>
                </c:ext>
              </c:extLst>
            </c:dLbl>
            <c:dLbl>
              <c:idx val="10"/>
              <c:layout>
                <c:manualLayout>
                  <c:x val="-7.497243660418966E-2"/>
                  <c:y val="0.11126187245590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BE5-4BF5-A91C-4F032ABC62CB}"/>
                </c:ext>
              </c:extLst>
            </c:dLbl>
            <c:dLbl>
              <c:idx val="11"/>
              <c:layout>
                <c:manualLayout>
                  <c:x val="-8.5997794928335175E-2"/>
                  <c:y val="2.43098006674614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BE5-4BF5-A91C-4F032ABC62CB}"/>
                </c:ext>
              </c:extLst>
            </c:dLbl>
            <c:numFmt formatCode="0.0%" sourceLinked="0"/>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6350" cap="flat" cmpd="sng" algn="ctr">
                  <a:solidFill>
                    <a:sysClr val="windowText" lastClr="000000">
                      <a:lumMod val="50000"/>
                      <a:lumOff val="50000"/>
                    </a:sysClr>
                  </a:solidFill>
                  <a:round/>
                </a:ln>
                <a:effectLst/>
              </c:spPr>
            </c:leaderLines>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Arkusz2!$A$25:$A$36</c:f>
              <c:strCache>
                <c:ptCount val="12"/>
                <c:pt idx="0">
                  <c:v>50.3 transport wodny pasażerski śródlądowy</c:v>
                </c:pt>
                <c:pt idx="1">
                  <c:v>własne obiekty a</c:v>
                </c:pt>
                <c:pt idx="2">
                  <c:v>50.1 Transport wodny pasażerski morski</c:v>
                </c:pt>
                <c:pt idx="3">
                  <c:v>91. biblioteki,  muzea  (…)  związane z kulturą </c:v>
                </c:pt>
                <c:pt idx="4">
                  <c:v>79.Działalność (…) z turystyką</c:v>
                </c:pt>
                <c:pt idx="5">
                  <c:v>49.1 Transport kolejowy pasaż.</c:v>
                </c:pt>
                <c:pt idx="6">
                  <c:v>77.11 Wynajem (…) samo-chodów (…)</c:v>
                </c:pt>
                <c:pt idx="7">
                  <c:v>51.1 Transport lotniczy pasaż.</c:v>
                </c:pt>
                <c:pt idx="8">
                  <c:v>93. Dz.  sportowa rozrywkowa i rekreacyjna </c:v>
                </c:pt>
                <c:pt idx="9">
                  <c:v>49.3 Pozostały transport lądowy pasaż.</c:v>
                </c:pt>
                <c:pt idx="10">
                  <c:v>55. Zakwaterowanie</c:v>
                </c:pt>
                <c:pt idx="11">
                  <c:v>56. Gastronomia</c:v>
                </c:pt>
              </c:strCache>
            </c:strRef>
          </c:cat>
          <c:val>
            <c:numRef>
              <c:f>Arkusz2!$B$25:$B$36</c:f>
              <c:numCache>
                <c:formatCode>#\ ##0.0</c:formatCode>
                <c:ptCount val="12"/>
                <c:pt idx="0" formatCode="0.0">
                  <c:v>228.49302325581397</c:v>
                </c:pt>
                <c:pt idx="1">
                  <c:v>445.8</c:v>
                </c:pt>
                <c:pt idx="2" formatCode="0.0">
                  <c:v>453.42360000000002</c:v>
                </c:pt>
                <c:pt idx="3" formatCode="0.0">
                  <c:v>3102.991</c:v>
                </c:pt>
                <c:pt idx="4" formatCode="0.0">
                  <c:v>5428.2</c:v>
                </c:pt>
                <c:pt idx="5" formatCode="0.0">
                  <c:v>5773.4802</c:v>
                </c:pt>
                <c:pt idx="6" formatCode="0.0">
                  <c:v>7507.9106999999995</c:v>
                </c:pt>
                <c:pt idx="7" formatCode="0.0">
                  <c:v>8409.4</c:v>
                </c:pt>
                <c:pt idx="8">
                  <c:v>14896.707</c:v>
                </c:pt>
                <c:pt idx="9" formatCode="0.0">
                  <c:v>18430.135200000001</c:v>
                </c:pt>
                <c:pt idx="10">
                  <c:v>18707.62</c:v>
                </c:pt>
                <c:pt idx="11" formatCode="0.0">
                  <c:v>38008.531000000003</c:v>
                </c:pt>
              </c:numCache>
            </c:numRef>
          </c:val>
          <c:extLst>
            <c:ext xmlns:c16="http://schemas.microsoft.com/office/drawing/2014/chart" uri="{C3380CC4-5D6E-409C-BE32-E72D297353CC}">
              <c16:uniqueId val="{00000018-DBE5-4BF5-A91C-4F032ABC62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Arkusz1!$A$3</c:f>
              <c:strCache>
                <c:ptCount val="1"/>
                <c:pt idx="0">
                  <c:v>2018</c:v>
                </c:pt>
              </c:strCache>
            </c:strRef>
          </c:tx>
          <c:spPr>
            <a:solidFill>
              <a:srgbClr val="5B9BD5">
                <a:lumMod val="60000"/>
                <a:lumOff val="40000"/>
              </a:srgbClr>
            </a:solidFill>
            <a:ln>
              <a:noFill/>
            </a:ln>
            <a:effectLst/>
          </c:spPr>
          <c:invertIfNegative val="0"/>
          <c:cat>
            <c:strRef>
              <c:f>Arkusz1!$B$2:$D$2</c:f>
              <c:strCache>
                <c:ptCount val="3"/>
                <c:pt idx="0">
                  <c:v>Producja globalna CRDT</c:v>
                </c:pt>
                <c:pt idx="1">
                  <c:v>Pierwszorzędna produkcja CPT w CRDT</c:v>
                </c:pt>
                <c:pt idx="2">
                  <c:v>Krajowa podaż CPT</c:v>
                </c:pt>
              </c:strCache>
            </c:strRef>
          </c:cat>
          <c:val>
            <c:numRef>
              <c:f>Arkusz1!$B$3:$D$3</c:f>
              <c:numCache>
                <c:formatCode>0.0</c:formatCode>
                <c:ptCount val="3"/>
                <c:pt idx="0">
                  <c:v>121392.69172325582</c:v>
                </c:pt>
                <c:pt idx="1">
                  <c:v>114768.26689999999</c:v>
                </c:pt>
                <c:pt idx="2">
                  <c:v>125022.67675028047</c:v>
                </c:pt>
              </c:numCache>
            </c:numRef>
          </c:val>
          <c:extLst>
            <c:ext xmlns:c16="http://schemas.microsoft.com/office/drawing/2014/chart" uri="{C3380CC4-5D6E-409C-BE32-E72D297353CC}">
              <c16:uniqueId val="{00000000-F0BC-4569-9C5C-6D7718A54416}"/>
            </c:ext>
          </c:extLst>
        </c:ser>
        <c:ser>
          <c:idx val="1"/>
          <c:order val="1"/>
          <c:tx>
            <c:strRef>
              <c:f>Arkusz1!$A$4</c:f>
              <c:strCache>
                <c:ptCount val="1"/>
                <c:pt idx="0">
                  <c:v>2019</c:v>
                </c:pt>
              </c:strCache>
            </c:strRef>
          </c:tx>
          <c:spPr>
            <a:solidFill>
              <a:srgbClr val="4472C4">
                <a:lumMod val="75000"/>
              </a:srgbClr>
            </a:solidFill>
            <a:ln>
              <a:noFill/>
            </a:ln>
            <a:effectLst/>
          </c:spPr>
          <c:invertIfNegative val="0"/>
          <c:cat>
            <c:strRef>
              <c:f>Arkusz1!$B$2:$D$2</c:f>
              <c:strCache>
                <c:ptCount val="3"/>
                <c:pt idx="0">
                  <c:v>Producja globalna CRDT</c:v>
                </c:pt>
                <c:pt idx="1">
                  <c:v>Pierwszorzędna produkcja CPT w CRDT</c:v>
                </c:pt>
                <c:pt idx="2">
                  <c:v>Krajowa podaż CPT</c:v>
                </c:pt>
              </c:strCache>
            </c:strRef>
          </c:cat>
          <c:val>
            <c:numRef>
              <c:f>Arkusz1!$B$4:$D$4</c:f>
              <c:numCache>
                <c:formatCode>0.0</c:formatCode>
                <c:ptCount val="3"/>
                <c:pt idx="0">
                  <c:v>134686.57094792303</c:v>
                </c:pt>
                <c:pt idx="1">
                  <c:v>120643.00690183968</c:v>
                </c:pt>
                <c:pt idx="2">
                  <c:v>137406.55526486249</c:v>
                </c:pt>
              </c:numCache>
            </c:numRef>
          </c:val>
          <c:extLst>
            <c:ext xmlns:c16="http://schemas.microsoft.com/office/drawing/2014/chart" uri="{C3380CC4-5D6E-409C-BE32-E72D297353CC}">
              <c16:uniqueId val="{00000001-F0BC-4569-9C5C-6D7718A54416}"/>
            </c:ext>
          </c:extLst>
        </c:ser>
        <c:dLbls>
          <c:showLegendKey val="0"/>
          <c:showVal val="0"/>
          <c:showCatName val="0"/>
          <c:showSerName val="0"/>
          <c:showPercent val="0"/>
          <c:showBubbleSize val="0"/>
        </c:dLbls>
        <c:gapWidth val="219"/>
        <c:overlap val="-27"/>
        <c:axId val="2078330703"/>
        <c:axId val="2078331535"/>
      </c:barChart>
      <c:lineChart>
        <c:grouping val="standard"/>
        <c:varyColors val="0"/>
        <c:ser>
          <c:idx val="2"/>
          <c:order val="2"/>
          <c:tx>
            <c:strRef>
              <c:f>Arkusz1!$A$5</c:f>
              <c:strCache>
                <c:ptCount val="1"/>
                <c:pt idx="0">
                  <c:v>2019/2018</c:v>
                </c:pt>
              </c:strCache>
            </c:strRef>
          </c:tx>
          <c:spPr>
            <a:ln w="28575" cap="rnd">
              <a:solidFill>
                <a:schemeClr val="accent3"/>
              </a:solidFill>
              <a:round/>
            </a:ln>
            <a:effectLst/>
          </c:spPr>
          <c:marker>
            <c:symbol val="none"/>
          </c:marker>
          <c:cat>
            <c:strRef>
              <c:f>Arkusz1!$B$2:$D$2</c:f>
              <c:strCache>
                <c:ptCount val="3"/>
                <c:pt idx="0">
                  <c:v>Producja globalna CRDT</c:v>
                </c:pt>
                <c:pt idx="1">
                  <c:v>Pierwszorzędna produkcja CPT w CRDT</c:v>
                </c:pt>
                <c:pt idx="2">
                  <c:v>Krajowa podaż CPT</c:v>
                </c:pt>
              </c:strCache>
            </c:strRef>
          </c:cat>
          <c:val>
            <c:numRef>
              <c:f>Arkusz1!$B$5:$D$5</c:f>
              <c:numCache>
                <c:formatCode>0.0%</c:formatCode>
                <c:ptCount val="3"/>
                <c:pt idx="0">
                  <c:v>1.109511363789295</c:v>
                </c:pt>
                <c:pt idx="1">
                  <c:v>1.0511878427767709</c:v>
                </c:pt>
                <c:pt idx="2">
                  <c:v>1.0990530585048783</c:v>
                </c:pt>
              </c:numCache>
            </c:numRef>
          </c:val>
          <c:smooth val="0"/>
          <c:extLst>
            <c:ext xmlns:c16="http://schemas.microsoft.com/office/drawing/2014/chart" uri="{C3380CC4-5D6E-409C-BE32-E72D297353CC}">
              <c16:uniqueId val="{00000002-F0BC-4569-9C5C-6D7718A54416}"/>
            </c:ext>
          </c:extLst>
        </c:ser>
        <c:dLbls>
          <c:showLegendKey val="0"/>
          <c:showVal val="0"/>
          <c:showCatName val="0"/>
          <c:showSerName val="0"/>
          <c:showPercent val="0"/>
          <c:showBubbleSize val="0"/>
        </c:dLbls>
        <c:marker val="1"/>
        <c:smooth val="0"/>
        <c:axId val="2078332367"/>
        <c:axId val="2078331951"/>
      </c:lineChart>
      <c:catAx>
        <c:axId val="2078330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1535"/>
        <c:crosses val="autoZero"/>
        <c:auto val="1"/>
        <c:lblAlgn val="ctr"/>
        <c:lblOffset val="100"/>
        <c:noMultiLvlLbl val="0"/>
      </c:catAx>
      <c:valAx>
        <c:axId val="2078331535"/>
        <c:scaling>
          <c:orientation val="minMax"/>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0703"/>
        <c:crosses val="autoZero"/>
        <c:crossBetween val="between"/>
        <c:majorUnit val="10000"/>
      </c:valAx>
      <c:valAx>
        <c:axId val="2078331951"/>
        <c:scaling>
          <c:orientation val="minMax"/>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78332367"/>
        <c:crosses val="max"/>
        <c:crossBetween val="between"/>
        <c:majorUnit val="2.0000000000000004E-2"/>
      </c:valAx>
      <c:catAx>
        <c:axId val="2078332367"/>
        <c:scaling>
          <c:orientation val="minMax"/>
        </c:scaling>
        <c:delete val="1"/>
        <c:axPos val="b"/>
        <c:numFmt formatCode="General" sourceLinked="1"/>
        <c:majorTickMark val="none"/>
        <c:minorTickMark val="none"/>
        <c:tickLblPos val="nextTo"/>
        <c:crossAx val="20783319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047848185643461"/>
          <c:y val="3.3670033670033669E-2"/>
          <c:w val="0.52489515199488956"/>
          <c:h val="0.88457514780349422"/>
        </c:manualLayout>
      </c:layout>
      <c:barChart>
        <c:barDir val="bar"/>
        <c:grouping val="clustered"/>
        <c:varyColors val="0"/>
        <c:ser>
          <c:idx val="0"/>
          <c:order val="0"/>
          <c:tx>
            <c:strRef>
              <c:f>Arkusz5!$B$1</c:f>
              <c:strCache>
                <c:ptCount val="1"/>
                <c:pt idx="0">
                  <c:v>2018</c:v>
                </c:pt>
              </c:strCache>
            </c:strRef>
          </c:tx>
          <c:spPr>
            <a:solidFill>
              <a:srgbClr val="5B9BD5">
                <a:lumMod val="60000"/>
                <a:lumOff val="40000"/>
              </a:srgbClr>
            </a:solidFill>
            <a:ln>
              <a:noFill/>
            </a:ln>
            <a:effectLst/>
          </c:spPr>
          <c:invertIfNegative val="0"/>
          <c:cat>
            <c:strRef>
              <c:f>Arkusz5!$A$2:$A$13</c:f>
              <c:strCache>
                <c:ptCount val="12"/>
                <c:pt idx="0">
                  <c:v>55 Usługi związane z zakwaterowaniem</c:v>
                </c:pt>
                <c:pt idx="1">
                  <c:v>własne obiekty</c:v>
                </c:pt>
                <c:pt idx="2">
                  <c:v>56 Usługi w zakresie wyżywienia</c:v>
                </c:pt>
                <c:pt idx="3">
                  <c:v>49.1 Usługi w zakresie pasażerskiego międzymiastowego pasażerskiego transportu kolejowego</c:v>
                </c:pt>
                <c:pt idx="4">
                  <c:v>49.3 Usługi pasażerskiego transportu lądowego pozostałe</c:v>
                </c:pt>
                <c:pt idx="5">
                  <c:v>50.1 Usługi morskiego pasażerskiego transportu wodnego </c:v>
                </c:pt>
                <c:pt idx="6">
                  <c:v>50.3 Usługiwodnego pasazerskiego transportu sródlądowego</c:v>
                </c:pt>
                <c:pt idx="7">
                  <c:v>51.1 Usługi transportu lotniczego pasażerskiego</c:v>
                </c:pt>
                <c:pt idx="8">
                  <c:v>77.11 Usługi wynajmu samochodów osobowych i furgonetek </c:v>
                </c:pt>
                <c:pt idx="9">
                  <c:v>79 Usługi świadczone przez organizatorów…</c:v>
                </c:pt>
                <c:pt idx="10">
                  <c:v>91 Usługi bibliotek…</c:v>
                </c:pt>
                <c:pt idx="11">
                  <c:v>93 Usługi sportowe…</c:v>
                </c:pt>
              </c:strCache>
            </c:strRef>
          </c:cat>
          <c:val>
            <c:numRef>
              <c:f>Arkusz5!$B$2:$B$13</c:f>
              <c:numCache>
                <c:formatCode>0.000</c:formatCode>
                <c:ptCount val="12"/>
                <c:pt idx="0">
                  <c:v>0.86699999999999999</c:v>
                </c:pt>
                <c:pt idx="1">
                  <c:v>1</c:v>
                </c:pt>
                <c:pt idx="2">
                  <c:v>0.36</c:v>
                </c:pt>
                <c:pt idx="3">
                  <c:v>0.78200000000000003</c:v>
                </c:pt>
                <c:pt idx="4">
                  <c:v>0.17</c:v>
                </c:pt>
                <c:pt idx="5">
                  <c:v>0.88300000000000001</c:v>
                </c:pt>
                <c:pt idx="6">
                  <c:v>0</c:v>
                </c:pt>
                <c:pt idx="7">
                  <c:v>0.86199999999999999</c:v>
                </c:pt>
                <c:pt idx="8">
                  <c:v>0</c:v>
                </c:pt>
                <c:pt idx="9">
                  <c:v>0.68600000000000005</c:v>
                </c:pt>
                <c:pt idx="10">
                  <c:v>0.17499999999999999</c:v>
                </c:pt>
                <c:pt idx="11">
                  <c:v>0.17499999999999999</c:v>
                </c:pt>
              </c:numCache>
            </c:numRef>
          </c:val>
          <c:extLst>
            <c:ext xmlns:c16="http://schemas.microsoft.com/office/drawing/2014/chart" uri="{C3380CC4-5D6E-409C-BE32-E72D297353CC}">
              <c16:uniqueId val="{00000000-EAC9-4795-8E39-65D931F721D7}"/>
            </c:ext>
          </c:extLst>
        </c:ser>
        <c:ser>
          <c:idx val="1"/>
          <c:order val="1"/>
          <c:tx>
            <c:strRef>
              <c:f>Arkusz5!$C$1</c:f>
              <c:strCache>
                <c:ptCount val="1"/>
                <c:pt idx="0">
                  <c:v>2019</c:v>
                </c:pt>
              </c:strCache>
            </c:strRef>
          </c:tx>
          <c:spPr>
            <a:solidFill>
              <a:srgbClr val="4472C4">
                <a:lumMod val="75000"/>
              </a:srgbClr>
            </a:solidFill>
            <a:ln>
              <a:noFill/>
            </a:ln>
            <a:effectLst/>
          </c:spPr>
          <c:invertIfNegative val="0"/>
          <c:cat>
            <c:strRef>
              <c:f>Arkusz5!$A$2:$A$13</c:f>
              <c:strCache>
                <c:ptCount val="12"/>
                <c:pt idx="0">
                  <c:v>55 Usługi związane z zakwaterowaniem</c:v>
                </c:pt>
                <c:pt idx="1">
                  <c:v>własne obiekty</c:v>
                </c:pt>
                <c:pt idx="2">
                  <c:v>56 Usługi w zakresie wyżywienia</c:v>
                </c:pt>
                <c:pt idx="3">
                  <c:v>49.1 Usługi w zakresie pasażerskiego międzymiastowego pasażerskiego transportu kolejowego</c:v>
                </c:pt>
                <c:pt idx="4">
                  <c:v>49.3 Usługi pasażerskiego transportu lądowego pozostałe</c:v>
                </c:pt>
                <c:pt idx="5">
                  <c:v>50.1 Usługi morskiego pasażerskiego transportu wodnego </c:v>
                </c:pt>
                <c:pt idx="6">
                  <c:v>50.3 Usługiwodnego pasazerskiego transportu sródlądowego</c:v>
                </c:pt>
                <c:pt idx="7">
                  <c:v>51.1 Usługi transportu lotniczego pasażerskiego</c:v>
                </c:pt>
                <c:pt idx="8">
                  <c:v>77.11 Usługi wynajmu samochodów osobowych i furgonetek </c:v>
                </c:pt>
                <c:pt idx="9">
                  <c:v>79 Usługi świadczone przez organizatorów…</c:v>
                </c:pt>
                <c:pt idx="10">
                  <c:v>91 Usługi bibliotek…</c:v>
                </c:pt>
                <c:pt idx="11">
                  <c:v>93 Usługi sportowe…</c:v>
                </c:pt>
              </c:strCache>
            </c:strRef>
          </c:cat>
          <c:val>
            <c:numRef>
              <c:f>Arkusz5!$C$2:$C$13</c:f>
              <c:numCache>
                <c:formatCode>0.000</c:formatCode>
                <c:ptCount val="12"/>
                <c:pt idx="0">
                  <c:v>0.90700000000000003</c:v>
                </c:pt>
                <c:pt idx="1">
                  <c:v>1</c:v>
                </c:pt>
                <c:pt idx="2">
                  <c:v>0.33500000000000002</c:v>
                </c:pt>
                <c:pt idx="3">
                  <c:v>0.80400000000000005</c:v>
                </c:pt>
                <c:pt idx="4">
                  <c:v>0.21</c:v>
                </c:pt>
                <c:pt idx="5">
                  <c:v>0.84899999999999998</c:v>
                </c:pt>
                <c:pt idx="6">
                  <c:v>0</c:v>
                </c:pt>
                <c:pt idx="7">
                  <c:v>0.92700000000000005</c:v>
                </c:pt>
                <c:pt idx="8">
                  <c:v>0</c:v>
                </c:pt>
                <c:pt idx="9">
                  <c:v>0.69299999999999995</c:v>
                </c:pt>
                <c:pt idx="10">
                  <c:v>0.17100000000000001</c:v>
                </c:pt>
                <c:pt idx="11">
                  <c:v>0.17100000000000001</c:v>
                </c:pt>
              </c:numCache>
            </c:numRef>
          </c:val>
          <c:extLst>
            <c:ext xmlns:c16="http://schemas.microsoft.com/office/drawing/2014/chart" uri="{C3380CC4-5D6E-409C-BE32-E72D297353CC}">
              <c16:uniqueId val="{00000001-EAC9-4795-8E39-65D931F721D7}"/>
            </c:ext>
          </c:extLst>
        </c:ser>
        <c:dLbls>
          <c:showLegendKey val="0"/>
          <c:showVal val="0"/>
          <c:showCatName val="0"/>
          <c:showSerName val="0"/>
          <c:showPercent val="0"/>
          <c:showBubbleSize val="0"/>
        </c:dLbls>
        <c:gapWidth val="182"/>
        <c:axId val="229198127"/>
        <c:axId val="229198959"/>
      </c:barChart>
      <c:catAx>
        <c:axId val="22919812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9198959"/>
        <c:crosses val="autoZero"/>
        <c:auto val="1"/>
        <c:lblAlgn val="ctr"/>
        <c:lblOffset val="100"/>
        <c:noMultiLvlLbl val="0"/>
      </c:catAx>
      <c:valAx>
        <c:axId val="229198959"/>
        <c:scaling>
          <c:orientation val="minMax"/>
          <c:max val="1"/>
        </c:scaling>
        <c:delete val="0"/>
        <c:axPos val="t"/>
        <c:majorGridlines>
          <c:spPr>
            <a:ln w="6350"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29198127"/>
        <c:crosses val="autoZero"/>
        <c:crossBetween val="between"/>
      </c:valAx>
      <c:spPr>
        <a:noFill/>
        <a:ln>
          <a:noFill/>
        </a:ln>
        <a:effectLst/>
      </c:spPr>
    </c:plotArea>
    <c:legend>
      <c:legendPos val="b"/>
      <c:layout>
        <c:manualLayout>
          <c:xMode val="edge"/>
          <c:yMode val="edge"/>
          <c:x val="0.8973725506533905"/>
          <c:y val="0.74452822185105649"/>
          <c:w val="7.8270771709091913E-2"/>
          <c:h val="0.2049667276438930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9321716400104"/>
          <c:y val="0.21455202961720871"/>
          <c:w val="0.4556024458950772"/>
          <c:h val="0.64614304546120316"/>
        </c:manualLayout>
      </c:layout>
      <c:pieChart>
        <c:varyColors val="1"/>
        <c:ser>
          <c:idx val="0"/>
          <c:order val="0"/>
          <c:dPt>
            <c:idx val="0"/>
            <c:bubble3D val="0"/>
            <c:extLst>
              <c:ext xmlns:c16="http://schemas.microsoft.com/office/drawing/2014/chart" uri="{C3380CC4-5D6E-409C-BE32-E72D297353CC}">
                <c16:uniqueId val="{00000000-DC31-464B-B500-39D6E2A0EC63}"/>
              </c:ext>
            </c:extLst>
          </c:dPt>
          <c:dPt>
            <c:idx val="1"/>
            <c:bubble3D val="0"/>
            <c:extLst>
              <c:ext xmlns:c16="http://schemas.microsoft.com/office/drawing/2014/chart" uri="{C3380CC4-5D6E-409C-BE32-E72D297353CC}">
                <c16:uniqueId val="{00000001-DC31-464B-B500-39D6E2A0EC63}"/>
              </c:ext>
            </c:extLst>
          </c:dPt>
          <c:dPt>
            <c:idx val="2"/>
            <c:bubble3D val="0"/>
            <c:extLst>
              <c:ext xmlns:c16="http://schemas.microsoft.com/office/drawing/2014/chart" uri="{C3380CC4-5D6E-409C-BE32-E72D297353CC}">
                <c16:uniqueId val="{00000002-DC31-464B-B500-39D6E2A0EC63}"/>
              </c:ext>
            </c:extLst>
          </c:dPt>
          <c:dLbls>
            <c:dLbl>
              <c:idx val="0"/>
              <c:layout>
                <c:manualLayout>
                  <c:x val="-6.8268071220827162E-3"/>
                  <c:y val="0.34515876951149366"/>
                </c:manualLayout>
              </c:layout>
              <c:spPr/>
              <c:txPr>
                <a:bodyPr/>
                <a:lstStyle/>
                <a:p>
                  <a:pPr>
                    <a:defRPr sz="900"/>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7600730651911753"/>
                      <c:h val="0.31302326503897343"/>
                    </c:manualLayout>
                  </c15:layout>
                </c:ext>
                <c:ext xmlns:c16="http://schemas.microsoft.com/office/drawing/2014/chart" uri="{C3380CC4-5D6E-409C-BE32-E72D297353CC}">
                  <c16:uniqueId val="{00000000-DC31-464B-B500-39D6E2A0EC63}"/>
                </c:ext>
              </c:extLst>
            </c:dLbl>
            <c:dLbl>
              <c:idx val="1"/>
              <c:layout>
                <c:manualLayout>
                  <c:x val="-2.1000922182024543E-2"/>
                  <c:y val="9.2156726630833616E-2"/>
                </c:manualLayout>
              </c:layout>
              <c:spPr/>
              <c:txPr>
                <a:bodyPr/>
                <a:lstStyle/>
                <a:p>
                  <a:pPr>
                    <a:defRPr sz="900"/>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4916310461192351"/>
                      <c:h val="0.24385882352941177"/>
                    </c:manualLayout>
                  </c15:layout>
                </c:ext>
                <c:ext xmlns:c16="http://schemas.microsoft.com/office/drawing/2014/chart" uri="{C3380CC4-5D6E-409C-BE32-E72D297353CC}">
                  <c16:uniqueId val="{00000001-DC31-464B-B500-39D6E2A0EC63}"/>
                </c:ext>
              </c:extLst>
            </c:dLbl>
            <c:dLbl>
              <c:idx val="2"/>
              <c:layout>
                <c:manualLayout>
                  <c:x val="-0.15626338937362561"/>
                  <c:y val="0"/>
                </c:manualLayout>
              </c:layout>
              <c:spPr>
                <a:noFill/>
                <a:ln w="25400">
                  <a:noFill/>
                </a:ln>
              </c:spPr>
              <c:txPr>
                <a:bodyPr wrap="square" lIns="38100" tIns="19050" rIns="38100" bIns="19050" anchor="ctr">
                  <a:noAutofit/>
                </a:bodyPr>
                <a:lstStyle/>
                <a:p>
                  <a:pPr>
                    <a:defRPr sz="900"/>
                  </a:pPr>
                  <a:endParaRPr lang="pl-PL"/>
                </a:p>
              </c:txPr>
              <c:showLegendKey val="0"/>
              <c:showVal val="0"/>
              <c:showCatName val="1"/>
              <c:showSerName val="0"/>
              <c:showPercent val="1"/>
              <c:showBubbleSize val="0"/>
              <c:extLst>
                <c:ext xmlns:c15="http://schemas.microsoft.com/office/drawing/2012/chart" uri="{CE6537A1-D6FC-4f65-9D91-7224C49458BB}">
                  <c15:layout>
                    <c:manualLayout>
                      <c:w val="0.29900723558203873"/>
                      <c:h val="0.28947103274559194"/>
                    </c:manualLayout>
                  </c15:layout>
                </c:ext>
                <c:ext xmlns:c16="http://schemas.microsoft.com/office/drawing/2014/chart" uri="{C3380CC4-5D6E-409C-BE32-E72D297353CC}">
                  <c16:uniqueId val="{00000002-DC31-464B-B500-39D6E2A0EC63}"/>
                </c:ext>
              </c:extLst>
            </c:dLbl>
            <c:spPr>
              <a:noFill/>
              <a:ln w="25400">
                <a:noFill/>
              </a:ln>
            </c:spPr>
            <c:txPr>
              <a:bodyPr wrap="square" lIns="38100" tIns="19050" rIns="38100" bIns="19050" anchor="ctr">
                <a:spAutoFit/>
              </a:bodyPr>
              <a:lstStyle/>
              <a:p>
                <a:pPr>
                  <a:defRPr sz="900"/>
                </a:pPr>
                <a:endParaRPr lang="pl-PL"/>
              </a:p>
            </c:txPr>
            <c:showLegendKey val="0"/>
            <c:showVal val="0"/>
            <c:showCatName val="1"/>
            <c:showSerName val="0"/>
            <c:showPercent val="1"/>
            <c:showBubbleSize val="0"/>
            <c:showLeaderLines val="0"/>
            <c:extLst>
              <c:ext xmlns:c15="http://schemas.microsoft.com/office/drawing/2012/chart" uri="{CE6537A1-D6FC-4f65-9D91-7224C49458BB}"/>
            </c:extLst>
          </c:dLbls>
          <c:cat>
            <c:strRef>
              <c:f>'2019'!$A$4:$A$6</c:f>
              <c:strCache>
                <c:ptCount val="3"/>
                <c:pt idx="0">
                  <c:v>Spożycie nierezydentów</c:v>
                </c:pt>
                <c:pt idx="1">
                  <c:v>Spożycie rezydentów</c:v>
                </c:pt>
                <c:pt idx="2">
                  <c:v>Inne składowe spożycia turystycznego</c:v>
                </c:pt>
              </c:strCache>
            </c:strRef>
          </c:cat>
          <c:val>
            <c:numRef>
              <c:f>'2019'!$B$4:$B$6</c:f>
              <c:numCache>
                <c:formatCode>#,##0</c:formatCode>
                <c:ptCount val="3"/>
                <c:pt idx="0">
                  <c:v>50839600</c:v>
                </c:pt>
                <c:pt idx="1">
                  <c:v>59701100</c:v>
                </c:pt>
                <c:pt idx="2">
                  <c:v>5793200</c:v>
                </c:pt>
              </c:numCache>
            </c:numRef>
          </c:val>
          <c:extLst>
            <c:ext xmlns:c16="http://schemas.microsoft.com/office/drawing/2014/chart" uri="{C3380CC4-5D6E-409C-BE32-E72D297353CC}">
              <c16:uniqueId val="{00000003-DC31-464B-B500-39D6E2A0EC63}"/>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17766313693545"/>
          <c:y val="3.5324341682723186E-2"/>
          <c:w val="0.59447171689745681"/>
          <c:h val="0.88027880185497032"/>
        </c:manualLayout>
      </c:layout>
      <c:barChart>
        <c:barDir val="bar"/>
        <c:grouping val="clustered"/>
        <c:varyColors val="0"/>
        <c:ser>
          <c:idx val="0"/>
          <c:order val="0"/>
          <c:tx>
            <c:strRef>
              <c:f>'wartość dodana 3.5'!$B$6</c:f>
              <c:strCache>
                <c:ptCount val="1"/>
                <c:pt idx="0">
                  <c:v>2018</c:v>
                </c:pt>
              </c:strCache>
            </c:strRef>
          </c:tx>
          <c:spPr>
            <a:solidFill>
              <a:srgbClr val="5B9BD5">
                <a:lumMod val="60000"/>
                <a:lumOff val="40000"/>
              </a:srgbClr>
            </a:solidFill>
            <a:ln>
              <a:noFill/>
            </a:ln>
            <a:effectLst/>
          </c:spPr>
          <c:invertIfNegative val="0"/>
          <c:dPt>
            <c:idx val="6"/>
            <c:invertIfNegative val="0"/>
            <c:bubble3D val="0"/>
            <c:spPr>
              <a:solidFill>
                <a:srgbClr val="5B9BD5">
                  <a:lumMod val="60000"/>
                  <a:lumOff val="40000"/>
                </a:srgbClr>
              </a:solidFill>
              <a:ln>
                <a:noFill/>
              </a:ln>
              <a:effectLst/>
            </c:spPr>
            <c:extLst>
              <c:ext xmlns:c16="http://schemas.microsoft.com/office/drawing/2014/chart" uri="{C3380CC4-5D6E-409C-BE32-E72D297353CC}">
                <c16:uniqueId val="{00000001-2657-4EAD-B2D8-5F8DA1A08DD9}"/>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'wartość dodana 3.5'!$A$7:$A$23</c:f>
              <c:strCache>
                <c:ptCount val="17"/>
                <c:pt idx="0">
                  <c:v>50.1 Transport wodny pasażerski morski</c:v>
                </c:pt>
                <c:pt idx="1">
                  <c:v>51.1 Transport lotniczy pasaż.</c:v>
                </c:pt>
                <c:pt idx="2">
                  <c:v>82.3 (…)  Organizacja targów, wystaw… </c:v>
                </c:pt>
                <c:pt idx="3">
                  <c:v>50.3Transport wodny pasażerski śródlądowy</c:v>
                </c:pt>
                <c:pt idx="4">
                  <c:v>56. Gastronomia</c:v>
                </c:pt>
                <c:pt idx="5">
                  <c:v>93. Dz.  sportowa rozrywkowa i rekreacyjna </c:v>
                </c:pt>
                <c:pt idx="6">
                  <c:v>Produkcja globalna w cenach bazowych</c:v>
                </c:pt>
                <c:pt idx="7">
                  <c:v>91. Biblioteki,  muzea  (…)  związane z kulturą </c:v>
                </c:pt>
                <c:pt idx="8">
                  <c:v>79.Działalność (…) z turystyką</c:v>
                </c:pt>
                <c:pt idx="9">
                  <c:v>49.3 Pozostały transport lądowy pasaż.</c:v>
                </c:pt>
                <c:pt idx="10">
                  <c:v>77.11 Wynajem (…) samochodów (…)</c:v>
                </c:pt>
                <c:pt idx="11">
                  <c:v>49.1 Transport kolejowy pasaż.</c:v>
                </c:pt>
                <c:pt idx="12">
                  <c:v>52.23  Usługi wspomagające transport lotniczy </c:v>
                </c:pt>
                <c:pt idx="13">
                  <c:v>55. Zakwaterowanie</c:v>
                </c:pt>
                <c:pt idx="14">
                  <c:v>86 Opieka zdrowotna b</c:v>
                </c:pt>
                <c:pt idx="15">
                  <c:v>47.Handel detaliczny</c:v>
                </c:pt>
                <c:pt idx="16">
                  <c:v>własne obiekty </c:v>
                </c:pt>
              </c:strCache>
            </c:strRef>
          </c:cat>
          <c:val>
            <c:numRef>
              <c:f>'wartość dodana 3.5'!$B$7:$B$23</c:f>
              <c:numCache>
                <c:formatCode>General</c:formatCode>
                <c:ptCount val="17"/>
                <c:pt idx="0">
                  <c:v>9.7744360902255634E-2</c:v>
                </c:pt>
                <c:pt idx="1">
                  <c:v>0.24063460554372884</c:v>
                </c:pt>
                <c:pt idx="2">
                  <c:v>0.30052338342056395</c:v>
                </c:pt>
                <c:pt idx="3">
                  <c:v>0.36560310314802746</c:v>
                </c:pt>
                <c:pt idx="4">
                  <c:v>0.40060569560028508</c:v>
                </c:pt>
                <c:pt idx="5">
                  <c:v>0.36533772195425468</c:v>
                </c:pt>
                <c:pt idx="6">
                  <c:v>0.4324753515830726</c:v>
                </c:pt>
                <c:pt idx="7">
                  <c:v>0.44219399927360409</c:v>
                </c:pt>
                <c:pt idx="8">
                  <c:v>0.42674496149736563</c:v>
                </c:pt>
                <c:pt idx="9">
                  <c:v>0.37398261191268961</c:v>
                </c:pt>
                <c:pt idx="10">
                  <c:v>0.50896810080599386</c:v>
                </c:pt>
                <c:pt idx="11">
                  <c:v>0.39806613522291118</c:v>
                </c:pt>
                <c:pt idx="12">
                  <c:v>0.66990291262135926</c:v>
                </c:pt>
                <c:pt idx="13">
                  <c:v>0.49788342931917584</c:v>
                </c:pt>
                <c:pt idx="14">
                  <c:v>0.53454056249028759</c:v>
                </c:pt>
                <c:pt idx="15">
                  <c:v>0.68018582893155299</c:v>
                </c:pt>
                <c:pt idx="16">
                  <c:v>0.78727306692933452</c:v>
                </c:pt>
              </c:numCache>
            </c:numRef>
          </c:val>
          <c:extLst>
            <c:ext xmlns:c16="http://schemas.microsoft.com/office/drawing/2014/chart" uri="{C3380CC4-5D6E-409C-BE32-E72D297353CC}">
              <c16:uniqueId val="{00000002-2657-4EAD-B2D8-5F8DA1A08DD9}"/>
            </c:ext>
          </c:extLst>
        </c:ser>
        <c:ser>
          <c:idx val="1"/>
          <c:order val="1"/>
          <c:tx>
            <c:strRef>
              <c:f>'wartość dodana 3.5'!$C$6</c:f>
              <c:strCache>
                <c:ptCount val="1"/>
                <c:pt idx="0">
                  <c:v>2019</c:v>
                </c:pt>
              </c:strCache>
            </c:strRef>
          </c:tx>
          <c:spPr>
            <a:solidFill>
              <a:srgbClr val="4472C4">
                <a:lumMod val="75000"/>
              </a:srgbClr>
            </a:solidFill>
            <a:ln>
              <a:noFill/>
            </a:ln>
            <a:effectLst/>
          </c:spPr>
          <c:invertIfNegative val="0"/>
          <c:dPt>
            <c:idx val="6"/>
            <c:invertIfNegative val="0"/>
            <c:bubble3D val="0"/>
            <c:spPr>
              <a:solidFill>
                <a:srgbClr val="4472C4">
                  <a:lumMod val="75000"/>
                </a:srgbClr>
              </a:solidFill>
              <a:ln>
                <a:noFill/>
              </a:ln>
              <a:effectLst/>
            </c:spPr>
            <c:extLst>
              <c:ext xmlns:c16="http://schemas.microsoft.com/office/drawing/2014/chart" uri="{C3380CC4-5D6E-409C-BE32-E72D297353CC}">
                <c16:uniqueId val="{00000004-2657-4EAD-B2D8-5F8DA1A08DD9}"/>
              </c:ext>
            </c:extLst>
          </c:dPt>
          <c:cat>
            <c:strRef>
              <c:f>'wartość dodana 3.5'!$A$7:$A$23</c:f>
              <c:strCache>
                <c:ptCount val="17"/>
                <c:pt idx="0">
                  <c:v>50.1 Transport wodny pasażerski morski</c:v>
                </c:pt>
                <c:pt idx="1">
                  <c:v>51.1 Transport lotniczy pasaż.</c:v>
                </c:pt>
                <c:pt idx="2">
                  <c:v>82.3 (…)  Organizacja targów, wystaw… </c:v>
                </c:pt>
                <c:pt idx="3">
                  <c:v>50.3Transport wodny pasażerski śródlądowy</c:v>
                </c:pt>
                <c:pt idx="4">
                  <c:v>56. Gastronomia</c:v>
                </c:pt>
                <c:pt idx="5">
                  <c:v>93. Dz.  sportowa rozrywkowa i rekreacyjna </c:v>
                </c:pt>
                <c:pt idx="6">
                  <c:v>Produkcja globalna w cenach bazowych</c:v>
                </c:pt>
                <c:pt idx="7">
                  <c:v>91. Biblioteki,  muzea  (…)  związane z kulturą </c:v>
                </c:pt>
                <c:pt idx="8">
                  <c:v>79.Działalność (…) z turystyką</c:v>
                </c:pt>
                <c:pt idx="9">
                  <c:v>49.3 Pozostały transport lądowy pasaż.</c:v>
                </c:pt>
                <c:pt idx="10">
                  <c:v>77.11 Wynajem (…) samochodów (…)</c:v>
                </c:pt>
                <c:pt idx="11">
                  <c:v>49.1 Transport kolejowy pasaż.</c:v>
                </c:pt>
                <c:pt idx="12">
                  <c:v>52.23  Usługi wspomagające transport lotniczy </c:v>
                </c:pt>
                <c:pt idx="13">
                  <c:v>55. Zakwaterowanie</c:v>
                </c:pt>
                <c:pt idx="14">
                  <c:v>86 Opieka zdrowotna b</c:v>
                </c:pt>
                <c:pt idx="15">
                  <c:v>47.Handel detaliczny</c:v>
                </c:pt>
                <c:pt idx="16">
                  <c:v>własne obiekty </c:v>
                </c:pt>
              </c:strCache>
            </c:strRef>
          </c:cat>
          <c:val>
            <c:numRef>
              <c:f>'wartość dodana 3.5'!$C$7:$C$23</c:f>
              <c:numCache>
                <c:formatCode>General</c:formatCode>
                <c:ptCount val="17"/>
                <c:pt idx="0">
                  <c:v>-4.0109389243390983E-2</c:v>
                </c:pt>
                <c:pt idx="1">
                  <c:v>0.18178356634191928</c:v>
                </c:pt>
                <c:pt idx="2">
                  <c:v>0.2464280662045551</c:v>
                </c:pt>
                <c:pt idx="3">
                  <c:v>0.27461139896373055</c:v>
                </c:pt>
                <c:pt idx="4">
                  <c:v>0.36449194209744062</c:v>
                </c:pt>
                <c:pt idx="5">
                  <c:v>0.36762749445676274</c:v>
                </c:pt>
                <c:pt idx="6">
                  <c:v>0.43473976041822388</c:v>
                </c:pt>
                <c:pt idx="7">
                  <c:v>0.45796142585291844</c:v>
                </c:pt>
                <c:pt idx="8">
                  <c:v>0.47870412425708553</c:v>
                </c:pt>
                <c:pt idx="9">
                  <c:v>0.47925534402918746</c:v>
                </c:pt>
                <c:pt idx="10">
                  <c:v>0.48931150698122294</c:v>
                </c:pt>
                <c:pt idx="11">
                  <c:v>0.50967656415694595</c:v>
                </c:pt>
                <c:pt idx="12">
                  <c:v>0.52897512696965754</c:v>
                </c:pt>
                <c:pt idx="13">
                  <c:v>0.53667520652102174</c:v>
                </c:pt>
                <c:pt idx="14">
                  <c:v>0.55659820784975955</c:v>
                </c:pt>
                <c:pt idx="15">
                  <c:v>0.73058308722014775</c:v>
                </c:pt>
                <c:pt idx="16">
                  <c:v>0.7887614004118858</c:v>
                </c:pt>
              </c:numCache>
            </c:numRef>
          </c:val>
          <c:extLst>
            <c:ext xmlns:c16="http://schemas.microsoft.com/office/drawing/2014/chart" uri="{C3380CC4-5D6E-409C-BE32-E72D297353CC}">
              <c16:uniqueId val="{00000005-2657-4EAD-B2D8-5F8DA1A08DD9}"/>
            </c:ext>
          </c:extLst>
        </c:ser>
        <c:dLbls>
          <c:showLegendKey val="0"/>
          <c:showVal val="0"/>
          <c:showCatName val="0"/>
          <c:showSerName val="0"/>
          <c:showPercent val="0"/>
          <c:showBubbleSize val="0"/>
        </c:dLbls>
        <c:gapWidth val="182"/>
        <c:axId val="1272257344"/>
        <c:axId val="1272255680"/>
      </c:barChart>
      <c:catAx>
        <c:axId val="1272257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2255680"/>
        <c:crosses val="autoZero"/>
        <c:auto val="1"/>
        <c:lblAlgn val="ctr"/>
        <c:lblOffset val="100"/>
        <c:noMultiLvlLbl val="0"/>
      </c:catAx>
      <c:valAx>
        <c:axId val="127225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72257344"/>
        <c:crossesAt val="1"/>
        <c:crossBetween val="between"/>
      </c:valAx>
      <c:spPr>
        <a:noFill/>
        <a:ln>
          <a:noFill/>
        </a:ln>
        <a:effectLst/>
      </c:spPr>
    </c:plotArea>
    <c:legend>
      <c:legendPos val="b"/>
      <c:layout>
        <c:manualLayout>
          <c:xMode val="edge"/>
          <c:yMode val="edge"/>
          <c:x val="0.86517184800632008"/>
          <c:y val="0.58625325305970966"/>
          <c:w val="9.2033849217123723E-2"/>
          <c:h val="0.231480132902462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96954894527073"/>
          <c:y val="3.1939605110336819E-2"/>
          <c:w val="0.58342064880778788"/>
          <c:h val="0.9097753024774341"/>
        </c:manualLayout>
      </c:layout>
      <c:barChart>
        <c:barDir val="bar"/>
        <c:grouping val="clustered"/>
        <c:varyColors val="0"/>
        <c:ser>
          <c:idx val="0"/>
          <c:order val="0"/>
          <c:tx>
            <c:strRef>
              <c:f>'bezpośredni wartość dodana'!$B$1</c:f>
              <c:strCache>
                <c:ptCount val="1"/>
                <c:pt idx="0">
                  <c:v>2018</c:v>
                </c:pt>
              </c:strCache>
            </c:strRef>
          </c:tx>
          <c:spPr>
            <a:solidFill>
              <a:srgbClr val="5B9BD5">
                <a:lumMod val="60000"/>
                <a:lumOff val="40000"/>
              </a:srgbClr>
            </a:solidFill>
            <a:ln>
              <a:noFill/>
            </a:ln>
            <a:effectLst/>
          </c:spPr>
          <c:invertIfNegative val="0"/>
          <c:cat>
            <c:strRef>
              <c:f>'bezpośredni wartość dodana'!$A$2:$A$20</c:f>
              <c:strCache>
                <c:ptCount val="18"/>
                <c:pt idx="0">
                  <c:v>50.1 Usługi morskiego pasażerskiego transportu wodnego </c:v>
                </c:pt>
                <c:pt idx="1">
                  <c:v>50.3 Usługiwodnego pasazerskiego transportu sródlądowego</c:v>
                </c:pt>
                <c:pt idx="2">
                  <c:v>82.3 Usługi związane z organizacją targów, wystaw i kongresów     </c:v>
                </c:pt>
                <c:pt idx="3">
                  <c:v>91 Usługi bibliotek…</c:v>
                </c:pt>
                <c:pt idx="4">
                  <c:v>własne obiekty</c:v>
                </c:pt>
                <c:pt idx="5">
                  <c:v>47 Usługi handlu detalicznego w zakresie sprzedaży paliw</c:v>
                </c:pt>
                <c:pt idx="6">
                  <c:v>86 Usługi opieki zdrowotnej</c:v>
                </c:pt>
                <c:pt idx="7">
                  <c:v>52.23 Usługi wspomagające transport lotniczy</c:v>
                </c:pt>
                <c:pt idx="8">
                  <c:v>47 Usługi handlu detalicznego w zakresie artykułow spo zywczych, odzieży…</c:v>
                </c:pt>
                <c:pt idx="9">
                  <c:v>93 Usługi sportowe…</c:v>
                </c:pt>
                <c:pt idx="10">
                  <c:v>51.1 Usługi transportu lotniczego pasażerskiego</c:v>
                </c:pt>
                <c:pt idx="11">
                  <c:v>49.3 Usługi pasażerskiego transportu lądowego pozostałe</c:v>
                </c:pt>
                <c:pt idx="12">
                  <c:v>Drugorzędna produkcja usług turystycznych</c:v>
                </c:pt>
                <c:pt idx="13">
                  <c:v>79 Usługi świadczone przez organizatorów…</c:v>
                </c:pt>
                <c:pt idx="14">
                  <c:v>49.1 Usługi w zakresie pasażerskiego międzymiastowego pasażerskiego transportu kolejowego</c:v>
                </c:pt>
                <c:pt idx="15">
                  <c:v>56 Usługi w zakresie wyżywienia</c:v>
                </c:pt>
                <c:pt idx="16">
                  <c:v>Pozostałe produkty</c:v>
                </c:pt>
                <c:pt idx="17">
                  <c:v>55 Usługi związane z zakwaterowaniem</c:v>
                </c:pt>
              </c:strCache>
            </c:strRef>
          </c:cat>
          <c:val>
            <c:numRef>
              <c:f>'bezpośredni wartość dodana'!$B$2:$B$20</c:f>
              <c:numCache>
                <c:formatCode>0.0</c:formatCode>
                <c:ptCount val="19"/>
                <c:pt idx="0">
                  <c:v>39.134206800000001</c:v>
                </c:pt>
                <c:pt idx="1">
                  <c:v>0</c:v>
                </c:pt>
                <c:pt idx="2">
                  <c:v>59.166665999999999</c:v>
                </c:pt>
                <c:pt idx="3">
                  <c:v>240.12169999999998</c:v>
                </c:pt>
                <c:pt idx="4">
                  <c:v>350.96633323709733</c:v>
                </c:pt>
                <c:pt idx="5">
                  <c:v>305.74698010343923</c:v>
                </c:pt>
                <c:pt idx="6">
                  <c:v>578.90742917698151</c:v>
                </c:pt>
                <c:pt idx="7">
                  <c:v>1192.6404359999999</c:v>
                </c:pt>
                <c:pt idx="8">
                  <c:v>896.06554328735717</c:v>
                </c:pt>
                <c:pt idx="9">
                  <c:v>952.40757499999984</c:v>
                </c:pt>
                <c:pt idx="10">
                  <c:v>1744.3368659028315</c:v>
                </c:pt>
                <c:pt idx="11">
                  <c:v>1171.7335170000001</c:v>
                </c:pt>
                <c:pt idx="12">
                  <c:v>1115.9120392589548</c:v>
                </c:pt>
                <c:pt idx="13">
                  <c:v>1589.089502</c:v>
                </c:pt>
                <c:pt idx="14">
                  <c:v>1797.2134749000002</c:v>
                </c:pt>
                <c:pt idx="15">
                  <c:v>5481.5162399999999</c:v>
                </c:pt>
                <c:pt idx="16">
                  <c:v>7814.7242609770501</c:v>
                </c:pt>
                <c:pt idx="17">
                  <c:v>8075.423538</c:v>
                </c:pt>
              </c:numCache>
            </c:numRef>
          </c:val>
          <c:extLst>
            <c:ext xmlns:c16="http://schemas.microsoft.com/office/drawing/2014/chart" uri="{C3380CC4-5D6E-409C-BE32-E72D297353CC}">
              <c16:uniqueId val="{00000000-16ED-4FEF-A879-D2A5C6F85A88}"/>
            </c:ext>
          </c:extLst>
        </c:ser>
        <c:ser>
          <c:idx val="1"/>
          <c:order val="1"/>
          <c:tx>
            <c:strRef>
              <c:f>'bezpośredni wartość dodana'!$C$1</c:f>
              <c:strCache>
                <c:ptCount val="1"/>
                <c:pt idx="0">
                  <c:v>2019</c:v>
                </c:pt>
              </c:strCache>
            </c:strRef>
          </c:tx>
          <c:spPr>
            <a:solidFill>
              <a:srgbClr val="4472C4">
                <a:lumMod val="75000"/>
              </a:srgbClr>
            </a:solidFill>
            <a:ln>
              <a:noFill/>
            </a:ln>
            <a:effectLst/>
          </c:spPr>
          <c:invertIfNegative val="0"/>
          <c:cat>
            <c:strRef>
              <c:f>'bezpośredni wartość dodana'!$A$2:$A$20</c:f>
              <c:strCache>
                <c:ptCount val="18"/>
                <c:pt idx="0">
                  <c:v>50.1 Usługi morskiego pasażerskiego transportu wodnego </c:v>
                </c:pt>
                <c:pt idx="1">
                  <c:v>50.3 Usługiwodnego pasazerskiego transportu sródlądowego</c:v>
                </c:pt>
                <c:pt idx="2">
                  <c:v>82.3 Usługi związane z organizacją targów, wystaw i kongresów     </c:v>
                </c:pt>
                <c:pt idx="3">
                  <c:v>91 Usługi bibliotek…</c:v>
                </c:pt>
                <c:pt idx="4">
                  <c:v>własne obiekty</c:v>
                </c:pt>
                <c:pt idx="5">
                  <c:v>47 Usługi handlu detalicznego w zakresie sprzedaży paliw</c:v>
                </c:pt>
                <c:pt idx="6">
                  <c:v>86 Usługi opieki zdrowotnej</c:v>
                </c:pt>
                <c:pt idx="7">
                  <c:v>52.23 Usługi wspomagające transport lotniczy</c:v>
                </c:pt>
                <c:pt idx="8">
                  <c:v>47 Usługi handlu detalicznego w zakresie artykułow spo zywczych, odzieży…</c:v>
                </c:pt>
                <c:pt idx="9">
                  <c:v>93 Usługi sportowe…</c:v>
                </c:pt>
                <c:pt idx="10">
                  <c:v>51.1 Usługi transportu lotniczego pasażerskiego</c:v>
                </c:pt>
                <c:pt idx="11">
                  <c:v>49.3 Usługi pasażerskiego transportu lądowego pozostałe</c:v>
                </c:pt>
                <c:pt idx="12">
                  <c:v>Drugorzędna produkcja usług turystycznych</c:v>
                </c:pt>
                <c:pt idx="13">
                  <c:v>79 Usługi świadczone przez organizatorów…</c:v>
                </c:pt>
                <c:pt idx="14">
                  <c:v>49.1 Usługi w zakresie pasażerskiego międzymiastowego pasażerskiego transportu kolejowego</c:v>
                </c:pt>
                <c:pt idx="15">
                  <c:v>56 Usługi w zakresie wyżywienia</c:v>
                </c:pt>
                <c:pt idx="16">
                  <c:v>Pozostałe produkty</c:v>
                </c:pt>
                <c:pt idx="17">
                  <c:v>55 Usługi związane z zakwaterowaniem</c:v>
                </c:pt>
              </c:strCache>
            </c:strRef>
          </c:cat>
          <c:val>
            <c:numRef>
              <c:f>'bezpośredni wartość dodana'!$C$2:$C$20</c:f>
              <c:numCache>
                <c:formatCode>0.0</c:formatCode>
                <c:ptCount val="19"/>
                <c:pt idx="0">
                  <c:v>-16.054114559999967</c:v>
                </c:pt>
                <c:pt idx="1">
                  <c:v>0</c:v>
                </c:pt>
                <c:pt idx="2">
                  <c:v>63.634563199999995</c:v>
                </c:pt>
                <c:pt idx="3">
                  <c:v>248.81214526394766</c:v>
                </c:pt>
                <c:pt idx="4">
                  <c:v>351.62983230361868</c:v>
                </c:pt>
                <c:pt idx="5">
                  <c:v>384.36113053717315</c:v>
                </c:pt>
                <c:pt idx="6">
                  <c:v>645.26430236022622</c:v>
                </c:pt>
                <c:pt idx="7">
                  <c:v>683.3300690194036</c:v>
                </c:pt>
                <c:pt idx="8">
                  <c:v>898.47572600805586</c:v>
                </c:pt>
                <c:pt idx="9">
                  <c:v>992.3130000000001</c:v>
                </c:pt>
                <c:pt idx="10">
                  <c:v>1591.355971811171</c:v>
                </c:pt>
                <c:pt idx="11">
                  <c:v>1849.3948031999998</c:v>
                </c:pt>
                <c:pt idx="12">
                  <c:v>1914.0471893770441</c:v>
                </c:pt>
                <c:pt idx="13">
                  <c:v>2003.463</c:v>
                </c:pt>
                <c:pt idx="14">
                  <c:v>2657.1029376000001</c:v>
                </c:pt>
                <c:pt idx="15">
                  <c:v>5366.6621048000025</c:v>
                </c:pt>
                <c:pt idx="16">
                  <c:v>8350.3676251055585</c:v>
                </c:pt>
                <c:pt idx="17">
                  <c:v>10408.834599839998</c:v>
                </c:pt>
              </c:numCache>
            </c:numRef>
          </c:val>
          <c:extLst>
            <c:ext xmlns:c16="http://schemas.microsoft.com/office/drawing/2014/chart" uri="{C3380CC4-5D6E-409C-BE32-E72D297353CC}">
              <c16:uniqueId val="{00000001-16ED-4FEF-A879-D2A5C6F85A88}"/>
            </c:ext>
          </c:extLst>
        </c:ser>
        <c:dLbls>
          <c:showLegendKey val="0"/>
          <c:showVal val="0"/>
          <c:showCatName val="0"/>
          <c:showSerName val="0"/>
          <c:showPercent val="0"/>
          <c:showBubbleSize val="0"/>
        </c:dLbls>
        <c:gapWidth val="182"/>
        <c:axId val="570638080"/>
        <c:axId val="570653888"/>
      </c:barChart>
      <c:catAx>
        <c:axId val="57063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0653888"/>
        <c:crosses val="autoZero"/>
        <c:auto val="1"/>
        <c:lblAlgn val="ctr"/>
        <c:lblOffset val="100"/>
        <c:noMultiLvlLbl val="0"/>
      </c:catAx>
      <c:valAx>
        <c:axId val="570653888"/>
        <c:scaling>
          <c:orientation val="minMax"/>
        </c:scaling>
        <c:delete val="0"/>
        <c:axPos val="b"/>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0638080"/>
        <c:crosses val="autoZero"/>
        <c:crossBetween val="between"/>
      </c:valAx>
      <c:spPr>
        <a:noFill/>
        <a:ln>
          <a:noFill/>
        </a:ln>
        <a:effectLst/>
      </c:spPr>
    </c:plotArea>
    <c:legend>
      <c:legendPos val="b"/>
      <c:layout>
        <c:manualLayout>
          <c:xMode val="edge"/>
          <c:yMode val="edge"/>
          <c:x val="0.86871293866044519"/>
          <c:y val="0.70797598558301622"/>
          <c:w val="8.7089113860767398E-2"/>
          <c:h val="0.161901828803657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'zmiany struktury'!$A$3</c:f>
              <c:strCache>
                <c:ptCount val="1"/>
                <c:pt idx="0">
                  <c:v> CRDT </c:v>
                </c:pt>
              </c:strCache>
            </c:strRef>
          </c:tx>
          <c:spPr>
            <a:solidFill>
              <a:schemeClr val="accent1"/>
            </a:solidFill>
            <a:ln>
              <a:noFill/>
            </a:ln>
            <a:effectLst/>
          </c:spPr>
          <c:invertIfNegative val="0"/>
          <c:dLbls>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'zmiany struktury'!$B$1:$J$2</c:f>
              <c:strCache>
                <c:ptCount val="9"/>
                <c:pt idx="0">
                  <c:v>2011</c:v>
                </c:pt>
                <c:pt idx="2">
                  <c:v>2013</c:v>
                </c:pt>
                <c:pt idx="4">
                  <c:v>2015</c:v>
                </c:pt>
                <c:pt idx="6">
                  <c:v>2018</c:v>
                </c:pt>
                <c:pt idx="8">
                  <c:v>2019</c:v>
                </c:pt>
              </c:strCache>
            </c:strRef>
          </c:cat>
          <c:val>
            <c:numRef>
              <c:f>'zmiany struktury'!$B$3:$J$3</c:f>
              <c:numCache>
                <c:formatCode>General</c:formatCode>
                <c:ptCount val="9"/>
                <c:pt idx="0" formatCode="0.00">
                  <c:v>13193.13</c:v>
                </c:pt>
                <c:pt idx="2" formatCode="0.00">
                  <c:v>11575.4</c:v>
                </c:pt>
                <c:pt idx="4" formatCode="0.00">
                  <c:v>10772</c:v>
                </c:pt>
                <c:pt idx="6" formatCode="0.00">
                  <c:v>23272.657484016916</c:v>
                </c:pt>
                <c:pt idx="8" formatCode="0.00">
                  <c:v>26845.743214838367</c:v>
                </c:pt>
              </c:numCache>
            </c:numRef>
          </c:val>
          <c:extLst>
            <c:ext xmlns:c16="http://schemas.microsoft.com/office/drawing/2014/chart" uri="{C3380CC4-5D6E-409C-BE32-E72D297353CC}">
              <c16:uniqueId val="{00000000-B488-4B1B-80F0-8A2A47F5AE05}"/>
            </c:ext>
          </c:extLst>
        </c:ser>
        <c:ser>
          <c:idx val="1"/>
          <c:order val="1"/>
          <c:tx>
            <c:strRef>
              <c:f>'zmiany struktury'!$A$4</c:f>
              <c:strCache>
                <c:ptCount val="1"/>
                <c:pt idx="0">
                  <c:v>pozostałe</c:v>
                </c:pt>
              </c:strCache>
            </c:strRef>
          </c:tx>
          <c:spPr>
            <a:solidFill>
              <a:schemeClr val="accent2"/>
            </a:solidFill>
            <a:ln>
              <a:noFill/>
            </a:ln>
            <a:effectLst/>
          </c:spPr>
          <c:invertIfNegative val="0"/>
          <c:dLbls>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'zmiany struktury'!$B$1:$J$2</c:f>
              <c:strCache>
                <c:ptCount val="9"/>
                <c:pt idx="0">
                  <c:v>2011</c:v>
                </c:pt>
                <c:pt idx="2">
                  <c:v>2013</c:v>
                </c:pt>
                <c:pt idx="4">
                  <c:v>2015</c:v>
                </c:pt>
                <c:pt idx="6">
                  <c:v>2018</c:v>
                </c:pt>
                <c:pt idx="8">
                  <c:v>2019</c:v>
                </c:pt>
              </c:strCache>
            </c:strRef>
          </c:cat>
          <c:val>
            <c:numRef>
              <c:f>'zmiany struktury'!$B$4:$J$4</c:f>
              <c:numCache>
                <c:formatCode>General</c:formatCode>
                <c:ptCount val="9"/>
                <c:pt idx="0" formatCode="0.00">
                  <c:v>6813.9</c:v>
                </c:pt>
                <c:pt idx="2" formatCode="0.00">
                  <c:v>3173.6000000000004</c:v>
                </c:pt>
                <c:pt idx="4" formatCode="0.00">
                  <c:v>2514</c:v>
                </c:pt>
                <c:pt idx="6" formatCode="0.00">
                  <c:v>10132.442515983083</c:v>
                </c:pt>
                <c:pt idx="8" formatCode="0.00">
                  <c:v>11547.251671027836</c:v>
                </c:pt>
              </c:numCache>
            </c:numRef>
          </c:val>
          <c:extLst>
            <c:ext xmlns:c16="http://schemas.microsoft.com/office/drawing/2014/chart" uri="{C3380CC4-5D6E-409C-BE32-E72D297353CC}">
              <c16:uniqueId val="{00000001-B488-4B1B-80F0-8A2A47F5AE05}"/>
            </c:ext>
          </c:extLst>
        </c:ser>
        <c:ser>
          <c:idx val="2"/>
          <c:order val="2"/>
          <c:tx>
            <c:strRef>
              <c:f>'zmiany struktury'!$A$5</c:f>
              <c:strCache>
                <c:ptCount val="1"/>
                <c:pt idx="0">
                  <c:v>podatki pośrednie od produktów netto</c:v>
                </c:pt>
              </c:strCache>
            </c:strRef>
          </c:tx>
          <c:spPr>
            <a:solidFill>
              <a:schemeClr val="accent3"/>
            </a:solidFill>
            <a:ln>
              <a:noFill/>
            </a:ln>
            <a:effectLst/>
          </c:spPr>
          <c:invertIfNegative val="0"/>
          <c:dLbls>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'zmiany struktury'!$B$1:$J$2</c:f>
              <c:strCache>
                <c:ptCount val="9"/>
                <c:pt idx="0">
                  <c:v>2011</c:v>
                </c:pt>
                <c:pt idx="2">
                  <c:v>2013</c:v>
                </c:pt>
                <c:pt idx="4">
                  <c:v>2015</c:v>
                </c:pt>
                <c:pt idx="6">
                  <c:v>2018</c:v>
                </c:pt>
                <c:pt idx="8">
                  <c:v>2019</c:v>
                </c:pt>
              </c:strCache>
            </c:strRef>
          </c:cat>
          <c:val>
            <c:numRef>
              <c:f>'zmiany struktury'!$B$5:$J$5</c:f>
              <c:numCache>
                <c:formatCode>General</c:formatCode>
                <c:ptCount val="9"/>
                <c:pt idx="0" formatCode="0.00">
                  <c:v>4312.3999999999996</c:v>
                </c:pt>
                <c:pt idx="2" formatCode="0.00">
                  <c:v>5535.09</c:v>
                </c:pt>
                <c:pt idx="4" formatCode="0.00">
                  <c:v>7193.3</c:v>
                </c:pt>
                <c:pt idx="6" formatCode="0.00">
                  <c:v>9086.7000000000007</c:v>
                </c:pt>
                <c:pt idx="8" formatCode="0.00">
                  <c:v>11029.2</c:v>
                </c:pt>
              </c:numCache>
            </c:numRef>
          </c:val>
          <c:extLst>
            <c:ext xmlns:c16="http://schemas.microsoft.com/office/drawing/2014/chart" uri="{C3380CC4-5D6E-409C-BE32-E72D297353CC}">
              <c16:uniqueId val="{00000002-B488-4B1B-80F0-8A2A47F5AE05}"/>
            </c:ext>
          </c:extLst>
        </c:ser>
        <c:dLbls>
          <c:showLegendKey val="0"/>
          <c:showVal val="0"/>
          <c:showCatName val="0"/>
          <c:showSerName val="0"/>
          <c:showPercent val="0"/>
          <c:showBubbleSize val="0"/>
        </c:dLbls>
        <c:gapWidth val="20"/>
        <c:overlap val="100"/>
        <c:axId val="570650144"/>
        <c:axId val="570654304"/>
      </c:barChart>
      <c:catAx>
        <c:axId val="570650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570654304"/>
        <c:crosses val="autoZero"/>
        <c:auto val="1"/>
        <c:lblAlgn val="ctr"/>
        <c:lblOffset val="100"/>
        <c:noMultiLvlLbl val="0"/>
      </c:catAx>
      <c:valAx>
        <c:axId val="570654304"/>
        <c:scaling>
          <c:orientation val="minMax"/>
          <c:max val="5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065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2018</a:t>
            </a:r>
          </a:p>
        </c:rich>
      </c:tx>
      <c:layout>
        <c:manualLayout>
          <c:xMode val="edge"/>
          <c:yMode val="edge"/>
          <c:x val="0.8772500000000000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4027777777777773"/>
          <c:y val="0.28526892364881584"/>
          <c:w val="0.51565255731922399"/>
          <c:h val="0.4554082720096164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8F4-4492-9D93-7C0B4B6DC39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8F4-4492-9D93-7C0B4B6DC39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8F4-4492-9D93-7C0B4B6DC39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8F4-4492-9D93-7C0B4B6DC39A}"/>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8F4-4492-9D93-7C0B4B6DC39A}"/>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8F4-4492-9D93-7C0B4B6DC39A}"/>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8F4-4492-9D93-7C0B4B6DC39A}"/>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8F4-4492-9D93-7C0B4B6DC39A}"/>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8F4-4492-9D93-7C0B4B6DC39A}"/>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8F4-4492-9D93-7C0B4B6DC39A}"/>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28F4-4492-9D93-7C0B4B6DC39A}"/>
              </c:ext>
            </c:extLst>
          </c:dPt>
          <c:dLbls>
            <c:dLbl>
              <c:idx val="0"/>
              <c:layout>
                <c:manualLayout>
                  <c:x val="6.8342151675484852E-2"/>
                  <c:y val="-5.45221295702373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F4-4492-9D93-7C0B4B6DC39A}"/>
                </c:ext>
              </c:extLst>
            </c:dLbl>
            <c:dLbl>
              <c:idx val="1"/>
              <c:layout>
                <c:manualLayout>
                  <c:x val="1.984126984126984E-2"/>
                  <c:y val="0.131494547787042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F4-4492-9D93-7C0B4B6DC39A}"/>
                </c:ext>
              </c:extLst>
            </c:dLbl>
            <c:dLbl>
              <c:idx val="2"/>
              <c:layout>
                <c:manualLayout>
                  <c:x val="0.20061728395061729"/>
                  <c:y val="0.131494547787042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F4-4492-9D93-7C0B4B6DC39A}"/>
                </c:ext>
              </c:extLst>
            </c:dLbl>
            <c:dLbl>
              <c:idx val="3"/>
              <c:layout>
                <c:manualLayout>
                  <c:x val="7.4955908289241577E-2"/>
                  <c:y val="0.243745991019884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8F4-4492-9D93-7C0B4B6DC39A}"/>
                </c:ext>
              </c:extLst>
            </c:dLbl>
            <c:dLbl>
              <c:idx val="4"/>
              <c:layout>
                <c:manualLayout>
                  <c:x val="-0.1146384479717813"/>
                  <c:y val="0.2694034637588197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8F4-4492-9D93-7C0B4B6DC39A}"/>
                </c:ext>
              </c:extLst>
            </c:dLbl>
            <c:dLbl>
              <c:idx val="5"/>
              <c:layout>
                <c:manualLayout>
                  <c:x val="-0.15432098765432098"/>
                  <c:y val="0.1379089159717767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8F4-4492-9D93-7C0B4B6DC39A}"/>
                </c:ext>
              </c:extLst>
            </c:dLbl>
            <c:dLbl>
              <c:idx val="6"/>
              <c:layout>
                <c:manualLayout>
                  <c:x val="-0.17195767195767195"/>
                  <c:y val="1.92431045542012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8F4-4492-9D93-7C0B4B6DC39A}"/>
                </c:ext>
              </c:extLst>
            </c:dLbl>
            <c:dLbl>
              <c:idx val="7"/>
              <c:layout>
                <c:manualLayout>
                  <c:x val="-0.12896825396825395"/>
                  <c:y val="-0.121872995509942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868606701940035"/>
                      <c:h val="0.18577626481744305"/>
                    </c:manualLayout>
                  </c15:layout>
                </c:ext>
                <c:ext xmlns:c16="http://schemas.microsoft.com/office/drawing/2014/chart" uri="{C3380CC4-5D6E-409C-BE32-E72D297353CC}">
                  <c16:uniqueId val="{0000000F-28F4-4492-9D93-7C0B4B6DC39A}"/>
                </c:ext>
              </c:extLst>
            </c:dLbl>
            <c:dLbl>
              <c:idx val="8"/>
              <c:layout>
                <c:manualLayout>
                  <c:x val="-0.17085537918871252"/>
                  <c:y val="-0.3078896728672225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466941632295963"/>
                      <c:h val="0.18699853025106949"/>
                    </c:manualLayout>
                  </c15:layout>
                </c:ext>
                <c:ext xmlns:c16="http://schemas.microsoft.com/office/drawing/2014/chart" uri="{C3380CC4-5D6E-409C-BE32-E72D297353CC}">
                  <c16:uniqueId val="{00000011-28F4-4492-9D93-7C0B4B6DC39A}"/>
                </c:ext>
              </c:extLst>
            </c:dLbl>
            <c:dLbl>
              <c:idx val="9"/>
              <c:layout>
                <c:manualLayout>
                  <c:x val="-2.2045855379188711E-3"/>
                  <c:y val="-0.1988454137267479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8F4-4492-9D93-7C0B4B6DC39A}"/>
                </c:ext>
              </c:extLst>
            </c:dLbl>
            <c:dLbl>
              <c:idx val="10"/>
              <c:layout>
                <c:manualLayout>
                  <c:x val="7.2751322751322747E-2"/>
                  <c:y val="-0.115458627325208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8F4-4492-9D93-7C0B4B6DC39A}"/>
                </c:ext>
              </c:extLst>
            </c:dLbl>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l-PL"/>
              </a:p>
            </c:txPr>
            <c:dLblPos val="outEnd"/>
            <c:showLegendKey val="0"/>
            <c:showVal val="0"/>
            <c:showCatName val="1"/>
            <c:showSerName val="0"/>
            <c:showPercent val="1"/>
            <c:showBubbleSize val="0"/>
            <c:showLeaderLines val="1"/>
            <c:leaderLines>
              <c:spPr>
                <a:ln w="6350"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feminizacja!$A$2:$A$12</c:f>
              <c:strCache>
                <c:ptCount val="11"/>
                <c:pt idx="0">
                  <c:v>Zakwaterowanie</c:v>
                </c:pt>
                <c:pt idx="1">
                  <c:v>Działalność usługowa związana z wyżywieniem</c:v>
                </c:pt>
                <c:pt idx="2">
                  <c:v>Transport kolejowy pasażerski międzymiastowy</c:v>
                </c:pt>
                <c:pt idx="3">
                  <c:v>Pozostały transport lądowy pasażerski</c:v>
                </c:pt>
                <c:pt idx="4">
                  <c:v>Transport morski i przybrzeżny pasażerski</c:v>
                </c:pt>
                <c:pt idx="5">
                  <c:v>Transport wodny śródlądowy pasażerski</c:v>
                </c:pt>
                <c:pt idx="6">
                  <c:v>Transport lotniczy pasażerski</c:v>
                </c:pt>
                <c:pt idx="7">
                  <c:v>Wynajem i dzierżawa samochodów osobowych i furgonetek</c:v>
                </c:pt>
                <c:pt idx="8">
                  <c:v>Działalność związana z turystyką</c:v>
                </c:pt>
                <c:pt idx="9">
                  <c:v>Działalność bibliotek (…) oraz pozostała (…) związana z kulturą</c:v>
                </c:pt>
                <c:pt idx="10">
                  <c:v>Działalność sportowa, rozrywkowa i rekreacyjna</c:v>
                </c:pt>
              </c:strCache>
            </c:strRef>
          </c:cat>
          <c:val>
            <c:numRef>
              <c:f>feminizacja!$B$2:$B$12</c:f>
              <c:numCache>
                <c:formatCode>General</c:formatCode>
                <c:ptCount val="11"/>
                <c:pt idx="0">
                  <c:v>38733</c:v>
                </c:pt>
                <c:pt idx="1">
                  <c:v>61805</c:v>
                </c:pt>
                <c:pt idx="2">
                  <c:v>5820</c:v>
                </c:pt>
                <c:pt idx="3">
                  <c:v>13272</c:v>
                </c:pt>
                <c:pt idx="4">
                  <c:v>142</c:v>
                </c:pt>
                <c:pt idx="5">
                  <c:v>33</c:v>
                </c:pt>
                <c:pt idx="6">
                  <c:v>2078</c:v>
                </c:pt>
                <c:pt idx="7">
                  <c:v>1800</c:v>
                </c:pt>
                <c:pt idx="8">
                  <c:v>6055</c:v>
                </c:pt>
                <c:pt idx="9">
                  <c:v>32650</c:v>
                </c:pt>
                <c:pt idx="10">
                  <c:v>13509</c:v>
                </c:pt>
              </c:numCache>
            </c:numRef>
          </c:val>
          <c:extLst>
            <c:ext xmlns:c16="http://schemas.microsoft.com/office/drawing/2014/chart" uri="{C3380CC4-5D6E-409C-BE32-E72D297353CC}">
              <c16:uniqueId val="{00000016-28F4-4492-9D93-7C0B4B6DC39A}"/>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2019</a:t>
            </a:r>
          </a:p>
        </c:rich>
      </c:tx>
      <c:layout>
        <c:manualLayout>
          <c:xMode val="edge"/>
          <c:yMode val="edge"/>
          <c:x val="0.8772500000000000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4027777777777773"/>
          <c:y val="0.28526892364881584"/>
          <c:w val="0.51565255731922399"/>
          <c:h val="0.45540827200961648"/>
        </c:manualLayout>
      </c:layout>
      <c:pie3DChart>
        <c:varyColors val="1"/>
        <c:ser>
          <c:idx val="0"/>
          <c:order val="0"/>
          <c:tx>
            <c:strRef>
              <c:f>feminizacja!$D$1</c:f>
              <c:strCache>
                <c:ptCount val="1"/>
                <c:pt idx="0">
                  <c:v>2019</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526-42C3-97CE-989E122B48F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526-42C3-97CE-989E122B48F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526-42C3-97CE-989E122B48F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526-42C3-97CE-989E122B48F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526-42C3-97CE-989E122B48F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526-42C3-97CE-989E122B48F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526-42C3-97CE-989E122B48F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526-42C3-97CE-989E122B48F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526-42C3-97CE-989E122B48F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526-42C3-97CE-989E122B48F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526-42C3-97CE-989E122B48FE}"/>
              </c:ext>
            </c:extLst>
          </c:dPt>
          <c:dLbls>
            <c:dLbl>
              <c:idx val="0"/>
              <c:layout>
                <c:manualLayout>
                  <c:x val="-1.4503135024788567E-2"/>
                  <c:y val="-9.83640835787123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526-42C3-97CE-989E122B48FE}"/>
                </c:ext>
              </c:extLst>
            </c:dLbl>
            <c:dLbl>
              <c:idx val="1"/>
              <c:layout>
                <c:manualLayout>
                  <c:x val="-7.7932966712494275E-3"/>
                  <c:y val="0.1177675473375321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526-42C3-97CE-989E122B48FE}"/>
                </c:ext>
              </c:extLst>
            </c:dLbl>
            <c:dLbl>
              <c:idx val="2"/>
              <c:layout>
                <c:manualLayout>
                  <c:x val="0.17349775722479127"/>
                  <c:y val="0.166784936841201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526-42C3-97CE-989E122B48FE}"/>
                </c:ext>
              </c:extLst>
            </c:dLbl>
            <c:dLbl>
              <c:idx val="3"/>
              <c:layout>
                <c:manualLayout>
                  <c:x val="6.4441250399255648E-2"/>
                  <c:y val="0.265402312202956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526-42C3-97CE-989E122B48FE}"/>
                </c:ext>
              </c:extLst>
            </c:dLbl>
            <c:dLbl>
              <c:idx val="4"/>
              <c:layout>
                <c:manualLayout>
                  <c:x val="-0.10832048771681317"/>
                  <c:y val="0.30696767057421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526-42C3-97CE-989E122B48FE}"/>
                </c:ext>
              </c:extLst>
            </c:dLbl>
            <c:dLbl>
              <c:idx val="5"/>
              <c:layout>
                <c:manualLayout>
                  <c:x val="-0.136671110555625"/>
                  <c:y val="0.1406239109463465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526-42C3-97CE-989E122B48FE}"/>
                </c:ext>
              </c:extLst>
            </c:dLbl>
            <c:dLbl>
              <c:idx val="6"/>
              <c:layout>
                <c:manualLayout>
                  <c:x val="-0.14110302184449167"/>
                  <c:y val="2.00767198840363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526-42C3-97CE-989E122B48FE}"/>
                </c:ext>
              </c:extLst>
            </c:dLbl>
            <c:dLbl>
              <c:idx val="7"/>
              <c:layout>
                <c:manualLayout>
                  <c:x val="-0.14292241247621826"/>
                  <c:y val="-0.126418105690605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526-42C3-97CE-989E122B48FE}"/>
                </c:ext>
              </c:extLst>
            </c:dLbl>
            <c:dLbl>
              <c:idx val="8"/>
              <c:layout>
                <c:manualLayout>
                  <c:x val="-0.16085984043661208"/>
                  <c:y val="-0.3035537872551049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14939365218236608"/>
                      <c:h val="0.1730437439707464"/>
                    </c:manualLayout>
                  </c15:layout>
                </c:ext>
                <c:ext xmlns:c16="http://schemas.microsoft.com/office/drawing/2014/chart" uri="{C3380CC4-5D6E-409C-BE32-E72D297353CC}">
                  <c16:uniqueId val="{00000011-8526-42C3-97CE-989E122B48FE}"/>
                </c:ext>
              </c:extLst>
            </c:dLbl>
            <c:dLbl>
              <c:idx val="9"/>
              <c:layout>
                <c:manualLayout>
                  <c:x val="-6.2968691413573304E-3"/>
                  <c:y val="-0.226093851802841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8526-42C3-97CE-989E122B48FE}"/>
                </c:ext>
              </c:extLst>
            </c:dLbl>
            <c:dLbl>
              <c:idx val="10"/>
              <c:layout>
                <c:manualLayout>
                  <c:x val="6.088292782846589E-2"/>
                  <c:y val="-9.621931078371458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8526-42C3-97CE-989E122B48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63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feminizacja!$A$2:$A$12</c:f>
              <c:strCache>
                <c:ptCount val="11"/>
                <c:pt idx="0">
                  <c:v>Zakwaterowanie</c:v>
                </c:pt>
                <c:pt idx="1">
                  <c:v>Działalność usługowa związana z wyżywieniem</c:v>
                </c:pt>
                <c:pt idx="2">
                  <c:v>Transport kolejowy pasażerski międzymiastowy</c:v>
                </c:pt>
                <c:pt idx="3">
                  <c:v>Pozostały transport lądowy pasażerski</c:v>
                </c:pt>
                <c:pt idx="4">
                  <c:v>Transport morski i przybrzeżny pasażerski</c:v>
                </c:pt>
                <c:pt idx="5">
                  <c:v>Transport wodny śródlądowy pasażerski</c:v>
                </c:pt>
                <c:pt idx="6">
                  <c:v>Transport lotniczy pasażerski</c:v>
                </c:pt>
                <c:pt idx="7">
                  <c:v>Wynajem i dzierżawa samochodów osobowych i furgonetek</c:v>
                </c:pt>
                <c:pt idx="8">
                  <c:v>Działalność związana z turystyką</c:v>
                </c:pt>
                <c:pt idx="9">
                  <c:v>Działalność bibliotek (…) oraz pozostała (…) związana z kulturą</c:v>
                </c:pt>
                <c:pt idx="10">
                  <c:v>Działalność sportowa, rozrywkowa i rekreacyjna</c:v>
                </c:pt>
              </c:strCache>
            </c:strRef>
          </c:cat>
          <c:val>
            <c:numRef>
              <c:f>feminizacja!$D$2:$D$12</c:f>
              <c:numCache>
                <c:formatCode>General</c:formatCode>
                <c:ptCount val="11"/>
                <c:pt idx="0">
                  <c:v>39782</c:v>
                </c:pt>
                <c:pt idx="1">
                  <c:v>66077</c:v>
                </c:pt>
                <c:pt idx="2">
                  <c:v>6065</c:v>
                </c:pt>
                <c:pt idx="3">
                  <c:v>13445</c:v>
                </c:pt>
                <c:pt idx="4">
                  <c:v>137</c:v>
                </c:pt>
                <c:pt idx="5">
                  <c:v>22</c:v>
                </c:pt>
                <c:pt idx="6">
                  <c:v>2104</c:v>
                </c:pt>
                <c:pt idx="7">
                  <c:v>1746</c:v>
                </c:pt>
                <c:pt idx="8">
                  <c:v>6249</c:v>
                </c:pt>
                <c:pt idx="9">
                  <c:v>32645</c:v>
                </c:pt>
                <c:pt idx="10">
                  <c:v>14069</c:v>
                </c:pt>
              </c:numCache>
            </c:numRef>
          </c:val>
          <c:extLst>
            <c:ext xmlns:c16="http://schemas.microsoft.com/office/drawing/2014/chart" uri="{C3380CC4-5D6E-409C-BE32-E72D297353CC}">
              <c16:uniqueId val="{00000016-8526-42C3-97CE-989E122B48F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980964185032426"/>
          <c:y val="0"/>
          <c:w val="0.47968664561461066"/>
          <c:h val="0.90839655317057966"/>
        </c:manualLayout>
      </c:layout>
      <c:barChart>
        <c:barDir val="bar"/>
        <c:grouping val="clustered"/>
        <c:varyColors val="0"/>
        <c:ser>
          <c:idx val="0"/>
          <c:order val="0"/>
          <c:tx>
            <c:strRef>
              <c:f>Arkusz5!$C$2</c:f>
              <c:strCache>
                <c:ptCount val="1"/>
                <c:pt idx="0">
                  <c:v>2018</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Arkusz5!$B$3:$B$13</c:f>
              <c:strCache>
                <c:ptCount val="11"/>
                <c:pt idx="0">
                  <c:v>Transport wodny śródlądowy pasażerski</c:v>
                </c:pt>
                <c:pt idx="1">
                  <c:v>Transport morski i przybrzeżny pasażerski</c:v>
                </c:pt>
                <c:pt idx="2">
                  <c:v>Transport lotniczy pasażerski</c:v>
                </c:pt>
                <c:pt idx="3">
                  <c:v>Działalność bibliotek, archiwów, muzeów oraz pozostała działalność związana z kulturą  b</c:v>
                </c:pt>
                <c:pt idx="4">
                  <c:v>Działalność sportowa, rozrywkowa i rekreacyjna b</c:v>
                </c:pt>
                <c:pt idx="5">
                  <c:v>Działalność organizatorów turystyki, pośredników i agentów turystycznych oraz Pozostała działalność usługowa w zakresie rezerwacji i działalności z nią związane</c:v>
                </c:pt>
                <c:pt idx="6">
                  <c:v>Transport kolejowy pasażerski międzymiastowy</c:v>
                </c:pt>
                <c:pt idx="7">
                  <c:v>Pozostały transport lądowy pasażerski</c:v>
                </c:pt>
                <c:pt idx="8">
                  <c:v>Zakwaterowanie </c:v>
                </c:pt>
                <c:pt idx="9">
                  <c:v>Działalność usługowa związana z wyżywieniem</c:v>
                </c:pt>
                <c:pt idx="10">
                  <c:v>Wynajem i dzierżawa samochodów osobowych i furgonetek</c:v>
                </c:pt>
              </c:strCache>
            </c:strRef>
          </c:cat>
          <c:val>
            <c:numRef>
              <c:f>Arkusz5!$C$3:$C$13</c:f>
              <c:numCache>
                <c:formatCode>General</c:formatCode>
                <c:ptCount val="11"/>
                <c:pt idx="0">
                  <c:v>0</c:v>
                </c:pt>
                <c:pt idx="1">
                  <c:v>505.959</c:v>
                </c:pt>
                <c:pt idx="2">
                  <c:v>3048.8939999999998</c:v>
                </c:pt>
                <c:pt idx="3">
                  <c:v>8337.1749999999993</c:v>
                </c:pt>
                <c:pt idx="4">
                  <c:v>11950.224999999999</c:v>
                </c:pt>
                <c:pt idx="5">
                  <c:v>14053.396000000001</c:v>
                </c:pt>
                <c:pt idx="6">
                  <c:v>17191.488000000001</c:v>
                </c:pt>
                <c:pt idx="7">
                  <c:v>24028.140000000003</c:v>
                </c:pt>
                <c:pt idx="8" formatCode="0">
                  <c:v>50376.167999999998</c:v>
                </c:pt>
                <c:pt idx="9" formatCode="0.0">
                  <c:v>76590.720000000001</c:v>
                </c:pt>
                <c:pt idx="10">
                  <c:v>0</c:v>
                </c:pt>
              </c:numCache>
            </c:numRef>
          </c:val>
          <c:extLst>
            <c:ext xmlns:c16="http://schemas.microsoft.com/office/drawing/2014/chart" uri="{C3380CC4-5D6E-409C-BE32-E72D297353CC}">
              <c16:uniqueId val="{00000000-7E0B-459A-B507-3A624BC367C4}"/>
            </c:ext>
          </c:extLst>
        </c:ser>
        <c:ser>
          <c:idx val="1"/>
          <c:order val="1"/>
          <c:tx>
            <c:strRef>
              <c:f>Arkusz5!$D$2</c:f>
              <c:strCache>
                <c:ptCount val="1"/>
                <c:pt idx="0">
                  <c:v>2019</c:v>
                </c:pt>
              </c:strCache>
            </c:strRef>
          </c:tx>
          <c:spPr>
            <a:solidFill>
              <a:schemeClr val="accent2">
                <a:lumMod val="60000"/>
                <a:lumOff val="4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Arkusz5!$B$3:$B$13</c:f>
              <c:strCache>
                <c:ptCount val="11"/>
                <c:pt idx="0">
                  <c:v>Transport wodny śródlądowy pasażerski</c:v>
                </c:pt>
                <c:pt idx="1">
                  <c:v>Transport morski i przybrzeżny pasażerski</c:v>
                </c:pt>
                <c:pt idx="2">
                  <c:v>Transport lotniczy pasażerski</c:v>
                </c:pt>
                <c:pt idx="3">
                  <c:v>Działalność bibliotek, archiwów, muzeów oraz pozostała działalność związana z kulturą  b</c:v>
                </c:pt>
                <c:pt idx="4">
                  <c:v>Działalność sportowa, rozrywkowa i rekreacyjna b</c:v>
                </c:pt>
                <c:pt idx="5">
                  <c:v>Działalność organizatorów turystyki, pośredników i agentów turystycznych oraz Pozostała działalność usługowa w zakresie rezerwacji i działalności z nią związane</c:v>
                </c:pt>
                <c:pt idx="6">
                  <c:v>Transport kolejowy pasażerski międzymiastowy</c:v>
                </c:pt>
                <c:pt idx="7">
                  <c:v>Pozostały transport lądowy pasażerski</c:v>
                </c:pt>
                <c:pt idx="8">
                  <c:v>Zakwaterowanie </c:v>
                </c:pt>
                <c:pt idx="9">
                  <c:v>Działalność usługowa związana z wyżywieniem</c:v>
                </c:pt>
                <c:pt idx="10">
                  <c:v>Wynajem i dzierżawa samochodów osobowych i furgonetek</c:v>
                </c:pt>
              </c:strCache>
            </c:strRef>
          </c:cat>
          <c:val>
            <c:numRef>
              <c:f>Arkusz5!$D$3:$D$13</c:f>
              <c:numCache>
                <c:formatCode>General</c:formatCode>
                <c:ptCount val="11"/>
                <c:pt idx="0">
                  <c:v>0</c:v>
                </c:pt>
                <c:pt idx="1">
                  <c:v>469.49700000000001</c:v>
                </c:pt>
                <c:pt idx="2">
                  <c:v>4461.6509999999998</c:v>
                </c:pt>
                <c:pt idx="3">
                  <c:v>8434.2330000000002</c:v>
                </c:pt>
                <c:pt idx="4">
                  <c:v>9777.9510000000009</c:v>
                </c:pt>
                <c:pt idx="5">
                  <c:v>14935.535999999998</c:v>
                </c:pt>
                <c:pt idx="6">
                  <c:v>18725.16</c:v>
                </c:pt>
                <c:pt idx="7">
                  <c:v>29217.415999999997</c:v>
                </c:pt>
                <c:pt idx="8">
                  <c:v>73097.850999999995</c:v>
                </c:pt>
                <c:pt idx="9">
                  <c:v>74723.090000000011</c:v>
                </c:pt>
                <c:pt idx="10">
                  <c:v>0</c:v>
                </c:pt>
              </c:numCache>
            </c:numRef>
          </c:val>
          <c:extLst>
            <c:ext xmlns:c16="http://schemas.microsoft.com/office/drawing/2014/chart" uri="{C3380CC4-5D6E-409C-BE32-E72D297353CC}">
              <c16:uniqueId val="{00000001-7E0B-459A-B507-3A624BC367C4}"/>
            </c:ext>
          </c:extLst>
        </c:ser>
        <c:dLbls>
          <c:dLblPos val="outEnd"/>
          <c:showLegendKey val="0"/>
          <c:showVal val="1"/>
          <c:showCatName val="0"/>
          <c:showSerName val="0"/>
          <c:showPercent val="0"/>
          <c:showBubbleSize val="0"/>
        </c:dLbls>
        <c:gapWidth val="182"/>
        <c:axId val="527706656"/>
        <c:axId val="516434128"/>
      </c:barChart>
      <c:catAx>
        <c:axId val="527706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6434128"/>
        <c:crosses val="autoZero"/>
        <c:auto val="1"/>
        <c:lblAlgn val="ctr"/>
        <c:lblOffset val="100"/>
        <c:noMultiLvlLbl val="0"/>
      </c:catAx>
      <c:valAx>
        <c:axId val="516434128"/>
        <c:scaling>
          <c:orientation val="minMax"/>
          <c:max val="800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27706656"/>
        <c:crosses val="autoZero"/>
        <c:crossBetween val="between"/>
        <c:majorUnit val="20000"/>
      </c:valAx>
      <c:spPr>
        <a:noFill/>
        <a:ln>
          <a:noFill/>
        </a:ln>
        <a:effectLst/>
      </c:spPr>
    </c:plotArea>
    <c:legend>
      <c:legendPos val="b"/>
      <c:layout>
        <c:manualLayout>
          <c:xMode val="edge"/>
          <c:yMode val="edge"/>
          <c:x val="0.83564415559166216"/>
          <c:y val="0.66816075816482079"/>
          <c:w val="0.11354414031579387"/>
          <c:h val="0.161326232868546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209664764126702"/>
          <c:y val="0.24633550828890899"/>
          <c:w val="0.43044532627866"/>
          <c:h val="0.741690408357075"/>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F0-47AF-9E9B-875B8BF55E7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F0-47AF-9E9B-875B8BF55E7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F0-47AF-9E9B-875B8BF55E7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4F0-47AF-9E9B-875B8BF55E7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4F0-47AF-9E9B-875B8BF55E74}"/>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4F0-47AF-9E9B-875B8BF55E7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4F0-47AF-9E9B-875B8BF55E7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4F0-47AF-9E9B-875B8BF55E7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4F0-47AF-9E9B-875B8BF55E74}"/>
              </c:ext>
            </c:extLst>
          </c:dPt>
          <c:dLbls>
            <c:dLbl>
              <c:idx val="0"/>
              <c:layout>
                <c:manualLayout>
                  <c:x val="8.9030028909010406E-2"/>
                  <c:y val="2.01254425733899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F0-47AF-9E9B-875B8BF55E74}"/>
                </c:ext>
              </c:extLst>
            </c:dLbl>
            <c:dLbl>
              <c:idx val="1"/>
              <c:layout>
                <c:manualLayout>
                  <c:x val="2.4704724409448799E-2"/>
                  <c:y val="-5.2905382342902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F0-47AF-9E9B-875B8BF55E74}"/>
                </c:ext>
              </c:extLst>
            </c:dLbl>
            <c:dLbl>
              <c:idx val="2"/>
              <c:layout>
                <c:manualLayout>
                  <c:x val="4.9327726651618199E-2"/>
                  <c:y val="-5.28465049243335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F0-47AF-9E9B-875B8BF55E74}"/>
                </c:ext>
              </c:extLst>
            </c:dLbl>
            <c:dLbl>
              <c:idx val="3"/>
              <c:layout>
                <c:manualLayout>
                  <c:x val="-0.15254425335752544"/>
                  <c:y val="-1.1180801429661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F0-47AF-9E9B-875B8BF55E74}"/>
                </c:ext>
              </c:extLst>
            </c:dLbl>
            <c:dLbl>
              <c:idx val="4"/>
              <c:layout>
                <c:manualLayout>
                  <c:x val="-0.160527156327681"/>
                  <c:y val="0.169728470039899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4F0-47AF-9E9B-875B8BF55E74}"/>
                </c:ext>
              </c:extLst>
            </c:dLbl>
            <c:dLbl>
              <c:idx val="5"/>
              <c:layout>
                <c:manualLayout>
                  <c:x val="-0.209676741796164"/>
                  <c:y val="6.80651577745606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4F0-47AF-9E9B-875B8BF55E74}"/>
                </c:ext>
              </c:extLst>
            </c:dLbl>
            <c:dLbl>
              <c:idx val="6"/>
              <c:delete val="1"/>
              <c:extLst>
                <c:ext xmlns:c15="http://schemas.microsoft.com/office/drawing/2012/chart" uri="{CE6537A1-D6FC-4f65-9D91-7224C49458BB}"/>
                <c:ext xmlns:c16="http://schemas.microsoft.com/office/drawing/2014/chart" uri="{C3380CC4-5D6E-409C-BE32-E72D297353CC}">
                  <c16:uniqueId val="{0000000D-24F0-47AF-9E9B-875B8BF55E74}"/>
                </c:ext>
              </c:extLst>
            </c:dLbl>
            <c:dLbl>
              <c:idx val="7"/>
              <c:layout>
                <c:manualLayout>
                  <c:x val="-3.5277534752600398E-2"/>
                  <c:y val="-0.1139651377658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4F0-47AF-9E9B-875B8BF55E74}"/>
                </c:ext>
              </c:extLst>
            </c:dLbl>
            <c:dLbl>
              <c:idx val="8"/>
              <c:layout>
                <c:manualLayout>
                  <c:x val="0.15259741837825799"/>
                  <c:y val="-0.145282534750420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24F0-47AF-9E9B-875B8BF55E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pl-PL"/>
              </a:p>
            </c:txPr>
            <c:dLblPos val="ctr"/>
            <c:showLegendKey val="0"/>
            <c:showVal val="0"/>
            <c:showCatName val="1"/>
            <c:showSerName val="0"/>
            <c:showPercent val="1"/>
            <c:showBubbleSize val="0"/>
            <c:showLeaderLines val="1"/>
            <c:leaderLines>
              <c:spPr>
                <a:ln w="6350">
                  <a:solidFill>
                    <a:schemeClr val="dk1">
                      <a:lumMod val="50000"/>
                      <a:lumOff val="50000"/>
                    </a:schemeClr>
                  </a:solidFill>
                </a:ln>
                <a:effectLst/>
              </c:spPr>
            </c:leaderLines>
            <c:extLst>
              <c:ext xmlns:c15="http://schemas.microsoft.com/office/drawing/2012/chart" uri="{CE6537A1-D6FC-4f65-9D91-7224C49458BB}"/>
            </c:extLst>
          </c:dLbls>
          <c:cat>
            <c:strRef>
              <c:f>'Nakłady inw. 2018 '!$B$42:$B$50</c:f>
              <c:strCache>
                <c:ptCount val="9"/>
                <c:pt idx="0">
                  <c:v>Transport kolejowy pasażerski międzymiastowy</c:v>
                </c:pt>
                <c:pt idx="1">
                  <c:v>Pozostały transport lądowy pasażerski</c:v>
                </c:pt>
                <c:pt idx="2">
                  <c:v>Transport lotniczy pasażerski</c:v>
                </c:pt>
                <c:pt idx="3">
                  <c:v>Zakwaterowanie</c:v>
                </c:pt>
                <c:pt idx="4">
                  <c:v>Usługi związane z wyżywieniem</c:v>
                </c:pt>
                <c:pt idx="5">
                  <c:v>Działalność agentów i pośredników turystycznych oraz organizatorów turystyki </c:v>
                </c:pt>
                <c:pt idx="6">
                  <c:v>Pozostała działalność usługowa w zakresie rezerwacji i działalności z nią związane</c:v>
                </c:pt>
                <c:pt idx="7">
                  <c:v>Działalność bibliotek, archiwów, muzeów oraz pozostała działalność związana z kulturą</c:v>
                </c:pt>
                <c:pt idx="8">
                  <c:v>Działalność sportowa, rozrywkowa i rekreacyjna</c:v>
                </c:pt>
              </c:strCache>
            </c:strRef>
          </c:cat>
          <c:val>
            <c:numRef>
              <c:f>'Nakłady inw. 2018 '!$C$42:$C$50</c:f>
              <c:numCache>
                <c:formatCode>#,##0</c:formatCode>
                <c:ptCount val="9"/>
                <c:pt idx="0">
                  <c:v>502660</c:v>
                </c:pt>
                <c:pt idx="1">
                  <c:v>280033</c:v>
                </c:pt>
                <c:pt idx="2">
                  <c:v>386556</c:v>
                </c:pt>
                <c:pt idx="3">
                  <c:v>849640</c:v>
                </c:pt>
                <c:pt idx="4">
                  <c:v>255200</c:v>
                </c:pt>
                <c:pt idx="5">
                  <c:v>22527</c:v>
                </c:pt>
                <c:pt idx="6">
                  <c:v>4106</c:v>
                </c:pt>
                <c:pt idx="7">
                  <c:v>140061</c:v>
                </c:pt>
                <c:pt idx="8">
                  <c:v>89079</c:v>
                </c:pt>
              </c:numCache>
            </c:numRef>
          </c:val>
          <c:extLst>
            <c:ext xmlns:c16="http://schemas.microsoft.com/office/drawing/2014/chart" uri="{C3380CC4-5D6E-409C-BE32-E72D297353CC}">
              <c16:uniqueId val="{00000012-24F0-47AF-9E9B-875B8BF55E74}"/>
            </c:ext>
          </c:extLst>
        </c:ser>
        <c:dLbls>
          <c:dLblPos val="ctr"/>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b="0">
          <a:solidFill>
            <a:sysClr val="windowText" lastClr="000000"/>
          </a:solidFill>
          <a:latin typeface="Times New Roman" panose="02020603050405020304" pitchFamily="18" charset="0"/>
          <a:cs typeface="Times New Roman" panose="02020603050405020304" pitchFamily="18" charset="0"/>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199384799122331"/>
          <c:y val="0.26535166861308296"/>
          <c:w val="0.41585374744823561"/>
          <c:h val="0.55455316725715031"/>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32F-4A59-A973-E6B1F14DD063}"/>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32F-4A59-A973-E6B1F14DD063}"/>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32F-4A59-A973-E6B1F14DD063}"/>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32F-4A59-A973-E6B1F14DD063}"/>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32F-4A59-A973-E6B1F14DD063}"/>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32F-4A59-A973-E6B1F14DD063}"/>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32F-4A59-A973-E6B1F14DD063}"/>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32F-4A59-A973-E6B1F14DD063}"/>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032F-4A59-A973-E6B1F14DD063}"/>
              </c:ext>
            </c:extLst>
          </c:dPt>
          <c:dLbls>
            <c:dLbl>
              <c:idx val="0"/>
              <c:layout>
                <c:manualLayout>
                  <c:x val="0.10802469135802469"/>
                  <c:y val="3.905757186789987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32F-4A59-A973-E6B1F14DD063}"/>
                </c:ext>
              </c:extLst>
            </c:dLbl>
            <c:dLbl>
              <c:idx val="1"/>
              <c:layout>
                <c:manualLayout>
                  <c:x val="6.6137566137565981E-2"/>
                  <c:y val="4.7093628216361236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32F-4A59-A973-E6B1F14DD063}"/>
                </c:ext>
              </c:extLst>
            </c:dLbl>
            <c:dLbl>
              <c:idx val="2"/>
              <c:layout>
                <c:manualLayout>
                  <c:x val="2.42504409171076E-2"/>
                  <c:y val="3.728813559322029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32F-4A59-A973-E6B1F14DD063}"/>
                </c:ext>
              </c:extLst>
            </c:dLbl>
            <c:dLbl>
              <c:idx val="3"/>
              <c:layout>
                <c:manualLayout>
                  <c:x val="-5.5114638447971764E-2"/>
                  <c:y val="6.398728675746341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32F-4A59-A973-E6B1F14DD063}"/>
                </c:ext>
              </c:extLst>
            </c:dLbl>
            <c:dLbl>
              <c:idx val="4"/>
              <c:layout>
                <c:manualLayout>
                  <c:x val="-7.9365079365079361E-2"/>
                  <c:y val="0.1929172053552103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32F-4A59-A973-E6B1F14DD063}"/>
                </c:ext>
              </c:extLst>
            </c:dLbl>
            <c:dLbl>
              <c:idx val="5"/>
              <c:layout>
                <c:manualLayout>
                  <c:x val="-4.1887125220458558E-2"/>
                  <c:y val="0.13146932629305499"/>
                </c:manualLayout>
              </c:layout>
              <c:tx>
                <c:rich>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mn-lt"/>
                        <a:ea typeface="+mn-ea"/>
                        <a:cs typeface="Times New Roman" panose="02020603050405020304" pitchFamily="18" charset="0"/>
                      </a:defRPr>
                    </a:pPr>
                    <a:fld id="{F971EBB5-580D-4FEB-A241-67700D625D98}" type="CATEGORYNAME">
                      <a:rPr lang="en-US" sz="900">
                        <a:latin typeface="+mn-lt"/>
                      </a:rPr>
                      <a:pPr>
                        <a:defRPr sz="900" b="0">
                          <a:solidFill>
                            <a:schemeClr val="tx1"/>
                          </a:solidFill>
                          <a:cs typeface="Times New Roman" panose="02020603050405020304" pitchFamily="18" charset="0"/>
                        </a:defRPr>
                      </a:pPr>
                      <a:t>[NAZWA KATEGORII]</a:t>
                    </a:fld>
                    <a:fld id="{918A4D77-36DD-4DF6-88FE-4B5ED60212BF}" type="PERCENTAGE">
                      <a:rPr lang="en-US" sz="900" baseline="0">
                        <a:latin typeface="+mn-lt"/>
                      </a:rPr>
                      <a:pPr>
                        <a:defRPr sz="900" b="0">
                          <a:solidFill>
                            <a:schemeClr val="tx1"/>
                          </a:solidFill>
                          <a:cs typeface="Times New Roman" panose="02020603050405020304" pitchFamily="18" charset="0"/>
                        </a:defRPr>
                      </a:pPr>
                      <a:t>[PROCENTOWE]</a:t>
                    </a:fld>
                    <a:endParaRPr lang="pl-PL"/>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15:layout>
                    <c:manualLayout>
                      <c:w val="0.24901904623033233"/>
                      <c:h val="0.17318829927972954"/>
                    </c:manualLayout>
                  </c15:layout>
                  <c15:dlblFieldTable/>
                  <c15:showDataLabelsRange val="0"/>
                </c:ext>
                <c:ext xmlns:c16="http://schemas.microsoft.com/office/drawing/2014/chart" uri="{C3380CC4-5D6E-409C-BE32-E72D297353CC}">
                  <c16:uniqueId val="{0000000B-032F-4A59-A973-E6B1F14DD063}"/>
                </c:ext>
              </c:extLst>
            </c:dLbl>
            <c:dLbl>
              <c:idx val="6"/>
              <c:layout>
                <c:manualLayout>
                  <c:x val="-0.10141093474426807"/>
                  <c:y val="-0.1068711001746566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32F-4A59-A973-E6B1F14DD063}"/>
                </c:ext>
              </c:extLst>
            </c:dLbl>
            <c:dLbl>
              <c:idx val="7"/>
              <c:layout>
                <c:manualLayout>
                  <c:x val="7.9365079365079361E-2"/>
                  <c:y val="-3.821843304424518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32F-4A59-A973-E6B1F14DD063}"/>
                </c:ext>
              </c:extLst>
            </c:dLbl>
            <c:dLbl>
              <c:idx val="8"/>
              <c:layout>
                <c:manualLayout>
                  <c:x val="0.20282186948853614"/>
                  <c:y val="-4.99779509040129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32F-4A59-A973-E6B1F14DD0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tx1"/>
                    </a:solidFill>
                    <a:latin typeface="+mn-lt"/>
                    <a:ea typeface="+mn-ea"/>
                    <a:cs typeface="Times New Roman" panose="02020603050405020304" pitchFamily="18" charset="0"/>
                  </a:defRPr>
                </a:pPr>
                <a:endParaRPr lang="pl-PL"/>
              </a:p>
            </c:txPr>
            <c:dLblPos val="outEnd"/>
            <c:showLegendKey val="0"/>
            <c:showVal val="0"/>
            <c:showCatName val="1"/>
            <c:showSerName val="0"/>
            <c:showPercent val="1"/>
            <c:showBubbleSize val="0"/>
            <c:showLeaderLines val="1"/>
            <c:leaderLines>
              <c:spPr>
                <a:ln w="635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'Nakłady inw.  2019 '!$B$32:$B$40</c:f>
              <c:strCache>
                <c:ptCount val="9"/>
                <c:pt idx="0">
                  <c:v>Transport kolejowy pasażerski międzymiastowy</c:v>
                </c:pt>
                <c:pt idx="1">
                  <c:v>Pozostały transport lądowy pasażerski</c:v>
                </c:pt>
                <c:pt idx="2">
                  <c:v>Transport lotniczy pasażerski</c:v>
                </c:pt>
                <c:pt idx="3">
                  <c:v>Zakwaterowanie</c:v>
                </c:pt>
                <c:pt idx="4">
                  <c:v>Usługi związane z wyżywieiem</c:v>
                </c:pt>
                <c:pt idx="5">
                  <c:v>Działalność agentów i pośredników turystycznych oraz organizatorów turystyki	</c:v>
                </c:pt>
                <c:pt idx="6">
                  <c:v>Pozostała działalność usługowa w zakresie rezerwacji i działalności z nią związane</c:v>
                </c:pt>
                <c:pt idx="7">
                  <c:v>Działalność bibliotek, archiwów, muzeów oraz pozostała działalność związana z kulturą</c:v>
                </c:pt>
                <c:pt idx="8">
                  <c:v>Działalność sportowa, rozrywkowa i rekreacyjna</c:v>
                </c:pt>
              </c:strCache>
            </c:strRef>
          </c:cat>
          <c:val>
            <c:numRef>
              <c:f>'Nakłady inw.  2019 '!$C$32:$C$40</c:f>
              <c:numCache>
                <c:formatCode>#,##0</c:formatCode>
                <c:ptCount val="9"/>
                <c:pt idx="0">
                  <c:v>509283</c:v>
                </c:pt>
                <c:pt idx="1">
                  <c:v>396696</c:v>
                </c:pt>
                <c:pt idx="2">
                  <c:v>291628</c:v>
                </c:pt>
                <c:pt idx="3">
                  <c:v>728603</c:v>
                </c:pt>
                <c:pt idx="4">
                  <c:v>282462</c:v>
                </c:pt>
                <c:pt idx="5">
                  <c:v>46894</c:v>
                </c:pt>
                <c:pt idx="6">
                  <c:v>4324</c:v>
                </c:pt>
                <c:pt idx="7">
                  <c:v>183244</c:v>
                </c:pt>
                <c:pt idx="8">
                  <c:v>167822</c:v>
                </c:pt>
              </c:numCache>
            </c:numRef>
          </c:val>
          <c:extLst>
            <c:ext xmlns:c16="http://schemas.microsoft.com/office/drawing/2014/chart" uri="{C3380CC4-5D6E-409C-BE32-E72D297353CC}">
              <c16:uniqueId val="{00000012-032F-4A59-A973-E6B1F14DD063}"/>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416312544265299"/>
          <c:y val="2.2050716648291068E-2"/>
          <c:w val="0.45623828271466066"/>
          <c:h val="0.92459036887202772"/>
        </c:manualLayout>
      </c:layout>
      <c:barChart>
        <c:barDir val="bar"/>
        <c:grouping val="clustered"/>
        <c:varyColors val="0"/>
        <c:ser>
          <c:idx val="0"/>
          <c:order val="0"/>
          <c:tx>
            <c:strRef>
              <c:f>'Wartość netto  śr. trw. 2019'!$C$32</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'Wartość netto  śr. trw. 2019'!$B$33:$B$45</c:f>
              <c:strCache>
                <c:ptCount val="13"/>
                <c:pt idx="0">
                  <c:v>Transport kolejowy pasażerski międzymiastowy</c:v>
                </c:pt>
                <c:pt idx="1">
                  <c:v>Pozostały transport lądowy pasażerski</c:v>
                </c:pt>
                <c:pt idx="2">
                  <c:v>Transport lotniczy pasażerski</c:v>
                </c:pt>
                <c:pt idx="3">
                  <c:v>Hotele i podobne obiekty zakwaterowania</c:v>
                </c:pt>
                <c:pt idx="4">
                  <c:v>Obiekty noclegowe turystyczne i miejsca krótkotrwałego zakwaterowania</c:v>
                </c:pt>
                <c:pt idx="5">
                  <c:v>Pozostałe zakwaterowanie</c:v>
                </c:pt>
                <c:pt idx="6">
                  <c:v>Restauracje i pozostałe placówki gastronomiczne</c:v>
                </c:pt>
                <c:pt idx="7">
                  <c:v>Przygotowywanie żywności dla odbiorców zewnętrznych</c:v>
                </c:pt>
                <c:pt idx="8">
                  <c:v>Przygotowywanie i podawanie napojów</c:v>
                </c:pt>
                <c:pt idx="9">
                  <c:v>Działalność agentów i pośredników turystycznych oraz organizatorów turystyki	</c:v>
                </c:pt>
                <c:pt idx="10">
                  <c:v>Pozostała działalność usługowa w zakresie rezerwacji i działalności z nią związane</c:v>
                </c:pt>
                <c:pt idx="11">
                  <c:v>Działalność bibliotek, archiwów, muzeów oraz pozostała działalność związana z kulturą</c:v>
                </c:pt>
                <c:pt idx="12">
                  <c:v>Działalność sportowa, rozrywkowa i rekreacyjna</c:v>
                </c:pt>
              </c:strCache>
            </c:strRef>
          </c:cat>
          <c:val>
            <c:numRef>
              <c:f>'Wartość netto  śr. trw. 2019'!$C$33:$C$45</c:f>
              <c:numCache>
                <c:formatCode>#,##0</c:formatCode>
                <c:ptCount val="13"/>
                <c:pt idx="0">
                  <c:v>9425000</c:v>
                </c:pt>
                <c:pt idx="1">
                  <c:v>13863166</c:v>
                </c:pt>
                <c:pt idx="2">
                  <c:v>3264677</c:v>
                </c:pt>
                <c:pt idx="3">
                  <c:v>11292430</c:v>
                </c:pt>
                <c:pt idx="4">
                  <c:v>969315</c:v>
                </c:pt>
                <c:pt idx="5">
                  <c:v>41194</c:v>
                </c:pt>
                <c:pt idx="6">
                  <c:v>3625360</c:v>
                </c:pt>
                <c:pt idx="7">
                  <c:v>202669</c:v>
                </c:pt>
                <c:pt idx="8">
                  <c:v>24769</c:v>
                </c:pt>
                <c:pt idx="9">
                  <c:v>163353</c:v>
                </c:pt>
                <c:pt idx="10">
                  <c:v>17719</c:v>
                </c:pt>
                <c:pt idx="11">
                  <c:v>8181184</c:v>
                </c:pt>
                <c:pt idx="12">
                  <c:v>3209913</c:v>
                </c:pt>
              </c:numCache>
            </c:numRef>
          </c:val>
          <c:extLst>
            <c:ext xmlns:c16="http://schemas.microsoft.com/office/drawing/2014/chart" uri="{C3380CC4-5D6E-409C-BE32-E72D297353CC}">
              <c16:uniqueId val="{00000000-1BA3-49D4-9C17-8E52B5B62CEA}"/>
            </c:ext>
          </c:extLst>
        </c:ser>
        <c:ser>
          <c:idx val="1"/>
          <c:order val="1"/>
          <c:tx>
            <c:strRef>
              <c:f>'Wartość netto  śr. trw. 2019'!$D$32</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'Wartość netto  śr. trw. 2019'!$B$33:$B$45</c:f>
              <c:strCache>
                <c:ptCount val="13"/>
                <c:pt idx="0">
                  <c:v>Transport kolejowy pasażerski międzymiastowy</c:v>
                </c:pt>
                <c:pt idx="1">
                  <c:v>Pozostały transport lądowy pasażerski</c:v>
                </c:pt>
                <c:pt idx="2">
                  <c:v>Transport lotniczy pasażerski</c:v>
                </c:pt>
                <c:pt idx="3">
                  <c:v>Hotele i podobne obiekty zakwaterowania</c:v>
                </c:pt>
                <c:pt idx="4">
                  <c:v>Obiekty noclegowe turystyczne i miejsca krótkotrwałego zakwaterowania</c:v>
                </c:pt>
                <c:pt idx="5">
                  <c:v>Pozostałe zakwaterowanie</c:v>
                </c:pt>
                <c:pt idx="6">
                  <c:v>Restauracje i pozostałe placówki gastronomiczne</c:v>
                </c:pt>
                <c:pt idx="7">
                  <c:v>Przygotowywanie żywności dla odbiorców zewnętrznych</c:v>
                </c:pt>
                <c:pt idx="8">
                  <c:v>Przygotowywanie i podawanie napojów</c:v>
                </c:pt>
                <c:pt idx="9">
                  <c:v>Działalność agentów i pośredników turystycznych oraz organizatorów turystyki	</c:v>
                </c:pt>
                <c:pt idx="10">
                  <c:v>Pozostała działalność usługowa w zakresie rezerwacji i działalności z nią związane</c:v>
                </c:pt>
                <c:pt idx="11">
                  <c:v>Działalność bibliotek, archiwów, muzeów oraz pozostała działalność związana z kulturą</c:v>
                </c:pt>
                <c:pt idx="12">
                  <c:v>Działalność sportowa, rozrywkowa i rekreacyjna</c:v>
                </c:pt>
              </c:strCache>
            </c:strRef>
          </c:cat>
          <c:val>
            <c:numRef>
              <c:f>'Wartość netto  śr. trw. 2019'!$D$33:$D$45</c:f>
              <c:numCache>
                <c:formatCode>#,##0</c:formatCode>
                <c:ptCount val="13"/>
                <c:pt idx="0">
                  <c:v>9421408</c:v>
                </c:pt>
                <c:pt idx="1">
                  <c:v>13981874</c:v>
                </c:pt>
                <c:pt idx="2">
                  <c:v>3712413</c:v>
                </c:pt>
                <c:pt idx="3">
                  <c:v>10804241</c:v>
                </c:pt>
                <c:pt idx="4">
                  <c:v>864496</c:v>
                </c:pt>
                <c:pt idx="5">
                  <c:v>13004</c:v>
                </c:pt>
                <c:pt idx="6">
                  <c:v>3683844</c:v>
                </c:pt>
                <c:pt idx="7">
                  <c:v>290002</c:v>
                </c:pt>
                <c:pt idx="8">
                  <c:v>25319</c:v>
                </c:pt>
                <c:pt idx="9">
                  <c:v>186699</c:v>
                </c:pt>
                <c:pt idx="10">
                  <c:v>19888</c:v>
                </c:pt>
                <c:pt idx="11">
                  <c:v>8545087</c:v>
                </c:pt>
                <c:pt idx="12">
                  <c:v>3542886</c:v>
                </c:pt>
              </c:numCache>
            </c:numRef>
          </c:val>
          <c:extLst>
            <c:ext xmlns:c16="http://schemas.microsoft.com/office/drawing/2014/chart" uri="{C3380CC4-5D6E-409C-BE32-E72D297353CC}">
              <c16:uniqueId val="{00000001-1BA3-49D4-9C17-8E52B5B62CEA}"/>
            </c:ext>
          </c:extLst>
        </c:ser>
        <c:dLbls>
          <c:dLblPos val="outEnd"/>
          <c:showLegendKey val="0"/>
          <c:showVal val="1"/>
          <c:showCatName val="0"/>
          <c:showSerName val="0"/>
          <c:showPercent val="0"/>
          <c:showBubbleSize val="0"/>
        </c:dLbls>
        <c:gapWidth val="140"/>
        <c:axId val="-943310608"/>
        <c:axId val="-940247328"/>
      </c:barChart>
      <c:catAx>
        <c:axId val="-943310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0247328"/>
        <c:crosses val="autoZero"/>
        <c:auto val="1"/>
        <c:lblAlgn val="ctr"/>
        <c:lblOffset val="100"/>
        <c:noMultiLvlLbl val="0"/>
      </c:catAx>
      <c:valAx>
        <c:axId val="-940247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3310608"/>
        <c:crosses val="autoZero"/>
        <c:crossBetween val="between"/>
      </c:valAx>
      <c:spPr>
        <a:noFill/>
        <a:ln>
          <a:noFill/>
        </a:ln>
        <a:effectLst/>
      </c:spPr>
    </c:plotArea>
    <c:legend>
      <c:legendPos val="r"/>
      <c:layout>
        <c:manualLayout>
          <c:xMode val="edge"/>
          <c:yMode val="edge"/>
          <c:x val="0.91898894582621615"/>
          <c:y val="0.20038562709980987"/>
          <c:w val="7.8806468635864962E-2"/>
          <c:h val="0.138368767851096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5556780595372E-2"/>
          <c:y val="1.28287363694676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0.29401869970222849"/>
          <c:y val="0.13305798689852671"/>
          <c:w val="0.38550174061759368"/>
          <c:h val="0.56069608521513392"/>
        </c:manualLayout>
      </c:layout>
      <c:pieChart>
        <c:varyColors val="1"/>
        <c:ser>
          <c:idx val="0"/>
          <c:order val="0"/>
          <c:tx>
            <c:strRef>
              <c:f>Arkusz1!$B$1</c:f>
              <c:strCache>
                <c:ptCount val="1"/>
                <c:pt idx="0">
                  <c:v>2018</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AC1C-4861-875D-F007DE11E0FE}"/>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2-AC1C-4861-875D-F007DE11E0FE}"/>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AC1C-4861-875D-F007DE11E0FE}"/>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4-AC1C-4861-875D-F007DE11E0FE}"/>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5-AC1C-4861-875D-F007DE11E0FE}"/>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6-AC1C-4861-875D-F007DE11E0FE}"/>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7-AC1C-4861-875D-F007DE11E0FE}"/>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8-AC1C-4861-875D-F007DE11E0FE}"/>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9-AC1C-4861-875D-F007DE11E0FE}"/>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0A-AC1C-4861-875D-F007DE11E0FE}"/>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0B-AC1C-4861-875D-F007DE11E0FE}"/>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0C-AC1C-4861-875D-F007DE11E0FE}"/>
              </c:ext>
            </c:extLst>
          </c:dPt>
          <c:dPt>
            <c:idx val="12"/>
            <c:bubble3D val="0"/>
            <c:spPr>
              <a:gradFill>
                <a:gsLst>
                  <a:gs pos="100000">
                    <a:schemeClr val="accent6">
                      <a:lumMod val="60000"/>
                      <a:lumOff val="40000"/>
                      <a:lumMod val="60000"/>
                      <a:lumOff val="40000"/>
                    </a:schemeClr>
                  </a:gs>
                  <a:gs pos="0">
                    <a:schemeClr val="accent6">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0D-AC1C-4861-875D-F007DE11E0FE}"/>
              </c:ext>
            </c:extLst>
          </c:dPt>
          <c:dPt>
            <c:idx val="1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E-AC1C-4861-875D-F007DE11E0FE}"/>
              </c:ext>
            </c:extLst>
          </c:dPt>
          <c:dLbls>
            <c:dLbl>
              <c:idx val="0"/>
              <c:layout>
                <c:manualLayout>
                  <c:x val="3.8023943258470777E-2"/>
                  <c:y val="-2.1365149272954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C1C-4861-875D-F007DE11E0FE}"/>
                </c:ext>
              </c:extLst>
            </c:dLbl>
            <c:dLbl>
              <c:idx val="1"/>
              <c:layout>
                <c:manualLayout>
                  <c:x val="0.11525857503754698"/>
                  <c:y val="-0.135384584303485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C1C-4861-875D-F007DE11E0FE}"/>
                </c:ext>
              </c:extLst>
            </c:dLbl>
            <c:dLbl>
              <c:idx val="2"/>
              <c:layout>
                <c:manualLayout>
                  <c:x val="6.8901718045993973E-2"/>
                  <c:y val="-5.84795927128736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C1C-4861-875D-F007DE11E0FE}"/>
                </c:ext>
              </c:extLst>
            </c:dLbl>
            <c:dLbl>
              <c:idx val="3"/>
              <c:layout>
                <c:manualLayout>
                  <c:x val="0.13715198499856757"/>
                  <c:y val="2.38450349254771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C1C-4861-875D-F007DE11E0FE}"/>
                </c:ext>
              </c:extLst>
            </c:dLbl>
            <c:dLbl>
              <c:idx val="4"/>
              <c:layout>
                <c:manualLayout>
                  <c:x val="0.10911146029568795"/>
                  <c:y val="0.100143439414524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C1C-4861-875D-F007DE11E0FE}"/>
                </c:ext>
              </c:extLst>
            </c:dLbl>
            <c:dLbl>
              <c:idx val="5"/>
              <c:layout>
                <c:manualLayout>
                  <c:x val="0.15554636293396071"/>
                  <c:y val="0.16769279722010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AC1C-4861-875D-F007DE11E0FE}"/>
                </c:ext>
              </c:extLst>
            </c:dLbl>
            <c:dLbl>
              <c:idx val="6"/>
              <c:layout>
                <c:manualLayout>
                  <c:x val="5.1363845506081307E-2"/>
                  <c:y val="0.141619653220063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C1C-4861-875D-F007DE11E0FE}"/>
                </c:ext>
              </c:extLst>
            </c:dLbl>
            <c:dLbl>
              <c:idx val="11"/>
              <c:layout>
                <c:manualLayout>
                  <c:x val="-0.10930592330864926"/>
                  <c:y val="-5.01939462506250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AC1C-4861-875D-F007DE11E0FE}"/>
                </c:ext>
              </c:extLst>
            </c:dLbl>
            <c:dLbl>
              <c:idx val="12"/>
              <c:layout>
                <c:manualLayout>
                  <c:x val="-4.9776714790474783E-2"/>
                  <c:y val="-2.0206774986994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C1C-4861-875D-F007DE11E0FE}"/>
                </c:ext>
              </c:extLst>
            </c:dLbl>
            <c:dLbl>
              <c:idx val="13"/>
              <c:layout>
                <c:manualLayout>
                  <c:x val="-6.2150378942433741E-2"/>
                  <c:y val="-1.1831731424848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AC1C-4861-875D-F007DE11E0F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Arkusz1!$A$2:$A$15</c:f>
              <c:strCache>
                <c:ptCount val="14"/>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i wyroby tytoniowe, wyroby odzieżowe**</c:v>
                </c:pt>
                <c:pt idx="12">
                  <c:v>Produkty rafinacji ropy naftowej**</c:v>
                </c:pt>
                <c:pt idx="13">
                  <c:v>Produkty pozostałe </c:v>
                </c:pt>
              </c:strCache>
            </c:strRef>
          </c:cat>
          <c:val>
            <c:numRef>
              <c:f>Arkusz1!$B$2:$B$15</c:f>
              <c:numCache>
                <c:formatCode>#,##0</c:formatCode>
                <c:ptCount val="14"/>
                <c:pt idx="0">
                  <c:v>16685406</c:v>
                </c:pt>
                <c:pt idx="1">
                  <c:v>16543772</c:v>
                </c:pt>
                <c:pt idx="2">
                  <c:v>2642343</c:v>
                </c:pt>
                <c:pt idx="3">
                  <c:v>3361619</c:v>
                </c:pt>
                <c:pt idx="4">
                  <c:v>280851</c:v>
                </c:pt>
                <c:pt idx="5">
                  <c:v>7669614</c:v>
                </c:pt>
                <c:pt idx="6">
                  <c:v>3859908</c:v>
                </c:pt>
                <c:pt idx="7">
                  <c:v>3224519</c:v>
                </c:pt>
                <c:pt idx="8">
                  <c:v>1300000</c:v>
                </c:pt>
                <c:pt idx="9">
                  <c:v>192978</c:v>
                </c:pt>
                <c:pt idx="10">
                  <c:v>1082992</c:v>
                </c:pt>
                <c:pt idx="11">
                  <c:v>17880077</c:v>
                </c:pt>
                <c:pt idx="12">
                  <c:v>12937612</c:v>
                </c:pt>
                <c:pt idx="13">
                  <c:v>19680777</c:v>
                </c:pt>
              </c:numCache>
            </c:numRef>
          </c:val>
          <c:extLst>
            <c:ext xmlns:c16="http://schemas.microsoft.com/office/drawing/2014/chart" uri="{C3380CC4-5D6E-409C-BE32-E72D297353CC}">
              <c16:uniqueId val="{00000000-AC1C-4861-875D-F007DE11E0FE}"/>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5556780595372E-2"/>
          <c:y val="1.28287363694676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0.29401869970222849"/>
          <c:y val="0.13305798689852671"/>
          <c:w val="0.38550174061759368"/>
          <c:h val="0.56069608521513392"/>
        </c:manualLayout>
      </c:layout>
      <c:pieChart>
        <c:varyColors val="1"/>
        <c:ser>
          <c:idx val="0"/>
          <c:order val="0"/>
          <c:tx>
            <c:strRef>
              <c:f>Arkusz1!$B$1</c:f>
              <c:strCache>
                <c:ptCount val="1"/>
                <c:pt idx="0">
                  <c:v>2019</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DE31-48ED-B680-CD44E6390078}"/>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DE31-48ED-B680-CD44E6390078}"/>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DE31-48ED-B680-CD44E6390078}"/>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DE31-48ED-B680-CD44E6390078}"/>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DE31-48ED-B680-CD44E6390078}"/>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DE31-48ED-B680-CD44E6390078}"/>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DE31-48ED-B680-CD44E6390078}"/>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DE31-48ED-B680-CD44E6390078}"/>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DE31-48ED-B680-CD44E6390078}"/>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DE31-48ED-B680-CD44E6390078}"/>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DE31-48ED-B680-CD44E6390078}"/>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7-DE31-48ED-B680-CD44E6390078}"/>
              </c:ext>
            </c:extLst>
          </c:dPt>
          <c:dPt>
            <c:idx val="12"/>
            <c:bubble3D val="0"/>
            <c:spPr>
              <a:gradFill>
                <a:gsLst>
                  <a:gs pos="100000">
                    <a:schemeClr val="accent6">
                      <a:lumMod val="60000"/>
                      <a:lumOff val="40000"/>
                      <a:lumMod val="60000"/>
                      <a:lumOff val="40000"/>
                    </a:schemeClr>
                  </a:gs>
                  <a:gs pos="0">
                    <a:schemeClr val="accent6">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DE31-48ED-B680-CD44E6390078}"/>
              </c:ext>
            </c:extLst>
          </c:dPt>
          <c:dPt>
            <c:idx val="1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1B-DE31-48ED-B680-CD44E6390078}"/>
              </c:ext>
            </c:extLst>
          </c:dPt>
          <c:dLbls>
            <c:dLbl>
              <c:idx val="0"/>
              <c:layout>
                <c:manualLayout>
                  <c:x val="3.8023943258470777E-2"/>
                  <c:y val="-2.13651492729540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E31-48ED-B680-CD44E6390078}"/>
                </c:ext>
              </c:extLst>
            </c:dLbl>
            <c:dLbl>
              <c:idx val="1"/>
              <c:layout>
                <c:manualLayout>
                  <c:x val="0.11525857503754698"/>
                  <c:y val="-0.135384584303485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31-48ED-B680-CD44E6390078}"/>
                </c:ext>
              </c:extLst>
            </c:dLbl>
            <c:dLbl>
              <c:idx val="2"/>
              <c:layout>
                <c:manualLayout>
                  <c:x val="9.9772721353601476E-2"/>
                  <c:y val="-0.106587354098377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31-48ED-B680-CD44E6390078}"/>
                </c:ext>
              </c:extLst>
            </c:dLbl>
            <c:dLbl>
              <c:idx val="3"/>
              <c:layout>
                <c:manualLayout>
                  <c:x val="0.11951141167993472"/>
                  <c:y val="1.394746278908732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E31-48ED-B680-CD44E6390078}"/>
                </c:ext>
              </c:extLst>
            </c:dLbl>
            <c:dLbl>
              <c:idx val="4"/>
              <c:layout>
                <c:manualLayout>
                  <c:x val="0.17526361024056133"/>
                  <c:y val="9.37290712297909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31-48ED-B680-CD44E6390078}"/>
                </c:ext>
              </c:extLst>
            </c:dLbl>
            <c:dLbl>
              <c:idx val="5"/>
              <c:layout>
                <c:manualLayout>
                  <c:x val="0.15554636293396071"/>
                  <c:y val="0.1676927972201037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E31-48ED-B680-CD44E6390078}"/>
                </c:ext>
              </c:extLst>
            </c:dLbl>
            <c:dLbl>
              <c:idx val="6"/>
              <c:layout>
                <c:manualLayout>
                  <c:x val="9.987550894616673E-2"/>
                  <c:y val="0.106340628204027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E31-48ED-B680-CD44E6390078}"/>
                </c:ext>
              </c:extLst>
            </c:dLbl>
            <c:dLbl>
              <c:idx val="9"/>
              <c:layout>
                <c:manualLayout>
                  <c:x val="-0.1111107831476964"/>
                  <c:y val="0.1526356992418923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E31-48ED-B680-CD44E6390078}"/>
                </c:ext>
              </c:extLst>
            </c:dLbl>
            <c:dLbl>
              <c:idx val="10"/>
              <c:layout>
                <c:manualLayout>
                  <c:x val="-6.5853076248600123E-2"/>
                  <c:y val="-2.6252190734015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E31-48ED-B680-CD44E6390078}"/>
                </c:ext>
              </c:extLst>
            </c:dLbl>
            <c:dLbl>
              <c:idx val="11"/>
              <c:layout>
                <c:manualLayout>
                  <c:x val="-0.10930592330864926"/>
                  <c:y val="-5.01939462506250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E31-48ED-B680-CD44E6390078}"/>
                </c:ext>
              </c:extLst>
            </c:dLbl>
            <c:dLbl>
              <c:idx val="12"/>
              <c:layout>
                <c:manualLayout>
                  <c:x val="-4.9776714790474783E-2"/>
                  <c:y val="-2.0206774986994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DE31-48ED-B680-CD44E6390078}"/>
                </c:ext>
              </c:extLst>
            </c:dLbl>
            <c:dLbl>
              <c:idx val="13"/>
              <c:layout>
                <c:manualLayout>
                  <c:x val="-6.2150378942433741E-2"/>
                  <c:y val="-1.1831731424848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DE31-48ED-B680-CD44E639007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Arkusz1!$A$2:$A$15</c:f>
              <c:strCache>
                <c:ptCount val="14"/>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i wyroby tytoniowe, wyroby odzieżowe**</c:v>
                </c:pt>
                <c:pt idx="12">
                  <c:v>Produkty rafinacji ropy naftowej**</c:v>
                </c:pt>
                <c:pt idx="13">
                  <c:v>Produkty pozostałe </c:v>
                </c:pt>
              </c:strCache>
            </c:strRef>
          </c:cat>
          <c:val>
            <c:numRef>
              <c:f>Arkusz1!$B$2:$B$15</c:f>
              <c:numCache>
                <c:formatCode>_-* #\ ##0_-;\-* #\ ##0_-;_-* "-"??_-;_-@_-</c:formatCode>
                <c:ptCount val="14"/>
                <c:pt idx="0">
                  <c:v>18989489</c:v>
                </c:pt>
                <c:pt idx="1">
                  <c:v>17825134</c:v>
                </c:pt>
                <c:pt idx="2">
                  <c:v>2760540</c:v>
                </c:pt>
                <c:pt idx="3">
                  <c:v>4176829</c:v>
                </c:pt>
                <c:pt idx="4">
                  <c:v>275057</c:v>
                </c:pt>
                <c:pt idx="5">
                  <c:v>9258304</c:v>
                </c:pt>
                <c:pt idx="6">
                  <c:v>4997544</c:v>
                </c:pt>
                <c:pt idx="7">
                  <c:v>3565902</c:v>
                </c:pt>
                <c:pt idx="8">
                  <c:v>1291800</c:v>
                </c:pt>
                <c:pt idx="9">
                  <c:v>212978</c:v>
                </c:pt>
                <c:pt idx="10">
                  <c:v>1159332</c:v>
                </c:pt>
                <c:pt idx="11">
                  <c:v>19123150</c:v>
                </c:pt>
                <c:pt idx="12">
                  <c:v>13910298</c:v>
                </c:pt>
                <c:pt idx="13">
                  <c:v>18787219</c:v>
                </c:pt>
              </c:numCache>
            </c:numRef>
          </c:val>
          <c:extLst>
            <c:ext xmlns:c16="http://schemas.microsoft.com/office/drawing/2014/chart" uri="{C3380CC4-5D6E-409C-BE32-E72D297353CC}">
              <c16:uniqueId val="{0000001C-DE31-48ED-B680-CD44E639007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'2018'!$B$105</c:f>
              <c:strCache>
                <c:ptCount val="1"/>
                <c:pt idx="0">
                  <c:v>Spożycie nierezydentów</c:v>
                </c:pt>
              </c:strCache>
            </c:strRef>
          </c:tx>
          <c:spPr>
            <a:solidFill>
              <a:schemeClr val="accent1"/>
            </a:solidFill>
            <a:ln>
              <a:noFill/>
            </a:ln>
            <a:effectLst/>
          </c:spPr>
          <c:invertIfNegative val="0"/>
          <c:cat>
            <c:strRef>
              <c:f>'2018'!$A$106:$A$120</c:f>
              <c:strCache>
                <c:ptCount val="15"/>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wyr. tytoniowe, odzieżowe**</c:v>
                </c:pt>
                <c:pt idx="12">
                  <c:v>Produkty rafinacji ropy naftowej**</c:v>
                </c:pt>
                <c:pt idx="13">
                  <c:v>Produkty pozostałe </c:v>
                </c:pt>
                <c:pt idx="14">
                  <c:v>Ogółem produkty </c:v>
                </c:pt>
              </c:strCache>
            </c:strRef>
          </c:cat>
          <c:val>
            <c:numRef>
              <c:f>'2018'!$B$106:$B$120</c:f>
              <c:numCache>
                <c:formatCode>General</c:formatCode>
                <c:ptCount val="15"/>
                <c:pt idx="0">
                  <c:v>5243149.5228400007</c:v>
                </c:pt>
                <c:pt idx="1">
                  <c:v>4783659.1723600002</c:v>
                </c:pt>
                <c:pt idx="2">
                  <c:v>150000</c:v>
                </c:pt>
                <c:pt idx="3">
                  <c:v>545679.65523999999</c:v>
                </c:pt>
                <c:pt idx="4">
                  <c:v>45850.786</c:v>
                </c:pt>
                <c:pt idx="5">
                  <c:v>4898526.1660000002</c:v>
                </c:pt>
                <c:pt idx="6">
                  <c:v>1178178.3241600001</c:v>
                </c:pt>
                <c:pt idx="7">
                  <c:v>1600000</c:v>
                </c:pt>
                <c:pt idx="8">
                  <c:v>900000</c:v>
                </c:pt>
                <c:pt idx="9">
                  <c:v>130000</c:v>
                </c:pt>
                <c:pt idx="10">
                  <c:v>150000</c:v>
                </c:pt>
                <c:pt idx="11">
                  <c:v>8437718.1053999998</c:v>
                </c:pt>
                <c:pt idx="12">
                  <c:v>3655676.1170399999</c:v>
                </c:pt>
                <c:pt idx="13">
                  <c:v>17938871.340520002</c:v>
                </c:pt>
                <c:pt idx="14">
                  <c:v>49657309.189560004</c:v>
                </c:pt>
              </c:numCache>
            </c:numRef>
          </c:val>
          <c:extLst>
            <c:ext xmlns:c16="http://schemas.microsoft.com/office/drawing/2014/chart" uri="{C3380CC4-5D6E-409C-BE32-E72D297353CC}">
              <c16:uniqueId val="{00000000-3107-48AE-9A70-1D73C759FAE7}"/>
            </c:ext>
          </c:extLst>
        </c:ser>
        <c:ser>
          <c:idx val="1"/>
          <c:order val="1"/>
          <c:tx>
            <c:strRef>
              <c:f>'2018'!$C$105</c:f>
              <c:strCache>
                <c:ptCount val="1"/>
                <c:pt idx="0">
                  <c:v>Krajowe spożycie rezydentów</c:v>
                </c:pt>
              </c:strCache>
            </c:strRef>
          </c:tx>
          <c:spPr>
            <a:solidFill>
              <a:schemeClr val="accent2"/>
            </a:solidFill>
            <a:ln>
              <a:noFill/>
            </a:ln>
            <a:effectLst/>
          </c:spPr>
          <c:invertIfNegative val="0"/>
          <c:cat>
            <c:strRef>
              <c:f>'2018'!$A$106:$A$120</c:f>
              <c:strCache>
                <c:ptCount val="15"/>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wyr. tytoniowe, odzieżowe**</c:v>
                </c:pt>
                <c:pt idx="12">
                  <c:v>Produkty rafinacji ropy naftowej**</c:v>
                </c:pt>
                <c:pt idx="13">
                  <c:v>Produkty pozostałe </c:v>
                </c:pt>
                <c:pt idx="14">
                  <c:v>Ogółem produkty </c:v>
                </c:pt>
              </c:strCache>
            </c:strRef>
          </c:cat>
          <c:val>
            <c:numRef>
              <c:f>'2018'!$C$106:$C$120</c:f>
              <c:numCache>
                <c:formatCode>General</c:formatCode>
                <c:ptCount val="15"/>
                <c:pt idx="0">
                  <c:v>9728741.0974773746</c:v>
                </c:pt>
                <c:pt idx="1">
                  <c:v>11760112.898227086</c:v>
                </c:pt>
                <c:pt idx="2">
                  <c:v>1038108.3300379742</c:v>
                </c:pt>
                <c:pt idx="3">
                  <c:v>2724920.5354756862</c:v>
                </c:pt>
                <c:pt idx="4">
                  <c:v>235000</c:v>
                </c:pt>
                <c:pt idx="5">
                  <c:v>2748030.8560916334</c:v>
                </c:pt>
                <c:pt idx="6">
                  <c:v>2600371.2200000002</c:v>
                </c:pt>
                <c:pt idx="7">
                  <c:v>1624519.1081826261</c:v>
                </c:pt>
                <c:pt idx="8">
                  <c:v>400000</c:v>
                </c:pt>
                <c:pt idx="9">
                  <c:v>0</c:v>
                </c:pt>
                <c:pt idx="10">
                  <c:v>276402</c:v>
                </c:pt>
                <c:pt idx="11">
                  <c:v>9442359</c:v>
                </c:pt>
                <c:pt idx="12">
                  <c:v>8134499.1029118896</c:v>
                </c:pt>
                <c:pt idx="13">
                  <c:v>1741905.98</c:v>
                </c:pt>
                <c:pt idx="14">
                  <c:v>52454970.128404267</c:v>
                </c:pt>
              </c:numCache>
            </c:numRef>
          </c:val>
          <c:extLst>
            <c:ext xmlns:c16="http://schemas.microsoft.com/office/drawing/2014/chart" uri="{C3380CC4-5D6E-409C-BE32-E72D297353CC}">
              <c16:uniqueId val="{00000001-3107-48AE-9A70-1D73C759FAE7}"/>
            </c:ext>
          </c:extLst>
        </c:ser>
        <c:ser>
          <c:idx val="2"/>
          <c:order val="2"/>
          <c:tx>
            <c:strRef>
              <c:f>'2018'!$E$105</c:f>
              <c:strCache>
                <c:ptCount val="1"/>
                <c:pt idx="0">
                  <c:v>Inne składowe spożycia turystycznego</c:v>
                </c:pt>
              </c:strCache>
            </c:strRef>
          </c:tx>
          <c:spPr>
            <a:solidFill>
              <a:schemeClr val="accent3"/>
            </a:solidFill>
            <a:ln>
              <a:noFill/>
            </a:ln>
            <a:effectLst/>
          </c:spPr>
          <c:invertIfNegative val="0"/>
          <c:cat>
            <c:strRef>
              <c:f>'2018'!$A$106:$A$120</c:f>
              <c:strCache>
                <c:ptCount val="15"/>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wyr. tytoniowe, odzieżowe**</c:v>
                </c:pt>
                <c:pt idx="12">
                  <c:v>Produkty rafinacji ropy naftowej**</c:v>
                </c:pt>
                <c:pt idx="13">
                  <c:v>Produkty pozostałe </c:v>
                </c:pt>
                <c:pt idx="14">
                  <c:v>Ogółem produkty </c:v>
                </c:pt>
              </c:strCache>
            </c:strRef>
          </c:cat>
          <c:val>
            <c:numRef>
              <c:f>'2018'!$E$106:$E$120</c:f>
              <c:numCache>
                <c:formatCode>General</c:formatCode>
                <c:ptCount val="15"/>
                <c:pt idx="0">
                  <c:v>1713515.35852118</c:v>
                </c:pt>
                <c:pt idx="1">
                  <c:v>0</c:v>
                </c:pt>
                <c:pt idx="2">
                  <c:v>1454234.8184667472</c:v>
                </c:pt>
                <c:pt idx="3">
                  <c:v>91018.391066250042</c:v>
                </c:pt>
                <c:pt idx="4">
                  <c:v>0</c:v>
                </c:pt>
                <c:pt idx="5">
                  <c:v>23056.917488881762</c:v>
                </c:pt>
                <c:pt idx="6">
                  <c:v>81358.600000000006</c:v>
                </c:pt>
                <c:pt idx="7">
                  <c:v>0</c:v>
                </c:pt>
                <c:pt idx="8">
                  <c:v>0</c:v>
                </c:pt>
                <c:pt idx="9">
                  <c:v>62978</c:v>
                </c:pt>
                <c:pt idx="10">
                  <c:v>656590</c:v>
                </c:pt>
                <c:pt idx="11">
                  <c:v>0</c:v>
                </c:pt>
                <c:pt idx="12">
                  <c:v>1147437.0997756855</c:v>
                </c:pt>
                <c:pt idx="13">
                  <c:v>0</c:v>
                </c:pt>
                <c:pt idx="14">
                  <c:v>5230189.1853187447</c:v>
                </c:pt>
              </c:numCache>
            </c:numRef>
          </c:val>
          <c:extLst>
            <c:ext xmlns:c16="http://schemas.microsoft.com/office/drawing/2014/chart" uri="{C3380CC4-5D6E-409C-BE32-E72D297353CC}">
              <c16:uniqueId val="{00000002-3107-48AE-9A70-1D73C759FAE7}"/>
            </c:ext>
          </c:extLst>
        </c:ser>
        <c:dLbls>
          <c:showLegendKey val="0"/>
          <c:showVal val="0"/>
          <c:showCatName val="0"/>
          <c:showSerName val="0"/>
          <c:showPercent val="0"/>
          <c:showBubbleSize val="0"/>
        </c:dLbls>
        <c:gapWidth val="150"/>
        <c:overlap val="100"/>
        <c:axId val="1349615632"/>
        <c:axId val="1349598992"/>
      </c:barChart>
      <c:catAx>
        <c:axId val="1349615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9598992"/>
        <c:crosses val="autoZero"/>
        <c:auto val="1"/>
        <c:lblAlgn val="ctr"/>
        <c:lblOffset val="100"/>
        <c:noMultiLvlLbl val="0"/>
      </c:catAx>
      <c:valAx>
        <c:axId val="13495989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349615632"/>
        <c:crosses val="autoZero"/>
        <c:crossBetween val="between"/>
      </c:valAx>
      <c:spPr>
        <a:noFill/>
        <a:ln>
          <a:noFill/>
        </a:ln>
        <a:effectLst/>
      </c:spPr>
    </c:plotArea>
    <c:legend>
      <c:legendPos val="b"/>
      <c:layout>
        <c:manualLayout>
          <c:xMode val="edge"/>
          <c:yMode val="edge"/>
          <c:x val="0.17314654418197725"/>
          <c:y val="0.85069335083114606"/>
          <c:w val="0.82592913385826772"/>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'2019'!$B$105</c:f>
              <c:strCache>
                <c:ptCount val="1"/>
                <c:pt idx="0">
                  <c:v>Spożycie nierezydentów</c:v>
                </c:pt>
              </c:strCache>
            </c:strRef>
          </c:tx>
          <c:spPr>
            <a:solidFill>
              <a:schemeClr val="accent1"/>
            </a:solidFill>
            <a:ln>
              <a:noFill/>
            </a:ln>
            <a:effectLst/>
          </c:spPr>
          <c:invertIfNegative val="0"/>
          <c:cat>
            <c:strRef>
              <c:f>'2019'!$A$106:$A$120</c:f>
              <c:strCache>
                <c:ptCount val="15"/>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wyr. tytoniowe, odzieżowe**</c:v>
                </c:pt>
                <c:pt idx="12">
                  <c:v>Produkty rafinacji ropy naftowej***</c:v>
                </c:pt>
                <c:pt idx="13">
                  <c:v>Produkty pozostałe </c:v>
                </c:pt>
                <c:pt idx="14">
                  <c:v>Ogółem produkty </c:v>
                </c:pt>
              </c:strCache>
            </c:strRef>
          </c:cat>
          <c:val>
            <c:numRef>
              <c:f>'2019'!$B$106:$B$120</c:f>
              <c:numCache>
                <c:formatCode>General</c:formatCode>
                <c:ptCount val="15"/>
                <c:pt idx="0">
                  <c:v>6112752.5579200005</c:v>
                </c:pt>
                <c:pt idx="1">
                  <c:v>4802793.3570400001</c:v>
                </c:pt>
                <c:pt idx="2">
                  <c:v>155552.144</c:v>
                </c:pt>
                <c:pt idx="3">
                  <c:v>520971.674</c:v>
                </c:pt>
                <c:pt idx="4">
                  <c:v>50057.207999999999</c:v>
                </c:pt>
                <c:pt idx="5">
                  <c:v>5412200</c:v>
                </c:pt>
                <c:pt idx="6">
                  <c:v>1441200.48</c:v>
                </c:pt>
                <c:pt idx="7">
                  <c:v>1767716.8771200001</c:v>
                </c:pt>
                <c:pt idx="8">
                  <c:v>1174372.0041608938</c:v>
                </c:pt>
                <c:pt idx="9">
                  <c:v>150000</c:v>
                </c:pt>
                <c:pt idx="10">
                  <c:v>170000</c:v>
                </c:pt>
                <c:pt idx="11">
                  <c:v>8501256.0572917461</c:v>
                </c:pt>
                <c:pt idx="12">
                  <c:v>3686698.54048</c:v>
                </c:pt>
                <c:pt idx="13">
                  <c:v>16893600</c:v>
                </c:pt>
                <c:pt idx="14">
                  <c:v>50839600</c:v>
                </c:pt>
              </c:numCache>
            </c:numRef>
          </c:val>
          <c:extLst>
            <c:ext xmlns:c16="http://schemas.microsoft.com/office/drawing/2014/chart" uri="{C3380CC4-5D6E-409C-BE32-E72D297353CC}">
              <c16:uniqueId val="{00000000-4259-427A-B781-74CB9FB0F499}"/>
            </c:ext>
          </c:extLst>
        </c:ser>
        <c:ser>
          <c:idx val="1"/>
          <c:order val="1"/>
          <c:tx>
            <c:strRef>
              <c:f>'2019'!$C$105</c:f>
              <c:strCache>
                <c:ptCount val="1"/>
                <c:pt idx="0">
                  <c:v>Krajowe spożycie rezydentów</c:v>
                </c:pt>
              </c:strCache>
            </c:strRef>
          </c:tx>
          <c:spPr>
            <a:solidFill>
              <a:schemeClr val="accent2"/>
            </a:solidFill>
            <a:ln>
              <a:noFill/>
            </a:ln>
            <a:effectLst/>
          </c:spPr>
          <c:invertIfNegative val="0"/>
          <c:cat>
            <c:strRef>
              <c:f>'2019'!$A$106:$A$120</c:f>
              <c:strCache>
                <c:ptCount val="15"/>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wyr. tytoniowe, odzieżowe**</c:v>
                </c:pt>
                <c:pt idx="12">
                  <c:v>Produkty rafinacji ropy naftowej***</c:v>
                </c:pt>
                <c:pt idx="13">
                  <c:v>Produkty pozostałe </c:v>
                </c:pt>
                <c:pt idx="14">
                  <c:v>Ogółem produkty </c:v>
                </c:pt>
              </c:strCache>
            </c:strRef>
          </c:cat>
          <c:val>
            <c:numRef>
              <c:f>'2019'!$C$106:$C$120</c:f>
              <c:numCache>
                <c:formatCode>General</c:formatCode>
                <c:ptCount val="15"/>
                <c:pt idx="0">
                  <c:v>10944632.294611681</c:v>
                </c:pt>
                <c:pt idx="1">
                  <c:v>13022340.78755535</c:v>
                </c:pt>
                <c:pt idx="2">
                  <c:v>1081519.6389552676</c:v>
                </c:pt>
                <c:pt idx="3">
                  <c:v>3581959.8778963713</c:v>
                </c:pt>
                <c:pt idx="4">
                  <c:v>225000</c:v>
                </c:pt>
                <c:pt idx="5">
                  <c:v>3683738.467485474</c:v>
                </c:pt>
                <c:pt idx="6">
                  <c:v>3384506.8398656948</c:v>
                </c:pt>
                <c:pt idx="7">
                  <c:v>1798184.9768724805</c:v>
                </c:pt>
                <c:pt idx="8">
                  <c:v>0</c:v>
                </c:pt>
                <c:pt idx="9">
                  <c:v>0</c:v>
                </c:pt>
                <c:pt idx="10">
                  <c:v>281653.63799999998</c:v>
                </c:pt>
                <c:pt idx="11">
                  <c:v>10621893.568837395</c:v>
                </c:pt>
                <c:pt idx="12">
                  <c:v>9064687.6013572924</c:v>
                </c:pt>
                <c:pt idx="13">
                  <c:v>1893600</c:v>
                </c:pt>
                <c:pt idx="14">
                  <c:v>59701100</c:v>
                </c:pt>
              </c:numCache>
            </c:numRef>
          </c:val>
          <c:extLst>
            <c:ext xmlns:c16="http://schemas.microsoft.com/office/drawing/2014/chart" uri="{C3380CC4-5D6E-409C-BE32-E72D297353CC}">
              <c16:uniqueId val="{00000001-4259-427A-B781-74CB9FB0F499}"/>
            </c:ext>
          </c:extLst>
        </c:ser>
        <c:ser>
          <c:idx val="2"/>
          <c:order val="2"/>
          <c:tx>
            <c:strRef>
              <c:f>'2019'!$E$105</c:f>
              <c:strCache>
                <c:ptCount val="1"/>
                <c:pt idx="0">
                  <c:v>Inne składowe spożycia turystycznego</c:v>
                </c:pt>
              </c:strCache>
            </c:strRef>
          </c:tx>
          <c:spPr>
            <a:solidFill>
              <a:schemeClr val="accent3"/>
            </a:solidFill>
            <a:ln>
              <a:noFill/>
            </a:ln>
            <a:effectLst/>
          </c:spPr>
          <c:invertIfNegative val="0"/>
          <c:cat>
            <c:strRef>
              <c:f>'2019'!$A$106:$A$120</c:f>
              <c:strCache>
                <c:ptCount val="15"/>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wyr. tytoniowe, odzieżowe**</c:v>
                </c:pt>
                <c:pt idx="12">
                  <c:v>Produkty rafinacji ropy naftowej***</c:v>
                </c:pt>
                <c:pt idx="13">
                  <c:v>Produkty pozostałe </c:v>
                </c:pt>
                <c:pt idx="14">
                  <c:v>Ogółem produkty </c:v>
                </c:pt>
              </c:strCache>
            </c:strRef>
          </c:cat>
          <c:val>
            <c:numRef>
              <c:f>'2019'!$E$106:$E$120</c:f>
              <c:numCache>
                <c:formatCode>General</c:formatCode>
                <c:ptCount val="15"/>
                <c:pt idx="0">
                  <c:v>1932104.5949014083</c:v>
                </c:pt>
                <c:pt idx="1">
                  <c:v>0</c:v>
                </c:pt>
                <c:pt idx="2">
                  <c:v>1523467.8368247619</c:v>
                </c:pt>
                <c:pt idx="3">
                  <c:v>73897.933579273624</c:v>
                </c:pt>
                <c:pt idx="4">
                  <c:v>0</c:v>
                </c:pt>
                <c:pt idx="5">
                  <c:v>162365.21748888175</c:v>
                </c:pt>
                <c:pt idx="6">
                  <c:v>171836.43298595469</c:v>
                </c:pt>
                <c:pt idx="7">
                  <c:v>0</c:v>
                </c:pt>
                <c:pt idx="8">
                  <c:v>0</c:v>
                </c:pt>
                <c:pt idx="9">
                  <c:v>62978</c:v>
                </c:pt>
                <c:pt idx="10">
                  <c:v>707678</c:v>
                </c:pt>
                <c:pt idx="11">
                  <c:v>0</c:v>
                </c:pt>
                <c:pt idx="12">
                  <c:v>1158911.4707734424</c:v>
                </c:pt>
                <c:pt idx="13">
                  <c:v>0</c:v>
                </c:pt>
                <c:pt idx="14">
                  <c:v>5793200</c:v>
                </c:pt>
              </c:numCache>
            </c:numRef>
          </c:val>
          <c:extLst>
            <c:ext xmlns:c16="http://schemas.microsoft.com/office/drawing/2014/chart" uri="{C3380CC4-5D6E-409C-BE32-E72D297353CC}">
              <c16:uniqueId val="{00000002-4259-427A-B781-74CB9FB0F499}"/>
            </c:ext>
          </c:extLst>
        </c:ser>
        <c:dLbls>
          <c:showLegendKey val="0"/>
          <c:showVal val="0"/>
          <c:showCatName val="0"/>
          <c:showSerName val="0"/>
          <c:showPercent val="0"/>
          <c:showBubbleSize val="0"/>
        </c:dLbls>
        <c:gapWidth val="150"/>
        <c:overlap val="100"/>
        <c:axId val="1296549696"/>
        <c:axId val="1296550944"/>
      </c:barChart>
      <c:catAx>
        <c:axId val="1296549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6550944"/>
        <c:crosses val="autoZero"/>
        <c:auto val="1"/>
        <c:lblAlgn val="ctr"/>
        <c:lblOffset val="100"/>
        <c:noMultiLvlLbl val="0"/>
      </c:catAx>
      <c:valAx>
        <c:axId val="129655094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29654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5556780595372E-2"/>
          <c:y val="1.28287363694676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0.29401869970222849"/>
          <c:y val="0.13305798689852671"/>
          <c:w val="0.38550174061759368"/>
          <c:h val="0.56069608521513392"/>
        </c:manualLayout>
      </c:layout>
      <c:pieChart>
        <c:varyColors val="1"/>
        <c:ser>
          <c:idx val="0"/>
          <c:order val="0"/>
          <c:tx>
            <c:strRef>
              <c:f>Arkusz1!$B$1</c:f>
              <c:strCache>
                <c:ptCount val="1"/>
                <c:pt idx="0">
                  <c:v>2018</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DAEA-438A-84DE-76ADB02A0360}"/>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DAEA-438A-84DE-76ADB02A0360}"/>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DAEA-438A-84DE-76ADB02A0360}"/>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DAEA-438A-84DE-76ADB02A0360}"/>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DAEA-438A-84DE-76ADB02A0360}"/>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DAEA-438A-84DE-76ADB02A0360}"/>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DAEA-438A-84DE-76ADB02A0360}"/>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DAEA-438A-84DE-76ADB02A0360}"/>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DAEA-438A-84DE-76ADB02A0360}"/>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DAEA-438A-84DE-76ADB02A0360}"/>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DAEA-438A-84DE-76ADB02A0360}"/>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7-DAEA-438A-84DE-76ADB02A0360}"/>
              </c:ext>
            </c:extLst>
          </c:dPt>
          <c:dPt>
            <c:idx val="12"/>
            <c:bubble3D val="0"/>
            <c:spPr>
              <a:gradFill>
                <a:gsLst>
                  <a:gs pos="100000">
                    <a:schemeClr val="accent6">
                      <a:lumMod val="60000"/>
                      <a:lumOff val="40000"/>
                      <a:lumMod val="60000"/>
                      <a:lumOff val="40000"/>
                    </a:schemeClr>
                  </a:gs>
                  <a:gs pos="0">
                    <a:schemeClr val="accent6">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DAEA-438A-84DE-76ADB02A0360}"/>
              </c:ext>
            </c:extLst>
          </c:dPt>
          <c:dPt>
            <c:idx val="13"/>
            <c:bubble3D val="0"/>
            <c:explosion val="1"/>
            <c:spPr>
              <a:solidFill>
                <a:schemeClr val="bg2">
                  <a:lumMod val="90000"/>
                </a:schemeClr>
              </a:solidFill>
              <a:ln w="19050">
                <a:solidFill>
                  <a:schemeClr val="lt1"/>
                </a:solidFill>
              </a:ln>
              <a:effectLst/>
            </c:spPr>
            <c:extLst>
              <c:ext xmlns:c16="http://schemas.microsoft.com/office/drawing/2014/chart" uri="{C3380CC4-5D6E-409C-BE32-E72D297353CC}">
                <c16:uniqueId val="{0000001B-DAEA-438A-84DE-76ADB02A0360}"/>
              </c:ext>
            </c:extLst>
          </c:dPt>
          <c:dLbls>
            <c:dLbl>
              <c:idx val="0"/>
              <c:layout>
                <c:manualLayout>
                  <c:x val="-1.0487633367769492E-2"/>
                  <c:y val="-7.42818197240275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AEA-438A-84DE-76ADB02A0360}"/>
                </c:ext>
              </c:extLst>
            </c:dLbl>
            <c:dLbl>
              <c:idx val="1"/>
              <c:layout>
                <c:manualLayout>
                  <c:x val="0.11305350337271772"/>
                  <c:y val="-0.158063252046877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AEA-438A-84DE-76ADB02A0360}"/>
                </c:ext>
              </c:extLst>
            </c:dLbl>
            <c:dLbl>
              <c:idx val="2"/>
              <c:layout>
                <c:manualLayout>
                  <c:x val="9.7567649688772365E-2"/>
                  <c:y val="-0.10887649690128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AEA-438A-84DE-76ADB02A0360}"/>
                </c:ext>
              </c:extLst>
            </c:dLbl>
            <c:dLbl>
              <c:idx val="3"/>
              <c:layout>
                <c:manualLayout>
                  <c:x val="0.13715198499856757"/>
                  <c:y val="6.206156950552529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AEA-438A-84DE-76ADB02A0360}"/>
                </c:ext>
              </c:extLst>
            </c:dLbl>
            <c:dLbl>
              <c:idx val="4"/>
              <c:layout>
                <c:manualLayout>
                  <c:x val="0.12234189028466259"/>
                  <c:y val="8.75441344683873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AEA-438A-84DE-76ADB02A0360}"/>
                </c:ext>
              </c:extLst>
            </c:dLbl>
            <c:dLbl>
              <c:idx val="5"/>
              <c:layout>
                <c:manualLayout>
                  <c:x val="0.15331724383404666"/>
                  <c:y val="0.1097364183893039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AEA-438A-84DE-76ADB02A0360}"/>
                </c:ext>
              </c:extLst>
            </c:dLbl>
            <c:dLbl>
              <c:idx val="6"/>
              <c:layout>
                <c:manualLayout>
                  <c:x val="6.4594362308901018E-2"/>
                  <c:y val="5.59448967707309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AEA-438A-84DE-76ADB02A0360}"/>
                </c:ext>
              </c:extLst>
            </c:dLbl>
            <c:dLbl>
              <c:idx val="8"/>
              <c:layout>
                <c:manualLayout>
                  <c:x val="6.6054397555322039E-2"/>
                  <c:y val="0.144819389701775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AEA-438A-84DE-76ADB02A0360}"/>
                </c:ext>
              </c:extLst>
            </c:dLbl>
            <c:dLbl>
              <c:idx val="9"/>
              <c:layout>
                <c:manualLayout>
                  <c:x val="1.1895406679457239E-2"/>
                  <c:y val="0.245871275665948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AEA-438A-84DE-76ADB02A0360}"/>
                </c:ext>
              </c:extLst>
            </c:dLbl>
            <c:dLbl>
              <c:idx val="11"/>
              <c:layout>
                <c:manualLayout>
                  <c:x val="-0.21073921989078823"/>
                  <c:y val="7.57982894824300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AEA-438A-84DE-76ADB02A0360}"/>
                </c:ext>
              </c:extLst>
            </c:dLbl>
            <c:dLbl>
              <c:idx val="12"/>
              <c:layout>
                <c:manualLayout>
                  <c:x val="-8.5057774613895423E-2"/>
                  <c:y val="-1.51670785387683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DAEA-438A-84DE-76ADB02A0360}"/>
                </c:ext>
              </c:extLst>
            </c:dLbl>
            <c:dLbl>
              <c:idx val="13"/>
              <c:layout>
                <c:manualLayout>
                  <c:x val="-6.2150378942433741E-2"/>
                  <c:y val="-1.1831731424848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DAEA-438A-84DE-76ADB02A036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Arkusz1!$A$2:$A$15</c:f>
              <c:strCache>
                <c:ptCount val="14"/>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i wyroby tytoniowe, wyroby odzieżowe**</c:v>
                </c:pt>
                <c:pt idx="12">
                  <c:v>Produkty rafinacji ropy naftowej**</c:v>
                </c:pt>
                <c:pt idx="13">
                  <c:v>Produkty pozostałe </c:v>
                </c:pt>
              </c:strCache>
            </c:strRef>
          </c:cat>
          <c:val>
            <c:numRef>
              <c:f>Arkusz1!$B$2:$B$15</c:f>
              <c:numCache>
                <c:formatCode>_-* #\ ##0_-;\-* #\ ##0_-;_-* "-"??_-;_-@_-</c:formatCode>
                <c:ptCount val="14"/>
                <c:pt idx="0">
                  <c:v>5243149.5228400007</c:v>
                </c:pt>
                <c:pt idx="1">
                  <c:v>4783659.1723600002</c:v>
                </c:pt>
                <c:pt idx="2">
                  <c:v>150000</c:v>
                </c:pt>
                <c:pt idx="3">
                  <c:v>545679.65523999999</c:v>
                </c:pt>
                <c:pt idx="4">
                  <c:v>45850.786</c:v>
                </c:pt>
                <c:pt idx="5">
                  <c:v>4898526.1660000002</c:v>
                </c:pt>
                <c:pt idx="6">
                  <c:v>1178178.3241600001</c:v>
                </c:pt>
                <c:pt idx="7">
                  <c:v>1600000</c:v>
                </c:pt>
                <c:pt idx="8">
                  <c:v>900000</c:v>
                </c:pt>
                <c:pt idx="9">
                  <c:v>130000</c:v>
                </c:pt>
                <c:pt idx="10">
                  <c:v>150000</c:v>
                </c:pt>
                <c:pt idx="11">
                  <c:v>8437718.1053999998</c:v>
                </c:pt>
                <c:pt idx="12">
                  <c:v>3655676.1170399999</c:v>
                </c:pt>
                <c:pt idx="13">
                  <c:v>17938871.340520002</c:v>
                </c:pt>
              </c:numCache>
            </c:numRef>
          </c:val>
          <c:extLst>
            <c:ext xmlns:c16="http://schemas.microsoft.com/office/drawing/2014/chart" uri="{C3380CC4-5D6E-409C-BE32-E72D297353CC}">
              <c16:uniqueId val="{0000001C-DAEA-438A-84DE-76ADB02A036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285556780595372E-2"/>
          <c:y val="1.28287363694676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pl-PL"/>
        </a:p>
      </c:txPr>
    </c:title>
    <c:autoTitleDeleted val="0"/>
    <c:plotArea>
      <c:layout>
        <c:manualLayout>
          <c:layoutTarget val="inner"/>
          <c:xMode val="edge"/>
          <c:yMode val="edge"/>
          <c:x val="0.29401869970222849"/>
          <c:y val="0.13305798689852671"/>
          <c:w val="0.38550174061759368"/>
          <c:h val="0.56069608521513392"/>
        </c:manualLayout>
      </c:layout>
      <c:pieChart>
        <c:varyColors val="1"/>
        <c:ser>
          <c:idx val="0"/>
          <c:order val="0"/>
          <c:tx>
            <c:strRef>
              <c:f>Arkusz1!$B$1</c:f>
              <c:strCache>
                <c:ptCount val="1"/>
                <c:pt idx="0">
                  <c:v>2019</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1423-4594-AB37-747EBEAEB9D0}"/>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1423-4594-AB37-747EBEAEB9D0}"/>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1423-4594-AB37-747EBEAEB9D0}"/>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1423-4594-AB37-747EBEAEB9D0}"/>
              </c:ext>
            </c:extLst>
          </c:dPt>
          <c:dPt>
            <c:idx val="4"/>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c:ext xmlns:c16="http://schemas.microsoft.com/office/drawing/2014/chart" uri="{C3380CC4-5D6E-409C-BE32-E72D297353CC}">
                <c16:uniqueId val="{00000009-1423-4594-AB37-747EBEAEB9D0}"/>
              </c:ext>
            </c:extLst>
          </c:dPt>
          <c:dPt>
            <c:idx val="5"/>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c:ext xmlns:c16="http://schemas.microsoft.com/office/drawing/2014/chart" uri="{C3380CC4-5D6E-409C-BE32-E72D297353CC}">
                <c16:uniqueId val="{0000000B-1423-4594-AB37-747EBEAEB9D0}"/>
              </c:ext>
            </c:extLst>
          </c:dPt>
          <c:dPt>
            <c:idx val="6"/>
            <c:bubble3D val="0"/>
            <c:spPr>
              <a:gradFill>
                <a:gsLst>
                  <a:gs pos="100000">
                    <a:schemeClr val="accent6">
                      <a:lumMod val="80000"/>
                      <a:lumOff val="20000"/>
                      <a:lumMod val="60000"/>
                      <a:lumOff val="40000"/>
                    </a:schemeClr>
                  </a:gs>
                  <a:gs pos="0">
                    <a:schemeClr val="accent6">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D-1423-4594-AB37-747EBEAEB9D0}"/>
              </c:ext>
            </c:extLst>
          </c:dPt>
          <c:dPt>
            <c:idx val="7"/>
            <c:bubble3D val="0"/>
            <c:spPr>
              <a:gradFill>
                <a:gsLst>
                  <a:gs pos="100000">
                    <a:schemeClr val="accent5">
                      <a:lumMod val="80000"/>
                      <a:lumOff val="20000"/>
                      <a:lumMod val="60000"/>
                      <a:lumOff val="40000"/>
                    </a:schemeClr>
                  </a:gs>
                  <a:gs pos="0">
                    <a:schemeClr val="accent5">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0F-1423-4594-AB37-747EBEAEB9D0}"/>
              </c:ext>
            </c:extLst>
          </c:dPt>
          <c:dPt>
            <c:idx val="8"/>
            <c:bubble3D val="0"/>
            <c:spPr>
              <a:gradFill>
                <a:gsLst>
                  <a:gs pos="100000">
                    <a:schemeClr val="accent4">
                      <a:lumMod val="80000"/>
                      <a:lumOff val="20000"/>
                      <a:lumMod val="60000"/>
                      <a:lumOff val="40000"/>
                    </a:schemeClr>
                  </a:gs>
                  <a:gs pos="0">
                    <a:schemeClr val="accent4">
                      <a:lumMod val="80000"/>
                      <a:lumOff val="20000"/>
                    </a:schemeClr>
                  </a:gs>
                </a:gsLst>
                <a:lin ang="5400000" scaled="0"/>
              </a:gradFill>
              <a:ln w="19050">
                <a:solidFill>
                  <a:schemeClr val="lt1"/>
                </a:solidFill>
              </a:ln>
              <a:effectLst/>
            </c:spPr>
            <c:extLst>
              <c:ext xmlns:c16="http://schemas.microsoft.com/office/drawing/2014/chart" uri="{C3380CC4-5D6E-409C-BE32-E72D297353CC}">
                <c16:uniqueId val="{00000011-1423-4594-AB37-747EBEAEB9D0}"/>
              </c:ext>
            </c:extLst>
          </c:dPt>
          <c:dPt>
            <c:idx val="9"/>
            <c:bubble3D val="0"/>
            <c:spPr>
              <a:gradFill>
                <a:gsLst>
                  <a:gs pos="100000">
                    <a:schemeClr val="accent6">
                      <a:lumMod val="80000"/>
                      <a:lumMod val="60000"/>
                      <a:lumOff val="40000"/>
                    </a:schemeClr>
                  </a:gs>
                  <a:gs pos="0">
                    <a:schemeClr val="accent6">
                      <a:lumMod val="80000"/>
                    </a:schemeClr>
                  </a:gs>
                </a:gsLst>
                <a:lin ang="5400000" scaled="0"/>
              </a:gradFill>
              <a:ln w="19050">
                <a:solidFill>
                  <a:schemeClr val="lt1"/>
                </a:solidFill>
              </a:ln>
              <a:effectLst/>
            </c:spPr>
            <c:extLst>
              <c:ext xmlns:c16="http://schemas.microsoft.com/office/drawing/2014/chart" uri="{C3380CC4-5D6E-409C-BE32-E72D297353CC}">
                <c16:uniqueId val="{00000013-1423-4594-AB37-747EBEAEB9D0}"/>
              </c:ext>
            </c:extLst>
          </c:dPt>
          <c:dPt>
            <c:idx val="10"/>
            <c:bubble3D val="0"/>
            <c:spPr>
              <a:gradFill>
                <a:gsLst>
                  <a:gs pos="100000">
                    <a:schemeClr val="accent5">
                      <a:lumMod val="80000"/>
                      <a:lumMod val="60000"/>
                      <a:lumOff val="40000"/>
                    </a:schemeClr>
                  </a:gs>
                  <a:gs pos="0">
                    <a:schemeClr val="accent5">
                      <a:lumMod val="80000"/>
                    </a:schemeClr>
                  </a:gs>
                </a:gsLst>
                <a:lin ang="5400000" scaled="0"/>
              </a:gradFill>
              <a:ln w="19050">
                <a:solidFill>
                  <a:schemeClr val="lt1"/>
                </a:solidFill>
              </a:ln>
              <a:effectLst/>
            </c:spPr>
            <c:extLst>
              <c:ext xmlns:c16="http://schemas.microsoft.com/office/drawing/2014/chart" uri="{C3380CC4-5D6E-409C-BE32-E72D297353CC}">
                <c16:uniqueId val="{00000015-1423-4594-AB37-747EBEAEB9D0}"/>
              </c:ext>
            </c:extLst>
          </c:dPt>
          <c:dPt>
            <c:idx val="11"/>
            <c:bubble3D val="0"/>
            <c:spPr>
              <a:gradFill>
                <a:gsLst>
                  <a:gs pos="100000">
                    <a:schemeClr val="accent4">
                      <a:lumMod val="80000"/>
                      <a:lumMod val="60000"/>
                      <a:lumOff val="40000"/>
                    </a:schemeClr>
                  </a:gs>
                  <a:gs pos="0">
                    <a:schemeClr val="accent4">
                      <a:lumMod val="80000"/>
                    </a:schemeClr>
                  </a:gs>
                </a:gsLst>
                <a:lin ang="5400000" scaled="0"/>
              </a:gradFill>
              <a:ln w="19050">
                <a:solidFill>
                  <a:schemeClr val="lt1"/>
                </a:solidFill>
              </a:ln>
              <a:effectLst/>
            </c:spPr>
            <c:extLst>
              <c:ext xmlns:c16="http://schemas.microsoft.com/office/drawing/2014/chart" uri="{C3380CC4-5D6E-409C-BE32-E72D297353CC}">
                <c16:uniqueId val="{00000017-1423-4594-AB37-747EBEAEB9D0}"/>
              </c:ext>
            </c:extLst>
          </c:dPt>
          <c:dPt>
            <c:idx val="12"/>
            <c:bubble3D val="0"/>
            <c:spPr>
              <a:gradFill>
                <a:gsLst>
                  <a:gs pos="100000">
                    <a:schemeClr val="accent6">
                      <a:lumMod val="60000"/>
                      <a:lumOff val="40000"/>
                      <a:lumMod val="60000"/>
                      <a:lumOff val="40000"/>
                    </a:schemeClr>
                  </a:gs>
                  <a:gs pos="0">
                    <a:schemeClr val="accent6">
                      <a:lumMod val="60000"/>
                      <a:lumOff val="40000"/>
                    </a:schemeClr>
                  </a:gs>
                </a:gsLst>
                <a:lin ang="5400000" scaled="0"/>
              </a:gradFill>
              <a:ln w="19050">
                <a:solidFill>
                  <a:schemeClr val="lt1"/>
                </a:solidFill>
              </a:ln>
              <a:effectLst/>
            </c:spPr>
            <c:extLst>
              <c:ext xmlns:c16="http://schemas.microsoft.com/office/drawing/2014/chart" uri="{C3380CC4-5D6E-409C-BE32-E72D297353CC}">
                <c16:uniqueId val="{00000019-1423-4594-AB37-747EBEAEB9D0}"/>
              </c:ext>
            </c:extLst>
          </c:dPt>
          <c:dPt>
            <c:idx val="1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1B-1423-4594-AB37-747EBEAEB9D0}"/>
              </c:ext>
            </c:extLst>
          </c:dPt>
          <c:dLbls>
            <c:dLbl>
              <c:idx val="0"/>
              <c:layout>
                <c:manualLayout>
                  <c:x val="-2.3718063356744215E-2"/>
                  <c:y val="-8.43611948027726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423-4594-AB37-747EBEAEB9D0}"/>
                </c:ext>
              </c:extLst>
            </c:dLbl>
            <c:dLbl>
              <c:idx val="1"/>
              <c:layout>
                <c:manualLayout>
                  <c:x val="9.3207858389255924E-2"/>
                  <c:y val="-0.1908212210527986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423-4594-AB37-747EBEAEB9D0}"/>
                </c:ext>
              </c:extLst>
            </c:dLbl>
            <c:dLbl>
              <c:idx val="2"/>
              <c:layout>
                <c:manualLayout>
                  <c:x val="9.977272135360131E-2"/>
                  <c:y val="-0.126515403289090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23-4594-AB37-747EBEAEB9D0}"/>
                </c:ext>
              </c:extLst>
            </c:dLbl>
            <c:dLbl>
              <c:idx val="3"/>
              <c:layout>
                <c:manualLayout>
                  <c:x val="0.13540390141419736"/>
                  <c:y val="-6.39306189787886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423-4594-AB37-747EBEAEB9D0}"/>
                </c:ext>
              </c:extLst>
            </c:dLbl>
            <c:dLbl>
              <c:idx val="4"/>
              <c:layout>
                <c:manualLayout>
                  <c:x val="0.10911146029568795"/>
                  <c:y val="0.100143439414524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423-4594-AB37-747EBEAEB9D0}"/>
                </c:ext>
              </c:extLst>
            </c:dLbl>
            <c:dLbl>
              <c:idx val="5"/>
              <c:layout>
                <c:manualLayout>
                  <c:x val="0.15554644974780579"/>
                  <c:y val="0.1198157934680489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423-4594-AB37-747EBEAEB9D0}"/>
                </c:ext>
              </c:extLst>
            </c:dLbl>
            <c:dLbl>
              <c:idx val="6"/>
              <c:layout>
                <c:manualLayout>
                  <c:x val="8.002986396270477E-2"/>
                  <c:y val="7.10639593888485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423-4594-AB37-747EBEAEB9D0}"/>
                </c:ext>
              </c:extLst>
            </c:dLbl>
            <c:dLbl>
              <c:idx val="11"/>
              <c:layout>
                <c:manualLayout>
                  <c:x val="-0.19530371823698445"/>
                  <c:y val="5.05998517855671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1423-4594-AB37-747EBEAEB9D0}"/>
                </c:ext>
              </c:extLst>
            </c:dLbl>
            <c:dLbl>
              <c:idx val="12"/>
              <c:layout>
                <c:manualLayout>
                  <c:x val="-4.9776714790474783E-2"/>
                  <c:y val="-2.0206774986994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1423-4594-AB37-747EBEAEB9D0}"/>
                </c:ext>
              </c:extLst>
            </c:dLbl>
            <c:dLbl>
              <c:idx val="13"/>
              <c:layout>
                <c:manualLayout>
                  <c:x val="-6.2150378942433741E-2"/>
                  <c:y val="-1.1831731424848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1423-4594-AB37-747EBEAEB9D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Arkusz1!$A$2:$A$15</c:f>
              <c:strCache>
                <c:ptCount val="14"/>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pt idx="11">
                  <c:v>Produkty spożywcze, napoje i wyroby tytoniowe, wyroby odzieżowe**</c:v>
                </c:pt>
                <c:pt idx="12">
                  <c:v>Produkty rafinacji ropy naftowej**</c:v>
                </c:pt>
                <c:pt idx="13">
                  <c:v>Produkty pozostałe </c:v>
                </c:pt>
              </c:strCache>
            </c:strRef>
          </c:cat>
          <c:val>
            <c:numRef>
              <c:f>Arkusz1!$B$2:$B$15</c:f>
              <c:numCache>
                <c:formatCode>_-* #\ ##0_-;\-* #\ ##0_-;_-* "-"??_-;_-@_-</c:formatCode>
                <c:ptCount val="14"/>
                <c:pt idx="0">
                  <c:v>6112752.5579200005</c:v>
                </c:pt>
                <c:pt idx="1">
                  <c:v>4802793.3570400001</c:v>
                </c:pt>
                <c:pt idx="2">
                  <c:v>155552.144</c:v>
                </c:pt>
                <c:pt idx="3">
                  <c:v>520971.674</c:v>
                </c:pt>
                <c:pt idx="4">
                  <c:v>50057.207999999999</c:v>
                </c:pt>
                <c:pt idx="5">
                  <c:v>5412200</c:v>
                </c:pt>
                <c:pt idx="6">
                  <c:v>1441200.48</c:v>
                </c:pt>
                <c:pt idx="7">
                  <c:v>1767716.8771200001</c:v>
                </c:pt>
                <c:pt idx="8">
                  <c:v>1174372.0041608938</c:v>
                </c:pt>
                <c:pt idx="9">
                  <c:v>150000</c:v>
                </c:pt>
                <c:pt idx="10">
                  <c:v>170000</c:v>
                </c:pt>
                <c:pt idx="11">
                  <c:v>8501256.0572917461</c:v>
                </c:pt>
                <c:pt idx="12">
                  <c:v>3686698.54048</c:v>
                </c:pt>
                <c:pt idx="13">
                  <c:v>16893672.669987366</c:v>
                </c:pt>
              </c:numCache>
            </c:numRef>
          </c:val>
          <c:extLst>
            <c:ext xmlns:c16="http://schemas.microsoft.com/office/drawing/2014/chart" uri="{C3380CC4-5D6E-409C-BE32-E72D297353CC}">
              <c16:uniqueId val="{0000001C-1423-4594-AB37-747EBEAEB9D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75328083989502"/>
          <c:y val="6.3631989183170284E-2"/>
          <c:w val="0.79692865664519208"/>
          <c:h val="0.8726047880378589"/>
        </c:manualLayout>
      </c:layout>
      <c:barChart>
        <c:barDir val="bar"/>
        <c:grouping val="percentStacked"/>
        <c:varyColors val="0"/>
        <c:ser>
          <c:idx val="0"/>
          <c:order val="0"/>
          <c:tx>
            <c:strRef>
              <c:f>'2018'!$B$156</c:f>
              <c:strCache>
                <c:ptCount val="1"/>
                <c:pt idx="0">
                  <c:v>Odwiedzający jednodniowi</c:v>
                </c:pt>
              </c:strCache>
            </c:strRef>
          </c:tx>
          <c:spPr>
            <a:solidFill>
              <a:schemeClr val="accent1">
                <a:lumMod val="40000"/>
                <a:lumOff val="60000"/>
              </a:schemeClr>
            </a:solidFill>
            <a:ln>
              <a:noFill/>
            </a:ln>
            <a:effectLst/>
          </c:spPr>
          <c:invertIfNegative val="0"/>
          <c:cat>
            <c:strRef>
              <c:f>'2018'!$A$157:$A$167</c:f>
              <c:strCache>
                <c:ptCount val="11"/>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strCache>
            </c:strRef>
          </c:cat>
          <c:val>
            <c:numRef>
              <c:f>'2018'!$B$157:$B$167</c:f>
              <c:numCache>
                <c:formatCode>General</c:formatCode>
                <c:ptCount val="11"/>
                <c:pt idx="0">
                  <c:v>0</c:v>
                </c:pt>
                <c:pt idx="1">
                  <c:v>798454</c:v>
                </c:pt>
                <c:pt idx="2">
                  <c:v>55000</c:v>
                </c:pt>
                <c:pt idx="3">
                  <c:v>120000</c:v>
                </c:pt>
                <c:pt idx="6">
                  <c:v>409626</c:v>
                </c:pt>
                <c:pt idx="7">
                  <c:v>100000</c:v>
                </c:pt>
                <c:pt idx="9">
                  <c:v>40000</c:v>
                </c:pt>
                <c:pt idx="10">
                  <c:v>60000</c:v>
                </c:pt>
              </c:numCache>
            </c:numRef>
          </c:val>
          <c:extLst>
            <c:ext xmlns:c16="http://schemas.microsoft.com/office/drawing/2014/chart" uri="{C3380CC4-5D6E-409C-BE32-E72D297353CC}">
              <c16:uniqueId val="{00000000-E55B-49E0-8AB2-E8A24910CB4D}"/>
            </c:ext>
          </c:extLst>
        </c:ser>
        <c:ser>
          <c:idx val="1"/>
          <c:order val="1"/>
          <c:tx>
            <c:strRef>
              <c:f>'2018'!$C$156</c:f>
              <c:strCache>
                <c:ptCount val="1"/>
                <c:pt idx="0">
                  <c:v>Turyści</c:v>
                </c:pt>
              </c:strCache>
            </c:strRef>
          </c:tx>
          <c:spPr>
            <a:solidFill>
              <a:schemeClr val="accent4">
                <a:lumMod val="75000"/>
              </a:schemeClr>
            </a:solidFill>
            <a:ln>
              <a:noFill/>
            </a:ln>
            <a:effectLst/>
          </c:spPr>
          <c:invertIfNegative val="0"/>
          <c:cat>
            <c:strRef>
              <c:f>'2018'!$A$157:$A$167</c:f>
              <c:strCache>
                <c:ptCount val="11"/>
                <c:pt idx="0">
                  <c:v>Usługi związane z zakwaterowaniem*</c:v>
                </c:pt>
                <c:pt idx="1">
                  <c:v>Usługi związane z wyżywieniem</c:v>
                </c:pt>
                <c:pt idx="2">
                  <c:v>Międzymiastowe kolejowe przewozy pasażerskie</c:v>
                </c:pt>
                <c:pt idx="3">
                  <c:v>Pasażerski transport lądowy</c:v>
                </c:pt>
                <c:pt idx="4">
                  <c:v>Pasażerski transport wodny</c:v>
                </c:pt>
                <c:pt idx="5">
                  <c:v>Przewozy lotnicze pasażerskie</c:v>
                </c:pt>
                <c:pt idx="6">
                  <c:v>Działalność organizatorów turystyki</c:v>
                </c:pt>
                <c:pt idx="7">
                  <c:v>Usługi kulturalno-rekreacyjne</c:v>
                </c:pt>
                <c:pt idx="8">
                  <c:v>Usługi wspomagające transport lotniczy</c:v>
                </c:pt>
                <c:pt idx="9">
                  <c:v>Usługi związane z organizacją targów, wystaw i kongresów </c:v>
                </c:pt>
                <c:pt idx="10">
                  <c:v>Usługi opieki zdrowotnej i rehabilitacji</c:v>
                </c:pt>
              </c:strCache>
            </c:strRef>
          </c:cat>
          <c:val>
            <c:numRef>
              <c:f>'2018'!$C$157:$C$167</c:f>
              <c:numCache>
                <c:formatCode>General</c:formatCode>
                <c:ptCount val="11"/>
                <c:pt idx="0">
                  <c:v>5243149</c:v>
                </c:pt>
                <c:pt idx="1">
                  <c:v>3985205</c:v>
                </c:pt>
                <c:pt idx="2">
                  <c:v>100552</c:v>
                </c:pt>
                <c:pt idx="3">
                  <c:v>400972</c:v>
                </c:pt>
                <c:pt idx="4">
                  <c:v>50057</c:v>
                </c:pt>
                <c:pt idx="5">
                  <c:v>6391880</c:v>
                </c:pt>
                <c:pt idx="6">
                  <c:v>1031575</c:v>
                </c:pt>
                <c:pt idx="7">
                  <c:v>1667717</c:v>
                </c:pt>
                <c:pt idx="8">
                  <c:v>1174372</c:v>
                </c:pt>
                <c:pt idx="9">
                  <c:v>110000</c:v>
                </c:pt>
                <c:pt idx="10">
                  <c:v>110000</c:v>
                </c:pt>
              </c:numCache>
            </c:numRef>
          </c:val>
          <c:extLst>
            <c:ext xmlns:c16="http://schemas.microsoft.com/office/drawing/2014/chart" uri="{C3380CC4-5D6E-409C-BE32-E72D297353CC}">
              <c16:uniqueId val="{00000001-E55B-49E0-8AB2-E8A24910CB4D}"/>
            </c:ext>
          </c:extLst>
        </c:ser>
        <c:dLbls>
          <c:showLegendKey val="0"/>
          <c:showVal val="0"/>
          <c:showCatName val="0"/>
          <c:showSerName val="0"/>
          <c:showPercent val="0"/>
          <c:showBubbleSize val="0"/>
        </c:dLbls>
        <c:gapWidth val="150"/>
        <c:overlap val="100"/>
        <c:axId val="384537808"/>
        <c:axId val="384547216"/>
      </c:barChart>
      <c:catAx>
        <c:axId val="384537808"/>
        <c:scaling>
          <c:orientation val="maxMin"/>
        </c:scaling>
        <c:delete val="1"/>
        <c:axPos val="l"/>
        <c:numFmt formatCode="General" sourceLinked="1"/>
        <c:majorTickMark val="none"/>
        <c:minorTickMark val="none"/>
        <c:tickLblPos val="nextTo"/>
        <c:crossAx val="384547216"/>
        <c:crosses val="autoZero"/>
        <c:auto val="1"/>
        <c:lblAlgn val="ctr"/>
        <c:lblOffset val="100"/>
        <c:noMultiLvlLbl val="0"/>
      </c:catAx>
      <c:valAx>
        <c:axId val="3845472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84537808"/>
        <c:crosses val="autoZero"/>
        <c:crossBetween val="between"/>
        <c:majorUnit val="0.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'2019'!$A$210:$A$224</cx:f>
        <cx:lvl ptCount="15">
          <cx:pt idx="0">Działalność organizatorów turystyki</cx:pt>
          <cx:pt idx="1">Pasażerski transport lądowy</cx:pt>
          <cx:pt idx="2">Przewozy lotnicze pasażerskie</cx:pt>
          <cx:pt idx="3">Usługi związane z zakwaterowaniem*</cx:pt>
          <cx:pt idx="4">Usługi kulturalno-rekreacyjne</cx:pt>
          <cx:pt idx="5">Usługi związane z organizacją targów, wystaw i kongresów </cx:pt>
          <cx:pt idx="6">Usługi związane z wyżywieniem</cx:pt>
          <cx:pt idx="7"> Produkty rafinacji ropy naftowej***</cx:pt>
          <cx:pt idx="8">Usługi opieki zdrowotnej i rehabilitacji</cx:pt>
          <cx:pt idx="9"> Produkty spożywcze, napoje i wyroby tytoniowe, wyroby odzieżowe**</cx:pt>
          <cx:pt idx="10">Międzymiastowe kolejowe przewozy pasażerskie</cx:pt>
          <cx:pt idx="11">Pasażerski transport wodny</cx:pt>
          <cx:pt idx="12">Produkty pozostałe </cx:pt>
          <cx:pt idx="13">Usługi wspomagające transport lotniczy</cx:pt>
          <cx:pt idx="14">Ogółem</cx:pt>
        </cx:lvl>
      </cx:strDim>
      <cx:numDim type="val">
        <cx:f>'2019'!$B$210:$B$224</cx:f>
        <cx:lvl ptCount="15" formatCode="0,00">
          <cx:pt idx="0">1.2947226612088396</cx:pt>
          <cx:pt idx="1">1.2425035697287008</cx:pt>
          <cx:pt idx="2">1.2071424846145822</cx:pt>
          <cx:pt idx="3">1.1380907859565847</cx:pt>
          <cx:pt idx="4">1.1058768801364554</cx:pt>
          <cx:pt idx="5">1.1036269430051813</cx:pt>
          <cx:pt idx="6">1.0774489536865774</cx:pt>
          <cx:pt idx="7">1.0751839599307444</cx:pt>
          <cx:pt idx="8">1.0704524469067405</cx:pt>
          <cx:pt idx="9">1.0695186268533174</cx:pt>
          <cx:pt idx="10">1.0447337546834197</cx:pt>
          <cx:pt idx="11">0.97935208259166984</cx:pt>
          <cx:pt idx="12">0.95459534165277837</cx:pt>
          <cx:pt idx="13">0.90338461538461545</cx:pt>
          <cx:pt idx="14">1.0837636537252253</cx:pt>
        </cx:lvl>
      </cx:numDim>
    </cx:data>
  </cx:chartData>
  <cx:chart>
    <cx:plotArea>
      <cx:plotAreaRegion>
        <cx:series layoutId="funnel" uniqueId="{B607F34F-3C42-47E7-B010-BF7A8DA9098C}">
          <cx:spPr>
            <a:solidFill>
              <a:schemeClr val="accent2">
                <a:lumMod val="40000"/>
                <a:lumOff val="60000"/>
              </a:schemeClr>
            </a:solidFill>
            <a:ln w="0">
              <a:solidFill>
                <a:srgbClr val="0070C0"/>
              </a:solidFill>
              <a:prstDash val="sysDash"/>
            </a:ln>
          </cx:spPr>
          <cx:dataLabels>
            <cx:txPr>
              <a:bodyPr spcFirstLastPara="1" vertOverflow="ellipsis" horzOverflow="overflow" wrap="square" lIns="0" tIns="0" rIns="0" bIns="0" anchor="ctr" anchorCtr="1"/>
              <a:lstStyle/>
              <a:p>
                <a:pPr algn="ctr" rtl="0">
                  <a:defRPr sz="1000" b="1"/>
                </a:pPr>
                <a:endParaRPr lang="pl-PL" sz="1000" b="1" i="0" u="none" strike="noStrike" baseline="0">
                  <a:solidFill>
                    <a:sysClr val="windowText" lastClr="000000">
                      <a:lumMod val="65000"/>
                      <a:lumOff val="35000"/>
                    </a:sysClr>
                  </a:solidFill>
                  <a:latin typeface="Calibri" panose="020F0502020204030204"/>
                </a:endParaRPr>
              </a:p>
            </cx:txPr>
            <cx:visibility seriesName="0" categoryName="0" value="1"/>
          </cx:dataLabels>
          <cx:dataId val="0"/>
        </cx:series>
      </cx:plotAreaRegion>
      <cx:axis id="0">
        <cx:catScaling gapWidth="0.219999999"/>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Arkusz3!$B$5:$B$15</cx:f>
        <cx:lvl ptCount="11">
          <cx:pt idx="0">55. Zakwaterowanie</cx:pt>
          <cx:pt idx="1">56. Gastronomia</cx:pt>
          <cx:pt idx="2">49.1 Transport kolejowy pasaż.</cx:pt>
          <cx:pt idx="3">49.3 Pozostały transport lądowy pasaż.</cx:pt>
          <cx:pt idx="4">50.1 Transport wodny pasażerski morski</cx:pt>
          <cx:pt idx="5">50.3 transport wodny pasażerski śródlądowy</cx:pt>
          <cx:pt idx="6">51.1 Transport lotniczy pasaż.</cx:pt>
          <cx:pt idx="7">77.11 Wynajem (…) samo-chodów (…)</cx:pt>
          <cx:pt idx="8">79.Działalność (…) z turystyką</cx:pt>
          <cx:pt idx="9">91. biblioteki,  muzea  (…)  związane z kulturą </cx:pt>
          <cx:pt idx="10">93. Dz.  sportowa rozrywkowa i rekreacyjna </cx:pt>
        </cx:lvl>
      </cx:strDim>
      <cx:numDim type="val">
        <cx:f>Arkusz3!$C$5:$C$15</cx:f>
        <cx:lvl ptCount="11" formatCode="0,0%">
          <cx:pt idx="0">0.84547366260379464</cx:pt>
          <cx:pt idx="1">0.95545918362380267</cx:pt>
          <cx:pt idx="2">0.94071509936069408</cx:pt>
          <cx:pt idx="3">0.99975583467233597</cx:pt>
          <cx:pt idx="4">0.6867750156807011</cx:pt>
          <cx:pt idx="5">0.97727272727272729</cx:pt>
          <cx:pt idx="6">0.99763360049468452</cx:pt>
          <cx:pt idx="7">1</cx:pt>
          <cx:pt idx="8">0.97564570207435253</cx:pt>
          <cx:pt idx="9">0.88299353752556797</cx:pt>
          <cx:pt idx="10">0.93075603890175196</cx:pt>
        </cx:lvl>
      </cx:numDim>
    </cx:data>
  </cx:chartData>
  <cx:chart>
    <cx:plotArea>
      <cx:plotAreaRegion>
        <cx:series layoutId="funnel" uniqueId="{B3FA04EB-9836-4E89-966F-4C7B6377F7E5}">
          <cx:spPr>
            <a:solidFill>
              <a:schemeClr val="accent2">
                <a:lumMod val="40000"/>
                <a:lumOff val="60000"/>
              </a:schemeClr>
            </a:solidFill>
          </cx:spPr>
          <cx:dataLabels>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Arkusz3!$E$5:$E$15</cx:f>
        <cx:lvl ptCount="11">
          <cx:pt idx="0">55. Zakwaterowanie</cx:pt>
          <cx:pt idx="1">56. Gastronomia</cx:pt>
          <cx:pt idx="2">49.1 Transport kolejowy pasaż.</cx:pt>
          <cx:pt idx="3">49.3 Pozostały transport lądowy pasaż.</cx:pt>
          <cx:pt idx="4">50.1 Transport wodny pasażerski morski</cx:pt>
          <cx:pt idx="5">50.3 transport wodny pasażerski śródlądowy</cx:pt>
          <cx:pt idx="6">51.1 Transport lotniczy pasaż.</cx:pt>
          <cx:pt idx="7">77.11 Wynajem (…) samo-chodów (…)</cx:pt>
          <cx:pt idx="8">79.Działalność (…) z turystyką</cx:pt>
          <cx:pt idx="9">91. biblioteki,  muzea  (…)  związane z kulturą </cx:pt>
          <cx:pt idx="10">93. Dz.  sportowa rozrywkowa i rekreacyjna </cx:pt>
        </cx:lvl>
      </cx:strDim>
      <cx:numDim type="val">
        <cx:f>Arkusz3!$F$5:$F$15</cx:f>
        <cx:lvl ptCount="11" formatCode="0,0%">
          <cx:pt idx="0">0.80401634711904491</cx:pt>
          <cx:pt idx="1">0.84429982871469844</cx:pt>
          <cx:pt idx="2">0.87708328562776705</cx:pt>
          <cx:pt idx="3">0.99975511107778392</cx:pt>
          <cx:pt idx="4">0.64842958288054264</cx:pt>
          <cx:pt idx="5">0.96373056994818651</cx:pt>
          <cx:pt idx="6">0.99789273044951554</cx:pt>
          <cx:pt idx="7">0.91473278767453059</cx:pt>
          <cx:pt idx="8">0.97553369034132009</cx:pt>
          <cx:pt idx="9">0.88299353752556686</cx:pt>
          <cx:pt idx="10">0.95031209404141281</cx:pt>
        </cx:lvl>
      </cx:numDim>
    </cx:data>
  </cx:chartData>
  <cx:chart>
    <cx:plotArea>
      <cx:plotAreaRegion>
        <cx:series layoutId="funnel" uniqueId="{F394C144-2926-4ADA-ABAC-D8642F0FC247}">
          <cx:spPr>
            <a:solidFill>
              <a:schemeClr val="accent2">
                <a:lumMod val="75000"/>
              </a:schemeClr>
            </a:solidFill>
          </cx:spPr>
          <cx:dataLabels>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'zmiany struktury'!$A$32:$A$36</cx:f>
        <cx:lvl ptCount="5">
          <cx:pt idx="0">2011 rok</cx:pt>
          <cx:pt idx="1">2013 rok</cx:pt>
          <cx:pt idx="2">2015 rok</cx:pt>
          <cx:pt idx="3">2018 rok</cx:pt>
          <cx:pt idx="4">2019 rok</cx:pt>
        </cx:lvl>
      </cx:strDim>
      <cx:numDim type="val">
        <cx:f>'zmiany struktury'!$B$32:$B$36</cx:f>
        <cx:lvl ptCount="5" formatCode="Standardowy">
          <cx:pt idx="0">1.6000000000000001</cx:pt>
          <cx:pt idx="1">1.3</cx:pt>
          <cx:pt idx="2">1.2</cx:pt>
          <cx:pt idx="3">2.1000000000000001</cx:pt>
          <cx:pt idx="4">2.2000000000000002</cx:pt>
        </cx:lvl>
      </cx:numDim>
    </cx:data>
  </cx:chartData>
  <cx:chart>
    <cx:plotArea>
      <cx:plotAreaRegion>
        <cx:series layoutId="funnel" uniqueId="{3A199F06-2CB5-4BEE-8476-FF4B4C8C0BAF}">
          <cx:spPr>
            <a:solidFill>
              <a:schemeClr val="accent2">
                <a:lumMod val="75000"/>
              </a:schemeClr>
            </a:solidFill>
          </cx:spPr>
          <cx:dataLabels>
            <cx:txPr>
              <a:bodyPr spcFirstLastPara="1" vertOverflow="ellipsis" horzOverflow="overflow" wrap="square" lIns="0" tIns="0" rIns="0" bIns="0" anchor="ctr" anchorCtr="1"/>
              <a:lstStyle/>
              <a:p>
                <a:pPr algn="ctr" rtl="0">
                  <a:defRPr sz="1050" b="1">
                    <a:solidFill>
                      <a:schemeClr val="bg1"/>
                    </a:solidFill>
                  </a:defRPr>
                </a:pPr>
                <a:endParaRPr lang="pl-PL" sz="1050" b="1" i="0" u="none" strike="noStrike" baseline="0">
                  <a:solidFill>
                    <a:schemeClr val="bg1"/>
                  </a:solidFill>
                  <a:latin typeface="Calibri" panose="020F0502020204030204"/>
                </a:endParaRPr>
              </a:p>
            </cx:txPr>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pracujący!$K$2:$K$12</cx:f>
        <cx:lvl ptCount="11">
          <cx:pt idx="0">Zakwaterowanie </cx:pt>
          <cx:pt idx="1">Działalność usługowa związana z wyżywieniem</cx:pt>
          <cx:pt idx="2">Transport kolejowy pasażerski międzymiastowy</cx:pt>
          <cx:pt idx="3">Pozostały transport lądowy pasażerski</cx:pt>
          <cx:pt idx="4">Transport morski i przybrzeżny pasażerski</cx:pt>
          <cx:pt idx="5">Transport wodny śródlądowy pasażerski</cx:pt>
          <cx:pt idx="6">Transport lotniczy pasażerski</cx:pt>
          <cx:pt idx="7">Wynajem i dzierżawa samochodów osobowych i furgonetek</cx:pt>
          <cx:pt idx="8">Działalność organizatorów turystyki, pośredników i agentów turystycznych oraz Pozostała działalność usługowa w zakresie rezerwacji i działalności z nią związane</cx:pt>
          <cx:pt idx="9">Działalność bibliotek, archiwów, muzeów oraz pozostała działalność związana z kulturą  b</cx:pt>
          <cx:pt idx="10">Działalność sportowa, rozrywkowa i rekreacyjna b</cx:pt>
        </cx:lvl>
      </cx:strDim>
      <cx:numDim type="val">
        <cx:f>pracujący!$L$2:$L$12</cx:f>
        <cx:lvl ptCount="11" formatCode="0,0%">
          <cx:pt idx="0">0.27636839155613674</cx:pt>
          <cx:pt idx="1">0.54449311874858985</cx:pt>
          <cx:pt idx="2">0.044759825327510917</cx:pt>
          <cx:pt idx="3">0.42126897878903652</cx:pt>
          <cx:pt idx="4">0.12390924956369982</cx:pt>
          <cx:pt idx="5">0.71246819338422396</cx:pt>
          <cx:pt idx="6">0</cx:pt>
          <cx:pt idx="7">0.63488531324888742</cx:pt>
          <cx:pt idx="8">0.58683979302938594</cx:pt>
          <cx:pt idx="9">0.043114124388656833</cx:pt>
          <cx:pt idx="10">0.59784439205119566</cx:pt>
        </cx:lvl>
      </cx:numDim>
    </cx:data>
  </cx:chartData>
  <cx:chart>
    <cx:plotArea>
      <cx:plotAreaRegion>
        <cx:series layoutId="funnel" uniqueId="{B68CF5CA-6F59-4482-A160-CEB1965CADB0}">
          <cx:dataLabels>
            <cx:txPr>
              <a:bodyPr spcFirstLastPara="1" vertOverflow="ellipsis" horzOverflow="overflow" wrap="square" lIns="0" tIns="0" rIns="0" bIns="0" anchor="ctr" anchorCtr="1"/>
              <a:lstStyle/>
              <a:p>
                <a:pPr algn="ctr" rtl="0">
                  <a:defRPr sz="1000" b="1" baseline="0">
                    <a:solidFill>
                      <a:schemeClr val="bg1"/>
                    </a:solidFill>
                  </a:defRPr>
                </a:pPr>
                <a:endParaRPr lang="pl-PL" sz="1000" b="1" i="0" u="none" strike="noStrike" baseline="0">
                  <a:solidFill>
                    <a:schemeClr val="bg1"/>
                  </a:solidFill>
                  <a:latin typeface="Calibri" panose="020F0502020204030204"/>
                </a:endParaRPr>
              </a:p>
            </cx:txPr>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płace!$C$2:$C$13</cx:f>
        <cx:lvl ptCount="12">
          <cx:pt idx="0">Działalność usługowa związana z wyżywieniem</cx:pt>
          <cx:pt idx="1">Transport wodny śródlądowy pasażerski</cx:pt>
          <cx:pt idx="2">Zakwaterowanie </cx:pt>
          <cx:pt idx="3">Działalność sportowa, rozrywkowa i rekreacyjna b</cx:pt>
          <cx:pt idx="4">Działalność bibliotek, archiwów, muzeów oraz pozostała działalność związana z kulturą  b</cx:pt>
          <cx:pt idx="5">Pozostały transport lądowy pasażerski</cx:pt>
          <cx:pt idx="6">Polska</cx:pt>
          <cx:pt idx="7">Transport kolejowy pasażerski międzymiastowy</cx:pt>
          <cx:pt idx="8">Działalność organizatorów turystyki, pośredników i agentów turystycznych oraz Pozostała działalność usługowa w zakresie rezerwacji i działalności z nią związane</cx:pt>
          <cx:pt idx="9">Transport morski i przybrzeżny pasażerski</cx:pt>
          <cx:pt idx="10">Wynajem i dzierżawa samochodów osobowych i furgonetek</cx:pt>
          <cx:pt idx="11">Transport lotniczy pasażerski</cx:pt>
        </cx:lvl>
      </cx:strDim>
      <cx:numDim type="val">
        <cx:f>płace!$D$2:$D$13</cx:f>
        <cx:lvl ptCount="12" formatCode="Standardowy">
          <cx:pt idx="0">2992.1599999999999</cx:pt>
          <cx:pt idx="1">3310.0500000000002</cx:pt>
          <cx:pt idx="2">3675.75</cx:pt>
          <cx:pt idx="3">3997.3200000000002</cx:pt>
          <cx:pt idx="4">4105.4700000000003</cx:pt>
          <cx:pt idx="5">4416.6099999999997</cx:pt>
          <cx:pt idx="6">4834.7600000000002</cx:pt>
          <cx:pt idx="7">4914.1300000000001</cx:pt>
          <cx:pt idx="8">4973.4099999999999</cx:pt>
          <cx:pt idx="9">6263.7600000000002</cx:pt>
          <cx:pt idx="10">8070.2299999999996</cx:pt>
          <cx:pt idx="11">9939.6800000000003</cx:pt>
        </cx:lvl>
      </cx:numDim>
    </cx:data>
  </cx:chartData>
  <cx:chart>
    <cx:plotArea>
      <cx:plotAreaRegion>
        <cx:series layoutId="funnel" uniqueId="{435F7BF6-D450-426A-85C6-AB87FA581E4D}">
          <cx:dataPt idx="6">
            <cx:spPr>
              <a:solidFill>
                <a:srgbClr val="FF0000"/>
              </a:solidFill>
            </cx:spPr>
          </cx:dataPt>
          <cx:dataLabels>
            <cx:txPr>
              <a:bodyPr spcFirstLastPara="1" vertOverflow="ellipsis" horzOverflow="overflow" wrap="square" lIns="0" tIns="0" rIns="0" bIns="0" anchor="ctr" anchorCtr="1"/>
              <a:lstStyle/>
              <a:p>
                <a:pPr algn="ctr" rtl="0">
                  <a:defRPr b="1" baseline="0">
                    <a:solidFill>
                      <a:schemeClr val="bg1"/>
                    </a:solidFill>
                  </a:defRPr>
                </a:pPr>
                <a:endParaRPr lang="pl-PL" sz="900" b="1" i="0" u="none" strike="noStrike" baseline="0">
                  <a:solidFill>
                    <a:schemeClr val="bg1"/>
                  </a:solidFill>
                  <a:latin typeface="Calibri" panose="020F0502020204030204"/>
                </a:endParaRPr>
              </a:p>
            </cx:txPr>
            <cx:visibility seriesName="0" categoryName="0" value="1"/>
          </cx:dataLabels>
          <cx:dataId val="0"/>
        </cx:series>
      </cx:plotAreaRegion>
      <cx:axis id="0">
        <cx:catScaling gapWidth="0.0599999987"/>
        <cx:tickLabels/>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cdr:x>
      <cdr:y>0</cdr:y>
    </cdr:from>
    <cdr:to>
      <cdr:x>0.05197</cdr:x>
      <cdr:y>0.06434</cdr:y>
    </cdr:to>
    <cdr:sp macro="" textlink="">
      <cdr:nvSpPr>
        <cdr:cNvPr id="2" name="Pole tekstowe 1"/>
        <cdr:cNvSpPr txBox="1"/>
      </cdr:nvSpPr>
      <cdr:spPr>
        <a:xfrm xmlns:a="http://schemas.openxmlformats.org/drawingml/2006/main">
          <a:off x="0" y="0"/>
          <a:ext cx="312420" cy="2362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solidFill>
                <a:schemeClr val="tx1">
                  <a:lumMod val="50000"/>
                  <a:lumOff val="50000"/>
                </a:schemeClr>
              </a:solidFill>
            </a:rPr>
            <a:t>2018</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0.05197</cdr:x>
      <cdr:y>0.10169</cdr:y>
    </cdr:to>
    <cdr:sp macro="" textlink="">
      <cdr:nvSpPr>
        <cdr:cNvPr id="3" name="Pole tekstowe 2"/>
        <cdr:cNvSpPr txBox="1"/>
      </cdr:nvSpPr>
      <cdr:spPr>
        <a:xfrm xmlns:a="http://schemas.openxmlformats.org/drawingml/2006/main">
          <a:off x="0" y="0"/>
          <a:ext cx="312420" cy="3733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l-PL" sz="1100" b="1">
              <a:solidFill>
                <a:schemeClr val="tx1">
                  <a:lumMod val="50000"/>
                  <a:lumOff val="50000"/>
                </a:schemeClr>
              </a:solidFill>
            </a:rPr>
            <a:t>2019</a:t>
          </a: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53EA5-B0E2-45E6-B4D3-265CF313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18858</Words>
  <Characters>113149</Characters>
  <Application>Microsoft Office Word</Application>
  <DocSecurity>0</DocSecurity>
  <Lines>942</Lines>
  <Paragraphs>263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Skalska</dc:creator>
  <cp:keywords/>
  <dc:description/>
  <cp:lastModifiedBy>Podhorodecka Katarzyna</cp:lastModifiedBy>
  <cp:revision>2</cp:revision>
  <cp:lastPrinted>2022-09-30T12:48:00Z</cp:lastPrinted>
  <dcterms:created xsi:type="dcterms:W3CDTF">2023-01-20T10:04:00Z</dcterms:created>
  <dcterms:modified xsi:type="dcterms:W3CDTF">2023-01-20T10:04:00Z</dcterms:modified>
</cp:coreProperties>
</file>