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30C" w:rsidRDefault="00B240D3" w:rsidP="006F030A">
      <w:pPr>
        <w:tabs>
          <w:tab w:val="left" w:pos="6645"/>
        </w:tabs>
        <w:ind w:firstLine="6118"/>
        <w:jc w:val="right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8255</wp:posOffset>
                </wp:positionV>
                <wp:extent cx="1737360" cy="716915"/>
                <wp:effectExtent l="0" t="0" r="15240" b="69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30C" w:rsidRDefault="00B240D3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25145" cy="546100"/>
                                  <wp:effectExtent l="0" t="0" r="8255" b="6350"/>
                                  <wp:docPr id="726326313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145" cy="54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330C" w:rsidRDefault="00B240D3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3B330C" w:rsidRDefault="00B240D3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B240D3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B240D3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B240D3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B240D3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B240D3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B330C" w:rsidRDefault="00B240D3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5" style="height:56.45pt;margin-left:0;margin-top:0.65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-text-anchor:top;visibility:visible;width:136.8pt;z-index:251659264" filled="f" fillcolor="#bbe0e3" stroked="f">
                <v:textbox inset="0,0,0,0">
                  <w:txbxContent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25145" cy="546100"/>
                            <wp:effectExtent l="0" t="0" r="8255" b="635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9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145" cy="54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Arial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/>
                        </w:rPr>
                        <w:t>WOJEWODA MAZOWIECKI</w:t>
                      </w: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B330C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Theme="minorHAnsi" w:hAnsiTheme="minorHAnsi" w:cstheme="minorHAnsi"/>
        </w:rPr>
        <w:t xml:space="preserve">Warszawa, </w:t>
      </w:r>
      <w:bookmarkStart w:id="0" w:name="ezdDataPodpisu"/>
      <w:r>
        <w:rPr>
          <w:rFonts w:asciiTheme="minorHAnsi" w:hAnsiTheme="minorHAnsi" w:cstheme="minorHAnsi"/>
        </w:rPr>
        <w:t>04 grudnia 2020 r.</w:t>
      </w:r>
      <w:bookmarkEnd w:id="0"/>
      <w:r>
        <w:rPr>
          <w:rFonts w:asciiTheme="minorHAnsi" w:hAnsiTheme="minorHAnsi" w:cstheme="minorHAnsi"/>
        </w:rPr>
        <w:t xml:space="preserve"> </w:t>
      </w:r>
    </w:p>
    <w:p w:rsidR="003B330C" w:rsidRDefault="00B240D3" w:rsidP="003B330C"/>
    <w:p w:rsidR="003B330C" w:rsidRDefault="00B240D3" w:rsidP="003B330C"/>
    <w:p w:rsidR="003B330C" w:rsidRDefault="00B240D3" w:rsidP="003B330C">
      <w:pPr>
        <w:tabs>
          <w:tab w:val="left" w:pos="2340"/>
          <w:tab w:val="left" w:pos="4500"/>
        </w:tabs>
        <w:ind w:right="5137"/>
        <w:jc w:val="center"/>
      </w:pPr>
    </w:p>
    <w:p w:rsidR="003B330C" w:rsidRDefault="00B240D3" w:rsidP="003B330C">
      <w:pPr>
        <w:tabs>
          <w:tab w:val="left" w:pos="3735"/>
          <w:tab w:val="left" w:pos="4095"/>
        </w:tabs>
      </w:pPr>
    </w:p>
    <w:p w:rsidR="003B330C" w:rsidRDefault="00B240D3" w:rsidP="003B330C">
      <w:pPr>
        <w:tabs>
          <w:tab w:val="left" w:pos="4095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bookmarkStart w:id="1" w:name="_GoBack"/>
      <w:r>
        <w:rPr>
          <w:rFonts w:ascii="Calibri" w:hAnsi="Calibri"/>
        </w:rPr>
        <w:t>WNP-I.4131.216.2020</w:t>
      </w:r>
      <w:r>
        <w:rPr>
          <w:rFonts w:ascii="Calibri" w:hAnsi="Calibri"/>
        </w:rPr>
        <w:t>.MW</w:t>
      </w:r>
      <w:bookmarkEnd w:id="1"/>
    </w:p>
    <w:p w:rsidR="00A41F70" w:rsidRDefault="00B240D3" w:rsidP="00A41F70">
      <w:pPr>
        <w:spacing w:line="320" w:lineRule="exact"/>
        <w:jc w:val="center"/>
        <w:rPr>
          <w:rFonts w:ascii="Calibri" w:hAnsi="Calibri"/>
          <w:b/>
          <w:bCs/>
        </w:rPr>
      </w:pPr>
    </w:p>
    <w:p w:rsidR="007471FE" w:rsidRDefault="00B240D3" w:rsidP="007471FE">
      <w:pPr>
        <w:pStyle w:val="Teksttreci40"/>
        <w:shd w:val="clear" w:color="auto" w:fill="auto"/>
        <w:ind w:left="5245" w:firstLine="0"/>
        <w:rPr>
          <w:color w:val="000000"/>
        </w:rPr>
      </w:pPr>
      <w:r>
        <w:rPr>
          <w:color w:val="000000"/>
        </w:rPr>
        <w:t>Rada Gminy Stanisławów</w:t>
      </w:r>
    </w:p>
    <w:p w:rsidR="007471FE" w:rsidRDefault="00B240D3" w:rsidP="007471FE">
      <w:pPr>
        <w:pStyle w:val="Teksttreci40"/>
        <w:shd w:val="clear" w:color="auto" w:fill="auto"/>
        <w:ind w:left="5245" w:firstLine="0"/>
        <w:rPr>
          <w:rStyle w:val="lrzxr"/>
        </w:rPr>
      </w:pPr>
      <w:r>
        <w:rPr>
          <w:rStyle w:val="lrzxr"/>
        </w:rPr>
        <w:t>ul. Rynek 32</w:t>
      </w:r>
    </w:p>
    <w:p w:rsidR="007C1BD0" w:rsidRDefault="00B240D3" w:rsidP="007471FE">
      <w:pPr>
        <w:pStyle w:val="Teksttreci40"/>
        <w:shd w:val="clear" w:color="auto" w:fill="auto"/>
        <w:ind w:left="5245" w:firstLine="0"/>
        <w:rPr>
          <w:color w:val="000000"/>
        </w:rPr>
      </w:pPr>
      <w:r>
        <w:rPr>
          <w:color w:val="000000"/>
        </w:rPr>
        <w:t>05-304 Stanisławów</w:t>
      </w:r>
    </w:p>
    <w:p w:rsidR="00A41F70" w:rsidRDefault="00B240D3" w:rsidP="007471FE">
      <w:pPr>
        <w:spacing w:line="320" w:lineRule="exact"/>
        <w:ind w:left="5245"/>
        <w:jc w:val="center"/>
        <w:rPr>
          <w:rFonts w:ascii="Calibri" w:hAnsi="Calibri"/>
          <w:b/>
          <w:bCs/>
        </w:rPr>
      </w:pPr>
    </w:p>
    <w:p w:rsidR="00255F18" w:rsidRDefault="00B240D3" w:rsidP="00A41F70">
      <w:pPr>
        <w:spacing w:line="320" w:lineRule="exact"/>
        <w:jc w:val="center"/>
        <w:rPr>
          <w:rFonts w:ascii="Calibri" w:hAnsi="Calibri"/>
          <w:b/>
          <w:bCs/>
        </w:rPr>
      </w:pPr>
    </w:p>
    <w:p w:rsidR="005560EE" w:rsidRPr="005560EE" w:rsidRDefault="00B240D3" w:rsidP="005560E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560EE">
        <w:rPr>
          <w:rFonts w:asciiTheme="minorHAnsi" w:hAnsiTheme="minorHAnsi" w:cstheme="minorHAnsi"/>
          <w:b/>
        </w:rPr>
        <w:t>Rozstrzygnięcie nadzorcze</w:t>
      </w:r>
    </w:p>
    <w:p w:rsidR="005560EE" w:rsidRPr="005560EE" w:rsidRDefault="00B240D3" w:rsidP="00C17B48">
      <w:pPr>
        <w:spacing w:after="200" w:line="360" w:lineRule="auto"/>
        <w:jc w:val="both"/>
        <w:rPr>
          <w:rFonts w:asciiTheme="minorHAnsi" w:hAnsiTheme="minorHAnsi" w:cstheme="minorHAnsi"/>
        </w:rPr>
      </w:pPr>
      <w:r w:rsidRPr="005560EE">
        <w:rPr>
          <w:rFonts w:asciiTheme="minorHAnsi" w:hAnsiTheme="minorHAnsi" w:cstheme="minorHAnsi"/>
        </w:rPr>
        <w:t xml:space="preserve">Działając na podstawie art. 91 ust. 1, w związku z art. 86 ustawy z dnia 8 marca 1990 r. </w:t>
      </w:r>
      <w:r w:rsidRPr="005560EE">
        <w:rPr>
          <w:rFonts w:asciiTheme="minorHAnsi" w:hAnsiTheme="minorHAnsi" w:cstheme="minorHAnsi"/>
        </w:rPr>
        <w:br/>
        <w:t>o samorządzie gminnym (Dz. U. z 2020 r. poz. 713</w:t>
      </w:r>
      <w:r>
        <w:rPr>
          <w:rFonts w:asciiTheme="minorHAnsi" w:hAnsiTheme="minorHAnsi" w:cstheme="minorHAnsi"/>
        </w:rPr>
        <w:t>, z późn. zm.</w:t>
      </w:r>
      <w:r w:rsidRPr="005560EE">
        <w:rPr>
          <w:rFonts w:asciiTheme="minorHAnsi" w:hAnsiTheme="minorHAnsi" w:cstheme="minorHAnsi"/>
        </w:rPr>
        <w:t>)</w:t>
      </w:r>
    </w:p>
    <w:p w:rsidR="005560EE" w:rsidRPr="005560EE" w:rsidRDefault="00B240D3" w:rsidP="005560E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560EE">
        <w:rPr>
          <w:rFonts w:asciiTheme="minorHAnsi" w:hAnsiTheme="minorHAnsi" w:cstheme="minorHAnsi"/>
          <w:b/>
        </w:rPr>
        <w:t>stwierdzam nieważność</w:t>
      </w:r>
    </w:p>
    <w:p w:rsidR="00096493" w:rsidRDefault="00B240D3" w:rsidP="005560E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załącznika do </w:t>
      </w:r>
      <w:r>
        <w:rPr>
          <w:rFonts w:ascii="Calibri" w:hAnsi="Calibri" w:cs="Calibri"/>
        </w:rPr>
        <w:t>uchwały Rady Gminy Stanisławów Nr XVII/150/2020 z dnia 19 listopada</w:t>
      </w:r>
      <w:r>
        <w:rPr>
          <w:rFonts w:ascii="Calibri" w:hAnsi="Calibri" w:cs="Calibri"/>
        </w:rPr>
        <w:t xml:space="preserve"> 2020 r</w:t>
      </w:r>
      <w:r>
        <w:rPr>
          <w:rFonts w:ascii="Calibri" w:hAnsi="Calibri" w:cs="Calibri"/>
          <w:i/>
        </w:rPr>
        <w:t>. w </w:t>
      </w:r>
      <w:r w:rsidRPr="00503370">
        <w:rPr>
          <w:rFonts w:ascii="Calibri" w:hAnsi="Calibri" w:cs="Calibri"/>
          <w:i/>
        </w:rPr>
        <w:t>sprawie uchwalenia rocznego programu współpracy Gminy Stanisławów z organizacjami pozarządowymi oraz innymi podmiotami prowadzącymi działalność pożytku publicznego na rok 2021</w:t>
      </w:r>
      <w:r>
        <w:rPr>
          <w:rFonts w:ascii="Calibri" w:hAnsi="Calibri" w:cs="Calibri"/>
          <w:i/>
        </w:rPr>
        <w:t xml:space="preserve">, </w:t>
      </w:r>
      <w:r>
        <w:rPr>
          <w:rFonts w:asciiTheme="minorHAnsi" w:hAnsiTheme="minorHAnsi" w:cstheme="minorHAnsi"/>
          <w:b/>
        </w:rPr>
        <w:t>w</w:t>
      </w:r>
      <w:r>
        <w:rPr>
          <w:rFonts w:asciiTheme="minorHAnsi" w:hAnsiTheme="minorHAnsi" w:cstheme="minorHAnsi"/>
          <w:b/>
        </w:rPr>
        <w:t> </w:t>
      </w:r>
      <w:r>
        <w:rPr>
          <w:rFonts w:asciiTheme="minorHAnsi" w:hAnsiTheme="minorHAnsi" w:cstheme="minorHAnsi"/>
          <w:b/>
        </w:rPr>
        <w:t xml:space="preserve">części, </w:t>
      </w:r>
      <w:r w:rsidRPr="007010DB">
        <w:rPr>
          <w:rFonts w:asciiTheme="minorHAnsi" w:hAnsiTheme="minorHAnsi" w:cstheme="minorHAnsi"/>
        </w:rPr>
        <w:t>tj.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w zakresie </w:t>
      </w:r>
      <w:r>
        <w:rPr>
          <w:rFonts w:asciiTheme="minorHAnsi" w:hAnsiTheme="minorHAnsi" w:cstheme="minorHAnsi"/>
        </w:rPr>
        <w:t xml:space="preserve">ustaleń: </w:t>
      </w:r>
      <w:r>
        <w:rPr>
          <w:rFonts w:asciiTheme="minorHAnsi" w:hAnsiTheme="minorHAnsi" w:cstheme="minorHAnsi"/>
        </w:rPr>
        <w:t>§ 21 ust. 5 zdanie drugie: „</w:t>
      </w:r>
      <w:r w:rsidRPr="00C90AFD">
        <w:rPr>
          <w:rFonts w:asciiTheme="minorHAnsi" w:hAnsiTheme="minorHAnsi" w:cstheme="minorHAnsi"/>
          <w:i/>
        </w:rPr>
        <w:t>Decyzj</w:t>
      </w:r>
      <w:r w:rsidRPr="00C90AFD">
        <w:rPr>
          <w:rFonts w:asciiTheme="minorHAnsi" w:hAnsiTheme="minorHAnsi" w:cstheme="minorHAnsi"/>
          <w:i/>
        </w:rPr>
        <w:t>ę w przedmiotowym zakresie podejmuje Wójt</w:t>
      </w:r>
      <w:r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 25 ust. 2 i 9.</w:t>
      </w:r>
    </w:p>
    <w:p w:rsidR="00096493" w:rsidRPr="00096493" w:rsidRDefault="00B240D3" w:rsidP="005560EE">
      <w:pPr>
        <w:spacing w:line="360" w:lineRule="auto"/>
        <w:jc w:val="both"/>
        <w:rPr>
          <w:rFonts w:asciiTheme="minorHAnsi" w:hAnsiTheme="minorHAnsi" w:cstheme="minorHAnsi"/>
          <w:sz w:val="14"/>
        </w:rPr>
      </w:pPr>
    </w:p>
    <w:p w:rsidR="005560EE" w:rsidRPr="00D7631A" w:rsidRDefault="00B240D3" w:rsidP="00D7631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7631A">
        <w:rPr>
          <w:rFonts w:asciiTheme="minorHAnsi" w:hAnsiTheme="minorHAnsi" w:cstheme="minorHAnsi"/>
          <w:b/>
        </w:rPr>
        <w:t>Uzasadnienie</w:t>
      </w:r>
    </w:p>
    <w:p w:rsidR="005F74CB" w:rsidRDefault="00B240D3" w:rsidP="008D4A1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5560EE">
        <w:rPr>
          <w:rFonts w:asciiTheme="minorHAnsi" w:hAnsiTheme="minorHAnsi" w:cstheme="minorHAnsi"/>
        </w:rPr>
        <w:t xml:space="preserve">Na sesji, która odbyła się 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9</w:t>
      </w:r>
      <w:r w:rsidRPr="005560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października</w:t>
      </w:r>
      <w:r w:rsidRPr="005560EE">
        <w:rPr>
          <w:rFonts w:asciiTheme="minorHAnsi" w:hAnsiTheme="minorHAnsi" w:cstheme="minorHAnsi"/>
        </w:rPr>
        <w:t xml:space="preserve"> 2020 r. Rada </w:t>
      </w:r>
      <w:r>
        <w:rPr>
          <w:rFonts w:asciiTheme="minorHAnsi" w:hAnsiTheme="minorHAnsi" w:cstheme="minorHAnsi"/>
        </w:rPr>
        <w:t>Gminy Stanisławów</w:t>
      </w:r>
      <w:r w:rsidRPr="005560EE">
        <w:rPr>
          <w:rFonts w:asciiTheme="minorHAnsi" w:hAnsiTheme="minorHAnsi" w:cstheme="minorHAnsi"/>
        </w:rPr>
        <w:t xml:space="preserve"> podjęła </w:t>
      </w:r>
      <w:r w:rsidRPr="008D4167">
        <w:rPr>
          <w:rFonts w:asciiTheme="minorHAnsi" w:hAnsiTheme="minorHAnsi" w:cstheme="minorHAnsi"/>
        </w:rPr>
        <w:t>uchwał</w:t>
      </w:r>
      <w:r>
        <w:rPr>
          <w:rFonts w:asciiTheme="minorHAnsi" w:hAnsiTheme="minorHAnsi" w:cstheme="minorHAnsi"/>
        </w:rPr>
        <w:t xml:space="preserve">ę </w:t>
      </w:r>
      <w:r>
        <w:rPr>
          <w:rFonts w:asciiTheme="minorHAnsi" w:hAnsiTheme="minorHAnsi" w:cstheme="minorHAnsi"/>
        </w:rPr>
        <w:t>Nr </w:t>
      </w:r>
      <w:r>
        <w:rPr>
          <w:rFonts w:asciiTheme="minorHAnsi" w:hAnsiTheme="minorHAnsi" w:cstheme="minorHAnsi"/>
        </w:rPr>
        <w:t xml:space="preserve">XVII/150/2020 </w:t>
      </w:r>
      <w:r w:rsidRPr="005F74CB">
        <w:rPr>
          <w:rFonts w:asciiTheme="minorHAnsi" w:hAnsiTheme="minorHAnsi" w:cstheme="minorHAnsi"/>
          <w:i/>
        </w:rPr>
        <w:t xml:space="preserve">w sprawie uchwalenia rocznego programu współpracy Gminy Stanisławów z organizacjami pozarządowymi oraz innymi podmiotami prowadzącymi działalność pożytku publicznego na rok 2021. </w:t>
      </w:r>
    </w:p>
    <w:p w:rsidR="00D969A9" w:rsidRDefault="00B240D3" w:rsidP="008D4A14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5560EE">
        <w:rPr>
          <w:rFonts w:asciiTheme="minorHAnsi" w:hAnsiTheme="minorHAnsi" w:cstheme="minorHAnsi"/>
        </w:rPr>
        <w:t xml:space="preserve">Podstawę prawną </w:t>
      </w:r>
      <w:r>
        <w:rPr>
          <w:rFonts w:asciiTheme="minorHAnsi" w:hAnsiTheme="minorHAnsi" w:cstheme="minorHAnsi"/>
        </w:rPr>
        <w:t>uchwał</w:t>
      </w:r>
      <w:r>
        <w:rPr>
          <w:rFonts w:asciiTheme="minorHAnsi" w:hAnsiTheme="minorHAnsi" w:cstheme="minorHAnsi"/>
        </w:rPr>
        <w:t>y</w:t>
      </w:r>
      <w:r w:rsidRPr="005560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stanowił, m.in. art. 5a ust. 1, ust. 2a i ust. 4 </w:t>
      </w:r>
      <w:r>
        <w:rPr>
          <w:rFonts w:asciiTheme="minorHAnsi" w:hAnsiTheme="minorHAnsi" w:cstheme="minorHAnsi"/>
        </w:rPr>
        <w:t>ust</w:t>
      </w:r>
      <w:r>
        <w:rPr>
          <w:rFonts w:asciiTheme="minorHAnsi" w:hAnsiTheme="minorHAnsi" w:cstheme="minorHAnsi"/>
        </w:rPr>
        <w:t xml:space="preserve">awy z dnia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24 kwietnia </w:t>
      </w:r>
      <w:r>
        <w:rPr>
          <w:rFonts w:asciiTheme="minorHAnsi" w:hAnsiTheme="minorHAnsi" w:cstheme="minorHAnsi"/>
        </w:rPr>
        <w:t xml:space="preserve">2003 r. </w:t>
      </w:r>
      <w:r>
        <w:rPr>
          <w:rFonts w:asciiTheme="minorHAnsi" w:hAnsiTheme="minorHAnsi" w:cstheme="minorHAnsi"/>
        </w:rPr>
        <w:t xml:space="preserve">o działalności pożytku publicznego i wolontariacie (Dz. U. z 2020 r. poz. 1057,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z późn. </w:t>
      </w:r>
      <w:r>
        <w:rPr>
          <w:rFonts w:asciiTheme="minorHAnsi" w:hAnsiTheme="minorHAnsi" w:cstheme="minorHAnsi"/>
        </w:rPr>
        <w:t>zm.), zwanej dalej: „u.d.p.p.”.</w:t>
      </w:r>
    </w:p>
    <w:p w:rsidR="006C492B" w:rsidRPr="006C492B" w:rsidRDefault="00B240D3" w:rsidP="006C492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6C492B">
        <w:rPr>
          <w:rFonts w:asciiTheme="minorHAnsi" w:hAnsiTheme="minorHAnsi" w:cstheme="minorHAnsi"/>
        </w:rPr>
        <w:t xml:space="preserve">Normę kompetencyjną do uchwalenia przez organ stanowiący jednostki samorządu terytorialnego rocznego </w:t>
      </w:r>
      <w:r w:rsidRPr="006C492B">
        <w:rPr>
          <w:rFonts w:asciiTheme="minorHAnsi" w:hAnsiTheme="minorHAnsi" w:cstheme="minorHAnsi"/>
        </w:rPr>
        <w:t>programu współpracy w organizacjami pozarządowymi oraz podmiotami wymienionymi w art. 3 ust. 2 ustawy o działalności pożytku publicznego i o wolontariacie s</w:t>
      </w:r>
      <w:r>
        <w:rPr>
          <w:rFonts w:asciiTheme="minorHAnsi" w:hAnsiTheme="minorHAnsi" w:cstheme="minorHAnsi"/>
        </w:rPr>
        <w:t>tanowi art. 5a ust. 1 u.d.p.p.</w:t>
      </w:r>
    </w:p>
    <w:p w:rsidR="000423E3" w:rsidRPr="000423E3" w:rsidRDefault="00B240D3" w:rsidP="000423E3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podstawie</w:t>
      </w:r>
      <w:r>
        <w:rPr>
          <w:rFonts w:asciiTheme="minorHAnsi" w:hAnsiTheme="minorHAnsi" w:cstheme="minorHAnsi"/>
        </w:rPr>
        <w:t xml:space="preserve"> art. 5a </w:t>
      </w:r>
      <w:r>
        <w:rPr>
          <w:rFonts w:asciiTheme="minorHAnsi" w:hAnsiTheme="minorHAnsi" w:cstheme="minorHAnsi"/>
        </w:rPr>
        <w:t xml:space="preserve">ust. 1 </w:t>
      </w:r>
      <w:r>
        <w:rPr>
          <w:rFonts w:asciiTheme="minorHAnsi" w:hAnsiTheme="minorHAnsi" w:cstheme="minorHAnsi"/>
        </w:rPr>
        <w:t xml:space="preserve">u.d.p.p. </w:t>
      </w:r>
      <w:r>
        <w:rPr>
          <w:rFonts w:asciiTheme="minorHAnsi" w:hAnsiTheme="minorHAnsi" w:cstheme="minorHAnsi"/>
        </w:rPr>
        <w:t>o</w:t>
      </w:r>
      <w:r w:rsidRPr="000423E3">
        <w:rPr>
          <w:rFonts w:asciiTheme="minorHAnsi" w:hAnsiTheme="minorHAnsi" w:cstheme="minorHAnsi"/>
        </w:rPr>
        <w:t xml:space="preserve">rgan stanowiący jednostki samorządu terytorialnego uchwala, po konsultacjach z organizacjami pozarządowymi oraz podmiotami wymienionymi </w:t>
      </w:r>
      <w:r>
        <w:rPr>
          <w:rFonts w:asciiTheme="minorHAnsi" w:hAnsiTheme="minorHAnsi" w:cstheme="minorHAnsi"/>
        </w:rPr>
        <w:br/>
      </w:r>
      <w:r w:rsidRPr="000423E3">
        <w:rPr>
          <w:rFonts w:asciiTheme="minorHAnsi" w:hAnsiTheme="minorHAnsi" w:cstheme="minorHAnsi"/>
        </w:rPr>
        <w:t>w art. 3 ust. 3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u.d.p.p.</w:t>
      </w:r>
      <w:r w:rsidRPr="000423E3">
        <w:rPr>
          <w:rFonts w:asciiTheme="minorHAnsi" w:hAnsiTheme="minorHAnsi" w:cstheme="minorHAnsi"/>
        </w:rPr>
        <w:t xml:space="preserve">, przeprowadzonych w sposób określony w art. 5 ust. 5, roczny program </w:t>
      </w:r>
      <w:r w:rsidRPr="000423E3">
        <w:rPr>
          <w:rFonts w:asciiTheme="minorHAnsi" w:hAnsiTheme="minorHAnsi" w:cstheme="minorHAnsi"/>
        </w:rPr>
        <w:lastRenderedPageBreak/>
        <w:t>współpracy z organizacjam</w:t>
      </w:r>
      <w:r w:rsidRPr="000423E3">
        <w:rPr>
          <w:rFonts w:asciiTheme="minorHAnsi" w:hAnsiTheme="minorHAnsi" w:cstheme="minorHAnsi"/>
        </w:rPr>
        <w:t>i pozarządowymi oraz podmio</w:t>
      </w:r>
      <w:r>
        <w:rPr>
          <w:rFonts w:asciiTheme="minorHAnsi" w:hAnsiTheme="minorHAnsi" w:cstheme="minorHAnsi"/>
        </w:rPr>
        <w:t>tami wymienionymi w art. 3 ust. </w:t>
      </w:r>
      <w:r w:rsidRPr="000423E3">
        <w:rPr>
          <w:rFonts w:asciiTheme="minorHAnsi" w:hAnsiTheme="minorHAnsi" w:cstheme="minorHAnsi"/>
        </w:rPr>
        <w:t>3. Roczny program współpracy jest uchwalany do dnia 30 listopada roku poprzedzającego okres obowiązywania programu</w:t>
      </w:r>
      <w:r>
        <w:rPr>
          <w:rFonts w:asciiTheme="minorHAnsi" w:hAnsiTheme="minorHAnsi" w:cstheme="minorHAnsi"/>
        </w:rPr>
        <w:t>.</w:t>
      </w:r>
    </w:p>
    <w:p w:rsidR="00D852F6" w:rsidRPr="00D852F6" w:rsidRDefault="00B240D3" w:rsidP="00207385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D852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sytuacji</w:t>
      </w:r>
      <w:r w:rsidRPr="00D852F6">
        <w:rPr>
          <w:rFonts w:asciiTheme="minorHAnsi" w:hAnsiTheme="minorHAnsi" w:cstheme="minorHAnsi"/>
        </w:rPr>
        <w:t xml:space="preserve"> gdy po konsultacjach, o których mowa w </w:t>
      </w:r>
      <w:r>
        <w:rPr>
          <w:rFonts w:asciiTheme="minorHAnsi" w:hAnsiTheme="minorHAnsi" w:cstheme="minorHAnsi"/>
        </w:rPr>
        <w:t xml:space="preserve">art. 5a </w:t>
      </w:r>
      <w:r w:rsidRPr="00D852F6">
        <w:rPr>
          <w:rFonts w:asciiTheme="minorHAnsi" w:hAnsiTheme="minorHAnsi" w:cstheme="minorHAnsi"/>
        </w:rPr>
        <w:t>ust. 1</w:t>
      </w:r>
      <w:r>
        <w:rPr>
          <w:rFonts w:asciiTheme="minorHAnsi" w:hAnsiTheme="minorHAnsi" w:cstheme="minorHAnsi"/>
        </w:rPr>
        <w:t xml:space="preserve"> u.d.p.p.</w:t>
      </w:r>
      <w:r w:rsidRPr="00D852F6">
        <w:rPr>
          <w:rFonts w:asciiTheme="minorHAnsi" w:hAnsiTheme="minorHAnsi" w:cstheme="minorHAnsi"/>
        </w:rPr>
        <w:t>, właści</w:t>
      </w:r>
      <w:r w:rsidRPr="00D852F6">
        <w:rPr>
          <w:rFonts w:asciiTheme="minorHAnsi" w:hAnsiTheme="minorHAnsi" w:cstheme="minorHAnsi"/>
        </w:rPr>
        <w:t>wa rada działalności pożytku publicznego wyrazi opinię o projekcie rocznego lub wieloletniego programu współpracy, opinię tę organ wykonawczy jednostki samo</w:t>
      </w:r>
      <w:r>
        <w:rPr>
          <w:rFonts w:asciiTheme="minorHAnsi" w:hAnsiTheme="minorHAnsi" w:cstheme="minorHAnsi"/>
        </w:rPr>
        <w:t>rządu terytorialnego załącza do </w:t>
      </w:r>
      <w:r w:rsidRPr="00D852F6">
        <w:rPr>
          <w:rFonts w:asciiTheme="minorHAnsi" w:hAnsiTheme="minorHAnsi" w:cstheme="minorHAnsi"/>
        </w:rPr>
        <w:t>przedstawianego organowi stanowiącemu jednostki samorządu terytorial</w:t>
      </w:r>
      <w:r w:rsidRPr="00D852F6">
        <w:rPr>
          <w:rFonts w:asciiTheme="minorHAnsi" w:hAnsiTheme="minorHAnsi" w:cstheme="minorHAnsi"/>
        </w:rPr>
        <w:t>nego projektu rocznego lub wi</w:t>
      </w:r>
      <w:r>
        <w:rPr>
          <w:rFonts w:asciiTheme="minorHAnsi" w:hAnsiTheme="minorHAnsi" w:cstheme="minorHAnsi"/>
        </w:rPr>
        <w:t xml:space="preserve">eloletniego programu współpracy (art. 5a ust. 2a u.d.p.p.). </w:t>
      </w:r>
    </w:p>
    <w:p w:rsidR="003008D8" w:rsidRPr="003008D8" w:rsidRDefault="00B240D3" w:rsidP="003008D8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Natomiast</w:t>
      </w:r>
      <w:r w:rsidRPr="003008D8">
        <w:rPr>
          <w:rFonts w:asciiTheme="minorHAnsi" w:hAnsiTheme="minorHAnsi" w:cstheme="minorHAnsi"/>
        </w:rPr>
        <w:t xml:space="preserve"> przepis art. 5a ust. 4 </w:t>
      </w:r>
      <w:r>
        <w:rPr>
          <w:rFonts w:asciiTheme="minorHAnsi" w:hAnsiTheme="minorHAnsi" w:cstheme="minorHAnsi"/>
        </w:rPr>
        <w:t xml:space="preserve">u.d.p.p. </w:t>
      </w:r>
      <w:r w:rsidRPr="003008D8">
        <w:rPr>
          <w:rFonts w:asciiTheme="minorHAnsi" w:hAnsiTheme="minorHAnsi" w:cstheme="minorHAnsi"/>
        </w:rPr>
        <w:t xml:space="preserve">zawiera </w:t>
      </w:r>
      <w:r>
        <w:rPr>
          <w:rFonts w:asciiTheme="minorHAnsi" w:hAnsiTheme="minorHAnsi" w:cstheme="minorHAnsi"/>
        </w:rPr>
        <w:t xml:space="preserve">otwarty </w:t>
      </w:r>
      <w:r w:rsidRPr="003008D8">
        <w:rPr>
          <w:rFonts w:asciiTheme="minorHAnsi" w:hAnsiTheme="minorHAnsi" w:cstheme="minorHAnsi"/>
        </w:rPr>
        <w:t xml:space="preserve">katalog zagadnień wymagających uregulowania przez radę w programie współpracy z organizacjami pozarządowymi </w:t>
      </w:r>
      <w:r w:rsidRPr="003008D8">
        <w:rPr>
          <w:rFonts w:asciiTheme="minorHAnsi" w:hAnsiTheme="minorHAnsi" w:cstheme="minorHAnsi"/>
        </w:rPr>
        <w:t>oraz podmiotami wymienionymi w art. 3 ust. 3.</w:t>
      </w:r>
      <w:r>
        <w:rPr>
          <w:rFonts w:asciiTheme="minorHAnsi" w:hAnsiTheme="minorHAnsi" w:cstheme="minorHAnsi"/>
        </w:rPr>
        <w:t xml:space="preserve"> </w:t>
      </w:r>
      <w:r w:rsidRPr="003008D8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godnie z art. 5a ust. 4 u.d.p.p.</w:t>
      </w:r>
      <w:r w:rsidRPr="003008D8">
        <w:rPr>
          <w:rFonts w:asciiTheme="minorHAnsi" w:hAnsiTheme="minorHAnsi" w:cstheme="minorHAnsi"/>
        </w:rPr>
        <w:t>, obligatoryjnymi elementami r</w:t>
      </w:r>
      <w:r>
        <w:rPr>
          <w:rFonts w:asciiTheme="minorHAnsi" w:hAnsiTheme="minorHAnsi" w:cstheme="minorHAnsi"/>
        </w:rPr>
        <w:t>ocznego programu współpracy są</w:t>
      </w:r>
      <w:r w:rsidRPr="003008D8">
        <w:rPr>
          <w:rFonts w:asciiTheme="minorHAnsi" w:hAnsiTheme="minorHAnsi" w:cstheme="minorHAnsi"/>
        </w:rPr>
        <w:t>:</w:t>
      </w:r>
    </w:p>
    <w:p w:rsidR="0091197F" w:rsidRPr="0091197F" w:rsidRDefault="00B240D3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>cel główny i cele szczegółowe programu;</w:t>
      </w:r>
    </w:p>
    <w:p w:rsidR="0091197F" w:rsidRPr="0091197F" w:rsidRDefault="00B240D3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>zasady współpracy;</w:t>
      </w:r>
    </w:p>
    <w:p w:rsidR="0091197F" w:rsidRPr="0091197F" w:rsidRDefault="00B240D3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>zakres przedmiotowy;</w:t>
      </w:r>
    </w:p>
    <w:p w:rsidR="0091197F" w:rsidRPr="0091197F" w:rsidRDefault="00B240D3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 xml:space="preserve">formy współpracy, o </w:t>
      </w:r>
      <w:r w:rsidRPr="0091197F">
        <w:rPr>
          <w:rFonts w:asciiTheme="minorHAnsi" w:hAnsiTheme="minorHAnsi" w:cstheme="minorHAnsi"/>
        </w:rPr>
        <w:t>których mowa w art. 5 ust. 2;</w:t>
      </w:r>
    </w:p>
    <w:p w:rsidR="0091197F" w:rsidRPr="0091197F" w:rsidRDefault="00B240D3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>priorytetowe zadania publiczne;</w:t>
      </w:r>
    </w:p>
    <w:p w:rsidR="0091197F" w:rsidRPr="0091197F" w:rsidRDefault="00B240D3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>okres realizacji programu;</w:t>
      </w:r>
    </w:p>
    <w:p w:rsidR="0091197F" w:rsidRPr="0091197F" w:rsidRDefault="00B240D3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>sposób realizacji programu;</w:t>
      </w:r>
    </w:p>
    <w:p w:rsidR="0091197F" w:rsidRPr="0091197F" w:rsidRDefault="00B240D3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>wysokość środków planowanych na realizację programu;</w:t>
      </w:r>
    </w:p>
    <w:p w:rsidR="0091197F" w:rsidRPr="0091197F" w:rsidRDefault="00B240D3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>sposób oceny realizacji programu;</w:t>
      </w:r>
    </w:p>
    <w:p w:rsidR="0091197F" w:rsidRPr="0091197F" w:rsidRDefault="00B240D3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>informację o sposobie tworzenia p</w:t>
      </w:r>
      <w:r w:rsidRPr="0091197F">
        <w:rPr>
          <w:rFonts w:asciiTheme="minorHAnsi" w:hAnsiTheme="minorHAnsi" w:cstheme="minorHAnsi"/>
        </w:rPr>
        <w:t>rogramu oraz o przebiegu konsultacji;</w:t>
      </w:r>
    </w:p>
    <w:p w:rsidR="0091197F" w:rsidRPr="0091197F" w:rsidRDefault="00B240D3" w:rsidP="003008D8">
      <w:p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11)</w:t>
      </w:r>
      <w:r>
        <w:rPr>
          <w:rFonts w:asciiTheme="minorHAnsi" w:hAnsiTheme="minorHAnsi" w:cstheme="minorHAnsi"/>
        </w:rPr>
        <w:tab/>
      </w:r>
      <w:r w:rsidRPr="0091197F">
        <w:rPr>
          <w:rFonts w:asciiTheme="minorHAnsi" w:hAnsiTheme="minorHAnsi" w:cstheme="minorHAnsi"/>
        </w:rPr>
        <w:t>tryb powoływania i zasady działania komisji konkursowych do opiniowania ofert w otwartych konkursach ofert.</w:t>
      </w:r>
    </w:p>
    <w:p w:rsidR="006E5387" w:rsidRDefault="00B240D3" w:rsidP="004A7467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Przywołany wyżej przepis określa niezbędne minimum postanowień, jaki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powinna zawierać uchwała us</w:t>
      </w:r>
      <w:r>
        <w:rPr>
          <w:rFonts w:asciiTheme="minorHAnsi" w:hAnsiTheme="minorHAnsi" w:cstheme="minorHAnsi"/>
        </w:rPr>
        <w:t>tanawiają</w:t>
      </w:r>
      <w:r>
        <w:rPr>
          <w:rFonts w:asciiTheme="minorHAnsi" w:hAnsiTheme="minorHAnsi" w:cstheme="minorHAnsi"/>
        </w:rPr>
        <w:t xml:space="preserve">ca program współpracy z organizacjami pozarządowymi oraz innymi podmiotami prowadzącymi działalność pożytku publicznego. </w:t>
      </w:r>
    </w:p>
    <w:p w:rsidR="00853082" w:rsidRDefault="00B240D3" w:rsidP="000076C0">
      <w:pPr>
        <w:spacing w:line="360" w:lineRule="auto"/>
        <w:ind w:firstLine="709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hAnsiTheme="minorHAnsi" w:cstheme="minorHAnsi"/>
        </w:rPr>
        <w:t>W § </w:t>
      </w:r>
      <w:r>
        <w:rPr>
          <w:rFonts w:asciiTheme="minorHAnsi" w:hAnsiTheme="minorHAnsi" w:cstheme="minorHAnsi"/>
        </w:rPr>
        <w:t>21 ust. 5</w:t>
      </w:r>
      <w:r>
        <w:rPr>
          <w:rFonts w:asciiTheme="minorHAnsi" w:hAnsiTheme="minorHAnsi" w:cstheme="minorHAnsi"/>
        </w:rPr>
        <w:t xml:space="preserve"> programu Rada Gminy </w:t>
      </w:r>
      <w:r>
        <w:rPr>
          <w:rFonts w:asciiTheme="minorHAnsi" w:hAnsiTheme="minorHAnsi" w:cstheme="minorHAnsi"/>
        </w:rPr>
        <w:t>ustaliła, że: „</w:t>
      </w:r>
      <w:r w:rsidRPr="000076C0">
        <w:rPr>
          <w:rFonts w:asciiTheme="minorHAnsi" w:eastAsiaTheme="minorHAnsi" w:hAnsiTheme="minorHAnsi" w:cstheme="minorHAnsi"/>
          <w:i/>
        </w:rPr>
        <w:t>W pracac</w:t>
      </w:r>
      <w:r>
        <w:rPr>
          <w:rFonts w:asciiTheme="minorHAnsi" w:eastAsiaTheme="minorHAnsi" w:hAnsiTheme="minorHAnsi" w:cstheme="minorHAnsi"/>
          <w:i/>
        </w:rPr>
        <w:t>h komisji mogą uczestniczyć, na </w:t>
      </w:r>
      <w:r w:rsidRPr="000076C0">
        <w:rPr>
          <w:rFonts w:asciiTheme="minorHAnsi" w:eastAsiaTheme="minorHAnsi" w:hAnsiTheme="minorHAnsi" w:cstheme="minorHAnsi"/>
          <w:i/>
        </w:rPr>
        <w:t xml:space="preserve">wniosek członka komisji lub własny, z głosem </w:t>
      </w:r>
      <w:r w:rsidRPr="000076C0">
        <w:rPr>
          <w:rFonts w:asciiTheme="minorHAnsi" w:eastAsiaTheme="minorHAnsi" w:hAnsiTheme="minorHAnsi" w:cstheme="minorHAnsi"/>
          <w:i/>
        </w:rPr>
        <w:t>doradczym,</w:t>
      </w:r>
      <w:r w:rsidRPr="000076C0">
        <w:rPr>
          <w:rFonts w:asciiTheme="minorHAnsi" w:eastAsiaTheme="minorHAnsi" w:hAnsiTheme="minorHAnsi" w:cstheme="minorHAnsi"/>
          <w:i/>
        </w:rPr>
        <w:t xml:space="preserve"> </w:t>
      </w:r>
      <w:r w:rsidRPr="000076C0">
        <w:rPr>
          <w:rFonts w:asciiTheme="minorHAnsi" w:eastAsiaTheme="minorHAnsi" w:hAnsiTheme="minorHAnsi" w:cstheme="minorHAnsi"/>
          <w:i/>
        </w:rPr>
        <w:t>osoby posiadające specjalistyczną wiedzę w dziedzinie obejmującej zakres zadań publicznych, których konkurs</w:t>
      </w:r>
      <w:r w:rsidRPr="000076C0">
        <w:rPr>
          <w:rFonts w:asciiTheme="minorHAnsi" w:eastAsiaTheme="minorHAnsi" w:hAnsiTheme="minorHAnsi" w:cstheme="minorHAnsi"/>
          <w:i/>
        </w:rPr>
        <w:t xml:space="preserve"> dotyczy. Decyzję w </w:t>
      </w:r>
      <w:r w:rsidRPr="000076C0">
        <w:rPr>
          <w:rFonts w:asciiTheme="minorHAnsi" w:eastAsiaTheme="minorHAnsi" w:hAnsiTheme="minorHAnsi" w:cstheme="minorHAnsi"/>
          <w:i/>
        </w:rPr>
        <w:t>przedmiotowym zakresie podejmuje wójt</w:t>
      </w:r>
      <w:r>
        <w:rPr>
          <w:rFonts w:asciiTheme="minorHAnsi" w:eastAsiaTheme="minorHAnsi" w:hAnsiTheme="minorHAnsi" w:cstheme="minorHAnsi"/>
        </w:rPr>
        <w:t>”</w:t>
      </w:r>
      <w:r w:rsidRPr="00B06C32">
        <w:rPr>
          <w:rFonts w:asciiTheme="minorHAnsi" w:eastAsiaTheme="minorHAnsi" w:hAnsiTheme="minorHAnsi" w:cstheme="minorHAnsi"/>
        </w:rPr>
        <w:t>.</w:t>
      </w:r>
      <w:r>
        <w:rPr>
          <w:rFonts w:asciiTheme="minorHAnsi" w:eastAsiaTheme="minorHAnsi" w:hAnsiTheme="minorHAnsi" w:cstheme="minorHAnsi"/>
        </w:rPr>
        <w:t xml:space="preserve"> </w:t>
      </w:r>
    </w:p>
    <w:p w:rsidR="00596C33" w:rsidRDefault="00B240D3" w:rsidP="00470A78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Zaznaczyć w tym miejscu należy, że na mocy </w:t>
      </w:r>
      <w:hyperlink r:id="rId10" w:anchor="/document/18221981?cm=DOCUMENT" w:tgtFrame="_blank" w:history="1">
        <w:r w:rsidRPr="001E69A5">
          <w:rPr>
            <w:rStyle w:val="Hipercze"/>
            <w:rFonts w:asciiTheme="minorHAnsi" w:hAnsiTheme="minorHAnsi" w:cstheme="minorHAnsi"/>
            <w:color w:val="auto"/>
            <w:u w:val="none"/>
          </w:rPr>
          <w:t>ustawy</w:t>
        </w:r>
      </w:hyperlink>
      <w:r w:rsidRPr="001E69A5">
        <w:rPr>
          <w:rFonts w:asciiTheme="minorHAnsi" w:hAnsiTheme="minorHAnsi" w:cstheme="minorHAnsi"/>
        </w:rPr>
        <w:t xml:space="preserve"> z dnia 5 sier</w:t>
      </w:r>
      <w:r>
        <w:rPr>
          <w:rFonts w:asciiTheme="minorHAnsi" w:hAnsiTheme="minorHAnsi" w:cstheme="minorHAnsi"/>
        </w:rPr>
        <w:t>pnia 2015 r. o zmianie ustawy o </w:t>
      </w:r>
      <w:r w:rsidRPr="001E69A5">
        <w:rPr>
          <w:rFonts w:asciiTheme="minorHAnsi" w:hAnsiTheme="minorHAnsi" w:cstheme="minorHAnsi"/>
        </w:rPr>
        <w:t>działalności pożytku publicznego i o wolontariacie oraz ustawy o fu</w:t>
      </w:r>
      <w:r>
        <w:rPr>
          <w:rFonts w:asciiTheme="minorHAnsi" w:hAnsiTheme="minorHAnsi" w:cstheme="minorHAnsi"/>
        </w:rPr>
        <w:t xml:space="preserve">ndacjach (Dz. U.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lastRenderedPageBreak/>
        <w:t>z 2015 r. poz. </w:t>
      </w:r>
      <w:r w:rsidRPr="001E69A5">
        <w:rPr>
          <w:rFonts w:asciiTheme="minorHAnsi" w:hAnsiTheme="minorHAnsi" w:cstheme="minorHAnsi"/>
        </w:rPr>
        <w:t>1339) zostało nadane</w:t>
      </w:r>
      <w:r w:rsidRPr="001E69A5">
        <w:rPr>
          <w:rFonts w:asciiTheme="minorHAnsi" w:hAnsiTheme="minorHAnsi" w:cstheme="minorHAnsi"/>
        </w:rPr>
        <w:t xml:space="preserve"> nowe brzmie</w:t>
      </w:r>
      <w:r>
        <w:rPr>
          <w:rFonts w:asciiTheme="minorHAnsi" w:hAnsiTheme="minorHAnsi" w:cstheme="minorHAnsi"/>
        </w:rPr>
        <w:t>nie art. 15 ust. 2e. Zgodnie z jego treścią</w:t>
      </w:r>
      <w:r w:rsidRPr="001E69A5">
        <w:rPr>
          <w:rFonts w:asciiTheme="minorHAnsi" w:hAnsiTheme="minorHAnsi" w:cstheme="minorHAnsi"/>
        </w:rPr>
        <w:t xml:space="preserve"> komisja konkursowa może korzystać z pomocy osób posiadających specjalistyczną wiedzę z dziedziny obejmującej zakres zadań publicznych, których konkurs dotyczy.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Zatem za istotnie naruszające prawo uzna</w:t>
      </w:r>
      <w:r>
        <w:rPr>
          <w:rFonts w:asciiTheme="minorHAnsi" w:hAnsiTheme="minorHAnsi" w:cstheme="minorHAnsi"/>
        </w:rPr>
        <w:t xml:space="preserve">ć należy ustalenie zawarte w § 21 ust. 5 zdanie programu, w którym Rada </w:t>
      </w:r>
      <w:r>
        <w:rPr>
          <w:rFonts w:asciiTheme="minorHAnsi" w:hAnsiTheme="minorHAnsi" w:cstheme="minorHAnsi"/>
        </w:rPr>
        <w:t>postanowiła</w:t>
      </w:r>
      <w:r>
        <w:rPr>
          <w:rFonts w:asciiTheme="minorHAnsi" w:hAnsiTheme="minorHAnsi" w:cstheme="minorHAnsi"/>
        </w:rPr>
        <w:t xml:space="preserve">, że o </w:t>
      </w:r>
      <w:r>
        <w:rPr>
          <w:rFonts w:asciiTheme="minorHAnsi" w:hAnsiTheme="minorHAnsi" w:cstheme="minorHAnsi"/>
        </w:rPr>
        <w:t xml:space="preserve">ewentualnym </w:t>
      </w:r>
      <w:r>
        <w:rPr>
          <w:rFonts w:asciiTheme="minorHAnsi" w:hAnsiTheme="minorHAnsi" w:cstheme="minorHAnsi"/>
        </w:rPr>
        <w:t>uczestnictwie w pracach komisji osób</w:t>
      </w:r>
      <w:r>
        <w:rPr>
          <w:rFonts w:asciiTheme="minorHAnsi" w:hAnsiTheme="minorHAnsi" w:cstheme="minorHAnsi"/>
        </w:rPr>
        <w:t xml:space="preserve">, o których mowa w art. 15 ust. 2e u.d.p.p. </w:t>
      </w:r>
      <w:r>
        <w:rPr>
          <w:rFonts w:asciiTheme="minorHAnsi" w:hAnsiTheme="minorHAnsi" w:cstheme="minorHAnsi"/>
        </w:rPr>
        <w:t xml:space="preserve">ma decydować Wójt. </w:t>
      </w:r>
      <w:r>
        <w:rPr>
          <w:rFonts w:asciiTheme="minorHAnsi" w:hAnsiTheme="minorHAnsi" w:cstheme="minorHAnsi"/>
        </w:rPr>
        <w:t>Wobec tak poczynionego ustalenia R</w:t>
      </w:r>
      <w:r>
        <w:rPr>
          <w:rFonts w:asciiTheme="minorHAnsi" w:hAnsiTheme="minorHAnsi" w:cstheme="minorHAnsi"/>
        </w:rPr>
        <w:t xml:space="preserve">ady organ nadzoru </w:t>
      </w:r>
      <w:r>
        <w:rPr>
          <w:rFonts w:asciiTheme="minorHAnsi" w:hAnsiTheme="minorHAnsi" w:cstheme="minorHAnsi"/>
        </w:rPr>
        <w:t>wskazuje</w:t>
      </w:r>
      <w:r>
        <w:rPr>
          <w:rFonts w:asciiTheme="minorHAnsi" w:hAnsiTheme="minorHAnsi" w:cstheme="minorHAnsi"/>
        </w:rPr>
        <w:t xml:space="preserve">, że regulacje u.d.p.p. </w:t>
      </w:r>
      <w:r>
        <w:rPr>
          <w:rFonts w:asciiTheme="minorHAnsi" w:hAnsiTheme="minorHAnsi" w:cstheme="minorHAnsi"/>
        </w:rPr>
        <w:t xml:space="preserve">nie nadają organowi wykonawczemu Gminy tego typu uprawnień. </w:t>
      </w:r>
      <w:r>
        <w:rPr>
          <w:rFonts w:asciiTheme="minorHAnsi" w:hAnsiTheme="minorHAnsi" w:cstheme="minorHAnsi"/>
        </w:rPr>
        <w:t>Z dyspozycji</w:t>
      </w:r>
      <w:r>
        <w:rPr>
          <w:rFonts w:asciiTheme="minorHAnsi" w:hAnsiTheme="minorHAnsi" w:cstheme="minorHAnsi"/>
        </w:rPr>
        <w:t xml:space="preserve"> art. 15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ust. 2e u.d.p.p. </w:t>
      </w:r>
      <w:r>
        <w:rPr>
          <w:rFonts w:asciiTheme="minorHAnsi" w:hAnsiTheme="minorHAnsi" w:cstheme="minorHAnsi"/>
        </w:rPr>
        <w:t>wynika wprost, że decydowanie o korzystaniu z pomocy osób posiadających specjalistyczną wiedzę z dziedziny obejmującej zakres</w:t>
      </w:r>
      <w:r>
        <w:rPr>
          <w:rFonts w:asciiTheme="minorHAnsi" w:hAnsiTheme="minorHAnsi" w:cstheme="minorHAnsi"/>
        </w:rPr>
        <w:t xml:space="preserve"> zadań publicznych, których</w:t>
      </w:r>
      <w:r>
        <w:rPr>
          <w:rFonts w:asciiTheme="minorHAnsi" w:hAnsiTheme="minorHAnsi" w:cstheme="minorHAnsi"/>
        </w:rPr>
        <w:t xml:space="preserve"> konkurs dotyczy, jest </w:t>
      </w:r>
      <w:r>
        <w:rPr>
          <w:rFonts w:asciiTheme="minorHAnsi" w:hAnsiTheme="minorHAnsi" w:cstheme="minorHAnsi"/>
        </w:rPr>
        <w:t xml:space="preserve">uprawnieniem </w:t>
      </w:r>
      <w:r>
        <w:rPr>
          <w:rFonts w:asciiTheme="minorHAnsi" w:hAnsiTheme="minorHAnsi" w:cstheme="minorHAnsi"/>
        </w:rPr>
        <w:t xml:space="preserve">wyłącznie </w:t>
      </w:r>
      <w:r>
        <w:rPr>
          <w:rFonts w:asciiTheme="minorHAnsi" w:hAnsiTheme="minorHAnsi" w:cstheme="minorHAnsi"/>
        </w:rPr>
        <w:t xml:space="preserve">komisji konkursowej. </w:t>
      </w:r>
    </w:p>
    <w:p w:rsidR="008F349B" w:rsidRDefault="00B240D3" w:rsidP="008F349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5C13A8">
        <w:rPr>
          <w:rFonts w:asciiTheme="minorHAnsi" w:hAnsiTheme="minorHAnsi" w:cstheme="minorHAnsi"/>
        </w:rPr>
        <w:t xml:space="preserve">odyfikacja przez przepisy uchwały </w:t>
      </w:r>
      <w:r>
        <w:rPr>
          <w:rFonts w:asciiTheme="minorHAnsi" w:hAnsiTheme="minorHAnsi" w:cstheme="minorHAnsi"/>
        </w:rPr>
        <w:t xml:space="preserve">przepisów zawartych już w aktach wyższego rzędu może doprowadzić do </w:t>
      </w:r>
      <w:r w:rsidRPr="005C13A8">
        <w:rPr>
          <w:rFonts w:asciiTheme="minorHAnsi" w:hAnsiTheme="minorHAnsi" w:cstheme="minorHAnsi"/>
        </w:rPr>
        <w:t xml:space="preserve">odmiennej czy </w:t>
      </w:r>
      <w:r>
        <w:rPr>
          <w:rFonts w:asciiTheme="minorHAnsi" w:hAnsiTheme="minorHAnsi" w:cstheme="minorHAnsi"/>
        </w:rPr>
        <w:t xml:space="preserve">wręcz </w:t>
      </w:r>
      <w:r w:rsidRPr="005C13A8">
        <w:rPr>
          <w:rFonts w:asciiTheme="minorHAnsi" w:hAnsiTheme="minorHAnsi" w:cstheme="minorHAnsi"/>
        </w:rPr>
        <w:t>sprzecznej z intencjami ustawodawcy in</w:t>
      </w:r>
      <w:r w:rsidRPr="005C13A8">
        <w:rPr>
          <w:rFonts w:asciiTheme="minorHAnsi" w:hAnsiTheme="minorHAnsi" w:cstheme="minorHAnsi"/>
        </w:rPr>
        <w:t xml:space="preserve">terpretacji. Trzeba bowiem liczyć się z tym, że powtórzony, czy zmodyfikowany </w:t>
      </w:r>
      <w:r>
        <w:rPr>
          <w:rFonts w:asciiTheme="minorHAnsi" w:hAnsiTheme="minorHAnsi" w:cstheme="minorHAnsi"/>
        </w:rPr>
        <w:t>przepis będzie interpretowany w </w:t>
      </w:r>
      <w:r w:rsidRPr="005C13A8">
        <w:rPr>
          <w:rFonts w:asciiTheme="minorHAnsi" w:hAnsiTheme="minorHAnsi" w:cstheme="minorHAnsi"/>
        </w:rPr>
        <w:t>kontekście uchwały, w k</w:t>
      </w:r>
      <w:r>
        <w:rPr>
          <w:rFonts w:asciiTheme="minorHAnsi" w:hAnsiTheme="minorHAnsi" w:cstheme="minorHAnsi"/>
        </w:rPr>
        <w:t>tórej go zamieszczono. Niewątpliwie taka sytuacja może prowadzić do </w:t>
      </w:r>
      <w:r w:rsidRPr="005C13A8">
        <w:rPr>
          <w:rFonts w:asciiTheme="minorHAnsi" w:hAnsiTheme="minorHAnsi" w:cstheme="minorHAnsi"/>
        </w:rPr>
        <w:t xml:space="preserve">całkowitej lub częściowej zmiany intencji ustawodawcy. </w:t>
      </w:r>
      <w:r>
        <w:rPr>
          <w:rFonts w:asciiTheme="minorHAnsi" w:hAnsiTheme="minorHAnsi" w:cstheme="minorHAnsi"/>
        </w:rPr>
        <w:t>Niedopuszczalnym jest zatem regulowanie niektórych</w:t>
      </w:r>
      <w:r w:rsidRPr="008271DB">
        <w:rPr>
          <w:rFonts w:asciiTheme="minorHAnsi" w:hAnsiTheme="minorHAnsi" w:cstheme="minorHAnsi"/>
        </w:rPr>
        <w:t xml:space="preserve"> kwestii w sposób odmi</w:t>
      </w:r>
      <w:r>
        <w:rPr>
          <w:rFonts w:asciiTheme="minorHAnsi" w:hAnsiTheme="minorHAnsi" w:cstheme="minorHAnsi"/>
        </w:rPr>
        <w:t>enny niż uczynił to ustawodawca</w:t>
      </w:r>
      <w:r w:rsidRPr="008271DB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 xml:space="preserve">por. </w:t>
      </w:r>
      <w:r w:rsidRPr="008271DB">
        <w:rPr>
          <w:rFonts w:asciiTheme="minorHAnsi" w:hAnsiTheme="minorHAnsi" w:cstheme="minorHAnsi"/>
        </w:rPr>
        <w:t>wyrok Wojewódzkiego Sądu Administracyjnego w Gliwicach z dnia 30 października 2014 r.</w:t>
      </w:r>
      <w:r>
        <w:rPr>
          <w:rFonts w:asciiTheme="minorHAnsi" w:hAnsiTheme="minorHAnsi" w:cstheme="minorHAnsi"/>
        </w:rPr>
        <w:t>, sygn. akt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Pr="008271DB">
        <w:rPr>
          <w:rFonts w:asciiTheme="minorHAnsi" w:hAnsiTheme="minorHAnsi" w:cstheme="minorHAnsi"/>
        </w:rPr>
        <w:t>SA/Gl 636/14).</w:t>
      </w:r>
    </w:p>
    <w:p w:rsidR="00B42236" w:rsidRDefault="00B240D3" w:rsidP="00470A78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Wobec powyższego organ nadzoru </w:t>
      </w:r>
      <w:r>
        <w:rPr>
          <w:rFonts w:asciiTheme="minorHAnsi" w:hAnsiTheme="minorHAnsi" w:cstheme="minorHAnsi"/>
        </w:rPr>
        <w:t>stwierdza, iż b</w:t>
      </w:r>
      <w:r>
        <w:rPr>
          <w:rFonts w:asciiTheme="minorHAnsi" w:hAnsiTheme="minorHAnsi" w:cstheme="minorHAnsi"/>
        </w:rPr>
        <w:t xml:space="preserve">rak jest podstaw prawnych </w:t>
      </w:r>
      <w:r>
        <w:rPr>
          <w:rFonts w:asciiTheme="minorHAnsi" w:hAnsiTheme="minorHAnsi" w:cstheme="minorHAnsi"/>
        </w:rPr>
        <w:t xml:space="preserve">dla Rady </w:t>
      </w:r>
      <w:r>
        <w:rPr>
          <w:rFonts w:asciiTheme="minorHAnsi" w:hAnsiTheme="minorHAnsi" w:cstheme="minorHAnsi"/>
        </w:rPr>
        <w:t>do </w:t>
      </w:r>
      <w:r>
        <w:rPr>
          <w:rFonts w:asciiTheme="minorHAnsi" w:hAnsiTheme="minorHAnsi" w:cstheme="minorHAnsi"/>
        </w:rPr>
        <w:t xml:space="preserve">delegowania </w:t>
      </w:r>
      <w:r>
        <w:rPr>
          <w:rFonts w:asciiTheme="minorHAnsi" w:hAnsiTheme="minorHAnsi" w:cstheme="minorHAnsi"/>
        </w:rPr>
        <w:t xml:space="preserve">na Wójta </w:t>
      </w:r>
      <w:r>
        <w:rPr>
          <w:rFonts w:asciiTheme="minorHAnsi" w:hAnsiTheme="minorHAnsi" w:cstheme="minorHAnsi"/>
        </w:rPr>
        <w:t>uprawnień przysługujących komisji</w:t>
      </w:r>
      <w:r>
        <w:rPr>
          <w:rFonts w:asciiTheme="minorHAnsi" w:hAnsiTheme="minorHAnsi" w:cstheme="minorHAnsi"/>
        </w:rPr>
        <w:t xml:space="preserve"> konkursowej </w:t>
      </w:r>
      <w:r>
        <w:rPr>
          <w:rFonts w:asciiTheme="minorHAnsi" w:hAnsiTheme="minorHAnsi" w:cstheme="minorHAnsi"/>
        </w:rPr>
        <w:t>zgodnie z</w:t>
      </w:r>
      <w:r>
        <w:rPr>
          <w:rFonts w:asciiTheme="minorHAnsi" w:hAnsiTheme="minorHAnsi" w:cstheme="minorHAnsi"/>
        </w:rPr>
        <w:t xml:space="preserve"> art. 15 ust. 2e u.d.p.p. </w:t>
      </w:r>
    </w:p>
    <w:p w:rsidR="00AE4E6A" w:rsidRDefault="00B240D3" w:rsidP="00D60745">
      <w:pPr>
        <w:spacing w:line="360" w:lineRule="auto"/>
        <w:ind w:firstLine="709"/>
        <w:jc w:val="both"/>
        <w:rPr>
          <w:rFonts w:asciiTheme="minorHAnsi" w:eastAsiaTheme="minorHAnsi" w:hAnsiTheme="minorHAnsi" w:cstheme="minorHAnsi"/>
        </w:rPr>
      </w:pPr>
      <w:r w:rsidRPr="005A454E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§ </w:t>
      </w:r>
      <w:r w:rsidRPr="005A454E">
        <w:rPr>
          <w:rFonts w:asciiTheme="minorHAnsi" w:eastAsiaTheme="minorHAnsi" w:hAnsiTheme="minorHAnsi" w:cstheme="minorHAnsi"/>
        </w:rPr>
        <w:t>25</w:t>
      </w:r>
      <w:r>
        <w:rPr>
          <w:rFonts w:asciiTheme="minorHAnsi" w:eastAsiaTheme="minorHAnsi" w:hAnsiTheme="minorHAnsi" w:cstheme="minorHAnsi"/>
        </w:rPr>
        <w:t xml:space="preserve"> ust. 2 programu R</w:t>
      </w:r>
      <w:r>
        <w:rPr>
          <w:rFonts w:asciiTheme="minorHAnsi" w:eastAsiaTheme="minorHAnsi" w:hAnsiTheme="minorHAnsi" w:cstheme="minorHAnsi"/>
        </w:rPr>
        <w:t>ada postanowiła, że o</w:t>
      </w:r>
      <w:r w:rsidRPr="00B41880">
        <w:rPr>
          <w:rFonts w:asciiTheme="minorHAnsi" w:eastAsiaTheme="minorHAnsi" w:hAnsiTheme="minorHAnsi" w:cstheme="minorHAnsi"/>
        </w:rPr>
        <w:t xml:space="preserve">ceny formalnej </w:t>
      </w:r>
      <w:r>
        <w:rPr>
          <w:rFonts w:asciiTheme="minorHAnsi" w:eastAsiaTheme="minorHAnsi" w:hAnsiTheme="minorHAnsi" w:cstheme="minorHAnsi"/>
        </w:rPr>
        <w:t xml:space="preserve">ofert </w:t>
      </w:r>
      <w:r w:rsidRPr="00B41880">
        <w:rPr>
          <w:rFonts w:asciiTheme="minorHAnsi" w:eastAsiaTheme="minorHAnsi" w:hAnsiTheme="minorHAnsi" w:cstheme="minorHAnsi"/>
        </w:rPr>
        <w:t>dokonuje wyznaczony pracownik urzę</w:t>
      </w:r>
      <w:r w:rsidRPr="00B41880">
        <w:rPr>
          <w:rFonts w:asciiTheme="minorHAnsi" w:eastAsiaTheme="minorHAnsi" w:hAnsiTheme="minorHAnsi" w:cstheme="minorHAnsi"/>
        </w:rPr>
        <w:t>du gminy odpowiedzialny za współpracę</w:t>
      </w:r>
      <w:r w:rsidRPr="00B41880">
        <w:rPr>
          <w:rFonts w:asciiTheme="minorHAnsi" w:eastAsiaTheme="minorHAnsi" w:hAnsiTheme="minorHAnsi" w:cstheme="minorHAnsi"/>
        </w:rPr>
        <w:t xml:space="preserve"> </w:t>
      </w:r>
      <w:r w:rsidRPr="00B41880">
        <w:rPr>
          <w:rFonts w:asciiTheme="minorHAnsi" w:eastAsiaTheme="minorHAnsi" w:hAnsiTheme="minorHAnsi" w:cstheme="minorHAnsi"/>
        </w:rPr>
        <w:t>z organizacjami pozarządowymi</w:t>
      </w:r>
      <w:r w:rsidRPr="00B41880">
        <w:rPr>
          <w:rFonts w:asciiTheme="minorHAnsi" w:eastAsiaTheme="minorHAnsi" w:hAnsiTheme="minorHAnsi" w:cstheme="minorHAnsi"/>
        </w:rPr>
        <w:t>.</w:t>
      </w:r>
      <w:r>
        <w:rPr>
          <w:rFonts w:asciiTheme="minorHAnsi" w:eastAsiaTheme="minorHAnsi" w:hAnsiTheme="minorHAnsi" w:cstheme="minorHAnsi"/>
        </w:rPr>
        <w:t xml:space="preserve"> Jednocześnie w tym samym programie organ stanowiący Gminy ustalił, że </w:t>
      </w:r>
      <w:r>
        <w:rPr>
          <w:rFonts w:asciiTheme="minorHAnsi" w:eastAsiaTheme="minorHAnsi" w:hAnsiTheme="minorHAnsi" w:cstheme="minorHAnsi"/>
        </w:rPr>
        <w:t xml:space="preserve">to </w:t>
      </w:r>
      <w:r>
        <w:rPr>
          <w:rFonts w:asciiTheme="minorHAnsi" w:eastAsiaTheme="minorHAnsi" w:hAnsiTheme="minorHAnsi" w:cstheme="minorHAnsi"/>
        </w:rPr>
        <w:t xml:space="preserve">komisja konkursowa dokonuje oceny ofert </w:t>
      </w:r>
      <w:r>
        <w:rPr>
          <w:rFonts w:asciiTheme="minorHAnsi" w:eastAsiaTheme="minorHAnsi" w:hAnsiTheme="minorHAnsi" w:cstheme="minorHAnsi"/>
        </w:rPr>
        <w:t>(§ </w:t>
      </w:r>
      <w:r w:rsidRPr="005A454E">
        <w:rPr>
          <w:rFonts w:asciiTheme="minorHAnsi" w:eastAsiaTheme="minorHAnsi" w:hAnsiTheme="minorHAnsi" w:cstheme="minorHAnsi"/>
        </w:rPr>
        <w:t>25</w:t>
      </w:r>
      <w:r>
        <w:rPr>
          <w:rFonts w:asciiTheme="minorHAnsi" w:eastAsiaTheme="minorHAnsi" w:hAnsiTheme="minorHAnsi" w:cstheme="minorHAnsi"/>
        </w:rPr>
        <w:t xml:space="preserve"> ust. 1 zdanie pierwsze).</w:t>
      </w:r>
      <w:r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Mając na uwadze ustalenia zawarte w § </w:t>
      </w:r>
      <w:r w:rsidRPr="005A454E">
        <w:rPr>
          <w:rFonts w:asciiTheme="minorHAnsi" w:eastAsiaTheme="minorHAnsi" w:hAnsiTheme="minorHAnsi" w:cstheme="minorHAnsi"/>
        </w:rPr>
        <w:t>25</w:t>
      </w:r>
      <w:r>
        <w:rPr>
          <w:rFonts w:asciiTheme="minorHAnsi" w:eastAsiaTheme="minorHAnsi" w:hAnsiTheme="minorHAnsi" w:cstheme="minorHAnsi"/>
        </w:rPr>
        <w:t xml:space="preserve"> ust. 1 i 2 programu stwierdzić należy, że brak jest spójności zarówno pomiędzy tymi ustaleniami, </w:t>
      </w:r>
      <w:r>
        <w:rPr>
          <w:rFonts w:asciiTheme="minorHAnsi" w:eastAsiaTheme="minorHAnsi" w:hAnsiTheme="minorHAnsi" w:cstheme="minorHAnsi"/>
        </w:rPr>
        <w:br/>
        <w:t xml:space="preserve">jak z regulacją zawartą w u.d.p.p. </w:t>
      </w:r>
    </w:p>
    <w:p w:rsidR="002441C1" w:rsidRPr="005A454E" w:rsidRDefault="00B240D3" w:rsidP="00D03089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Tymczasem z dyspozycji art. 15 ust. 2a u.d.p.p. wynika wprost, że opiniowanie ofert jest zadaniem komisji konkursowej pow</w:t>
      </w:r>
      <w:r>
        <w:rPr>
          <w:rFonts w:asciiTheme="minorHAnsi" w:eastAsiaTheme="minorHAnsi" w:hAnsiTheme="minorHAnsi" w:cstheme="minorHAnsi"/>
        </w:rPr>
        <w:t xml:space="preserve">ołanej przez organ administracji publicznej ogłaszający otwarty konkurs ofert. </w:t>
      </w:r>
      <w:r w:rsidRPr="005A454E">
        <w:rPr>
          <w:rFonts w:asciiTheme="minorHAnsi" w:hAnsiTheme="minorHAnsi" w:cstheme="minorHAnsi"/>
        </w:rPr>
        <w:t>Organ</w:t>
      </w:r>
      <w:r>
        <w:rPr>
          <w:rFonts w:asciiTheme="minorHAnsi" w:hAnsiTheme="minorHAnsi" w:cstheme="minorHAnsi"/>
        </w:rPr>
        <w:t xml:space="preserve"> stanowiący G</w:t>
      </w:r>
      <w:r w:rsidRPr="005A454E">
        <w:rPr>
          <w:rFonts w:asciiTheme="minorHAnsi" w:hAnsiTheme="minorHAnsi" w:cstheme="minorHAnsi"/>
        </w:rPr>
        <w:t xml:space="preserve">miny nie został </w:t>
      </w:r>
      <w:r>
        <w:rPr>
          <w:rFonts w:asciiTheme="minorHAnsi" w:hAnsiTheme="minorHAnsi" w:cstheme="minorHAnsi"/>
        </w:rPr>
        <w:t xml:space="preserve">zatem </w:t>
      </w:r>
      <w:r w:rsidRPr="005A454E">
        <w:rPr>
          <w:rFonts w:asciiTheme="minorHAnsi" w:hAnsiTheme="minorHAnsi" w:cstheme="minorHAnsi"/>
        </w:rPr>
        <w:t>upoważn</w:t>
      </w:r>
      <w:r>
        <w:rPr>
          <w:rFonts w:asciiTheme="minorHAnsi" w:hAnsiTheme="minorHAnsi" w:cstheme="minorHAnsi"/>
        </w:rPr>
        <w:t>iony do nakładania obowiązków i </w:t>
      </w:r>
      <w:r w:rsidRPr="005A454E">
        <w:rPr>
          <w:rFonts w:asciiTheme="minorHAnsi" w:hAnsiTheme="minorHAnsi" w:cstheme="minorHAnsi"/>
        </w:rPr>
        <w:t xml:space="preserve">zadań na pracowników samorządowych zatrudnionych w </w:t>
      </w:r>
      <w:r>
        <w:rPr>
          <w:rFonts w:asciiTheme="minorHAnsi" w:hAnsiTheme="minorHAnsi" w:cstheme="minorHAnsi"/>
        </w:rPr>
        <w:t>urzędzie</w:t>
      </w:r>
      <w:r w:rsidRPr="005A454E">
        <w:rPr>
          <w:rFonts w:asciiTheme="minorHAnsi" w:hAnsiTheme="minorHAnsi" w:cstheme="minorHAnsi"/>
        </w:rPr>
        <w:t xml:space="preserve"> gminy, w szczególności do prowadzenia </w:t>
      </w:r>
      <w:r w:rsidRPr="005A454E">
        <w:rPr>
          <w:rFonts w:asciiTheme="minorHAnsi" w:hAnsiTheme="minorHAnsi" w:cstheme="minorHAnsi"/>
        </w:rPr>
        <w:t xml:space="preserve">bezpośredniej współpracy z organizacjami uczestniczącymi w realizacji uchwalonego </w:t>
      </w:r>
      <w:r w:rsidRPr="005A454E">
        <w:rPr>
          <w:rFonts w:asciiTheme="minorHAnsi" w:hAnsiTheme="minorHAnsi" w:cstheme="minorHAnsi"/>
        </w:rPr>
        <w:lastRenderedPageBreak/>
        <w:t xml:space="preserve">programu współpracy z organizacjami pozarządowymi i innymi podmiotami prowadzącymi działalność pożytku publicznego na terenie gminy, czy też do </w:t>
      </w:r>
      <w:r>
        <w:rPr>
          <w:rFonts w:asciiTheme="minorHAnsi" w:hAnsiTheme="minorHAnsi" w:cstheme="minorHAnsi"/>
        </w:rPr>
        <w:t>oceny formalnej ofert</w:t>
      </w:r>
      <w:r w:rsidRPr="005A454E">
        <w:rPr>
          <w:rFonts w:asciiTheme="minorHAnsi" w:hAnsiTheme="minorHAnsi" w:cstheme="minorHAnsi"/>
        </w:rPr>
        <w:t>.</w:t>
      </w:r>
    </w:p>
    <w:p w:rsidR="002441C1" w:rsidRDefault="00B240D3" w:rsidP="00CF05A9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Ponadto</w:t>
      </w:r>
      <w:r>
        <w:rPr>
          <w:rFonts w:asciiTheme="minorHAnsi" w:hAnsiTheme="minorHAnsi" w:cstheme="minorHAnsi"/>
        </w:rPr>
        <w:t xml:space="preserve"> </w:t>
      </w:r>
      <w:r w:rsidRPr="005A454E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organ wykonawczy Gminy</w:t>
      </w:r>
      <w:r>
        <w:rPr>
          <w:rFonts w:asciiTheme="minorHAnsi" w:hAnsiTheme="minorHAnsi" w:cstheme="minorHAnsi"/>
        </w:rPr>
        <w:t>,</w:t>
      </w:r>
      <w:r w:rsidRPr="00E946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będący </w:t>
      </w:r>
      <w:r w:rsidRPr="005A454E">
        <w:rPr>
          <w:rFonts w:asciiTheme="minorHAnsi" w:hAnsiTheme="minorHAnsi" w:cstheme="minorHAnsi"/>
        </w:rPr>
        <w:t>jednocześnie zwierzchnik</w:t>
      </w:r>
      <w:r>
        <w:rPr>
          <w:rFonts w:asciiTheme="minorHAnsi" w:hAnsiTheme="minorHAnsi" w:cstheme="minorHAnsi"/>
        </w:rPr>
        <w:t>iem</w:t>
      </w:r>
      <w:r w:rsidRPr="005A454E">
        <w:rPr>
          <w:rFonts w:asciiTheme="minorHAnsi" w:hAnsiTheme="minorHAnsi" w:cstheme="minorHAnsi"/>
        </w:rPr>
        <w:t xml:space="preserve"> służbowy</w:t>
      </w:r>
      <w:r>
        <w:rPr>
          <w:rFonts w:asciiTheme="minorHAnsi" w:hAnsiTheme="minorHAnsi" w:cstheme="minorHAnsi"/>
        </w:rPr>
        <w:t>m</w:t>
      </w:r>
      <w:r w:rsidRPr="005A454E">
        <w:rPr>
          <w:rFonts w:asciiTheme="minorHAnsi" w:hAnsiTheme="minorHAnsi" w:cstheme="minorHAnsi"/>
        </w:rPr>
        <w:t xml:space="preserve"> pracowników </w:t>
      </w:r>
      <w:r w:rsidRPr="005A454E">
        <w:rPr>
          <w:rFonts w:asciiTheme="minorHAnsi" w:hAnsiTheme="minorHAnsi" w:cstheme="minorHAnsi"/>
        </w:rPr>
        <w:t>Urzędu</w:t>
      </w:r>
      <w:r>
        <w:rPr>
          <w:rFonts w:asciiTheme="minorHAnsi" w:hAnsiTheme="minorHAnsi" w:cstheme="minorHAnsi"/>
        </w:rPr>
        <w:t xml:space="preserve"> G</w:t>
      </w:r>
      <w:r>
        <w:rPr>
          <w:rFonts w:asciiTheme="minorHAnsi" w:hAnsiTheme="minorHAnsi" w:cstheme="minorHAnsi"/>
        </w:rPr>
        <w:t xml:space="preserve">miny, nie </w:t>
      </w:r>
      <w:r>
        <w:rPr>
          <w:rFonts w:asciiTheme="minorHAnsi" w:hAnsiTheme="minorHAnsi" w:cstheme="minorHAnsi"/>
        </w:rPr>
        <w:t xml:space="preserve">zaś </w:t>
      </w:r>
      <w:r>
        <w:rPr>
          <w:rFonts w:asciiTheme="minorHAnsi" w:hAnsiTheme="minorHAnsi" w:cstheme="minorHAnsi"/>
        </w:rPr>
        <w:t xml:space="preserve">Rada </w:t>
      </w:r>
      <w:r w:rsidRPr="005A454E">
        <w:rPr>
          <w:rFonts w:asciiTheme="minorHAnsi" w:hAnsiTheme="minorHAnsi" w:cstheme="minorHAnsi"/>
        </w:rPr>
        <w:t xml:space="preserve">- ma wyłączne prawo nałożenia na tych pracowników obowiązków związanych z </w:t>
      </w:r>
      <w:r>
        <w:rPr>
          <w:rFonts w:asciiTheme="minorHAnsi" w:hAnsiTheme="minorHAnsi" w:cstheme="minorHAnsi"/>
        </w:rPr>
        <w:t xml:space="preserve">realizacją programu współpracy (por. </w:t>
      </w:r>
      <w:r w:rsidRPr="005A454E">
        <w:rPr>
          <w:rFonts w:asciiTheme="minorHAnsi" w:hAnsiTheme="minorHAnsi" w:cstheme="minorHAnsi"/>
        </w:rPr>
        <w:t xml:space="preserve">wyrok WSA we Wrocławiu </w:t>
      </w:r>
      <w:r>
        <w:rPr>
          <w:rFonts w:asciiTheme="minorHAnsi" w:hAnsiTheme="minorHAnsi" w:cstheme="minorHAnsi"/>
        </w:rPr>
        <w:br/>
      </w:r>
      <w:r w:rsidRPr="005A454E">
        <w:rPr>
          <w:rFonts w:asciiTheme="minorHAnsi" w:hAnsiTheme="minorHAnsi" w:cstheme="minorHAnsi"/>
        </w:rPr>
        <w:t xml:space="preserve">z 4 </w:t>
      </w:r>
      <w:r w:rsidRPr="005A454E">
        <w:rPr>
          <w:rFonts w:asciiTheme="minorHAnsi" w:hAnsiTheme="minorHAnsi" w:cstheme="minorHAnsi"/>
        </w:rPr>
        <w:t>października 2013 r., sygn. akt III SA/Wr 143/13</w:t>
      </w:r>
      <w:r>
        <w:rPr>
          <w:rFonts w:asciiTheme="minorHAnsi" w:hAnsiTheme="minorHAnsi" w:cstheme="minorHAnsi"/>
        </w:rPr>
        <w:t>).</w:t>
      </w:r>
      <w:r>
        <w:rPr>
          <w:rFonts w:asciiTheme="minorHAnsi" w:hAnsiTheme="minorHAnsi" w:cstheme="minorHAnsi"/>
        </w:rPr>
        <w:t xml:space="preserve"> </w:t>
      </w:r>
      <w:r w:rsidRPr="005A454E">
        <w:rPr>
          <w:rFonts w:asciiTheme="minorHAnsi" w:hAnsiTheme="minorHAnsi" w:cstheme="minorHAnsi"/>
        </w:rPr>
        <w:t xml:space="preserve">Rada </w:t>
      </w:r>
      <w:r>
        <w:rPr>
          <w:rFonts w:asciiTheme="minorHAnsi" w:hAnsiTheme="minorHAnsi" w:cstheme="minorHAnsi"/>
        </w:rPr>
        <w:t xml:space="preserve">Gminy </w:t>
      </w:r>
      <w:r w:rsidRPr="005A454E">
        <w:rPr>
          <w:rFonts w:asciiTheme="minorHAnsi" w:hAnsiTheme="minorHAnsi" w:cstheme="minorHAnsi"/>
        </w:rPr>
        <w:t xml:space="preserve">określając zakres </w:t>
      </w:r>
      <w:r>
        <w:rPr>
          <w:rFonts w:asciiTheme="minorHAnsi" w:hAnsiTheme="minorHAnsi" w:cstheme="minorHAnsi"/>
        </w:rPr>
        <w:t>obowiązków</w:t>
      </w:r>
      <w:r w:rsidRPr="005A454E">
        <w:rPr>
          <w:rFonts w:asciiTheme="minorHAnsi" w:hAnsiTheme="minorHAnsi" w:cstheme="minorHAnsi"/>
        </w:rPr>
        <w:t xml:space="preserve"> pracowników </w:t>
      </w:r>
      <w:r>
        <w:rPr>
          <w:rFonts w:asciiTheme="minorHAnsi" w:hAnsiTheme="minorHAnsi" w:cstheme="minorHAnsi"/>
        </w:rPr>
        <w:t>Urzędu Gminy w sposób istotny</w:t>
      </w:r>
      <w:r w:rsidRPr="005A454E">
        <w:rPr>
          <w:rFonts w:asciiTheme="minorHAnsi" w:hAnsiTheme="minorHAnsi" w:cstheme="minorHAnsi"/>
        </w:rPr>
        <w:t xml:space="preserve"> naruszyła </w:t>
      </w:r>
      <w:r>
        <w:rPr>
          <w:rFonts w:asciiTheme="minorHAnsi" w:hAnsiTheme="minorHAnsi" w:cstheme="minorHAnsi"/>
        </w:rPr>
        <w:t xml:space="preserve">ustawowe prerogatywy Wójta. </w:t>
      </w:r>
    </w:p>
    <w:p w:rsidR="00EC1F72" w:rsidRDefault="00B240D3" w:rsidP="00EC1F72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Brak jest również delegacji dla Rady Gminy do powoływania osób </w:t>
      </w:r>
      <w:r>
        <w:rPr>
          <w:rFonts w:asciiTheme="minorHAnsi" w:hAnsiTheme="minorHAnsi" w:cstheme="minorHAnsi"/>
        </w:rPr>
        <w:t>trzecich d</w:t>
      </w:r>
      <w:r>
        <w:rPr>
          <w:rFonts w:asciiTheme="minorHAnsi" w:hAnsiTheme="minorHAnsi" w:cstheme="minorHAnsi"/>
        </w:rPr>
        <w:t>o oceny ofe</w:t>
      </w:r>
      <w:r>
        <w:rPr>
          <w:rFonts w:asciiTheme="minorHAnsi" w:hAnsiTheme="minorHAnsi" w:cstheme="minorHAnsi"/>
        </w:rPr>
        <w:t>rt.</w:t>
      </w:r>
    </w:p>
    <w:p w:rsidR="0086354B" w:rsidRPr="00CB6706" w:rsidRDefault="00B240D3" w:rsidP="00CB6706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§ 25 ust. 9 programu Rada ustaliła, że: „</w:t>
      </w:r>
      <w:r w:rsidRPr="00CB6706">
        <w:rPr>
          <w:rFonts w:asciiTheme="minorHAnsi" w:eastAsiaTheme="minorHAnsi" w:hAnsiTheme="minorHAnsi" w:cstheme="minorHAnsi"/>
          <w:i/>
        </w:rPr>
        <w:t>Organizacja, w okr</w:t>
      </w:r>
      <w:r>
        <w:rPr>
          <w:rFonts w:asciiTheme="minorHAnsi" w:eastAsiaTheme="minorHAnsi" w:hAnsiTheme="minorHAnsi" w:cstheme="minorHAnsi"/>
          <w:i/>
        </w:rPr>
        <w:t>esie otrzymywania dotacji, jest </w:t>
      </w:r>
      <w:r w:rsidRPr="00CB6706">
        <w:rPr>
          <w:rFonts w:asciiTheme="minorHAnsi" w:eastAsiaTheme="minorHAnsi" w:hAnsiTheme="minorHAnsi" w:cstheme="minorHAnsi"/>
          <w:i/>
        </w:rPr>
        <w:t>zobowiązana do zamieszczenia w swoich materiałach informacyjnych zapi</w:t>
      </w:r>
      <w:r>
        <w:rPr>
          <w:rFonts w:asciiTheme="minorHAnsi" w:eastAsiaTheme="minorHAnsi" w:hAnsiTheme="minorHAnsi" w:cstheme="minorHAnsi"/>
          <w:i/>
        </w:rPr>
        <w:t>su o finansowaniu lub </w:t>
      </w:r>
      <w:r w:rsidRPr="00CB6706">
        <w:rPr>
          <w:rFonts w:asciiTheme="minorHAnsi" w:eastAsiaTheme="minorHAnsi" w:hAnsiTheme="minorHAnsi" w:cstheme="minorHAnsi"/>
          <w:i/>
        </w:rPr>
        <w:t>dofinansowaniu zadania przez gminę Stanisławów</w:t>
      </w:r>
      <w:r>
        <w:rPr>
          <w:rFonts w:asciiTheme="minorHAnsi" w:eastAsiaTheme="minorHAnsi" w:hAnsiTheme="minorHAnsi" w:cstheme="minorHAnsi"/>
        </w:rPr>
        <w:t>”.</w:t>
      </w:r>
    </w:p>
    <w:p w:rsidR="00AE4E6A" w:rsidRDefault="00B240D3" w:rsidP="00AC7D4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Wobec tak </w:t>
      </w:r>
      <w:r>
        <w:rPr>
          <w:rFonts w:asciiTheme="minorHAnsi" w:hAnsiTheme="minorHAnsi" w:cstheme="minorHAnsi"/>
        </w:rPr>
        <w:t>poczynionego ustalenia organ nadzoru wskazuje, że wyprowadzona z art. 5a ust. </w:t>
      </w:r>
      <w:r w:rsidRPr="005A454E">
        <w:rPr>
          <w:rFonts w:asciiTheme="minorHAnsi" w:hAnsiTheme="minorHAnsi" w:cstheme="minorHAnsi"/>
        </w:rPr>
        <w:t xml:space="preserve">1 w zw. z art. 5a ust. 4 pkt 11 </w:t>
      </w:r>
      <w:r>
        <w:rPr>
          <w:rFonts w:asciiTheme="minorHAnsi" w:hAnsiTheme="minorHAnsi" w:cstheme="minorHAnsi"/>
        </w:rPr>
        <w:t xml:space="preserve">u.d.p.p. </w:t>
      </w:r>
      <w:r w:rsidRPr="005A454E">
        <w:rPr>
          <w:rFonts w:asciiTheme="minorHAnsi" w:hAnsiTheme="minorHAnsi" w:cstheme="minorHAnsi"/>
        </w:rPr>
        <w:t xml:space="preserve">norma kompetencyjna </w:t>
      </w:r>
      <w:r>
        <w:rPr>
          <w:rFonts w:asciiTheme="minorHAnsi" w:hAnsiTheme="minorHAnsi" w:cstheme="minorHAnsi"/>
        </w:rPr>
        <w:t>nie stanowi podstawy prawnej do </w:t>
      </w:r>
      <w:r w:rsidRPr="005A454E">
        <w:rPr>
          <w:rFonts w:asciiTheme="minorHAnsi" w:hAnsiTheme="minorHAnsi" w:cstheme="minorHAnsi"/>
        </w:rPr>
        <w:t xml:space="preserve">określenia przez </w:t>
      </w:r>
      <w:r>
        <w:rPr>
          <w:rFonts w:asciiTheme="minorHAnsi" w:hAnsiTheme="minorHAnsi" w:cstheme="minorHAnsi"/>
        </w:rPr>
        <w:t>Radę</w:t>
      </w:r>
      <w:r w:rsidRPr="005A45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obowiązku, o którym mowa w § 25 ust. 9 programu. Działanie Rady</w:t>
      </w:r>
      <w:r>
        <w:rPr>
          <w:rFonts w:asciiTheme="minorHAnsi" w:hAnsiTheme="minorHAnsi" w:cstheme="minorHAnsi"/>
        </w:rPr>
        <w:t xml:space="preserve"> w </w:t>
      </w:r>
      <w:r>
        <w:rPr>
          <w:rFonts w:asciiTheme="minorHAnsi" w:hAnsiTheme="minorHAnsi" w:cstheme="minorHAnsi"/>
        </w:rPr>
        <w:t>zakresie nałożenia na organizację o</w:t>
      </w:r>
      <w:r w:rsidRPr="005A454E">
        <w:rPr>
          <w:rFonts w:asciiTheme="minorHAnsi" w:hAnsiTheme="minorHAnsi" w:cstheme="minorHAnsi"/>
        </w:rPr>
        <w:t>bowiązku</w:t>
      </w:r>
      <w:r w:rsidRPr="005A454E">
        <w:rPr>
          <w:rFonts w:asciiTheme="minorHAnsi" w:hAnsiTheme="minorHAnsi" w:cstheme="minorHAnsi"/>
        </w:rPr>
        <w:t xml:space="preserve"> zamieszczenia w swoich materiałach informacyjnych zapisu o finansowaniu lub dofinansowaniu </w:t>
      </w:r>
      <w:r>
        <w:rPr>
          <w:rFonts w:asciiTheme="minorHAnsi" w:hAnsiTheme="minorHAnsi" w:cstheme="minorHAnsi"/>
        </w:rPr>
        <w:t>zadania przez gminę Stanisławów w okresie otrzymywania dotacji, stanowi istotne naruszenie regulacji zawartych w u.d.p</w:t>
      </w:r>
      <w:r>
        <w:rPr>
          <w:rFonts w:asciiTheme="minorHAnsi" w:hAnsiTheme="minorHAnsi" w:cstheme="minorHAnsi"/>
        </w:rPr>
        <w:t xml:space="preserve">.p. </w:t>
      </w:r>
      <w:r>
        <w:rPr>
          <w:rFonts w:asciiTheme="minorHAnsi" w:hAnsiTheme="minorHAnsi" w:cstheme="minorHAnsi"/>
        </w:rPr>
        <w:t xml:space="preserve">Brak delegacji do nałożenia </w:t>
      </w:r>
      <w:r>
        <w:rPr>
          <w:rFonts w:asciiTheme="minorHAnsi" w:hAnsiTheme="minorHAnsi" w:cstheme="minorHAnsi"/>
        </w:rPr>
        <w:t>na organizację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tego rodzaj</w:t>
      </w:r>
      <w:r>
        <w:rPr>
          <w:rFonts w:asciiTheme="minorHAnsi" w:hAnsiTheme="minorHAnsi" w:cstheme="minorHAnsi"/>
        </w:rPr>
        <w:t>u obowiązku stanowi podstawę do </w:t>
      </w:r>
      <w:r>
        <w:rPr>
          <w:rFonts w:asciiTheme="minorHAnsi" w:hAnsiTheme="minorHAnsi" w:cstheme="minorHAnsi"/>
        </w:rPr>
        <w:t xml:space="preserve">stwierdzenia </w:t>
      </w:r>
      <w:r>
        <w:rPr>
          <w:rFonts w:asciiTheme="minorHAnsi" w:hAnsiTheme="minorHAnsi" w:cstheme="minorHAnsi"/>
        </w:rPr>
        <w:t xml:space="preserve">przez organ nadzoru </w:t>
      </w:r>
      <w:r>
        <w:rPr>
          <w:rFonts w:asciiTheme="minorHAnsi" w:hAnsiTheme="minorHAnsi" w:cstheme="minorHAnsi"/>
        </w:rPr>
        <w:t xml:space="preserve">nieważności załącznika do uchwały w tym zakresie. </w:t>
      </w:r>
    </w:p>
    <w:p w:rsidR="00074AD9" w:rsidRDefault="00B240D3" w:rsidP="00074AD9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8271DB">
        <w:rPr>
          <w:rFonts w:asciiTheme="minorHAnsi" w:hAnsiTheme="minorHAnsi" w:cstheme="minorHAnsi"/>
        </w:rPr>
        <w:t xml:space="preserve">Ustanowiona w art. 7 Konstytucji RP zasada legalności oznacza, że każde działanie </w:t>
      </w:r>
      <w:r w:rsidRPr="008271DB">
        <w:rPr>
          <w:rFonts w:asciiTheme="minorHAnsi" w:hAnsiTheme="minorHAnsi" w:cstheme="minorHAnsi"/>
        </w:rPr>
        <w:t>organu władzy publicznej musi mieć oparcie w obowiązujących przepisach prawa. Zarówno organy gminy, jak i organy powiatu muszą ściśle uwzględniać wytyczne zawarte w upoważnieniu ustawowym. Odstąpienie od tej zasady narusza związek formalny i materialny pom</w:t>
      </w:r>
      <w:r w:rsidRPr="008271DB">
        <w:rPr>
          <w:rFonts w:asciiTheme="minorHAnsi" w:hAnsiTheme="minorHAnsi" w:cstheme="minorHAnsi"/>
        </w:rPr>
        <w:t xml:space="preserve">iędzy aktem wykonawczym </w:t>
      </w:r>
      <w:r>
        <w:rPr>
          <w:rFonts w:asciiTheme="minorHAnsi" w:hAnsiTheme="minorHAnsi" w:cstheme="minorHAnsi"/>
        </w:rPr>
        <w:br/>
      </w:r>
      <w:r w:rsidRPr="008271DB">
        <w:rPr>
          <w:rFonts w:asciiTheme="minorHAnsi" w:hAnsiTheme="minorHAnsi" w:cstheme="minorHAnsi"/>
        </w:rPr>
        <w:t>a ustawą, co z reguły stanowi istotne naruszenie prawa” (wyrok Wojewódzkiego Sądu Administracyjnego we Wrocławiu z dnia 20 sierpnia 2009 r. IV SA/Wr 248/09).</w:t>
      </w:r>
    </w:p>
    <w:p w:rsidR="004F1B8A" w:rsidRDefault="00B240D3" w:rsidP="004F1B8A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Ponadto </w:t>
      </w:r>
      <w:r w:rsidRPr="00DE437C">
        <w:rPr>
          <w:rFonts w:asciiTheme="minorHAnsi" w:hAnsiTheme="minorHAnsi" w:cstheme="minorHAnsi"/>
        </w:rPr>
        <w:t xml:space="preserve">organ nadzoru wskazuje na obowiązek przestrzegania przez Radę </w:t>
      </w:r>
      <w:r>
        <w:rPr>
          <w:rFonts w:asciiTheme="minorHAnsi" w:hAnsiTheme="minorHAnsi" w:cstheme="minorHAnsi"/>
        </w:rPr>
        <w:t>Gminy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jako lokalnego prawoda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cę</w:t>
      </w:r>
      <w:r>
        <w:rPr>
          <w:rFonts w:asciiTheme="minorHAnsi" w:hAnsiTheme="minorHAnsi" w:cstheme="minorHAnsi"/>
        </w:rPr>
        <w:t xml:space="preserve">, </w:t>
      </w:r>
      <w:r w:rsidRPr="00DE437C">
        <w:rPr>
          <w:rFonts w:asciiTheme="minorHAnsi" w:hAnsiTheme="minorHAnsi" w:cstheme="minorHAnsi"/>
        </w:rPr>
        <w:t xml:space="preserve">zasad prawidłowej legislacji, przewidzianych w rozporządzeniu Prezesa Rady Ministrów z dnia 20 czerwca 2002 r. w sprawie „Zasad techniki prawodawczej” (Dz. U. </w:t>
      </w:r>
      <w:r>
        <w:rPr>
          <w:rFonts w:asciiTheme="minorHAnsi" w:hAnsiTheme="minorHAnsi" w:cstheme="minorHAnsi"/>
        </w:rPr>
        <w:br/>
      </w:r>
      <w:r w:rsidRPr="00DE437C">
        <w:rPr>
          <w:rFonts w:asciiTheme="minorHAnsi" w:hAnsiTheme="minorHAnsi" w:cstheme="minorHAnsi"/>
        </w:rPr>
        <w:t>z 2016 r. poz. 283).</w:t>
      </w:r>
    </w:p>
    <w:p w:rsidR="004F1B8A" w:rsidRPr="00DE437C" w:rsidRDefault="00B240D3" w:rsidP="004F1B8A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DE437C">
        <w:rPr>
          <w:rFonts w:asciiTheme="minorHAnsi" w:hAnsiTheme="minorHAnsi" w:cstheme="minorHAnsi"/>
        </w:rPr>
        <w:t>W tym kontekście należy stwierdzić, że re</w:t>
      </w:r>
      <w:r w:rsidRPr="00DE437C">
        <w:rPr>
          <w:rFonts w:asciiTheme="minorHAnsi" w:hAnsiTheme="minorHAnsi" w:cstheme="minorHAnsi"/>
        </w:rPr>
        <w:t xml:space="preserve">dakcja </w:t>
      </w:r>
      <w:r>
        <w:rPr>
          <w:rFonts w:asciiTheme="minorHAnsi" w:hAnsiTheme="minorHAnsi" w:cstheme="minorHAnsi"/>
        </w:rPr>
        <w:t>kwestionowanej</w:t>
      </w:r>
      <w:r w:rsidRPr="00DE437C">
        <w:rPr>
          <w:rFonts w:asciiTheme="minorHAnsi" w:hAnsiTheme="minorHAnsi" w:cstheme="minorHAnsi"/>
        </w:rPr>
        <w:t xml:space="preserve"> uchwał</w:t>
      </w:r>
      <w:r>
        <w:rPr>
          <w:rFonts w:asciiTheme="minorHAnsi" w:hAnsiTheme="minorHAnsi" w:cstheme="minorHAnsi"/>
        </w:rPr>
        <w:t>y</w:t>
      </w:r>
      <w:r w:rsidRPr="00DE437C">
        <w:rPr>
          <w:rFonts w:asciiTheme="minorHAnsi" w:hAnsiTheme="minorHAnsi" w:cstheme="minorHAnsi"/>
        </w:rPr>
        <w:t xml:space="preserve"> Rady Gminy</w:t>
      </w:r>
      <w:r w:rsidRPr="00DE437C">
        <w:rPr>
          <w:rFonts w:asciiTheme="minorHAnsi" w:hAnsiTheme="minorHAnsi" w:cstheme="minorHAnsi"/>
        </w:rPr>
        <w:br/>
        <w:t>nie odpowiada standardom dobrego prawodawstwa. Podstawową jednostką redakcyjną aktu normatywnego (z wyjątkiem ustawy) jest paragraf. Paragrafy moż</w:t>
      </w:r>
      <w:r>
        <w:rPr>
          <w:rFonts w:asciiTheme="minorHAnsi" w:hAnsiTheme="minorHAnsi" w:cstheme="minorHAnsi"/>
        </w:rPr>
        <w:t>na dzielić na ustępy, ustępy na </w:t>
      </w:r>
      <w:r w:rsidRPr="00DE437C">
        <w:rPr>
          <w:rFonts w:asciiTheme="minorHAnsi" w:hAnsiTheme="minorHAnsi" w:cstheme="minorHAnsi"/>
        </w:rPr>
        <w:t xml:space="preserve">punkty, punkty na litery a litery na </w:t>
      </w:r>
      <w:r w:rsidRPr="00DE437C">
        <w:rPr>
          <w:rFonts w:asciiTheme="minorHAnsi" w:hAnsiTheme="minorHAnsi" w:cstheme="minorHAnsi"/>
        </w:rPr>
        <w:t xml:space="preserve">tiret (-myślniki). Każdą oddzielną myśl ujmuje się w oddzielny </w:t>
      </w:r>
      <w:r w:rsidRPr="00DE437C">
        <w:rPr>
          <w:rFonts w:asciiTheme="minorHAnsi" w:hAnsiTheme="minorHAnsi" w:cstheme="minorHAnsi"/>
        </w:rPr>
        <w:lastRenderedPageBreak/>
        <w:t>paragraf, przy czym w miarę możliwości paragraf powinien być jednozdaniowy. Jeżeli samodzielną myśl wyraża zespół zdań - dokonuje się podziału paragrafu na ustępy. Na ustępy dzieli się paragraf</w:t>
      </w:r>
      <w:r w:rsidRPr="00DE437C">
        <w:rPr>
          <w:rFonts w:asciiTheme="minorHAnsi" w:hAnsiTheme="minorHAnsi" w:cstheme="minorHAnsi"/>
        </w:rPr>
        <w:t xml:space="preserve"> także wówczas, gdy między zdaniami wyrażającymi samodzielne myśli występują powiązania treściowe ale treść żadnego z nich nie jest na tyle istotna, aby wydzielić ją w odrębny paragraf. Jeżeli paragraf zawiera wyliczenia – wyróżnia się jego dwie części wpr</w:t>
      </w:r>
      <w:r w:rsidRPr="00DE437C">
        <w:rPr>
          <w:rFonts w:asciiTheme="minorHAnsi" w:hAnsiTheme="minorHAnsi" w:cstheme="minorHAnsi"/>
        </w:rPr>
        <w:t>owadzenie do wyliczenia oraz punkty. Wyliczenie może kończyć się częścią wspólną odnoszą</w:t>
      </w:r>
      <w:r>
        <w:rPr>
          <w:rFonts w:asciiTheme="minorHAnsi" w:hAnsiTheme="minorHAnsi" w:cstheme="minorHAnsi"/>
        </w:rPr>
        <w:t>cą się do wszystkich punktów. W </w:t>
      </w:r>
      <w:r w:rsidRPr="00DE437C">
        <w:rPr>
          <w:rFonts w:asciiTheme="minorHAnsi" w:hAnsiTheme="minorHAnsi" w:cstheme="minorHAnsi"/>
        </w:rPr>
        <w:t>obrębie punktów można dokonywać dalszego wyliczenia wprowadzając litery a w obrębie liter dokonywać dalszego wyliczenia wprowadzając tir</w:t>
      </w:r>
      <w:r w:rsidRPr="00DE437C">
        <w:rPr>
          <w:rFonts w:asciiTheme="minorHAnsi" w:hAnsiTheme="minorHAnsi" w:cstheme="minorHAnsi"/>
        </w:rPr>
        <w:t xml:space="preserve">et. Punkty i litery są fragmentem zdania, a nie samodzielnym zdaniem. Paragraf oznacza się skrótem § i cyfrą arabską z kropką, z zachowaniem ciągłości numeracji paragrafów w obrębie całego aktu, a przy powoływaniu oznacza się skrótem </w:t>
      </w:r>
      <w:r>
        <w:rPr>
          <w:rFonts w:asciiTheme="minorHAnsi" w:hAnsiTheme="minorHAnsi" w:cstheme="minorHAnsi"/>
        </w:rPr>
        <w:br/>
      </w:r>
      <w:r w:rsidRPr="00DE437C">
        <w:rPr>
          <w:rFonts w:asciiTheme="minorHAnsi" w:hAnsiTheme="minorHAnsi" w:cstheme="minorHAnsi"/>
        </w:rPr>
        <w:t>§ i cyfrą arabską bez</w:t>
      </w:r>
      <w:r w:rsidRPr="00DE437C">
        <w:rPr>
          <w:rFonts w:asciiTheme="minorHAnsi" w:hAnsiTheme="minorHAnsi" w:cstheme="minorHAnsi"/>
        </w:rPr>
        <w:t xml:space="preserve"> kropki. Ustęp oznacza się cyfrą arabską z kropką (bez nawiasu) z zachowaniem ciągłości numeracji w obrębie danego paragrafu (a przy powoływaniu oznacza się skrótem „ust.” bez względu na liczbę i przypadek) oraz cyfrą arabską bez kropki. Punkt oznacza się </w:t>
      </w:r>
      <w:r w:rsidRPr="00DE437C">
        <w:rPr>
          <w:rFonts w:asciiTheme="minorHAnsi" w:hAnsiTheme="minorHAnsi" w:cstheme="minorHAnsi"/>
        </w:rPr>
        <w:t>cyfrą arabsk</w:t>
      </w:r>
      <w:r>
        <w:rPr>
          <w:rFonts w:asciiTheme="minorHAnsi" w:hAnsiTheme="minorHAnsi" w:cstheme="minorHAnsi"/>
        </w:rPr>
        <w:t>ą z </w:t>
      </w:r>
      <w:r w:rsidRPr="00DE437C">
        <w:rPr>
          <w:rFonts w:asciiTheme="minorHAnsi" w:hAnsiTheme="minorHAnsi" w:cstheme="minorHAnsi"/>
        </w:rPr>
        <w:t>nawiasem z prawej strony, z zachowaniem ciągłości numeracji w obrębie danego paragrafu lub ustępu (a przy powoływaniu skrótem pkt, bez kropki, bez względu na liczbę i przypadek oraz cyfrą arabską bez nawiasu). Każdy punkt kończy się średnik</w:t>
      </w:r>
      <w:r w:rsidRPr="00DE437C">
        <w:rPr>
          <w:rFonts w:asciiTheme="minorHAnsi" w:hAnsiTheme="minorHAnsi" w:cstheme="minorHAnsi"/>
        </w:rPr>
        <w:t>iem, a ostatni kropką chyba, że wyliczenie kończy się częścią wspólną odnoszącą się do wszystkich punktów; w takim przypadku kropkę stawia się po części wspólnej.</w:t>
      </w:r>
    </w:p>
    <w:p w:rsidR="00CF473F" w:rsidRDefault="00B240D3" w:rsidP="004F1B8A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DE437C">
        <w:rPr>
          <w:rFonts w:asciiTheme="minorHAnsi" w:hAnsiTheme="minorHAnsi" w:cstheme="minorHAnsi"/>
        </w:rPr>
        <w:t>Wyliczenie w obrębie punktów (tzw. litery) oznacza się małymi literami alfabetu łacińskiego (ale bez ą, ć, ę, ł, ń, ó, ś, ż, ź) z nawiasem z prawej strony z zachowaniem ciągłości alfabetycznej w obrębie punktu (a przy powoływaniu skrótem „lit.” bez względu</w:t>
      </w:r>
      <w:r w:rsidRPr="00DE437C">
        <w:rPr>
          <w:rFonts w:asciiTheme="minorHAnsi" w:hAnsiTheme="minorHAnsi" w:cstheme="minorHAnsi"/>
        </w:rPr>
        <w:t xml:space="preserve"> na liczbę i przypadek oraz literą alfabetu łacińskiego bez nawiasu). Każdą literę kończy się przecinkiem a ostatnią średnikiem albo kropką, chyba że wyliczenie kończy się częścią wspólną odnoszącą się do wszystkich liter. W takim przypadku średnik lub kro</w:t>
      </w:r>
      <w:r w:rsidRPr="00DE437C">
        <w:rPr>
          <w:rFonts w:asciiTheme="minorHAnsi" w:hAnsiTheme="minorHAnsi" w:cstheme="minorHAnsi"/>
        </w:rPr>
        <w:t>pkę stawia się po części wspólnej (w przypadku gdy zabraknie liter stosuje się oznaczenie najpierw dwuliterowe a następnie wieloliterowe:  za),  zb) ....... zz); zza, zzb .... Każde tiret kończy się przecinkiem, a ostatnie przecinkiem, średnikiem lub kropk</w:t>
      </w:r>
      <w:r w:rsidRPr="00DE437C">
        <w:rPr>
          <w:rFonts w:asciiTheme="minorHAnsi" w:hAnsiTheme="minorHAnsi" w:cstheme="minorHAnsi"/>
        </w:rPr>
        <w:t>ą, chyba że wyliczenie kończy się częścią wspólną odnoszącą się do wszystkich liter. Przy powoływaniu tiret oznacza się wyrazem „tiret” i wyrażonym słownie numerem porządkowym tego tiret. Każdą jednostkę redakcyjną zapisuje się od nowego wiersza i poprzedz</w:t>
      </w:r>
      <w:r w:rsidRPr="00DE437C">
        <w:rPr>
          <w:rFonts w:asciiTheme="minorHAnsi" w:hAnsiTheme="minorHAnsi" w:cstheme="minorHAnsi"/>
        </w:rPr>
        <w:t>a się jej oznaczeniem umieszczonym w tym samym wierszu. Paragraf i ustęp rozpoczyna się od akapitu.</w:t>
      </w:r>
    </w:p>
    <w:p w:rsidR="00C8466D" w:rsidRPr="00C8466D" w:rsidRDefault="00B240D3" w:rsidP="0033132B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Konkludując, stwierdzić należy, że </w:t>
      </w:r>
      <w:r w:rsidRPr="00C8466D">
        <w:rPr>
          <w:rFonts w:asciiTheme="minorHAnsi" w:hAnsiTheme="minorHAnsi" w:cstheme="minorHAnsi"/>
        </w:rPr>
        <w:t>organ stanowiący gminy, wykonujący kompetencję prawodawczą przewidzianą w upoważnieniu ustawowym, je</w:t>
      </w:r>
      <w:r>
        <w:rPr>
          <w:rFonts w:asciiTheme="minorHAnsi" w:hAnsiTheme="minorHAnsi" w:cstheme="minorHAnsi"/>
        </w:rPr>
        <w:t>st zobowiązany działa</w:t>
      </w:r>
      <w:r>
        <w:rPr>
          <w:rFonts w:asciiTheme="minorHAnsi" w:hAnsiTheme="minorHAnsi" w:cstheme="minorHAnsi"/>
        </w:rPr>
        <w:t>ć ściśle w </w:t>
      </w:r>
      <w:r>
        <w:rPr>
          <w:rFonts w:asciiTheme="minorHAnsi" w:hAnsiTheme="minorHAnsi" w:cstheme="minorHAnsi"/>
        </w:rPr>
        <w:t>granicach tego up</w:t>
      </w:r>
      <w:r>
        <w:rPr>
          <w:rFonts w:asciiTheme="minorHAnsi" w:hAnsiTheme="minorHAnsi" w:cstheme="minorHAnsi"/>
        </w:rPr>
        <w:t xml:space="preserve">oważnienia, </w:t>
      </w:r>
      <w:r>
        <w:rPr>
          <w:rFonts w:asciiTheme="minorHAnsi" w:hAnsiTheme="minorHAnsi" w:cstheme="minorHAnsi"/>
        </w:rPr>
        <w:t xml:space="preserve">przestrzegając przy tym zasad techniki prawodawczej. </w:t>
      </w:r>
    </w:p>
    <w:p w:rsidR="008271DB" w:rsidRPr="00473F8B" w:rsidRDefault="00B240D3" w:rsidP="008271DB">
      <w:pPr>
        <w:spacing w:line="360" w:lineRule="auto"/>
        <w:ind w:firstLine="709"/>
        <w:jc w:val="both"/>
      </w:pPr>
      <w:r w:rsidRPr="008271DB">
        <w:rPr>
          <w:rFonts w:asciiTheme="minorHAnsi" w:hAnsiTheme="minorHAnsi" w:cstheme="minorHAnsi"/>
        </w:rPr>
        <w:lastRenderedPageBreak/>
        <w:t>Mając na uwadze powyższe, stwierdzenie nieważności przedmiotowej uchwały</w:t>
      </w:r>
      <w:r>
        <w:rPr>
          <w:rFonts w:asciiTheme="minorHAnsi" w:hAnsiTheme="minorHAnsi" w:cstheme="minorHAnsi"/>
        </w:rPr>
        <w:t>, we </w:t>
      </w:r>
      <w:r w:rsidRPr="008271DB">
        <w:rPr>
          <w:rFonts w:asciiTheme="minorHAnsi" w:hAnsiTheme="minorHAnsi" w:cstheme="minorHAnsi"/>
        </w:rPr>
        <w:t>wskazanej w petitum części, jest w pełni uzasadnione.</w:t>
      </w:r>
    </w:p>
    <w:p w:rsidR="00C17B48" w:rsidRPr="00C17B48" w:rsidRDefault="00B240D3" w:rsidP="00A63B4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17B48">
        <w:rPr>
          <w:rFonts w:asciiTheme="minorHAnsi" w:hAnsiTheme="minorHAnsi" w:cstheme="minorHAnsi"/>
        </w:rPr>
        <w:t>Na niniejsze rozstrzygnięcie na</w:t>
      </w:r>
      <w:r w:rsidRPr="00C17B48">
        <w:rPr>
          <w:rFonts w:asciiTheme="minorHAnsi" w:hAnsiTheme="minorHAnsi" w:cstheme="minorHAnsi"/>
        </w:rPr>
        <w:t xml:space="preserve">dzorcze </w:t>
      </w:r>
      <w:r>
        <w:rPr>
          <w:rFonts w:asciiTheme="minorHAnsi" w:hAnsiTheme="minorHAnsi" w:cstheme="minorHAnsi"/>
        </w:rPr>
        <w:t>Gminie</w:t>
      </w:r>
      <w:r w:rsidRPr="00C17B48">
        <w:rPr>
          <w:rFonts w:asciiTheme="minorHAnsi" w:hAnsiTheme="minorHAnsi" w:cstheme="minorHAnsi"/>
        </w:rPr>
        <w:t xml:space="preserve"> przysługuje skarga do Wojewódzkiego Sądu Administracyjnego w Warszawie w terminie 30 dni od daty doręczenia, wnoszona za pośrednictwem organu, który skarżone orzeczenie wydał.</w:t>
      </w:r>
    </w:p>
    <w:p w:rsidR="00C17B48" w:rsidRDefault="00B240D3" w:rsidP="00A63B4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17B48">
        <w:rPr>
          <w:rFonts w:asciiTheme="minorHAnsi" w:hAnsiTheme="minorHAnsi" w:cstheme="minorHAnsi"/>
        </w:rPr>
        <w:t xml:space="preserve">Informuję, że rozstrzygnięcie nadzorcze wstrzymuje wykonanie </w:t>
      </w:r>
      <w:r w:rsidRPr="00C17B48">
        <w:rPr>
          <w:rFonts w:asciiTheme="minorHAnsi" w:hAnsiTheme="minorHAnsi" w:cstheme="minorHAnsi"/>
        </w:rPr>
        <w:t>uchwał</w:t>
      </w:r>
      <w:r>
        <w:rPr>
          <w:rFonts w:asciiTheme="minorHAnsi" w:hAnsiTheme="minorHAnsi" w:cstheme="minorHAnsi"/>
        </w:rPr>
        <w:t xml:space="preserve">y z mocy prawa, </w:t>
      </w:r>
      <w:r>
        <w:rPr>
          <w:rFonts w:asciiTheme="minorHAnsi" w:hAnsiTheme="minorHAnsi" w:cstheme="minorHAnsi"/>
        </w:rPr>
        <w:t>w </w:t>
      </w:r>
      <w:r>
        <w:rPr>
          <w:rFonts w:asciiTheme="minorHAnsi" w:hAnsiTheme="minorHAnsi" w:cstheme="minorHAnsi"/>
        </w:rPr>
        <w:t xml:space="preserve">zakresie objętym orzeczeniem, </w:t>
      </w:r>
      <w:r>
        <w:rPr>
          <w:rFonts w:asciiTheme="minorHAnsi" w:hAnsiTheme="minorHAnsi" w:cstheme="minorHAnsi"/>
        </w:rPr>
        <w:t>z </w:t>
      </w:r>
      <w:r w:rsidRPr="00C17B48">
        <w:rPr>
          <w:rFonts w:asciiTheme="minorHAnsi" w:hAnsiTheme="minorHAnsi" w:cstheme="minorHAnsi"/>
        </w:rPr>
        <w:t>dniem jego doręczenia.</w:t>
      </w:r>
    </w:p>
    <w:p w:rsidR="006E5387" w:rsidRPr="006E5387" w:rsidRDefault="00B240D3" w:rsidP="00A63B41">
      <w:pPr>
        <w:spacing w:line="360" w:lineRule="auto"/>
        <w:ind w:firstLine="709"/>
        <w:jc w:val="both"/>
        <w:rPr>
          <w:rFonts w:asciiTheme="minorHAnsi" w:hAnsiTheme="minorHAnsi" w:cstheme="minorHAnsi"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C5C75" w:rsidTr="00910856">
        <w:tc>
          <w:tcPr>
            <w:tcW w:w="4814" w:type="dxa"/>
          </w:tcPr>
          <w:p w:rsidR="00796550" w:rsidRDefault="00B240D3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  <w:p w:rsidR="008D4167" w:rsidRDefault="00B240D3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14" w:type="dxa"/>
            <w:hideMark/>
          </w:tcPr>
          <w:p w:rsidR="00F10D15" w:rsidRDefault="00B240D3" w:rsidP="00550DE5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Konstanty Radziwiłł</w:t>
            </w:r>
          </w:p>
          <w:p w:rsidR="00F10D15" w:rsidRDefault="00B240D3" w:rsidP="00550DE5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F10D15">
              <w:rPr>
                <w:b w:val="0"/>
                <w:i/>
                <w:sz w:val="24"/>
              </w:rPr>
              <w:t>Wojewoda Mazow</w:t>
            </w:r>
            <w:r>
              <w:rPr>
                <w:b w:val="0"/>
                <w:i/>
                <w:sz w:val="24"/>
              </w:rPr>
              <w:t xml:space="preserve">iecki </w:t>
            </w:r>
          </w:p>
          <w:p w:rsidR="00796550" w:rsidRPr="00F10D15" w:rsidRDefault="00B240D3" w:rsidP="00550DE5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</w:rPr>
              <w:t>/</w:t>
            </w:r>
            <w:r w:rsidRPr="00F10D15">
              <w:rPr>
                <w:b w:val="0"/>
                <w:i/>
                <w:sz w:val="24"/>
              </w:rPr>
              <w:t>podpisano elektronicznie/</w:t>
            </w:r>
          </w:p>
        </w:tc>
      </w:tr>
    </w:tbl>
    <w:p w:rsidR="002960B0" w:rsidRPr="00910856" w:rsidRDefault="00B240D3" w:rsidP="00910856">
      <w:pPr>
        <w:pStyle w:val="Teksttreci40"/>
        <w:shd w:val="clear" w:color="auto" w:fill="auto"/>
        <w:spacing w:line="360" w:lineRule="auto"/>
        <w:ind w:right="-2"/>
        <w:rPr>
          <w:b w:val="0"/>
          <w:sz w:val="14"/>
          <w:szCs w:val="24"/>
        </w:rPr>
      </w:pPr>
    </w:p>
    <w:sectPr w:rsidR="002960B0" w:rsidRPr="00910856" w:rsidSect="00EC0112">
      <w:footerReference w:type="default" r:id="rId11"/>
      <w:pgSz w:w="11906" w:h="16838"/>
      <w:pgMar w:top="1134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0D3" w:rsidRDefault="00B240D3">
      <w:r>
        <w:separator/>
      </w:r>
    </w:p>
  </w:endnote>
  <w:endnote w:type="continuationSeparator" w:id="0">
    <w:p w:rsidR="00B240D3" w:rsidRDefault="00B2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565044"/>
      <w:docPartObj>
        <w:docPartGallery w:val="Page Numbers (Bottom of Page)"/>
        <w:docPartUnique/>
      </w:docPartObj>
    </w:sdtPr>
    <w:sdtEndPr/>
    <w:sdtContent>
      <w:p w:rsidR="00EC0112" w:rsidRDefault="00B240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253C37" w:rsidRDefault="00B240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0D3" w:rsidRDefault="00B240D3">
      <w:r>
        <w:separator/>
      </w:r>
    </w:p>
  </w:footnote>
  <w:footnote w:type="continuationSeparator" w:id="0">
    <w:p w:rsidR="00B240D3" w:rsidRDefault="00B24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95FC4"/>
    <w:multiLevelType w:val="multilevel"/>
    <w:tmpl w:val="5062141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40154E"/>
    <w:multiLevelType w:val="multilevel"/>
    <w:tmpl w:val="E7DA352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95110C"/>
    <w:multiLevelType w:val="hybridMultilevel"/>
    <w:tmpl w:val="A4EEB186"/>
    <w:lvl w:ilvl="0" w:tplc="ACDAD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985CF2" w:tentative="1">
      <w:start w:val="1"/>
      <w:numFmt w:val="lowerLetter"/>
      <w:lvlText w:val="%2."/>
      <w:lvlJc w:val="left"/>
      <w:pPr>
        <w:ind w:left="1440" w:hanging="360"/>
      </w:pPr>
    </w:lvl>
    <w:lvl w:ilvl="2" w:tplc="051C7C6C" w:tentative="1">
      <w:start w:val="1"/>
      <w:numFmt w:val="lowerRoman"/>
      <w:lvlText w:val="%3."/>
      <w:lvlJc w:val="right"/>
      <w:pPr>
        <w:ind w:left="2160" w:hanging="180"/>
      </w:pPr>
    </w:lvl>
    <w:lvl w:ilvl="3" w:tplc="98EABBEC" w:tentative="1">
      <w:start w:val="1"/>
      <w:numFmt w:val="decimal"/>
      <w:lvlText w:val="%4."/>
      <w:lvlJc w:val="left"/>
      <w:pPr>
        <w:ind w:left="2880" w:hanging="360"/>
      </w:pPr>
    </w:lvl>
    <w:lvl w:ilvl="4" w:tplc="D4B81988" w:tentative="1">
      <w:start w:val="1"/>
      <w:numFmt w:val="lowerLetter"/>
      <w:lvlText w:val="%5."/>
      <w:lvlJc w:val="left"/>
      <w:pPr>
        <w:ind w:left="3600" w:hanging="360"/>
      </w:pPr>
    </w:lvl>
    <w:lvl w:ilvl="5" w:tplc="BE625762" w:tentative="1">
      <w:start w:val="1"/>
      <w:numFmt w:val="lowerRoman"/>
      <w:lvlText w:val="%6."/>
      <w:lvlJc w:val="right"/>
      <w:pPr>
        <w:ind w:left="4320" w:hanging="180"/>
      </w:pPr>
    </w:lvl>
    <w:lvl w:ilvl="6" w:tplc="9C90E700" w:tentative="1">
      <w:start w:val="1"/>
      <w:numFmt w:val="decimal"/>
      <w:lvlText w:val="%7."/>
      <w:lvlJc w:val="left"/>
      <w:pPr>
        <w:ind w:left="5040" w:hanging="360"/>
      </w:pPr>
    </w:lvl>
    <w:lvl w:ilvl="7" w:tplc="7BB088AA" w:tentative="1">
      <w:start w:val="1"/>
      <w:numFmt w:val="lowerLetter"/>
      <w:lvlText w:val="%8."/>
      <w:lvlJc w:val="left"/>
      <w:pPr>
        <w:ind w:left="5760" w:hanging="360"/>
      </w:pPr>
    </w:lvl>
    <w:lvl w:ilvl="8" w:tplc="5EE87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44607"/>
    <w:multiLevelType w:val="hybridMultilevel"/>
    <w:tmpl w:val="59B84A40"/>
    <w:lvl w:ilvl="0" w:tplc="D1BCD98E">
      <w:start w:val="1"/>
      <w:numFmt w:val="lowerLetter"/>
      <w:lvlText w:val="%1)"/>
      <w:lvlJc w:val="left"/>
      <w:pPr>
        <w:ind w:left="720" w:hanging="360"/>
      </w:pPr>
    </w:lvl>
    <w:lvl w:ilvl="1" w:tplc="AD2E6CB6" w:tentative="1">
      <w:start w:val="1"/>
      <w:numFmt w:val="lowerLetter"/>
      <w:lvlText w:val="%2."/>
      <w:lvlJc w:val="left"/>
      <w:pPr>
        <w:ind w:left="1440" w:hanging="360"/>
      </w:pPr>
    </w:lvl>
    <w:lvl w:ilvl="2" w:tplc="F6BC2E06" w:tentative="1">
      <w:start w:val="1"/>
      <w:numFmt w:val="lowerRoman"/>
      <w:lvlText w:val="%3."/>
      <w:lvlJc w:val="right"/>
      <w:pPr>
        <w:ind w:left="2160" w:hanging="180"/>
      </w:pPr>
    </w:lvl>
    <w:lvl w:ilvl="3" w:tplc="EDAEDB8E" w:tentative="1">
      <w:start w:val="1"/>
      <w:numFmt w:val="decimal"/>
      <w:lvlText w:val="%4."/>
      <w:lvlJc w:val="left"/>
      <w:pPr>
        <w:ind w:left="2880" w:hanging="360"/>
      </w:pPr>
    </w:lvl>
    <w:lvl w:ilvl="4" w:tplc="5EC2B52C" w:tentative="1">
      <w:start w:val="1"/>
      <w:numFmt w:val="lowerLetter"/>
      <w:lvlText w:val="%5."/>
      <w:lvlJc w:val="left"/>
      <w:pPr>
        <w:ind w:left="3600" w:hanging="360"/>
      </w:pPr>
    </w:lvl>
    <w:lvl w:ilvl="5" w:tplc="FDE0259C" w:tentative="1">
      <w:start w:val="1"/>
      <w:numFmt w:val="lowerRoman"/>
      <w:lvlText w:val="%6."/>
      <w:lvlJc w:val="right"/>
      <w:pPr>
        <w:ind w:left="4320" w:hanging="180"/>
      </w:pPr>
    </w:lvl>
    <w:lvl w:ilvl="6" w:tplc="4254FC2A" w:tentative="1">
      <w:start w:val="1"/>
      <w:numFmt w:val="decimal"/>
      <w:lvlText w:val="%7."/>
      <w:lvlJc w:val="left"/>
      <w:pPr>
        <w:ind w:left="5040" w:hanging="360"/>
      </w:pPr>
    </w:lvl>
    <w:lvl w:ilvl="7" w:tplc="993C0B98" w:tentative="1">
      <w:start w:val="1"/>
      <w:numFmt w:val="lowerLetter"/>
      <w:lvlText w:val="%8."/>
      <w:lvlJc w:val="left"/>
      <w:pPr>
        <w:ind w:left="5760" w:hanging="360"/>
      </w:pPr>
    </w:lvl>
    <w:lvl w:ilvl="8" w:tplc="1A72C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E23B0"/>
    <w:multiLevelType w:val="hybridMultilevel"/>
    <w:tmpl w:val="7E004D36"/>
    <w:lvl w:ilvl="0" w:tplc="1062E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F04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7677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631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60C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2BF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8C4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86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502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B552C"/>
    <w:multiLevelType w:val="hybridMultilevel"/>
    <w:tmpl w:val="72A4801A"/>
    <w:lvl w:ilvl="0" w:tplc="3990D5C0">
      <w:start w:val="1"/>
      <w:numFmt w:val="lowerLetter"/>
      <w:lvlText w:val="%1)"/>
      <w:lvlJc w:val="left"/>
      <w:pPr>
        <w:ind w:left="720" w:hanging="360"/>
      </w:pPr>
    </w:lvl>
    <w:lvl w:ilvl="1" w:tplc="C0169134" w:tentative="1">
      <w:start w:val="1"/>
      <w:numFmt w:val="lowerLetter"/>
      <w:lvlText w:val="%2."/>
      <w:lvlJc w:val="left"/>
      <w:pPr>
        <w:ind w:left="1440" w:hanging="360"/>
      </w:pPr>
    </w:lvl>
    <w:lvl w:ilvl="2" w:tplc="FA02D918" w:tentative="1">
      <w:start w:val="1"/>
      <w:numFmt w:val="lowerRoman"/>
      <w:lvlText w:val="%3."/>
      <w:lvlJc w:val="right"/>
      <w:pPr>
        <w:ind w:left="2160" w:hanging="180"/>
      </w:pPr>
    </w:lvl>
    <w:lvl w:ilvl="3" w:tplc="1CE03006" w:tentative="1">
      <w:start w:val="1"/>
      <w:numFmt w:val="decimal"/>
      <w:lvlText w:val="%4."/>
      <w:lvlJc w:val="left"/>
      <w:pPr>
        <w:ind w:left="2880" w:hanging="360"/>
      </w:pPr>
    </w:lvl>
    <w:lvl w:ilvl="4" w:tplc="AF143130" w:tentative="1">
      <w:start w:val="1"/>
      <w:numFmt w:val="lowerLetter"/>
      <w:lvlText w:val="%5."/>
      <w:lvlJc w:val="left"/>
      <w:pPr>
        <w:ind w:left="3600" w:hanging="360"/>
      </w:pPr>
    </w:lvl>
    <w:lvl w:ilvl="5" w:tplc="4B4C3298" w:tentative="1">
      <w:start w:val="1"/>
      <w:numFmt w:val="lowerRoman"/>
      <w:lvlText w:val="%6."/>
      <w:lvlJc w:val="right"/>
      <w:pPr>
        <w:ind w:left="4320" w:hanging="180"/>
      </w:pPr>
    </w:lvl>
    <w:lvl w:ilvl="6" w:tplc="7EE45268" w:tentative="1">
      <w:start w:val="1"/>
      <w:numFmt w:val="decimal"/>
      <w:lvlText w:val="%7."/>
      <w:lvlJc w:val="left"/>
      <w:pPr>
        <w:ind w:left="5040" w:hanging="360"/>
      </w:pPr>
    </w:lvl>
    <w:lvl w:ilvl="7" w:tplc="E898D256" w:tentative="1">
      <w:start w:val="1"/>
      <w:numFmt w:val="lowerLetter"/>
      <w:lvlText w:val="%8."/>
      <w:lvlJc w:val="left"/>
      <w:pPr>
        <w:ind w:left="5760" w:hanging="360"/>
      </w:pPr>
    </w:lvl>
    <w:lvl w:ilvl="8" w:tplc="BFA49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5196D"/>
    <w:multiLevelType w:val="multilevel"/>
    <w:tmpl w:val="35602C5E"/>
    <w:lvl w:ilvl="0">
      <w:start w:val="5"/>
      <w:numFmt w:val="decimalZero"/>
      <w:lvlText w:val="%1"/>
      <w:lvlJc w:val="left"/>
      <w:pPr>
        <w:ind w:left="840" w:hanging="840"/>
      </w:pPr>
    </w:lvl>
    <w:lvl w:ilvl="1">
      <w:start w:val="816"/>
      <w:numFmt w:val="decimal"/>
      <w:lvlText w:val="%1-%2"/>
      <w:lvlJc w:val="left"/>
      <w:pPr>
        <w:ind w:left="840" w:hanging="840"/>
      </w:pPr>
    </w:lvl>
    <w:lvl w:ilvl="2">
      <w:start w:val="1"/>
      <w:numFmt w:val="decimal"/>
      <w:lvlText w:val="%1-%2.%3"/>
      <w:lvlJc w:val="left"/>
      <w:pPr>
        <w:ind w:left="840" w:hanging="84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7" w15:restartNumberingAfterBreak="0">
    <w:nsid w:val="7F6A5942"/>
    <w:multiLevelType w:val="multilevel"/>
    <w:tmpl w:val="160AC26E"/>
    <w:lvl w:ilvl="0">
      <w:start w:val="5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816"/>
      <w:numFmt w:val="decimal"/>
      <w:lvlText w:val="%1-%2"/>
      <w:lvlJc w:val="left"/>
      <w:pPr>
        <w:ind w:left="591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8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8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6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3176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  <w:lvlOverride w:ilvl="0">
      <w:startOverride w:val="5"/>
    </w:lvlOverride>
    <w:lvlOverride w:ilvl="1">
      <w:startOverride w:val="8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75"/>
    <w:rsid w:val="000C5C75"/>
    <w:rsid w:val="004F2904"/>
    <w:rsid w:val="00B2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5C161-7B8A-406C-83EC-B372E712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2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32F7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link w:val="Teksttreci40"/>
    <w:locked/>
    <w:rsid w:val="008B2515"/>
    <w:rPr>
      <w:rFonts w:ascii="Calibri" w:hAnsi="Calibri"/>
      <w:b/>
      <w:sz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B2515"/>
    <w:pPr>
      <w:widowControl w:val="0"/>
      <w:shd w:val="clear" w:color="auto" w:fill="FFFFFF"/>
      <w:spacing w:line="338" w:lineRule="exact"/>
      <w:ind w:firstLine="709"/>
      <w:jc w:val="both"/>
    </w:pPr>
    <w:rPr>
      <w:rFonts w:ascii="Calibri" w:eastAsiaTheme="minorHAnsi" w:hAnsi="Calibri" w:cstheme="minorBidi"/>
      <w:b/>
      <w:sz w:val="28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C811FC"/>
    <w:rPr>
      <w:i/>
      <w:iCs/>
    </w:rPr>
  </w:style>
  <w:style w:type="character" w:styleId="Hipercze">
    <w:name w:val="Hyperlink"/>
    <w:basedOn w:val="Domylnaczcionkaakapitu"/>
    <w:uiPriority w:val="99"/>
    <w:unhideWhenUsed/>
    <w:rsid w:val="00C811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11FC"/>
    <w:pPr>
      <w:ind w:left="720"/>
      <w:contextualSpacing/>
    </w:pPr>
  </w:style>
  <w:style w:type="character" w:customStyle="1" w:styleId="alb">
    <w:name w:val="a_lb"/>
    <w:basedOn w:val="Domylnaczcionkaakapitu"/>
    <w:rsid w:val="00F27F5C"/>
  </w:style>
  <w:style w:type="character" w:customStyle="1" w:styleId="alb-s">
    <w:name w:val="a_lb-s"/>
    <w:basedOn w:val="Domylnaczcionkaakapitu"/>
    <w:rsid w:val="00F27F5C"/>
  </w:style>
  <w:style w:type="paragraph" w:styleId="NormalnyWeb">
    <w:name w:val="Normal (Web)"/>
    <w:basedOn w:val="Normalny"/>
    <w:uiPriority w:val="99"/>
    <w:semiHidden/>
    <w:unhideWhenUsed/>
    <w:rsid w:val="00F27F5C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4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4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6474"/>
    <w:rPr>
      <w:vertAlign w:val="superscript"/>
    </w:rPr>
  </w:style>
  <w:style w:type="table" w:styleId="Tabela-Siatka">
    <w:name w:val="Table Grid"/>
    <w:basedOn w:val="Standardowy"/>
    <w:uiPriority w:val="39"/>
    <w:rsid w:val="0029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6B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B2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rzxr">
    <w:name w:val="lrzxr"/>
    <w:rsid w:val="007C1BD0"/>
  </w:style>
  <w:style w:type="paragraph" w:styleId="Tekstpodstawowy">
    <w:name w:val="Body Text"/>
    <w:basedOn w:val="Normalny"/>
    <w:link w:val="TekstpodstawowyZnak"/>
    <w:unhideWhenUsed/>
    <w:rsid w:val="005560EE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560E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91452C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1452C"/>
    <w:pPr>
      <w:widowControl w:val="0"/>
      <w:shd w:val="clear" w:color="auto" w:fill="FFFFFF"/>
      <w:spacing w:before="60" w:after="300" w:line="264" w:lineRule="exact"/>
      <w:ind w:hanging="68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53C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C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3C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C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-px">
    <w:name w:val="li-px"/>
    <w:basedOn w:val="Domylnaczcionkaakapitu"/>
    <w:rsid w:val="00C9318D"/>
  </w:style>
  <w:style w:type="character" w:customStyle="1" w:styleId="Teksttreci2Kursywa">
    <w:name w:val="Tekst treści (2) + Kursywa"/>
    <w:basedOn w:val="Teksttreci2"/>
    <w:rsid w:val="00454F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32F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g-scope">
    <w:name w:val="ng-scope"/>
    <w:basedOn w:val="Normalny"/>
    <w:rsid w:val="0086354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6354B"/>
    <w:rPr>
      <w:b/>
      <w:bCs/>
    </w:rPr>
  </w:style>
  <w:style w:type="character" w:customStyle="1" w:styleId="ng-binding">
    <w:name w:val="ng-binding"/>
    <w:basedOn w:val="Domylnaczcionkaakapitu"/>
    <w:rsid w:val="0086354B"/>
  </w:style>
  <w:style w:type="character" w:customStyle="1" w:styleId="ng-scope1">
    <w:name w:val="ng-scope1"/>
    <w:basedOn w:val="Domylnaczcionkaakapitu"/>
    <w:rsid w:val="00863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ED4BF-C800-42FC-9724-6F5BE055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1869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cp:lastPrinted>2020-06-29T12:55:00Z</cp:lastPrinted>
  <dcterms:created xsi:type="dcterms:W3CDTF">2020-12-07T07:01:00Z</dcterms:created>
  <dcterms:modified xsi:type="dcterms:W3CDTF">2020-12-07T07:01:00Z</dcterms:modified>
</cp:coreProperties>
</file>