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64E1" w:rsidRPr="00BF5BEB" w:rsidTr="00633825">
        <w:tc>
          <w:tcPr>
            <w:tcW w:w="9062" w:type="dxa"/>
            <w:gridSpan w:val="2"/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 xml:space="preserve">(Przy odpowiedziach 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 proszę usunąć zbędne słowo. W pytaniach gdzie umieszczono kwadracik -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36968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BEB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BF5BEB">
              <w:rPr>
                <w:rFonts w:ascii="Arial" w:hAnsi="Arial" w:cs="Arial"/>
                <w:sz w:val="20"/>
                <w:szCs w:val="20"/>
              </w:rPr>
              <w:t xml:space="preserve"> proszę kliknąć. Jeśli obok znajduje się pytanie proszę o wpisanie odpowiedzi.)</w:t>
            </w:r>
          </w:p>
        </w:tc>
      </w:tr>
      <w:tr w:rsidR="008E64E1" w:rsidRPr="00BF5BEB" w:rsidTr="00633825">
        <w:tc>
          <w:tcPr>
            <w:tcW w:w="4531" w:type="dxa"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Nazwa podmiotu/Imię Nazwisko</w:t>
            </w: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rPr>
          <w:trHeight w:val="174"/>
        </w:trPr>
        <w:tc>
          <w:tcPr>
            <w:tcW w:w="4531" w:type="dxa"/>
            <w:vMerge w:val="restart"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Do której kategorii należy Państwa podmiot?</w:t>
            </w: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9244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organ odpowiedzialny za transport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</w:p>
        </w:tc>
      </w:tr>
      <w:tr w:rsidR="008E64E1" w:rsidRPr="00BF5BEB" w:rsidTr="00633825">
        <w:trPr>
          <w:trHeight w:val="172"/>
        </w:trPr>
        <w:tc>
          <w:tcPr>
            <w:tcW w:w="4531" w:type="dxa"/>
            <w:vMerge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9622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zarządca infrastruktury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</w:p>
        </w:tc>
      </w:tr>
      <w:tr w:rsidR="008E64E1" w:rsidRPr="00BF5BEB" w:rsidTr="00633825">
        <w:trPr>
          <w:trHeight w:val="172"/>
        </w:trPr>
        <w:tc>
          <w:tcPr>
            <w:tcW w:w="4531" w:type="dxa"/>
            <w:vMerge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79284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przewoźnik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</w:tr>
      <w:tr w:rsidR="008E64E1" w:rsidRPr="00BF5BEB" w:rsidTr="00633825">
        <w:trPr>
          <w:trHeight w:val="172"/>
        </w:trPr>
        <w:tc>
          <w:tcPr>
            <w:tcW w:w="4531" w:type="dxa"/>
            <w:vMerge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28804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podmiot świadczący usługi transportu na żądanie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</w:p>
        </w:tc>
      </w:tr>
      <w:tr w:rsidR="008E64E1" w:rsidRPr="00BF5BEB" w:rsidTr="00633825">
        <w:trPr>
          <w:trHeight w:val="172"/>
        </w:trPr>
        <w:tc>
          <w:tcPr>
            <w:tcW w:w="4531" w:type="dxa"/>
            <w:vMerge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09934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inny (jaki?)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rPr>
          <w:trHeight w:val="57"/>
        </w:trPr>
        <w:tc>
          <w:tcPr>
            <w:tcW w:w="4531" w:type="dxa"/>
            <w:vMerge w:val="restart"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Który rodzaj środku/ów transportu, Państwo reprezentują?</w:t>
            </w: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5660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transport drogowy </w:t>
            </w:r>
          </w:p>
        </w:tc>
      </w:tr>
      <w:tr w:rsidR="008E64E1" w:rsidRPr="00BF5BEB" w:rsidTr="00633825">
        <w:trPr>
          <w:trHeight w:val="56"/>
        </w:trPr>
        <w:tc>
          <w:tcPr>
            <w:tcW w:w="4531" w:type="dxa"/>
            <w:vMerge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5447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transport kolejowy</w:t>
            </w:r>
          </w:p>
        </w:tc>
      </w:tr>
      <w:tr w:rsidR="008E64E1" w:rsidRPr="00BF5BEB" w:rsidTr="00633825">
        <w:trPr>
          <w:trHeight w:val="56"/>
        </w:trPr>
        <w:tc>
          <w:tcPr>
            <w:tcW w:w="4531" w:type="dxa"/>
            <w:vMerge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9147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transport lotniczy</w:t>
            </w:r>
          </w:p>
        </w:tc>
      </w:tr>
      <w:tr w:rsidR="008E64E1" w:rsidRPr="00BF5BEB" w:rsidTr="00633825">
        <w:trPr>
          <w:trHeight w:val="56"/>
        </w:trPr>
        <w:tc>
          <w:tcPr>
            <w:tcW w:w="4531" w:type="dxa"/>
            <w:vMerge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8847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transport miejski</w:t>
            </w:r>
          </w:p>
        </w:tc>
      </w:tr>
      <w:tr w:rsidR="008E64E1" w:rsidRPr="00BF5BEB" w:rsidTr="00633825">
        <w:trPr>
          <w:trHeight w:val="56"/>
        </w:trPr>
        <w:tc>
          <w:tcPr>
            <w:tcW w:w="4531" w:type="dxa"/>
            <w:vMerge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92487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transport morski i śródlądowy</w:t>
            </w:r>
          </w:p>
        </w:tc>
      </w:tr>
      <w:tr w:rsidR="008E64E1" w:rsidRPr="00BF5BEB" w:rsidTr="00633825">
        <w:trPr>
          <w:trHeight w:val="56"/>
        </w:trPr>
        <w:tc>
          <w:tcPr>
            <w:tcW w:w="4531" w:type="dxa"/>
            <w:vMerge/>
            <w:shd w:val="clear" w:color="auto" w:fill="9CC2E5" w:themeFill="accent1" w:themeFillTint="99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1883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inny (jaki?)</w:t>
            </w:r>
          </w:p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rPr>
          <w:trHeight w:val="540"/>
        </w:trPr>
        <w:tc>
          <w:tcPr>
            <w:tcW w:w="4531" w:type="dxa"/>
            <w:vMerge w:val="restart"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 xml:space="preserve">Czy wyrażają Państwo chęć uczestniczenia w pracach roboczych nad krajowym profilem </w:t>
            </w:r>
            <w:proofErr w:type="spellStart"/>
            <w:r w:rsidRPr="00BF5BEB">
              <w:rPr>
                <w:rFonts w:ascii="Arial" w:hAnsi="Arial" w:cs="Arial"/>
                <w:b/>
                <w:sz w:val="20"/>
                <w:szCs w:val="20"/>
              </w:rPr>
              <w:t>Netex</w:t>
            </w:r>
            <w:proofErr w:type="spellEnd"/>
            <w:r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 z wykorzystaniem środowiska </w:t>
            </w:r>
            <w:proofErr w:type="spellStart"/>
            <w:r w:rsidRPr="00BF5BEB">
              <w:rPr>
                <w:rFonts w:ascii="Arial" w:hAnsi="Arial" w:cs="Arial"/>
                <w:sz w:val="20"/>
                <w:szCs w:val="20"/>
              </w:rPr>
              <w:t>Github</w:t>
            </w:r>
            <w:proofErr w:type="spellEnd"/>
            <w:r w:rsidRPr="00BF5BEB">
              <w:rPr>
                <w:rFonts w:ascii="Arial" w:hAnsi="Arial" w:cs="Arial"/>
                <w:sz w:val="20"/>
                <w:szCs w:val="20"/>
              </w:rPr>
              <w:t>?(lub innego, jakiego?)</w:t>
            </w:r>
          </w:p>
        </w:tc>
        <w:tc>
          <w:tcPr>
            <w:tcW w:w="4531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rPr>
          <w:trHeight w:val="615"/>
        </w:trPr>
        <w:tc>
          <w:tcPr>
            <w:tcW w:w="4531" w:type="dxa"/>
            <w:vMerge/>
            <w:shd w:val="clear" w:color="auto" w:fill="DEEAF6" w:themeFill="accent1" w:themeFillTint="33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2" w:space="0" w:color="auto"/>
            </w:tcBorders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(inne propozycje)</w:t>
            </w:r>
          </w:p>
        </w:tc>
      </w:tr>
      <w:tr w:rsidR="008E64E1" w:rsidRPr="00BF5BEB" w:rsidTr="00633825">
        <w:tc>
          <w:tcPr>
            <w:tcW w:w="9062" w:type="dxa"/>
            <w:gridSpan w:val="2"/>
            <w:shd w:val="clear" w:color="auto" w:fill="1F4E79" w:themeFill="accent1" w:themeFillShade="80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Poniższa część tabeli dotyczy podmiotów, które mogą przekazywać dane, czyli 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</w:rPr>
              <w:t xml:space="preserve">organów odpowiedzialnych 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za transport, 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</w:rPr>
              <w:t>przewoźników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, 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</w:rPr>
              <w:t>zarządców infrastruktur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y lub podmiotów świadczących usługi 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</w:rPr>
              <w:t xml:space="preserve">transportu na żądanie </w:t>
            </w:r>
            <w:r w:rsidRPr="00BF5BE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. </w:t>
            </w:r>
          </w:p>
        </w:tc>
      </w:tr>
      <w:tr w:rsidR="008E64E1" w:rsidRPr="00BF5BEB" w:rsidTr="00633825">
        <w:trPr>
          <w:trHeight w:val="300"/>
        </w:trPr>
        <w:tc>
          <w:tcPr>
            <w:tcW w:w="4531" w:type="dxa"/>
            <w:shd w:val="clear" w:color="auto" w:fill="9CC2E5" w:themeFill="accent1" w:themeFillTint="99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Czy posiadają Państwo dane w formie nadającej się do odczytu maszynowego</w:t>
            </w: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8E64E1" w:rsidP="00633825">
            <w:pPr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rPr>
          <w:trHeight w:val="300"/>
        </w:trPr>
        <w:tc>
          <w:tcPr>
            <w:tcW w:w="4531" w:type="dxa"/>
            <w:vMerge w:val="restart"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W jakim formacie gromadzą Państwo dane?</w:t>
            </w: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3362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SIRI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</w:p>
        </w:tc>
      </w:tr>
      <w:tr w:rsidR="008E64E1" w:rsidRPr="00BF5BEB" w:rsidTr="00633825">
        <w:trPr>
          <w:trHeight w:val="30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3321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DATEX II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</w:p>
        </w:tc>
      </w:tr>
      <w:tr w:rsidR="008E64E1" w:rsidRPr="00BF5BEB" w:rsidTr="00633825">
        <w:trPr>
          <w:trHeight w:val="30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46919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64E1" w:rsidRPr="00BF5BEB">
              <w:rPr>
                <w:rFonts w:ascii="Arial" w:hAnsi="Arial" w:cs="Arial"/>
                <w:b/>
                <w:sz w:val="20"/>
                <w:szCs w:val="20"/>
              </w:rPr>
              <w:t>NETEX</w:t>
            </w:r>
          </w:p>
        </w:tc>
      </w:tr>
      <w:tr w:rsidR="008E64E1" w:rsidRPr="00BF5BEB" w:rsidTr="00633825">
        <w:trPr>
          <w:trHeight w:val="30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1563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XLS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8"/>
            </w:r>
          </w:p>
        </w:tc>
      </w:tr>
      <w:tr w:rsidR="008E64E1" w:rsidRPr="00BF5BEB" w:rsidTr="00633825">
        <w:trPr>
          <w:trHeight w:val="256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7446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CSV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</w:p>
        </w:tc>
      </w:tr>
      <w:tr w:rsidR="008E64E1" w:rsidRPr="00BF5BEB" w:rsidTr="00633825">
        <w:trPr>
          <w:trHeight w:val="256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729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XML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E64E1" w:rsidRPr="00BF5BEB" w:rsidTr="00633825">
        <w:trPr>
          <w:trHeight w:val="21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7297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GTFS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E64E1" w:rsidRPr="00BF5BEB">
              <w:rPr>
                <w:rFonts w:ascii="Arial" w:hAnsi="Arial" w:cs="Arial"/>
                <w:sz w:val="20"/>
                <w:szCs w:val="20"/>
              </w:rPr>
              <w:t>static</w:t>
            </w:r>
            <w:proofErr w:type="spellEnd"/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E64E1" w:rsidRPr="00BF5BEB" w:rsidTr="00633825">
        <w:trPr>
          <w:trHeight w:val="21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7176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GTFS </w:t>
            </w:r>
            <w:proofErr w:type="spellStart"/>
            <w:r w:rsidR="008E64E1" w:rsidRPr="00BF5BEB">
              <w:rPr>
                <w:rFonts w:ascii="Arial" w:hAnsi="Arial" w:cs="Arial"/>
                <w:sz w:val="20"/>
                <w:szCs w:val="20"/>
              </w:rPr>
              <w:t>realtime</w:t>
            </w:r>
            <w:proofErr w:type="spellEnd"/>
          </w:p>
        </w:tc>
      </w:tr>
      <w:tr w:rsidR="008E64E1" w:rsidRPr="00BF5BEB" w:rsidTr="00633825">
        <w:trPr>
          <w:trHeight w:val="21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6272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HTML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2"/>
            </w:r>
          </w:p>
        </w:tc>
      </w:tr>
      <w:tr w:rsidR="008E64E1" w:rsidRPr="00BF5BEB" w:rsidTr="00633825">
        <w:trPr>
          <w:trHeight w:val="21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pStyle w:val="Zwykytek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37800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JSON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3"/>
            </w:r>
          </w:p>
        </w:tc>
      </w:tr>
      <w:tr w:rsidR="008E64E1" w:rsidRPr="00BF5BEB" w:rsidTr="00633825">
        <w:trPr>
          <w:trHeight w:val="21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pStyle w:val="Zwykytek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14126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E64E1" w:rsidRPr="00BF5BEB">
              <w:rPr>
                <w:rFonts w:ascii="Arial" w:hAnsi="Arial" w:cs="Arial"/>
                <w:sz w:val="20"/>
                <w:szCs w:val="20"/>
              </w:rPr>
              <w:t>TransXChange</w:t>
            </w:r>
            <w:proofErr w:type="spellEnd"/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XML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4"/>
            </w:r>
          </w:p>
        </w:tc>
      </w:tr>
      <w:tr w:rsidR="008E64E1" w:rsidRPr="00BF5BEB" w:rsidTr="00633825">
        <w:trPr>
          <w:trHeight w:val="21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pStyle w:val="Zwykytek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2921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MDB</w:t>
            </w:r>
            <w:r w:rsidR="008E64E1"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5"/>
            </w:r>
          </w:p>
        </w:tc>
      </w:tr>
      <w:tr w:rsidR="008E64E1" w:rsidRPr="00BF5BEB" w:rsidTr="00633825">
        <w:trPr>
          <w:trHeight w:val="780"/>
        </w:trPr>
        <w:tc>
          <w:tcPr>
            <w:tcW w:w="4531" w:type="dxa"/>
            <w:vMerge/>
            <w:shd w:val="clear" w:color="auto" w:fill="BDD6EE" w:themeFill="accent1" w:themeFillTint="66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9025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inny (jaki?)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4531" w:type="dxa"/>
            <w:shd w:val="clear" w:color="auto" w:fill="9CC2E5" w:themeFill="accent1" w:themeFillTint="99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Czy dysponują Państwo możliwością automatycznego udostępniania danych do pobierania w trybie ciągłym za pomocą API</w:t>
            </w:r>
            <w:r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6"/>
            </w:r>
            <w:r w:rsidRPr="00BF5BEB">
              <w:rPr>
                <w:rFonts w:ascii="Arial" w:hAnsi="Arial" w:cs="Arial"/>
                <w:sz w:val="20"/>
                <w:szCs w:val="20"/>
              </w:rPr>
              <w:t>, FTP</w:t>
            </w:r>
            <w:r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7"/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 lub HTTP</w:t>
            </w:r>
            <w:r w:rsidRPr="00BF5BE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8"/>
            </w:r>
            <w:r w:rsidRPr="00BF5BEB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531" w:type="dxa"/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c>
          <w:tcPr>
            <w:tcW w:w="4531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Czy korzystają państwo z programów/usług konwersji danych na dane cyfrowe/dane w innym (niż posiadany) standardzie?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c>
          <w:tcPr>
            <w:tcW w:w="4531" w:type="dxa"/>
            <w:tcBorders>
              <w:bottom w:val="single" w:sz="12" w:space="0" w:color="auto"/>
            </w:tcBorders>
            <w:shd w:val="clear" w:color="auto" w:fill="9CC2E5" w:themeFill="accent1" w:themeFillTint="99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Czy dostarczają już Państwo dane do podmiotów trzecich, które je publikują?</w:t>
            </w:r>
          </w:p>
        </w:tc>
        <w:tc>
          <w:tcPr>
            <w:tcW w:w="4531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Czy są Państwo skłonni dostarczać dane (w formie linków do Państwa stron bądź dokumentów) do Krajowego Punktu Dostępowego (w tymczasowej wersji) do informacji o podróżach multimodalnych od 1 grudnia 2019?</w:t>
            </w:r>
            <w:r w:rsidR="00426939">
              <w:rPr>
                <w:rFonts w:ascii="Arial" w:hAnsi="Arial" w:cs="Arial"/>
                <w:sz w:val="20"/>
                <w:szCs w:val="20"/>
              </w:rPr>
              <w:t xml:space="preserve"> (dane </w:t>
            </w:r>
            <w:r w:rsidR="005A0B28">
              <w:rPr>
                <w:rFonts w:ascii="Arial" w:hAnsi="Arial" w:cs="Arial"/>
                <w:sz w:val="20"/>
                <w:szCs w:val="20"/>
              </w:rPr>
              <w:t xml:space="preserve">z </w:t>
            </w:r>
            <w:proofErr w:type="spellStart"/>
            <w:r w:rsidR="005A0B28" w:rsidRPr="00BF5BEB">
              <w:rPr>
                <w:rFonts w:ascii="Arial" w:hAnsi="Arial" w:cs="Arial"/>
                <w:sz w:val="20"/>
                <w:szCs w:val="20"/>
              </w:rPr>
              <w:t>ppkt</w:t>
            </w:r>
            <w:proofErr w:type="spellEnd"/>
            <w:r w:rsidR="005A0B28" w:rsidRPr="00BF5BEB">
              <w:rPr>
                <w:rFonts w:ascii="Arial" w:hAnsi="Arial" w:cs="Arial"/>
                <w:sz w:val="20"/>
                <w:szCs w:val="20"/>
              </w:rPr>
              <w:t xml:space="preserve"> 1.1 załącznika do rozporządzenia</w:t>
            </w:r>
            <w:r w:rsidR="0042693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Jeśli zaznaczyli Państwo odpowiedź „NIE” w powyższym pytaniu, proszę podać przyczynę.</w:t>
            </w: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2103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techniczna(jaka?)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87593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finansowa(jaka?)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34097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prawna(jaka?)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95656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inna(jaka?)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Czy są Państwo skłonni dostarczać dane (poprzez API) do Krajowego Punktu Dostępowego (w ostatecznej wersji po jej powstaniu) do informacji o podróżach multimodalnych po powstaniu ?</w:t>
            </w:r>
          </w:p>
        </w:tc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(</w:t>
            </w:r>
            <w:r w:rsidRPr="00BF5BE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TAK</w:t>
            </w:r>
            <w:r w:rsidRPr="00BF5BEB">
              <w:rPr>
                <w:rFonts w:ascii="Arial" w:hAnsi="Arial" w:cs="Arial"/>
                <w:sz w:val="20"/>
                <w:szCs w:val="20"/>
              </w:rPr>
              <w:t>/</w:t>
            </w:r>
            <w:r w:rsidRPr="00BF5BEB">
              <w:rPr>
                <w:rFonts w:ascii="Arial" w:hAnsi="Arial" w:cs="Arial"/>
                <w:color w:val="FF0000"/>
                <w:sz w:val="20"/>
                <w:szCs w:val="20"/>
              </w:rPr>
              <w:t>NIE</w:t>
            </w:r>
            <w:r w:rsidRPr="00BF5B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>Jeśli zaznaczyli Państwo odpowiedź „NIE” w powyższym pytaniu, proszę podać przyczynę.</w:t>
            </w: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3773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techniczna(jaka?)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192806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finansowa(jaka?)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7194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prawna(jaka?)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E64E1" w:rsidRPr="00BF5BEB" w:rsidRDefault="00907006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1135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4E1" w:rsidRPr="00BF5B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64E1" w:rsidRPr="00BF5BEB">
              <w:rPr>
                <w:rFonts w:ascii="Arial" w:hAnsi="Arial" w:cs="Arial"/>
                <w:sz w:val="20"/>
                <w:szCs w:val="20"/>
              </w:rPr>
              <w:t xml:space="preserve"> inna(jaka?)</w:t>
            </w: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c>
          <w:tcPr>
            <w:tcW w:w="9062" w:type="dxa"/>
            <w:gridSpan w:val="2"/>
            <w:shd w:val="clear" w:color="auto" w:fill="9CC2E5" w:themeFill="accent1" w:themeFillTint="99"/>
          </w:tcPr>
          <w:p w:rsidR="008E64E1" w:rsidRPr="00BF5BEB" w:rsidRDefault="008E64E1" w:rsidP="00EB37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t xml:space="preserve">Jakie dane spośród wymienionych </w:t>
            </w:r>
            <w:r w:rsidR="00EB3793">
              <w:rPr>
                <w:rFonts w:ascii="Arial" w:hAnsi="Arial" w:cs="Arial"/>
                <w:sz w:val="20"/>
                <w:szCs w:val="20"/>
              </w:rPr>
              <w:t>w</w:t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 załącznik</w:t>
            </w:r>
            <w:r w:rsidR="00EB3793">
              <w:rPr>
                <w:rFonts w:ascii="Arial" w:hAnsi="Arial" w:cs="Arial"/>
                <w:sz w:val="20"/>
                <w:szCs w:val="20"/>
              </w:rPr>
              <w:t>u</w:t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 do Rozporządzenia 2017/1926 Państwo posiadają</w:t>
            </w:r>
            <w:r w:rsidR="00EB3793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(lista </w:t>
            </w:r>
            <w:r w:rsidR="00EB3793">
              <w:rPr>
                <w:rFonts w:ascii="Arial" w:hAnsi="Arial" w:cs="Arial"/>
                <w:sz w:val="20"/>
                <w:szCs w:val="20"/>
              </w:rPr>
              <w:t xml:space="preserve">danych </w:t>
            </w:r>
            <w:r w:rsidRPr="00BF5BEB">
              <w:rPr>
                <w:rFonts w:ascii="Arial" w:hAnsi="Arial" w:cs="Arial"/>
                <w:sz w:val="20"/>
                <w:szCs w:val="20"/>
              </w:rPr>
              <w:t xml:space="preserve">oraz harmonogram </w:t>
            </w:r>
            <w:r w:rsidR="00EB3793">
              <w:rPr>
                <w:rFonts w:ascii="Arial" w:hAnsi="Arial" w:cs="Arial"/>
                <w:sz w:val="20"/>
                <w:szCs w:val="20"/>
              </w:rPr>
              <w:t xml:space="preserve">ich dostarczania </w:t>
            </w:r>
            <w:r w:rsidRPr="00BF5BEB">
              <w:rPr>
                <w:rFonts w:ascii="Arial" w:hAnsi="Arial" w:cs="Arial"/>
                <w:sz w:val="20"/>
                <w:szCs w:val="20"/>
              </w:rPr>
              <w:t>w załączeniu)</w:t>
            </w:r>
          </w:p>
        </w:tc>
      </w:tr>
      <w:tr w:rsidR="008E64E1" w:rsidRPr="00BF5BEB" w:rsidTr="00633825">
        <w:trPr>
          <w:trHeight w:val="135"/>
        </w:trPr>
        <w:tc>
          <w:tcPr>
            <w:tcW w:w="9062" w:type="dxa"/>
            <w:gridSpan w:val="2"/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20854" w:rsidRPr="00BF5BEB" w:rsidRDefault="00520854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4E1" w:rsidRPr="00BF5BEB" w:rsidTr="00633825">
        <w:trPr>
          <w:trHeight w:val="135"/>
        </w:trPr>
        <w:tc>
          <w:tcPr>
            <w:tcW w:w="9062" w:type="dxa"/>
            <w:gridSpan w:val="2"/>
            <w:shd w:val="clear" w:color="auto" w:fill="9CC2E5" w:themeFill="accent1" w:themeFillTint="99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BEB">
              <w:rPr>
                <w:rFonts w:ascii="Arial" w:hAnsi="Arial" w:cs="Arial"/>
                <w:sz w:val="20"/>
                <w:szCs w:val="20"/>
              </w:rPr>
              <w:lastRenderedPageBreak/>
              <w:t>Uwagi</w:t>
            </w:r>
          </w:p>
        </w:tc>
      </w:tr>
      <w:tr w:rsidR="008E64E1" w:rsidRPr="00BF5BEB" w:rsidTr="00633825">
        <w:trPr>
          <w:trHeight w:val="135"/>
        </w:trPr>
        <w:tc>
          <w:tcPr>
            <w:tcW w:w="9062" w:type="dxa"/>
            <w:gridSpan w:val="2"/>
            <w:shd w:val="clear" w:color="auto" w:fill="FFFFFF" w:themeFill="background1"/>
          </w:tcPr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20854" w:rsidRPr="00BF5BEB" w:rsidRDefault="00520854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64E1" w:rsidRPr="00BF5BEB" w:rsidRDefault="008E64E1" w:rsidP="006338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6D10" w:rsidRDefault="00A86D10"/>
    <w:p w:rsidR="00520854" w:rsidRPr="00BF5BEB" w:rsidRDefault="00520854" w:rsidP="00520854">
      <w:pPr>
        <w:jc w:val="both"/>
        <w:rPr>
          <w:rFonts w:ascii="Arial" w:hAnsi="Arial" w:cs="Arial"/>
          <w:sz w:val="20"/>
          <w:szCs w:val="20"/>
        </w:rPr>
      </w:pPr>
      <w:r w:rsidRPr="00BF5BEB">
        <w:rPr>
          <w:rFonts w:ascii="Arial" w:hAnsi="Arial" w:cs="Arial"/>
          <w:b/>
          <w:sz w:val="20"/>
          <w:szCs w:val="20"/>
          <w:u w:val="single"/>
        </w:rPr>
        <w:t>Harmonogram przekazywania danych zawarty</w:t>
      </w:r>
      <w:r w:rsidRPr="00BF5BEB">
        <w:rPr>
          <w:rFonts w:ascii="Arial" w:hAnsi="Arial" w:cs="Arial"/>
          <w:sz w:val="20"/>
          <w:szCs w:val="20"/>
        </w:rPr>
        <w:t xml:space="preserve"> w art. 4 ust. 3 rozporządzenia delegowanego Komisji (UE) 2017/1926 z dnia 31 maja 2017 r. uzupełniającego dyrektywę Parlamentu Europejskiego i Rady 2010/40/UE w odniesieniu do świadczenia </w:t>
      </w:r>
      <w:proofErr w:type="spellStart"/>
      <w:r w:rsidRPr="00BF5BEB">
        <w:rPr>
          <w:rFonts w:ascii="Arial" w:hAnsi="Arial" w:cs="Arial"/>
          <w:sz w:val="20"/>
          <w:szCs w:val="20"/>
        </w:rPr>
        <w:t>ogólnounijnych</w:t>
      </w:r>
      <w:proofErr w:type="spellEnd"/>
      <w:r w:rsidRPr="00BF5BEB">
        <w:rPr>
          <w:rFonts w:ascii="Arial" w:hAnsi="Arial" w:cs="Arial"/>
          <w:sz w:val="20"/>
          <w:szCs w:val="20"/>
        </w:rPr>
        <w:t xml:space="preserve"> usług w zakresie informacji o podróżach multimodalnych:</w:t>
      </w:r>
    </w:p>
    <w:p w:rsidR="00520854" w:rsidRPr="00BF5BEB" w:rsidRDefault="00520854" w:rsidP="00520854">
      <w:pPr>
        <w:spacing w:after="0"/>
        <w:jc w:val="both"/>
        <w:rPr>
          <w:rFonts w:ascii="Arial" w:hAnsi="Arial" w:cs="Arial"/>
          <w:sz w:val="20"/>
          <w:szCs w:val="20"/>
        </w:rPr>
      </w:pPr>
      <w:r w:rsidRPr="00BF5BEB">
        <w:rPr>
          <w:rFonts w:ascii="Arial" w:hAnsi="Arial" w:cs="Arial"/>
          <w:sz w:val="20"/>
          <w:szCs w:val="20"/>
        </w:rPr>
        <w:t xml:space="preserve">„3. Organy odpowiedzialne za transport, przewoźnicy, zarządcy infrastruktury  lub  podmioty świadczące usługi transportu na żądanie przekazują statyczne dane o podróży i ruchu za pośrednictwem krajowego punktu kontaktowego w wymaganym formacie zgodnie z poniższym harmonogramem: </w:t>
      </w:r>
    </w:p>
    <w:p w:rsidR="00520854" w:rsidRPr="00BF5BEB" w:rsidRDefault="00520854" w:rsidP="00520854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BF5BEB">
        <w:rPr>
          <w:rFonts w:ascii="Arial" w:hAnsi="Arial" w:cs="Arial"/>
          <w:sz w:val="20"/>
          <w:szCs w:val="20"/>
        </w:rPr>
        <w:t xml:space="preserve">a) w przypadku danych dotyczących podróży i ruchu  określonych </w:t>
      </w:r>
      <w:r w:rsidRPr="00BF5BEB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Pr="00BF5BEB">
        <w:rPr>
          <w:rFonts w:ascii="Arial" w:hAnsi="Arial" w:cs="Arial"/>
          <w:b/>
          <w:sz w:val="20"/>
          <w:szCs w:val="20"/>
        </w:rPr>
        <w:t>ppkt</w:t>
      </w:r>
      <w:proofErr w:type="spellEnd"/>
      <w:r w:rsidRPr="00BF5BEB">
        <w:rPr>
          <w:rFonts w:ascii="Arial" w:hAnsi="Arial" w:cs="Arial"/>
          <w:b/>
          <w:sz w:val="20"/>
          <w:szCs w:val="20"/>
        </w:rPr>
        <w:t xml:space="preserve"> 1.1</w:t>
      </w:r>
      <w:r w:rsidRPr="00BF5BEB">
        <w:rPr>
          <w:rFonts w:ascii="Arial" w:hAnsi="Arial" w:cs="Arial"/>
          <w:sz w:val="20"/>
          <w:szCs w:val="20"/>
        </w:rPr>
        <w:t xml:space="preserve">  załącznika w odniesieniu do kompleksowej </w:t>
      </w:r>
      <w:r w:rsidRPr="00BF5BEB">
        <w:rPr>
          <w:rFonts w:ascii="Arial" w:hAnsi="Arial" w:cs="Arial"/>
          <w:b/>
          <w:sz w:val="20"/>
          <w:szCs w:val="20"/>
        </w:rPr>
        <w:t>sieci TEN-T najpóźniej do dnia 1 grudnia 2019 r.;</w:t>
      </w:r>
      <w:r w:rsidRPr="00BF5BEB">
        <w:rPr>
          <w:rFonts w:ascii="Arial" w:hAnsi="Arial" w:cs="Arial"/>
          <w:sz w:val="20"/>
          <w:szCs w:val="20"/>
        </w:rPr>
        <w:t xml:space="preserve"> </w:t>
      </w:r>
    </w:p>
    <w:p w:rsidR="00520854" w:rsidRPr="00BF5BEB" w:rsidRDefault="00520854" w:rsidP="00520854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BF5BEB">
        <w:rPr>
          <w:rFonts w:ascii="Arial" w:hAnsi="Arial" w:cs="Arial"/>
          <w:sz w:val="20"/>
          <w:szCs w:val="20"/>
        </w:rPr>
        <w:t xml:space="preserve">b) w przypadku danych dotyczących podróży i ruchu  określonych w </w:t>
      </w:r>
      <w:proofErr w:type="spellStart"/>
      <w:r w:rsidRPr="00BF5BEB">
        <w:rPr>
          <w:rFonts w:ascii="Arial" w:hAnsi="Arial" w:cs="Arial"/>
          <w:b/>
          <w:sz w:val="20"/>
          <w:szCs w:val="20"/>
        </w:rPr>
        <w:t>ppkt</w:t>
      </w:r>
      <w:proofErr w:type="spellEnd"/>
      <w:r w:rsidRPr="00BF5BEB">
        <w:rPr>
          <w:rFonts w:ascii="Arial" w:hAnsi="Arial" w:cs="Arial"/>
          <w:b/>
          <w:sz w:val="20"/>
          <w:szCs w:val="20"/>
        </w:rPr>
        <w:t xml:space="preserve"> 1.2</w:t>
      </w:r>
      <w:r w:rsidRPr="00BF5BEB">
        <w:rPr>
          <w:rFonts w:ascii="Arial" w:hAnsi="Arial" w:cs="Arial"/>
          <w:sz w:val="20"/>
          <w:szCs w:val="20"/>
        </w:rPr>
        <w:t xml:space="preserve">  załącznika w odniesieniu do kompleksowej </w:t>
      </w:r>
      <w:r w:rsidRPr="00BF5BEB">
        <w:rPr>
          <w:rFonts w:ascii="Arial" w:hAnsi="Arial" w:cs="Arial"/>
          <w:b/>
          <w:sz w:val="20"/>
          <w:szCs w:val="20"/>
        </w:rPr>
        <w:t>sieci TEN-T najpóźniej do dnia 1 grudnia 2020 r.;</w:t>
      </w:r>
    </w:p>
    <w:p w:rsidR="00520854" w:rsidRPr="00BF5BEB" w:rsidRDefault="00520854" w:rsidP="00520854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BF5BEB">
        <w:rPr>
          <w:rFonts w:ascii="Arial" w:hAnsi="Arial" w:cs="Arial"/>
          <w:sz w:val="20"/>
          <w:szCs w:val="20"/>
        </w:rPr>
        <w:t xml:space="preserve">c) w przypadku danych dotyczących podróży i ruchu  określonych w </w:t>
      </w:r>
      <w:proofErr w:type="spellStart"/>
      <w:r w:rsidRPr="00BF5BEB">
        <w:rPr>
          <w:rFonts w:ascii="Arial" w:hAnsi="Arial" w:cs="Arial"/>
          <w:b/>
          <w:sz w:val="20"/>
          <w:szCs w:val="20"/>
        </w:rPr>
        <w:t>ppkt</w:t>
      </w:r>
      <w:proofErr w:type="spellEnd"/>
      <w:r w:rsidRPr="00BF5BEB">
        <w:rPr>
          <w:rFonts w:ascii="Arial" w:hAnsi="Arial" w:cs="Arial"/>
          <w:b/>
          <w:sz w:val="20"/>
          <w:szCs w:val="20"/>
        </w:rPr>
        <w:t xml:space="preserve">  1.3</w:t>
      </w:r>
      <w:r w:rsidRPr="00BF5BEB">
        <w:rPr>
          <w:rFonts w:ascii="Arial" w:hAnsi="Arial" w:cs="Arial"/>
          <w:sz w:val="20"/>
          <w:szCs w:val="20"/>
        </w:rPr>
        <w:t xml:space="preserve"> załącznika w odniesieniu do kompleksowej </w:t>
      </w:r>
      <w:r w:rsidRPr="00BF5BEB">
        <w:rPr>
          <w:rFonts w:ascii="Arial" w:hAnsi="Arial" w:cs="Arial"/>
          <w:b/>
          <w:sz w:val="20"/>
          <w:szCs w:val="20"/>
        </w:rPr>
        <w:t>sieci TEN-T najpóźniej do dnia 1 grudnia 2021 r.</w:t>
      </w:r>
      <w:r w:rsidRPr="00BF5BEB">
        <w:rPr>
          <w:rFonts w:ascii="Arial" w:hAnsi="Arial" w:cs="Arial"/>
          <w:sz w:val="20"/>
          <w:szCs w:val="20"/>
        </w:rPr>
        <w:t xml:space="preserve">; </w:t>
      </w:r>
    </w:p>
    <w:p w:rsidR="00520854" w:rsidRPr="00BF5BEB" w:rsidRDefault="00520854" w:rsidP="00520854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BF5BEB">
        <w:rPr>
          <w:rFonts w:ascii="Arial" w:hAnsi="Arial" w:cs="Arial"/>
          <w:sz w:val="20"/>
          <w:szCs w:val="20"/>
        </w:rPr>
        <w:t xml:space="preserve">d) w przypadku danych dotyczących podróży i ruchu określonych </w:t>
      </w:r>
      <w:r w:rsidRPr="00BF5BEB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Pr="00BF5BEB">
        <w:rPr>
          <w:rFonts w:ascii="Arial" w:hAnsi="Arial" w:cs="Arial"/>
          <w:b/>
          <w:sz w:val="20"/>
          <w:szCs w:val="20"/>
        </w:rPr>
        <w:t>ppkt</w:t>
      </w:r>
      <w:proofErr w:type="spellEnd"/>
      <w:r w:rsidRPr="00BF5BEB">
        <w:rPr>
          <w:rFonts w:ascii="Arial" w:hAnsi="Arial" w:cs="Arial"/>
          <w:b/>
          <w:sz w:val="20"/>
          <w:szCs w:val="20"/>
        </w:rPr>
        <w:t xml:space="preserve"> 1.1, 1.2 i 1.3</w:t>
      </w:r>
      <w:r w:rsidRPr="00BF5BEB">
        <w:rPr>
          <w:rFonts w:ascii="Arial" w:hAnsi="Arial" w:cs="Arial"/>
          <w:sz w:val="20"/>
          <w:szCs w:val="20"/>
        </w:rPr>
        <w:t xml:space="preserve"> załącznika w odniesieniu do innych części unijnej sieci transportowej najpóźniej </w:t>
      </w:r>
      <w:r w:rsidRPr="00BF5BEB">
        <w:rPr>
          <w:rFonts w:ascii="Arial" w:hAnsi="Arial" w:cs="Arial"/>
          <w:b/>
          <w:sz w:val="20"/>
          <w:szCs w:val="20"/>
        </w:rPr>
        <w:t>do dnia 1 grudnia 2023 r.</w:t>
      </w:r>
      <w:r w:rsidRPr="00BF5BEB">
        <w:rPr>
          <w:rFonts w:ascii="Arial" w:hAnsi="Arial" w:cs="Arial"/>
          <w:sz w:val="20"/>
          <w:szCs w:val="20"/>
        </w:rPr>
        <w:t>”</w:t>
      </w:r>
    </w:p>
    <w:p w:rsidR="00520854" w:rsidRPr="00BF5BEB" w:rsidRDefault="00520854" w:rsidP="00520854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</w:p>
    <w:p w:rsidR="00520854" w:rsidRPr="00BF5BEB" w:rsidRDefault="00520854" w:rsidP="00520854">
      <w:pPr>
        <w:rPr>
          <w:rFonts w:ascii="Arial" w:hAnsi="Arial" w:cs="Arial"/>
          <w:b/>
          <w:sz w:val="20"/>
          <w:szCs w:val="20"/>
          <w:u w:val="single"/>
        </w:rPr>
      </w:pPr>
      <w:r w:rsidRPr="00BF5BEB">
        <w:rPr>
          <w:rFonts w:ascii="Arial" w:hAnsi="Arial" w:cs="Arial"/>
          <w:b/>
          <w:sz w:val="20"/>
          <w:szCs w:val="20"/>
          <w:u w:val="single"/>
        </w:rPr>
        <w:t>Dane statyczne z załącznika do Rozporządzenia 2017/1926</w:t>
      </w:r>
    </w:p>
    <w:p w:rsidR="00520854" w:rsidRPr="00BF5BEB" w:rsidRDefault="00520854" w:rsidP="00520854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 xml:space="preserve">„Statyczne dane dotyczące podróży </w:t>
      </w:r>
    </w:p>
    <w:p w:rsidR="00520854" w:rsidRPr="00BF5BEB" w:rsidRDefault="00520854" w:rsidP="00520854">
      <w:pPr>
        <w:spacing w:after="0" w:line="240" w:lineRule="auto"/>
        <w:rPr>
          <w:rFonts w:ascii="Arial" w:hAnsi="Arial" w:cs="Arial"/>
          <w:b/>
          <w:sz w:val="20"/>
          <w:szCs w:val="20"/>
          <w:lang w:eastAsia="pl-PL"/>
        </w:rPr>
      </w:pPr>
      <w:r w:rsidRPr="00BF5BEB">
        <w:rPr>
          <w:rFonts w:ascii="Arial" w:hAnsi="Arial" w:cs="Arial"/>
          <w:b/>
          <w:sz w:val="20"/>
          <w:szCs w:val="20"/>
          <w:lang w:eastAsia="pl-PL"/>
        </w:rPr>
        <w:t xml:space="preserve">1.1.   Poziom usługi 1 </w:t>
      </w:r>
    </w:p>
    <w:p w:rsidR="00520854" w:rsidRPr="00BF5BEB" w:rsidRDefault="00520854" w:rsidP="00520854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>a)</w:t>
      </w:r>
      <w:r w:rsidRPr="00BF5BEB">
        <w:rPr>
          <w:rFonts w:ascii="Arial" w:hAnsi="Arial" w:cs="Arial"/>
          <w:sz w:val="20"/>
          <w:szCs w:val="20"/>
          <w:lang w:eastAsia="pl-PL"/>
        </w:rPr>
        <w:tab/>
        <w:t>Wyszukiwanie konkretnej lokalizacji (początek i koniec trasy):</w:t>
      </w:r>
    </w:p>
    <w:p w:rsidR="00520854" w:rsidRPr="00BF5BEB" w:rsidRDefault="00520854" w:rsidP="00520854">
      <w:pPr>
        <w:spacing w:after="0" w:line="240" w:lineRule="auto"/>
        <w:ind w:left="1134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>(i) Adres (numer budynku, nazwa ulicy, kod pocztowy)</w:t>
      </w:r>
    </w:p>
    <w:p w:rsidR="00520854" w:rsidRPr="00BF5BEB" w:rsidRDefault="00520854" w:rsidP="00520854">
      <w:pPr>
        <w:spacing w:after="0" w:line="240" w:lineRule="auto"/>
        <w:ind w:left="1134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>(ii) Dane topograficzne (miasto, miejscowość, wieś, dzielnica, jednostka administracyjna)</w:t>
      </w:r>
    </w:p>
    <w:p w:rsidR="00520854" w:rsidRPr="00BF5BEB" w:rsidRDefault="00520854" w:rsidP="00520854">
      <w:pPr>
        <w:spacing w:after="0" w:line="240" w:lineRule="auto"/>
        <w:ind w:left="1134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>(iii) Interesujące miejsca (związane z informacjami nt. transportu) – które mogą być dla użytkowników celem podróży</w:t>
      </w:r>
    </w:p>
    <w:p w:rsidR="00520854" w:rsidRPr="00BF5BEB" w:rsidRDefault="00520854" w:rsidP="00520854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>b)</w:t>
      </w:r>
      <w:r w:rsidRPr="00BF5BEB">
        <w:rPr>
          <w:rFonts w:ascii="Arial" w:hAnsi="Arial" w:cs="Arial"/>
          <w:sz w:val="20"/>
          <w:szCs w:val="20"/>
          <w:lang w:eastAsia="pl-PL"/>
        </w:rPr>
        <w:tab/>
        <w:t xml:space="preserve">Plany podróży: </w:t>
      </w:r>
    </w:p>
    <w:p w:rsidR="00520854" w:rsidRPr="00BF5BEB" w:rsidRDefault="00520854" w:rsidP="00520854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F5BEB">
        <w:rPr>
          <w:rFonts w:ascii="Arial" w:hAnsi="Arial" w:cs="Arial"/>
          <w:sz w:val="20"/>
          <w:szCs w:val="20"/>
          <w:lang w:eastAsia="pl-PL"/>
        </w:rPr>
        <w:t>Kalendarz operacyjny, w którym kategorie dni są przypisane do dni kalendarzowych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c)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Wyszukiwanie lokalizacji (węzły dostępu):</w:t>
      </w:r>
    </w:p>
    <w:p w:rsidR="00520854" w:rsidRPr="00BF5BEB" w:rsidRDefault="00520854" w:rsidP="00520854">
      <w:pPr>
        <w:tabs>
          <w:tab w:val="left" w:pos="265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Zidentyfikowane węzły dostępu (wszystkie rodzaje przewozów regularnych)</w:t>
      </w:r>
    </w:p>
    <w:p w:rsidR="00520854" w:rsidRPr="00BF5BEB" w:rsidRDefault="00520854" w:rsidP="00520854">
      <w:pPr>
        <w:tabs>
          <w:tab w:val="left" w:pos="299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Geometria/struktura mapy węzłów dostępu (wszystkie rodzaje przewozów regularnych)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d)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Obliczanie planu podróży – przewozy regularne:</w:t>
      </w:r>
    </w:p>
    <w:p w:rsidR="00520854" w:rsidRPr="00BF5BEB" w:rsidRDefault="00520854" w:rsidP="00520854">
      <w:pPr>
        <w:tabs>
          <w:tab w:val="left" w:pos="243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Połączenia w węzłach transportowych, domyślny czas na zmianę rodzaju transportu</w:t>
      </w:r>
    </w:p>
    <w:p w:rsidR="00520854" w:rsidRPr="00BF5BEB" w:rsidRDefault="00520854" w:rsidP="00520854">
      <w:pPr>
        <w:tabs>
          <w:tab w:val="left" w:pos="602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Topologia sieci i podróży/linii (topologia)</w:t>
      </w:r>
    </w:p>
    <w:p w:rsidR="00520854" w:rsidRPr="00BF5BEB" w:rsidRDefault="00520854" w:rsidP="00520854">
      <w:pPr>
        <w:tabs>
          <w:tab w:val="left" w:pos="1996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(iii) Przewoźnicy</w:t>
      </w:r>
    </w:p>
    <w:p w:rsidR="00520854" w:rsidRPr="00BF5BEB" w:rsidRDefault="00520854" w:rsidP="00520854">
      <w:pPr>
        <w:tabs>
          <w:tab w:val="left" w:pos="166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(iv) Rozkłady jazdy</w:t>
      </w:r>
    </w:p>
    <w:p w:rsidR="00520854" w:rsidRPr="00BF5BEB" w:rsidRDefault="00520854" w:rsidP="00520854">
      <w:pPr>
        <w:tabs>
          <w:tab w:val="left" w:pos="303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(v) Planowane przejścia z jednej gwarantowanej usługi przewozu regularnego na inną</w:t>
      </w:r>
    </w:p>
    <w:p w:rsidR="00520854" w:rsidRPr="00BF5BEB" w:rsidRDefault="00520854" w:rsidP="00520854">
      <w:pPr>
        <w:tabs>
          <w:tab w:val="left" w:pos="110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(vi)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Godziny funkcjonowania</w:t>
      </w:r>
    </w:p>
    <w:p w:rsidR="00520854" w:rsidRPr="00BF5BEB" w:rsidRDefault="00520854" w:rsidP="00520854">
      <w:pPr>
        <w:tabs>
          <w:tab w:val="left" w:pos="414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(vii) Udogodnienia w węzłach dostępu (w tym informacje na peronie, punkty informacyjne, kasy biletowe, windy/schody, wejścia i wyjścia)</w:t>
      </w:r>
    </w:p>
    <w:p w:rsidR="00520854" w:rsidRPr="00BF5BEB" w:rsidRDefault="00520854" w:rsidP="00520854">
      <w:pPr>
        <w:tabs>
          <w:tab w:val="left" w:pos="626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(viii) Pojazdy (niskopodłogowe; z dostępem dla wózków inwalidzkich)</w:t>
      </w:r>
    </w:p>
    <w:p w:rsidR="00520854" w:rsidRPr="00BF5BEB" w:rsidRDefault="00520854" w:rsidP="00520854">
      <w:pPr>
        <w:tabs>
          <w:tab w:val="left" w:pos="34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(ix) Dostępność węzłów dostępu oraz ścieżek transportowych w węzłach transportowych (windy, schody ruchome)</w:t>
      </w:r>
    </w:p>
    <w:p w:rsidR="00520854" w:rsidRPr="00BF5BEB" w:rsidRDefault="00520854" w:rsidP="00520854">
      <w:pPr>
        <w:tabs>
          <w:tab w:val="left" w:pos="470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(x) Dostępność służb pomocowych (pomoc na miejscu)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e)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Obliczanie planu podróży – transport drogowy (transport osobisty):</w:t>
      </w:r>
    </w:p>
    <w:p w:rsidR="00520854" w:rsidRPr="00BF5BEB" w:rsidRDefault="00520854" w:rsidP="00520854">
      <w:pPr>
        <w:tabs>
          <w:tab w:val="left" w:pos="1310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lastRenderedPageBreak/>
        <w:t>(i) Sieć drogowa</w:t>
      </w:r>
    </w:p>
    <w:p w:rsidR="00520854" w:rsidRPr="00BF5BEB" w:rsidRDefault="00520854" w:rsidP="00520854">
      <w:pPr>
        <w:tabs>
          <w:tab w:val="left" w:pos="294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Sieć ścieżek rowerowych (osobne ścieżki rowerowe, wspólne ścieżki na drodze dla pojazdów, wspólne ścieżki na chodniku)</w:t>
      </w:r>
    </w:p>
    <w:p w:rsidR="00520854" w:rsidRPr="00BF5BEB" w:rsidRDefault="00520854" w:rsidP="00520854">
      <w:pPr>
        <w:tabs>
          <w:tab w:val="left" w:pos="91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(iii) Sieć chodników i dostęp do nich</w:t>
      </w:r>
    </w:p>
    <w:p w:rsidR="00520854" w:rsidRPr="00BF5BEB" w:rsidRDefault="00520854" w:rsidP="00520854">
      <w:pPr>
        <w:tabs>
          <w:tab w:val="left" w:pos="187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1.2.   Poziom usługi 2 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a)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Wyszukiwanie lokalizacji (transport na żądanie):</w:t>
      </w:r>
    </w:p>
    <w:p w:rsidR="00520854" w:rsidRPr="00BF5BEB" w:rsidRDefault="00520854" w:rsidP="00520854">
      <w:pPr>
        <w:tabs>
          <w:tab w:val="left" w:pos="84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Punkty „parkuj i jedź”</w:t>
      </w:r>
    </w:p>
    <w:p w:rsidR="00520854" w:rsidRPr="00BF5BEB" w:rsidRDefault="00520854" w:rsidP="00520854">
      <w:pPr>
        <w:tabs>
          <w:tab w:val="left" w:pos="1375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Stacje rowerowe</w:t>
      </w:r>
    </w:p>
    <w:p w:rsidR="00520854" w:rsidRPr="00BF5BEB" w:rsidRDefault="00520854" w:rsidP="00520854">
      <w:pPr>
        <w:tabs>
          <w:tab w:val="left" w:pos="1505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 xml:space="preserve">(iii) Stacje </w:t>
      </w:r>
      <w:proofErr w:type="spellStart"/>
      <w:r w:rsidRPr="00BF5BEB">
        <w:rPr>
          <w:rFonts w:ascii="Arial" w:eastAsia="Times New Roman" w:hAnsi="Arial" w:cs="Arial"/>
          <w:sz w:val="20"/>
          <w:szCs w:val="20"/>
          <w:lang w:eastAsia="pl-PL"/>
        </w:rPr>
        <w:t>carsharingu</w:t>
      </w:r>
      <w:proofErr w:type="spellEnd"/>
    </w:p>
    <w:p w:rsidR="00520854" w:rsidRPr="00BF5BEB" w:rsidRDefault="00520854" w:rsidP="00520854">
      <w:pPr>
        <w:tabs>
          <w:tab w:val="left" w:pos="34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(iv) Ogólnodostępne stacje, na których można naładować pojazdy elektryczne, oraz punkty tankowania dla pojazdów napędzanych CNG/LNG, wodorem, benzyną i olejem napędowym</w:t>
      </w:r>
    </w:p>
    <w:p w:rsidR="00520854" w:rsidRPr="00BF5BEB" w:rsidRDefault="00520854" w:rsidP="00520854">
      <w:pPr>
        <w:tabs>
          <w:tab w:val="left" w:pos="348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(v) Zabezpieczone miejsca do parkowania rowerów (np. zamknięte garaże)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b)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Usługi informacyjne:</w:t>
      </w:r>
    </w:p>
    <w:p w:rsidR="00520854" w:rsidRPr="00BF5BEB" w:rsidRDefault="00520854" w:rsidP="00520854">
      <w:pPr>
        <w:tabs>
          <w:tab w:val="left" w:pos="20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Gdzie i jak kupić bilety na transport oparty na rozkładzie jazdy, transport na żądanie i bilety do parkowania samochodu (wszystkie przewozy oparte na rozkładzie jazdy i na żądanie, w tym sieci dystrybucji detalicznej, metody wypełniania, sposoby zapłaty)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c)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Plany podróży, informacje dodatkowe, sprawdzanie dostępności:</w:t>
      </w:r>
    </w:p>
    <w:p w:rsidR="00520854" w:rsidRPr="00BF5BEB" w:rsidRDefault="00520854" w:rsidP="00520854">
      <w:pPr>
        <w:spacing w:after="0" w:line="240" w:lineRule="auto"/>
        <w:ind w:left="1276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Podstawowe wspólne taryfy standardowe (wszystkie rodzaje przewozów regularnych)</w:t>
      </w:r>
    </w:p>
    <w:p w:rsidR="00520854" w:rsidRPr="00BF5BEB" w:rsidRDefault="00520854" w:rsidP="00520854">
      <w:pPr>
        <w:pStyle w:val="Akapitzlist"/>
        <w:numPr>
          <w:ilvl w:val="0"/>
          <w:numId w:val="1"/>
        </w:numPr>
        <w:tabs>
          <w:tab w:val="left" w:pos="292"/>
        </w:tabs>
        <w:spacing w:after="0" w:line="240" w:lineRule="auto"/>
        <w:ind w:left="1276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Dane sieci związane z taryfami (strefy taryf/przystanki i poziomy taryf)</w:t>
      </w:r>
    </w:p>
    <w:p w:rsidR="00520854" w:rsidRPr="00BF5BEB" w:rsidRDefault="00520854" w:rsidP="00520854">
      <w:pPr>
        <w:pStyle w:val="Akapitzlist"/>
        <w:numPr>
          <w:ilvl w:val="0"/>
          <w:numId w:val="1"/>
        </w:numPr>
        <w:tabs>
          <w:tab w:val="left" w:pos="240"/>
        </w:tabs>
        <w:spacing w:after="0" w:line="240" w:lineRule="auto"/>
        <w:ind w:left="1276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Standardowa struktura taryf (połączenia tras, w tym taryfy dzienne, tygodniowe, strefowe i ryczałtowe)</w:t>
      </w:r>
    </w:p>
    <w:p w:rsidR="00520854" w:rsidRPr="00BF5BEB" w:rsidRDefault="00520854" w:rsidP="00520854">
      <w:pPr>
        <w:tabs>
          <w:tab w:val="left" w:pos="440"/>
        </w:tabs>
        <w:spacing w:after="0" w:line="240" w:lineRule="auto"/>
        <w:ind w:left="1276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Wyposażenie, takie jak klasy wagonów, wifi na pokładzie.</w:t>
      </w:r>
    </w:p>
    <w:p w:rsidR="00520854" w:rsidRPr="00BF5BEB" w:rsidRDefault="00520854" w:rsidP="00520854">
      <w:pPr>
        <w:tabs>
          <w:tab w:val="left" w:pos="187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1.3.   Poziom usługi 3 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a)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Zapytania dotyczące szczegółowych wspólnych taryf standardowych i specjalnych (wszystkie rodzaje przewozów opartych na rozkładzie jazdy):</w:t>
      </w:r>
    </w:p>
    <w:p w:rsidR="00520854" w:rsidRPr="00BF5BEB" w:rsidRDefault="00520854" w:rsidP="00520854">
      <w:pPr>
        <w:tabs>
          <w:tab w:val="left" w:pos="22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Kategorie pasażerów (dorośli, dzieci, studenci, osoby starsze, osoby niepełnosprawne i o ograniczonej sprawności ruchowej oraz warunki związane z tymi kategoriami i klasy pojazdów, takie jak pierwsza lub druga klasa)</w:t>
      </w:r>
    </w:p>
    <w:p w:rsidR="00520854" w:rsidRPr="00BF5BEB" w:rsidRDefault="00520854" w:rsidP="00520854">
      <w:pPr>
        <w:tabs>
          <w:tab w:val="left" w:pos="294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Cechy wspólne biletów (prawa dostępu, takie jak strefowe/liniowe, w tym dzienne i tygodniowe bilety w jedną stronę lub powrotne, uprawnienia do dostępu, podstawowe warunki użytkowania, takie jak okres ważności/przewoźnik/czas podróży/przesiadki, standardowe taryfy dla różnych połączeń liniowych, w tym taryfy dzienne i tygodniowe/taryfy strefowe/taryfy ryczałtowe</w:t>
      </w:r>
    </w:p>
    <w:p w:rsidR="00520854" w:rsidRPr="00BF5BEB" w:rsidRDefault="00520854" w:rsidP="00520854">
      <w:pPr>
        <w:tabs>
          <w:tab w:val="left" w:pos="360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(iii) Bilety specjalne: oferujące dodatkowe warunki specjalne, takie jak taryfy promocyjne, grupowe, bilety sezonowe, produkty połączone zawierające w sobie więcej elementów oraz produkty dodatkowe, takie jak parking i podróż, minimalny pobyt</w:t>
      </w:r>
    </w:p>
    <w:p w:rsidR="00520854" w:rsidRPr="00BF5BEB" w:rsidRDefault="00520854" w:rsidP="00520854">
      <w:pPr>
        <w:tabs>
          <w:tab w:val="left" w:pos="34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(iv)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Podstawowe warunki handlowe, takie jak zwrot kosztów/zamiana/wymiana/transfer i podstawowe warunki rezerwacji, jak czas sprzedaży, okresy ważności, ograniczenia wyznaczania trasy, sekwencja stref taryfowych, minimalny czas pobytu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b)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Usługi informacyjne (wszystkie rodzaje transportu):</w:t>
      </w:r>
    </w:p>
    <w:p w:rsidR="00520854" w:rsidRPr="00BF5BEB" w:rsidRDefault="00520854" w:rsidP="00520854">
      <w:pPr>
        <w:tabs>
          <w:tab w:val="left" w:pos="22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Jak uiszczać opłaty drogowe (w tym sieci dystrybucji detalicznej, metody wypełniania, sposoby zapłaty)</w:t>
      </w:r>
    </w:p>
    <w:p w:rsidR="00520854" w:rsidRPr="00BF5BEB" w:rsidRDefault="00520854" w:rsidP="00520854">
      <w:pPr>
        <w:tabs>
          <w:tab w:val="left" w:pos="294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Jak rezerwować samochody, taksówki, rowery itp. (w tym sieci dystrybucji detalicznej, metody wypełniania, sposoby zapłaty)</w:t>
      </w:r>
    </w:p>
    <w:p w:rsidR="00520854" w:rsidRPr="00BF5BEB" w:rsidRDefault="00520854" w:rsidP="00520854">
      <w:pPr>
        <w:tabs>
          <w:tab w:val="left" w:pos="360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(iii) Gdzie płacić za parkowanie samochodu, ogólnodostępne stacje, na których można naładować pojazdy elektryczne, oraz punkty tankowania dla pojazdów napędzanych CNG/LNG, wodorem, benzyną i olejem napędowym (w tym sieci dystrybucji detalicznej, metody wypełniania, sposoby zapłaty)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c)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Plany podróży:</w:t>
      </w:r>
    </w:p>
    <w:p w:rsidR="00520854" w:rsidRPr="00BF5BEB" w:rsidRDefault="00520854" w:rsidP="00520854">
      <w:pPr>
        <w:tabs>
          <w:tab w:val="left" w:pos="22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(i) Szczegółowe cechy sieci rowerowej (jakość nawierzchni, możliwość jazdy obok siebie, powierzchnia dzielona, na drodze/poza drogą, trasa krajobrazowa, trasa tylko dla pieszych, ograniczenia skręcania lub dostępu (np. pod prąd)</w:t>
      </w:r>
    </w:p>
    <w:p w:rsidR="00520854" w:rsidRPr="00BF5BEB" w:rsidRDefault="00520854" w:rsidP="00520854">
      <w:pPr>
        <w:tabs>
          <w:tab w:val="left" w:pos="227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(ii) Parametry potrzebne do obliczenia czynników związanych ze środowiskiem, takich jak wielkość emisji rodzaju pojazdu, na jednego pasażera na kilometr lub na trasę pieszo</w:t>
      </w:r>
    </w:p>
    <w:p w:rsidR="00520854" w:rsidRPr="00BF5BEB" w:rsidRDefault="00520854" w:rsidP="00520854">
      <w:pPr>
        <w:tabs>
          <w:tab w:val="left" w:pos="464"/>
        </w:tabs>
        <w:spacing w:after="0" w:line="240" w:lineRule="auto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(iii) Parametry takie jak zużycie paliwa potrzebne do kalkulacji kosztów</w:t>
      </w:r>
    </w:p>
    <w:p w:rsidR="00520854" w:rsidRPr="00BF5BEB" w:rsidRDefault="00520854" w:rsidP="005208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lastRenderedPageBreak/>
        <w:t>d)</w:t>
      </w:r>
      <w:r w:rsidRPr="00BF5BEB">
        <w:rPr>
          <w:rFonts w:ascii="Arial" w:eastAsia="Times New Roman" w:hAnsi="Arial" w:cs="Arial"/>
          <w:sz w:val="20"/>
          <w:szCs w:val="20"/>
          <w:lang w:eastAsia="pl-PL"/>
        </w:rPr>
        <w:tab/>
        <w:t>Obliczanie planu podróży:</w:t>
      </w:r>
    </w:p>
    <w:p w:rsidR="00520854" w:rsidRPr="00BF5BEB" w:rsidRDefault="00520854" w:rsidP="00520854">
      <w:pPr>
        <w:tabs>
          <w:tab w:val="left" w:pos="20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5BEB">
        <w:rPr>
          <w:rFonts w:ascii="Arial" w:eastAsia="Times New Roman" w:hAnsi="Arial" w:cs="Arial"/>
          <w:sz w:val="20"/>
          <w:szCs w:val="20"/>
          <w:lang w:eastAsia="pl-PL"/>
        </w:rPr>
        <w:t>Szacowany czas podróży według rodzaju dnia i przedział czasowy według rodzaju transportu/kombinacji rodzajów transportu”</w:t>
      </w:r>
    </w:p>
    <w:p w:rsidR="00520854" w:rsidRDefault="00520854"/>
    <w:sectPr w:rsidR="005208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006" w:rsidRDefault="00907006" w:rsidP="008E64E1">
      <w:pPr>
        <w:spacing w:after="0" w:line="240" w:lineRule="auto"/>
      </w:pPr>
      <w:r>
        <w:separator/>
      </w:r>
    </w:p>
  </w:endnote>
  <w:endnote w:type="continuationSeparator" w:id="0">
    <w:p w:rsidR="00907006" w:rsidRDefault="00907006" w:rsidP="008E6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8F" w:rsidRDefault="00DA588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8F" w:rsidRDefault="00DA588F">
    <w:pPr>
      <w:pStyle w:val="Stopka"/>
    </w:pPr>
    <w:r>
      <w:rPr>
        <w:noProof/>
        <w:lang w:eastAsia="pl-PL"/>
      </w:rPr>
      <w:drawing>
        <wp:inline distT="0" distB="0" distL="0" distR="0">
          <wp:extent cx="2949934" cy="518104"/>
          <wp:effectExtent l="0" t="0" r="0" b="0"/>
          <wp:docPr id="1" name="Obraz 1" descr="C:\Users\rsafiejko\Desktop\Zdjęcia i logo do raportów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afiejko\Desktop\Zdjęcia i logo do raportów\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005" cy="52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r>
      <w:rPr>
        <w:noProof/>
        <w:lang w:eastAsia="pl-PL"/>
      </w:rPr>
      <w:drawing>
        <wp:inline distT="0" distB="0" distL="0" distR="0">
          <wp:extent cx="2274073" cy="567340"/>
          <wp:effectExtent l="0" t="0" r="0" b="4445"/>
          <wp:docPr id="3" name="Obraz 3" descr="C:\Users\rsafiejko\Desktop\Zdjęcia i logo do raportów\20180413115433LogotypMIp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afiejko\Desktop\Zdjęcia i logo do raportów\20180413115433LogotypMIpi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541" cy="571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8F" w:rsidRDefault="00DA58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006" w:rsidRDefault="00907006" w:rsidP="008E64E1">
      <w:pPr>
        <w:spacing w:after="0" w:line="240" w:lineRule="auto"/>
      </w:pPr>
      <w:r>
        <w:separator/>
      </w:r>
    </w:p>
  </w:footnote>
  <w:footnote w:type="continuationSeparator" w:id="0">
    <w:p w:rsidR="00907006" w:rsidRDefault="00907006" w:rsidP="008E64E1">
      <w:pPr>
        <w:spacing w:after="0" w:line="240" w:lineRule="auto"/>
      </w:pPr>
      <w:r>
        <w:continuationSeparator/>
      </w:r>
    </w:p>
  </w:footnote>
  <w:footnote w:id="1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organ publiczny odpowiedzialny za zarządzanie ruchem lub jego planowanie, kontrolę nad określoną siecią transportową lub środkami transportu lub zarządzanie nimi, lub za jedno i drugie, wchodzące w zakres jego właściwości terytorialnej</w:t>
      </w:r>
    </w:p>
  </w:footnote>
  <w:footnote w:id="2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jakikolwiek podmiot publiczny, prywatny lub przedsiębiorstwo, które odpowiada w szczególności za ustanowienie i utrzymywanie infrastruktury transportowej lub jej części</w:t>
      </w:r>
    </w:p>
  </w:footnote>
  <w:footnote w:id="3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dowolny podmiot publiczny lub prywatny, który jest odpowiedzialny za wykonywanie usługi transportu i zarządzanie nią</w:t>
      </w:r>
    </w:p>
  </w:footnote>
  <w:footnote w:id="4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dowolny podmiot publiczny lub prywatny świadczący usługi transportu na żądanie na rzecz użytkowników i użytkowników końcowych, który również udziela informacji o podróży i o ruchu</w:t>
      </w:r>
    </w:p>
  </w:footnote>
  <w:footnote w:id="5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proofErr w:type="spellStart"/>
      <w:r w:rsidRPr="00BF5BEB">
        <w:rPr>
          <w:rFonts w:ascii="Arial" w:hAnsi="Arial" w:cs="Arial"/>
          <w:sz w:val="16"/>
          <w:szCs w:val="16"/>
        </w:rPr>
        <w:t>Netex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 – standard techniczny Europejskiego Komitetu Normalizacyjnego, (dalej: „CEN”), polegający na wymianie informacji na temat obowiązujących rozkładów jazdy w ramach transportu publicznego i innych powiązanych danych. Więcej informacji o standardzie na stronie: http://netex-cen.eu/.</w:t>
      </w:r>
    </w:p>
  </w:footnote>
  <w:footnote w:id="6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europejski standard definiujący protokół wymiany informacji w komunikacji czasie rzeczywistym</w:t>
      </w:r>
    </w:p>
  </w:footnote>
  <w:footnote w:id="7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europejski standard opisujący dane i protokoły ich wymiany dla informacji drogowych zorientowany na centra zarządzania ruchem.</w:t>
      </w:r>
    </w:p>
  </w:footnote>
  <w:footnote w:id="8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XLS – rozszerzenie (i zarazem potoczne określenie formatu) pliku tworzonego przez arkusz kalkulacyjny Microsoft Excel..</w:t>
      </w:r>
    </w:p>
  </w:footnote>
  <w:footnote w:id="9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F5BEB">
        <w:rPr>
          <w:rFonts w:ascii="Arial" w:hAnsi="Arial" w:cs="Arial"/>
          <w:sz w:val="16"/>
          <w:szCs w:val="16"/>
        </w:rPr>
        <w:t>comma-separated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F5BEB">
        <w:rPr>
          <w:rFonts w:ascii="Arial" w:hAnsi="Arial" w:cs="Arial"/>
          <w:sz w:val="16"/>
          <w:szCs w:val="16"/>
        </w:rPr>
        <w:t>values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– (wartości rozdzielone przecinkami) format pliku tekstowego</w:t>
      </w:r>
    </w:p>
  </w:footnote>
  <w:footnote w:id="10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proofErr w:type="spellStart"/>
      <w:r w:rsidRPr="00BF5BEB">
        <w:rPr>
          <w:rFonts w:ascii="Arial" w:hAnsi="Arial" w:cs="Arial"/>
          <w:sz w:val="16"/>
          <w:szCs w:val="16"/>
        </w:rPr>
        <w:t>Extensible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F5BEB">
        <w:rPr>
          <w:rFonts w:ascii="Arial" w:hAnsi="Arial" w:cs="Arial"/>
          <w:sz w:val="16"/>
          <w:szCs w:val="16"/>
        </w:rPr>
        <w:t>Markup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Language – uniwersalny język znaczników przeznaczony do reprezentowania różnych danych w strukturalizowany sposób.</w:t>
      </w:r>
    </w:p>
  </w:footnote>
  <w:footnote w:id="11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  <w:lang w:val="en-US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  <w:lang w:val="en-US"/>
        </w:rPr>
        <w:t xml:space="preserve">General Transit Feed Specification, </w:t>
      </w:r>
      <w:proofErr w:type="spellStart"/>
      <w:r w:rsidRPr="00BF5BEB">
        <w:rPr>
          <w:rFonts w:ascii="Arial" w:hAnsi="Arial" w:cs="Arial"/>
          <w:sz w:val="16"/>
          <w:szCs w:val="16"/>
          <w:lang w:val="en-US"/>
        </w:rPr>
        <w:t>dawniej</w:t>
      </w:r>
      <w:proofErr w:type="spellEnd"/>
      <w:r w:rsidRPr="00BF5BEB">
        <w:rPr>
          <w:rFonts w:ascii="Arial" w:hAnsi="Arial" w:cs="Arial"/>
          <w:sz w:val="16"/>
          <w:szCs w:val="16"/>
          <w:lang w:val="en-US"/>
        </w:rPr>
        <w:t xml:space="preserve"> Google Transit Feed Specification.</w:t>
      </w:r>
    </w:p>
  </w:footnote>
  <w:footnote w:id="12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proofErr w:type="spellStart"/>
      <w:r w:rsidRPr="00BF5BEB">
        <w:rPr>
          <w:rFonts w:ascii="Arial" w:hAnsi="Arial" w:cs="Arial"/>
          <w:sz w:val="16"/>
          <w:szCs w:val="16"/>
        </w:rPr>
        <w:t>HyperText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F5BEB">
        <w:rPr>
          <w:rFonts w:ascii="Arial" w:hAnsi="Arial" w:cs="Arial"/>
          <w:sz w:val="16"/>
          <w:szCs w:val="16"/>
        </w:rPr>
        <w:t>Markup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Language – hipertekstowy język znaczników, wykorzystywany do tworzenia dokumentów hipertekstowych.</w:t>
      </w:r>
    </w:p>
  </w:footnote>
  <w:footnote w:id="13">
    <w:p w:rsidR="008E64E1" w:rsidRPr="00BF5BEB" w:rsidRDefault="008E64E1" w:rsidP="008E64E1">
      <w:pPr>
        <w:pStyle w:val="Tekstprzypisudolnego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 xml:space="preserve">JavaScript Object </w:t>
      </w:r>
      <w:proofErr w:type="spellStart"/>
      <w:r w:rsidRPr="00BF5BEB">
        <w:rPr>
          <w:rFonts w:ascii="Arial" w:hAnsi="Arial" w:cs="Arial"/>
          <w:sz w:val="16"/>
          <w:szCs w:val="16"/>
        </w:rPr>
        <w:t>Notation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– lekki, tekstowy format wymiany danych komputerowych.</w:t>
      </w:r>
    </w:p>
  </w:footnote>
  <w:footnote w:id="14">
    <w:p w:rsidR="008E64E1" w:rsidRPr="00BF5BEB" w:rsidRDefault="008E64E1" w:rsidP="008E64E1">
      <w:pPr>
        <w:pStyle w:val="Tekstprzypisudolnego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brytyjska norma krajowa danych oparta na XML służąca do wymiany informacji o trasie i  o rozkładzie jazdy autobusów.</w:t>
      </w:r>
    </w:p>
  </w:footnote>
  <w:footnote w:id="15">
    <w:p w:rsidR="008E64E1" w:rsidRPr="00BF5BEB" w:rsidRDefault="008E64E1" w:rsidP="008E64E1">
      <w:pPr>
        <w:pStyle w:val="Tekstprzypisudolnego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pliki bazy danych Microsoft Access stworzonych za pomocą programu Microsoft Access.</w:t>
      </w:r>
    </w:p>
  </w:footnote>
  <w:footnote w:id="16">
    <w:p w:rsidR="008E64E1" w:rsidRPr="00BF5BEB" w:rsidRDefault="008E64E1" w:rsidP="008E64E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>Application Program Interface (</w:t>
      </w:r>
      <w:proofErr w:type="spellStart"/>
      <w:r w:rsidRPr="00BF5BEB">
        <w:rPr>
          <w:rFonts w:ascii="Arial" w:hAnsi="Arial" w:cs="Arial"/>
          <w:sz w:val="16"/>
          <w:szCs w:val="16"/>
        </w:rPr>
        <w:t>pl.interfejsy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programistyczne aplikacji) –określony zestaw reguł i opisów, w jakich programy komputerowe mogą się między sobą komunikować (udostępniać dane).</w:t>
      </w:r>
    </w:p>
  </w:footnote>
  <w:footnote w:id="17">
    <w:p w:rsidR="008E64E1" w:rsidRPr="00BF5BEB" w:rsidRDefault="008E64E1" w:rsidP="008E64E1">
      <w:pPr>
        <w:pStyle w:val="Tekstprzypisudolnego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F5BEB">
        <w:rPr>
          <w:rFonts w:ascii="Arial" w:hAnsi="Arial" w:cs="Arial"/>
          <w:sz w:val="16"/>
          <w:szCs w:val="16"/>
        </w:rPr>
        <w:t xml:space="preserve">File Transfer </w:t>
      </w:r>
      <w:proofErr w:type="spellStart"/>
      <w:r w:rsidRPr="00BF5BEB">
        <w:rPr>
          <w:rFonts w:ascii="Arial" w:hAnsi="Arial" w:cs="Arial"/>
          <w:sz w:val="16"/>
          <w:szCs w:val="16"/>
        </w:rPr>
        <w:t>Protocol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- protokół transmisji plików typu klient – serwer.</w:t>
      </w:r>
    </w:p>
  </w:footnote>
  <w:footnote w:id="18">
    <w:p w:rsidR="008E64E1" w:rsidRPr="00BF5BEB" w:rsidRDefault="008E64E1" w:rsidP="008E64E1">
      <w:pPr>
        <w:pStyle w:val="Tekstprzypisudolnego"/>
        <w:rPr>
          <w:rFonts w:ascii="Arial" w:hAnsi="Arial" w:cs="Arial"/>
          <w:sz w:val="16"/>
          <w:szCs w:val="16"/>
        </w:rPr>
      </w:pPr>
      <w:r w:rsidRPr="00BF5BEB">
        <w:rPr>
          <w:rStyle w:val="Odwoanieprzypisudolnego"/>
          <w:rFonts w:ascii="Arial" w:hAnsi="Arial" w:cs="Arial"/>
          <w:sz w:val="16"/>
          <w:szCs w:val="16"/>
        </w:rPr>
        <w:footnoteRef/>
      </w:r>
      <w:proofErr w:type="spellStart"/>
      <w:r w:rsidRPr="00BF5BEB">
        <w:rPr>
          <w:rFonts w:ascii="Arial" w:hAnsi="Arial" w:cs="Arial"/>
          <w:sz w:val="16"/>
          <w:szCs w:val="16"/>
        </w:rPr>
        <w:t>Hypertext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Transfer </w:t>
      </w:r>
      <w:proofErr w:type="spellStart"/>
      <w:r w:rsidRPr="00BF5BEB">
        <w:rPr>
          <w:rFonts w:ascii="Arial" w:hAnsi="Arial" w:cs="Arial"/>
          <w:sz w:val="16"/>
          <w:szCs w:val="16"/>
        </w:rPr>
        <w:t>Protocol</w:t>
      </w:r>
      <w:proofErr w:type="spellEnd"/>
      <w:r w:rsidRPr="00BF5BEB">
        <w:rPr>
          <w:rFonts w:ascii="Arial" w:hAnsi="Arial" w:cs="Arial"/>
          <w:sz w:val="16"/>
          <w:szCs w:val="16"/>
        </w:rPr>
        <w:t xml:space="preserve"> – protokół przesyłania dokumentów hipertekstowych to protokół sieci WWW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8F" w:rsidRDefault="00DA588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8F" w:rsidRDefault="00DA588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8F" w:rsidRDefault="00DA588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6D014C"/>
    <w:multiLevelType w:val="hybridMultilevel"/>
    <w:tmpl w:val="E486AEFE"/>
    <w:lvl w:ilvl="0" w:tplc="6E369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647"/>
    <w:rsid w:val="00113F40"/>
    <w:rsid w:val="00123A45"/>
    <w:rsid w:val="00141B2B"/>
    <w:rsid w:val="002B44B7"/>
    <w:rsid w:val="0032233B"/>
    <w:rsid w:val="00426939"/>
    <w:rsid w:val="00461F6C"/>
    <w:rsid w:val="00504F75"/>
    <w:rsid w:val="00520854"/>
    <w:rsid w:val="005A0B28"/>
    <w:rsid w:val="008E64E1"/>
    <w:rsid w:val="00907006"/>
    <w:rsid w:val="00A459D1"/>
    <w:rsid w:val="00A83BAA"/>
    <w:rsid w:val="00A86D10"/>
    <w:rsid w:val="00AF2647"/>
    <w:rsid w:val="00C17922"/>
    <w:rsid w:val="00CD7DA6"/>
    <w:rsid w:val="00DA588F"/>
    <w:rsid w:val="00EB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7C10B-592C-46C5-9D0D-6FF720CD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64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E6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E64E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E64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E64E1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8E64E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E64E1"/>
    <w:rPr>
      <w:rFonts w:ascii="Calibri" w:hAnsi="Calibri"/>
      <w:szCs w:val="21"/>
    </w:rPr>
  </w:style>
  <w:style w:type="paragraph" w:styleId="Akapitzlist">
    <w:name w:val="List Paragraph"/>
    <w:basedOn w:val="Normalny"/>
    <w:uiPriority w:val="34"/>
    <w:qFormat/>
    <w:rsid w:val="005208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79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5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588F"/>
  </w:style>
  <w:style w:type="paragraph" w:styleId="Stopka">
    <w:name w:val="footer"/>
    <w:basedOn w:val="Normalny"/>
    <w:link w:val="StopkaZnak"/>
    <w:uiPriority w:val="99"/>
    <w:unhideWhenUsed/>
    <w:rsid w:val="00DA5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5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77"/>
    <w:rsid w:val="00563ED5"/>
    <w:rsid w:val="00EE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0CEDC3B018049C58C74BC0A6FA0BE12">
    <w:name w:val="00CEDC3B018049C58C74BC0A6FA0BE12"/>
    <w:rsid w:val="00EE58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1F9FC-B322-40F0-A5FA-B4C32CDF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1307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Infrastruktury i Budownictwa</Company>
  <LinksUpToDate>false</LinksUpToDate>
  <CharactersWithSpaces>9131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Safiejko Radosław</dc:creator>
  <cp:lastModifiedBy>Safiejko Radosław</cp:lastModifiedBy>
  <cp:revision>3</cp:revision>
  <dcterms:created xsi:type="dcterms:W3CDTF">2019-08-28T13:23:00Z</dcterms:created>
  <dcterms:modified xsi:type="dcterms:W3CDTF">2019-08-28T13:31:00Z</dcterms:modified>
</cp:coreProperties>
</file>