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BB2" w:rsidRPr="004E607A" w:rsidRDefault="002B60F8" w:rsidP="00F83BB2">
      <w:pPr>
        <w:framePr w:w="4500" w:h="1553" w:hRule="exact" w:hSpace="180" w:wrap="around" w:vAnchor="text" w:hAnchor="page" w:x="1381" w:y="-29"/>
        <w:tabs>
          <w:tab w:val="left" w:pos="6237"/>
        </w:tabs>
        <w:ind w:right="-567"/>
      </w:pPr>
      <w:r>
        <w:t xml:space="preserve">                 </w:t>
      </w:r>
      <w:r>
        <w:rPr>
          <w:noProof/>
        </w:rPr>
        <w:drawing>
          <wp:inline distT="0" distB="0" distL="0" distR="0">
            <wp:extent cx="457200" cy="5143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93" t="32320" r="50797" b="33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</w:t>
      </w:r>
      <w:r w:rsidRPr="004E607A">
        <w:t xml:space="preserve">                   </w:t>
      </w:r>
      <w:r>
        <w:t xml:space="preserve">                           </w:t>
      </w:r>
    </w:p>
    <w:p w:rsidR="00F83BB2" w:rsidRPr="001C7B5F" w:rsidRDefault="002B60F8" w:rsidP="00F83BB2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rPr>
          <w:rStyle w:val="Pogrubienie"/>
        </w:rPr>
      </w:pPr>
      <w:r w:rsidRPr="001C7B5F">
        <w:rPr>
          <w:rStyle w:val="Pogrubienie"/>
        </w:rPr>
        <w:t>WOJEWODA MAZOWIECKI</w:t>
      </w:r>
    </w:p>
    <w:p w:rsidR="00F83BB2" w:rsidRPr="004E65D9" w:rsidRDefault="002B60F8" w:rsidP="00F83BB2">
      <w:pPr>
        <w:framePr w:w="4500" w:h="1553" w:hRule="exact" w:hSpace="180" w:wrap="around" w:vAnchor="text" w:hAnchor="page" w:x="1381" w:y="-29"/>
        <w:jc w:val="center"/>
        <w:rPr>
          <w:sz w:val="20"/>
          <w:szCs w:val="20"/>
          <w:u w:val="single"/>
        </w:rPr>
      </w:pPr>
    </w:p>
    <w:p w:rsidR="00F83BB2" w:rsidRPr="00EE75C1" w:rsidRDefault="002B60F8" w:rsidP="00F83BB2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F83BB2" w:rsidRPr="00EE75C1" w:rsidRDefault="002B60F8" w:rsidP="00F83BB2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F83BB2" w:rsidRPr="00EE75C1" w:rsidRDefault="002B60F8" w:rsidP="00F83BB2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F83BB2" w:rsidRDefault="002B60F8" w:rsidP="00F83BB2">
      <w:pPr>
        <w:tabs>
          <w:tab w:val="left" w:pos="6237"/>
        </w:tabs>
      </w:pPr>
      <w:r>
        <w:t xml:space="preserve">                          Warszawa, </w:t>
      </w:r>
      <w:bookmarkStart w:id="0" w:name="ezdDataPodpisu"/>
      <w:r>
        <w:t>05 lipca 2021 r.</w:t>
      </w:r>
      <w:bookmarkEnd w:id="0"/>
    </w:p>
    <w:p w:rsidR="00F83BB2" w:rsidRDefault="002B60F8" w:rsidP="00F83BB2"/>
    <w:p w:rsidR="00F83BB2" w:rsidRDefault="002B60F8" w:rsidP="00F83BB2"/>
    <w:p w:rsidR="00F83BB2" w:rsidRDefault="002B60F8" w:rsidP="00F83BB2"/>
    <w:p w:rsidR="00F83BB2" w:rsidRDefault="002B60F8" w:rsidP="00F83BB2"/>
    <w:p w:rsidR="00F83BB2" w:rsidRPr="00D85864" w:rsidRDefault="002B60F8" w:rsidP="00F83BB2">
      <w:pPr>
        <w:spacing w:line="276" w:lineRule="auto"/>
      </w:pPr>
    </w:p>
    <w:p w:rsidR="00E32DDD" w:rsidRPr="00E32DDD" w:rsidRDefault="002B60F8" w:rsidP="00E32DDD">
      <w:pPr>
        <w:spacing w:line="276" w:lineRule="auto"/>
        <w:ind w:left="142"/>
        <w:rPr>
          <w:sz w:val="20"/>
        </w:rPr>
      </w:pPr>
      <w:bookmarkStart w:id="1" w:name="_GoBack"/>
      <w:r w:rsidRPr="00E32DDD">
        <w:rPr>
          <w:sz w:val="20"/>
        </w:rPr>
        <w:t>WNP-I.4131.141.2021.KS</w:t>
      </w:r>
    </w:p>
    <w:bookmarkEnd w:id="1"/>
    <w:p w:rsidR="00E32DDD" w:rsidRPr="00E32DDD" w:rsidRDefault="002B60F8" w:rsidP="00E32DDD">
      <w:pPr>
        <w:spacing w:line="276" w:lineRule="auto"/>
        <w:ind w:left="142"/>
        <w:rPr>
          <w:sz w:val="20"/>
        </w:rPr>
      </w:pPr>
    </w:p>
    <w:p w:rsidR="00E32DDD" w:rsidRPr="00E32DDD" w:rsidRDefault="002B60F8" w:rsidP="00E32DDD">
      <w:pPr>
        <w:tabs>
          <w:tab w:val="left" w:pos="4095"/>
        </w:tabs>
        <w:spacing w:line="276" w:lineRule="auto"/>
        <w:ind w:left="142"/>
        <w:rPr>
          <w:sz w:val="20"/>
        </w:rPr>
      </w:pPr>
    </w:p>
    <w:p w:rsidR="00E32DDD" w:rsidRPr="00E32DDD" w:rsidRDefault="002B60F8" w:rsidP="00E32DDD">
      <w:pPr>
        <w:suppressAutoHyphens/>
        <w:ind w:left="142" w:right="-468"/>
        <w:jc w:val="center"/>
        <w:rPr>
          <w:b/>
          <w:sz w:val="28"/>
          <w:lang w:eastAsia="ar-SA"/>
        </w:rPr>
      </w:pPr>
      <w:r w:rsidRPr="00E32DDD">
        <w:rPr>
          <w:b/>
          <w:sz w:val="28"/>
          <w:lang w:eastAsia="ar-SA"/>
        </w:rPr>
        <w:t xml:space="preserve">                     Rada Gminy Rybno</w:t>
      </w:r>
    </w:p>
    <w:p w:rsidR="00E32DDD" w:rsidRPr="00E32DDD" w:rsidRDefault="002B60F8" w:rsidP="00E32DDD">
      <w:pPr>
        <w:tabs>
          <w:tab w:val="left" w:pos="4820"/>
        </w:tabs>
        <w:suppressAutoHyphens/>
        <w:ind w:left="3682" w:right="-468"/>
        <w:rPr>
          <w:b/>
          <w:sz w:val="28"/>
          <w:lang w:eastAsia="ar-SA"/>
        </w:rPr>
      </w:pPr>
      <w:r w:rsidRPr="00E32DDD">
        <w:rPr>
          <w:b/>
          <w:sz w:val="28"/>
          <w:lang w:eastAsia="ar-SA"/>
        </w:rPr>
        <w:t xml:space="preserve">              ul. Długa 20</w:t>
      </w:r>
    </w:p>
    <w:p w:rsidR="00E32DDD" w:rsidRPr="00E32DDD" w:rsidRDefault="002B60F8" w:rsidP="00E32DDD">
      <w:pPr>
        <w:spacing w:line="276" w:lineRule="auto"/>
        <w:ind w:left="142"/>
        <w:jc w:val="center"/>
      </w:pPr>
      <w:r w:rsidRPr="00E32DDD">
        <w:rPr>
          <w:b/>
          <w:sz w:val="28"/>
          <w:lang w:eastAsia="ar-SA"/>
        </w:rPr>
        <w:t xml:space="preserve">                 96-514 Rybno</w:t>
      </w:r>
    </w:p>
    <w:p w:rsidR="00E32DDD" w:rsidRPr="00E32DDD" w:rsidRDefault="002B60F8" w:rsidP="00E32DDD">
      <w:pPr>
        <w:spacing w:line="276" w:lineRule="auto"/>
        <w:ind w:left="142"/>
        <w:jc w:val="both"/>
        <w:rPr>
          <w:i/>
        </w:rPr>
      </w:pPr>
    </w:p>
    <w:p w:rsidR="00E32DDD" w:rsidRPr="00E32DDD" w:rsidRDefault="002B60F8" w:rsidP="00E32DDD">
      <w:pPr>
        <w:spacing w:line="276" w:lineRule="auto"/>
        <w:ind w:left="142"/>
        <w:jc w:val="both"/>
        <w:rPr>
          <w:i/>
        </w:rPr>
      </w:pPr>
    </w:p>
    <w:p w:rsidR="00E32DDD" w:rsidRPr="00E32DDD" w:rsidRDefault="002B60F8" w:rsidP="00E32DDD">
      <w:pPr>
        <w:spacing w:line="276" w:lineRule="auto"/>
        <w:ind w:left="142"/>
        <w:jc w:val="both"/>
      </w:pPr>
    </w:p>
    <w:p w:rsidR="00E32DDD" w:rsidRPr="00E32DDD" w:rsidRDefault="002B60F8" w:rsidP="00E32DDD">
      <w:pPr>
        <w:spacing w:line="360" w:lineRule="auto"/>
        <w:ind w:left="142"/>
        <w:jc w:val="center"/>
        <w:rPr>
          <w:b/>
        </w:rPr>
      </w:pPr>
      <w:r w:rsidRPr="00E32DDD">
        <w:rPr>
          <w:b/>
        </w:rPr>
        <w:t>Rozstrzygnięcie nadzorcze</w:t>
      </w:r>
    </w:p>
    <w:p w:rsidR="00E32DDD" w:rsidRPr="00E32DDD" w:rsidRDefault="002B60F8" w:rsidP="00E32DDD">
      <w:pPr>
        <w:spacing w:line="360" w:lineRule="auto"/>
        <w:ind w:left="142"/>
        <w:jc w:val="both"/>
      </w:pPr>
      <w:r w:rsidRPr="00E32DDD">
        <w:t xml:space="preserve">Działając na podstawie art. 91 ust. 1, w związku z art. 86 ustawy z dnia 8 marca 1990 r. </w:t>
      </w:r>
      <w:r w:rsidRPr="00E32DDD">
        <w:br/>
        <w:t>o samorządzie gminnym (Dz. U. z 2020 r. poz. 713, z późn. zm.)</w:t>
      </w:r>
    </w:p>
    <w:p w:rsidR="00E32DDD" w:rsidRPr="00E32DDD" w:rsidRDefault="002B60F8" w:rsidP="00E32DDD">
      <w:pPr>
        <w:spacing w:line="360" w:lineRule="auto"/>
        <w:ind w:left="142"/>
        <w:jc w:val="center"/>
        <w:rPr>
          <w:b/>
        </w:rPr>
      </w:pPr>
      <w:r w:rsidRPr="00E32DDD">
        <w:rPr>
          <w:b/>
        </w:rPr>
        <w:t>stwierdzam nieważ</w:t>
      </w:r>
      <w:r w:rsidRPr="00E32DDD">
        <w:rPr>
          <w:b/>
        </w:rPr>
        <w:t>ność</w:t>
      </w:r>
    </w:p>
    <w:p w:rsidR="00E32DDD" w:rsidRPr="00E32DDD" w:rsidRDefault="002B60F8" w:rsidP="00E32DDD">
      <w:pPr>
        <w:spacing w:line="360" w:lineRule="auto"/>
        <w:ind w:left="142"/>
        <w:jc w:val="both"/>
        <w:rPr>
          <w:i/>
        </w:rPr>
      </w:pPr>
      <w:r w:rsidRPr="00E32DDD">
        <w:t xml:space="preserve">uchwały Rady Gminy Rybno Nr XXXVII.183.2021 z dnia 2 czerwca 2021 r. </w:t>
      </w:r>
      <w:r w:rsidRPr="00E32DDD">
        <w:rPr>
          <w:i/>
        </w:rPr>
        <w:t xml:space="preserve">w sprawie ustanowienia tytułów: ,,Honorowy Obywatel Gminy Rybno” oraz przyjęcia regulaminu zasad </w:t>
      </w:r>
      <w:r w:rsidRPr="00E32DDD">
        <w:rPr>
          <w:i/>
        </w:rPr>
        <w:br/>
        <w:t>i trybu nadawania tego tytułu.</w:t>
      </w:r>
    </w:p>
    <w:p w:rsidR="00E32DDD" w:rsidRPr="00E32DDD" w:rsidRDefault="002B60F8" w:rsidP="00E32DDD">
      <w:pPr>
        <w:spacing w:line="360" w:lineRule="auto"/>
        <w:ind w:left="142"/>
        <w:jc w:val="center"/>
        <w:rPr>
          <w:b/>
        </w:rPr>
      </w:pPr>
      <w:r w:rsidRPr="00E32DDD">
        <w:rPr>
          <w:b/>
        </w:rPr>
        <w:t>Uzasadnienie</w:t>
      </w:r>
    </w:p>
    <w:p w:rsidR="00E32DDD" w:rsidRPr="00E32DDD" w:rsidRDefault="002B60F8" w:rsidP="00E32DDD">
      <w:pPr>
        <w:spacing w:line="360" w:lineRule="auto"/>
        <w:ind w:left="142"/>
        <w:jc w:val="both"/>
      </w:pPr>
      <w:r w:rsidRPr="00E32DDD">
        <w:rPr>
          <w:b/>
        </w:rPr>
        <w:tab/>
      </w:r>
      <w:r w:rsidRPr="00E32DDD">
        <w:t xml:space="preserve">Na sesji w dniu 2 czerwca 2021 r. Rada </w:t>
      </w:r>
      <w:r w:rsidRPr="00E32DDD">
        <w:t xml:space="preserve">Gminy Rybno podjęła uchwałę Nr XXXVII.183.2021 </w:t>
      </w:r>
      <w:r w:rsidRPr="00E32DDD">
        <w:rPr>
          <w:i/>
        </w:rPr>
        <w:t>w sprawie ustanowienia tytułów: ,,Honorowy Obywatel Gminy Rybno” oraz przyjęcia regulaminu zasad i trybu nadawania tego tytułu.</w:t>
      </w:r>
    </w:p>
    <w:p w:rsidR="00E32DDD" w:rsidRPr="00E32DDD" w:rsidRDefault="002B60F8" w:rsidP="00E32DDD">
      <w:pPr>
        <w:spacing w:line="360" w:lineRule="auto"/>
        <w:ind w:left="142"/>
        <w:jc w:val="both"/>
      </w:pPr>
      <w:r w:rsidRPr="00E32DDD">
        <w:t>Jako podstawę prawną wskazano art. 18 ust. 2 pkt 14 ustawy o samorządzie gminnym.</w:t>
      </w:r>
      <w:r w:rsidRPr="00E32DDD">
        <w:t xml:space="preserve"> Uchwala została doręczona organowi nadzoru w dniu 16 czerwca 2021 r.</w:t>
      </w:r>
    </w:p>
    <w:p w:rsidR="00466C21" w:rsidRDefault="002B60F8" w:rsidP="00466C21">
      <w:pPr>
        <w:spacing w:line="360" w:lineRule="auto"/>
        <w:ind w:left="142" w:firstLine="708"/>
        <w:jc w:val="both"/>
      </w:pPr>
      <w:r w:rsidRPr="00E32DDD">
        <w:t xml:space="preserve">Zgodnie z art. 18 ust. 2 pkt 14 ustawy o samorządzie gminnym do wyłącznej właściwości rady gminy należy nadawanie honorowego obywatelstwa gminy. </w:t>
      </w:r>
    </w:p>
    <w:p w:rsidR="00E32DDD" w:rsidRPr="00E32DDD" w:rsidRDefault="002B60F8" w:rsidP="00466C21">
      <w:pPr>
        <w:spacing w:line="360" w:lineRule="auto"/>
        <w:ind w:left="142" w:firstLine="708"/>
        <w:jc w:val="both"/>
      </w:pPr>
      <w:r w:rsidRPr="00E32DDD">
        <w:t xml:space="preserve">W § 4 kwestionowanej uchwały Rada Gminy Rybno postanowiła, że: </w:t>
      </w:r>
      <w:r w:rsidRPr="00E32DDD">
        <w:rPr>
          <w:i/>
        </w:rPr>
        <w:t xml:space="preserve">,,Uchwała wchodzi </w:t>
      </w:r>
      <w:r w:rsidRPr="00E32DDD">
        <w:rPr>
          <w:i/>
        </w:rPr>
        <w:br/>
        <w:t>w życie po upływie 14 dni od dnia ogłoszenia”</w:t>
      </w:r>
      <w:r w:rsidRPr="00E32DDD">
        <w:t xml:space="preserve">. </w:t>
      </w:r>
    </w:p>
    <w:p w:rsidR="00E32DDD" w:rsidRPr="00E32DDD" w:rsidRDefault="002B60F8" w:rsidP="00E32DDD">
      <w:pPr>
        <w:spacing w:line="360" w:lineRule="auto"/>
        <w:ind w:left="142" w:firstLine="708"/>
        <w:jc w:val="both"/>
      </w:pPr>
      <w:r w:rsidRPr="00E32DDD">
        <w:t>W ocenie organu nadzoru data wejścia w życie aktu prawa miejscowego, jak i miejsce jego publikacji nie mogą budzić wątpliwości</w:t>
      </w:r>
      <w:r w:rsidRPr="00E32DDD">
        <w:t xml:space="preserve">. </w:t>
      </w:r>
    </w:p>
    <w:p w:rsidR="00E32DDD" w:rsidRPr="00E32DDD" w:rsidRDefault="002B60F8" w:rsidP="00E32DDD">
      <w:pPr>
        <w:spacing w:line="360" w:lineRule="auto"/>
        <w:ind w:left="142" w:firstLine="708"/>
        <w:jc w:val="both"/>
      </w:pPr>
      <w:r w:rsidRPr="00E32DDD">
        <w:t xml:space="preserve">W orzecznictwie sądowoadministracyjnym jednoznacznie wskazuje się, że uchwała </w:t>
      </w:r>
      <w:r w:rsidRPr="00E32DDD">
        <w:br/>
        <w:t>w sprawie uchwalenia nadawania różnego rodzaju tytułów ma charakter prawa</w:t>
      </w:r>
      <w:r>
        <w:t xml:space="preserve"> miejscowego</w:t>
      </w:r>
      <w:r w:rsidRPr="00E32DDD">
        <w:t xml:space="preserve">. </w:t>
      </w:r>
      <w:r>
        <w:br/>
      </w:r>
      <w:r w:rsidRPr="00E32DDD">
        <w:t>Pod pojęciem ,,aktu prawa miejscowego” należy rozumieć akty normatywne zawierające prz</w:t>
      </w:r>
      <w:r w:rsidRPr="00E32DDD">
        <w:t>ep</w:t>
      </w:r>
      <w:r>
        <w:t>isy o charakterze abstrakcyjnym</w:t>
      </w:r>
      <w:r w:rsidRPr="00E32DDD">
        <w:t xml:space="preserve"> i generalnym, powszechnie obowiązujące na określonej części terytorium państwa, wydawane przez organy samorządu terytorialnego lub terenowe organy </w:t>
      </w:r>
      <w:r>
        <w:lastRenderedPageBreak/>
        <w:t xml:space="preserve">administracji rządowej </w:t>
      </w:r>
      <w:r w:rsidRPr="00E32DDD">
        <w:t>na podstawie i w granicach upoważnień zawartych w us</w:t>
      </w:r>
      <w:r w:rsidRPr="00E32DDD">
        <w:t>tawie (a</w:t>
      </w:r>
      <w:r>
        <w:t xml:space="preserve">rt. 87 ust. 2 Konstytucji RP). </w:t>
      </w:r>
      <w:r w:rsidRPr="00E32DDD">
        <w:t xml:space="preserve">W orzecznictwie sądów administracyjnych ugruntowane jest stanowisko, że akt prawa miejscowego to taki akt, który zawiera co najmniej jedną normę o charakterze generalnym </w:t>
      </w:r>
      <w:r>
        <w:br/>
      </w:r>
      <w:r w:rsidRPr="00E32DDD">
        <w:t>i abstrakcyjnym (wyrok NSA z dnia 18 lipca 200</w:t>
      </w:r>
      <w:r w:rsidRPr="00E32DDD">
        <w:t xml:space="preserve">6 r. sygn. akt I OSK 669/06). </w:t>
      </w:r>
      <w:r w:rsidRPr="00E32DDD">
        <w:rPr>
          <w:i/>
        </w:rPr>
        <w:t>,,Charakter generalny posiadają normy, które określają adresata poprzez wskazanie jego cech, nie zaś poprzez wymienienie ich z imienia (nazwy). Z kolei abstrakcyjność normy polega na tym, że jej dyspozycja określająca postępow</w:t>
      </w:r>
      <w:r w:rsidRPr="00E32DDD">
        <w:rPr>
          <w:i/>
        </w:rPr>
        <w:t xml:space="preserve">anie adresata ma zastosowanie w wielu, powtarzalnych okolicznościach, </w:t>
      </w:r>
      <w:r>
        <w:rPr>
          <w:i/>
        </w:rPr>
        <w:br/>
      </w:r>
      <w:r w:rsidRPr="00E32DDD">
        <w:rPr>
          <w:i/>
        </w:rPr>
        <w:t>nie zaś w jednej konkretnej sytuacji”</w:t>
      </w:r>
      <w:r w:rsidRPr="00E32DDD">
        <w:t xml:space="preserve"> (wyrok WSA w Białymstoku z dnia 2 lutego 2006 r. sygn. akt SA/BK 681/05).</w:t>
      </w:r>
      <w:r w:rsidRPr="00E32DDD">
        <w:rPr>
          <w:rFonts w:ascii="Calibri" w:hAnsi="Calibri"/>
        </w:rPr>
        <w:t xml:space="preserve"> </w:t>
      </w:r>
    </w:p>
    <w:p w:rsidR="00E32DDD" w:rsidRPr="00E32DDD" w:rsidRDefault="002B60F8" w:rsidP="00E32DDD">
      <w:pPr>
        <w:spacing w:line="360" w:lineRule="auto"/>
        <w:ind w:left="142" w:firstLine="708"/>
        <w:jc w:val="both"/>
      </w:pPr>
      <w:r w:rsidRPr="00E32DDD">
        <w:rPr>
          <w:rFonts w:eastAsiaTheme="minorHAnsi"/>
          <w:color w:val="333333"/>
          <w:shd w:val="clear" w:color="auto" w:fill="FFFFFF"/>
          <w:lang w:eastAsia="en-US"/>
        </w:rPr>
        <w:t>Z kolei w</w:t>
      </w:r>
      <w:r w:rsidRPr="00E32DDD">
        <w:rPr>
          <w:rFonts w:asciiTheme="minorHAnsi" w:eastAsiaTheme="minorHAnsi" w:hAnsiTheme="minorHAnsi" w:cstheme="minorBidi"/>
          <w:color w:val="333333"/>
          <w:sz w:val="21"/>
          <w:szCs w:val="21"/>
          <w:shd w:val="clear" w:color="auto" w:fill="FFFFFF"/>
          <w:lang w:eastAsia="en-US"/>
        </w:rPr>
        <w:t xml:space="preserve"> </w:t>
      </w:r>
      <w:r w:rsidRPr="00E32DDD">
        <w:t xml:space="preserve">wyroku z dnia 30 marca 2011 r. sygn. akt III SA/Wr 919/10 WSA </w:t>
      </w:r>
      <w:r w:rsidRPr="00E32DDD">
        <w:t>we Wrocławiu oraz w wyroku z dnia 20 marca 2009 r. sygn. akt II OSK 1527/08 Sądy wypowiedziały się na temat charakteru uchwał w sprawie ustanowienia tytułów, stwierdzając że:</w:t>
      </w:r>
      <w:r>
        <w:t xml:space="preserve"> </w:t>
      </w:r>
      <w:r w:rsidRPr="00E32DDD">
        <w:rPr>
          <w:i/>
        </w:rPr>
        <w:t>,,</w:t>
      </w:r>
      <w:r w:rsidRPr="00E32DDD">
        <w:rPr>
          <w:rFonts w:eastAsiaTheme="minorHAnsi"/>
          <w:i/>
          <w:shd w:val="clear" w:color="auto" w:fill="FFFFFF"/>
          <w:lang w:eastAsia="en-US"/>
        </w:rPr>
        <w:t xml:space="preserve">Jej postanowienia regulują poza relacjami pomiędzy organami gminy także status </w:t>
      </w:r>
      <w:r w:rsidRPr="00E32DDD">
        <w:rPr>
          <w:rFonts w:eastAsiaTheme="minorHAnsi"/>
          <w:i/>
          <w:shd w:val="clear" w:color="auto" w:fill="FFFFFF"/>
          <w:lang w:eastAsia="en-US"/>
        </w:rPr>
        <w:t xml:space="preserve">podmiotów zewnętrznych wobec organu wykonawczego gminy, przyznaje ona prawo organizacjom społecznym, politycznym </w:t>
      </w:r>
      <w:r>
        <w:rPr>
          <w:rFonts w:eastAsiaTheme="minorHAnsi"/>
          <w:i/>
          <w:shd w:val="clear" w:color="auto" w:fill="FFFFFF"/>
          <w:lang w:eastAsia="en-US"/>
        </w:rPr>
        <w:br/>
      </w:r>
      <w:r w:rsidRPr="00E32DDD">
        <w:rPr>
          <w:rFonts w:eastAsiaTheme="minorHAnsi"/>
          <w:i/>
          <w:shd w:val="clear" w:color="auto" w:fill="FFFFFF"/>
          <w:lang w:eastAsia="en-US"/>
        </w:rPr>
        <w:t>i stowarzyszeniom posiadającym osobowość prawną - działających na terenie gminy do zgłaszania wniosku o przyznanie ww. tytułów. Uchwała taka b</w:t>
      </w:r>
      <w:r w:rsidRPr="00E32DDD">
        <w:rPr>
          <w:rFonts w:eastAsiaTheme="minorHAnsi"/>
          <w:i/>
          <w:shd w:val="clear" w:color="auto" w:fill="FFFFFF"/>
          <w:lang w:eastAsia="en-US"/>
        </w:rPr>
        <w:t>ezpośrednio rozstrzyga o prawach i obowiązkach członków wspólnoty samorządowej, jaką jest Gmina”</w:t>
      </w:r>
      <w:r w:rsidRPr="00E32DDD">
        <w:rPr>
          <w:rFonts w:asciiTheme="minorHAnsi" w:eastAsiaTheme="minorHAnsi" w:hAnsiTheme="minorHAnsi" w:cstheme="minorBidi"/>
          <w:sz w:val="21"/>
          <w:szCs w:val="21"/>
          <w:shd w:val="clear" w:color="auto" w:fill="FFFFFF"/>
          <w:lang w:eastAsia="en-US"/>
        </w:rPr>
        <w:t>.</w:t>
      </w:r>
    </w:p>
    <w:p w:rsidR="00E32DDD" w:rsidRPr="00E32DDD" w:rsidRDefault="002B60F8" w:rsidP="00E32DDD">
      <w:pPr>
        <w:spacing w:line="360" w:lineRule="auto"/>
        <w:ind w:left="142" w:firstLine="708"/>
        <w:jc w:val="both"/>
        <w:rPr>
          <w:rFonts w:eastAsiaTheme="minorHAnsi"/>
          <w:lang w:eastAsia="en-US"/>
        </w:rPr>
      </w:pPr>
      <w:r w:rsidRPr="00E32DDD">
        <w:rPr>
          <w:rFonts w:eastAsiaTheme="minorHAnsi"/>
          <w:lang w:eastAsia="en-US"/>
        </w:rPr>
        <w:t>Ponadto należy wskazać, że zgodnie z art. 88 ust. 1 i ust. 2 Konstytucji RP warunkiem wejścia w życie m.in. aktu prawa miejscowego jest jego ogłoszenie na zas</w:t>
      </w:r>
      <w:r>
        <w:rPr>
          <w:rFonts w:eastAsiaTheme="minorHAnsi"/>
          <w:lang w:eastAsia="en-US"/>
        </w:rPr>
        <w:t xml:space="preserve">adach i w trybie przewidzianym </w:t>
      </w:r>
      <w:r w:rsidRPr="00E32DDD">
        <w:rPr>
          <w:rFonts w:eastAsiaTheme="minorHAnsi"/>
          <w:lang w:eastAsia="en-US"/>
        </w:rPr>
        <w:t xml:space="preserve">w ustawie. </w:t>
      </w:r>
      <w:r w:rsidRPr="00E32DDD">
        <w:rPr>
          <w:rFonts w:eastAsia="Calibri"/>
          <w:color w:val="222222"/>
          <w:shd w:val="clear" w:color="auto" w:fill="FFFFFF"/>
        </w:rPr>
        <w:t xml:space="preserve">Ustawa o ogłaszaniu aktów normatywnych i niektórych innych aktów prawnych stanowi zaś, że ogłoszenie aktu normatywnego w dzienniku urzędowym </w:t>
      </w:r>
      <w:r>
        <w:rPr>
          <w:rFonts w:eastAsia="Calibri"/>
          <w:color w:val="222222"/>
          <w:shd w:val="clear" w:color="auto" w:fill="FFFFFF"/>
        </w:rPr>
        <w:br/>
      </w:r>
      <w:r w:rsidRPr="00E32DDD">
        <w:rPr>
          <w:rFonts w:eastAsia="Calibri"/>
          <w:color w:val="222222"/>
          <w:shd w:val="clear" w:color="auto" w:fill="FFFFFF"/>
        </w:rPr>
        <w:t>jest obowiązkowe (art. 2 ust. 1 ustawy) i wskazuje, że akty prawa miejsc</w:t>
      </w:r>
      <w:r w:rsidRPr="00E32DDD">
        <w:rPr>
          <w:rFonts w:eastAsia="Calibri"/>
          <w:color w:val="222222"/>
          <w:shd w:val="clear" w:color="auto" w:fill="FFFFFF"/>
        </w:rPr>
        <w:t>owego ustanowione przez organ gminy ogłasza się w wojewódzkim dzienniku urzędowym (art. 13 pkt 2 ustawy). Ponadto akty normatywne, zawierające przepisy powszechnie obowiązujące, ogłaszane w dziennikach urzędowych wchodzą w życie po upływie czternastu dni o</w:t>
      </w:r>
      <w:r w:rsidRPr="00E32DDD">
        <w:rPr>
          <w:rFonts w:eastAsia="Calibri"/>
          <w:color w:val="222222"/>
          <w:shd w:val="clear" w:color="auto" w:fill="FFFFFF"/>
        </w:rPr>
        <w:t>d dnia ich ogłoszenia, chyba że dany akt normatywny określi termin dłuższy (art. 4 ust. 1 ustawy)</w:t>
      </w:r>
      <w:r w:rsidRPr="00E32DDD">
        <w:rPr>
          <w:rFonts w:eastAsia="Calibri"/>
        </w:rPr>
        <w:t>.</w:t>
      </w:r>
      <w:r w:rsidRPr="00E32DDD">
        <w:rPr>
          <w:rFonts w:eastAsia="Calibri"/>
          <w:color w:val="222222"/>
          <w:shd w:val="clear" w:color="auto" w:fill="FFFFFF"/>
        </w:rPr>
        <w:t xml:space="preserve"> Oznacza to, że </w:t>
      </w:r>
      <w:r w:rsidRPr="00E32DDD">
        <w:t>w przypadku uchwały stanowiącej akt prawa miejscowego niespełnienie wymagań formalnych w zakresie należytej publikacji, jak i zachowania odpow</w:t>
      </w:r>
      <w:r w:rsidRPr="00E32DDD">
        <w:t xml:space="preserve">iedniego vacatio legis, jest istotnym naruszeniem </w:t>
      </w:r>
      <w:r>
        <w:t xml:space="preserve">prawa powodującym stwierdzenie </w:t>
      </w:r>
      <w:r w:rsidRPr="00E32DDD">
        <w:t xml:space="preserve">jej nieważności. Nie promulgowany akt prawa miejscowego nie może wejść w życie, zatem nie wiąże podmiotów, do których został on skierowany (wyrok NSA </w:t>
      </w:r>
      <w:r>
        <w:br/>
      </w:r>
      <w:r w:rsidRPr="00E32DDD">
        <w:t>w Warszawie z dnia 3 lis</w:t>
      </w:r>
      <w:r w:rsidRPr="00E32DDD">
        <w:t>topada 2010 r. sygn. akt I OSK 1213/10).</w:t>
      </w:r>
      <w:r w:rsidRPr="00E32DDD">
        <w:rPr>
          <w:rFonts w:eastAsiaTheme="minorHAnsi"/>
          <w:lang w:eastAsia="en-US"/>
        </w:rPr>
        <w:t xml:space="preserve"> ,,</w:t>
      </w:r>
      <w:r w:rsidRPr="00E32DDD">
        <w:rPr>
          <w:rFonts w:eastAsiaTheme="minorHAnsi"/>
          <w:i/>
          <w:lang w:eastAsia="en-US"/>
        </w:rPr>
        <w:t xml:space="preserve">Prawidłowe ogłoszenie aktu prawa miejscowego ma zasadnicze znaczenie dla jego obowiązywania, jest bowiem warunkiem jego wejścia w życie. Akt normatywny, który nie został opublikowany (ogłoszony) zgodnie </w:t>
      </w:r>
      <w:r>
        <w:rPr>
          <w:rFonts w:eastAsiaTheme="minorHAnsi"/>
          <w:i/>
          <w:lang w:eastAsia="en-US"/>
        </w:rPr>
        <w:br/>
      </w:r>
      <w:r w:rsidRPr="00E32DDD">
        <w:rPr>
          <w:rFonts w:eastAsiaTheme="minorHAnsi"/>
          <w:i/>
          <w:lang w:eastAsia="en-US"/>
        </w:rPr>
        <w:t>z obowiąz</w:t>
      </w:r>
      <w:r w:rsidRPr="00E32DDD">
        <w:rPr>
          <w:rFonts w:eastAsiaTheme="minorHAnsi"/>
          <w:i/>
          <w:lang w:eastAsia="en-US"/>
        </w:rPr>
        <w:t xml:space="preserve">ującą procedurą i we właściwym trybie nie może wiązać adresatów utworzonych w nim norm prawnych i nie odnosi skutku prawnego, nie ma mocy obowiązującej. Dotyczy to całego </w:t>
      </w:r>
      <w:r w:rsidRPr="00E32DDD">
        <w:rPr>
          <w:rFonts w:eastAsiaTheme="minorHAnsi"/>
          <w:i/>
          <w:lang w:eastAsia="en-US"/>
        </w:rPr>
        <w:lastRenderedPageBreak/>
        <w:t>zakresu normatywnego tego aktu, czyli wszystkich norm prawnych w nim zamieszczonych”</w:t>
      </w:r>
      <w:r w:rsidRPr="00E32DDD">
        <w:rPr>
          <w:rFonts w:eastAsiaTheme="minorHAnsi"/>
          <w:lang w:eastAsia="en-US"/>
        </w:rPr>
        <w:t xml:space="preserve"> </w:t>
      </w:r>
      <w:r w:rsidRPr="00E32DDD">
        <w:rPr>
          <w:rFonts w:eastAsiaTheme="minorHAnsi"/>
          <w:lang w:eastAsia="en-US"/>
        </w:rPr>
        <w:t xml:space="preserve">(wyrok WSA we Wrocławiu z dnia 1 października 2009 r. sygn. akt </w:t>
      </w:r>
      <w:hyperlink r:id="rId7" w:history="1">
        <w:r w:rsidRPr="00E32DDD">
          <w:rPr>
            <w:rFonts w:eastAsiaTheme="minorHAnsi"/>
            <w:lang w:eastAsia="en-US"/>
          </w:rPr>
          <w:t>III SA/</w:t>
        </w:r>
        <w:proofErr w:type="spellStart"/>
        <w:r w:rsidRPr="00E32DDD">
          <w:rPr>
            <w:rFonts w:eastAsiaTheme="minorHAnsi"/>
            <w:lang w:eastAsia="en-US"/>
          </w:rPr>
          <w:t>Wr</w:t>
        </w:r>
        <w:proofErr w:type="spellEnd"/>
        <w:r w:rsidRPr="00E32DDD">
          <w:rPr>
            <w:rFonts w:eastAsiaTheme="minorHAnsi"/>
            <w:lang w:eastAsia="en-US"/>
          </w:rPr>
          <w:t xml:space="preserve"> 282/09</w:t>
        </w:r>
      </w:hyperlink>
      <w:r w:rsidRPr="00E32DDD">
        <w:rPr>
          <w:rFonts w:eastAsiaTheme="minorHAnsi"/>
          <w:lang w:eastAsia="en-US"/>
        </w:rPr>
        <w:t>)</w:t>
      </w:r>
      <w:r w:rsidRPr="00E32DDD">
        <w:rPr>
          <w:rFonts w:eastAsiaTheme="minorHAnsi"/>
          <w:i/>
          <w:lang w:eastAsia="en-US"/>
        </w:rPr>
        <w:t>.</w:t>
      </w:r>
      <w:r w:rsidRPr="00E32DDD">
        <w:rPr>
          <w:rFonts w:eastAsiaTheme="minorHAnsi"/>
          <w:lang w:eastAsia="en-US"/>
        </w:rPr>
        <w:t xml:space="preserve"> </w:t>
      </w:r>
    </w:p>
    <w:p w:rsidR="00E32DDD" w:rsidRPr="00E32DDD" w:rsidRDefault="002B60F8" w:rsidP="00E32DDD">
      <w:pPr>
        <w:spacing w:line="360" w:lineRule="auto"/>
        <w:ind w:left="142" w:firstLine="708"/>
        <w:jc w:val="both"/>
        <w:rPr>
          <w:rFonts w:eastAsiaTheme="minorHAnsi"/>
          <w:lang w:eastAsia="en-US"/>
        </w:rPr>
      </w:pPr>
      <w:r w:rsidRPr="00E32DDD">
        <w:rPr>
          <w:rFonts w:eastAsiaTheme="minorHAnsi"/>
          <w:lang w:eastAsia="en-US"/>
        </w:rPr>
        <w:t>W związku z niewłaściwym trybem ogłoszenia kwestionowanej uchwały, należy stwierd</w:t>
      </w:r>
      <w:r w:rsidRPr="00E32DDD">
        <w:rPr>
          <w:rFonts w:eastAsiaTheme="minorHAnsi"/>
          <w:lang w:eastAsia="en-US"/>
        </w:rPr>
        <w:t xml:space="preserve">zić jej nieważność w całości. </w:t>
      </w:r>
    </w:p>
    <w:p w:rsidR="00E32DDD" w:rsidRPr="00E32DDD" w:rsidRDefault="002B60F8" w:rsidP="00E32DDD">
      <w:pPr>
        <w:spacing w:line="360" w:lineRule="auto"/>
        <w:ind w:left="142" w:firstLine="708"/>
        <w:jc w:val="both"/>
        <w:rPr>
          <w:rFonts w:eastAsiaTheme="minorHAnsi"/>
          <w:lang w:eastAsia="en-US"/>
        </w:rPr>
      </w:pPr>
      <w:r w:rsidRPr="00E32DDD">
        <w:rPr>
          <w:rFonts w:eastAsiaTheme="minorHAnsi"/>
          <w:lang w:eastAsia="en-US"/>
        </w:rPr>
        <w:t>Ponadto po analizie załącznika do kwestionowanej uchwały pn. ,,</w:t>
      </w:r>
      <w:r w:rsidRPr="00E32DDD">
        <w:rPr>
          <w:rFonts w:eastAsiaTheme="minorHAnsi"/>
          <w:i/>
          <w:lang w:eastAsia="en-US"/>
        </w:rPr>
        <w:t>Regulamin zasad i trybu nadawania tytułu ,,Honorowy Obywatel Gminy Rybno”</w:t>
      </w:r>
      <w:r w:rsidRPr="00E32DDD">
        <w:rPr>
          <w:rFonts w:eastAsiaTheme="minorHAnsi"/>
          <w:lang w:eastAsia="en-US"/>
        </w:rPr>
        <w:t>, zwanego dalej ,,regulaminem” organ nadzoru wskazuje na poniższe nieprawidłowości.</w:t>
      </w:r>
    </w:p>
    <w:p w:rsidR="00E32DDD" w:rsidRPr="00E32DDD" w:rsidRDefault="002B60F8" w:rsidP="00E32DDD">
      <w:pPr>
        <w:spacing w:line="360" w:lineRule="auto"/>
        <w:ind w:left="142" w:firstLine="708"/>
        <w:jc w:val="both"/>
        <w:rPr>
          <w:rFonts w:eastAsiaTheme="minorHAnsi"/>
          <w:lang w:eastAsia="en-US"/>
        </w:rPr>
      </w:pPr>
      <w:r w:rsidRPr="00E32DDD">
        <w:t>Po pi</w:t>
      </w:r>
      <w:r w:rsidRPr="00E32DDD">
        <w:t>erwsze w § 6 regulaminu Rada Gminy Rybno postanowiła, że:</w:t>
      </w:r>
    </w:p>
    <w:p w:rsidR="00E32DDD" w:rsidRPr="00E32DDD" w:rsidRDefault="002B60F8" w:rsidP="00E32DDD">
      <w:pPr>
        <w:spacing w:line="360" w:lineRule="auto"/>
        <w:ind w:left="142"/>
        <w:jc w:val="both"/>
        <w:rPr>
          <w:i/>
        </w:rPr>
      </w:pPr>
      <w:r w:rsidRPr="00E32DDD">
        <w:t xml:space="preserve"> ,,</w:t>
      </w:r>
      <w:r w:rsidRPr="00E32DDD">
        <w:rPr>
          <w:i/>
        </w:rPr>
        <w:t xml:space="preserve">1. Wnioski o nadanie tytułu z okazji ww. winny być kierowane do biura obsługi rady na dwa miesiące przed zamierzonym terminem nadania tytułu. </w:t>
      </w:r>
    </w:p>
    <w:p w:rsidR="00E32DDD" w:rsidRPr="00E32DDD" w:rsidRDefault="002B60F8" w:rsidP="00E32DDD">
      <w:pPr>
        <w:spacing w:line="360" w:lineRule="auto"/>
        <w:ind w:left="142"/>
        <w:jc w:val="both"/>
        <w:rPr>
          <w:i/>
        </w:rPr>
      </w:pPr>
      <w:r w:rsidRPr="00E32DDD">
        <w:rPr>
          <w:i/>
        </w:rPr>
        <w:t>2. Wniosek o nadanie tytułu winien zawierać następuj</w:t>
      </w:r>
      <w:r w:rsidRPr="00E32DDD">
        <w:rPr>
          <w:i/>
        </w:rPr>
        <w:t>ące dane:</w:t>
      </w:r>
    </w:p>
    <w:p w:rsidR="00E32DDD" w:rsidRPr="00E32DDD" w:rsidRDefault="002B60F8" w:rsidP="00E32DDD">
      <w:pPr>
        <w:spacing w:line="360" w:lineRule="auto"/>
        <w:ind w:left="142"/>
        <w:jc w:val="both"/>
        <w:rPr>
          <w:i/>
        </w:rPr>
      </w:pPr>
      <w:r w:rsidRPr="00E32DDD">
        <w:rPr>
          <w:i/>
        </w:rPr>
        <w:t>- imię i nazwisko kandydata,</w:t>
      </w:r>
    </w:p>
    <w:p w:rsidR="00E32DDD" w:rsidRPr="00E32DDD" w:rsidRDefault="002B60F8" w:rsidP="00E32DDD">
      <w:pPr>
        <w:spacing w:line="360" w:lineRule="auto"/>
        <w:ind w:left="142"/>
        <w:jc w:val="both"/>
        <w:rPr>
          <w:i/>
        </w:rPr>
      </w:pPr>
      <w:r w:rsidRPr="00E32DDD">
        <w:rPr>
          <w:i/>
        </w:rPr>
        <w:t xml:space="preserve">- datę i miejsce urodzenia, </w:t>
      </w:r>
    </w:p>
    <w:p w:rsidR="00E32DDD" w:rsidRPr="00E32DDD" w:rsidRDefault="002B60F8" w:rsidP="00E32DDD">
      <w:pPr>
        <w:spacing w:line="360" w:lineRule="auto"/>
        <w:ind w:left="142"/>
        <w:jc w:val="both"/>
        <w:rPr>
          <w:i/>
        </w:rPr>
      </w:pPr>
      <w:r w:rsidRPr="00E32DDD">
        <w:rPr>
          <w:i/>
        </w:rPr>
        <w:t>- uzasadnienie wniosku,</w:t>
      </w:r>
    </w:p>
    <w:p w:rsidR="00E32DDD" w:rsidRPr="00E32DDD" w:rsidRDefault="002B60F8" w:rsidP="00E32DDD">
      <w:pPr>
        <w:spacing w:line="360" w:lineRule="auto"/>
        <w:ind w:left="142"/>
        <w:jc w:val="both"/>
        <w:rPr>
          <w:i/>
        </w:rPr>
      </w:pPr>
      <w:r w:rsidRPr="00E32DDD">
        <w:rPr>
          <w:i/>
        </w:rPr>
        <w:t>- dane wnioskodawcy, dane podmiotu lub wykaz osób popierających wniosek ze wskazaniem przedstawiciela do kontaktu,</w:t>
      </w:r>
    </w:p>
    <w:p w:rsidR="00E32DDD" w:rsidRPr="00E32DDD" w:rsidRDefault="002B60F8" w:rsidP="00E32DDD">
      <w:pPr>
        <w:spacing w:line="360" w:lineRule="auto"/>
        <w:ind w:left="142"/>
        <w:jc w:val="both"/>
        <w:rPr>
          <w:i/>
        </w:rPr>
      </w:pPr>
      <w:r w:rsidRPr="00E32DDD">
        <w:rPr>
          <w:i/>
        </w:rPr>
        <w:t>- data i odpis wnioskodawcy.</w:t>
      </w:r>
    </w:p>
    <w:p w:rsidR="00E32DDD" w:rsidRPr="00E32DDD" w:rsidRDefault="002B60F8" w:rsidP="00E32DDD">
      <w:pPr>
        <w:spacing w:line="360" w:lineRule="auto"/>
        <w:ind w:left="142"/>
        <w:jc w:val="both"/>
        <w:rPr>
          <w:i/>
        </w:rPr>
      </w:pPr>
      <w:r w:rsidRPr="00E32DDD">
        <w:rPr>
          <w:i/>
        </w:rPr>
        <w:t>2. Obsługę organizac</w:t>
      </w:r>
      <w:r w:rsidRPr="00E32DDD">
        <w:rPr>
          <w:i/>
        </w:rPr>
        <w:t>yjno-techniczną w zakresie spraw związanych z nadawaniem tytułu prowadzi pracownik zajmujący się obsługą Rady Gminy Rybno”.</w:t>
      </w:r>
    </w:p>
    <w:p w:rsidR="00E32DDD" w:rsidRPr="00E32DDD" w:rsidRDefault="002B60F8" w:rsidP="00E32DDD">
      <w:pPr>
        <w:spacing w:line="360" w:lineRule="auto"/>
        <w:ind w:left="142" w:firstLine="708"/>
        <w:jc w:val="both"/>
      </w:pPr>
      <w:r w:rsidRPr="00E32DDD">
        <w:t>Na wstępie należy wskazać na błędną numerację ustępów. Ponadto za prawnie niedopuszczalne należy także uznać regulacje, odnoszące si</w:t>
      </w:r>
      <w:r w:rsidRPr="00E32DDD">
        <w:t xml:space="preserve">ę do biura obsługi rady, do której obowiązków należy przyjmowanie wniosków o nadanie tytułu oraz zobowiązanie pracownika zajmującego się obsługą Rady do obsługi organizacyjno-technicznej w zakresie spraw związanych </w:t>
      </w:r>
      <w:r w:rsidRPr="00E32DDD">
        <w:br/>
        <w:t xml:space="preserve">z nadawaniem tytułu ,,Honorowy Obywatel </w:t>
      </w:r>
      <w:r w:rsidRPr="00E32DDD">
        <w:t xml:space="preserve">Gminy Rybno”. Wskazać należy, że zgodnie </w:t>
      </w:r>
      <w:r w:rsidRPr="00E32DDD">
        <w:br/>
        <w:t>z przepisami ustawy o samorządzie gminnym wójt wykonuje zadania przy pomocy urzędu gminy, przy czym organizację i zasady funkcjonowania urzędu gminy określa regulamin organizacyjny, nadany przez wójta w drodze zarz</w:t>
      </w:r>
      <w:r w:rsidRPr="00E32DDD">
        <w:t xml:space="preserve">ądzenia, zaś wójt jest kierownikiem urzędu i wykonuje uprawnienia zwierzchnika służbowego w stosunku do pracowników urzędu oraz kierowników gminnych jednostek organizacyjnych (art. 33 ustawy o samorządzie gminnym). Mając także </w:t>
      </w:r>
      <w:r w:rsidRPr="00E32DDD">
        <w:br/>
        <w:t xml:space="preserve">na uwadze przepisy ustawy z </w:t>
      </w:r>
      <w:r w:rsidRPr="00E32DDD">
        <w:t>dnia 21 listopada 2008 r. o pracownikach samorządowych (</w:t>
      </w:r>
      <w:r w:rsidRPr="00E32DDD">
        <w:rPr>
          <w:bCs/>
        </w:rPr>
        <w:t xml:space="preserve">Dz. U. </w:t>
      </w:r>
      <w:r w:rsidRPr="00E32DDD">
        <w:rPr>
          <w:bCs/>
        </w:rPr>
        <w:br/>
        <w:t xml:space="preserve">z 2019 r. poz. 1282) </w:t>
      </w:r>
      <w:r w:rsidRPr="00E32DDD">
        <w:t>wskazać należy, że jedynie wójt sprawuje władztwo organizacyjne nad aparatem pomocniczym organu gminy, określone przez ustawodawcę jako kierownictwo (wyrok WSA w Gliwicach</w:t>
      </w:r>
      <w:r w:rsidRPr="00E32DDD">
        <w:t xml:space="preserve"> z dnia 21 kwietnia 2016 r. sygn. akt IV SA/Gl 794/15, wyrok WSA w Lublinie z dnia 8 marca 2016 r. sygn. akt III SA/Lu 1366/15, wyrok WSA w Lublinie z dnia 5 lutego </w:t>
      </w:r>
      <w:r w:rsidRPr="00E32DDD">
        <w:br/>
        <w:t xml:space="preserve">2015 r. sygn. akt III SA/Lu 647/14 ). </w:t>
      </w:r>
    </w:p>
    <w:p w:rsidR="00E32DDD" w:rsidRPr="00E32DDD" w:rsidRDefault="002B60F8" w:rsidP="00E32DDD">
      <w:pPr>
        <w:spacing w:line="360" w:lineRule="auto"/>
        <w:ind w:left="130" w:firstLine="709"/>
        <w:jc w:val="both"/>
      </w:pPr>
      <w:r w:rsidRPr="00E32DDD">
        <w:lastRenderedPageBreak/>
        <w:t>Zatem uregulowanie obowiązków pracowników urzędu gm</w:t>
      </w:r>
      <w:r w:rsidRPr="00E32DDD">
        <w:t xml:space="preserve">iny, w tym w zakresie obsługi rady gminy następuje we wspomnianym regulaminie organizacyjnym określającym organizację </w:t>
      </w:r>
      <w:r w:rsidRPr="00E32DDD">
        <w:br/>
        <w:t>i zasady funkcjonowania urzędu gminy, nadanym przez wójta w drodze zarządzenia. Tylko zatem kierownik urzędu jest uprawniony do nakładani</w:t>
      </w:r>
      <w:r w:rsidRPr="00E32DDD">
        <w:t xml:space="preserve">a obowiązków i zadań na pracowników urzędu. Uprawnień takich nie posiada natomiast rada gminy (wyrok WSA w Gliwicach z dnia 21 kwietnia 2016 r. sygn. akt IV SA/Gl 794/15, wyrok WSA w Lublinie z dnia 8 marca 2016 r. sygn. akt </w:t>
      </w:r>
      <w:r w:rsidRPr="00E32DDD">
        <w:br/>
        <w:t xml:space="preserve">III SA/Lu 1366/15,  wyrok WSA </w:t>
      </w:r>
      <w:r w:rsidRPr="00E32DDD">
        <w:t>w Lublinie z dnia 5 lutego 2015 r. sygn. akt III SA/Lu 647/14, wyrok WSA w Łodzi z dnia 9 marca 2016 r. sygn. akt III SA/Łd 1273/15).</w:t>
      </w:r>
    </w:p>
    <w:p w:rsidR="00E32DDD" w:rsidRPr="00E32DDD" w:rsidRDefault="002B60F8" w:rsidP="00E32DDD">
      <w:pPr>
        <w:spacing w:line="360" w:lineRule="auto"/>
        <w:ind w:left="142" w:firstLine="708"/>
        <w:jc w:val="both"/>
        <w:rPr>
          <w:i/>
        </w:rPr>
      </w:pPr>
      <w:r w:rsidRPr="00E32DDD">
        <w:t xml:space="preserve">Po drugie § 7 regulaminu Rada Gminy Rybno postanowiła, że: </w:t>
      </w:r>
      <w:r w:rsidRPr="00E32DDD">
        <w:rPr>
          <w:i/>
        </w:rPr>
        <w:t xml:space="preserve">,,Pozbawienie tytułu </w:t>
      </w:r>
      <w:r w:rsidRPr="00E32DDD">
        <w:rPr>
          <w:i/>
        </w:rPr>
        <w:br/>
        <w:t>na wniosek organów wymienionych w § 4 ust</w:t>
      </w:r>
      <w:r w:rsidRPr="00E32DDD">
        <w:rPr>
          <w:i/>
        </w:rPr>
        <w:t>. 1 następuje w drodze uchwały podjętej zwykłą większością głosów ustawowego składu rady gminy”.</w:t>
      </w:r>
    </w:p>
    <w:p w:rsidR="00E32DDD" w:rsidRPr="00E32DDD" w:rsidRDefault="002B60F8" w:rsidP="00E32DDD">
      <w:pPr>
        <w:spacing w:line="360" w:lineRule="auto"/>
        <w:ind w:left="142" w:firstLine="708"/>
        <w:jc w:val="both"/>
        <w:rPr>
          <w:rFonts w:eastAsiaTheme="minorHAnsi"/>
          <w:shd w:val="clear" w:color="auto" w:fill="FFFFFF"/>
          <w:lang w:eastAsia="en-US"/>
        </w:rPr>
      </w:pPr>
      <w:r w:rsidRPr="00E32DDD">
        <w:t>W ocenie organu nadzoru powyższa regulacja została podjęta bez podstawy prawnej. Regulacje ustawowe w kwestiach głosowania są wyczerpujące i mają charakter bez</w:t>
      </w:r>
      <w:r w:rsidRPr="00E32DDD">
        <w:t xml:space="preserve">względnie obowiązujący, a rada gminy nie może tej kwestii regulować odmiennie. Zgodnie z art. 14 ust. 1 ustawy o samorządzie gminnym uchwały rady gminy zapadają zwykłą większością głosów </w:t>
      </w:r>
      <w:r w:rsidRPr="00E32DDD">
        <w:br/>
        <w:t xml:space="preserve">w obecności co najmniej połowy ustawowego składu rady, w głosowaniu </w:t>
      </w:r>
      <w:r w:rsidRPr="00E32DDD">
        <w:t xml:space="preserve">jawnym, chyba że ustawa stanowi inaczej. </w:t>
      </w:r>
      <w:r w:rsidRPr="00E32DDD">
        <w:rPr>
          <w:rFonts w:eastAsiaTheme="minorHAnsi"/>
          <w:shd w:val="clear" w:color="auto" w:fill="FFFFFF"/>
          <w:lang w:eastAsia="en-US"/>
        </w:rPr>
        <w:t>W tym ogólnym sformułowaniu chodzi o wszystkie przypadki, w których ustawodawca przyznał radzie gminy możliwość wypowiedzenia się w jakichkolwiek kwestiach merytorycznych. Wyjątki na gruncie ustawy o samorządzie gmi</w:t>
      </w:r>
      <w:r w:rsidRPr="00E32DDD">
        <w:rPr>
          <w:rFonts w:eastAsiaTheme="minorHAnsi"/>
          <w:shd w:val="clear" w:color="auto" w:fill="FFFFFF"/>
          <w:lang w:eastAsia="en-US"/>
        </w:rPr>
        <w:t xml:space="preserve">nnym przewidują: art. 19 ust. 1, </w:t>
      </w:r>
      <w:r w:rsidRPr="00E32DDD">
        <w:rPr>
          <w:rFonts w:eastAsiaTheme="minorHAnsi"/>
          <w:shd w:val="clear" w:color="auto" w:fill="FFFFFF"/>
          <w:lang w:eastAsia="en-US"/>
        </w:rPr>
        <w:br/>
        <w:t xml:space="preserve">art. 20 ust. 1a, art. 28a ust. 2 i 5, art. 28aa ust. 9, art. 28b ust. 4, art. 58 ust. 2, art. 67 ust. 1. </w:t>
      </w:r>
    </w:p>
    <w:p w:rsidR="00E32DDD" w:rsidRPr="00E32DDD" w:rsidRDefault="002B60F8" w:rsidP="00E32DDD">
      <w:pPr>
        <w:spacing w:line="360" w:lineRule="auto"/>
        <w:ind w:left="142" w:firstLine="708"/>
        <w:jc w:val="both"/>
        <w:rPr>
          <w:rFonts w:eastAsiaTheme="minorHAnsi"/>
          <w:shd w:val="clear" w:color="auto" w:fill="FFFFFF"/>
          <w:lang w:eastAsia="en-US"/>
        </w:rPr>
      </w:pPr>
      <w:r w:rsidRPr="00E32DDD">
        <w:rPr>
          <w:rFonts w:eastAsiaTheme="minorHAnsi"/>
          <w:shd w:val="clear" w:color="auto" w:fill="FFFFFF"/>
          <w:lang w:eastAsia="en-US"/>
        </w:rPr>
        <w:t xml:space="preserve">Należy wskazać, że postanowienia uchwalonego regulaminu nie mogą być sprzeczne </w:t>
      </w:r>
      <w:r w:rsidRPr="00E32DDD">
        <w:rPr>
          <w:rFonts w:eastAsiaTheme="minorHAnsi"/>
          <w:shd w:val="clear" w:color="auto" w:fill="FFFFFF"/>
          <w:lang w:eastAsia="en-US"/>
        </w:rPr>
        <w:br/>
      </w:r>
      <w:r w:rsidRPr="00E32DDD">
        <w:rPr>
          <w:rFonts w:eastAsiaTheme="minorHAnsi"/>
          <w:shd w:val="clear" w:color="auto" w:fill="FFFFFF"/>
          <w:lang w:eastAsia="en-US"/>
        </w:rPr>
        <w:t xml:space="preserve">z przepisami obowiązujących aktów prawnych wyższego rzędu lub tego samego rodzaju, </w:t>
      </w:r>
      <w:r>
        <w:rPr>
          <w:rFonts w:eastAsiaTheme="minorHAnsi"/>
          <w:shd w:val="clear" w:color="auto" w:fill="FFFFFF"/>
          <w:lang w:eastAsia="en-US"/>
        </w:rPr>
        <w:br/>
      </w:r>
      <w:r w:rsidRPr="00E32DDD">
        <w:rPr>
          <w:rFonts w:eastAsiaTheme="minorHAnsi"/>
          <w:shd w:val="clear" w:color="auto" w:fill="FFFFFF"/>
          <w:lang w:eastAsia="en-US"/>
        </w:rPr>
        <w:t>jak również regulamin taki nie powinien powielać norm prawnych wynikających wprost z ustawy. Zasadą prawną jest bowiem, że uchwała rady gminy nie może regulować jeszcze raz</w:t>
      </w:r>
      <w:r w:rsidRPr="00E32DDD">
        <w:rPr>
          <w:rFonts w:eastAsiaTheme="minorHAnsi"/>
          <w:shd w:val="clear" w:color="auto" w:fill="FFFFFF"/>
          <w:lang w:eastAsia="en-US"/>
        </w:rPr>
        <w:t xml:space="preserve"> tego, co zostało już wcześniej przez ustawodawcę unormowane i co stanowi przepis prawa powszechnie obowiązujący (</w:t>
      </w:r>
      <w:hyperlink r:id="rId8" w:history="1">
        <w:r w:rsidRPr="00E32DDD">
          <w:rPr>
            <w:rFonts w:eastAsiaTheme="minorHAnsi"/>
            <w:shd w:val="clear" w:color="auto" w:fill="FFFFFF"/>
            <w:lang w:eastAsia="en-US"/>
          </w:rPr>
          <w:t>§ 149</w:t>
        </w:r>
      </w:hyperlink>
      <w:r w:rsidRPr="00E32DDD">
        <w:rPr>
          <w:rFonts w:eastAsiaTheme="minorHAnsi"/>
          <w:shd w:val="clear" w:color="auto" w:fill="FFFFFF"/>
          <w:lang w:eastAsia="en-US"/>
        </w:rPr>
        <w:t xml:space="preserve"> rozporządzenia Rady Minist</w:t>
      </w:r>
      <w:r w:rsidRPr="00E32DDD">
        <w:rPr>
          <w:rFonts w:eastAsiaTheme="minorHAnsi"/>
          <w:shd w:val="clear" w:color="auto" w:fill="FFFFFF"/>
          <w:lang w:eastAsia="en-US"/>
        </w:rPr>
        <w:t xml:space="preserve">rów z dnia 20 czerwca 2002 r. w sprawie ,,Zasad techniki prawodawczej (Dz. U. z 2016 r. poz. 283). Jak zauważył Naczelny Sąd Administracyjny </w:t>
      </w:r>
      <w:r w:rsidRPr="00E32DDD">
        <w:rPr>
          <w:rFonts w:eastAsiaTheme="minorHAnsi"/>
          <w:shd w:val="clear" w:color="auto" w:fill="FFFFFF"/>
          <w:lang w:eastAsia="en-US"/>
        </w:rPr>
        <w:br/>
        <w:t xml:space="preserve">w wyroku z dnia 16 marca 2001 r. sygn. akt </w:t>
      </w:r>
      <w:hyperlink r:id="rId9" w:history="1">
        <w:r w:rsidRPr="00E32DDD">
          <w:rPr>
            <w:rFonts w:eastAsiaTheme="minorHAnsi"/>
            <w:shd w:val="clear" w:color="auto" w:fill="FFFFFF"/>
            <w:lang w:eastAsia="en-US"/>
          </w:rPr>
          <w:t>IV SA 385/99</w:t>
        </w:r>
      </w:hyperlink>
      <w:r w:rsidRPr="00E32DDD">
        <w:rPr>
          <w:rFonts w:eastAsiaTheme="minorHAnsi"/>
          <w:shd w:val="clear" w:color="auto" w:fill="FFFFFF"/>
          <w:lang w:eastAsia="en-US"/>
        </w:rPr>
        <w:t xml:space="preserve"> regulowanie przez gminę jeszcze raz tego, co zostało już zamieszczone w źródle powszechnie obowiązującego prawa narusza porządek prawny w stopniu istotnym. Należy bowiem w takiej sytuacji liczyć się z tym, że powtórzony prze</w:t>
      </w:r>
      <w:r w:rsidRPr="00E32DDD">
        <w:rPr>
          <w:rFonts w:eastAsiaTheme="minorHAnsi"/>
          <w:shd w:val="clear" w:color="auto" w:fill="FFFFFF"/>
          <w:lang w:eastAsia="en-US"/>
        </w:rPr>
        <w:t xml:space="preserve">pis ustawy będzie interpretowany w kontekście uchwały, w której go powtórzono, co może </w:t>
      </w:r>
      <w:r w:rsidRPr="00E32DDD">
        <w:rPr>
          <w:rFonts w:eastAsiaTheme="minorHAnsi"/>
          <w:shd w:val="clear" w:color="auto" w:fill="FFFFFF"/>
          <w:lang w:eastAsia="en-US"/>
        </w:rPr>
        <w:br/>
        <w:t>w istocie prowadzić do całkowitej lub częściowej zmiany intencji pracodawcy. Porządek prawny narusza także modyfikowanie przepisu ustawowego przez akt wykonawczy niższe</w:t>
      </w:r>
      <w:r w:rsidRPr="00E32DDD">
        <w:rPr>
          <w:rFonts w:eastAsiaTheme="minorHAnsi"/>
          <w:shd w:val="clear" w:color="auto" w:fill="FFFFFF"/>
          <w:lang w:eastAsia="en-US"/>
        </w:rPr>
        <w:t xml:space="preserve">go rzędu. Jakakolwiek </w:t>
      </w:r>
      <w:r w:rsidRPr="00E32DDD">
        <w:rPr>
          <w:rFonts w:eastAsiaTheme="minorHAnsi"/>
          <w:lang w:eastAsia="en-US"/>
        </w:rPr>
        <w:t>modyfikacja</w:t>
      </w:r>
      <w:r w:rsidRPr="00E32DDD">
        <w:rPr>
          <w:rFonts w:eastAsiaTheme="minorHAnsi"/>
          <w:shd w:val="clear" w:color="auto" w:fill="FFFFFF"/>
          <w:lang w:eastAsia="en-US"/>
        </w:rPr>
        <w:t xml:space="preserve"> przepisu ustawowego przez akt prawa miejscowego jest niedopuszczalna i jest uznawana w orzecznictwie za rażące naruszenie prawa, powodujące nieważność aktu (wyrok </w:t>
      </w:r>
      <w:r w:rsidRPr="00E32DDD">
        <w:rPr>
          <w:rFonts w:eastAsiaTheme="minorHAnsi"/>
          <w:shd w:val="clear" w:color="auto" w:fill="FFFFFF"/>
          <w:lang w:eastAsia="en-US"/>
        </w:rPr>
        <w:lastRenderedPageBreak/>
        <w:t xml:space="preserve">WSA w Poznaniu z dnia 30 czerwca 2011 r. sygn. akt </w:t>
      </w:r>
      <w:hyperlink r:id="rId10" w:history="1">
        <w:r w:rsidRPr="00E32DDD">
          <w:rPr>
            <w:rFonts w:eastAsiaTheme="minorHAnsi"/>
            <w:shd w:val="clear" w:color="auto" w:fill="FFFFFF"/>
            <w:lang w:eastAsia="en-US"/>
          </w:rPr>
          <w:t>IV SA/Po 431/11</w:t>
        </w:r>
      </w:hyperlink>
      <w:r w:rsidRPr="00E32DDD">
        <w:rPr>
          <w:rFonts w:eastAsiaTheme="minorHAnsi"/>
          <w:shd w:val="clear" w:color="auto" w:fill="FFFFFF"/>
          <w:lang w:eastAsia="en-US"/>
        </w:rPr>
        <w:t xml:space="preserve">, wyrok WSA w Poznaniu z dnia 10 grudnia 2014 r. sygn. akt </w:t>
      </w:r>
      <w:hyperlink r:id="rId11" w:history="1">
        <w:r w:rsidRPr="00E32DDD">
          <w:rPr>
            <w:rFonts w:eastAsiaTheme="minorHAnsi"/>
            <w:shd w:val="clear" w:color="auto" w:fill="FFFFFF"/>
            <w:lang w:eastAsia="en-US"/>
          </w:rPr>
          <w:t>IV SA/Po 74</w:t>
        </w:r>
        <w:r w:rsidRPr="00E32DDD">
          <w:rPr>
            <w:rFonts w:eastAsiaTheme="minorHAnsi"/>
            <w:shd w:val="clear" w:color="auto" w:fill="FFFFFF"/>
            <w:lang w:eastAsia="en-US"/>
          </w:rPr>
          <w:t>6/14</w:t>
        </w:r>
      </w:hyperlink>
      <w:r w:rsidRPr="00E32DDD">
        <w:rPr>
          <w:rFonts w:eastAsiaTheme="minorHAnsi"/>
          <w:shd w:val="clear" w:color="auto" w:fill="FFFFFF"/>
          <w:lang w:eastAsia="en-US"/>
        </w:rPr>
        <w:t xml:space="preserve">). </w:t>
      </w:r>
    </w:p>
    <w:p w:rsidR="00E32DDD" w:rsidRPr="00E32DDD" w:rsidRDefault="002B60F8" w:rsidP="00E32DDD">
      <w:pPr>
        <w:spacing w:line="360" w:lineRule="auto"/>
        <w:ind w:left="142"/>
        <w:jc w:val="both"/>
        <w:rPr>
          <w:i/>
        </w:rPr>
      </w:pPr>
      <w:r w:rsidRPr="00E32DDD">
        <w:rPr>
          <w:i/>
        </w:rPr>
        <w:tab/>
      </w:r>
      <w:r w:rsidRPr="00E32DDD">
        <w:t xml:space="preserve">Po trzecie w § 1 ust. 2 regulaminu Rada Gminy Rybno postanowiła, że: </w:t>
      </w:r>
      <w:r w:rsidRPr="00E32DDD">
        <w:rPr>
          <w:i/>
        </w:rPr>
        <w:t>,,Widocznym emblematem tytułu jest jednostronna odznaka z herbem gminy – otoczonym napisem ,,Honorowy Obywatel Gminy Rybno”, zwanej dalej odznaką”.</w:t>
      </w:r>
    </w:p>
    <w:p w:rsidR="00E32DDD" w:rsidRPr="00E32DDD" w:rsidRDefault="002B60F8" w:rsidP="00E32DDD">
      <w:pPr>
        <w:spacing w:line="360" w:lineRule="auto"/>
        <w:ind w:left="142" w:firstLine="708"/>
        <w:jc w:val="both"/>
        <w:rPr>
          <w:i/>
        </w:rPr>
      </w:pPr>
      <w:r w:rsidRPr="00E32DDD">
        <w:rPr>
          <w:rFonts w:eastAsiaTheme="minorHAnsi"/>
          <w:lang w:eastAsia="en-US"/>
        </w:rPr>
        <w:t>W ocenie organu nadzoru art</w:t>
      </w:r>
      <w:r w:rsidRPr="00E32DDD">
        <w:rPr>
          <w:rFonts w:eastAsiaTheme="minorHAnsi"/>
          <w:lang w:eastAsia="en-US"/>
        </w:rPr>
        <w:t xml:space="preserve">ykuł 18 ust. 2 pkt 14 ustawy o samorządzie gminnym nie ma zastosowania do regulacji dotyczących przyznawania </w:t>
      </w:r>
      <w:r w:rsidRPr="00E32DDD">
        <w:rPr>
          <w:rFonts w:eastAsiaTheme="minorHAnsi"/>
          <w:iCs/>
          <w:lang w:eastAsia="en-US"/>
        </w:rPr>
        <w:t>odznak</w:t>
      </w:r>
      <w:r w:rsidRPr="00E32DDD">
        <w:rPr>
          <w:rFonts w:eastAsiaTheme="minorHAnsi"/>
          <w:i/>
          <w:lang w:eastAsia="en-US"/>
        </w:rPr>
        <w:t>.</w:t>
      </w:r>
      <w:r w:rsidRPr="00E32DDD">
        <w:rPr>
          <w:rFonts w:eastAsiaTheme="minorHAnsi"/>
          <w:lang w:eastAsia="en-US"/>
        </w:rPr>
        <w:t xml:space="preserve"> Stosownie natomiast do postanowień </w:t>
      </w:r>
      <w:hyperlink r:id="rId12" w:anchor="/document/16790299?unitId=art(3)ust(1)&amp;cm=DOCUMENT" w:history="1">
        <w:r w:rsidRPr="00E32DDD">
          <w:rPr>
            <w:rFonts w:eastAsiaTheme="minorHAnsi"/>
            <w:lang w:eastAsia="en-US"/>
          </w:rPr>
          <w:t>art. 3 ust. 1</w:t>
        </w:r>
      </w:hyperlink>
      <w:r w:rsidRPr="00E32DDD">
        <w:rPr>
          <w:rFonts w:eastAsiaTheme="minorHAnsi"/>
          <w:lang w:eastAsia="en-US"/>
        </w:rPr>
        <w:t xml:space="preserve"> ustawy z dnia 21 grudnia 1978 r. o </w:t>
      </w:r>
      <w:r w:rsidRPr="00E32DDD">
        <w:rPr>
          <w:rFonts w:eastAsiaTheme="minorHAnsi"/>
          <w:iCs/>
          <w:lang w:eastAsia="en-US"/>
        </w:rPr>
        <w:t>odznakach</w:t>
      </w:r>
      <w:r w:rsidRPr="00E32DDD">
        <w:rPr>
          <w:rFonts w:eastAsiaTheme="minorHAnsi"/>
          <w:lang w:eastAsia="en-US"/>
        </w:rPr>
        <w:t xml:space="preserve"> i mundurach (Dz. U. z 2016 r. poz. 38), jednostki samorządu terytorialnego mogą ustanawiać, w drodze uchwały organu stanowiącego danej jednostki, własne herby, flagi, emblematy oraz insygnia i inne symbole. Z </w:t>
      </w:r>
      <w:r w:rsidRPr="00E32DDD">
        <w:rPr>
          <w:rFonts w:eastAsiaTheme="minorHAnsi"/>
          <w:lang w:eastAsia="en-US"/>
        </w:rPr>
        <w:t xml:space="preserve">kolei </w:t>
      </w:r>
      <w:hyperlink r:id="rId13" w:anchor="/document/16790299?unitId=art(3)ust(3)&amp;cm=DOCUMENT" w:history="1">
        <w:r w:rsidRPr="00E32DDD">
          <w:rPr>
            <w:rFonts w:eastAsiaTheme="minorHAnsi"/>
            <w:lang w:eastAsia="en-US"/>
          </w:rPr>
          <w:t>ust. 3</w:t>
        </w:r>
      </w:hyperlink>
      <w:r w:rsidRPr="00E32DDD">
        <w:rPr>
          <w:rFonts w:eastAsiaTheme="minorHAnsi"/>
          <w:lang w:eastAsia="en-US"/>
        </w:rPr>
        <w:t xml:space="preserve"> powołanego artykułu ustawy określa, iż wzory symboli, o których mowa w </w:t>
      </w:r>
      <w:hyperlink r:id="rId14" w:anchor="/document/16790299?unitId=art(3)ust(1)&amp;cm=DOCUMENT" w:history="1">
        <w:r w:rsidRPr="00E32DDD">
          <w:rPr>
            <w:rFonts w:eastAsiaTheme="minorHAnsi"/>
            <w:lang w:eastAsia="en-US"/>
          </w:rPr>
          <w:t>ust. 1</w:t>
        </w:r>
      </w:hyperlink>
      <w:r w:rsidRPr="00E32DDD">
        <w:rPr>
          <w:rFonts w:eastAsiaTheme="minorHAnsi"/>
          <w:lang w:eastAsia="en-US"/>
        </w:rPr>
        <w:t>, wymagają zaopiniowania przez ministra właściwego do spraw administracji publicznej.</w:t>
      </w:r>
      <w:r w:rsidRPr="00E32DDD">
        <w:rPr>
          <w:i/>
        </w:rPr>
        <w:t xml:space="preserve"> </w:t>
      </w:r>
      <w:r w:rsidRPr="00E32DDD">
        <w:t xml:space="preserve">Pojęcie ,,inne symbole" obejmuje swoim zakresem również </w:t>
      </w:r>
      <w:r w:rsidRPr="00E32DDD">
        <w:rPr>
          <w:i/>
          <w:iCs/>
        </w:rPr>
        <w:t>odznaki</w:t>
      </w:r>
      <w:r w:rsidRPr="00E32DDD">
        <w:t xml:space="preserve">, o których mowa w </w:t>
      </w:r>
      <w:hyperlink r:id="rId15" w:anchor="/document/16790299?unitId=art(2)&amp;cm=DOCUMENT" w:history="1">
        <w:r w:rsidRPr="00E32DDD">
          <w:t>art. 2</w:t>
        </w:r>
      </w:hyperlink>
      <w:r w:rsidRPr="00E32DDD">
        <w:t xml:space="preserve"> ustawy o </w:t>
      </w:r>
      <w:r w:rsidRPr="00E32DDD">
        <w:rPr>
          <w:i/>
          <w:iCs/>
        </w:rPr>
        <w:t>odznakach</w:t>
      </w:r>
      <w:r w:rsidRPr="00E32DDD">
        <w:t xml:space="preserve"> i mundurach. Stanowisko takie zajął Naczelny Sąd Administracyjny, który dokonując wykładni językowej przepisów </w:t>
      </w:r>
      <w:hyperlink r:id="rId16" w:anchor="/document/16790299?unitId=art(2)&amp;cm=DOCUMENT" w:history="1">
        <w:r w:rsidRPr="00E32DDD">
          <w:t>art. 2</w:t>
        </w:r>
      </w:hyperlink>
      <w:r w:rsidRPr="00E32DDD">
        <w:t xml:space="preserve"> i </w:t>
      </w:r>
      <w:hyperlink r:id="rId17" w:anchor="/document/16790299?unitId=art(3)&amp;cm=DOCUMENT" w:history="1">
        <w:r w:rsidRPr="00E32DDD">
          <w:t>art. 3</w:t>
        </w:r>
      </w:hyperlink>
      <w:r w:rsidRPr="00E32DDD">
        <w:t xml:space="preserve"> ustawy stwierdził, że: ,,</w:t>
      </w:r>
      <w:r w:rsidRPr="00E32DDD">
        <w:rPr>
          <w:i/>
          <w:iCs/>
        </w:rPr>
        <w:t>odznaka</w:t>
      </w:r>
      <w:r w:rsidRPr="00E32DDD">
        <w:rPr>
          <w:i/>
        </w:rPr>
        <w:t xml:space="preserve"> mieści się w pojęciu szerszym </w:t>
      </w:r>
      <w:r w:rsidRPr="00E32DDD">
        <w:rPr>
          <w:i/>
        </w:rPr>
        <w:br/>
        <w:t>i do tego wieloznacznym, jakim jest s</w:t>
      </w:r>
      <w:r w:rsidRPr="00E32DDD">
        <w:rPr>
          <w:i/>
        </w:rPr>
        <w:t xml:space="preserve">ymbol. Tym samym </w:t>
      </w:r>
      <w:r w:rsidRPr="00E32DDD">
        <w:rPr>
          <w:i/>
          <w:iCs/>
        </w:rPr>
        <w:t>odznaka</w:t>
      </w:r>
      <w:r w:rsidRPr="00E32DDD">
        <w:rPr>
          <w:i/>
        </w:rPr>
        <w:t xml:space="preserve"> jest "innym symbolem", o jakim mowa w </w:t>
      </w:r>
      <w:hyperlink r:id="rId18" w:anchor="/document/16790299?unitId=art(3)ust(1)&amp;cm=DOCUMENT" w:history="1">
        <w:r w:rsidRPr="00E32DDD">
          <w:rPr>
            <w:i/>
          </w:rPr>
          <w:t>art. 3 ust. 1</w:t>
        </w:r>
      </w:hyperlink>
      <w:r w:rsidRPr="00E32DDD">
        <w:rPr>
          <w:i/>
        </w:rPr>
        <w:t xml:space="preserve"> ustawy</w:t>
      </w:r>
      <w:r w:rsidRPr="00E32DDD">
        <w:t xml:space="preserve">" (wyrok NSA z dnia 5 maja 2005 r. sygn. akt </w:t>
      </w:r>
      <w:hyperlink r:id="rId19" w:anchor="/document/520261790?cm=DOCUMENT" w:history="1">
        <w:r w:rsidRPr="00E32DDD">
          <w:t>OSK 1916/04</w:t>
        </w:r>
      </w:hyperlink>
      <w:r w:rsidRPr="00E32DDD">
        <w:t xml:space="preserve">). </w:t>
      </w:r>
    </w:p>
    <w:p w:rsidR="00E32DDD" w:rsidRPr="00E32DDD" w:rsidRDefault="002B60F8" w:rsidP="00E32DDD">
      <w:pPr>
        <w:spacing w:line="360" w:lineRule="auto"/>
        <w:ind w:left="142" w:firstLine="708"/>
        <w:jc w:val="both"/>
        <w:rPr>
          <w:i/>
        </w:rPr>
      </w:pPr>
      <w:r w:rsidRPr="00E32DDD">
        <w:t xml:space="preserve">W tej sytuacji należy uznać, iż ustanowienie przez Radę Gminy Rybno odznaki, winno nastąpić w trybie określonym w </w:t>
      </w:r>
      <w:hyperlink r:id="rId20" w:anchor="/document/16790299?unitId=art(3)&amp;cm=DOCUMENT" w:history="1">
        <w:r w:rsidRPr="00E32DDD">
          <w:t>art. 3</w:t>
        </w:r>
      </w:hyperlink>
      <w:r w:rsidRPr="00E32DDD">
        <w:t xml:space="preserve"> ustawy o </w:t>
      </w:r>
      <w:r w:rsidRPr="00E32DDD">
        <w:rPr>
          <w:iCs/>
        </w:rPr>
        <w:t>odznakach</w:t>
      </w:r>
      <w:r w:rsidRPr="00E32DDD">
        <w:t xml:space="preserve"> i mundurach, w szczególności zaś być poprzedzone uzyskaniem opinii Ministra Spraw Wewnętrznych i Administracji w zakresie jego wzoru.</w:t>
      </w:r>
    </w:p>
    <w:p w:rsidR="00E32DDD" w:rsidRPr="00E32DDD" w:rsidRDefault="002B60F8" w:rsidP="00E32DDD">
      <w:pPr>
        <w:spacing w:line="360" w:lineRule="auto"/>
        <w:ind w:left="113" w:firstLine="709"/>
        <w:jc w:val="both"/>
      </w:pPr>
      <w:r w:rsidRPr="00E32DDD">
        <w:t xml:space="preserve">Mając na uwadze powyższe, stwierdzenie nieważności przedmiotowej </w:t>
      </w:r>
      <w:r w:rsidRPr="00E32DDD">
        <w:rPr>
          <w:bCs/>
        </w:rPr>
        <w:t xml:space="preserve">uchwały </w:t>
      </w:r>
      <w:r w:rsidRPr="00E32DDD">
        <w:t>Rady Gminy Rybno, w całości</w:t>
      </w:r>
      <w:r w:rsidRPr="00E32DDD">
        <w:t>, jest w pełni uzasadnione.</w:t>
      </w:r>
    </w:p>
    <w:p w:rsidR="00E32DDD" w:rsidRPr="00E32DDD" w:rsidRDefault="002B60F8" w:rsidP="00E32DDD">
      <w:pPr>
        <w:spacing w:line="360" w:lineRule="auto"/>
        <w:ind w:left="142" w:firstLine="708"/>
        <w:jc w:val="both"/>
      </w:pPr>
      <w:r w:rsidRPr="00E32DDD">
        <w:t xml:space="preserve">Na niniejsze rozstrzygnięcie nadzorcze Gminie przysługuje skarga do Wojewódzkiego Sądu Administracyjnego w Warszawie w terminie 30 dni od daty jego doręczenia, wnoszona </w:t>
      </w:r>
      <w:r w:rsidRPr="00E32DDD">
        <w:br/>
        <w:t>za pośrednictwem organu, który skarżone orzeczenie wydał.</w:t>
      </w:r>
    </w:p>
    <w:p w:rsidR="00E32DDD" w:rsidRPr="00E32DDD" w:rsidRDefault="002B60F8" w:rsidP="00E32DDD">
      <w:pPr>
        <w:spacing w:line="360" w:lineRule="auto"/>
        <w:ind w:left="142" w:firstLine="708"/>
        <w:jc w:val="both"/>
      </w:pPr>
      <w:r w:rsidRPr="00E32DDD">
        <w:t xml:space="preserve">Informuję, że rozstrzygnięcie nadzorcze wstrzymuje wykonanie uchwały z mocy prawa </w:t>
      </w:r>
      <w:r w:rsidRPr="00E32DDD">
        <w:br/>
        <w:t>z dniem jego doręczenia.</w:t>
      </w:r>
    </w:p>
    <w:p w:rsidR="00060D92" w:rsidRPr="00371565" w:rsidRDefault="002B60F8" w:rsidP="001350F7">
      <w:pPr>
        <w:spacing w:line="360" w:lineRule="auto"/>
        <w:ind w:firstLine="708"/>
        <w:jc w:val="both"/>
      </w:pPr>
    </w:p>
    <w:p w:rsidR="00F83BB2" w:rsidRDefault="002B60F8" w:rsidP="00F83BB2">
      <w:pPr>
        <w:spacing w:line="276" w:lineRule="auto"/>
        <w:ind w:left="2825" w:firstLine="720"/>
        <w:jc w:val="center"/>
        <w:rPr>
          <w:i/>
        </w:rPr>
      </w:pPr>
      <w:bookmarkStart w:id="2" w:name="ezdPracownikNazwa"/>
      <w:r>
        <w:rPr>
          <w:i/>
        </w:rPr>
        <w:t>Konstanty Radziwiłł</w:t>
      </w:r>
      <w:bookmarkEnd w:id="2"/>
    </w:p>
    <w:p w:rsidR="00ED4124" w:rsidRDefault="002B60F8" w:rsidP="00F83BB2">
      <w:pPr>
        <w:spacing w:line="276" w:lineRule="auto"/>
        <w:ind w:left="2825" w:firstLine="720"/>
        <w:jc w:val="center"/>
        <w:rPr>
          <w:i/>
        </w:rPr>
      </w:pPr>
      <w:bookmarkStart w:id="3" w:name="ezdPracownikStanowisko"/>
      <w:r>
        <w:rPr>
          <w:i/>
        </w:rPr>
        <w:t>Wojewoda Mazowiecki</w:t>
      </w:r>
      <w:bookmarkEnd w:id="3"/>
    </w:p>
    <w:p w:rsidR="00F83BB2" w:rsidRPr="00FA0791" w:rsidRDefault="002B60F8" w:rsidP="00F83BB2">
      <w:pPr>
        <w:spacing w:line="276" w:lineRule="auto"/>
        <w:rPr>
          <w:i/>
        </w:rPr>
      </w:pPr>
    </w:p>
    <w:p w:rsidR="00F83BB2" w:rsidRPr="00FA0791" w:rsidRDefault="002B60F8" w:rsidP="00F83BB2">
      <w:pPr>
        <w:spacing w:line="276" w:lineRule="auto"/>
        <w:ind w:left="4963" w:hanging="1561"/>
        <w:jc w:val="center"/>
        <w:rPr>
          <w:sz w:val="20"/>
          <w:szCs w:val="20"/>
        </w:rPr>
      </w:pPr>
      <w:r w:rsidRPr="00FA0791">
        <w:rPr>
          <w:sz w:val="20"/>
          <w:szCs w:val="20"/>
        </w:rPr>
        <w:t>/podpisano bezpiecznym podpisem elektronicznym</w:t>
      </w:r>
    </w:p>
    <w:p w:rsidR="001C565F" w:rsidRPr="00FA0791" w:rsidRDefault="002B60F8" w:rsidP="003A57A2">
      <w:pPr>
        <w:spacing w:line="276" w:lineRule="auto"/>
        <w:ind w:left="4963" w:hanging="1561"/>
        <w:jc w:val="center"/>
        <w:rPr>
          <w:sz w:val="20"/>
          <w:szCs w:val="20"/>
        </w:rPr>
      </w:pPr>
      <w:r w:rsidRPr="00FA0791">
        <w:rPr>
          <w:sz w:val="20"/>
          <w:szCs w:val="20"/>
        </w:rPr>
        <w:t>weryfikowanym ważnym kwalifikowanym certyfikatem/</w:t>
      </w:r>
    </w:p>
    <w:sectPr w:rsidR="001C565F" w:rsidRPr="00FA0791" w:rsidSect="00536044">
      <w:footerReference w:type="default" r:id="rId21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0F8" w:rsidRDefault="002B60F8">
      <w:r>
        <w:separator/>
      </w:r>
    </w:p>
  </w:endnote>
  <w:endnote w:type="continuationSeparator" w:id="0">
    <w:p w:rsidR="002B60F8" w:rsidRDefault="002B6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85121060"/>
      <w:docPartObj>
        <w:docPartGallery w:val="Page Numbers (Bottom of Page)"/>
        <w:docPartUnique/>
      </w:docPartObj>
    </w:sdtPr>
    <w:sdtEndPr/>
    <w:sdtContent>
      <w:p w:rsidR="00497418" w:rsidRDefault="002B60F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97418" w:rsidRDefault="002B60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0F8" w:rsidRDefault="002B60F8">
      <w:r>
        <w:separator/>
      </w:r>
    </w:p>
  </w:footnote>
  <w:footnote w:type="continuationSeparator" w:id="0">
    <w:p w:rsidR="002B60F8" w:rsidRDefault="002B6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5F1"/>
    <w:rsid w:val="002B60F8"/>
    <w:rsid w:val="0039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D6847E-0DD8-444D-8BC6-D4D9FAC4C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3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aliases w:val="Czarny,Interl...,Normalny + 12 pt,Po:  0 pt,Wyrównany do środka"/>
    <w:uiPriority w:val="22"/>
    <w:qFormat/>
    <w:rsid w:val="00F83BB2"/>
    <w:rPr>
      <w:b/>
      <w:bCs/>
    </w:rPr>
  </w:style>
  <w:style w:type="paragraph" w:styleId="NormalnyWeb">
    <w:name w:val="Normal (Web)"/>
    <w:basedOn w:val="Normalny"/>
    <w:uiPriority w:val="99"/>
    <w:unhideWhenUsed/>
    <w:rsid w:val="00F83BB2"/>
    <w:pPr>
      <w:spacing w:before="100" w:beforeAutospacing="1" w:after="100" w:afterAutospacing="1"/>
    </w:pPr>
  </w:style>
  <w:style w:type="character" w:customStyle="1" w:styleId="highlight-disabled">
    <w:name w:val="highlight-disabled"/>
    <w:basedOn w:val="Domylnaczcionkaakapitu"/>
    <w:rsid w:val="00F83BB2"/>
  </w:style>
  <w:style w:type="character" w:customStyle="1" w:styleId="articletitle">
    <w:name w:val="articletitle"/>
    <w:basedOn w:val="Domylnaczcionkaakapitu"/>
    <w:rsid w:val="00951287"/>
  </w:style>
  <w:style w:type="character" w:styleId="Hipercze">
    <w:name w:val="Hyperlink"/>
    <w:basedOn w:val="Domylnaczcionkaakapitu"/>
    <w:uiPriority w:val="99"/>
    <w:semiHidden/>
    <w:unhideWhenUsed/>
    <w:rsid w:val="00951287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07A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07A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07A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4E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4E1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6E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6EA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6EA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6E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6EA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16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16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16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16C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uguytcnrygu3c44dboaxdenrtha3dqnbr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s://sip.legalis.pl/document-view.seam?documentId=mrswglrrge2temrxgaydo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sip.legalis.pl/document-view.seam?documentId=mrswglrtgeytcmrtgmztc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sip.lex.pl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ip.legalis.pl/document-view.seam?documentId=mrswglrsha2toojzhe3dq" TargetMode="External"/><Relationship Id="rId19" Type="http://schemas.openxmlformats.org/officeDocument/2006/relationships/hyperlink" Target="https://sip.lex.pl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ip.legalis.pl/document-view.seam?documentId=mrswglrugaydmmbyguzq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2022</Words>
  <Characters>12135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14129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Sioch-Suchecka</dc:creator>
  <cp:lastModifiedBy>Beata Darnowska</cp:lastModifiedBy>
  <cp:revision>2</cp:revision>
  <cp:lastPrinted>2021-06-16T13:13:00Z</cp:lastPrinted>
  <dcterms:created xsi:type="dcterms:W3CDTF">2021-07-06T06:37:00Z</dcterms:created>
  <dcterms:modified xsi:type="dcterms:W3CDTF">2021-07-06T06:37:00Z</dcterms:modified>
</cp:coreProperties>
</file>