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8F" w:rsidRPr="00903A8F" w:rsidRDefault="00903A8F" w:rsidP="00903A8F">
      <w:pPr>
        <w:tabs>
          <w:tab w:val="center" w:pos="1488"/>
          <w:tab w:val="center" w:pos="2977"/>
        </w:tabs>
        <w:spacing w:line="360" w:lineRule="auto"/>
        <w:ind w:right="6095"/>
        <w:rPr>
          <w:rFonts w:ascii="Arial" w:hAnsi="Arial" w:cs="Arial"/>
          <w:sz w:val="24"/>
          <w:szCs w:val="24"/>
        </w:rPr>
      </w:pPr>
      <w:bookmarkStart w:id="0" w:name="ezdPracownikMiejscowoscPodpisu"/>
      <w:r w:rsidRPr="00903A8F">
        <w:rPr>
          <w:rFonts w:ascii="Arial" w:hAnsi="Arial" w:cs="Arial"/>
          <w:sz w:val="24"/>
          <w:szCs w:val="24"/>
        </w:rPr>
        <w:t>Wojewoda Pomorski</w:t>
      </w:r>
    </w:p>
    <w:p w:rsidR="00C40687" w:rsidRPr="00903A8F" w:rsidRDefault="00E63EE2" w:rsidP="00903A8F">
      <w:pPr>
        <w:spacing w:line="360" w:lineRule="auto"/>
        <w:rPr>
          <w:rFonts w:ascii="Arial" w:hAnsi="Arial" w:cs="Arial"/>
          <w:sz w:val="24"/>
          <w:szCs w:val="24"/>
        </w:rPr>
      </w:pPr>
      <w:r w:rsidRPr="00903A8F">
        <w:rPr>
          <w:rFonts w:ascii="Arial" w:hAnsi="Arial" w:cs="Arial"/>
          <w:sz w:val="24"/>
          <w:szCs w:val="24"/>
        </w:rPr>
        <w:t>Gdańsk</w:t>
      </w:r>
      <w:bookmarkEnd w:id="0"/>
      <w:r w:rsidRPr="00903A8F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Pr="00903A8F">
        <w:rPr>
          <w:rFonts w:ascii="Arial" w:hAnsi="Arial" w:cs="Arial"/>
          <w:sz w:val="24"/>
          <w:szCs w:val="24"/>
        </w:rPr>
        <w:t>6 maja 2024</w:t>
      </w:r>
      <w:bookmarkEnd w:id="1"/>
      <w:r w:rsidRPr="00903A8F">
        <w:rPr>
          <w:rFonts w:ascii="Arial" w:hAnsi="Arial" w:cs="Arial"/>
          <w:sz w:val="24"/>
          <w:szCs w:val="24"/>
        </w:rPr>
        <w:t xml:space="preserve"> r.</w:t>
      </w:r>
    </w:p>
    <w:p w:rsidR="00E965CA" w:rsidRDefault="00E63EE2" w:rsidP="00E965CA">
      <w:pPr>
        <w:spacing w:line="360" w:lineRule="auto"/>
        <w:rPr>
          <w:rFonts w:ascii="Arial" w:hAnsi="Arial" w:cs="Arial"/>
          <w:sz w:val="24"/>
          <w:szCs w:val="24"/>
        </w:rPr>
      </w:pPr>
      <w:bookmarkStart w:id="2" w:name="ezdSprawaZnak"/>
      <w:r w:rsidRPr="00903A8F">
        <w:rPr>
          <w:rFonts w:ascii="Arial" w:hAnsi="Arial" w:cs="Arial"/>
          <w:sz w:val="24"/>
          <w:szCs w:val="24"/>
        </w:rPr>
        <w:t>NSP-VIII.7581.1.194.2023</w:t>
      </w:r>
      <w:bookmarkEnd w:id="2"/>
      <w:r w:rsidRPr="00903A8F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903A8F">
        <w:rPr>
          <w:rFonts w:ascii="Arial" w:hAnsi="Arial" w:cs="Arial"/>
          <w:sz w:val="24"/>
          <w:szCs w:val="24"/>
        </w:rPr>
        <w:t>AG</w:t>
      </w:r>
      <w:bookmarkEnd w:id="3"/>
    </w:p>
    <w:p w:rsidR="00903A8F" w:rsidRPr="008D7424" w:rsidRDefault="00903A8F" w:rsidP="00E965CA">
      <w:pPr>
        <w:spacing w:line="360" w:lineRule="auto"/>
        <w:rPr>
          <w:rFonts w:ascii="Arial" w:hAnsi="Arial" w:cs="Arial"/>
          <w:sz w:val="24"/>
          <w:szCs w:val="24"/>
        </w:rPr>
      </w:pPr>
      <w:r w:rsidRPr="008D7424">
        <w:rPr>
          <w:rFonts w:ascii="Arial" w:hAnsi="Arial" w:cs="Arial"/>
          <w:sz w:val="24"/>
          <w:szCs w:val="24"/>
        </w:rPr>
        <w:t>Obwieszczenie</w:t>
      </w:r>
    </w:p>
    <w:p w:rsidR="004F62D6" w:rsidRPr="00903A8F" w:rsidRDefault="00E63EE2" w:rsidP="00E965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03A8F">
        <w:rPr>
          <w:rFonts w:ascii="Arial" w:hAnsi="Arial" w:cs="Arial"/>
          <w:sz w:val="24"/>
          <w:szCs w:val="24"/>
        </w:rPr>
        <w:t>Wojewoda Pomorski, działając na podstawie art. 49a ustawy z dnia 14 czerwca 1960 r.- Kodeks postępowania administracyjnego (j. t. Dz. U. z 2024 r., poz. 572), oraz art. 8 ustawy z dnia 21 sierpnia 1997 r. o gospodarce nieruchomościami (j. t. Dz. U. z 2023 r., poz. 344 ze zm.), podaje do publicznej wiadomości, że w dniu 29 kwietnia 2024 r. wydał decyzję nr NSP-VIII.7581.1.1</w:t>
      </w:r>
      <w:bookmarkStart w:id="4" w:name="_GoBack"/>
      <w:bookmarkEnd w:id="4"/>
      <w:r w:rsidRPr="00903A8F">
        <w:rPr>
          <w:rFonts w:ascii="Arial" w:hAnsi="Arial" w:cs="Arial"/>
          <w:sz w:val="24"/>
          <w:szCs w:val="24"/>
        </w:rPr>
        <w:t>94.2023.AG utrzymującą w mocy zaskarżoną decyzję Starosty Lęborskiego, wykonującego zadanie z zakresu administracji rządowej, z dnia 13 czerwca 2023 r., nr G.683.27.2015.SP.JK, orzekającą o ustaleniu odszkodowania w łącznej wysokości 12 642,00 zł (słownie: dwanaście tysięcy sześćset czterdzieści dwa złote 00/100) za nieruchomość oznaczoną jako działka nr 331/2 o pow. 29 m², położoną w obrębie 7 miasta Lęborka, dla której Sąd Rejonowy w Lęborku V Wydział Ksiąg Wieczystych prowadził księgę wieczystą nr SL1L/00030078/9 (obecnie księga wieczysta nr SL1L/00014766/1), na rzecz: „ELWOZ” Sp. z o.o. z siedzibą w Szklanej, właścicieli wyodrębnionych lokali, zgodnie z przypadającymi im udziałami oraz wierzycieli hipotecznych ujawnionych w działach IV ksiąg wieczystych wyodrębnionych lokali, objętą decyzją Starosty Lęborskiego, wykonującego zadanie z zakresu administracji rządowej, z dnia 16 listopada 2015 r., nr 689/2015, sygn. akt B.6740.589.2015 o zezwoleniu na realizację inwestycji drogowej pn. „rozbudowie z przebudową ulicy Dworcowej i Warszawskiej w Lęborku związanej z budową Lęborskiego Węzła Przesiadkowego wraz z ciągami komunikacyjnymi i infrastrukturą techniczną” oraz o zobowiązaniu Burmistrza Miasta Lęborka do jego wypłaty, jednorazowo, w terminie 14 dni od dnia, w którym decyzja stanie się ostateczna.</w:t>
      </w:r>
    </w:p>
    <w:p w:rsidR="004F62D6" w:rsidRPr="00903A8F" w:rsidRDefault="00E63EE2" w:rsidP="00E965CA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903A8F">
        <w:rPr>
          <w:rFonts w:ascii="Arial" w:hAnsi="Arial" w:cs="Arial"/>
          <w:sz w:val="24"/>
          <w:szCs w:val="24"/>
        </w:rPr>
        <w:t>Informuję, że strony, mogą zapoznać się z treścią decyzji w Oddziale Orzecznictwa Wydziału Nieruchomości i Skarbu Państwa Pomorskiego Urzędu Wojewódzkiego w Gdańsku, ul. Okopowa 21/27 (pokój nr 429, IV piętro) po okazaniu odpowiedniego dokumentu.</w:t>
      </w:r>
    </w:p>
    <w:p w:rsidR="004F62D6" w:rsidRPr="00903A8F" w:rsidRDefault="00E63EE2" w:rsidP="00E965CA">
      <w:pPr>
        <w:spacing w:after="0" w:line="360" w:lineRule="auto"/>
        <w:ind w:firstLine="424"/>
        <w:rPr>
          <w:rFonts w:ascii="Arial" w:hAnsi="Arial" w:cs="Arial"/>
          <w:sz w:val="24"/>
          <w:szCs w:val="24"/>
        </w:rPr>
      </w:pPr>
      <w:r w:rsidRPr="00903A8F">
        <w:rPr>
          <w:rFonts w:ascii="Arial" w:hAnsi="Arial" w:cs="Arial"/>
          <w:sz w:val="24"/>
          <w:szCs w:val="24"/>
        </w:rPr>
        <w:lastRenderedPageBreak/>
        <w:t>W związku z powyższym, kontakt telefoniczny z pracownikiem prowadzącym sprawę – Panią Anną Gendek jest możliwy w godzinach urzędowania: 7:45 – 15:45, tel. (58) 30 77 168 lub (58) 30 77 508 (sekretariat) lub mailowy (anna.gendek@gdansk.uw.gov.pl lub nsp@gdansk.uw.gov.pl).</w:t>
      </w:r>
    </w:p>
    <w:p w:rsidR="00EF46BF" w:rsidRPr="00903A8F" w:rsidRDefault="00E63EE2" w:rsidP="00E965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03A8F">
        <w:rPr>
          <w:rFonts w:ascii="Arial" w:hAnsi="Arial" w:cs="Arial"/>
          <w:sz w:val="24"/>
          <w:szCs w:val="24"/>
        </w:rPr>
        <w:t>Pouczenie:</w:t>
      </w:r>
    </w:p>
    <w:p w:rsidR="00EF46BF" w:rsidRPr="00903A8F" w:rsidRDefault="00E63EE2" w:rsidP="00E965CA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3A8F">
        <w:rPr>
          <w:rFonts w:ascii="Arial" w:hAnsi="Arial" w:cs="Arial"/>
          <w:sz w:val="24"/>
          <w:szCs w:val="24"/>
        </w:rPr>
        <w:t>Na niniejsze rozstrzygnięcie przysługuje stronom prawo złożenia skargi do Wojewódzkiego Sądu Administracyjnego w Gdańsku, za pośrednictwem Wojewody Pomorskiego, w terminie 30 dni od dnia doręczenia decyzji (art. 3 § 2 pkt 1, 53 § 1 i art. 54 § 1 ustawy z dnia 30 sierpnia 2002 r. Prawo o postępowaniu przed sądami administracyjnymi, j. t. Dz. U. z 2023 r. poz. 1634 ze zm., zwanej dalej „</w:t>
      </w:r>
      <w:proofErr w:type="spellStart"/>
      <w:r w:rsidRPr="00903A8F">
        <w:rPr>
          <w:rFonts w:ascii="Arial" w:hAnsi="Arial" w:cs="Arial"/>
          <w:sz w:val="24"/>
          <w:szCs w:val="24"/>
        </w:rPr>
        <w:t>p.p.s.a</w:t>
      </w:r>
      <w:proofErr w:type="spellEnd"/>
      <w:r w:rsidRPr="00903A8F">
        <w:rPr>
          <w:rFonts w:ascii="Arial" w:hAnsi="Arial" w:cs="Arial"/>
          <w:sz w:val="24"/>
          <w:szCs w:val="24"/>
        </w:rPr>
        <w:t>.”).</w:t>
      </w:r>
    </w:p>
    <w:p w:rsidR="00EF46BF" w:rsidRPr="00903A8F" w:rsidRDefault="00E63EE2" w:rsidP="00E965CA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3A8F">
        <w:rPr>
          <w:rFonts w:ascii="Arial" w:hAnsi="Arial" w:cs="Arial"/>
          <w:sz w:val="24"/>
          <w:szCs w:val="24"/>
        </w:rPr>
        <w:t>Sąd pobiera wpis stosunkowy od skargi zgodnie z § 1 Rozpor</w:t>
      </w:r>
      <w:r w:rsidR="00903A8F">
        <w:rPr>
          <w:rFonts w:ascii="Arial" w:hAnsi="Arial" w:cs="Arial"/>
          <w:sz w:val="24"/>
          <w:szCs w:val="24"/>
        </w:rPr>
        <w:t xml:space="preserve">ządzenia Rady Ministrów z dnia </w:t>
      </w:r>
      <w:r w:rsidRPr="00903A8F">
        <w:rPr>
          <w:rFonts w:ascii="Arial" w:hAnsi="Arial" w:cs="Arial"/>
          <w:sz w:val="24"/>
          <w:szCs w:val="24"/>
        </w:rPr>
        <w:t>16 grudnia 2003 r., w sprawie wysokości oraz szczegółowych zasad pobierania wpisu w postępowaniu przed sądami administracyjnymi, (Dz. U. z 2003 r., Nr 221, poz. 2193 ze zm.), który stanowi, że „Wpis stosunkowy zależy od wysokości należności pieniężnej objętej zaskarżonym aktem i wynosi:</w:t>
      </w:r>
    </w:p>
    <w:p w:rsidR="00EF46BF" w:rsidRPr="00903A8F" w:rsidRDefault="00E63EE2" w:rsidP="00E965CA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903A8F">
        <w:rPr>
          <w:rFonts w:ascii="Arial" w:hAnsi="Arial" w:cs="Arial"/>
          <w:sz w:val="24"/>
          <w:szCs w:val="24"/>
        </w:rPr>
        <w:t xml:space="preserve">1) do 10.000 zł - 4 % wartości przedmiotu zaskarżenia, nie mniej jednak niż </w:t>
      </w:r>
      <w:r w:rsidR="00903A8F">
        <w:rPr>
          <w:rFonts w:ascii="Arial" w:hAnsi="Arial" w:cs="Arial"/>
          <w:sz w:val="24"/>
          <w:szCs w:val="24"/>
        </w:rPr>
        <w:tab/>
      </w:r>
      <w:r w:rsidRPr="00903A8F">
        <w:rPr>
          <w:rFonts w:ascii="Arial" w:hAnsi="Arial" w:cs="Arial"/>
          <w:sz w:val="24"/>
          <w:szCs w:val="24"/>
        </w:rPr>
        <w:t>100 zł;</w:t>
      </w:r>
    </w:p>
    <w:p w:rsidR="00EF46BF" w:rsidRPr="00903A8F" w:rsidRDefault="00E63EE2" w:rsidP="00E965CA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903A8F">
        <w:rPr>
          <w:rFonts w:ascii="Arial" w:hAnsi="Arial" w:cs="Arial"/>
          <w:sz w:val="24"/>
          <w:szCs w:val="24"/>
        </w:rPr>
        <w:t xml:space="preserve">2) ponad 10.000 zł do 50.000 zł - 3 % wartości przedmiotu zaskarżenia, nie </w:t>
      </w:r>
      <w:r w:rsidR="00903A8F">
        <w:rPr>
          <w:rFonts w:ascii="Arial" w:hAnsi="Arial" w:cs="Arial"/>
          <w:sz w:val="24"/>
          <w:szCs w:val="24"/>
        </w:rPr>
        <w:tab/>
      </w:r>
      <w:r w:rsidRPr="00903A8F">
        <w:rPr>
          <w:rFonts w:ascii="Arial" w:hAnsi="Arial" w:cs="Arial"/>
          <w:sz w:val="24"/>
          <w:szCs w:val="24"/>
        </w:rPr>
        <w:t>mniej jednak niż 400 zł;</w:t>
      </w:r>
    </w:p>
    <w:p w:rsidR="00EF46BF" w:rsidRPr="00903A8F" w:rsidRDefault="00E63EE2" w:rsidP="00E965CA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903A8F">
        <w:rPr>
          <w:rFonts w:ascii="Arial" w:hAnsi="Arial" w:cs="Arial"/>
          <w:sz w:val="24"/>
          <w:szCs w:val="24"/>
        </w:rPr>
        <w:t xml:space="preserve">3) ponad 50.000 zł do 100.000 zł - 2 % wartości przedmiotu zaskarżenia, nie </w:t>
      </w:r>
      <w:r w:rsidR="00903A8F">
        <w:rPr>
          <w:rFonts w:ascii="Arial" w:hAnsi="Arial" w:cs="Arial"/>
          <w:sz w:val="24"/>
          <w:szCs w:val="24"/>
        </w:rPr>
        <w:tab/>
      </w:r>
      <w:r w:rsidRPr="00903A8F">
        <w:rPr>
          <w:rFonts w:ascii="Arial" w:hAnsi="Arial" w:cs="Arial"/>
          <w:sz w:val="24"/>
          <w:szCs w:val="24"/>
        </w:rPr>
        <w:t>mniej jednak niż 1.500 zł;</w:t>
      </w:r>
    </w:p>
    <w:p w:rsidR="00EF46BF" w:rsidRPr="00903A8F" w:rsidRDefault="00E63EE2" w:rsidP="00E965CA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03A8F">
        <w:rPr>
          <w:rFonts w:ascii="Arial" w:hAnsi="Arial" w:cs="Arial"/>
          <w:sz w:val="24"/>
          <w:szCs w:val="24"/>
        </w:rPr>
        <w:t>4) ponad 100.000 zł - 1 % wartości przedmiotu zaskarżenia, nie mniej jednak niż 2.000 zł i nie więcej niż 100.000 zł”. Wpis ten wnosi się na rachunek bankowy bądź wpłaca się w kasie Wojewódzkiego Sądu Administracyjnego w Gdańsku. Przy uiszczaniu wpisu należy wskaz</w:t>
      </w:r>
      <w:r w:rsidR="00903A8F">
        <w:rPr>
          <w:rFonts w:ascii="Arial" w:hAnsi="Arial" w:cs="Arial"/>
          <w:sz w:val="24"/>
          <w:szCs w:val="24"/>
        </w:rPr>
        <w:t xml:space="preserve">ać tytuł wpłaty, rodzaj pisma, </w:t>
      </w:r>
      <w:r w:rsidRPr="00903A8F">
        <w:rPr>
          <w:rFonts w:ascii="Arial" w:hAnsi="Arial" w:cs="Arial"/>
          <w:sz w:val="24"/>
          <w:szCs w:val="24"/>
        </w:rPr>
        <w:t>od którego wpis jest uiszczany, oraz sygnaturę akt sądowych jeśli</w:t>
      </w:r>
      <w:r w:rsidR="00903A8F">
        <w:rPr>
          <w:rFonts w:ascii="Arial" w:hAnsi="Arial" w:cs="Arial"/>
          <w:sz w:val="24"/>
          <w:szCs w:val="24"/>
        </w:rPr>
        <w:t xml:space="preserve"> została nadana (art. 214 § 1, </w:t>
      </w:r>
      <w:r w:rsidRPr="00903A8F">
        <w:rPr>
          <w:rFonts w:ascii="Arial" w:hAnsi="Arial" w:cs="Arial"/>
          <w:sz w:val="24"/>
          <w:szCs w:val="24"/>
        </w:rPr>
        <w:t xml:space="preserve">art. 219 § 1 i 2, art. 230 § 1 i 2, art. 231, art. 233 </w:t>
      </w:r>
      <w:proofErr w:type="spellStart"/>
      <w:r w:rsidRPr="00903A8F">
        <w:rPr>
          <w:rFonts w:ascii="Arial" w:hAnsi="Arial" w:cs="Arial"/>
          <w:sz w:val="24"/>
          <w:szCs w:val="24"/>
        </w:rPr>
        <w:t>p.p.s.a</w:t>
      </w:r>
      <w:proofErr w:type="spellEnd"/>
      <w:r w:rsidRPr="00903A8F">
        <w:rPr>
          <w:rFonts w:ascii="Arial" w:hAnsi="Arial" w:cs="Arial"/>
          <w:sz w:val="24"/>
          <w:szCs w:val="24"/>
        </w:rPr>
        <w:t>., w związku z § 5 ust. 1 ww. rozporządzenia).</w:t>
      </w:r>
    </w:p>
    <w:p w:rsidR="00EF46BF" w:rsidRPr="00903A8F" w:rsidRDefault="00E63EE2" w:rsidP="00E965CA">
      <w:pPr>
        <w:numPr>
          <w:ilvl w:val="0"/>
          <w:numId w:val="3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903A8F">
        <w:rPr>
          <w:rFonts w:ascii="Arial" w:hAnsi="Arial" w:cs="Arial"/>
          <w:sz w:val="24"/>
          <w:szCs w:val="24"/>
        </w:rPr>
        <w:t xml:space="preserve">Strona, której nie stać na opłacenie wpisu może zostać </w:t>
      </w:r>
      <w:r w:rsidR="00903A8F">
        <w:rPr>
          <w:rFonts w:ascii="Arial" w:hAnsi="Arial" w:cs="Arial"/>
          <w:sz w:val="24"/>
          <w:szCs w:val="24"/>
        </w:rPr>
        <w:t xml:space="preserve">zwolniona w całości albo części </w:t>
      </w:r>
      <w:r w:rsidRPr="00903A8F">
        <w:rPr>
          <w:rFonts w:ascii="Arial" w:hAnsi="Arial" w:cs="Arial"/>
          <w:sz w:val="24"/>
          <w:szCs w:val="24"/>
        </w:rPr>
        <w:t xml:space="preserve">z obowiązku uiszczania kosztów sądowych oraz ustanowienia pełnomocnika profesjonalnego (prawo pomocy). Warunkiem przyznania prawa </w:t>
      </w:r>
      <w:r w:rsidRPr="00903A8F">
        <w:rPr>
          <w:rFonts w:ascii="Arial" w:hAnsi="Arial" w:cs="Arial"/>
          <w:sz w:val="24"/>
          <w:szCs w:val="24"/>
        </w:rPr>
        <w:lastRenderedPageBreak/>
        <w:t>pomocy jest złożenie n</w:t>
      </w:r>
      <w:r w:rsidR="00903A8F">
        <w:rPr>
          <w:rFonts w:ascii="Arial" w:hAnsi="Arial" w:cs="Arial"/>
          <w:sz w:val="24"/>
          <w:szCs w:val="24"/>
        </w:rPr>
        <w:t xml:space="preserve">a urzędowym formularzu wniosku </w:t>
      </w:r>
      <w:r w:rsidRPr="00903A8F">
        <w:rPr>
          <w:rFonts w:ascii="Arial" w:hAnsi="Arial" w:cs="Arial"/>
          <w:sz w:val="24"/>
          <w:szCs w:val="24"/>
        </w:rPr>
        <w:t xml:space="preserve">o przyznanie prawa pomocy, który winien zawierać oświadczenie strony obejmujące dokładne </w:t>
      </w:r>
      <w:r w:rsidR="00903A8F">
        <w:rPr>
          <w:rFonts w:ascii="Arial" w:hAnsi="Arial" w:cs="Arial"/>
          <w:sz w:val="24"/>
          <w:szCs w:val="24"/>
        </w:rPr>
        <w:t xml:space="preserve">dane </w:t>
      </w:r>
      <w:r w:rsidRPr="00903A8F">
        <w:rPr>
          <w:rFonts w:ascii="Arial" w:hAnsi="Arial" w:cs="Arial"/>
          <w:sz w:val="24"/>
          <w:szCs w:val="24"/>
        </w:rPr>
        <w:t>o stanie majątkowym i dochodach, a jeżeli wniosek składa osoba f</w:t>
      </w:r>
      <w:r w:rsidR="00903A8F">
        <w:rPr>
          <w:rFonts w:ascii="Arial" w:hAnsi="Arial" w:cs="Arial"/>
          <w:sz w:val="24"/>
          <w:szCs w:val="24"/>
        </w:rPr>
        <w:t xml:space="preserve">izyczna, ponadto dokładne dane </w:t>
      </w:r>
      <w:r w:rsidRPr="00903A8F">
        <w:rPr>
          <w:rFonts w:ascii="Arial" w:hAnsi="Arial" w:cs="Arial"/>
          <w:sz w:val="24"/>
          <w:szCs w:val="24"/>
        </w:rPr>
        <w:t>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"Jestem świ</w:t>
      </w:r>
      <w:r w:rsidR="00903A8F">
        <w:rPr>
          <w:rFonts w:ascii="Arial" w:hAnsi="Arial" w:cs="Arial"/>
          <w:sz w:val="24"/>
          <w:szCs w:val="24"/>
        </w:rPr>
        <w:t xml:space="preserve">adomy odpowiedzialności karnej </w:t>
      </w:r>
      <w:r w:rsidRPr="00903A8F">
        <w:rPr>
          <w:rFonts w:ascii="Arial" w:hAnsi="Arial" w:cs="Arial"/>
          <w:sz w:val="24"/>
          <w:szCs w:val="24"/>
        </w:rPr>
        <w:t xml:space="preserve">za złożenie fałszywego oświadczenia.". Klauzula ta zastępuje pouczenie sądu o odpowiedzialności karnej za złożenie fałszywego oświadczenia (art. 243 § 1 </w:t>
      </w:r>
      <w:proofErr w:type="spellStart"/>
      <w:r w:rsidRPr="00903A8F">
        <w:rPr>
          <w:rFonts w:ascii="Arial" w:hAnsi="Arial" w:cs="Arial"/>
          <w:sz w:val="24"/>
          <w:szCs w:val="24"/>
        </w:rPr>
        <w:t>p.p.s.a</w:t>
      </w:r>
      <w:proofErr w:type="spellEnd"/>
      <w:r w:rsidRPr="00903A8F">
        <w:rPr>
          <w:rFonts w:ascii="Arial" w:hAnsi="Arial" w:cs="Arial"/>
          <w:sz w:val="24"/>
          <w:szCs w:val="24"/>
        </w:rPr>
        <w:t xml:space="preserve">., art. 252 § 1, 1a, 2 </w:t>
      </w:r>
      <w:proofErr w:type="spellStart"/>
      <w:r w:rsidRPr="00903A8F">
        <w:rPr>
          <w:rFonts w:ascii="Arial" w:hAnsi="Arial" w:cs="Arial"/>
          <w:sz w:val="24"/>
          <w:szCs w:val="24"/>
        </w:rPr>
        <w:t>p.p.s.a</w:t>
      </w:r>
      <w:proofErr w:type="spellEnd"/>
      <w:r w:rsidRPr="00903A8F">
        <w:rPr>
          <w:rFonts w:ascii="Arial" w:hAnsi="Arial" w:cs="Arial"/>
          <w:sz w:val="24"/>
          <w:szCs w:val="24"/>
        </w:rPr>
        <w:t>.)</w:t>
      </w:r>
    </w:p>
    <w:p w:rsidR="00903A8F" w:rsidRPr="002148D3" w:rsidRDefault="00903A8F" w:rsidP="00E965CA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8D3">
        <w:rPr>
          <w:rFonts w:ascii="Arial" w:eastAsia="Times New Roman" w:hAnsi="Arial" w:cs="Arial"/>
          <w:sz w:val="24"/>
          <w:szCs w:val="24"/>
          <w:lang w:eastAsia="pl-PL"/>
        </w:rPr>
        <w:t>z up. Wojewody Pomorskiego</w:t>
      </w:r>
    </w:p>
    <w:p w:rsidR="00903A8F" w:rsidRPr="002148D3" w:rsidRDefault="00903A8F" w:rsidP="00E965C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8D3">
        <w:rPr>
          <w:rFonts w:ascii="Arial" w:eastAsia="Times New Roman" w:hAnsi="Arial" w:cs="Arial"/>
          <w:sz w:val="24"/>
          <w:szCs w:val="24"/>
          <w:lang w:eastAsia="pl-PL"/>
        </w:rPr>
        <w:t>Zastępca Dyrektora</w:t>
      </w:r>
    </w:p>
    <w:p w:rsidR="00903A8F" w:rsidRPr="002148D3" w:rsidRDefault="00903A8F" w:rsidP="00E965C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8D3">
        <w:rPr>
          <w:rFonts w:ascii="Arial" w:eastAsia="Times New Roman" w:hAnsi="Arial" w:cs="Arial"/>
          <w:sz w:val="24"/>
          <w:szCs w:val="24"/>
          <w:lang w:eastAsia="pl-PL"/>
        </w:rPr>
        <w:t>Wydziału Nieruchomości</w:t>
      </w:r>
    </w:p>
    <w:p w:rsidR="00903A8F" w:rsidRPr="002148D3" w:rsidRDefault="00903A8F" w:rsidP="00E965C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8D3">
        <w:rPr>
          <w:rFonts w:ascii="Arial" w:eastAsia="Times New Roman" w:hAnsi="Arial" w:cs="Arial"/>
          <w:sz w:val="24"/>
          <w:szCs w:val="24"/>
          <w:lang w:eastAsia="pl-PL"/>
        </w:rPr>
        <w:t>i Skarbu Państwa</w:t>
      </w:r>
    </w:p>
    <w:p w:rsidR="00903A8F" w:rsidRPr="00E82499" w:rsidRDefault="00903A8F" w:rsidP="00E965CA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48D3"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 w:rsidRPr="002148D3">
        <w:rPr>
          <w:rFonts w:ascii="Arial" w:eastAsia="Times New Roman" w:hAnsi="Arial" w:cs="Arial"/>
          <w:sz w:val="24"/>
          <w:szCs w:val="24"/>
          <w:lang w:eastAsia="pl-PL"/>
        </w:rPr>
        <w:t>Dambek</w:t>
      </w:r>
      <w:proofErr w:type="spellEnd"/>
      <w:r w:rsidRPr="002148D3">
        <w:rPr>
          <w:rFonts w:ascii="Arial" w:eastAsia="Times New Roman" w:hAnsi="Arial" w:cs="Arial"/>
          <w:sz w:val="24"/>
          <w:szCs w:val="24"/>
          <w:lang w:eastAsia="pl-PL"/>
        </w:rPr>
        <w:t>-Duda</w:t>
      </w:r>
    </w:p>
    <w:p w:rsidR="00903A8F" w:rsidRPr="00E82499" w:rsidRDefault="00903A8F" w:rsidP="00E965CA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E82499">
        <w:rPr>
          <w:rFonts w:ascii="Arial" w:hAnsi="Arial" w:cs="Arial"/>
          <w:sz w:val="24"/>
          <w:szCs w:val="24"/>
        </w:rPr>
        <w:t>Egzemplarze:</w:t>
      </w:r>
    </w:p>
    <w:p w:rsidR="00903A8F" w:rsidRPr="00E82499" w:rsidRDefault="00903A8F" w:rsidP="00E965CA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E82499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E82499">
        <w:rPr>
          <w:rFonts w:ascii="Arial" w:hAnsi="Arial" w:cs="Arial"/>
          <w:sz w:val="24"/>
          <w:szCs w:val="24"/>
        </w:rPr>
        <w:t>Strona BIP Pomorskiego Urzędu Wojewódzkiego w Gdańsku</w:t>
      </w:r>
    </w:p>
    <w:p w:rsidR="00903A8F" w:rsidRPr="00E82499" w:rsidRDefault="00903A8F" w:rsidP="00E965CA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E82499">
        <w:rPr>
          <w:rFonts w:ascii="Arial" w:hAnsi="Arial" w:cs="Arial"/>
          <w:sz w:val="24"/>
          <w:szCs w:val="24"/>
        </w:rPr>
        <w:t>aa.</w:t>
      </w:r>
    </w:p>
    <w:p w:rsidR="00C40687" w:rsidRPr="00903A8F" w:rsidRDefault="00903A8F" w:rsidP="00E965C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EB2DA9">
        <w:rPr>
          <w:rFonts w:ascii="Arial" w:hAnsi="Arial" w:cs="Arial"/>
          <w:sz w:val="24"/>
          <w:szCs w:val="24"/>
          <w:lang w:eastAsia="pl-PL"/>
        </w:rPr>
        <w:t>Dokument został podpisany kwalifikowanym podpisem elektronicznym</w:t>
      </w:r>
    </w:p>
    <w:sectPr w:rsidR="00C40687" w:rsidRPr="00903A8F" w:rsidSect="009C48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75" w:rsidRDefault="00E63EE2" w:rsidP="00C40687">
      <w:pPr>
        <w:spacing w:after="0" w:line="240" w:lineRule="auto"/>
      </w:pPr>
      <w:r>
        <w:separator/>
      </w:r>
    </w:p>
  </w:endnote>
  <w:endnote w:type="continuationSeparator" w:id="0">
    <w:p w:rsidR="009C4875" w:rsidRDefault="00E63EE2" w:rsidP="00C4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687" w:rsidRPr="00913DD1" w:rsidRDefault="00E965CA" w:rsidP="00C40687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C40687" w:rsidRPr="00B00046" w:rsidRDefault="00E63EE2" w:rsidP="00C40687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C40687" w:rsidRPr="00B00046" w:rsidRDefault="00E63EE2" w:rsidP="00C40687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C40687" w:rsidRPr="009B2AB4" w:rsidRDefault="00E63EE2" w:rsidP="00C40687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C40687" w:rsidRDefault="00E63EE2" w:rsidP="00C40687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C40687" w:rsidRDefault="00E63EE2" w:rsidP="00C40687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E965CA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E965CA"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687" w:rsidRPr="00913DD1" w:rsidRDefault="00E965CA" w:rsidP="00C40687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C40687" w:rsidRPr="00B00046" w:rsidRDefault="00E63EE2" w:rsidP="00C40687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C40687" w:rsidRPr="00B00046" w:rsidRDefault="00E63EE2" w:rsidP="00C40687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C40687" w:rsidRPr="009B2AB4" w:rsidRDefault="00E63EE2" w:rsidP="00C40687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C40687" w:rsidRPr="0041730B" w:rsidRDefault="00E63EE2" w:rsidP="00C40687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75" w:rsidRDefault="00E63EE2" w:rsidP="00C40687">
      <w:pPr>
        <w:spacing w:after="0" w:line="240" w:lineRule="auto"/>
      </w:pPr>
      <w:r>
        <w:separator/>
      </w:r>
    </w:p>
  </w:footnote>
  <w:footnote w:type="continuationSeparator" w:id="0">
    <w:p w:rsidR="009C4875" w:rsidRDefault="00E63EE2" w:rsidP="00C4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687" w:rsidRDefault="00E965CA">
    <w:pPr>
      <w:pStyle w:val="Nagwek"/>
    </w:pPr>
  </w:p>
  <w:p w:rsidR="00C40687" w:rsidRDefault="00E965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687" w:rsidRDefault="00E965CA" w:rsidP="00C40687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573"/>
    <w:multiLevelType w:val="hybridMultilevel"/>
    <w:tmpl w:val="42C27D0C"/>
    <w:lvl w:ilvl="0" w:tplc="A3F447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C76295CC" w:tentative="1">
      <w:start w:val="1"/>
      <w:numFmt w:val="lowerLetter"/>
      <w:lvlText w:val="%2."/>
      <w:lvlJc w:val="left"/>
      <w:pPr>
        <w:ind w:left="1440" w:hanging="360"/>
      </w:pPr>
    </w:lvl>
    <w:lvl w:ilvl="2" w:tplc="2F3099EE" w:tentative="1">
      <w:start w:val="1"/>
      <w:numFmt w:val="lowerRoman"/>
      <w:lvlText w:val="%3."/>
      <w:lvlJc w:val="right"/>
      <w:pPr>
        <w:ind w:left="2160" w:hanging="180"/>
      </w:pPr>
    </w:lvl>
    <w:lvl w:ilvl="3" w:tplc="EBD2790C" w:tentative="1">
      <w:start w:val="1"/>
      <w:numFmt w:val="decimal"/>
      <w:lvlText w:val="%4."/>
      <w:lvlJc w:val="left"/>
      <w:pPr>
        <w:ind w:left="2880" w:hanging="360"/>
      </w:pPr>
    </w:lvl>
    <w:lvl w:ilvl="4" w:tplc="3E6AEF46" w:tentative="1">
      <w:start w:val="1"/>
      <w:numFmt w:val="lowerLetter"/>
      <w:lvlText w:val="%5."/>
      <w:lvlJc w:val="left"/>
      <w:pPr>
        <w:ind w:left="3600" w:hanging="360"/>
      </w:pPr>
    </w:lvl>
    <w:lvl w:ilvl="5" w:tplc="D7C07772" w:tentative="1">
      <w:start w:val="1"/>
      <w:numFmt w:val="lowerRoman"/>
      <w:lvlText w:val="%6."/>
      <w:lvlJc w:val="right"/>
      <w:pPr>
        <w:ind w:left="4320" w:hanging="180"/>
      </w:pPr>
    </w:lvl>
    <w:lvl w:ilvl="6" w:tplc="AC52734C" w:tentative="1">
      <w:start w:val="1"/>
      <w:numFmt w:val="decimal"/>
      <w:lvlText w:val="%7."/>
      <w:lvlJc w:val="left"/>
      <w:pPr>
        <w:ind w:left="5040" w:hanging="360"/>
      </w:pPr>
    </w:lvl>
    <w:lvl w:ilvl="7" w:tplc="C726983E" w:tentative="1">
      <w:start w:val="1"/>
      <w:numFmt w:val="lowerLetter"/>
      <w:lvlText w:val="%8."/>
      <w:lvlJc w:val="left"/>
      <w:pPr>
        <w:ind w:left="5760" w:hanging="360"/>
      </w:pPr>
    </w:lvl>
    <w:lvl w:ilvl="8" w:tplc="1EDC2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57987"/>
    <w:multiLevelType w:val="hybridMultilevel"/>
    <w:tmpl w:val="12C8D90A"/>
    <w:lvl w:ilvl="0" w:tplc="6D14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2C5AEC" w:tentative="1">
      <w:start w:val="1"/>
      <w:numFmt w:val="lowerLetter"/>
      <w:lvlText w:val="%2."/>
      <w:lvlJc w:val="left"/>
      <w:pPr>
        <w:ind w:left="1440" w:hanging="360"/>
      </w:pPr>
    </w:lvl>
    <w:lvl w:ilvl="2" w:tplc="7130E010" w:tentative="1">
      <w:start w:val="1"/>
      <w:numFmt w:val="lowerRoman"/>
      <w:lvlText w:val="%3."/>
      <w:lvlJc w:val="right"/>
      <w:pPr>
        <w:ind w:left="2160" w:hanging="180"/>
      </w:pPr>
    </w:lvl>
    <w:lvl w:ilvl="3" w:tplc="4A3E873C" w:tentative="1">
      <w:start w:val="1"/>
      <w:numFmt w:val="decimal"/>
      <w:lvlText w:val="%4."/>
      <w:lvlJc w:val="left"/>
      <w:pPr>
        <w:ind w:left="2880" w:hanging="360"/>
      </w:pPr>
    </w:lvl>
    <w:lvl w:ilvl="4" w:tplc="9232F5E0" w:tentative="1">
      <w:start w:val="1"/>
      <w:numFmt w:val="lowerLetter"/>
      <w:lvlText w:val="%5."/>
      <w:lvlJc w:val="left"/>
      <w:pPr>
        <w:ind w:left="3600" w:hanging="360"/>
      </w:pPr>
    </w:lvl>
    <w:lvl w:ilvl="5" w:tplc="35C8846A" w:tentative="1">
      <w:start w:val="1"/>
      <w:numFmt w:val="lowerRoman"/>
      <w:lvlText w:val="%6."/>
      <w:lvlJc w:val="right"/>
      <w:pPr>
        <w:ind w:left="4320" w:hanging="180"/>
      </w:pPr>
    </w:lvl>
    <w:lvl w:ilvl="6" w:tplc="62BC2DCA" w:tentative="1">
      <w:start w:val="1"/>
      <w:numFmt w:val="decimal"/>
      <w:lvlText w:val="%7."/>
      <w:lvlJc w:val="left"/>
      <w:pPr>
        <w:ind w:left="5040" w:hanging="360"/>
      </w:pPr>
    </w:lvl>
    <w:lvl w:ilvl="7" w:tplc="E7FEB260" w:tentative="1">
      <w:start w:val="1"/>
      <w:numFmt w:val="lowerLetter"/>
      <w:lvlText w:val="%8."/>
      <w:lvlJc w:val="left"/>
      <w:pPr>
        <w:ind w:left="5760" w:hanging="360"/>
      </w:pPr>
    </w:lvl>
    <w:lvl w:ilvl="8" w:tplc="7E7A75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7A1886"/>
    <w:rsid w:val="00903A8F"/>
    <w:rsid w:val="00E63EE2"/>
    <w:rsid w:val="00E9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">
    <w:name w:val="Nierozpoznana wzmianka"/>
    <w:uiPriority w:val="99"/>
    <w:semiHidden/>
    <w:unhideWhenUsed/>
    <w:rsid w:val="00EF46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">
    <w:name w:val="Nierozpoznana wzmianka"/>
    <w:uiPriority w:val="99"/>
    <w:semiHidden/>
    <w:unhideWhenUsed/>
    <w:rsid w:val="00EF4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6 maja 2024 r. nr NSP-VIII.7581.1.194.2023.AG</vt:lpstr>
    </vt:vector>
  </TitlesOfParts>
  <Company>Microsoft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6 maja 2024 r. nr NSP-VIII.7581.1.194.2023.AG</dc:title>
  <dc:creator>Andrzej Leszczyński</dc:creator>
  <cp:keywords>Obwieszczenie Wojewody Pomorskiego z dnia 6 maja 2024 r. nr NSP-VIII.7581.1.194.2023.AG</cp:keywords>
  <cp:lastModifiedBy>Aleksandra Piepka</cp:lastModifiedBy>
  <cp:revision>3</cp:revision>
  <cp:lastPrinted>2012-09-10T07:00:00Z</cp:lastPrinted>
  <dcterms:created xsi:type="dcterms:W3CDTF">2024-05-17T12:27:00Z</dcterms:created>
  <dcterms:modified xsi:type="dcterms:W3CDTF">2024-05-17T12:33:00Z</dcterms:modified>
</cp:coreProperties>
</file>