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BA0965" w:rsidP="00107C1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HŚ.9020.2.77.2026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:rsidR="00BA0965" w:rsidRPr="00F01236" w:rsidP="00C234C7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12 czerwca 2026</w:t>
      </w:r>
      <w:bookmarkEnd w:id="2"/>
      <w:r w:rsidRPr="00F01236">
        <w:rPr>
          <w:rFonts w:eastAsiaTheme="majorEastAsia" w:cstheme="majorBidi"/>
        </w:rPr>
        <w:t xml:space="preserve"> r</w:t>
      </w:r>
    </w:p>
    <w:p w:rsidR="001076A9" w:rsidRPr="001076A9" w:rsidP="001076A9">
      <w:pPr>
        <w:spacing w:before="0" w:after="0"/>
        <w:rPr>
          <w:rFonts w:eastAsiaTheme="majorEastAsia" w:cstheme="majorBidi"/>
          <w:b/>
          <w:bCs/>
        </w:rPr>
      </w:pPr>
      <w:r w:rsidRPr="001076A9">
        <w:rPr>
          <w:rFonts w:eastAsiaTheme="majorEastAsia" w:cstheme="majorBidi"/>
          <w:b/>
          <w:bCs/>
        </w:rPr>
        <w:t>CEWOKAN Sp. z o.o.</w:t>
      </w:r>
    </w:p>
    <w:p w:rsidR="001076A9" w:rsidRPr="001076A9" w:rsidP="001076A9">
      <w:pPr>
        <w:spacing w:before="0" w:after="0"/>
        <w:rPr>
          <w:rFonts w:eastAsiaTheme="majorEastAsia" w:cstheme="majorBidi"/>
          <w:b/>
          <w:bCs/>
        </w:rPr>
      </w:pPr>
      <w:r w:rsidRPr="001076A9">
        <w:rPr>
          <w:rFonts w:eastAsiaTheme="majorEastAsia" w:cstheme="majorBidi"/>
          <w:b/>
          <w:bCs/>
        </w:rPr>
        <w:t>ul. Sochaczewska 52</w:t>
      </w:r>
    </w:p>
    <w:p w:rsidR="001076A9" w:rsidP="001076A9">
      <w:pPr>
        <w:spacing w:before="0" w:after="0"/>
        <w:rPr>
          <w:rFonts w:eastAsiaTheme="majorEastAsia" w:cstheme="majorBidi"/>
        </w:rPr>
      </w:pPr>
      <w:r w:rsidRPr="001076A9">
        <w:rPr>
          <w:rFonts w:eastAsiaTheme="majorEastAsia" w:cstheme="majorBidi"/>
          <w:b/>
          <w:bCs/>
        </w:rPr>
        <w:t>99-400 Łowicz</w:t>
      </w:r>
    </w:p>
    <w:p w:rsidR="001076A9" w:rsidRPr="00C1621E" w:rsidP="001076A9">
      <w:pPr>
        <w:spacing w:after="0"/>
        <w:rPr>
          <w:rFonts w:eastAsiaTheme="majorEastAsia" w:cstheme="majorBidi"/>
          <w:u w:val="single"/>
        </w:rPr>
      </w:pPr>
      <w:r w:rsidRPr="00C1621E">
        <w:rPr>
          <w:rFonts w:eastAsiaTheme="majorEastAsia" w:cstheme="majorBidi"/>
        </w:rPr>
        <w:t xml:space="preserve">Dotyczy: </w:t>
      </w:r>
      <w:r w:rsidRPr="00C1621E">
        <w:rPr>
          <w:rFonts w:eastAsiaTheme="majorEastAsia" w:cstheme="majorBidi"/>
          <w:u w:val="single"/>
        </w:rPr>
        <w:t xml:space="preserve">wodociągu publicznego </w:t>
      </w:r>
      <w:r>
        <w:rPr>
          <w:rFonts w:eastAsiaTheme="majorEastAsia" w:cstheme="majorBidi"/>
          <w:u w:val="single"/>
        </w:rPr>
        <w:t>Mszadla</w:t>
      </w:r>
    </w:p>
    <w:p w:rsidR="001076A9" w:rsidP="001076A9">
      <w:pPr>
        <w:tabs>
          <w:tab w:val="right" w:pos="7936"/>
        </w:tabs>
        <w:rPr>
          <w:rFonts w:eastAsiaTheme="majorEastAsia" w:cstheme="majorBidi"/>
          <w:b/>
          <w:bCs/>
          <w:sz w:val="24"/>
          <w:szCs w:val="24"/>
        </w:rPr>
      </w:pPr>
      <w:r>
        <w:rPr>
          <w:rFonts w:eastAsiaTheme="majorEastAsia" w:cstheme="majorBidi"/>
          <w:b/>
          <w:bCs/>
          <w:sz w:val="24"/>
          <w:szCs w:val="24"/>
        </w:rPr>
        <w:t xml:space="preserve">DECYZJA </w:t>
      </w:r>
    </w:p>
    <w:p w:rsidR="001076A9" w:rsidRPr="00C1621E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Państwowy Powiatowy Inspektor Sanitarny (dalej: PPIS) w Skierniewicach działając na podstawie:</w:t>
      </w:r>
    </w:p>
    <w:p w:rsidR="001076A9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- art. 4 ust. 1, art. 12 ust. 1, art. 27 ust. 1, art. 37 ust. 1 ustawy z dnia 14 marca 1985 r. o</w:t>
      </w:r>
      <w:r>
        <w:rPr>
          <w:rFonts w:eastAsiaTheme="majorEastAsia" w:cstheme="majorBidi"/>
        </w:rPr>
        <w:t> </w:t>
      </w:r>
      <w:r w:rsidRPr="00C1621E">
        <w:rPr>
          <w:rFonts w:eastAsiaTheme="majorEastAsia" w:cstheme="majorBidi"/>
        </w:rPr>
        <w:t>Państwowej Inspekcji Sanitarnej (Dz. U. z 2024 r. poz. 416</w:t>
      </w:r>
      <w:r w:rsidR="008C56F9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z późn. zm.</w:t>
      </w:r>
      <w:r w:rsidRPr="00C1621E">
        <w:rPr>
          <w:rFonts w:eastAsiaTheme="majorEastAsia" w:cstheme="majorBidi"/>
        </w:rPr>
        <w:t xml:space="preserve">), </w:t>
      </w:r>
    </w:p>
    <w:p w:rsidR="00376F46" w:rsidRPr="00C1621E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- art. 12 ust. 1 ustawy z dnia 7 czerwca 2001 r. o zbiorowym zaopatrzeniu w wodę i zbiorowym odprowadzaniu ścieków (Dz. U. z 2024 r. poz. 757</w:t>
      </w:r>
      <w:r w:rsidR="004C7A06">
        <w:rPr>
          <w:rFonts w:eastAsiaTheme="majorEastAsia" w:cstheme="majorBidi"/>
        </w:rPr>
        <w:t>,</w:t>
      </w:r>
      <w:r>
        <w:rPr>
          <w:rFonts w:eastAsiaTheme="majorEastAsia" w:cstheme="majorBidi"/>
        </w:rPr>
        <w:t xml:space="preserve"> z późn. zm.),</w:t>
      </w:r>
    </w:p>
    <w:p w:rsidR="001076A9" w:rsidRPr="00C1621E" w:rsidP="008C56F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- art. </w:t>
      </w:r>
      <w:r w:rsidR="00376F46">
        <w:rPr>
          <w:rFonts w:eastAsiaTheme="majorEastAsia" w:cstheme="majorBidi"/>
        </w:rPr>
        <w:t>23</w:t>
      </w:r>
      <w:r w:rsidRPr="00C1621E">
        <w:rPr>
          <w:rFonts w:eastAsiaTheme="majorEastAsia" w:cstheme="majorBidi"/>
        </w:rPr>
        <w:t xml:space="preserve"> ustawy </w:t>
      </w:r>
      <w:r w:rsidRPr="008C56F9" w:rsidR="008C56F9">
        <w:rPr>
          <w:rFonts w:eastAsiaTheme="majorEastAsia" w:cstheme="majorBidi"/>
        </w:rPr>
        <w:t>z dnia 13 marca 2026 r.</w:t>
      </w:r>
      <w:r w:rsidR="008C56F9">
        <w:rPr>
          <w:rFonts w:eastAsiaTheme="majorEastAsia" w:cstheme="majorBidi"/>
        </w:rPr>
        <w:t xml:space="preserve"> </w:t>
      </w:r>
      <w:r w:rsidRPr="008C56F9" w:rsidR="008C56F9">
        <w:rPr>
          <w:rFonts w:eastAsiaTheme="majorEastAsia" w:cstheme="majorBidi"/>
        </w:rPr>
        <w:t>o zmianie ustawy o zbiorowym zaopatrzeniu w wodę i zbiorowym odprowadzaniu ścieków oraz niektórych innych ustaw</w:t>
      </w:r>
      <w:r w:rsidRPr="00C1621E">
        <w:rPr>
          <w:rFonts w:eastAsiaTheme="majorEastAsia" w:cstheme="majorBidi"/>
        </w:rPr>
        <w:t xml:space="preserve"> (Dz. U. z 202</w:t>
      </w:r>
      <w:r w:rsidR="008C56F9">
        <w:rPr>
          <w:rFonts w:eastAsiaTheme="majorEastAsia" w:cstheme="majorBidi"/>
        </w:rPr>
        <w:t>6</w:t>
      </w:r>
      <w:r w:rsidRPr="00C1621E">
        <w:rPr>
          <w:rFonts w:eastAsiaTheme="majorEastAsia" w:cstheme="majorBidi"/>
        </w:rPr>
        <w:t xml:space="preserve"> r. poz. </w:t>
      </w:r>
      <w:r w:rsidR="008C56F9">
        <w:rPr>
          <w:rFonts w:eastAsiaTheme="majorEastAsia" w:cstheme="majorBidi"/>
        </w:rPr>
        <w:t>605</w:t>
      </w:r>
      <w:r w:rsidRPr="00C1621E">
        <w:rPr>
          <w:rFonts w:eastAsiaTheme="majorEastAsia" w:cstheme="majorBidi"/>
        </w:rPr>
        <w:t>),</w:t>
      </w:r>
    </w:p>
    <w:p w:rsidR="001076A9" w:rsidRPr="00C1621E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 - art. 104 ustawy z dnia 14 czerwca 1960 r. Kodeks postępowania administracyjnego </w:t>
      </w:r>
      <w:r w:rsidRPr="00C1621E">
        <w:rPr>
          <w:rFonts w:eastAsiaTheme="majorEastAsia" w:cstheme="majorBidi"/>
        </w:rPr>
        <w:br/>
        <w:t>(Dz. U. z 2025 poz. 1691),</w:t>
      </w:r>
    </w:p>
    <w:p w:rsidR="001076A9" w:rsidRPr="00C1621E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>- oraz § 21 ust. 1 pkt 3, ust. 4 oraz ust. 6 rozporządzenia Ministra Zdrowia z dnia 7 grudnia 2017 r. w sprawie jakości wody przeznaczonej do spożycia przez ludzi (Dz. U. z 2017 r. poz. 2294),</w:t>
      </w:r>
    </w:p>
    <w:p w:rsidR="001076A9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C1621E">
        <w:rPr>
          <w:rFonts w:eastAsiaTheme="majorEastAsia" w:cstheme="majorBidi"/>
        </w:rPr>
        <w:t xml:space="preserve">w oparciu </w:t>
      </w:r>
      <w:r>
        <w:rPr>
          <w:rFonts w:eastAsiaTheme="majorEastAsia" w:cstheme="majorBidi"/>
        </w:rPr>
        <w:t xml:space="preserve">o </w:t>
      </w:r>
      <w:r w:rsidRPr="00C1621E">
        <w:rPr>
          <w:rFonts w:eastAsiaTheme="majorEastAsia" w:cstheme="majorBidi"/>
        </w:rPr>
        <w:t>wynik</w:t>
      </w:r>
      <w:r>
        <w:rPr>
          <w:rFonts w:eastAsiaTheme="majorEastAsia" w:cstheme="majorBidi"/>
        </w:rPr>
        <w:t>i</w:t>
      </w:r>
      <w:r w:rsidRPr="00C1621E">
        <w:rPr>
          <w:rFonts w:eastAsiaTheme="majorEastAsia" w:cstheme="majorBidi"/>
        </w:rPr>
        <w:t xml:space="preserve"> badań: </w:t>
      </w:r>
    </w:p>
    <w:p w:rsidR="001076A9" w:rsidP="001076A9">
      <w:pPr>
        <w:pStyle w:val="ListParagraph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Raport</w:t>
      </w:r>
      <w:r w:rsidR="00FA4E0A">
        <w:rPr>
          <w:rFonts w:eastAsiaTheme="majorEastAsia" w:cstheme="majorBidi"/>
        </w:rPr>
        <w:t>y</w:t>
      </w:r>
      <w:r>
        <w:rPr>
          <w:rFonts w:eastAsiaTheme="majorEastAsia" w:cstheme="majorBidi"/>
        </w:rPr>
        <w:t xml:space="preserve"> z badań Nr</w:t>
      </w:r>
      <w:r w:rsidR="00FA4E0A">
        <w:rPr>
          <w:rFonts w:eastAsiaTheme="majorEastAsia" w:cstheme="majorBidi"/>
        </w:rPr>
        <w:t xml:space="preserve"> </w:t>
      </w:r>
      <w:r w:rsidRPr="00FA4E0A" w:rsidR="00FA4E0A">
        <w:rPr>
          <w:rFonts w:eastAsiaTheme="majorEastAsia" w:cstheme="majorBidi"/>
        </w:rPr>
        <w:t>5442</w:t>
      </w:r>
      <w:r w:rsidR="00FA4E0A">
        <w:rPr>
          <w:rFonts w:eastAsiaTheme="majorEastAsia" w:cstheme="majorBidi"/>
        </w:rPr>
        <w:t>0</w:t>
      </w:r>
      <w:r w:rsidRPr="00FA4E0A" w:rsidR="00FA4E0A">
        <w:rPr>
          <w:rFonts w:eastAsiaTheme="majorEastAsia" w:cstheme="majorBidi"/>
        </w:rPr>
        <w:t xml:space="preserve">/LB/2026 </w:t>
      </w:r>
      <w:r w:rsidR="00FA4E0A">
        <w:rPr>
          <w:rFonts w:eastAsiaTheme="majorEastAsia" w:cstheme="majorBidi"/>
        </w:rPr>
        <w:t xml:space="preserve">oraz </w:t>
      </w:r>
      <w:r>
        <w:rPr>
          <w:rFonts w:eastAsiaTheme="majorEastAsia" w:cstheme="majorBidi"/>
        </w:rPr>
        <w:t xml:space="preserve">54421/LB/2026 </w:t>
      </w:r>
      <w:r w:rsidRPr="00C1621E">
        <w:rPr>
          <w:rFonts w:eastAsiaTheme="majorEastAsia" w:cstheme="majorBidi"/>
        </w:rPr>
        <w:t xml:space="preserve">z dnia </w:t>
      </w:r>
      <w:r>
        <w:rPr>
          <w:rFonts w:eastAsiaTheme="majorEastAsia" w:cstheme="majorBidi"/>
        </w:rPr>
        <w:t>26 maja</w:t>
      </w:r>
      <w:r w:rsidRPr="00C1621E">
        <w:rPr>
          <w:rFonts w:eastAsiaTheme="majorEastAsia" w:cstheme="majorBidi"/>
        </w:rPr>
        <w:t xml:space="preserve"> 2026 r. prób wody pobran</w:t>
      </w:r>
      <w:r w:rsidR="006408BE">
        <w:rPr>
          <w:rFonts w:eastAsiaTheme="majorEastAsia" w:cstheme="majorBidi"/>
        </w:rPr>
        <w:t>ych</w:t>
      </w:r>
      <w:r w:rsidRPr="00C1621E">
        <w:rPr>
          <w:rFonts w:eastAsiaTheme="majorEastAsia" w:cstheme="majorBidi"/>
        </w:rPr>
        <w:t xml:space="preserve"> do badań w dniu </w:t>
      </w:r>
      <w:r>
        <w:rPr>
          <w:rFonts w:eastAsiaTheme="majorEastAsia" w:cstheme="majorBidi"/>
        </w:rPr>
        <w:t>21</w:t>
      </w:r>
      <w:r w:rsidRPr="00C1621E">
        <w:rPr>
          <w:rFonts w:eastAsiaTheme="majorEastAsia" w:cstheme="majorBidi"/>
        </w:rPr>
        <w:t>.0</w:t>
      </w:r>
      <w:r>
        <w:rPr>
          <w:rFonts w:eastAsiaTheme="majorEastAsia" w:cstheme="majorBidi"/>
        </w:rPr>
        <w:t>5</w:t>
      </w:r>
      <w:r w:rsidRPr="00C1621E">
        <w:rPr>
          <w:rFonts w:eastAsiaTheme="majorEastAsia" w:cstheme="majorBidi"/>
        </w:rPr>
        <w:t>.2026 r. z</w:t>
      </w:r>
      <w:r w:rsidR="006408BE">
        <w:rPr>
          <w:rFonts w:eastAsiaTheme="majorEastAsia" w:cstheme="majorBidi"/>
        </w:rPr>
        <w:t xml:space="preserve"> wyjścia na sieć oraz z</w:t>
      </w:r>
      <w:r w:rsidRPr="00C1621E">
        <w:rPr>
          <w:rFonts w:eastAsiaTheme="majorEastAsia" w:cstheme="majorBidi"/>
        </w:rPr>
        <w:t xml:space="preserve"> punktu na sieci- Szkoła Podstawowa w </w:t>
      </w:r>
      <w:r>
        <w:rPr>
          <w:rFonts w:eastAsiaTheme="majorEastAsia" w:cstheme="majorBidi"/>
        </w:rPr>
        <w:t>Mszadli, Mszadla Nr 98.</w:t>
      </w:r>
    </w:p>
    <w:p w:rsidR="001076A9" w:rsidRPr="00F9189D" w:rsidP="001076A9">
      <w:pPr>
        <w:tabs>
          <w:tab w:val="right" w:pos="7936"/>
        </w:tabs>
        <w:spacing w:after="0"/>
        <w:rPr>
          <w:rFonts w:eastAsiaTheme="majorEastAsia" w:cstheme="majorBidi"/>
          <w:b/>
        </w:rPr>
      </w:pPr>
      <w:r w:rsidRPr="00F9189D">
        <w:rPr>
          <w:rFonts w:eastAsiaTheme="majorEastAsia" w:cstheme="majorBidi"/>
          <w:b/>
        </w:rPr>
        <w:t>stwierdza</w:t>
      </w:r>
    </w:p>
    <w:p w:rsidR="001076A9" w:rsidRPr="00F9189D" w:rsidP="001076A9">
      <w:pPr>
        <w:tabs>
          <w:tab w:val="right" w:pos="7936"/>
        </w:tabs>
        <w:spacing w:after="0"/>
        <w:rPr>
          <w:rFonts w:eastAsiaTheme="majorEastAsia" w:cstheme="majorBidi"/>
          <w:b/>
          <w:u w:val="single"/>
        </w:rPr>
      </w:pPr>
      <w:r w:rsidRPr="00F9189D">
        <w:rPr>
          <w:rFonts w:eastAsiaTheme="majorEastAsia" w:cstheme="majorBidi"/>
          <w:b/>
          <w:u w:val="single"/>
        </w:rPr>
        <w:t xml:space="preserve">warunkową przydatność wody do spożycia z wodociągu w </w:t>
      </w:r>
      <w:r>
        <w:rPr>
          <w:rFonts w:eastAsiaTheme="majorEastAsia" w:cstheme="majorBidi"/>
          <w:b/>
          <w:u w:val="single"/>
        </w:rPr>
        <w:t>M</w:t>
      </w:r>
      <w:r w:rsidR="008C56F9">
        <w:rPr>
          <w:rFonts w:eastAsiaTheme="majorEastAsia" w:cstheme="majorBidi"/>
          <w:b/>
          <w:u w:val="single"/>
        </w:rPr>
        <w:t>szadli</w:t>
      </w:r>
    </w:p>
    <w:p w:rsidR="008C56F9" w:rsidRPr="006408BE" w:rsidP="006408BE">
      <w:pPr>
        <w:pStyle w:val="ListParagraph"/>
        <w:numPr>
          <w:ilvl w:val="0"/>
          <w:numId w:val="2"/>
        </w:numPr>
        <w:tabs>
          <w:tab w:val="right" w:pos="7936"/>
        </w:tabs>
        <w:spacing w:after="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ze względu na wystąpienie zanieczyszczenia fizykochemicznego, tj. </w:t>
      </w:r>
      <w:bookmarkStart w:id="3" w:name="_Hlk127444040"/>
      <w:r w:rsidRPr="00F9189D">
        <w:rPr>
          <w:rFonts w:eastAsiaTheme="majorEastAsia" w:cstheme="majorBidi"/>
        </w:rPr>
        <w:t>przekroczeni</w:t>
      </w:r>
      <w:r>
        <w:rPr>
          <w:rFonts w:eastAsiaTheme="majorEastAsia" w:cstheme="majorBidi"/>
        </w:rPr>
        <w:t>e</w:t>
      </w:r>
      <w:r w:rsidRPr="00F9189D">
        <w:rPr>
          <w:rFonts w:eastAsiaTheme="majorEastAsia" w:cstheme="majorBidi"/>
        </w:rPr>
        <w:t xml:space="preserve"> wartości </w:t>
      </w:r>
      <w:bookmarkEnd w:id="3"/>
      <w:r>
        <w:rPr>
          <w:rFonts w:eastAsiaTheme="majorEastAsia" w:cstheme="majorBidi"/>
        </w:rPr>
        <w:t xml:space="preserve">parametru mętności wynoszącej </w:t>
      </w:r>
      <w:r w:rsidRPr="006408BE" w:rsidR="006408BE">
        <w:rPr>
          <w:rFonts w:eastAsiaTheme="majorEastAsia" w:cstheme="majorBidi"/>
        </w:rPr>
        <w:t>2</w:t>
      </w:r>
      <w:r w:rsidR="006408BE">
        <w:rPr>
          <w:rFonts w:eastAsiaTheme="majorEastAsia" w:cstheme="majorBidi"/>
        </w:rPr>
        <w:t>,0</w:t>
      </w:r>
      <w:r w:rsidRPr="006408BE" w:rsidR="006408BE">
        <w:rPr>
          <w:rFonts w:eastAsiaTheme="majorEastAsia" w:cstheme="majorBidi"/>
        </w:rPr>
        <w:t xml:space="preserve"> </w:t>
      </w:r>
      <w:r w:rsidRPr="006408BE" w:rsidR="006408BE">
        <w:rPr>
          <w:rFonts w:eastAsiaTheme="majorEastAsia" w:cstheme="majorBidi"/>
          <w:b/>
          <w:bCs/>
        </w:rPr>
        <w:t>±</w:t>
      </w:r>
      <w:r w:rsidRPr="006408BE" w:rsidR="006408BE">
        <w:rPr>
          <w:rFonts w:eastAsiaTheme="majorEastAsia" w:cstheme="majorBidi"/>
        </w:rPr>
        <w:t> 0,</w:t>
      </w:r>
      <w:r w:rsidR="006408BE">
        <w:rPr>
          <w:rFonts w:eastAsiaTheme="majorEastAsia" w:cstheme="majorBidi"/>
        </w:rPr>
        <w:t>2</w:t>
      </w:r>
      <w:r w:rsidRPr="006408BE" w:rsidR="006408BE">
        <w:rPr>
          <w:rFonts w:eastAsiaTheme="majorEastAsia" w:cstheme="majorBidi"/>
        </w:rPr>
        <w:t xml:space="preserve"> NTU</w:t>
      </w:r>
      <w:r w:rsidR="006408BE">
        <w:rPr>
          <w:rFonts w:eastAsiaTheme="majorEastAsia" w:cstheme="majorBidi"/>
        </w:rPr>
        <w:t xml:space="preserve"> w próbce pobranej z wyjścia na sieć oraz </w:t>
      </w:r>
      <w:r w:rsidRPr="006408BE">
        <w:rPr>
          <w:rFonts w:eastAsiaTheme="majorEastAsia" w:cstheme="majorBidi"/>
        </w:rPr>
        <w:t>3,2</w:t>
      </w:r>
      <w:r w:rsidRPr="006408BE">
        <w:rPr>
          <w:rFonts w:eastAsiaTheme="majorEastAsia" w:cstheme="majorBidi"/>
        </w:rPr>
        <w:t xml:space="preserve"> </w:t>
      </w:r>
      <w:r w:rsidRPr="006408BE">
        <w:rPr>
          <w:rFonts w:eastAsiaTheme="majorEastAsia" w:cstheme="majorBidi"/>
          <w:b/>
          <w:bCs/>
        </w:rPr>
        <w:t>±</w:t>
      </w:r>
      <w:r w:rsidRPr="006408BE">
        <w:rPr>
          <w:rFonts w:eastAsiaTheme="majorEastAsia" w:cstheme="majorBidi"/>
        </w:rPr>
        <w:t> 0,</w:t>
      </w:r>
      <w:r w:rsidRPr="006408BE">
        <w:rPr>
          <w:rFonts w:eastAsiaTheme="majorEastAsia" w:cstheme="majorBidi"/>
        </w:rPr>
        <w:t>4</w:t>
      </w:r>
      <w:r w:rsidRPr="006408BE">
        <w:rPr>
          <w:rFonts w:eastAsiaTheme="majorEastAsia" w:cstheme="majorBidi"/>
        </w:rPr>
        <w:t xml:space="preserve"> NTU w próbce pobranej z wyjścia na sieć </w:t>
      </w:r>
      <w:r w:rsidRPr="006408BE">
        <w:rPr>
          <w:rFonts w:eastAsiaTheme="majorEastAsia" w:cstheme="majorBidi"/>
        </w:rPr>
        <w:t>Szkoła Podstawowa w</w:t>
      </w:r>
      <w:r w:rsidR="006408BE">
        <w:rPr>
          <w:rFonts w:eastAsiaTheme="majorEastAsia" w:cstheme="majorBidi"/>
        </w:rPr>
        <w:t> </w:t>
      </w:r>
      <w:r w:rsidRPr="006408BE">
        <w:rPr>
          <w:rFonts w:eastAsiaTheme="majorEastAsia" w:cstheme="majorBidi"/>
        </w:rPr>
        <w:t>Mszadli, Mszadla Nr 98</w:t>
      </w:r>
    </w:p>
    <w:p w:rsidR="001076A9" w:rsidRPr="008C56F9" w:rsidP="008C56F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8C56F9">
        <w:rPr>
          <w:rFonts w:eastAsiaTheme="majorEastAsia" w:cstheme="majorBidi"/>
        </w:rPr>
        <w:t>oraz</w:t>
      </w:r>
    </w:p>
    <w:p w:rsidR="001076A9" w:rsidRPr="00F9189D" w:rsidP="00756102">
      <w:pPr>
        <w:pStyle w:val="ListParagraph"/>
        <w:tabs>
          <w:tab w:val="right" w:pos="7936"/>
        </w:tabs>
        <w:spacing w:before="0" w:after="360"/>
        <w:ind w:left="360"/>
        <w:rPr>
          <w:rFonts w:eastAsiaTheme="majorEastAsia" w:cstheme="majorBidi"/>
          <w:b/>
          <w:bCs/>
        </w:rPr>
      </w:pPr>
      <w:r w:rsidRPr="00F9189D">
        <w:rPr>
          <w:rFonts w:eastAsiaTheme="majorEastAsia" w:cstheme="majorBidi"/>
          <w:b/>
          <w:bCs/>
        </w:rPr>
        <w:t>nakazuje:</w:t>
      </w:r>
    </w:p>
    <w:p w:rsidR="001076A9" w:rsidRPr="00F9189D" w:rsidP="001076A9">
      <w:pPr>
        <w:pStyle w:val="ListParagraph"/>
        <w:tabs>
          <w:tab w:val="right" w:pos="7936"/>
        </w:tabs>
        <w:spacing w:before="360" w:after="360"/>
        <w:ind w:left="360"/>
        <w:rPr>
          <w:rFonts w:eastAsiaTheme="majorEastAsia" w:cstheme="majorBidi"/>
        </w:rPr>
      </w:pPr>
    </w:p>
    <w:p w:rsidR="001076A9" w:rsidRPr="00F9189D" w:rsidP="00756102">
      <w:pPr>
        <w:pStyle w:val="ListParagraph"/>
        <w:numPr>
          <w:ilvl w:val="0"/>
          <w:numId w:val="3"/>
        </w:numPr>
        <w:tabs>
          <w:tab w:val="right" w:pos="7936"/>
        </w:tabs>
        <w:spacing w:before="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w terminie do dnia </w:t>
      </w:r>
      <w:r w:rsidR="008C56F9">
        <w:rPr>
          <w:rFonts w:eastAsiaTheme="majorEastAsia" w:cstheme="majorBidi"/>
        </w:rPr>
        <w:t>15 lipca</w:t>
      </w:r>
      <w:r w:rsidRPr="00F9189D">
        <w:rPr>
          <w:rFonts w:eastAsiaTheme="majorEastAsia" w:cstheme="majorBidi"/>
        </w:rPr>
        <w:t xml:space="preserve"> 2026 r. doprowadzić jakość wody pod względem fizykochemicznym- usprawnić proces uzdatniania wody dostarczanej z wodociągu publicznego w </w:t>
      </w:r>
      <w:r>
        <w:rPr>
          <w:rFonts w:eastAsiaTheme="majorEastAsia" w:cstheme="majorBidi"/>
        </w:rPr>
        <w:t>M</w:t>
      </w:r>
      <w:r w:rsidR="008C56F9">
        <w:rPr>
          <w:rFonts w:eastAsiaTheme="majorEastAsia" w:cstheme="majorBidi"/>
        </w:rPr>
        <w:t>szadli</w:t>
      </w:r>
      <w:r w:rsidRPr="00F9189D">
        <w:rPr>
          <w:rFonts w:eastAsiaTheme="majorEastAsia" w:cstheme="majorBidi"/>
        </w:rPr>
        <w:t xml:space="preserve"> do warunków określonych w załączniku nr 1 część C tabela 2 rozporządzenia Ministra Zdrowia z dnia 7 grudnia 2017 r. w sprawie jakości wody przeznaczonej do spożycia przez ludzi (Dz. U. z 2017 r. poz. 2294),</w:t>
      </w:r>
    </w:p>
    <w:p w:rsidR="001076A9" w:rsidP="001076A9">
      <w:pPr>
        <w:pStyle w:val="ListParagraph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utrzymywać do czasu wykonania </w:t>
      </w:r>
      <w:r>
        <w:rPr>
          <w:rFonts w:eastAsiaTheme="majorEastAsia" w:cstheme="majorBidi"/>
        </w:rPr>
        <w:t>nakazu</w:t>
      </w:r>
      <w:r w:rsidRPr="00F9189D">
        <w:rPr>
          <w:rFonts w:eastAsiaTheme="majorEastAsia" w:cstheme="majorBidi"/>
        </w:rPr>
        <w:t xml:space="preserve"> zawartego w pkt 1 n/w parametr</w:t>
      </w:r>
      <w:r>
        <w:rPr>
          <w:rFonts w:eastAsiaTheme="majorEastAsia" w:cstheme="majorBidi"/>
        </w:rPr>
        <w:t>u</w:t>
      </w:r>
      <w:r w:rsidRPr="00F9189D">
        <w:rPr>
          <w:rFonts w:eastAsiaTheme="majorEastAsia" w:cstheme="majorBidi"/>
        </w:rPr>
        <w:t xml:space="preserve"> na maksymalnym poziomie pozwalającym na warunkowe dopuszczenie jej do spożycia, wynoszącym </w:t>
      </w:r>
      <w:r w:rsidRPr="00201A45" w:rsidR="00201A45">
        <w:rPr>
          <w:rFonts w:eastAsiaTheme="majorEastAsia" w:cstheme="majorBidi"/>
        </w:rPr>
        <w:t xml:space="preserve">mętność </w:t>
      </w:r>
      <w:r w:rsidR="008C56F9">
        <w:rPr>
          <w:rFonts w:eastAsiaTheme="majorEastAsia" w:cstheme="majorBidi"/>
        </w:rPr>
        <w:t xml:space="preserve">3,2 </w:t>
      </w:r>
      <w:r w:rsidRPr="00F9189D" w:rsidR="008C56F9">
        <w:rPr>
          <w:rFonts w:eastAsiaTheme="majorEastAsia" w:cstheme="majorBidi"/>
          <w:b/>
          <w:bCs/>
        </w:rPr>
        <w:t>±</w:t>
      </w:r>
      <w:r w:rsidRPr="00F9189D" w:rsidR="008C56F9">
        <w:rPr>
          <w:rFonts w:eastAsiaTheme="majorEastAsia" w:cstheme="majorBidi"/>
        </w:rPr>
        <w:t> </w:t>
      </w:r>
      <w:r w:rsidR="008C56F9">
        <w:rPr>
          <w:rFonts w:eastAsiaTheme="majorEastAsia" w:cstheme="majorBidi"/>
        </w:rPr>
        <w:t>0,4 NTU</w:t>
      </w:r>
      <w:r w:rsidR="00201A45">
        <w:rPr>
          <w:rFonts w:eastAsiaTheme="majorEastAsia" w:cstheme="majorBidi"/>
        </w:rPr>
        <w:t>,</w:t>
      </w:r>
    </w:p>
    <w:p w:rsidR="001076A9" w:rsidRPr="00F9189D" w:rsidP="001076A9">
      <w:pPr>
        <w:pStyle w:val="ListParagraph"/>
        <w:numPr>
          <w:ilvl w:val="0"/>
          <w:numId w:val="3"/>
        </w:numPr>
        <w:tabs>
          <w:tab w:val="right" w:pos="7936"/>
        </w:tabs>
        <w:spacing w:before="360" w:after="36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w terminie do dnia </w:t>
      </w:r>
      <w:r w:rsidR="004C7A06">
        <w:rPr>
          <w:rFonts w:eastAsiaTheme="majorEastAsia" w:cstheme="majorBidi"/>
        </w:rPr>
        <w:t>26</w:t>
      </w:r>
      <w:r w:rsidRPr="00F9189D">
        <w:rPr>
          <w:rFonts w:eastAsiaTheme="majorEastAsia" w:cstheme="majorBidi"/>
        </w:rPr>
        <w:t xml:space="preserve"> </w:t>
      </w:r>
      <w:r w:rsidR="004C7A06">
        <w:rPr>
          <w:rFonts w:eastAsiaTheme="majorEastAsia" w:cstheme="majorBidi"/>
        </w:rPr>
        <w:t>czerwca</w:t>
      </w:r>
      <w:r w:rsidRPr="00F9189D">
        <w:rPr>
          <w:rFonts w:eastAsiaTheme="majorEastAsia" w:cstheme="majorBidi"/>
        </w:rPr>
        <w:t xml:space="preserve"> 2026 r. poinformować </w:t>
      </w:r>
      <w:r>
        <w:rPr>
          <w:rFonts w:eastAsiaTheme="majorEastAsia" w:cstheme="majorBidi"/>
        </w:rPr>
        <w:t>PPIS</w:t>
      </w:r>
      <w:r w:rsidRPr="00F9189D">
        <w:rPr>
          <w:rFonts w:eastAsiaTheme="majorEastAsia" w:cstheme="majorBidi"/>
        </w:rPr>
        <w:t xml:space="preserve"> w Skierniewicach o wykonaniu działań naprawczych oraz ich zakresie.</w:t>
      </w:r>
    </w:p>
    <w:p w:rsidR="001076A9" w:rsidRPr="00F9189D" w:rsidP="001076A9">
      <w:pPr>
        <w:tabs>
          <w:tab w:val="right" w:pos="7936"/>
        </w:tabs>
        <w:spacing w:before="0" w:after="0"/>
        <w:rPr>
          <w:rFonts w:eastAsiaTheme="majorEastAsia" w:cstheme="majorBidi"/>
          <w:b/>
          <w:bCs/>
        </w:rPr>
      </w:pPr>
      <w:r w:rsidRPr="00F9189D">
        <w:rPr>
          <w:rFonts w:eastAsiaTheme="majorEastAsia" w:cstheme="majorBidi"/>
          <w:b/>
          <w:bCs/>
        </w:rPr>
        <w:t>UZASADNIENIE</w:t>
      </w:r>
    </w:p>
    <w:p w:rsidR="001076A9" w:rsidP="002077E8">
      <w:pPr>
        <w:tabs>
          <w:tab w:val="right" w:pos="7936"/>
        </w:tabs>
        <w:spacing w:after="0"/>
        <w:rPr>
          <w:rFonts w:eastAsiaTheme="majorEastAsia" w:cstheme="majorBidi"/>
        </w:rPr>
      </w:pPr>
      <w:r w:rsidRPr="00F9189D">
        <w:rPr>
          <w:rFonts w:eastAsiaTheme="majorEastAsia" w:cstheme="majorBidi"/>
        </w:rPr>
        <w:t xml:space="preserve">W dniu </w:t>
      </w:r>
      <w:r w:rsidR="002077E8">
        <w:rPr>
          <w:rFonts w:eastAsiaTheme="majorEastAsia" w:cstheme="majorBidi"/>
        </w:rPr>
        <w:t xml:space="preserve">28 maja </w:t>
      </w:r>
      <w:r w:rsidRPr="00F9189D">
        <w:rPr>
          <w:rFonts w:eastAsiaTheme="majorEastAsia" w:cstheme="majorBidi"/>
        </w:rPr>
        <w:t>2026 r</w:t>
      </w:r>
      <w:r>
        <w:rPr>
          <w:rFonts w:eastAsiaTheme="majorEastAsia" w:cstheme="majorBidi"/>
        </w:rPr>
        <w:t>.</w:t>
      </w:r>
      <w:r w:rsidR="002077E8">
        <w:rPr>
          <w:rFonts w:eastAsiaTheme="majorEastAsia" w:cstheme="majorBidi"/>
        </w:rPr>
        <w:t xml:space="preserve"> CEWOKAN Sp. z o.o. </w:t>
      </w:r>
      <w:r>
        <w:rPr>
          <w:rFonts w:eastAsiaTheme="majorEastAsia" w:cstheme="majorBidi"/>
        </w:rPr>
        <w:t xml:space="preserve"> </w:t>
      </w:r>
      <w:r w:rsidRPr="002077E8" w:rsidR="002077E8">
        <w:rPr>
          <w:rFonts w:eastAsiaTheme="majorEastAsia" w:cstheme="majorBidi"/>
        </w:rPr>
        <w:t xml:space="preserve">ul. Sochaczewska 52, 99-400 Łowicz </w:t>
      </w:r>
      <w:r w:rsidR="002077E8">
        <w:rPr>
          <w:rFonts w:eastAsiaTheme="majorEastAsia" w:cstheme="majorBidi"/>
        </w:rPr>
        <w:t xml:space="preserve">przesłał do </w:t>
      </w:r>
      <w:r w:rsidRPr="00F9189D">
        <w:rPr>
          <w:rFonts w:eastAsiaTheme="majorEastAsia" w:cstheme="majorBidi"/>
        </w:rPr>
        <w:t>Państwow</w:t>
      </w:r>
      <w:r w:rsidR="002077E8">
        <w:rPr>
          <w:rFonts w:eastAsiaTheme="majorEastAsia" w:cstheme="majorBidi"/>
        </w:rPr>
        <w:t>ego</w:t>
      </w:r>
      <w:r w:rsidRPr="00F9189D">
        <w:rPr>
          <w:rFonts w:eastAsiaTheme="majorEastAsia" w:cstheme="majorBidi"/>
        </w:rPr>
        <w:t xml:space="preserve"> Powiatow</w:t>
      </w:r>
      <w:r w:rsidR="002077E8">
        <w:rPr>
          <w:rFonts w:eastAsiaTheme="majorEastAsia" w:cstheme="majorBidi"/>
        </w:rPr>
        <w:t xml:space="preserve">ego </w:t>
      </w:r>
      <w:r w:rsidRPr="00F9189D">
        <w:rPr>
          <w:rFonts w:eastAsiaTheme="majorEastAsia" w:cstheme="majorBidi"/>
        </w:rPr>
        <w:t>Inspektor</w:t>
      </w:r>
      <w:r w:rsidR="002077E8">
        <w:rPr>
          <w:rFonts w:eastAsiaTheme="majorEastAsia" w:cstheme="majorBidi"/>
        </w:rPr>
        <w:t>a</w:t>
      </w:r>
      <w:r w:rsidRPr="00F9189D">
        <w:rPr>
          <w:rFonts w:eastAsiaTheme="majorEastAsia" w:cstheme="majorBidi"/>
        </w:rPr>
        <w:t xml:space="preserve"> Sanitarn</w:t>
      </w:r>
      <w:r w:rsidR="002077E8">
        <w:rPr>
          <w:rFonts w:eastAsiaTheme="majorEastAsia" w:cstheme="majorBidi"/>
        </w:rPr>
        <w:t>ego</w:t>
      </w:r>
      <w:r w:rsidRPr="00F9189D">
        <w:rPr>
          <w:rFonts w:eastAsiaTheme="majorEastAsia" w:cstheme="majorBidi"/>
        </w:rPr>
        <w:t xml:space="preserve"> (dalej: PPIS) w</w:t>
      </w:r>
      <w:r>
        <w:rPr>
          <w:rFonts w:eastAsiaTheme="majorEastAsia" w:cstheme="majorBidi"/>
        </w:rPr>
        <w:t> </w:t>
      </w:r>
      <w:r w:rsidRPr="00F9189D">
        <w:rPr>
          <w:rFonts w:eastAsiaTheme="majorEastAsia" w:cstheme="majorBidi"/>
        </w:rPr>
        <w:t>Skierniewicach</w:t>
      </w:r>
      <w:r w:rsidR="004C7A06">
        <w:rPr>
          <w:rFonts w:eastAsiaTheme="majorEastAsia" w:cstheme="majorBidi"/>
        </w:rPr>
        <w:t xml:space="preserve"> informację, że</w:t>
      </w:r>
      <w:r w:rsidRPr="00F9189D">
        <w:rPr>
          <w:rFonts w:eastAsiaTheme="majorEastAsia" w:cstheme="majorBidi"/>
        </w:rPr>
        <w:t xml:space="preserve"> dokonał kontroli </w:t>
      </w:r>
      <w:r w:rsidR="002077E8">
        <w:rPr>
          <w:rFonts w:eastAsiaTheme="majorEastAsia" w:cstheme="majorBidi"/>
        </w:rPr>
        <w:t>wewnętrznej</w:t>
      </w:r>
      <w:r w:rsidRPr="00F9189D">
        <w:rPr>
          <w:rFonts w:eastAsiaTheme="majorEastAsia" w:cstheme="majorBidi"/>
        </w:rPr>
        <w:t xml:space="preserve"> jakości wody do spożycia z wodociągu </w:t>
      </w:r>
      <w:r w:rsidR="002077E8">
        <w:rPr>
          <w:rFonts w:eastAsiaTheme="majorEastAsia" w:cstheme="majorBidi"/>
        </w:rPr>
        <w:t>Mszadla, gm. Lipce Reymontowskie</w:t>
      </w:r>
      <w:r>
        <w:rPr>
          <w:rFonts w:eastAsiaTheme="majorEastAsia" w:cstheme="majorBidi"/>
        </w:rPr>
        <w:t>.</w:t>
      </w:r>
      <w:r w:rsidRPr="00F9189D">
        <w:rPr>
          <w:rFonts w:eastAsiaTheme="majorEastAsia" w:cstheme="majorBidi"/>
        </w:rPr>
        <w:t xml:space="preserve"> W pobran</w:t>
      </w:r>
      <w:r w:rsidR="002077E8">
        <w:rPr>
          <w:rFonts w:eastAsiaTheme="majorEastAsia" w:cstheme="majorBidi"/>
        </w:rPr>
        <w:t>ych</w:t>
      </w:r>
      <w:r w:rsidRPr="00F9189D">
        <w:rPr>
          <w:rFonts w:eastAsiaTheme="majorEastAsia" w:cstheme="majorBidi"/>
        </w:rPr>
        <w:t xml:space="preserve"> prób</w:t>
      </w:r>
      <w:r w:rsidR="002077E8">
        <w:rPr>
          <w:rFonts w:eastAsiaTheme="majorEastAsia" w:cstheme="majorBidi"/>
        </w:rPr>
        <w:t>kach</w:t>
      </w:r>
      <w:r w:rsidRPr="00F9189D">
        <w:rPr>
          <w:rFonts w:eastAsiaTheme="majorEastAsia" w:cstheme="majorBidi"/>
        </w:rPr>
        <w:t xml:space="preserve"> z </w:t>
      </w:r>
      <w:r w:rsidR="002077E8">
        <w:rPr>
          <w:rFonts w:eastAsiaTheme="majorEastAsia" w:cstheme="majorBidi"/>
        </w:rPr>
        <w:t xml:space="preserve">wyjścia na sieć oraz </w:t>
      </w:r>
      <w:r w:rsidRPr="00F9189D">
        <w:rPr>
          <w:rFonts w:eastAsiaTheme="majorEastAsia" w:cstheme="majorBidi"/>
        </w:rPr>
        <w:t xml:space="preserve">punktu na sieci- Szkoła Podstawowa w </w:t>
      </w:r>
      <w:r w:rsidR="002077E8">
        <w:rPr>
          <w:rFonts w:eastAsiaTheme="majorEastAsia" w:cstheme="majorBidi"/>
        </w:rPr>
        <w:t>Mszadli</w:t>
      </w:r>
      <w:r w:rsidRPr="00F9189D">
        <w:rPr>
          <w:rFonts w:eastAsiaTheme="majorEastAsia" w:cstheme="majorBidi"/>
        </w:rPr>
        <w:t xml:space="preserve"> stwierdzono ponadnormatywną wartość parametr</w:t>
      </w:r>
      <w:r w:rsidR="002077E8">
        <w:rPr>
          <w:rFonts w:eastAsiaTheme="majorEastAsia" w:cstheme="majorBidi"/>
        </w:rPr>
        <w:t>u</w:t>
      </w:r>
      <w:r w:rsidRPr="00F9189D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>mętnoś</w:t>
      </w:r>
      <w:r w:rsidR="002077E8">
        <w:rPr>
          <w:rFonts w:eastAsiaTheme="majorEastAsia" w:cstheme="majorBidi"/>
        </w:rPr>
        <w:t xml:space="preserve">ci </w:t>
      </w:r>
      <w:r>
        <w:rPr>
          <w:rFonts w:eastAsiaTheme="majorEastAsia" w:cstheme="majorBidi"/>
        </w:rPr>
        <w:t>wynosząc</w:t>
      </w:r>
      <w:r w:rsidR="002077E8">
        <w:rPr>
          <w:rFonts w:eastAsiaTheme="majorEastAsia" w:cstheme="majorBidi"/>
        </w:rPr>
        <w:t>ego odpowiednio 2</w:t>
      </w:r>
      <w:r w:rsidR="00CD671B">
        <w:rPr>
          <w:rFonts w:eastAsiaTheme="majorEastAsia" w:cstheme="majorBidi"/>
        </w:rPr>
        <w:t>,0</w:t>
      </w:r>
      <w:r>
        <w:rPr>
          <w:rFonts w:eastAsiaTheme="majorEastAsia" w:cstheme="majorBidi"/>
        </w:rPr>
        <w:t xml:space="preserve"> </w:t>
      </w:r>
      <w:r w:rsidRPr="002077E8" w:rsidR="002077E8">
        <w:rPr>
          <w:rFonts w:eastAsiaTheme="majorEastAsia" w:cstheme="majorBidi"/>
          <w:b/>
          <w:bCs/>
        </w:rPr>
        <w:t>±</w:t>
      </w:r>
      <w:r w:rsidRPr="002077E8" w:rsidR="002077E8">
        <w:rPr>
          <w:rFonts w:eastAsiaTheme="majorEastAsia" w:cstheme="majorBidi"/>
        </w:rPr>
        <w:t> 0,</w:t>
      </w:r>
      <w:r w:rsidR="002077E8">
        <w:rPr>
          <w:rFonts w:eastAsiaTheme="majorEastAsia" w:cstheme="majorBidi"/>
        </w:rPr>
        <w:t xml:space="preserve">2 oraz </w:t>
      </w:r>
      <w:r>
        <w:rPr>
          <w:rFonts w:eastAsiaTheme="majorEastAsia" w:cstheme="majorBidi"/>
        </w:rPr>
        <w:t>3,</w:t>
      </w:r>
      <w:r w:rsidR="002077E8">
        <w:rPr>
          <w:rFonts w:eastAsiaTheme="majorEastAsia" w:cstheme="majorBidi"/>
        </w:rPr>
        <w:t>2</w:t>
      </w:r>
      <w:r w:rsidRPr="00F9189D">
        <w:rPr>
          <w:rFonts w:eastAsiaTheme="majorEastAsia" w:cstheme="majorBidi"/>
        </w:rPr>
        <w:t xml:space="preserve"> </w:t>
      </w:r>
      <w:r w:rsidRPr="00F9189D">
        <w:rPr>
          <w:rFonts w:eastAsiaTheme="majorEastAsia" w:cstheme="majorBidi"/>
          <w:b/>
          <w:bCs/>
        </w:rPr>
        <w:t>±</w:t>
      </w:r>
      <w:r w:rsidRPr="00F9189D">
        <w:rPr>
          <w:rFonts w:eastAsiaTheme="majorEastAsia" w:cstheme="majorBidi"/>
        </w:rPr>
        <w:t> 0,</w:t>
      </w:r>
      <w:r>
        <w:rPr>
          <w:rFonts w:eastAsiaTheme="majorEastAsia" w:cstheme="majorBidi"/>
        </w:rPr>
        <w:t>4</w:t>
      </w:r>
      <w:r w:rsidRPr="00F9189D">
        <w:rPr>
          <w:rFonts w:eastAsiaTheme="majorEastAsia" w:cstheme="majorBidi"/>
        </w:rPr>
        <w:t xml:space="preserve"> NTU</w:t>
      </w:r>
      <w:r>
        <w:rPr>
          <w:rFonts w:eastAsiaTheme="majorEastAsia" w:cstheme="majorBidi"/>
        </w:rPr>
        <w:t xml:space="preserve">. </w:t>
      </w:r>
    </w:p>
    <w:p w:rsidR="001076A9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 xml:space="preserve">PPIS w Skierniewicach w dniu </w:t>
      </w:r>
      <w:r w:rsidR="002077E8">
        <w:rPr>
          <w:rFonts w:eastAsiaTheme="majorEastAsia" w:cstheme="majorBidi"/>
        </w:rPr>
        <w:t>03 czerwca</w:t>
      </w:r>
      <w:r>
        <w:rPr>
          <w:rFonts w:eastAsiaTheme="majorEastAsia" w:cstheme="majorBidi"/>
        </w:rPr>
        <w:t xml:space="preserve"> 2026 r. wystosował do</w:t>
      </w:r>
      <w:r w:rsidRPr="002077E8" w:rsidR="002077E8">
        <w:rPr>
          <w:rFonts w:eastAsiaTheme="majorEastAsia" w:cstheme="majorBidi"/>
        </w:rPr>
        <w:t xml:space="preserve"> CEWOKAN Sp. z o.o. ul.</w:t>
      </w:r>
      <w:r w:rsidR="002077E8">
        <w:rPr>
          <w:rFonts w:eastAsiaTheme="majorEastAsia" w:cstheme="majorBidi"/>
        </w:rPr>
        <w:t> </w:t>
      </w:r>
      <w:r w:rsidRPr="002077E8" w:rsidR="002077E8">
        <w:rPr>
          <w:rFonts w:eastAsiaTheme="majorEastAsia" w:cstheme="majorBidi"/>
        </w:rPr>
        <w:t>Sochaczewska 52, 99-400 Łowicz</w:t>
      </w:r>
      <w:r w:rsidR="002077E8">
        <w:rPr>
          <w:rFonts w:eastAsiaTheme="majorEastAsia" w:cstheme="majorBidi"/>
        </w:rPr>
        <w:t xml:space="preserve"> </w:t>
      </w:r>
      <w:r>
        <w:rPr>
          <w:rFonts w:eastAsiaTheme="majorEastAsia" w:cstheme="majorBidi"/>
        </w:rPr>
        <w:t xml:space="preserve">zawiadomienie o wszczęciu postępowania w sprawie </w:t>
      </w:r>
      <w:r w:rsidRPr="00E56C4C">
        <w:rPr>
          <w:rFonts w:eastAsiaTheme="majorEastAsia" w:cstheme="majorBidi"/>
        </w:rPr>
        <w:t xml:space="preserve">stwierdzenia warunkowej przydatności wody do spożycia przez ludzi z wodociągu publicznego w </w:t>
      </w:r>
      <w:r w:rsidR="002077E8">
        <w:rPr>
          <w:rFonts w:eastAsiaTheme="majorEastAsia" w:cstheme="majorBidi"/>
        </w:rPr>
        <w:t>Mszadli, gm. Lipce Reymontowskie</w:t>
      </w:r>
      <w:r>
        <w:rPr>
          <w:rFonts w:eastAsiaTheme="majorEastAsia" w:cstheme="majorBidi"/>
        </w:rPr>
        <w:t>.</w:t>
      </w:r>
    </w:p>
    <w:p w:rsidR="001076A9" w:rsidRPr="00E40576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>
        <w:rPr>
          <w:rFonts w:eastAsiaTheme="majorEastAsia" w:cstheme="majorBidi"/>
        </w:rPr>
        <w:t>Z</w:t>
      </w:r>
      <w:r w:rsidRPr="00E40576">
        <w:rPr>
          <w:rFonts w:eastAsiaTheme="majorEastAsia" w:cstheme="majorBidi"/>
        </w:rPr>
        <w:t>godnie z § 21 ust. 1 pkt 3 rozporządzenia Ministra Zdrowia z dnia 7 grudnia 2017 r. w</w:t>
      </w:r>
      <w:r>
        <w:rPr>
          <w:rFonts w:eastAsiaTheme="majorEastAsia" w:cstheme="majorBidi"/>
        </w:rPr>
        <w:t> </w:t>
      </w:r>
      <w:r w:rsidRPr="00E40576">
        <w:rPr>
          <w:rFonts w:eastAsiaTheme="majorEastAsia" w:cstheme="majorBidi"/>
        </w:rPr>
        <w:t xml:space="preserve">sprawie jakości wody przeznaczonej do spożycia przez ludzi właściwy państwowy inspektor sanitarny na podstawie sprawozdania, o którym mowa w </w:t>
      </w:r>
      <w:bookmarkStart w:id="4" w:name="_Hlk83385534"/>
      <w:r w:rsidRPr="00E40576">
        <w:rPr>
          <w:rFonts w:eastAsiaTheme="majorEastAsia" w:cstheme="majorBidi"/>
        </w:rPr>
        <w:t>§</w:t>
      </w:r>
      <w:bookmarkEnd w:id="4"/>
      <w:r w:rsidRPr="00E40576">
        <w:rPr>
          <w:rFonts w:eastAsiaTheme="majorEastAsia" w:cstheme="majorBidi"/>
        </w:rPr>
        <w:t xml:space="preserve"> 10 ust. 1, w tym sprawozdań z</w:t>
      </w:r>
      <w:r>
        <w:rPr>
          <w:rFonts w:eastAsiaTheme="majorEastAsia" w:cstheme="majorBidi"/>
        </w:rPr>
        <w:t> </w:t>
      </w:r>
      <w:r w:rsidRPr="00E40576">
        <w:rPr>
          <w:rFonts w:eastAsiaTheme="majorEastAsia" w:cstheme="majorBidi"/>
        </w:rPr>
        <w:t>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w § 12 ust. 4</w:t>
      </w:r>
      <w:r>
        <w:rPr>
          <w:rFonts w:eastAsiaTheme="majorEastAsia" w:cstheme="majorBidi"/>
        </w:rPr>
        <w:t> </w:t>
      </w:r>
      <w:r w:rsidRPr="00E40576">
        <w:rPr>
          <w:rFonts w:eastAsiaTheme="majorEastAsia" w:cstheme="majorBidi"/>
        </w:rPr>
        <w:t xml:space="preserve">ustawy, wykonanych w punkcie zgodności stwierdza warunkową przydatność wody do spożycia w przypadkach, o których mowa w ust. 2-4. W świetle ust. 3 pkt 1 warunkową przydatność wody do spożycia właściwy państwowy inspektor sanitarny może stwierdzić w przypadku stwierdzenia przekroczenia w badanej próbce wody wartości parametrycznej dla parametrów określonych w części C w tabeli 2 załącznika nr 1 do rozporządzenia. </w:t>
      </w:r>
    </w:p>
    <w:p w:rsidR="001076A9" w:rsidRPr="00E40576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W odniesieniu do rozporządzenia Ministra Zdrowia w sprawie jakości wody przeznaczonej do spożycia przez ludzi, wskazać należy, że woda jest w pełni bezpieczna </w:t>
      </w:r>
      <w:r w:rsidRPr="00E40576">
        <w:rPr>
          <w:rFonts w:eastAsiaTheme="majorEastAsia" w:cstheme="majorBidi"/>
        </w:rPr>
        <w:br/>
        <w:t>dla zdrowia jeśli spełnia określone w nim wymagania. Wszystkie substancje, dla których określa się wartości graniczne, gdy występują w większych ilościach mogą mieć negatywny wpływ na bezpieczeństwo zdrowotne. Na podstawie wytycznych Zakładu Bezpieczeństwa Zdrowotnego Środowiska - Narodowego Instytutu Zdrowia Publicznego występowanie przekroczenia poziom</w:t>
      </w:r>
      <w:r>
        <w:rPr>
          <w:rFonts w:eastAsiaTheme="majorEastAsia" w:cstheme="majorBidi"/>
        </w:rPr>
        <w:t xml:space="preserve">u </w:t>
      </w:r>
      <w:r w:rsidRPr="00E40576">
        <w:rPr>
          <w:rFonts w:eastAsiaTheme="majorEastAsia" w:cstheme="majorBidi"/>
        </w:rPr>
        <w:t>mętności nie ma bezpośredniego zagrożenia dla zdrowia, jednakże obecność wysokich stężeń jest niekorzystna ze względu na dyskomfort konsumentów i</w:t>
      </w:r>
      <w:r>
        <w:rPr>
          <w:rFonts w:eastAsiaTheme="majorEastAsia" w:cstheme="majorBidi"/>
        </w:rPr>
        <w:t> </w:t>
      </w:r>
      <w:r w:rsidRPr="00E40576">
        <w:rPr>
          <w:rFonts w:eastAsiaTheme="majorEastAsia" w:cstheme="majorBidi"/>
        </w:rPr>
        <w:t xml:space="preserve">braku jego akceptacji ze względu na niekorzystny wpływ na barwę oraz mętność wody. </w:t>
      </w:r>
      <w:r w:rsidRPr="00E40576">
        <w:rPr>
          <w:rFonts w:eastAsiaTheme="majorEastAsia" w:cstheme="majorBidi"/>
        </w:rPr>
        <w:br/>
        <w:t>Dlatego też, PPIS w Skierniewicach wyjaśnia, że utrzymywanie się przez długi okres przekroczenia mętności może wpłynąć na zmianę właściwości wody.</w:t>
      </w:r>
    </w:p>
    <w:p w:rsidR="001076A9" w:rsidRPr="00E40576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Na podstawie analizy wyników badań, Państwowy Powiatowy Inspektor Sanitarny </w:t>
      </w:r>
      <w:r w:rsidRPr="00E40576">
        <w:rPr>
          <w:rFonts w:eastAsiaTheme="majorEastAsia" w:cstheme="majorBidi"/>
        </w:rPr>
        <w:br/>
        <w:t xml:space="preserve">w Skierniewicach stwierdził, że woda z wodociągu publicznego w </w:t>
      </w:r>
      <w:r w:rsidR="000051E3">
        <w:rPr>
          <w:rFonts w:eastAsiaTheme="majorEastAsia" w:cstheme="majorBidi"/>
        </w:rPr>
        <w:t>Mszadli</w:t>
      </w:r>
      <w:r w:rsidRPr="00E40576">
        <w:rPr>
          <w:rFonts w:eastAsiaTheme="majorEastAsia" w:cstheme="majorBidi"/>
        </w:rPr>
        <w:br/>
        <w:t xml:space="preserve">jest warunkowo przydatna do spożycia przez ludzi, ponieważ pod względem fizykochemicznym nie odpowiada wymaganiom sanitarnym określonym w załączniku nr 1 </w:t>
      </w:r>
      <w:r w:rsidRPr="00E40576">
        <w:rPr>
          <w:rFonts w:eastAsiaTheme="majorEastAsia" w:cstheme="majorBidi"/>
        </w:rPr>
        <w:t>część C tabela 2 do rozporządzenia Ministra Zdrowia z dnia 7 grudnia 2017 r. w sprawie jakości wody przeznaczonej do spożycia przez ludzi.</w:t>
      </w:r>
    </w:p>
    <w:p w:rsidR="001076A9" w:rsidRPr="00E40576" w:rsidP="001076A9">
      <w:pPr>
        <w:tabs>
          <w:tab w:val="right" w:pos="7936"/>
        </w:tabs>
        <w:spacing w:after="0"/>
        <w:rPr>
          <w:rFonts w:eastAsiaTheme="majorEastAsia" w:cstheme="majorBidi"/>
        </w:rPr>
      </w:pPr>
      <w:r w:rsidRPr="00E40576">
        <w:rPr>
          <w:rFonts w:eastAsiaTheme="majorEastAsia" w:cstheme="majorBidi"/>
        </w:rPr>
        <w:t xml:space="preserve">Mając na uwadze powyższe Państwowy Powiatowy Inspektor Sanitarny </w:t>
      </w:r>
      <w:r w:rsidRPr="00E40576">
        <w:rPr>
          <w:rFonts w:eastAsiaTheme="majorEastAsia" w:cstheme="majorBidi"/>
        </w:rPr>
        <w:br/>
        <w:t>w Skierniewicach orzekł jak w sentencji.</w:t>
      </w:r>
    </w:p>
    <w:p w:rsidR="001076A9" w:rsidP="00B650CA">
      <w:pPr>
        <w:tabs>
          <w:tab w:val="right" w:pos="7936"/>
        </w:tabs>
        <w:spacing w:before="360" w:after="0"/>
        <w:rPr>
          <w:rFonts w:eastAsiaTheme="majorEastAsia" w:cstheme="majorBidi"/>
        </w:rPr>
      </w:pPr>
      <w:r>
        <w:rPr>
          <w:rFonts w:eastAsiaTheme="majorEastAsia" w:cstheme="majorBidi"/>
          <w:b/>
          <w:bCs/>
          <w:sz w:val="24"/>
          <w:szCs w:val="24"/>
        </w:rPr>
        <w:t>POUCZENIE</w:t>
      </w:r>
    </w:p>
    <w:p w:rsidR="001076A9" w:rsidRPr="00CE65A1" w:rsidP="00B650CA">
      <w:pPr>
        <w:spacing w:after="0"/>
        <w:rPr>
          <w:rFonts w:eastAsiaTheme="majorEastAsia" w:cstheme="majorBidi"/>
        </w:rPr>
      </w:pPr>
      <w:r w:rsidRPr="00CE65A1">
        <w:rPr>
          <w:rFonts w:eastAsiaTheme="majorEastAsia" w:cstheme="majorBidi"/>
        </w:rPr>
        <w:t xml:space="preserve">Od niniejszej decyzji służy stronie odwołanie do Łódzkiego Państwowego Wojewódzkiego Inspektora Sanitarnego, 90-046 Łódź ul. Wodna 40, za pośrednictwem Państwowego Powiatowego Inspektora Sanitarnego w Skierniewicach, 96-100 Skierniewice, </w:t>
      </w:r>
      <w:r w:rsidRPr="00CE65A1">
        <w:rPr>
          <w:rFonts w:eastAsiaTheme="majorEastAsia" w:cstheme="majorBidi"/>
        </w:rPr>
        <w:br/>
        <w:t>ul. J. Piłsudskiego 33, w terminie 14 dni od daty otrzymania decyzji.</w:t>
      </w:r>
    </w:p>
    <w:p w:rsidR="00BA0965" w:rsidRPr="00F01236" w:rsidP="00F609C4">
      <w:pPr>
        <w:spacing w:after="0"/>
        <w:rPr>
          <w:rFonts w:eastAsiaTheme="majorEastAsia" w:cstheme="majorBidi"/>
        </w:rPr>
      </w:pPr>
      <w:r w:rsidRPr="00CE65A1">
        <w:rPr>
          <w:rFonts w:eastAsiaTheme="majorEastAsia" w:cstheme="majorBidi"/>
        </w:rPr>
        <w:t xml:space="preserve">Przed upływem terminu do wniesienia odwołania strona może zrzec się prawa </w:t>
      </w:r>
      <w:r w:rsidRPr="00CE65A1">
        <w:rPr>
          <w:rFonts w:eastAsiaTheme="majorEastAsia" w:cstheme="majorBidi"/>
        </w:rPr>
        <w:br/>
        <w:t xml:space="preserve">do wniesienia odwołania wobec organu administracji publicznej, który wydał decyzję. Z dniem doręczenia organowi administracji publicznej oświadczenia o zrzeczeniu się prawa </w:t>
      </w:r>
      <w:r w:rsidRPr="00CE65A1">
        <w:rPr>
          <w:rFonts w:eastAsiaTheme="majorEastAsia" w:cstheme="majorBidi"/>
        </w:rPr>
        <w:br/>
        <w:t xml:space="preserve">do wniesienia odwołania przez ostatnią ze stron postępowania decyzja staje się ostateczna </w:t>
      </w:r>
      <w:r w:rsidRPr="00CE65A1">
        <w:rPr>
          <w:rFonts w:eastAsiaTheme="majorEastAsia" w:cstheme="majorBidi"/>
        </w:rPr>
        <w:br/>
        <w:t xml:space="preserve">i prawomocna, co oznacza, że podlega wykonaniu i brak jest możliwości jej zaskarżenia </w:t>
      </w:r>
      <w:r w:rsidRPr="00CE65A1">
        <w:rPr>
          <w:rFonts w:eastAsiaTheme="majorEastAsia" w:cstheme="majorBidi"/>
        </w:rPr>
        <w:br/>
        <w:t>do wojewódzkiego sądu administracyjnego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BA0965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A0965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BA0965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BA0965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BA0965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BA0965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95077ED-E8FC-491F-AC8E-47EDE1CE8CA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AB51F037-DB91-4A3D-804C-BD27C69B258E}"/>
    <w:embedBold r:id="rId3" w:fontKey="{21B0086F-3016-4DCD-A092-73C3EA90740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1A93137-3D80-4F80-B032-EDEAABB36F0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965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965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A0965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BA0965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BA096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BA0965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BA0965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000000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000000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000000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000000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000000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0965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1200150</wp:posOffset>
          </wp:positionH>
          <wp:positionV relativeFrom="paragraph">
            <wp:posOffset>-302895</wp:posOffset>
          </wp:positionV>
          <wp:extent cx="6286500" cy="1181023"/>
          <wp:effectExtent l="0" t="0" r="0" b="635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17" t="9293" r="707" b="8407"/>
                  <a:stretch>
                    <a:fillRect/>
                  </a:stretch>
                </pic:blipFill>
                <pic:spPr bwMode="auto">
                  <a:xfrm>
                    <a:off x="0" y="0"/>
                    <a:ext cx="6288234" cy="1181349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BA0965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473B2"/>
    <w:multiLevelType w:val="hybridMultilevel"/>
    <w:tmpl w:val="C532C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0BB1481"/>
    <w:multiLevelType w:val="hybridMultilevel"/>
    <w:tmpl w:val="B52832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40deca8f79d1ff5b2d86dd6160c457c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d209b6b8af81573cf155ddc78bce4f60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6C4304-D1DB-452B-AD4F-EF721DEDF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162</TotalTime>
  <Pages>3</Pages>
  <Words>922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Łukasz Kalemba</cp:lastModifiedBy>
  <cp:revision>40</cp:revision>
  <dcterms:created xsi:type="dcterms:W3CDTF">2025-09-11T12:27:00Z</dcterms:created>
  <dcterms:modified xsi:type="dcterms:W3CDTF">2026-06-11T11:16:00Z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