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79FFAF7F" w14:textId="790BD2B3" w:rsidR="009276B2" w:rsidRPr="00BB084A" w:rsidRDefault="00000000" w:rsidP="009276B2">
      <w:pPr>
        <w:spacing w:after="0" w:line="240" w:lineRule="auto"/>
        <w:rPr>
          <w:rFonts w:ascii="Lato" w:hAnsi="Lato"/>
          <w:sz w:val="20"/>
        </w:rPr>
      </w:pPr>
      <w:r w:rsidRPr="00BB084A">
        <w:rPr>
          <w:rFonts w:ascii="Lato" w:hAnsi="Lato"/>
          <w:sz w:val="20"/>
        </w:rPr>
        <w:t xml:space="preserve">Znak pisma: </w:t>
      </w:r>
      <w:r w:rsidR="00BB084A" w:rsidRPr="00BB084A">
        <w:rPr>
          <w:rFonts w:ascii="Lato" w:hAnsi="Lato"/>
          <w:sz w:val="20"/>
        </w:rPr>
        <w:t>DLI-I.7620.</w:t>
      </w:r>
      <w:r w:rsidR="000E68A3">
        <w:rPr>
          <w:rFonts w:ascii="Lato" w:hAnsi="Lato"/>
          <w:sz w:val="20"/>
        </w:rPr>
        <w:t>44</w:t>
      </w:r>
      <w:r w:rsidR="00BB084A" w:rsidRPr="00BB084A">
        <w:rPr>
          <w:rFonts w:ascii="Lato" w:hAnsi="Lato"/>
          <w:sz w:val="20"/>
        </w:rPr>
        <w:t>.2022.</w:t>
      </w:r>
      <w:r w:rsidR="000E68A3">
        <w:rPr>
          <w:rFonts w:ascii="Lato" w:hAnsi="Lato"/>
          <w:sz w:val="20"/>
        </w:rPr>
        <w:t>JG.</w:t>
      </w:r>
      <w:r w:rsidR="008A29BF">
        <w:rPr>
          <w:rFonts w:ascii="Lato" w:hAnsi="Lato"/>
          <w:sz w:val="20"/>
        </w:rPr>
        <w:t>2</w:t>
      </w:r>
    </w:p>
    <w:p w14:paraId="5797F67D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7BD80873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29C92B53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7711C771" w14:textId="77777777" w:rsidR="00B95582" w:rsidRPr="00D01F2B" w:rsidRDefault="00B95582" w:rsidP="00B95582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Lato" w:hAnsi="Lato" w:cs="Arial"/>
          <w:b/>
          <w:sz w:val="20"/>
          <w:szCs w:val="20"/>
        </w:rPr>
      </w:pPr>
      <w:r w:rsidRPr="00D01F2B">
        <w:rPr>
          <w:rFonts w:ascii="Lato" w:hAnsi="Lato" w:cs="Arial"/>
          <w:b/>
          <w:sz w:val="20"/>
          <w:szCs w:val="20"/>
        </w:rPr>
        <w:t>OBWIESZCZENIE</w:t>
      </w:r>
    </w:p>
    <w:p w14:paraId="001D2115" w14:textId="491E231A" w:rsidR="00B95582" w:rsidRPr="00D01F2B" w:rsidRDefault="00B95582" w:rsidP="00B9558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D01F2B">
        <w:rPr>
          <w:rFonts w:ascii="Lato" w:hAnsi="Lato" w:cs="Arial"/>
          <w:spacing w:val="4"/>
          <w:sz w:val="20"/>
          <w:szCs w:val="20"/>
        </w:rPr>
        <w:t>Na podstawie art. 49 ustawy z dnia 14 czerwca 1960 r. Kodeks postępowania administracyjnego (</w:t>
      </w:r>
      <w:proofErr w:type="spellStart"/>
      <w:r w:rsidRPr="00D01F2B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D01F2B">
        <w:rPr>
          <w:rFonts w:ascii="Lato" w:hAnsi="Lato" w:cs="Arial"/>
          <w:spacing w:val="4"/>
          <w:sz w:val="20"/>
          <w:szCs w:val="20"/>
        </w:rPr>
        <w:t xml:space="preserve">. Dz. U. z 2022 r. poz. 2000), zwanej dalej </w:t>
      </w:r>
      <w:r w:rsidRPr="00D01F2B">
        <w:rPr>
          <w:rFonts w:ascii="Lato" w:hAnsi="Lato" w:cs="Arial"/>
          <w:i/>
          <w:spacing w:val="4"/>
          <w:sz w:val="20"/>
          <w:szCs w:val="20"/>
        </w:rPr>
        <w:t xml:space="preserve">„kpa”, </w:t>
      </w:r>
      <w:r w:rsidRPr="00D01F2B">
        <w:rPr>
          <w:rFonts w:ascii="Lato" w:hAnsi="Lato" w:cs="Arial"/>
          <w:color w:val="000000"/>
          <w:spacing w:val="4"/>
          <w:sz w:val="20"/>
          <w:szCs w:val="20"/>
        </w:rPr>
        <w:t xml:space="preserve">oraz art. 12 </w:t>
      </w:r>
      <w:r w:rsidRPr="00D01F2B">
        <w:rPr>
          <w:rFonts w:ascii="Lato" w:hAnsi="Lato" w:cs="Arial"/>
          <w:color w:val="000000"/>
          <w:spacing w:val="4"/>
          <w:sz w:val="20"/>
          <w:szCs w:val="20"/>
        </w:rPr>
        <w:br/>
        <w:t xml:space="preserve">ust. 1 i 4 </w:t>
      </w:r>
      <w:bookmarkStart w:id="0" w:name="_Hlk112416260"/>
      <w:r w:rsidRPr="00D01F2B">
        <w:rPr>
          <w:rFonts w:ascii="Lato" w:hAnsi="Lato" w:cs="Arial"/>
          <w:spacing w:val="4"/>
          <w:sz w:val="20"/>
          <w:szCs w:val="20"/>
        </w:rPr>
        <w:t xml:space="preserve">ustawy z dnia 24 kwietnia 2009 r. o inwestycjach w zakresie terminalu </w:t>
      </w:r>
      <w:proofErr w:type="spellStart"/>
      <w:r w:rsidRPr="00D01F2B">
        <w:rPr>
          <w:rFonts w:ascii="Lato" w:hAnsi="Lato" w:cs="Arial"/>
          <w:spacing w:val="4"/>
          <w:sz w:val="20"/>
          <w:szCs w:val="20"/>
        </w:rPr>
        <w:t>regazyfikacyjnego</w:t>
      </w:r>
      <w:proofErr w:type="spellEnd"/>
      <w:r w:rsidRPr="00D01F2B">
        <w:rPr>
          <w:rFonts w:ascii="Lato" w:hAnsi="Lato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Pr="00D01F2B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D01F2B">
        <w:rPr>
          <w:rFonts w:ascii="Lato" w:hAnsi="Lato" w:cs="Arial"/>
          <w:spacing w:val="4"/>
          <w:sz w:val="20"/>
          <w:szCs w:val="20"/>
        </w:rPr>
        <w:t xml:space="preserve">. Dz. U. z 2021 r., </w:t>
      </w:r>
      <w:r w:rsidRPr="00D01F2B">
        <w:rPr>
          <w:rFonts w:ascii="Lato" w:hAnsi="Lato" w:cs="Arial"/>
          <w:spacing w:val="4"/>
          <w:sz w:val="20"/>
          <w:szCs w:val="20"/>
        </w:rPr>
        <w:br/>
        <w:t xml:space="preserve">poz. 1836, z </w:t>
      </w:r>
      <w:proofErr w:type="spellStart"/>
      <w:r w:rsidRPr="00D01F2B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D01F2B">
        <w:rPr>
          <w:rFonts w:ascii="Lato" w:hAnsi="Lato" w:cs="Arial"/>
          <w:spacing w:val="4"/>
          <w:sz w:val="20"/>
          <w:szCs w:val="20"/>
        </w:rPr>
        <w:t>. zm.)</w:t>
      </w:r>
      <w:bookmarkEnd w:id="0"/>
      <w:r w:rsidRPr="00D01F2B">
        <w:rPr>
          <w:rFonts w:ascii="Lato" w:hAnsi="Lato" w:cs="Arial"/>
          <w:spacing w:val="4"/>
          <w:sz w:val="20"/>
          <w:szCs w:val="20"/>
        </w:rPr>
        <w:t xml:space="preserve">, oraz uwzględniając, iż właściwym w przedmiotowej sprawie – stosownie do treści </w:t>
      </w:r>
      <w:r w:rsidRPr="00D01F2B">
        <w:rPr>
          <w:rFonts w:ascii="Lato" w:hAnsi="Lato" w:cs="Arial"/>
          <w:bCs/>
          <w:spacing w:val="4"/>
          <w:sz w:val="20"/>
          <w:szCs w:val="20"/>
        </w:rPr>
        <w:t xml:space="preserve">rozporządzenia Prezesa Rady Ministrów z dnia 15 kwietnia 2022 r. w sprawie szczegółowego zakresu działania Ministra Rozwoju i Technologii </w:t>
      </w:r>
      <w:r w:rsidRPr="00D01F2B">
        <w:rPr>
          <w:rFonts w:ascii="Lato" w:hAnsi="Lato" w:cs="Arial"/>
          <w:bCs/>
          <w:spacing w:val="4"/>
          <w:sz w:val="20"/>
          <w:szCs w:val="20"/>
        </w:rPr>
        <w:br/>
        <w:t>(Dz. U. z 2022 r. poz. 838)</w:t>
      </w:r>
      <w:r w:rsidRPr="00D01F2B">
        <w:rPr>
          <w:rFonts w:ascii="Lato" w:hAnsi="Lato" w:cs="Arial"/>
          <w:spacing w:val="4"/>
          <w:sz w:val="20"/>
          <w:szCs w:val="20"/>
        </w:rPr>
        <w:t xml:space="preserve"> </w:t>
      </w:r>
      <w:r w:rsidRPr="00D01F2B">
        <w:rPr>
          <w:rFonts w:ascii="Lato" w:hAnsi="Lato" w:cs="Arial"/>
          <w:bCs/>
          <w:spacing w:val="4"/>
          <w:sz w:val="20"/>
          <w:szCs w:val="20"/>
        </w:rPr>
        <w:t>– jest obecnie Minister Rozwoju i Technologii</w:t>
      </w:r>
      <w:r w:rsidRPr="00D01F2B">
        <w:rPr>
          <w:rFonts w:ascii="Lato" w:hAnsi="Lato" w:cs="Arial"/>
          <w:spacing w:val="4"/>
          <w:sz w:val="20"/>
          <w:szCs w:val="20"/>
        </w:rPr>
        <w:t>,</w:t>
      </w:r>
    </w:p>
    <w:p w14:paraId="309F4C88" w14:textId="6B162816" w:rsidR="00BB084A" w:rsidRPr="00D01F2B" w:rsidRDefault="00B95582" w:rsidP="00B95582">
      <w:pPr>
        <w:spacing w:after="240" w:line="240" w:lineRule="exact"/>
        <w:jc w:val="center"/>
        <w:rPr>
          <w:rFonts w:ascii="Lato" w:hAnsi="Lato" w:cs="Arial"/>
          <w:b/>
          <w:spacing w:val="4"/>
          <w:sz w:val="20"/>
          <w:szCs w:val="20"/>
        </w:rPr>
      </w:pPr>
      <w:r w:rsidRPr="00D01F2B">
        <w:rPr>
          <w:rFonts w:ascii="Lato" w:hAnsi="Lato" w:cs="Arial"/>
          <w:b/>
          <w:spacing w:val="4"/>
          <w:sz w:val="20"/>
          <w:szCs w:val="20"/>
        </w:rPr>
        <w:t>Minister Rozwoju i Technologii</w:t>
      </w:r>
    </w:p>
    <w:p w14:paraId="75B925E7" w14:textId="42B05397" w:rsidR="00E74B17" w:rsidRPr="00D01F2B" w:rsidRDefault="00BB084A" w:rsidP="00E74B17">
      <w:pPr>
        <w:spacing w:after="24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zawiadamia, że </w:t>
      </w:r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na wniosek strony zostało wszczęte postępowanie w sprawie zmiany decyzji Ministra Inwestycji i Rozwoju z dnia 19 lutego 2018 r., znak: DLI.1.6620.14.2017.AN.30 uchylającej w części i umarzającej postępowanie organu pierwszej instancji w tym zakresie, uchylającej w części i orzekającej w tym zakresie co do istoty sprawy oraz utrzymującej w mocy w pozostałym zakresie decyzję Wojewody Małopolskiego z dnia 21 marca 2017 r., znak: WI-IV.747.1.2.2017, o ustaleniu lokalizacji inwestycji towarzyszącej inwestycjom w zakresie terminalu </w:t>
      </w:r>
      <w:proofErr w:type="spellStart"/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regazyfikacyjnego</w:t>
      </w:r>
      <w:proofErr w:type="spellEnd"/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 skroplonego gazu ziemnego w Świnoujściu dla zamierzenia inwestycyjnego </w:t>
      </w:r>
      <w:r w:rsid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br/>
      </w:r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pn.: „Gazociąg wysokiego ciśnienia DN1000 MOP 8,4 </w:t>
      </w:r>
      <w:proofErr w:type="spellStart"/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MPa</w:t>
      </w:r>
      <w:proofErr w:type="spellEnd"/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 xml:space="preserve"> od tłoczni Pogórska Wola do węzła Tworzeń w ramach budowy gazociągu Hermanowice – Strachocina – Pogórska Wola – Tworzeń – Tworóg – Odolanów wraz z infrastrukturą niezbędną do jego obsługi na terenie województwa podkarpackiego, świętokrzyskiego, małopolskiego, śląskiego, opolskiego i wielkopolskiego – Zadanie 3 (odcinek Pałecznica – Sławków)” na terenie województwa małopolskiego, sprostowaną postanowieniem Wojewody Małopolskiego z dnia 11 kwietnia 2017 r., znak: WI-IV.747.1.2.2017, w części dotyczącej działki </w:t>
      </w:r>
      <w:r w:rsid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br/>
      </w:r>
      <w:r w:rsidR="00E74B17"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nr 245/2, obręb 0010 Pamięcice, gmina Pałecznica, powiat proszowicki.</w:t>
      </w:r>
    </w:p>
    <w:p w14:paraId="53454AB8" w14:textId="2F37EB89" w:rsidR="00B95582" w:rsidRPr="00D01F2B" w:rsidRDefault="00B95582" w:rsidP="00B95582">
      <w:pPr>
        <w:spacing w:after="240" w:line="240" w:lineRule="exact"/>
        <w:jc w:val="both"/>
        <w:rPr>
          <w:rFonts w:ascii="Lato" w:eastAsia="Calibri" w:hAnsi="Lato"/>
          <w:noProof/>
          <w:sz w:val="20"/>
          <w:szCs w:val="20"/>
        </w:rPr>
      </w:pPr>
      <w:r w:rsidRPr="00D01F2B">
        <w:rPr>
          <w:rFonts w:ascii="Lato" w:hAnsi="Lato" w:cs="Arial"/>
          <w:bCs/>
          <w:iCs/>
          <w:spacing w:val="4"/>
          <w:sz w:val="20"/>
          <w:szCs w:val="20"/>
        </w:rPr>
        <w:t xml:space="preserve">Akta sprawy </w:t>
      </w:r>
      <w:r w:rsidRPr="00D01F2B">
        <w:rPr>
          <w:rFonts w:ascii="Lato" w:hAnsi="Lato" w:cs="Arial"/>
          <w:bCs/>
          <w:spacing w:val="4"/>
          <w:sz w:val="20"/>
          <w:szCs w:val="20"/>
        </w:rPr>
        <w:t>można przeglądać osobiście lub przez pełnomocnika, w Ministerstwie Rozwoju i Technologii, ul. Chałubińskiego 4/6,</w:t>
      </w:r>
      <w:r w:rsidRPr="00D01F2B">
        <w:rPr>
          <w:rFonts w:ascii="Lato" w:hAnsi="Lato" w:cs="Arial"/>
          <w:spacing w:val="4"/>
          <w:sz w:val="20"/>
          <w:szCs w:val="20"/>
        </w:rPr>
        <w:t xml:space="preserve"> we </w:t>
      </w:r>
      <w:r w:rsidRPr="00D01F2B">
        <w:rPr>
          <w:rFonts w:ascii="Lato" w:hAnsi="Lato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D01F2B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 w:rsidRPr="00D01F2B">
        <w:rPr>
          <w:rFonts w:ascii="Lato" w:hAnsi="Lato" w:cs="Arial"/>
          <w:bCs/>
          <w:iCs/>
          <w:spacing w:val="4"/>
          <w:sz w:val="20"/>
          <w:szCs w:val="20"/>
          <w:u w:val="single"/>
        </w:rPr>
        <w:t>(022) 323 40 70</w:t>
      </w:r>
      <w:r w:rsidRPr="00D01F2B">
        <w:rPr>
          <w:rFonts w:ascii="Lato" w:hAnsi="Lato" w:cs="Arial"/>
          <w:color w:val="000000"/>
          <w:spacing w:val="4"/>
          <w:sz w:val="20"/>
          <w:szCs w:val="20"/>
          <w:u w:val="single"/>
        </w:rPr>
        <w:t>.</w:t>
      </w:r>
      <w:r w:rsidRPr="00D01F2B">
        <w:rPr>
          <w:rFonts w:ascii="Lato" w:eastAsia="Calibri" w:hAnsi="Lato"/>
          <w:noProof/>
          <w:sz w:val="20"/>
          <w:szCs w:val="20"/>
        </w:rPr>
        <w:t xml:space="preserve"> </w:t>
      </w:r>
    </w:p>
    <w:p w14:paraId="245069E2" w14:textId="35E1982D" w:rsidR="00B95582" w:rsidRPr="00D01F2B" w:rsidRDefault="00B95582" w:rsidP="00B95582">
      <w:pPr>
        <w:spacing w:after="24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  <w:u w:val="single"/>
        </w:rPr>
      </w:pPr>
      <w:r w:rsidRPr="00D01F2B">
        <w:rPr>
          <w:rFonts w:ascii="Lato" w:hAnsi="Lato" w:cs="Arial"/>
          <w:bCs/>
          <w:spacing w:val="4"/>
          <w:sz w:val="20"/>
          <w:szCs w:val="20"/>
          <w:u w:val="single"/>
        </w:rPr>
        <w:t>Data publikacji obwieszczenia</w:t>
      </w:r>
      <w:r w:rsidRPr="00D01F2B">
        <w:rPr>
          <w:rFonts w:ascii="Lato" w:hAnsi="Lato" w:cs="Arial"/>
          <w:spacing w:val="4"/>
          <w:sz w:val="20"/>
          <w:szCs w:val="20"/>
          <w:u w:val="single"/>
        </w:rPr>
        <w:t xml:space="preserve">: </w:t>
      </w:r>
      <w:r w:rsidR="00D01F2B" w:rsidRPr="00D01F2B">
        <w:rPr>
          <w:rFonts w:ascii="Lato" w:hAnsi="Lato" w:cs="Arial"/>
          <w:spacing w:val="4"/>
          <w:sz w:val="20"/>
          <w:szCs w:val="20"/>
          <w:u w:val="single"/>
        </w:rPr>
        <w:t>5 grudnia</w:t>
      </w:r>
      <w:r w:rsidRPr="00D01F2B">
        <w:rPr>
          <w:rFonts w:ascii="Lato" w:hAnsi="Lato" w:cs="Arial"/>
          <w:spacing w:val="4"/>
          <w:sz w:val="20"/>
          <w:szCs w:val="20"/>
          <w:u w:val="single"/>
        </w:rPr>
        <w:t xml:space="preserve"> 2022 r.</w:t>
      </w:r>
    </w:p>
    <w:p w14:paraId="3BFAD24D" w14:textId="77777777" w:rsidR="00B95582" w:rsidRPr="00D01F2B" w:rsidRDefault="00B95582" w:rsidP="00B95582">
      <w:pPr>
        <w:spacing w:after="240" w:line="240" w:lineRule="exact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062AD97" w14:textId="6C16F2B5" w:rsidR="00B95582" w:rsidRPr="00D01F2B" w:rsidRDefault="00B95582" w:rsidP="00B95582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D01F2B">
        <w:rPr>
          <w:rFonts w:ascii="Lato" w:hAnsi="Lato" w:cs="Arial"/>
          <w:b/>
          <w:sz w:val="20"/>
          <w:szCs w:val="20"/>
        </w:rPr>
        <w:t>Załącznik:</w:t>
      </w:r>
      <w:r w:rsidRPr="00D01F2B">
        <w:rPr>
          <w:rFonts w:ascii="Lato" w:hAnsi="Lato" w:cs="Arial"/>
          <w:sz w:val="20"/>
          <w:szCs w:val="20"/>
        </w:rPr>
        <w:t xml:space="preserve"> informacja o przetwarzaniu danych osobowych.</w:t>
      </w:r>
      <w:r w:rsidRPr="00D01F2B">
        <w:rPr>
          <w:rFonts w:ascii="Lato" w:hAnsi="Lato" w:cs="Arial"/>
          <w:b/>
          <w:noProof/>
          <w:sz w:val="20"/>
          <w:szCs w:val="20"/>
          <w:u w:val="single"/>
        </w:rPr>
        <w:t xml:space="preserve"> </w:t>
      </w:r>
    </w:p>
    <w:p w14:paraId="2F59758D" w14:textId="5E0C380C" w:rsidR="00BB084A" w:rsidRPr="00D01F2B" w:rsidRDefault="00BB084A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198AF059" w14:textId="3D6D06C4" w:rsidR="00B95582" w:rsidRPr="00D01F2B" w:rsidRDefault="006857F0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  <w:r>
        <w:rPr>
          <w:rFonts w:ascii="Lato" w:eastAsia="Times New Roman" w:hAnsi="Lato" w:cs="Arial"/>
          <w:b/>
          <w:iCs/>
          <w:noProof/>
          <w:spacing w:val="4"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7D67DCB0" wp14:editId="1AA9640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52806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A79012" w14:textId="77777777" w:rsidR="00B95582" w:rsidRPr="00D01F2B" w:rsidRDefault="00B95582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05EB1C1E" w14:textId="0CFC1150" w:rsidR="00BB084A" w:rsidRPr="00D01F2B" w:rsidRDefault="00BB084A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3D30F3A5" w14:textId="741AA65C" w:rsidR="00117D5A" w:rsidRPr="00D01F2B" w:rsidRDefault="00117D5A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58F38DD9" w14:textId="12959C52" w:rsidR="00E74B17" w:rsidRPr="00D01F2B" w:rsidRDefault="00E74B17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109AAB24" w14:textId="77777777" w:rsidR="00E74B17" w:rsidRPr="00D01F2B" w:rsidRDefault="00E74B17" w:rsidP="00BB084A">
      <w:pPr>
        <w:spacing w:after="0" w:line="240" w:lineRule="exact"/>
        <w:jc w:val="both"/>
        <w:rPr>
          <w:rFonts w:ascii="Lato" w:eastAsia="Times New Roman" w:hAnsi="Lato" w:cs="Arial"/>
          <w:b/>
          <w:iCs/>
          <w:spacing w:val="4"/>
          <w:sz w:val="20"/>
          <w:szCs w:val="20"/>
          <w:u w:val="single"/>
          <w:lang w:eastAsia="pl-PL"/>
        </w:rPr>
      </w:pPr>
    </w:p>
    <w:p w14:paraId="22462C18" w14:textId="5CA5E8F5" w:rsidR="00B95582" w:rsidRPr="00D01F2B" w:rsidRDefault="00B95582" w:rsidP="00B95582">
      <w:pPr>
        <w:spacing w:before="120" w:after="120" w:line="220" w:lineRule="exact"/>
        <w:contextualSpacing/>
        <w:jc w:val="center"/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  <w:lastRenderedPageBreak/>
        <w:t xml:space="preserve">                                                                                         Załącznik do obwieszczenia</w:t>
      </w:r>
    </w:p>
    <w:p w14:paraId="79166BA2" w14:textId="6120B1F9" w:rsidR="00B95582" w:rsidRPr="00D01F2B" w:rsidRDefault="00B95582" w:rsidP="00B95582">
      <w:pPr>
        <w:spacing w:before="120" w:after="120" w:line="220" w:lineRule="exact"/>
        <w:contextualSpacing/>
        <w:jc w:val="center"/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  <w:t xml:space="preserve">                                                                                          Ministra Rozwoju i Technologii</w:t>
      </w:r>
    </w:p>
    <w:p w14:paraId="1D632D6D" w14:textId="69146C8A" w:rsidR="00B95582" w:rsidRPr="00D01F2B" w:rsidRDefault="00B95582" w:rsidP="00B95582">
      <w:pPr>
        <w:spacing w:before="120" w:after="120" w:line="220" w:lineRule="exact"/>
        <w:contextualSpacing/>
        <w:jc w:val="center"/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bCs/>
          <w:color w:val="000000"/>
          <w:spacing w:val="4"/>
          <w:sz w:val="20"/>
          <w:szCs w:val="20"/>
          <w:lang w:eastAsia="en-GB"/>
        </w:rPr>
        <w:t xml:space="preserve">                                                                                          znak: DLI-I.7620.44.2022.G.2</w:t>
      </w:r>
    </w:p>
    <w:p w14:paraId="233CD6BD" w14:textId="77777777" w:rsidR="00B95582" w:rsidRPr="00D01F2B" w:rsidRDefault="00B95582" w:rsidP="00BB084A">
      <w:pPr>
        <w:spacing w:before="120" w:after="120" w:line="220" w:lineRule="exact"/>
        <w:jc w:val="center"/>
        <w:rPr>
          <w:rFonts w:ascii="Lato" w:eastAsia="Times New Roman" w:hAnsi="Lato" w:cs="Arial"/>
          <w:b/>
          <w:color w:val="000000"/>
          <w:spacing w:val="4"/>
          <w:sz w:val="20"/>
          <w:szCs w:val="20"/>
          <w:lang w:eastAsia="en-GB"/>
        </w:rPr>
      </w:pPr>
    </w:p>
    <w:p w14:paraId="5BA2757C" w14:textId="00D26A18" w:rsidR="00BB084A" w:rsidRPr="00D01F2B" w:rsidRDefault="00BB084A" w:rsidP="00BB084A">
      <w:pPr>
        <w:spacing w:before="120" w:after="120" w:line="220" w:lineRule="exact"/>
        <w:jc w:val="center"/>
        <w:rPr>
          <w:rFonts w:ascii="Lato" w:eastAsia="Times New Roman" w:hAnsi="Lato" w:cs="Arial"/>
          <w:b/>
          <w:color w:val="000000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0281EE9E" w14:textId="28B19FA7" w:rsidR="00BB084A" w:rsidRPr="00D01F2B" w:rsidRDefault="00BB084A" w:rsidP="00BB084A">
      <w:pPr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z dnia 27 kwietnia 2016 r. w sprawie ochrony osób fizycznych w związku 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br/>
        <w:t xml:space="preserve">z przetwarzaniem danych osobowych i w sprawie swobodnego przepływu takich danych oraz uchylenia dyrektywy 95/46/WE (Dz. U. L 119 z 4 maja 2016, z </w:t>
      </w:r>
      <w:proofErr w:type="spellStart"/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4DABCB56" w14:textId="4AAB8A0D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5" w:hanging="425"/>
        <w:jc w:val="both"/>
        <w:rPr>
          <w:rFonts w:ascii="Lato" w:eastAsia="Times New Roman" w:hAnsi="Lato" w:cs="Arial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Administratorem Pani/Pana danych osobowych jest Minister Rozwoju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 xml:space="preserve">i Technologii, z siedzibą w Warszawie, Plac Trzech Krzyży 3/5, kancelaria@mrit.gov.pl, tel.: </w:t>
      </w:r>
      <w:r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+48</w:t>
      </w:r>
      <w:r w:rsidRPr="00D01F2B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01F2B">
        <w:rPr>
          <w:rFonts w:ascii="Lato" w:eastAsia="Times New Roman" w:hAnsi="Lato" w:cs="Arial"/>
          <w:bCs/>
          <w:spacing w:val="4"/>
          <w:sz w:val="20"/>
          <w:szCs w:val="20"/>
          <w:lang w:eastAsia="pl-PL"/>
        </w:rPr>
        <w:t>222 500 123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, natomiast wykonującym obowiązki administratora jest Dyrektor Departamentu Lokalizacji Inwestycji.</w:t>
      </w:r>
    </w:p>
    <w:p w14:paraId="52A474F7" w14:textId="26333261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5" w:hanging="425"/>
        <w:jc w:val="both"/>
        <w:rPr>
          <w:rFonts w:ascii="Lato" w:eastAsia="Times New Roman" w:hAnsi="Lato" w:cs="Arial"/>
          <w:spacing w:val="4"/>
          <w:sz w:val="20"/>
          <w:szCs w:val="20"/>
          <w:lang w:eastAsia="en-GB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Dane kontaktowe do Inspektora Ochrony Danych w Ministerstwie Rozwoju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 xml:space="preserve">i Technologii: Inspektor Ochrony Danych, Ministerstwo Rozwoju i Technologii,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en-GB"/>
        </w:rPr>
        <w:t>Plac Trzech Krzyży 3/5, 00-507 Warszawa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, adres e-mail: iod@mrit.gov.pl.</w:t>
      </w:r>
    </w:p>
    <w:p w14:paraId="0A280698" w14:textId="06F9E313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br/>
        <w:t>(</w:t>
      </w:r>
      <w:proofErr w:type="spellStart"/>
      <w:r w:rsidR="00E0422A"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E0422A"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en-GB"/>
        </w:rPr>
        <w:t xml:space="preserve">Dz. U. z 2022 r. poz. 2000), dalej „KPA”, oraz w związku z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ustawą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 xml:space="preserve">z dnia 24 kwietnia 2009 r. o inwestycjach w zakresie terminalu </w:t>
      </w:r>
      <w:proofErr w:type="spellStart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regazyfikacyjnego</w:t>
      </w:r>
      <w:proofErr w:type="spellEnd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skroplonego gazu ziemnego w Świnoujściu </w:t>
      </w:r>
      <w:r w:rsidR="00E0422A"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(</w:t>
      </w:r>
      <w:proofErr w:type="spellStart"/>
      <w:r w:rsidR="00E0422A"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t.j</w:t>
      </w:r>
      <w:proofErr w:type="spellEnd"/>
      <w:r w:rsidR="00E0422A"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.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Dz. U. z 2021 r., poz. 1836, z </w:t>
      </w:r>
      <w:proofErr w:type="spellStart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późn</w:t>
      </w:r>
      <w:proofErr w:type="spellEnd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. zm.).</w:t>
      </w:r>
    </w:p>
    <w:p w14:paraId="3C91A70C" w14:textId="77777777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14:paraId="3AC2492F" w14:textId="77777777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4A7E5109" w14:textId="77777777" w:rsidR="00BB084A" w:rsidRPr="00D01F2B" w:rsidRDefault="00BB084A" w:rsidP="00BB084A">
      <w:pPr>
        <w:numPr>
          <w:ilvl w:val="0"/>
          <w:numId w:val="4"/>
        </w:numPr>
        <w:suppressAutoHyphens/>
        <w:spacing w:after="80" w:line="240" w:lineRule="exact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14:paraId="6AF7B29D" w14:textId="77777777" w:rsidR="00BB084A" w:rsidRPr="00D01F2B" w:rsidRDefault="00BB084A" w:rsidP="00BB084A">
      <w:pPr>
        <w:numPr>
          <w:ilvl w:val="0"/>
          <w:numId w:val="4"/>
        </w:numPr>
        <w:suppressAutoHyphens/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B8C23E7" w14:textId="77777777" w:rsidR="00BB084A" w:rsidRPr="00D01F2B" w:rsidRDefault="00BB084A" w:rsidP="00BB084A">
      <w:pPr>
        <w:numPr>
          <w:ilvl w:val="0"/>
          <w:numId w:val="4"/>
        </w:numPr>
        <w:suppressAutoHyphens/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 xml:space="preserve">inne podmioty, w tym dostawcy usług informatycznych, które na podstawie stosownych umów podpisanych z Ministerstwem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Rozwoju i Technologii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 xml:space="preserve">, przetwarzają dane osobowe, dla których Administratorem jest Minister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Rozwoju i Technologii</w:t>
      </w: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.</w:t>
      </w:r>
    </w:p>
    <w:p w14:paraId="0A4A19EE" w14:textId="64B275E2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Odbiorcą Pani/Pana danych osobowych jest również Wojewoda Podlaski,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>w związku z korzystaniem przez Administratora z systemu elektronicznego zarządzania dokumentacją (EZD PUW).</w:t>
      </w:r>
    </w:p>
    <w:p w14:paraId="57D17E1A" w14:textId="3BAC868C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D01F2B">
        <w:rPr>
          <w:rFonts w:ascii="Lato" w:eastAsia="Times New Roman" w:hAnsi="Lato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D01F2B">
        <w:rPr>
          <w:rFonts w:ascii="Lato" w:eastAsia="Times New Roman" w:hAnsi="Lato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(Dz. U. z 2020 r. poz. 164, z </w:t>
      </w:r>
      <w:proofErr w:type="spellStart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późn</w:t>
      </w:r>
      <w:proofErr w:type="spellEnd"/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. zm.).</w:t>
      </w:r>
    </w:p>
    <w:p w14:paraId="1ADF7F98" w14:textId="77777777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Przysługuje Pani/Panu:</w:t>
      </w:r>
    </w:p>
    <w:p w14:paraId="0B2E9D06" w14:textId="77777777" w:rsidR="00BB084A" w:rsidRPr="00D01F2B" w:rsidRDefault="00BB084A" w:rsidP="00BB084A">
      <w:pPr>
        <w:numPr>
          <w:ilvl w:val="0"/>
          <w:numId w:val="5"/>
        </w:numPr>
        <w:suppressAutoHyphens/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14:paraId="164AA881" w14:textId="77777777" w:rsidR="00BB084A" w:rsidRPr="00D01F2B" w:rsidRDefault="00BB084A" w:rsidP="00BB084A">
      <w:pPr>
        <w:numPr>
          <w:ilvl w:val="0"/>
          <w:numId w:val="5"/>
        </w:numPr>
        <w:suppressAutoHyphens/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lastRenderedPageBreak/>
        <w:t>prawo do ich sprostowania, jeśli są błędne lub nieaktualne, a także uzupełnienia jeżeli są niekompletne;</w:t>
      </w:r>
    </w:p>
    <w:p w14:paraId="492F0E9E" w14:textId="77777777" w:rsidR="00BB084A" w:rsidRPr="00D01F2B" w:rsidRDefault="00BB084A" w:rsidP="00BB084A">
      <w:pPr>
        <w:numPr>
          <w:ilvl w:val="0"/>
          <w:numId w:val="5"/>
        </w:numPr>
        <w:suppressAutoHyphens/>
        <w:spacing w:after="80" w:line="240" w:lineRule="exact"/>
        <w:jc w:val="both"/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14:paraId="2D508E41" w14:textId="77777777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Pani/Pana dane osobowe nie będą przekazywane do państwa trzeciego.</w:t>
      </w:r>
    </w:p>
    <w:p w14:paraId="066E18B3" w14:textId="77777777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>Pani/Pana dane nie podlegają zautomatyzowanemu podejmowaniu decyzji, w tym również profilowaniu.</w:t>
      </w:r>
    </w:p>
    <w:p w14:paraId="48B650A3" w14:textId="2D550E6D" w:rsidR="00BB084A" w:rsidRPr="00D01F2B" w:rsidRDefault="00BB084A" w:rsidP="00BB084A">
      <w:pPr>
        <w:numPr>
          <w:ilvl w:val="0"/>
          <w:numId w:val="3"/>
        </w:numPr>
        <w:suppressAutoHyphens/>
        <w:spacing w:after="80" w:line="240" w:lineRule="exact"/>
        <w:ind w:left="426" w:hanging="426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W przypadku powzięcia informacji o niezgodnym z prawem przetwarzaniu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 xml:space="preserve">w Ministerstwie Rozwoju i Technologii Pani/Pana danych osobowych, przysługuje Pani/Panu prawo wniesienia skargi do organu nadzorczego właściwego </w:t>
      </w:r>
      <w:r w:rsidRPr="00D01F2B">
        <w:rPr>
          <w:rFonts w:ascii="Lato" w:eastAsia="Times New Roman" w:hAnsi="Lato" w:cs="Arial"/>
          <w:spacing w:val="4"/>
          <w:sz w:val="20"/>
          <w:szCs w:val="20"/>
          <w:lang w:eastAsia="pl-PL"/>
        </w:rPr>
        <w:br/>
        <w:t>w sprawach ochrony danych osobowych, tj. Prezesa Urzędu Ochrony Danych Osobowych, ul. Stawki 2, 00-193 Warszawa.</w:t>
      </w:r>
    </w:p>
    <w:p w14:paraId="15404D3E" w14:textId="77777777" w:rsidR="00BB084A" w:rsidRPr="00D01F2B" w:rsidRDefault="00BB084A" w:rsidP="00BB084A">
      <w:pPr>
        <w:suppressAutoHyphens/>
        <w:spacing w:after="120" w:line="240" w:lineRule="exact"/>
        <w:ind w:left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1AF5B7B8" w14:textId="77777777" w:rsidR="00BB084A" w:rsidRPr="00D01F2B" w:rsidRDefault="00BB084A" w:rsidP="00BB084A">
      <w:pPr>
        <w:suppressAutoHyphens/>
        <w:spacing w:after="80" w:line="240" w:lineRule="auto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zh-CN"/>
        </w:rPr>
      </w:pPr>
    </w:p>
    <w:p w14:paraId="3BCBA918" w14:textId="6A485DA6" w:rsidR="00947F4D" w:rsidRPr="00D01F2B" w:rsidRDefault="00000000" w:rsidP="00BB084A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sectPr w:rsidR="00947F4D" w:rsidRPr="00D01F2B" w:rsidSect="00947F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8358" w14:textId="77777777" w:rsidR="00BB740A" w:rsidRDefault="00BB740A">
      <w:pPr>
        <w:spacing w:after="0" w:line="240" w:lineRule="auto"/>
      </w:pPr>
      <w:r>
        <w:separator/>
      </w:r>
    </w:p>
  </w:endnote>
  <w:endnote w:type="continuationSeparator" w:id="0">
    <w:p w14:paraId="69D2F5B9" w14:textId="77777777" w:rsidR="00BB740A" w:rsidRDefault="00BB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047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6070ED" w14:textId="2F0E23E1" w:rsidR="000E68A3" w:rsidRDefault="000E68A3">
            <w:pPr>
              <w:pStyle w:val="Stopka"/>
              <w:jc w:val="center"/>
            </w:pPr>
            <w:r w:rsidRPr="000E68A3">
              <w:t xml:space="preserve">Strona </w:t>
            </w:r>
            <w:r w:rsidR="00E74B17">
              <w:rPr>
                <w:sz w:val="24"/>
                <w:szCs w:val="24"/>
              </w:rPr>
              <w:t>2</w:t>
            </w:r>
            <w:r w:rsidRPr="000E68A3">
              <w:t xml:space="preserve"> z </w:t>
            </w:r>
            <w:r w:rsidR="00E74B17">
              <w:rPr>
                <w:sz w:val="24"/>
                <w:szCs w:val="24"/>
              </w:rPr>
              <w:t>2</w:t>
            </w:r>
          </w:p>
        </w:sdtContent>
      </w:sdt>
    </w:sdtContent>
  </w:sdt>
  <w:p w14:paraId="13D6A77A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5CA75D3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 xml:space="preserve">+48 </w:t>
    </w:r>
    <w:r w:rsidR="00BB084A">
      <w:rPr>
        <w:rFonts w:ascii="Lato" w:hAnsi="Lato"/>
        <w:noProof/>
        <w:sz w:val="16"/>
        <w:szCs w:val="24"/>
        <w:lang w:eastAsia="pl-PL"/>
      </w:rPr>
      <w:t>22</w:t>
    </w:r>
    <w:r w:rsidR="000E68A3">
      <w:rPr>
        <w:rFonts w:ascii="Lato" w:hAnsi="Lato"/>
        <w:noProof/>
        <w:sz w:val="16"/>
        <w:szCs w:val="24"/>
        <w:lang w:eastAsia="pl-PL"/>
      </w:rPr>
      <w:t>2 500 123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39D9B3A4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D559" w14:textId="77777777" w:rsidR="00BB740A" w:rsidRDefault="00BB740A">
      <w:pPr>
        <w:spacing w:after="0" w:line="240" w:lineRule="auto"/>
      </w:pPr>
      <w:r>
        <w:separator/>
      </w:r>
    </w:p>
  </w:footnote>
  <w:footnote w:type="continuationSeparator" w:id="0">
    <w:p w14:paraId="6A3936D7" w14:textId="77777777" w:rsidR="00BB740A" w:rsidRDefault="00BB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6C182FE2"/>
    <w:lvl w:ilvl="0" w:tplc="5E1842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A4345"/>
    <w:multiLevelType w:val="hybridMultilevel"/>
    <w:tmpl w:val="19402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1106196747">
    <w:abstractNumId w:val="2"/>
  </w:num>
  <w:num w:numId="4" w16cid:durableId="386032791">
    <w:abstractNumId w:val="3"/>
  </w:num>
  <w:num w:numId="5" w16cid:durableId="1404642638">
    <w:abstractNumId w:val="5"/>
  </w:num>
  <w:num w:numId="6" w16cid:durableId="1715427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E68A3"/>
    <w:rsid w:val="00117D5A"/>
    <w:rsid w:val="00166860"/>
    <w:rsid w:val="00275589"/>
    <w:rsid w:val="003315B6"/>
    <w:rsid w:val="00556BC3"/>
    <w:rsid w:val="006857F0"/>
    <w:rsid w:val="0077241D"/>
    <w:rsid w:val="00814163"/>
    <w:rsid w:val="008458E5"/>
    <w:rsid w:val="008A29BF"/>
    <w:rsid w:val="00A14528"/>
    <w:rsid w:val="00A813D2"/>
    <w:rsid w:val="00AE5257"/>
    <w:rsid w:val="00B95582"/>
    <w:rsid w:val="00BB084A"/>
    <w:rsid w:val="00BB740A"/>
    <w:rsid w:val="00D01F2B"/>
    <w:rsid w:val="00D94574"/>
    <w:rsid w:val="00DA2DDF"/>
    <w:rsid w:val="00E0422A"/>
    <w:rsid w:val="00E74B17"/>
    <w:rsid w:val="00F709F3"/>
    <w:rsid w:val="00FA3B4C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Gomoła Joanna</cp:lastModifiedBy>
  <cp:revision>3</cp:revision>
  <cp:lastPrinted>2022-11-30T12:29:00Z</cp:lastPrinted>
  <dcterms:created xsi:type="dcterms:W3CDTF">2022-11-30T12:29:00Z</dcterms:created>
  <dcterms:modified xsi:type="dcterms:W3CDTF">2022-11-30T12:30:00Z</dcterms:modified>
</cp:coreProperties>
</file>