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459CE1A7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77641F" w:rsidRPr="0077641F">
        <w:rPr>
          <w:b/>
          <w:i/>
          <w:sz w:val="22"/>
          <w:szCs w:val="22"/>
        </w:rPr>
        <w:t>Programowanie komputerów kwantowych</w:t>
      </w:r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611E7C8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77641F" w:rsidRPr="0077641F">
        <w:rPr>
          <w:rStyle w:val="TeksttreciPogrubienie"/>
          <w:spacing w:val="4"/>
          <w:sz w:val="22"/>
          <w:szCs w:val="22"/>
        </w:rPr>
        <w:t>Programowanie komputerów kwantowych</w:t>
      </w:r>
      <w:bookmarkStart w:id="0" w:name="_GoBack"/>
      <w:bookmarkEnd w:id="0"/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7641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7641F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361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17</cp:revision>
  <dcterms:created xsi:type="dcterms:W3CDTF">2022-03-15T06:29:00Z</dcterms:created>
  <dcterms:modified xsi:type="dcterms:W3CDTF">2022-09-05T12:36:00Z</dcterms:modified>
</cp:coreProperties>
</file>