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15B02" w:rsidRDefault="00100C36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  <w:t xml:space="preserve">             </w:t>
      </w:r>
      <w:r>
        <w:rPr>
          <w:rFonts w:ascii="Arial" w:hAnsi="Arial" w:cs="Arial"/>
          <w:b/>
          <w:bCs/>
          <w:color w:val="000000"/>
          <w:sz w:val="22"/>
          <w:szCs w:val="22"/>
        </w:rPr>
        <w:tab/>
        <w:t>Słupsk 26 kwietnia 2021r</w:t>
      </w:r>
    </w:p>
    <w:p w:rsidR="00D15B02" w:rsidRDefault="00D15B02">
      <w:pPr>
        <w:pStyle w:val="NormalnyWeb"/>
        <w:spacing w:before="0" w:after="0" w:line="240" w:lineRule="auto"/>
        <w:rPr>
          <w:rFonts w:ascii="Arial" w:hAnsi="Arial" w:cs="Arial"/>
        </w:rPr>
      </w:pPr>
    </w:p>
    <w:p w:rsidR="00D15B02" w:rsidRDefault="00100C36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O B W I E S Z C Z E N I E</w:t>
      </w:r>
    </w:p>
    <w:p w:rsidR="00D15B02" w:rsidRDefault="00100C36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O LICYTACJI RUCHOMOŚCI</w:t>
      </w:r>
    </w:p>
    <w:p w:rsidR="00D15B02" w:rsidRDefault="007D27AE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color w:val="000000"/>
          <w:sz w:val="22"/>
          <w:szCs w:val="22"/>
        </w:rPr>
        <w:t xml:space="preserve">Naczelnik </w:t>
      </w:r>
      <w:bookmarkStart w:id="0" w:name="_GoBack"/>
      <w:bookmarkEnd w:id="0"/>
      <w:r w:rsidR="00100C36">
        <w:rPr>
          <w:rFonts w:ascii="Arial" w:hAnsi="Arial" w:cs="Arial"/>
          <w:color w:val="000000"/>
          <w:sz w:val="22"/>
          <w:szCs w:val="22"/>
        </w:rPr>
        <w:t>Urzędu Skarbowego w Słupsku działając na podstawie artyku</w:t>
      </w:r>
      <w:r w:rsidR="00100C36">
        <w:rPr>
          <w:rFonts w:ascii="Arial" w:hAnsi="Arial" w:cs="Arial"/>
          <w:color w:val="00000A"/>
          <w:sz w:val="22"/>
          <w:szCs w:val="22"/>
        </w:rPr>
        <w:t>łu 105 § 1 pkt 1 usta</w:t>
      </w:r>
      <w:r w:rsidR="00100C36">
        <w:rPr>
          <w:rFonts w:ascii="Arial" w:hAnsi="Arial" w:cs="Arial"/>
          <w:color w:val="000000"/>
          <w:sz w:val="22"/>
          <w:szCs w:val="22"/>
        </w:rPr>
        <w:t xml:space="preserve">wy z dnia 17 czerwca 1966 roku o postępowaniu egzekucyjnym w </w:t>
      </w:r>
      <w:r w:rsidR="00100C36">
        <w:rPr>
          <w:rFonts w:ascii="Arial" w:hAnsi="Arial" w:cs="Arial"/>
          <w:color w:val="000000"/>
          <w:sz w:val="22"/>
          <w:szCs w:val="22"/>
        </w:rPr>
        <w:t>administracji (Dz.U. z 2020 roku, pozycja 1427 z późniejszymi zmianami) podaje do publicznej wiadomości, że w dniu:</w:t>
      </w:r>
    </w:p>
    <w:p w:rsidR="00D15B02" w:rsidRDefault="00100C36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18 maja 2021 roku o godz. 11.00</w:t>
      </w:r>
    </w:p>
    <w:p w:rsidR="00D15B02" w:rsidRDefault="00100C36">
      <w:pPr>
        <w:pStyle w:val="NormalnyWeb"/>
        <w:spacing w:before="0"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w Słupsku ul. Malinowa 12 </w:t>
      </w:r>
      <w:r>
        <w:rPr>
          <w:rFonts w:ascii="Arial" w:hAnsi="Arial" w:cs="Arial"/>
          <w:color w:val="000000"/>
          <w:sz w:val="22"/>
          <w:szCs w:val="22"/>
        </w:rPr>
        <w:t>odbędzie się pierwsza licytacja niżej wymienionych ruchomości, należących do Krzys</w:t>
      </w:r>
      <w:r>
        <w:rPr>
          <w:rFonts w:ascii="Arial" w:hAnsi="Arial" w:cs="Arial"/>
          <w:color w:val="000000"/>
          <w:sz w:val="22"/>
          <w:szCs w:val="22"/>
        </w:rPr>
        <w:t>ztofa Koprowicz, ul Malinowa 12,  76-200 Słupsk</w:t>
      </w:r>
      <w:r>
        <w:t>:</w:t>
      </w:r>
    </w:p>
    <w:tbl>
      <w:tblPr>
        <w:tblW w:w="9853" w:type="dxa"/>
        <w:tblInd w:w="-15" w:type="dxa"/>
        <w:tblLayout w:type="fixed"/>
        <w:tblCellMar>
          <w:top w:w="57" w:type="dxa"/>
          <w:left w:w="57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498"/>
        <w:gridCol w:w="5670"/>
        <w:gridCol w:w="1134"/>
        <w:gridCol w:w="1275"/>
        <w:gridCol w:w="1276"/>
      </w:tblGrid>
      <w:tr w:rsidR="00D15B02"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5B02" w:rsidRDefault="00100C36">
            <w:pPr>
              <w:spacing w:after="160" w:line="288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Poz.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5B02" w:rsidRDefault="00100C36">
            <w:pPr>
              <w:spacing w:line="288" w:lineRule="auto"/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Wyszczególnienie </w:t>
            </w:r>
            <w:r>
              <w:rPr>
                <w:rFonts w:ascii="Arial" w:eastAsia="Times New Roman" w:hAnsi="Arial" w:cs="Arial"/>
                <w:lang w:eastAsia="pl-PL"/>
              </w:rPr>
              <w:t xml:space="preserve">/ 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opis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ilość</w:t>
            </w:r>
          </w:p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wartość</w:t>
            </w:r>
          </w:p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szacunkowa w zł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right w:w="57" w:type="dxa"/>
            </w:tcMar>
          </w:tcPr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cena</w:t>
            </w:r>
          </w:p>
          <w:p w:rsidR="00D15B02" w:rsidRDefault="00100C36">
            <w:pPr>
              <w:spacing w:line="288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wywołania w zł</w:t>
            </w:r>
          </w:p>
        </w:tc>
      </w:tr>
      <w:tr w:rsidR="00D15B02">
        <w:tc>
          <w:tcPr>
            <w:tcW w:w="49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</w:tcPr>
          <w:p w:rsidR="00D15B02" w:rsidRDefault="00100C36">
            <w:pPr>
              <w:spacing w:after="160" w:line="288" w:lineRule="auto"/>
              <w:ind w:left="-57" w:right="-57"/>
              <w:rPr>
                <w:rFonts w:ascii="Arial" w:eastAsia="Times New Roman" w:hAnsi="Arial" w:cs="Arial"/>
                <w:lang w:eastAsia="pl-PL"/>
              </w:rPr>
            </w:pPr>
            <w:bookmarkStart w:id="1" w:name="Tekst34"/>
            <w:bookmarkStart w:id="2" w:name="Tekst30"/>
            <w:bookmarkStart w:id="3" w:name="Tekst31"/>
            <w:bookmarkStart w:id="4" w:name="Tekst32"/>
            <w:bookmarkStart w:id="5" w:name="Tekst33"/>
            <w:bookmarkEnd w:id="1"/>
            <w:bookmarkEnd w:id="2"/>
            <w:bookmarkEnd w:id="3"/>
            <w:bookmarkEnd w:id="4"/>
            <w:bookmarkEnd w:id="5"/>
            <w:r>
              <w:rPr>
                <w:rFonts w:ascii="Arial" w:eastAsia="Times New Roman" w:hAnsi="Arial" w:cs="Arial"/>
                <w:lang w:eastAsia="pl-PL"/>
              </w:rPr>
              <w:t>1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</w:tcPr>
          <w:p w:rsidR="00D15B02" w:rsidRDefault="00100C36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Ploter automatyczny 180.310.026 model EUREKA TESEO, rok prod 2008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  <w:vAlign w:val="center"/>
          </w:tcPr>
          <w:p w:rsidR="00D15B02" w:rsidRDefault="00100C36">
            <w:pPr>
              <w:spacing w:after="142" w:line="288" w:lineRule="auto"/>
              <w:ind w:left="-57" w:right="-57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szt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  <w:vAlign w:val="center"/>
          </w:tcPr>
          <w:p w:rsidR="00D15B02" w:rsidRDefault="00100C36">
            <w:pPr>
              <w:spacing w:after="142" w:line="288" w:lineRule="auto"/>
              <w:ind w:left="-57" w:right="-57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40.000,00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right w:w="57" w:type="dxa"/>
            </w:tcMar>
            <w:vAlign w:val="center"/>
          </w:tcPr>
          <w:p w:rsidR="00D15B02" w:rsidRDefault="00100C36">
            <w:pPr>
              <w:pStyle w:val="Zawartotabeli"/>
              <w:rPr>
                <w:rFonts w:ascii="Arial" w:eastAsia="Times New Roman" w:hAnsi="Arial" w:cs="Times New Roman"/>
              </w:rPr>
            </w:pPr>
            <w:r>
              <w:rPr>
                <w:rFonts w:ascii="Arial" w:eastAsia="Times New Roman" w:hAnsi="Arial" w:cs="Times New Roman"/>
              </w:rPr>
              <w:t xml:space="preserve">30.000,00 </w:t>
            </w:r>
          </w:p>
        </w:tc>
      </w:tr>
      <w:tr w:rsidR="00D15B02">
        <w:tc>
          <w:tcPr>
            <w:tcW w:w="49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</w:tcPr>
          <w:p w:rsidR="00D15B02" w:rsidRDefault="00100C36">
            <w:pPr>
              <w:spacing w:after="160" w:line="288" w:lineRule="auto"/>
              <w:ind w:right="-57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2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</w:tcPr>
          <w:p w:rsidR="00D15B02" w:rsidRDefault="00100C36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Formowarka </w:t>
            </w:r>
            <w:r>
              <w:rPr>
                <w:rFonts w:ascii="Arial" w:eastAsia="Times New Roman" w:hAnsi="Arial" w:cs="Arial"/>
                <w:lang w:eastAsia="pl-PL"/>
              </w:rPr>
              <w:t>PRZYSZEW  IST-90, 90-070702, rok prod 2008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  <w:vAlign w:val="center"/>
          </w:tcPr>
          <w:p w:rsidR="00D15B02" w:rsidRDefault="00100C36">
            <w:pPr>
              <w:spacing w:after="142" w:line="288" w:lineRule="auto"/>
              <w:ind w:left="-57" w:right="-57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szt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</w:tcMar>
            <w:vAlign w:val="center"/>
          </w:tcPr>
          <w:p w:rsidR="00D15B02" w:rsidRDefault="00100C36">
            <w:pPr>
              <w:spacing w:after="142" w:line="288" w:lineRule="auto"/>
              <w:ind w:right="-57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29.000,00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right w:w="57" w:type="dxa"/>
            </w:tcMar>
            <w:vAlign w:val="center"/>
          </w:tcPr>
          <w:p w:rsidR="00D15B02" w:rsidRDefault="00100C36">
            <w:pPr>
              <w:pStyle w:val="Zawartotabeli"/>
              <w:rPr>
                <w:rFonts w:ascii="Arial" w:eastAsia="Times New Roman" w:hAnsi="Arial" w:cs="Times New Roman"/>
              </w:rPr>
            </w:pPr>
            <w:r>
              <w:rPr>
                <w:rFonts w:ascii="Arial" w:eastAsia="Times New Roman" w:hAnsi="Arial" w:cs="Times New Roman"/>
              </w:rPr>
              <w:t>21.750,00</w:t>
            </w:r>
          </w:p>
        </w:tc>
      </w:tr>
    </w:tbl>
    <w:p w:rsidR="00D15B02" w:rsidRDefault="00D15B02">
      <w:pPr>
        <w:pStyle w:val="NormalnyWeb"/>
        <w:spacing w:before="0" w:after="0" w:line="240" w:lineRule="auto"/>
        <w:rPr>
          <w:rFonts w:ascii="Arial" w:hAnsi="Arial" w:cs="Arial"/>
        </w:rPr>
      </w:pP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  <w:lang w:eastAsia="pl-PL"/>
        </w:rPr>
        <w:t>Cena wywołania wynosi 3/4</w:t>
      </w:r>
      <w:r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>
        <w:rPr>
          <w:rFonts w:ascii="Arial" w:eastAsia="Times New Roman" w:hAnsi="Arial" w:cs="Arial"/>
          <w:color w:val="000000"/>
          <w:lang w:eastAsia="pl-PL"/>
        </w:rPr>
        <w:t xml:space="preserve">wartości szacunkowej. 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  <w:lang w:eastAsia="pl-PL"/>
        </w:rPr>
        <w:t xml:space="preserve">Ruchomości można oglądać w dniu 18.05.2021r. w godzinach od 10:00 do 10:30 pod adresem: </w:t>
      </w:r>
      <w:r>
        <w:rPr>
          <w:rFonts w:ascii="Arial" w:eastAsia="Times New Roman" w:hAnsi="Arial" w:cs="Arial"/>
          <w:b/>
          <w:bCs/>
          <w:color w:val="000000"/>
          <w:lang w:eastAsia="pl-PL"/>
        </w:rPr>
        <w:t>Słupsk ul Malinowa 12.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 xml:space="preserve">Jeżeli wartość szacunkowa </w:t>
      </w:r>
      <w:r>
        <w:rPr>
          <w:rFonts w:ascii="Arial" w:eastAsia="Times New Roman" w:hAnsi="Arial" w:cs="Arial"/>
          <w:lang w:eastAsia="pl-PL"/>
        </w:rPr>
        <w:t>zajętej ruchomości przekracza 10.000,00 zł, podmiot który zamierza nabyć ruchomość, wpłaca na rachunek organu egzekucyjnego zaliczkę w wysokości 1/10 wartości szacunkowej. Wadium składa się na rachunek organu egzekucyjnego w NBP O/ Gdańsk nr 98 1010 1140 0</w:t>
      </w:r>
      <w:r>
        <w:rPr>
          <w:rFonts w:ascii="Arial" w:eastAsia="Times New Roman" w:hAnsi="Arial" w:cs="Arial"/>
          <w:lang w:eastAsia="pl-PL"/>
        </w:rPr>
        <w:t>030 5613 9120 000 . wadium uważa się za złożone , jeżeli wpłata wadium zostanie uznana na rachunku organu egzekucyjnego najpóźniej w dniu poprzedzający dzień, w którym ma się odbyć licytacja publiczna. Nie później niż na godzinę przed terminem oznaczonym w</w:t>
      </w:r>
      <w:r>
        <w:rPr>
          <w:rFonts w:ascii="Arial" w:eastAsia="Times New Roman" w:hAnsi="Arial" w:cs="Arial"/>
          <w:lang w:eastAsia="pl-PL"/>
        </w:rPr>
        <w:t xml:space="preserve"> obwieszczeniu o licytacji wadium może być złożone:</w:t>
      </w:r>
    </w:p>
    <w:p w:rsidR="00D15B02" w:rsidRDefault="00100C36">
      <w:pPr>
        <w:numPr>
          <w:ilvl w:val="0"/>
          <w:numId w:val="2"/>
        </w:num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bezgotówkowo przy użyciu terminala płatniczego-jeżeli po stronie organu egzekucyjnego istnieją warunki techniczne do zapłaty bezgotówkowej przy uzyciu terminala płatniczego;</w:t>
      </w:r>
    </w:p>
    <w:p w:rsidR="00D15B02" w:rsidRDefault="00100C36">
      <w:pPr>
        <w:numPr>
          <w:ilvl w:val="0"/>
          <w:numId w:val="2"/>
        </w:num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gotówką pracownikowi obsługują</w:t>
      </w:r>
      <w:r>
        <w:rPr>
          <w:rFonts w:ascii="Arial" w:eastAsia="Times New Roman" w:hAnsi="Arial" w:cs="Arial"/>
          <w:lang w:eastAsia="pl-PL"/>
        </w:rPr>
        <w:t>cy organ egzekucyjny-jeżeli wadium nie przekracza 5.000,00 zł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 xml:space="preserve">W przypadku nie dojścia do skutku pierwszego terminu, druga licytacja odbędzie się w dniu 19.05.2021r o godz.11,00 w tym samym miejscu. Cena wywoławcza w drugim terminie licytacji wynosi połowę </w:t>
      </w:r>
      <w:r>
        <w:rPr>
          <w:rFonts w:ascii="Arial" w:eastAsia="Times New Roman" w:hAnsi="Arial" w:cs="Arial"/>
          <w:lang w:eastAsia="pl-PL"/>
        </w:rPr>
        <w:t>wartości ceny szacunkowej ruchomości.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Zajęte ruchomości można oglądać w dniu drugiej licytacji tj.18.05.2021r.  W tym samym miejscu i o tej samej porze, co w przypadku pierwszej licytacji.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Nabywca zobowiązany jest uiścić natychmiast po udzieleniu mu przybi</w:t>
      </w:r>
      <w:r>
        <w:rPr>
          <w:rFonts w:ascii="Arial" w:eastAsia="Times New Roman" w:hAnsi="Arial" w:cs="Arial"/>
          <w:lang w:eastAsia="pl-PL"/>
        </w:rPr>
        <w:t>cia przynajmniej cenę wywołania. Jeżeli nabywca zapłaci tylko część ceny nabycia, zapłatę reszty ceny dokonuje do godziny 12:00 następnego dnia. W przypadku niezapłacenia ceny nabycia w terminie, nabywca traci prawo wynikłe z przybicia i do zwrotu wadium i</w:t>
      </w:r>
      <w:r>
        <w:rPr>
          <w:rFonts w:ascii="Arial" w:eastAsia="Times New Roman" w:hAnsi="Arial" w:cs="Arial"/>
          <w:lang w:eastAsia="pl-PL"/>
        </w:rPr>
        <w:t xml:space="preserve"> kwoty zapłaconej w czasie licytacji oraz nie może uczestniczyć w licytacji tej samej ruchomości.</w:t>
      </w:r>
    </w:p>
    <w:p w:rsidR="00D15B02" w:rsidRDefault="00100C36">
      <w:pPr>
        <w:spacing w:line="102" w:lineRule="atLeast"/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Zgodnie z artykułu 111d § 3 cytowanej ustawy w licytacji mogą również uczestniczyć osoby, które przedłożą pełnomocnictwo do udziału w licytacji stwierdzone do</w:t>
      </w:r>
      <w:r>
        <w:rPr>
          <w:rFonts w:ascii="Arial" w:eastAsia="Times New Roman" w:hAnsi="Arial" w:cs="Arial"/>
          <w:lang w:eastAsia="pl-PL"/>
        </w:rPr>
        <w:t xml:space="preserve">kumentem i podpisem urzędowo lub notarialnie potwierdzonym. </w:t>
      </w:r>
    </w:p>
    <w:p w:rsidR="00D15B02" w:rsidRDefault="00100C36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Urząd nie ponosi odpowiedzialności za stan techniczny i wady ukryte sprzedawanych ruchomości.</w:t>
      </w:r>
    </w:p>
    <w:p w:rsidR="00D15B02" w:rsidRDefault="00100C36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lastRenderedPageBreak/>
        <w:t xml:space="preserve">Sprzedaż nie jest opodatkowana podatkiem od towarów i usług. </w:t>
      </w:r>
    </w:p>
    <w:p w:rsidR="00D15B02" w:rsidRDefault="00100C36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Czynności związane z przeprowadzeniem l</w:t>
      </w:r>
      <w:r>
        <w:rPr>
          <w:rFonts w:ascii="Arial" w:eastAsia="Times New Roman" w:hAnsi="Arial" w:cs="Arial"/>
          <w:lang w:eastAsia="pl-PL"/>
        </w:rPr>
        <w:t xml:space="preserve">icytacji będą odbywały się z zachowaniem reżimu epidemicznego, obowiązującego w dniu dokonywania czynności związanych z licytacją. Jednocześnie w związku z dynamicznym rozwojem sytuacji związanej z COVID-19, zastrzega się możliwość odwołania czynności lub </w:t>
      </w:r>
      <w:r>
        <w:rPr>
          <w:rFonts w:ascii="Arial" w:eastAsia="Times New Roman" w:hAnsi="Arial" w:cs="Arial"/>
          <w:lang w:eastAsia="pl-PL"/>
        </w:rPr>
        <w:t xml:space="preserve">zmian ich terminu. </w:t>
      </w:r>
    </w:p>
    <w:p w:rsidR="00D15B02" w:rsidRDefault="00100C36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 xml:space="preserve">Naczelnik Urzędu Skarbowego w Słupsku zastrzega sobie prawo odstąpienia od licytacji bez podania przyczyny. </w:t>
      </w:r>
    </w:p>
    <w:p w:rsidR="00D15B02" w:rsidRDefault="00100C36">
      <w:pPr>
        <w:rPr>
          <w:rFonts w:ascii="Arial" w:hAnsi="Arial" w:cs="Arial"/>
        </w:rPr>
      </w:pPr>
      <w:r>
        <w:rPr>
          <w:rFonts w:ascii="Arial" w:eastAsia="Times New Roman" w:hAnsi="Arial" w:cs="Arial"/>
          <w:lang w:eastAsia="pl-PL"/>
        </w:rPr>
        <w:t>Telefon kontaktowy – 598 447 386</w:t>
      </w:r>
    </w:p>
    <w:sectPr w:rsidR="00D15B0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4" w:bottom="765" w:left="1418" w:header="709" w:footer="708" w:gutter="0"/>
      <w:cols w:space="708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0C36" w:rsidRDefault="00100C36">
      <w:r>
        <w:separator/>
      </w:r>
    </w:p>
  </w:endnote>
  <w:endnote w:type="continuationSeparator" w:id="0">
    <w:p w:rsidR="00100C36" w:rsidRDefault="00100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B02" w:rsidRDefault="00D15B0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B02" w:rsidRDefault="00D15B0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0C36" w:rsidRDefault="00100C36">
      <w:r>
        <w:separator/>
      </w:r>
    </w:p>
  </w:footnote>
  <w:footnote w:type="continuationSeparator" w:id="0">
    <w:p w:rsidR="00100C36" w:rsidRDefault="00100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B02" w:rsidRDefault="00D15B0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B02" w:rsidRDefault="00100C36">
    <w:r>
      <w:rPr>
        <w:noProof/>
        <w:lang w:eastAsia="pl-PL"/>
      </w:rPr>
      <w:drawing>
        <wp:anchor distT="0" distB="0" distL="0" distR="0" simplePos="0" relativeHeight="2" behindDoc="1" locked="0" layoutInCell="0" allowOverlap="1">
          <wp:simplePos x="0" y="0"/>
          <wp:positionH relativeFrom="column">
            <wp:posOffset>-16510</wp:posOffset>
          </wp:positionH>
          <wp:positionV relativeFrom="paragraph">
            <wp:posOffset>-26035</wp:posOffset>
          </wp:positionV>
          <wp:extent cx="492760" cy="454660"/>
          <wp:effectExtent l="0" t="0" r="0" b="0"/>
          <wp:wrapNone/>
          <wp:docPr id="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397" t="-2147" r="-2397" b="-2147"/>
                  <a:stretch>
                    <a:fillRect/>
                  </a:stretch>
                </pic:blipFill>
                <pic:spPr bwMode="auto">
                  <a:xfrm>
                    <a:off x="0" y="0"/>
                    <a:ext cx="492760" cy="4546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D75DB"/>
    <w:multiLevelType w:val="multilevel"/>
    <w:tmpl w:val="27D2EC52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18F4970"/>
    <w:multiLevelType w:val="multilevel"/>
    <w:tmpl w:val="0A9C6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5B02"/>
    <w:rsid w:val="00100C36"/>
    <w:rsid w:val="007D27AE"/>
    <w:rsid w:val="00D1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516972-973F-4452-AF12-CFBFD19EE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4D9A"/>
    <w:rPr>
      <w:rFonts w:ascii="Cambria" w:eastAsia="Cambria" w:hAnsi="Cambria" w:cs="Cambria"/>
      <w:kern w:val="2"/>
      <w:sz w:val="24"/>
      <w:szCs w:val="24"/>
      <w:lang w:eastAsia="zh-CN"/>
    </w:rPr>
  </w:style>
  <w:style w:type="paragraph" w:styleId="Nagwek1">
    <w:name w:val="heading 1"/>
    <w:basedOn w:val="Legenda1"/>
    <w:next w:val="Indeks"/>
    <w:qFormat/>
    <w:rsid w:val="002E4D9A"/>
    <w:pPr>
      <w:numPr>
        <w:numId w:val="1"/>
      </w:numPr>
      <w:spacing w:before="240"/>
      <w:outlineLvl w:val="0"/>
    </w:pPr>
    <w:rPr>
      <w:b/>
      <w:bCs/>
      <w:sz w:val="36"/>
      <w:szCs w:val="36"/>
    </w:rPr>
  </w:style>
  <w:style w:type="paragraph" w:styleId="Nagwek2">
    <w:name w:val="heading 2"/>
    <w:basedOn w:val="Legenda1"/>
    <w:next w:val="Indeks"/>
    <w:qFormat/>
    <w:rsid w:val="002E4D9A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Nagwek3">
    <w:name w:val="heading 3"/>
    <w:basedOn w:val="Legenda1"/>
    <w:next w:val="Indeks"/>
    <w:qFormat/>
    <w:rsid w:val="002E4D9A"/>
    <w:pPr>
      <w:numPr>
        <w:ilvl w:val="2"/>
        <w:numId w:val="1"/>
      </w:numPr>
      <w:spacing w:before="140"/>
      <w:outlineLvl w:val="2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sid w:val="002E4D9A"/>
  </w:style>
  <w:style w:type="character" w:customStyle="1" w:styleId="WW8Num1z1">
    <w:name w:val="WW8Num1z1"/>
    <w:qFormat/>
    <w:rsid w:val="002E4D9A"/>
  </w:style>
  <w:style w:type="character" w:customStyle="1" w:styleId="WW8Num1z2">
    <w:name w:val="WW8Num1z2"/>
    <w:qFormat/>
    <w:rsid w:val="002E4D9A"/>
  </w:style>
  <w:style w:type="character" w:customStyle="1" w:styleId="WW8Num1z3">
    <w:name w:val="WW8Num1z3"/>
    <w:qFormat/>
    <w:rsid w:val="002E4D9A"/>
  </w:style>
  <w:style w:type="character" w:customStyle="1" w:styleId="WW8Num1z4">
    <w:name w:val="WW8Num1z4"/>
    <w:qFormat/>
    <w:rsid w:val="002E4D9A"/>
  </w:style>
  <w:style w:type="character" w:customStyle="1" w:styleId="WW8Num1z5">
    <w:name w:val="WW8Num1z5"/>
    <w:qFormat/>
    <w:rsid w:val="002E4D9A"/>
  </w:style>
  <w:style w:type="character" w:customStyle="1" w:styleId="WW8Num1z6">
    <w:name w:val="WW8Num1z6"/>
    <w:qFormat/>
    <w:rsid w:val="002E4D9A"/>
  </w:style>
  <w:style w:type="character" w:customStyle="1" w:styleId="WW8Num1z7">
    <w:name w:val="WW8Num1z7"/>
    <w:qFormat/>
    <w:rsid w:val="002E4D9A"/>
  </w:style>
  <w:style w:type="character" w:customStyle="1" w:styleId="WW8Num1z8">
    <w:name w:val="WW8Num1z8"/>
    <w:qFormat/>
    <w:rsid w:val="002E4D9A"/>
  </w:style>
  <w:style w:type="character" w:customStyle="1" w:styleId="Domylnaczcionkaakapitu2">
    <w:name w:val="Domyślna czcionka akapitu2"/>
    <w:qFormat/>
    <w:rsid w:val="002E4D9A"/>
  </w:style>
  <w:style w:type="character" w:customStyle="1" w:styleId="Domylnaczcionkaakapitu1">
    <w:name w:val="Domyślna czcionka akapitu1"/>
    <w:qFormat/>
    <w:rsid w:val="002E4D9A"/>
  </w:style>
  <w:style w:type="character" w:customStyle="1" w:styleId="NagwekZnak">
    <w:name w:val="Nagłówek Znak"/>
    <w:basedOn w:val="Domylnaczcionkaakapitu1"/>
    <w:qFormat/>
    <w:rsid w:val="002E4D9A"/>
  </w:style>
  <w:style w:type="character" w:customStyle="1" w:styleId="StopkaZnak">
    <w:name w:val="Stopka Znak"/>
    <w:basedOn w:val="Domylnaczcionkaakapitu1"/>
    <w:qFormat/>
    <w:rsid w:val="002E4D9A"/>
  </w:style>
  <w:style w:type="character" w:customStyle="1" w:styleId="TekstdymkaZnak">
    <w:name w:val="Tekst dymka Znak"/>
    <w:qFormat/>
    <w:rsid w:val="002E4D9A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rsid w:val="002E4D9A"/>
    <w:rPr>
      <w:color w:val="0000FF"/>
      <w:u w:val="single"/>
    </w:rPr>
  </w:style>
  <w:style w:type="character" w:customStyle="1" w:styleId="Znakinumeracji">
    <w:name w:val="Znaki numeracji"/>
    <w:qFormat/>
    <w:rsid w:val="002E4D9A"/>
  </w:style>
  <w:style w:type="character" w:customStyle="1" w:styleId="Znakiwypunktowania">
    <w:name w:val="Znaki wypunktowania"/>
    <w:qFormat/>
    <w:rsid w:val="002E4D9A"/>
    <w:rPr>
      <w:rFonts w:ascii="OpenSymbol" w:eastAsia="OpenSymbol" w:hAnsi="OpenSymbol" w:cs="OpenSymbol"/>
    </w:rPr>
  </w:style>
  <w:style w:type="paragraph" w:styleId="Nagwek">
    <w:name w:val="header"/>
    <w:basedOn w:val="Normalny"/>
    <w:next w:val="Zawartoramki"/>
    <w:rsid w:val="002E4D9A"/>
  </w:style>
  <w:style w:type="paragraph" w:styleId="Tekstpodstawowy">
    <w:name w:val="Body Text"/>
    <w:basedOn w:val="Normalny"/>
    <w:next w:val="Indeks"/>
    <w:rsid w:val="002E4D9A"/>
    <w:pPr>
      <w:spacing w:after="140" w:line="288" w:lineRule="auto"/>
    </w:pPr>
  </w:style>
  <w:style w:type="paragraph" w:styleId="Lista">
    <w:name w:val="List"/>
    <w:basedOn w:val="Indeks"/>
    <w:next w:val="Gwkaistopka"/>
    <w:rsid w:val="002E4D9A"/>
  </w:style>
  <w:style w:type="paragraph" w:styleId="Legenda">
    <w:name w:val="caption"/>
    <w:basedOn w:val="Normalny"/>
    <w:qFormat/>
    <w:rsid w:val="002E4D9A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next w:val="Stopka"/>
    <w:qFormat/>
    <w:rsid w:val="002E4D9A"/>
    <w:pPr>
      <w:suppressLineNumbers/>
    </w:pPr>
    <w:rPr>
      <w:rFonts w:cs="Mangal"/>
    </w:rPr>
  </w:style>
  <w:style w:type="paragraph" w:customStyle="1" w:styleId="Nagwek20">
    <w:name w:val="Nagłówek2"/>
    <w:basedOn w:val="Legenda1"/>
    <w:next w:val="Indeks"/>
    <w:qFormat/>
    <w:rsid w:val="002E4D9A"/>
    <w:rPr>
      <w:rFonts w:ascii="Arial" w:hAnsi="Arial" w:cs="Arial"/>
      <w:b/>
      <w:bCs/>
      <w:sz w:val="36"/>
      <w:szCs w:val="56"/>
    </w:rPr>
  </w:style>
  <w:style w:type="paragraph" w:customStyle="1" w:styleId="Legenda1">
    <w:name w:val="Legenda1"/>
    <w:basedOn w:val="Normalny"/>
    <w:next w:val="Nagwek"/>
    <w:qFormat/>
    <w:rsid w:val="002E4D9A"/>
    <w:pPr>
      <w:suppressLineNumbers/>
      <w:spacing w:before="120" w:after="120"/>
    </w:pPr>
    <w:rPr>
      <w:rFonts w:cs="Mangal"/>
      <w:i/>
      <w:iCs/>
    </w:rPr>
  </w:style>
  <w:style w:type="paragraph" w:customStyle="1" w:styleId="Nagwek10">
    <w:name w:val="Nagłówek1"/>
    <w:basedOn w:val="Normalny"/>
    <w:next w:val="Indeks"/>
    <w:qFormat/>
    <w:rsid w:val="002E4D9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Gwkaistopka">
    <w:name w:val="Główka i stopka"/>
    <w:basedOn w:val="Normalny"/>
    <w:next w:val="Tekstdymka"/>
    <w:qFormat/>
    <w:rsid w:val="002E4D9A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next w:val="Cytaty"/>
    <w:rsid w:val="002E4D9A"/>
  </w:style>
  <w:style w:type="paragraph" w:styleId="Tekstdymka">
    <w:name w:val="Balloon Text"/>
    <w:basedOn w:val="Normalny"/>
    <w:next w:val="Nagwek20"/>
    <w:qFormat/>
    <w:rsid w:val="002E4D9A"/>
    <w:rPr>
      <w:rFonts w:ascii="Tahoma" w:hAnsi="Tahoma" w:cs="Tahoma"/>
      <w:sz w:val="16"/>
      <w:szCs w:val="16"/>
    </w:rPr>
  </w:style>
  <w:style w:type="paragraph" w:customStyle="1" w:styleId="Zawartoramki">
    <w:name w:val="Zawartość ramki"/>
    <w:basedOn w:val="Normalny"/>
    <w:next w:val="Podtytu"/>
    <w:qFormat/>
    <w:rsid w:val="002E4D9A"/>
  </w:style>
  <w:style w:type="paragraph" w:customStyle="1" w:styleId="Cytaty">
    <w:name w:val="Cytaty"/>
    <w:basedOn w:val="Normalny"/>
    <w:next w:val="Zawartotabeli"/>
    <w:qFormat/>
    <w:rsid w:val="002E4D9A"/>
    <w:pPr>
      <w:spacing w:after="283"/>
      <w:ind w:left="567" w:right="567"/>
    </w:pPr>
  </w:style>
  <w:style w:type="paragraph" w:styleId="Podtytu">
    <w:name w:val="Subtitle"/>
    <w:basedOn w:val="Legenda1"/>
    <w:next w:val="Indeks"/>
    <w:qFormat/>
    <w:rsid w:val="002E4D9A"/>
    <w:pPr>
      <w:spacing w:before="60"/>
      <w:jc w:val="center"/>
    </w:pPr>
    <w:rPr>
      <w:sz w:val="36"/>
      <w:szCs w:val="36"/>
    </w:rPr>
  </w:style>
  <w:style w:type="paragraph" w:customStyle="1" w:styleId="Zawartotabeli">
    <w:name w:val="Zawartość tabeli"/>
    <w:basedOn w:val="Normalny"/>
    <w:next w:val="Standard"/>
    <w:qFormat/>
    <w:rsid w:val="002E4D9A"/>
    <w:pPr>
      <w:suppressLineNumbers/>
    </w:pPr>
  </w:style>
  <w:style w:type="paragraph" w:customStyle="1" w:styleId="Akapitzlist1">
    <w:name w:val="Akapit z listą1"/>
    <w:basedOn w:val="Normalny"/>
    <w:next w:val="Licytacja"/>
    <w:qFormat/>
    <w:rsid w:val="002E4D9A"/>
    <w:pPr>
      <w:spacing w:after="200"/>
      <w:ind w:left="720"/>
      <w:contextualSpacing/>
    </w:pPr>
  </w:style>
  <w:style w:type="paragraph" w:customStyle="1" w:styleId="Standard">
    <w:name w:val="Standard"/>
    <w:qFormat/>
    <w:rsid w:val="002E4D9A"/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paragraph" w:customStyle="1" w:styleId="Nagwektabeli">
    <w:name w:val="Nagłówek tabeli"/>
    <w:basedOn w:val="Standard"/>
    <w:qFormat/>
    <w:rsid w:val="002E4D9A"/>
    <w:pPr>
      <w:suppressLineNumbers/>
      <w:jc w:val="center"/>
    </w:pPr>
    <w:rPr>
      <w:b/>
      <w:bCs/>
    </w:rPr>
  </w:style>
  <w:style w:type="paragraph" w:customStyle="1" w:styleId="Licytacja">
    <w:name w:val="Licytacja"/>
    <w:qFormat/>
    <w:rsid w:val="002E4D9A"/>
    <w:pPr>
      <w:widowControl w:val="0"/>
      <w:spacing w:line="276" w:lineRule="auto"/>
    </w:pPr>
    <w:rPr>
      <w:rFonts w:ascii="Arial" w:eastAsia="NSimSun" w:hAnsi="Arial" w:cs="Arial"/>
      <w:kern w:val="2"/>
      <w:sz w:val="22"/>
      <w:szCs w:val="24"/>
      <w:lang w:eastAsia="zh-CN" w:bidi="hi-IN"/>
    </w:rPr>
  </w:style>
  <w:style w:type="paragraph" w:customStyle="1" w:styleId="LiCYTACJA0">
    <w:name w:val="LiCYTACJA"/>
    <w:qFormat/>
    <w:rsid w:val="002E4D9A"/>
    <w:pPr>
      <w:widowControl w:val="0"/>
      <w:spacing w:line="276" w:lineRule="auto"/>
    </w:pPr>
    <w:rPr>
      <w:rFonts w:ascii="Arial" w:eastAsia="NSimSun" w:hAnsi="Arial" w:cs="Arial"/>
      <w:kern w:val="2"/>
      <w:sz w:val="22"/>
      <w:szCs w:val="24"/>
      <w:lang w:eastAsia="zh-CN" w:bidi="hi-IN"/>
    </w:rPr>
  </w:style>
  <w:style w:type="paragraph" w:styleId="NormalnyWeb">
    <w:name w:val="Normal (Web)"/>
    <w:basedOn w:val="Normalny"/>
    <w:qFormat/>
    <w:pPr>
      <w:spacing w:before="280" w:after="142" w:line="288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496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Wietrzyńska Dagmara</cp:lastModifiedBy>
  <cp:revision>14</cp:revision>
  <dcterms:created xsi:type="dcterms:W3CDTF">2020-08-03T09:58:00Z</dcterms:created>
  <dcterms:modified xsi:type="dcterms:W3CDTF">2021-04-27T11:12:00Z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